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354EE" w14:textId="77777777" w:rsidR="001928CF" w:rsidRPr="00B918A5" w:rsidRDefault="00834EF2" w:rsidP="00CF288A">
      <w:pPr>
        <w:rPr>
          <w:lang w:val="en-AU"/>
        </w:rPr>
      </w:pPr>
      <w:r>
        <w:rPr>
          <w:lang w:val="en-AU"/>
        </w:rPr>
        <w:t xml:space="preserve"> </w:t>
      </w:r>
    </w:p>
    <w:p w14:paraId="4AECC539" w14:textId="77777777" w:rsidR="00D04841" w:rsidRDefault="00D04841" w:rsidP="00F01AA5">
      <w:pPr>
        <w:ind w:firstLine="216"/>
        <w:jc w:val="center"/>
        <w:rPr>
          <w:rFonts w:cs="Calibri"/>
          <w:w w:val="125"/>
          <w:sz w:val="56"/>
          <w:szCs w:val="44"/>
          <w:lang w:val="en-AU"/>
        </w:rPr>
      </w:pPr>
    </w:p>
    <w:p w14:paraId="7856EA61" w14:textId="77777777" w:rsidR="00D04841" w:rsidRDefault="00D04841" w:rsidP="00F01AA5">
      <w:pPr>
        <w:ind w:firstLine="216"/>
        <w:jc w:val="center"/>
        <w:rPr>
          <w:rFonts w:cs="Calibri"/>
          <w:w w:val="125"/>
          <w:sz w:val="56"/>
          <w:szCs w:val="44"/>
          <w:lang w:val="en-AU"/>
        </w:rPr>
      </w:pPr>
    </w:p>
    <w:p w14:paraId="6C8E000E" w14:textId="77777777" w:rsidR="00F01AA5" w:rsidRPr="00B918A5" w:rsidRDefault="00F01AA5" w:rsidP="00F01AA5">
      <w:pPr>
        <w:ind w:firstLine="216"/>
        <w:jc w:val="center"/>
        <w:rPr>
          <w:rFonts w:cs="Calibri"/>
          <w:w w:val="125"/>
          <w:sz w:val="56"/>
          <w:szCs w:val="44"/>
          <w:lang w:val="en-AU"/>
        </w:rPr>
      </w:pPr>
      <w:r w:rsidRPr="00B918A5">
        <w:rPr>
          <w:rFonts w:cs="Calibri"/>
          <w:w w:val="125"/>
          <w:sz w:val="56"/>
          <w:szCs w:val="44"/>
          <w:lang w:val="en-AU"/>
        </w:rPr>
        <w:t xml:space="preserve">Close the Gap </w:t>
      </w:r>
    </w:p>
    <w:p w14:paraId="1EA511DF" w14:textId="77777777" w:rsidR="00F01AA5" w:rsidRPr="00B918A5" w:rsidRDefault="00F01AA5" w:rsidP="00F01AA5">
      <w:pPr>
        <w:ind w:firstLine="216"/>
        <w:jc w:val="center"/>
        <w:rPr>
          <w:rFonts w:cs="Calibri"/>
          <w:w w:val="125"/>
          <w:sz w:val="56"/>
          <w:szCs w:val="44"/>
          <w:lang w:val="en-AU"/>
        </w:rPr>
      </w:pPr>
    </w:p>
    <w:p w14:paraId="3DAB6A5C" w14:textId="77777777" w:rsidR="00F01AA5" w:rsidRPr="00B918A5" w:rsidRDefault="005D54EF" w:rsidP="00F01AA5">
      <w:pPr>
        <w:ind w:firstLine="216"/>
        <w:jc w:val="center"/>
        <w:rPr>
          <w:rFonts w:cs="Calibri"/>
          <w:w w:val="125"/>
          <w:sz w:val="56"/>
          <w:szCs w:val="44"/>
          <w:lang w:val="en-AU"/>
        </w:rPr>
      </w:pPr>
      <w:r>
        <w:rPr>
          <w:rFonts w:cs="Calibri"/>
          <w:w w:val="125"/>
          <w:sz w:val="56"/>
          <w:szCs w:val="44"/>
          <w:lang w:val="en-AU"/>
        </w:rPr>
        <w:t>Progress and priorities report</w:t>
      </w:r>
      <w:r w:rsidR="00F01AA5" w:rsidRPr="00B918A5">
        <w:rPr>
          <w:rFonts w:cs="Calibri"/>
          <w:w w:val="125"/>
          <w:sz w:val="56"/>
          <w:szCs w:val="44"/>
          <w:lang w:val="en-AU"/>
        </w:rPr>
        <w:t xml:space="preserve"> 2015</w:t>
      </w:r>
    </w:p>
    <w:p w14:paraId="74A385F8" w14:textId="77777777" w:rsidR="00F01AA5" w:rsidRPr="00B918A5" w:rsidRDefault="00F01AA5" w:rsidP="00EB1FA3">
      <w:pPr>
        <w:rPr>
          <w:rFonts w:cs="Calibri"/>
          <w:w w:val="125"/>
          <w:sz w:val="56"/>
          <w:szCs w:val="32"/>
          <w:lang w:val="en-AU"/>
        </w:rPr>
      </w:pPr>
    </w:p>
    <w:p w14:paraId="7589B6B8" w14:textId="77777777" w:rsidR="00F01AA5" w:rsidRDefault="00F01AA5" w:rsidP="00F01AA5">
      <w:pPr>
        <w:outlineLvl w:val="0"/>
        <w:rPr>
          <w:rFonts w:cs="Calibri"/>
          <w:w w:val="125"/>
          <w:lang w:val="en-AU"/>
        </w:rPr>
      </w:pPr>
    </w:p>
    <w:p w14:paraId="29EB7FA5" w14:textId="77777777" w:rsidR="00F01AA5" w:rsidRPr="00B918A5" w:rsidRDefault="00F01AA5" w:rsidP="00F01AA5">
      <w:pPr>
        <w:pStyle w:val="ColorfulList-Accent11"/>
        <w:ind w:left="576" w:right="576"/>
        <w:rPr>
          <w:rFonts w:cs="Calibri"/>
          <w:b/>
          <w:spacing w:val="-4"/>
          <w:lang w:val="en-AU"/>
        </w:rPr>
      </w:pPr>
      <w:r w:rsidRPr="00B918A5">
        <w:rPr>
          <w:rFonts w:cs="Calibri"/>
          <w:b/>
          <w:spacing w:val="-4"/>
          <w:lang w:val="en-AU"/>
        </w:rPr>
        <w:br w:type="page"/>
      </w:r>
    </w:p>
    <w:p w14:paraId="4A8C93B7" w14:textId="77777777" w:rsidR="00F01AA5" w:rsidRPr="00B918A5" w:rsidRDefault="00F01AA5" w:rsidP="00F01AA5">
      <w:pPr>
        <w:pStyle w:val="ColorfulList-Accent12"/>
        <w:ind w:left="0" w:right="576"/>
        <w:rPr>
          <w:rFonts w:cs="Calibri"/>
          <w:b/>
          <w:spacing w:val="-4"/>
          <w:lang w:val="en-AU"/>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0"/>
      </w:tblGrid>
      <w:tr w:rsidR="00F01AA5" w:rsidRPr="006A24D8" w14:paraId="519331A9" w14:textId="77777777" w:rsidTr="002C3FC5">
        <w:tc>
          <w:tcPr>
            <w:tcW w:w="9286" w:type="dxa"/>
            <w:shd w:val="clear" w:color="auto" w:fill="auto"/>
          </w:tcPr>
          <w:p w14:paraId="0E0BA4DB" w14:textId="77777777" w:rsidR="00F01AA5" w:rsidRPr="00B918A5" w:rsidRDefault="00F01AA5" w:rsidP="002C3FC5">
            <w:pPr>
              <w:pStyle w:val="ColorfulList-Accent12"/>
              <w:ind w:left="0" w:right="576"/>
              <w:jc w:val="both"/>
              <w:rPr>
                <w:rFonts w:cs="Calibri"/>
                <w:b/>
                <w:spacing w:val="-4"/>
                <w:lang w:val="en-AU"/>
              </w:rPr>
            </w:pPr>
            <w:r w:rsidRPr="00B918A5">
              <w:rPr>
                <w:rFonts w:cs="Calibri"/>
                <w:b/>
                <w:spacing w:val="-4"/>
                <w:lang w:val="en-AU"/>
              </w:rPr>
              <w:t xml:space="preserve">Acknowledgements </w:t>
            </w:r>
          </w:p>
          <w:p w14:paraId="6FC02312" w14:textId="77777777" w:rsidR="00F01AA5" w:rsidRPr="006A24D8" w:rsidRDefault="00F01AA5" w:rsidP="002C3FC5">
            <w:pPr>
              <w:autoSpaceDE w:val="0"/>
              <w:autoSpaceDN w:val="0"/>
              <w:adjustRightInd w:val="0"/>
              <w:rPr>
                <w:rFonts w:eastAsia="Times New Roman" w:cs="Calibri"/>
                <w:lang w:val="en-AU" w:eastAsia="en-AU"/>
              </w:rPr>
            </w:pPr>
            <w:r w:rsidRPr="006A24D8">
              <w:rPr>
                <w:rFonts w:eastAsia="Times New Roman" w:cs="Calibri"/>
                <w:lang w:val="en-AU" w:eastAsia="en-AU"/>
              </w:rPr>
              <w:t xml:space="preserve">This report is a collaborative effort of the Close the Gap Campaign Steering Committee. Funding for, and project management of, the report was provided by Oxfam Australia. </w:t>
            </w:r>
          </w:p>
          <w:p w14:paraId="390E6E9D" w14:textId="77777777" w:rsidR="00F01AA5" w:rsidRPr="006A24D8" w:rsidRDefault="00F01AA5" w:rsidP="002C3FC5">
            <w:pPr>
              <w:autoSpaceDE w:val="0"/>
              <w:autoSpaceDN w:val="0"/>
              <w:adjustRightInd w:val="0"/>
              <w:rPr>
                <w:rFonts w:eastAsia="Times New Roman" w:cs="Calibri"/>
                <w:lang w:val="en-AU" w:eastAsia="en-AU"/>
              </w:rPr>
            </w:pPr>
            <w:r w:rsidRPr="006A24D8">
              <w:rPr>
                <w:rFonts w:eastAsia="Times New Roman" w:cs="Calibri"/>
                <w:b/>
                <w:bCs/>
                <w:lang w:val="en-AU" w:eastAsia="en-AU"/>
              </w:rPr>
              <w:t xml:space="preserve">Author: </w:t>
            </w:r>
            <w:r w:rsidRPr="006A24D8">
              <w:rPr>
                <w:rFonts w:eastAsia="Times New Roman" w:cs="Calibri"/>
                <w:lang w:val="en-AU" w:eastAsia="en-AU"/>
              </w:rPr>
              <w:t>Christopher Holland</w:t>
            </w:r>
          </w:p>
          <w:p w14:paraId="79B64749" w14:textId="77777777" w:rsidR="00F01AA5" w:rsidRDefault="00F01AA5" w:rsidP="002C3FC5">
            <w:pPr>
              <w:autoSpaceDE w:val="0"/>
              <w:autoSpaceDN w:val="0"/>
              <w:adjustRightInd w:val="0"/>
              <w:rPr>
                <w:rFonts w:eastAsia="Times New Roman" w:cs="Calibri"/>
                <w:lang w:val="en-AU" w:eastAsia="en-AU"/>
              </w:rPr>
            </w:pPr>
            <w:r w:rsidRPr="006A24D8">
              <w:rPr>
                <w:rFonts w:eastAsia="Times New Roman" w:cs="Calibri"/>
                <w:b/>
                <w:bCs/>
                <w:lang w:val="en-AU" w:eastAsia="en-AU"/>
              </w:rPr>
              <w:t>Editor</w:t>
            </w:r>
            <w:r w:rsidR="00E66554" w:rsidRPr="006A24D8">
              <w:rPr>
                <w:rFonts w:eastAsia="Times New Roman" w:cs="Calibri"/>
                <w:b/>
                <w:bCs/>
                <w:lang w:val="en-AU" w:eastAsia="en-AU"/>
              </w:rPr>
              <w:t>s</w:t>
            </w:r>
            <w:r w:rsidRPr="006A24D8">
              <w:rPr>
                <w:rFonts w:eastAsia="Times New Roman" w:cs="Calibri"/>
                <w:b/>
                <w:bCs/>
                <w:lang w:val="en-AU" w:eastAsia="en-AU"/>
              </w:rPr>
              <w:t xml:space="preserve">: </w:t>
            </w:r>
            <w:r w:rsidRPr="006A24D8">
              <w:rPr>
                <w:rFonts w:eastAsia="Times New Roman" w:cs="Calibri"/>
                <w:lang w:val="en-AU" w:eastAsia="en-AU"/>
              </w:rPr>
              <w:t>Andrew Gargett, Senior Policy Officer, Australian Human Rights Commission and Executive Officer, Close the Gap Campaign Steering Committee Secretariat and National Health Leadership Forum Secretariat</w:t>
            </w:r>
            <w:r w:rsidR="00E66554" w:rsidRPr="006A24D8">
              <w:rPr>
                <w:rFonts w:eastAsia="Times New Roman" w:cs="Calibri"/>
                <w:lang w:val="en-AU" w:eastAsia="en-AU"/>
              </w:rPr>
              <w:t xml:space="preserve">; </w:t>
            </w:r>
            <w:r w:rsidR="0039428B" w:rsidRPr="006A24D8">
              <w:rPr>
                <w:rFonts w:eastAsia="Times New Roman" w:cs="Calibri"/>
                <w:lang w:val="en-AU" w:eastAsia="en-AU"/>
              </w:rPr>
              <w:t>Dr Peter Lewis, Aboriginal and Torres Strait Islander Peoples Rights Advocacy Lead, Oxfam Australia.</w:t>
            </w:r>
          </w:p>
          <w:p w14:paraId="18377A1F" w14:textId="50545D94" w:rsidR="004A4789" w:rsidRPr="006A24D8" w:rsidRDefault="004A4789" w:rsidP="002C3FC5">
            <w:pPr>
              <w:autoSpaceDE w:val="0"/>
              <w:autoSpaceDN w:val="0"/>
              <w:adjustRightInd w:val="0"/>
              <w:rPr>
                <w:rFonts w:eastAsia="Times New Roman" w:cs="Calibri"/>
                <w:lang w:val="en-AU" w:eastAsia="en-AU"/>
              </w:rPr>
            </w:pPr>
            <w:r w:rsidRPr="004A4789">
              <w:rPr>
                <w:rFonts w:eastAsia="Times New Roman" w:cs="Calibri"/>
                <w:b/>
                <w:lang w:val="en-AU" w:eastAsia="en-AU"/>
              </w:rPr>
              <w:t>Editorial assistance</w:t>
            </w:r>
            <w:r>
              <w:rPr>
                <w:rFonts w:eastAsia="Times New Roman" w:cs="Calibri"/>
                <w:lang w:val="en-AU" w:eastAsia="en-AU"/>
              </w:rPr>
              <w:t xml:space="preserve">: Roxanne Moore, Research and Project Officer, Australian Human Rights Commission. </w:t>
            </w:r>
          </w:p>
          <w:p w14:paraId="60D9BBF2" w14:textId="049661ED" w:rsidR="00F01AA5" w:rsidRPr="006A24D8" w:rsidRDefault="00F01AA5" w:rsidP="002C3FC5">
            <w:pPr>
              <w:autoSpaceDE w:val="0"/>
              <w:autoSpaceDN w:val="0"/>
              <w:adjustRightInd w:val="0"/>
              <w:rPr>
                <w:rFonts w:eastAsia="Times New Roman" w:cs="Calibri"/>
                <w:lang w:val="en-AU" w:eastAsia="en-AU"/>
              </w:rPr>
            </w:pPr>
            <w:r w:rsidRPr="006A24D8">
              <w:rPr>
                <w:rFonts w:eastAsia="Times New Roman" w:cs="Calibri"/>
                <w:b/>
                <w:bCs/>
                <w:lang w:val="en-AU" w:eastAsia="en-AU"/>
              </w:rPr>
              <w:t xml:space="preserve">Design and layout: </w:t>
            </w:r>
            <w:r w:rsidR="004A4789" w:rsidRPr="004A4789">
              <w:rPr>
                <w:rFonts w:eastAsia="Times New Roman" w:cs="Calibri"/>
                <w:bCs/>
                <w:lang w:val="en-AU" w:eastAsia="en-AU"/>
              </w:rPr>
              <w:t>Lisa Thompson, JAG Designs.</w:t>
            </w:r>
          </w:p>
          <w:p w14:paraId="1C0C19A5" w14:textId="0F72AF40" w:rsidR="00F01AA5" w:rsidRPr="00407F2F" w:rsidRDefault="00F01AA5" w:rsidP="002C3FC5">
            <w:pPr>
              <w:autoSpaceDE w:val="0"/>
              <w:autoSpaceDN w:val="0"/>
              <w:adjustRightInd w:val="0"/>
              <w:rPr>
                <w:rFonts w:eastAsia="Times New Roman" w:cs="Calibri"/>
                <w:bCs/>
                <w:lang w:val="en-AU" w:eastAsia="en-AU"/>
              </w:rPr>
            </w:pPr>
            <w:r w:rsidRPr="006A24D8">
              <w:rPr>
                <w:rFonts w:eastAsia="Times New Roman" w:cs="Calibri"/>
                <w:b/>
                <w:bCs/>
                <w:lang w:val="en-AU" w:eastAsia="en-AU"/>
              </w:rPr>
              <w:t xml:space="preserve">Printing: </w:t>
            </w:r>
            <w:r w:rsidR="00407F2F" w:rsidRPr="00407F2F">
              <w:rPr>
                <w:rFonts w:eastAsia="Times New Roman" w:cs="Calibri"/>
                <w:bCs/>
                <w:lang w:val="en-AU" w:eastAsia="en-AU"/>
              </w:rPr>
              <w:t>Paragon Australasia Group</w:t>
            </w:r>
          </w:p>
          <w:p w14:paraId="1740838B" w14:textId="77777777" w:rsidR="00F01AA5" w:rsidRPr="006A24D8" w:rsidRDefault="00F01AA5" w:rsidP="002C3FC5">
            <w:pPr>
              <w:autoSpaceDE w:val="0"/>
              <w:autoSpaceDN w:val="0"/>
              <w:adjustRightInd w:val="0"/>
              <w:rPr>
                <w:rFonts w:eastAsia="Times New Roman" w:cs="Calibri"/>
                <w:lang w:val="en-AU" w:eastAsia="en-AU"/>
              </w:rPr>
            </w:pPr>
            <w:r w:rsidRPr="006A24D8">
              <w:rPr>
                <w:rFonts w:eastAsia="Times New Roman" w:cs="Calibri"/>
                <w:b/>
                <w:bCs/>
                <w:lang w:val="en-AU" w:eastAsia="en-AU"/>
              </w:rPr>
              <w:t xml:space="preserve">Published by: </w:t>
            </w:r>
            <w:r w:rsidRPr="006A24D8">
              <w:rPr>
                <w:rFonts w:eastAsia="Times New Roman" w:cs="Calibri"/>
                <w:lang w:val="en-AU" w:eastAsia="en-AU"/>
              </w:rPr>
              <w:t>The Close the Gap Campaign Ste</w:t>
            </w:r>
            <w:r w:rsidR="0039428B" w:rsidRPr="006A24D8">
              <w:rPr>
                <w:rFonts w:eastAsia="Times New Roman" w:cs="Calibri"/>
                <w:lang w:val="en-AU" w:eastAsia="en-AU"/>
              </w:rPr>
              <w:t>ering Committee in February 2015</w:t>
            </w:r>
          </w:p>
          <w:p w14:paraId="2103329B" w14:textId="77777777" w:rsidR="00F01AA5" w:rsidRPr="006A24D8" w:rsidRDefault="00F01AA5" w:rsidP="002C3FC5">
            <w:pPr>
              <w:autoSpaceDE w:val="0"/>
              <w:autoSpaceDN w:val="0"/>
              <w:adjustRightInd w:val="0"/>
              <w:rPr>
                <w:rFonts w:eastAsia="Times New Roman" w:cs="Calibri"/>
                <w:lang w:val="en-AU" w:eastAsia="en-AU"/>
              </w:rPr>
            </w:pPr>
            <w:r w:rsidRPr="006A24D8">
              <w:rPr>
                <w:rFonts w:eastAsia="Times New Roman" w:cs="Calibri"/>
                <w:lang w:val="en-AU" w:eastAsia="en-AU"/>
              </w:rPr>
              <w:t>© Close the Gap Campaign Steering Committee for Indigenous Healt</w:t>
            </w:r>
            <w:r w:rsidR="0039428B" w:rsidRPr="006A24D8">
              <w:rPr>
                <w:rFonts w:eastAsia="Times New Roman" w:cs="Calibri"/>
                <w:lang w:val="en-AU" w:eastAsia="en-AU"/>
              </w:rPr>
              <w:t>h Equality, 2015</w:t>
            </w:r>
          </w:p>
          <w:p w14:paraId="12B92640" w14:textId="77777777" w:rsidR="00F01AA5" w:rsidRPr="006A24D8" w:rsidRDefault="00F01AA5" w:rsidP="002C3FC5">
            <w:pPr>
              <w:autoSpaceDE w:val="0"/>
              <w:autoSpaceDN w:val="0"/>
              <w:adjustRightInd w:val="0"/>
              <w:rPr>
                <w:rFonts w:eastAsia="Times New Roman" w:cs="Calibri"/>
                <w:lang w:val="en-AU" w:eastAsia="en-AU"/>
              </w:rPr>
            </w:pPr>
            <w:r w:rsidRPr="006A24D8">
              <w:rPr>
                <w:rFonts w:eastAsia="Times New Roman" w:cs="Calibri"/>
                <w:lang w:val="en-AU" w:eastAsia="en-AU"/>
              </w:rPr>
              <w:t xml:space="preserve">This work is licensed under the Creative Commons Attribution – </w:t>
            </w:r>
            <w:proofErr w:type="spellStart"/>
            <w:r w:rsidRPr="006A24D8">
              <w:rPr>
                <w:rFonts w:eastAsia="Times New Roman" w:cs="Calibri"/>
                <w:lang w:val="en-AU" w:eastAsia="en-AU"/>
              </w:rPr>
              <w:t>NonCommercial</w:t>
            </w:r>
            <w:proofErr w:type="spellEnd"/>
            <w:r w:rsidRPr="006A24D8">
              <w:rPr>
                <w:rFonts w:eastAsia="Times New Roman" w:cs="Calibri"/>
                <w:lang w:val="en-AU" w:eastAsia="en-AU"/>
              </w:rPr>
              <w:t xml:space="preserve"> – </w:t>
            </w:r>
            <w:proofErr w:type="spellStart"/>
            <w:r w:rsidRPr="006A24D8">
              <w:rPr>
                <w:rFonts w:eastAsia="Times New Roman" w:cs="Calibri"/>
                <w:lang w:val="en-AU" w:eastAsia="en-AU"/>
              </w:rPr>
              <w:t>ShareAlike</w:t>
            </w:r>
            <w:proofErr w:type="spellEnd"/>
            <w:r w:rsidRPr="006A24D8">
              <w:rPr>
                <w:rFonts w:eastAsia="Times New Roman" w:cs="Calibri"/>
                <w:lang w:val="en-AU" w:eastAsia="en-AU"/>
              </w:rPr>
              <w:t xml:space="preserve"> 2.5 Australia License. To view a copy of this license, visit: http://creativecommons.org/licenses/by-nc-sa/2.5/au or send a letter to Creative Commons, 171 Second Street, Suite 300, </w:t>
            </w:r>
            <w:proofErr w:type="gramStart"/>
            <w:r w:rsidRPr="006A24D8">
              <w:rPr>
                <w:rFonts w:eastAsia="Times New Roman" w:cs="Calibri"/>
                <w:lang w:val="en-AU" w:eastAsia="en-AU"/>
              </w:rPr>
              <w:t>San</w:t>
            </w:r>
            <w:proofErr w:type="gramEnd"/>
            <w:r w:rsidRPr="006A24D8">
              <w:rPr>
                <w:rFonts w:eastAsia="Times New Roman" w:cs="Calibri"/>
                <w:lang w:val="en-AU" w:eastAsia="en-AU"/>
              </w:rPr>
              <w:t xml:space="preserve"> Francisco, California, 94105, USA. </w:t>
            </w:r>
          </w:p>
          <w:p w14:paraId="63FD12BB" w14:textId="77777777" w:rsidR="00F01AA5" w:rsidRPr="006A24D8" w:rsidRDefault="00F01AA5" w:rsidP="002C3FC5">
            <w:pPr>
              <w:autoSpaceDE w:val="0"/>
              <w:autoSpaceDN w:val="0"/>
              <w:adjustRightInd w:val="0"/>
              <w:rPr>
                <w:rFonts w:eastAsia="Times New Roman" w:cs="Calibri"/>
                <w:lang w:val="en-AU" w:eastAsia="en-AU"/>
              </w:rPr>
            </w:pPr>
            <w:r w:rsidRPr="006A24D8">
              <w:rPr>
                <w:rFonts w:eastAsia="Times New Roman" w:cs="Calibri"/>
                <w:lang w:val="en-AU" w:eastAsia="en-AU"/>
              </w:rPr>
              <w:t xml:space="preserve">Copies of this report and more information are available to download at: </w:t>
            </w:r>
            <w:hyperlink r:id="rId9" w:history="1">
              <w:r w:rsidRPr="006A24D8">
                <w:rPr>
                  <w:rStyle w:val="Hyperlink"/>
                  <w:rFonts w:eastAsia="Times New Roman" w:cs="Calibri"/>
                  <w:color w:val="auto"/>
                  <w:lang w:val="en-AU" w:eastAsia="en-AU"/>
                </w:rPr>
                <w:t>www.humanrights.gov.au/social_justice/health/index.html</w:t>
              </w:r>
            </w:hyperlink>
            <w:r w:rsidR="00653E91" w:rsidRPr="006A24D8">
              <w:rPr>
                <w:rFonts w:eastAsia="Times New Roman" w:cs="Calibri"/>
                <w:lang w:val="en-AU" w:eastAsia="en-AU"/>
              </w:rPr>
              <w:t xml:space="preserve"> </w:t>
            </w:r>
            <w:r w:rsidRPr="006A24D8">
              <w:rPr>
                <w:rFonts w:eastAsia="Times New Roman" w:cs="Calibri"/>
                <w:lang w:val="en-AU" w:eastAsia="en-AU"/>
              </w:rPr>
              <w:t xml:space="preserve">and </w:t>
            </w:r>
            <w:hyperlink r:id="rId10" w:history="1">
              <w:r w:rsidRPr="006A24D8">
                <w:rPr>
                  <w:rStyle w:val="Hyperlink"/>
                  <w:rFonts w:eastAsia="Times New Roman" w:cs="Calibri"/>
                  <w:color w:val="auto"/>
                  <w:lang w:val="en-AU" w:eastAsia="en-AU"/>
                </w:rPr>
                <w:t>http://www.oxfam.org.au/closethegap</w:t>
              </w:r>
            </w:hyperlink>
            <w:r w:rsidRPr="006A24D8">
              <w:rPr>
                <w:rFonts w:eastAsia="Times New Roman" w:cs="Calibri"/>
                <w:lang w:val="en-AU" w:eastAsia="en-AU"/>
              </w:rPr>
              <w:t xml:space="preserve">   </w:t>
            </w:r>
          </w:p>
          <w:p w14:paraId="7EC47396" w14:textId="77777777" w:rsidR="00F01AA5" w:rsidRPr="006A24D8" w:rsidRDefault="00F01AA5" w:rsidP="002C3FC5">
            <w:pPr>
              <w:pStyle w:val="ColorfulList-Accent12"/>
              <w:ind w:left="0" w:right="576"/>
              <w:rPr>
                <w:rFonts w:eastAsia="Times New Roman" w:cs="Calibri"/>
                <w:i/>
                <w:iCs/>
                <w:lang w:val="en-AU" w:eastAsia="en-AU"/>
              </w:rPr>
            </w:pPr>
            <w:r w:rsidRPr="006A24D8">
              <w:rPr>
                <w:rFonts w:eastAsia="Times New Roman" w:cs="Calibri"/>
                <w:i/>
                <w:iCs/>
                <w:lang w:val="en-AU" w:eastAsia="en-AU"/>
              </w:rPr>
              <w:t>Aboriginal and Torres Strait Islander people should be aware that this document may contain images or names of people who have since passed away.</w:t>
            </w:r>
          </w:p>
        </w:tc>
      </w:tr>
    </w:tbl>
    <w:p w14:paraId="16E4F717" w14:textId="77777777" w:rsidR="00F01AA5" w:rsidRPr="00B918A5" w:rsidRDefault="00F01AA5" w:rsidP="00F01AA5">
      <w:pPr>
        <w:pStyle w:val="ColorfulList-Accent11"/>
        <w:ind w:left="576" w:right="576"/>
        <w:rPr>
          <w:rFonts w:cs="Calibri"/>
          <w:b/>
          <w:spacing w:val="-4"/>
          <w:lang w:val="en-AU"/>
        </w:rPr>
      </w:pPr>
    </w:p>
    <w:p w14:paraId="68E7E6E6" w14:textId="77777777" w:rsidR="00387E8D" w:rsidRPr="00B918A5" w:rsidRDefault="00387E8D">
      <w:pPr>
        <w:rPr>
          <w:rFonts w:cs="Calibri"/>
          <w:b/>
          <w:spacing w:val="-4"/>
          <w:lang w:val="en-AU"/>
        </w:rPr>
      </w:pPr>
      <w:r w:rsidRPr="00B918A5">
        <w:rPr>
          <w:rFonts w:cs="Calibri"/>
          <w:b/>
          <w:spacing w:val="-4"/>
          <w:lang w:val="en-AU"/>
        </w:rPr>
        <w:br w:type="page"/>
      </w:r>
    </w:p>
    <w:p w14:paraId="2391F294" w14:textId="77777777" w:rsidR="00D77F3E" w:rsidRPr="00B918A5" w:rsidRDefault="00387E8D" w:rsidP="00387E8D">
      <w:pPr>
        <w:jc w:val="both"/>
        <w:rPr>
          <w:rFonts w:cs="Calibri"/>
          <w:b/>
          <w:spacing w:val="-4"/>
          <w:sz w:val="32"/>
          <w:szCs w:val="32"/>
          <w:lang w:val="en-AU"/>
        </w:rPr>
      </w:pPr>
      <w:r w:rsidRPr="00B918A5">
        <w:rPr>
          <w:rFonts w:cs="Calibri"/>
          <w:b/>
          <w:spacing w:val="-4"/>
          <w:sz w:val="32"/>
          <w:szCs w:val="32"/>
          <w:lang w:val="en-AU"/>
        </w:rPr>
        <w:lastRenderedPageBreak/>
        <w:t>Contents</w:t>
      </w:r>
    </w:p>
    <w:sdt>
      <w:sdtPr>
        <w:rPr>
          <w:b w:val="0"/>
          <w:sz w:val="22"/>
          <w:lang w:val="en-AU"/>
        </w:rPr>
        <w:id w:val="-1180276524"/>
        <w:docPartObj>
          <w:docPartGallery w:val="Table of Contents"/>
          <w:docPartUnique/>
        </w:docPartObj>
      </w:sdtPr>
      <w:sdtEndPr>
        <w:rPr>
          <w:bCs/>
          <w:noProof/>
        </w:rPr>
      </w:sdtEndPr>
      <w:sdtContent>
        <w:p w14:paraId="3113D642" w14:textId="77777777" w:rsidR="00EF2F0D" w:rsidRPr="00B918A5" w:rsidRDefault="00EF2F0D">
          <w:pPr>
            <w:pStyle w:val="TOCHeading"/>
            <w:rPr>
              <w:lang w:val="en-AU"/>
            </w:rPr>
          </w:pPr>
          <w:r w:rsidRPr="00B918A5">
            <w:rPr>
              <w:lang w:val="en-AU"/>
            </w:rPr>
            <w:t>Table of Contents</w:t>
          </w:r>
        </w:p>
        <w:p w14:paraId="2F852AC4" w14:textId="77777777" w:rsidR="00255650" w:rsidRDefault="00FC56BE">
          <w:pPr>
            <w:pStyle w:val="TOC1"/>
            <w:rPr>
              <w:rFonts w:asciiTheme="minorHAnsi" w:eastAsiaTheme="minorEastAsia" w:hAnsiTheme="minorHAnsi" w:cstheme="minorBidi"/>
              <w:b w:val="0"/>
              <w:noProof/>
              <w:lang w:val="en-AU" w:eastAsia="en-AU"/>
            </w:rPr>
          </w:pPr>
          <w:r w:rsidRPr="00B918A5">
            <w:rPr>
              <w:lang w:val="en-AU"/>
            </w:rPr>
            <w:fldChar w:fldCharType="begin"/>
          </w:r>
          <w:r w:rsidR="00EF2F0D" w:rsidRPr="00B918A5">
            <w:rPr>
              <w:lang w:val="en-AU"/>
            </w:rPr>
            <w:instrText xml:space="preserve"> TOC \o "1-3" \h \z \u </w:instrText>
          </w:r>
          <w:r w:rsidRPr="00B918A5">
            <w:rPr>
              <w:lang w:val="en-AU"/>
            </w:rPr>
            <w:fldChar w:fldCharType="separate"/>
          </w:r>
          <w:hyperlink w:anchor="_Toc409788705" w:history="1">
            <w:r w:rsidR="00255650" w:rsidRPr="00180905">
              <w:rPr>
                <w:rStyle w:val="Hyperlink"/>
                <w:noProof/>
                <w:lang w:val="en-AU"/>
              </w:rPr>
              <w:t>Executive summary</w:t>
            </w:r>
            <w:r w:rsidR="00255650">
              <w:rPr>
                <w:noProof/>
                <w:webHidden/>
              </w:rPr>
              <w:tab/>
            </w:r>
            <w:r w:rsidR="00255650">
              <w:rPr>
                <w:noProof/>
                <w:webHidden/>
              </w:rPr>
              <w:fldChar w:fldCharType="begin"/>
            </w:r>
            <w:r w:rsidR="00255650">
              <w:rPr>
                <w:noProof/>
                <w:webHidden/>
              </w:rPr>
              <w:instrText xml:space="preserve"> PAGEREF _Toc409788705 \h </w:instrText>
            </w:r>
            <w:r w:rsidR="00255650">
              <w:rPr>
                <w:noProof/>
                <w:webHidden/>
              </w:rPr>
            </w:r>
            <w:r w:rsidR="00255650">
              <w:rPr>
                <w:noProof/>
                <w:webHidden/>
              </w:rPr>
              <w:fldChar w:fldCharType="separate"/>
            </w:r>
            <w:r w:rsidR="001D76F4">
              <w:rPr>
                <w:noProof/>
                <w:webHidden/>
              </w:rPr>
              <w:t>4</w:t>
            </w:r>
            <w:r w:rsidR="00255650">
              <w:rPr>
                <w:noProof/>
                <w:webHidden/>
              </w:rPr>
              <w:fldChar w:fldCharType="end"/>
            </w:r>
          </w:hyperlink>
        </w:p>
        <w:p w14:paraId="22C6605F" w14:textId="77777777" w:rsidR="00255650" w:rsidRDefault="000B6D6F">
          <w:pPr>
            <w:pStyle w:val="TOC1"/>
            <w:rPr>
              <w:rFonts w:asciiTheme="minorHAnsi" w:eastAsiaTheme="minorEastAsia" w:hAnsiTheme="minorHAnsi" w:cstheme="minorBidi"/>
              <w:b w:val="0"/>
              <w:noProof/>
              <w:lang w:val="en-AU" w:eastAsia="en-AU"/>
            </w:rPr>
          </w:pPr>
          <w:hyperlink w:anchor="_Toc409788706" w:history="1">
            <w:r w:rsidR="00255650" w:rsidRPr="00180905">
              <w:rPr>
                <w:rStyle w:val="Hyperlink"/>
                <w:noProof/>
                <w:lang w:val="en-AU"/>
              </w:rPr>
              <w:t>Introduction</w:t>
            </w:r>
            <w:r w:rsidR="00255650">
              <w:rPr>
                <w:noProof/>
                <w:webHidden/>
              </w:rPr>
              <w:tab/>
            </w:r>
            <w:r w:rsidR="00255650">
              <w:rPr>
                <w:noProof/>
                <w:webHidden/>
              </w:rPr>
              <w:fldChar w:fldCharType="begin"/>
            </w:r>
            <w:r w:rsidR="00255650">
              <w:rPr>
                <w:noProof/>
                <w:webHidden/>
              </w:rPr>
              <w:instrText xml:space="preserve"> PAGEREF _Toc409788706 \h </w:instrText>
            </w:r>
            <w:r w:rsidR="00255650">
              <w:rPr>
                <w:noProof/>
                <w:webHidden/>
              </w:rPr>
            </w:r>
            <w:r w:rsidR="00255650">
              <w:rPr>
                <w:noProof/>
                <w:webHidden/>
              </w:rPr>
              <w:fldChar w:fldCharType="separate"/>
            </w:r>
            <w:r w:rsidR="001D76F4">
              <w:rPr>
                <w:noProof/>
                <w:webHidden/>
              </w:rPr>
              <w:t>7</w:t>
            </w:r>
            <w:r w:rsidR="00255650">
              <w:rPr>
                <w:noProof/>
                <w:webHidden/>
              </w:rPr>
              <w:fldChar w:fldCharType="end"/>
            </w:r>
          </w:hyperlink>
        </w:p>
        <w:p w14:paraId="2F6BD4B6" w14:textId="77777777" w:rsidR="00255650" w:rsidRDefault="000B6D6F">
          <w:pPr>
            <w:pStyle w:val="TOC1"/>
            <w:rPr>
              <w:rFonts w:asciiTheme="minorHAnsi" w:eastAsiaTheme="minorEastAsia" w:hAnsiTheme="minorHAnsi" w:cstheme="minorBidi"/>
              <w:b w:val="0"/>
              <w:noProof/>
              <w:lang w:val="en-AU" w:eastAsia="en-AU"/>
            </w:rPr>
          </w:pPr>
          <w:hyperlink w:anchor="_Toc409788707" w:history="1">
            <w:r w:rsidR="00255650" w:rsidRPr="00180905">
              <w:rPr>
                <w:rStyle w:val="Hyperlink"/>
                <w:noProof/>
                <w:lang w:val="en-AU"/>
              </w:rPr>
              <w:t>The Close the Gap Statement of Intent</w:t>
            </w:r>
            <w:r w:rsidR="00255650">
              <w:rPr>
                <w:noProof/>
                <w:webHidden/>
              </w:rPr>
              <w:tab/>
            </w:r>
            <w:r w:rsidR="00255650">
              <w:rPr>
                <w:noProof/>
                <w:webHidden/>
              </w:rPr>
              <w:fldChar w:fldCharType="begin"/>
            </w:r>
            <w:r w:rsidR="00255650">
              <w:rPr>
                <w:noProof/>
                <w:webHidden/>
              </w:rPr>
              <w:instrText xml:space="preserve"> PAGEREF _Toc409788707 \h </w:instrText>
            </w:r>
            <w:r w:rsidR="00255650">
              <w:rPr>
                <w:noProof/>
                <w:webHidden/>
              </w:rPr>
            </w:r>
            <w:r w:rsidR="00255650">
              <w:rPr>
                <w:noProof/>
                <w:webHidden/>
              </w:rPr>
              <w:fldChar w:fldCharType="separate"/>
            </w:r>
            <w:r w:rsidR="001D76F4">
              <w:rPr>
                <w:noProof/>
                <w:webHidden/>
              </w:rPr>
              <w:t>8</w:t>
            </w:r>
            <w:r w:rsidR="00255650">
              <w:rPr>
                <w:noProof/>
                <w:webHidden/>
              </w:rPr>
              <w:fldChar w:fldCharType="end"/>
            </w:r>
          </w:hyperlink>
        </w:p>
        <w:p w14:paraId="56CC066F" w14:textId="77777777" w:rsidR="00255650" w:rsidRDefault="000B6D6F">
          <w:pPr>
            <w:pStyle w:val="TOC1"/>
            <w:rPr>
              <w:rFonts w:asciiTheme="minorHAnsi" w:eastAsiaTheme="minorEastAsia" w:hAnsiTheme="minorHAnsi" w:cstheme="minorBidi"/>
              <w:b w:val="0"/>
              <w:noProof/>
              <w:lang w:val="en-AU" w:eastAsia="en-AU"/>
            </w:rPr>
          </w:pPr>
          <w:hyperlink w:anchor="_Toc409788708" w:history="1">
            <w:r w:rsidR="00255650" w:rsidRPr="00180905">
              <w:rPr>
                <w:rStyle w:val="Hyperlink"/>
                <w:noProof/>
                <w:lang w:val="en-AU"/>
              </w:rPr>
              <w:t>1</w:t>
            </w:r>
            <w:r w:rsidR="00255650">
              <w:rPr>
                <w:rFonts w:asciiTheme="minorHAnsi" w:eastAsiaTheme="minorEastAsia" w:hAnsiTheme="minorHAnsi" w:cstheme="minorBidi"/>
                <w:b w:val="0"/>
                <w:noProof/>
                <w:lang w:val="en-AU" w:eastAsia="en-AU"/>
              </w:rPr>
              <w:tab/>
            </w:r>
            <w:r w:rsidR="00255650" w:rsidRPr="00180905">
              <w:rPr>
                <w:rStyle w:val="Hyperlink"/>
                <w:noProof/>
                <w:lang w:val="en-AU"/>
              </w:rPr>
              <w:t>Progress in the national effort to close the gap – health outcomes</w:t>
            </w:r>
            <w:r w:rsidR="00255650">
              <w:rPr>
                <w:noProof/>
                <w:webHidden/>
              </w:rPr>
              <w:tab/>
            </w:r>
            <w:r w:rsidR="00255650">
              <w:rPr>
                <w:noProof/>
                <w:webHidden/>
              </w:rPr>
              <w:fldChar w:fldCharType="begin"/>
            </w:r>
            <w:r w:rsidR="00255650">
              <w:rPr>
                <w:noProof/>
                <w:webHidden/>
              </w:rPr>
              <w:instrText xml:space="preserve"> PAGEREF _Toc409788708 \h </w:instrText>
            </w:r>
            <w:r w:rsidR="00255650">
              <w:rPr>
                <w:noProof/>
                <w:webHidden/>
              </w:rPr>
            </w:r>
            <w:r w:rsidR="00255650">
              <w:rPr>
                <w:noProof/>
                <w:webHidden/>
              </w:rPr>
              <w:fldChar w:fldCharType="separate"/>
            </w:r>
            <w:r w:rsidR="001D76F4">
              <w:rPr>
                <w:noProof/>
                <w:webHidden/>
              </w:rPr>
              <w:t>9</w:t>
            </w:r>
            <w:r w:rsidR="00255650">
              <w:rPr>
                <w:noProof/>
                <w:webHidden/>
              </w:rPr>
              <w:fldChar w:fldCharType="end"/>
            </w:r>
          </w:hyperlink>
        </w:p>
        <w:p w14:paraId="6C1FB2A1"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09" w:history="1">
            <w:r w:rsidR="00255650" w:rsidRPr="00180905">
              <w:rPr>
                <w:rStyle w:val="Hyperlink"/>
                <w:noProof/>
                <w:lang w:val="en-AU"/>
              </w:rPr>
              <w:t>1.1</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Progress towards achieving the life expectancy target</w:t>
            </w:r>
            <w:r w:rsidR="00255650">
              <w:rPr>
                <w:noProof/>
                <w:webHidden/>
              </w:rPr>
              <w:tab/>
            </w:r>
            <w:r w:rsidR="00255650">
              <w:rPr>
                <w:noProof/>
                <w:webHidden/>
              </w:rPr>
              <w:fldChar w:fldCharType="begin"/>
            </w:r>
            <w:r w:rsidR="00255650">
              <w:rPr>
                <w:noProof/>
                <w:webHidden/>
              </w:rPr>
              <w:instrText xml:space="preserve"> PAGEREF _Toc409788709 \h </w:instrText>
            </w:r>
            <w:r w:rsidR="00255650">
              <w:rPr>
                <w:noProof/>
                <w:webHidden/>
              </w:rPr>
            </w:r>
            <w:r w:rsidR="00255650">
              <w:rPr>
                <w:noProof/>
                <w:webHidden/>
              </w:rPr>
              <w:fldChar w:fldCharType="separate"/>
            </w:r>
            <w:r w:rsidR="001D76F4">
              <w:rPr>
                <w:noProof/>
                <w:webHidden/>
              </w:rPr>
              <w:t>9</w:t>
            </w:r>
            <w:r w:rsidR="00255650">
              <w:rPr>
                <w:noProof/>
                <w:webHidden/>
              </w:rPr>
              <w:fldChar w:fldCharType="end"/>
            </w:r>
          </w:hyperlink>
        </w:p>
        <w:p w14:paraId="1714B052"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10" w:history="1">
            <w:r w:rsidR="00255650" w:rsidRPr="00180905">
              <w:rPr>
                <w:rStyle w:val="Hyperlink"/>
                <w:rFonts w:ascii="Arial" w:hAnsi="Arial"/>
                <w:lang w:val="en-AU"/>
              </w:rPr>
              <w:t>(a)</w:t>
            </w:r>
            <w:r w:rsidR="00255650">
              <w:rPr>
                <w:rFonts w:asciiTheme="minorHAnsi" w:eastAsiaTheme="minorEastAsia" w:hAnsiTheme="minorHAnsi" w:cstheme="minorBidi"/>
                <w:i w:val="0"/>
                <w:lang w:val="en-AU" w:eastAsia="en-AU"/>
              </w:rPr>
              <w:tab/>
            </w:r>
            <w:r w:rsidR="00255650" w:rsidRPr="00180905">
              <w:rPr>
                <w:rStyle w:val="Hyperlink"/>
                <w:lang w:val="en-AU"/>
              </w:rPr>
              <w:t>Absolute gains</w:t>
            </w:r>
            <w:r w:rsidR="00255650">
              <w:rPr>
                <w:webHidden/>
              </w:rPr>
              <w:tab/>
            </w:r>
            <w:r w:rsidR="00255650">
              <w:rPr>
                <w:webHidden/>
              </w:rPr>
              <w:fldChar w:fldCharType="begin"/>
            </w:r>
            <w:r w:rsidR="00255650">
              <w:rPr>
                <w:webHidden/>
              </w:rPr>
              <w:instrText xml:space="preserve"> PAGEREF _Toc409788710 \h </w:instrText>
            </w:r>
            <w:r w:rsidR="00255650">
              <w:rPr>
                <w:webHidden/>
              </w:rPr>
            </w:r>
            <w:r w:rsidR="00255650">
              <w:rPr>
                <w:webHidden/>
              </w:rPr>
              <w:fldChar w:fldCharType="separate"/>
            </w:r>
            <w:r w:rsidR="001D76F4">
              <w:rPr>
                <w:webHidden/>
              </w:rPr>
              <w:t>9</w:t>
            </w:r>
            <w:r w:rsidR="00255650">
              <w:rPr>
                <w:webHidden/>
              </w:rPr>
              <w:fldChar w:fldCharType="end"/>
            </w:r>
          </w:hyperlink>
        </w:p>
        <w:p w14:paraId="0FBCE793"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11" w:history="1">
            <w:r w:rsidR="00255650" w:rsidRPr="00180905">
              <w:rPr>
                <w:rStyle w:val="Hyperlink"/>
                <w:rFonts w:ascii="Arial" w:hAnsi="Arial"/>
                <w:lang w:val="en-AU"/>
              </w:rPr>
              <w:t>(b)</w:t>
            </w:r>
            <w:r w:rsidR="00255650">
              <w:rPr>
                <w:rFonts w:asciiTheme="minorHAnsi" w:eastAsiaTheme="minorEastAsia" w:hAnsiTheme="minorHAnsi" w:cstheme="minorBidi"/>
                <w:i w:val="0"/>
                <w:lang w:val="en-AU" w:eastAsia="en-AU"/>
              </w:rPr>
              <w:tab/>
            </w:r>
            <w:r w:rsidR="00255650" w:rsidRPr="00180905">
              <w:rPr>
                <w:rStyle w:val="Hyperlink"/>
                <w:lang w:val="en-AU"/>
              </w:rPr>
              <w:t>Relative gains</w:t>
            </w:r>
            <w:r w:rsidR="00255650">
              <w:rPr>
                <w:webHidden/>
              </w:rPr>
              <w:tab/>
            </w:r>
            <w:r w:rsidR="00255650">
              <w:rPr>
                <w:webHidden/>
              </w:rPr>
              <w:fldChar w:fldCharType="begin"/>
            </w:r>
            <w:r w:rsidR="00255650">
              <w:rPr>
                <w:webHidden/>
              </w:rPr>
              <w:instrText xml:space="preserve"> PAGEREF _Toc409788711 \h </w:instrText>
            </w:r>
            <w:r w:rsidR="00255650">
              <w:rPr>
                <w:webHidden/>
              </w:rPr>
            </w:r>
            <w:r w:rsidR="00255650">
              <w:rPr>
                <w:webHidden/>
              </w:rPr>
              <w:fldChar w:fldCharType="separate"/>
            </w:r>
            <w:r w:rsidR="001D76F4">
              <w:rPr>
                <w:webHidden/>
              </w:rPr>
              <w:t>10</w:t>
            </w:r>
            <w:r w:rsidR="00255650">
              <w:rPr>
                <w:webHidden/>
              </w:rPr>
              <w:fldChar w:fldCharType="end"/>
            </w:r>
          </w:hyperlink>
        </w:p>
        <w:p w14:paraId="5D0CA534"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12" w:history="1">
            <w:r w:rsidR="00255650" w:rsidRPr="00180905">
              <w:rPr>
                <w:rStyle w:val="Hyperlink"/>
                <w:rFonts w:ascii="Arial" w:hAnsi="Arial"/>
                <w:lang w:val="en-AU"/>
              </w:rPr>
              <w:t>(c)</w:t>
            </w:r>
            <w:r w:rsidR="00255650">
              <w:rPr>
                <w:rFonts w:asciiTheme="minorHAnsi" w:eastAsiaTheme="minorEastAsia" w:hAnsiTheme="minorHAnsi" w:cstheme="minorBidi"/>
                <w:i w:val="0"/>
                <w:lang w:val="en-AU" w:eastAsia="en-AU"/>
              </w:rPr>
              <w:tab/>
            </w:r>
            <w:r w:rsidR="00255650" w:rsidRPr="00180905">
              <w:rPr>
                <w:rStyle w:val="Hyperlink"/>
                <w:lang w:val="en-AU"/>
              </w:rPr>
              <w:t>Being realistic about big picture change</w:t>
            </w:r>
            <w:r w:rsidR="00255650">
              <w:rPr>
                <w:webHidden/>
              </w:rPr>
              <w:tab/>
            </w:r>
            <w:r w:rsidR="00255650">
              <w:rPr>
                <w:webHidden/>
              </w:rPr>
              <w:fldChar w:fldCharType="begin"/>
            </w:r>
            <w:r w:rsidR="00255650">
              <w:rPr>
                <w:webHidden/>
              </w:rPr>
              <w:instrText xml:space="preserve"> PAGEREF _Toc409788712 \h </w:instrText>
            </w:r>
            <w:r w:rsidR="00255650">
              <w:rPr>
                <w:webHidden/>
              </w:rPr>
            </w:r>
            <w:r w:rsidR="00255650">
              <w:rPr>
                <w:webHidden/>
              </w:rPr>
              <w:fldChar w:fldCharType="separate"/>
            </w:r>
            <w:r w:rsidR="001D76F4">
              <w:rPr>
                <w:webHidden/>
              </w:rPr>
              <w:t>10</w:t>
            </w:r>
            <w:r w:rsidR="00255650">
              <w:rPr>
                <w:webHidden/>
              </w:rPr>
              <w:fldChar w:fldCharType="end"/>
            </w:r>
          </w:hyperlink>
        </w:p>
        <w:p w14:paraId="492A9B93"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13" w:history="1">
            <w:r w:rsidR="00255650" w:rsidRPr="00180905">
              <w:rPr>
                <w:rStyle w:val="Hyperlink"/>
                <w:noProof/>
                <w:lang w:val="en-AU"/>
              </w:rPr>
              <w:t>1.2</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New insights into chronic disease and the high rates of undetected and untreated conditions</w:t>
            </w:r>
            <w:r w:rsidR="00255650">
              <w:rPr>
                <w:noProof/>
                <w:webHidden/>
              </w:rPr>
              <w:tab/>
            </w:r>
            <w:r w:rsidR="00255650">
              <w:rPr>
                <w:noProof/>
                <w:webHidden/>
              </w:rPr>
              <w:fldChar w:fldCharType="begin"/>
            </w:r>
            <w:r w:rsidR="00255650">
              <w:rPr>
                <w:noProof/>
                <w:webHidden/>
              </w:rPr>
              <w:instrText xml:space="preserve"> PAGEREF _Toc409788713 \h </w:instrText>
            </w:r>
            <w:r w:rsidR="00255650">
              <w:rPr>
                <w:noProof/>
                <w:webHidden/>
              </w:rPr>
            </w:r>
            <w:r w:rsidR="00255650">
              <w:rPr>
                <w:noProof/>
                <w:webHidden/>
              </w:rPr>
              <w:fldChar w:fldCharType="separate"/>
            </w:r>
            <w:r w:rsidR="001D76F4">
              <w:rPr>
                <w:noProof/>
                <w:webHidden/>
              </w:rPr>
              <w:t>11</w:t>
            </w:r>
            <w:r w:rsidR="00255650">
              <w:rPr>
                <w:noProof/>
                <w:webHidden/>
              </w:rPr>
              <w:fldChar w:fldCharType="end"/>
            </w:r>
          </w:hyperlink>
        </w:p>
        <w:p w14:paraId="029F2E86"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14" w:history="1">
            <w:r w:rsidR="00255650" w:rsidRPr="00180905">
              <w:rPr>
                <w:rStyle w:val="Hyperlink"/>
                <w:rFonts w:ascii="Arial" w:hAnsi="Arial"/>
                <w:lang w:val="en-AU"/>
              </w:rPr>
              <w:t>(a)</w:t>
            </w:r>
            <w:r w:rsidR="00255650">
              <w:rPr>
                <w:rFonts w:asciiTheme="minorHAnsi" w:eastAsiaTheme="minorEastAsia" w:hAnsiTheme="minorHAnsi" w:cstheme="minorBidi"/>
                <w:i w:val="0"/>
                <w:lang w:val="en-AU" w:eastAsia="en-AU"/>
              </w:rPr>
              <w:tab/>
            </w:r>
            <w:r w:rsidR="00255650" w:rsidRPr="00180905">
              <w:rPr>
                <w:rStyle w:val="Hyperlink"/>
                <w:lang w:val="en-AU"/>
              </w:rPr>
              <w:t>High levels of treatable and preventable conditions</w:t>
            </w:r>
            <w:r w:rsidR="00255650">
              <w:rPr>
                <w:webHidden/>
              </w:rPr>
              <w:tab/>
            </w:r>
            <w:r w:rsidR="00255650">
              <w:rPr>
                <w:webHidden/>
              </w:rPr>
              <w:fldChar w:fldCharType="begin"/>
            </w:r>
            <w:r w:rsidR="00255650">
              <w:rPr>
                <w:webHidden/>
              </w:rPr>
              <w:instrText xml:space="preserve"> PAGEREF _Toc409788714 \h </w:instrText>
            </w:r>
            <w:r w:rsidR="00255650">
              <w:rPr>
                <w:webHidden/>
              </w:rPr>
            </w:r>
            <w:r w:rsidR="00255650">
              <w:rPr>
                <w:webHidden/>
              </w:rPr>
              <w:fldChar w:fldCharType="separate"/>
            </w:r>
            <w:r w:rsidR="001D76F4">
              <w:rPr>
                <w:webHidden/>
              </w:rPr>
              <w:t>11</w:t>
            </w:r>
            <w:r w:rsidR="00255650">
              <w:rPr>
                <w:webHidden/>
              </w:rPr>
              <w:fldChar w:fldCharType="end"/>
            </w:r>
          </w:hyperlink>
        </w:p>
        <w:p w14:paraId="2FC86F2C"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15" w:history="1">
            <w:r w:rsidR="00255650" w:rsidRPr="00180905">
              <w:rPr>
                <w:rStyle w:val="Hyperlink"/>
                <w:rFonts w:ascii="Arial" w:hAnsi="Arial"/>
                <w:lang w:val="en-AU"/>
              </w:rPr>
              <w:t>(b)</w:t>
            </w:r>
            <w:r w:rsidR="00255650">
              <w:rPr>
                <w:rFonts w:asciiTheme="minorHAnsi" w:eastAsiaTheme="minorEastAsia" w:hAnsiTheme="minorHAnsi" w:cstheme="minorBidi"/>
                <w:i w:val="0"/>
                <w:lang w:val="en-AU" w:eastAsia="en-AU"/>
              </w:rPr>
              <w:tab/>
            </w:r>
            <w:r w:rsidR="00255650" w:rsidRPr="00180905">
              <w:rPr>
                <w:rStyle w:val="Hyperlink"/>
                <w:lang w:val="en-AU"/>
              </w:rPr>
              <w:t>Compounding nature of chronic disease and high rates of comorbidities</w:t>
            </w:r>
            <w:r w:rsidR="00255650">
              <w:rPr>
                <w:webHidden/>
              </w:rPr>
              <w:tab/>
            </w:r>
            <w:r w:rsidR="00255650">
              <w:rPr>
                <w:webHidden/>
              </w:rPr>
              <w:fldChar w:fldCharType="begin"/>
            </w:r>
            <w:r w:rsidR="00255650">
              <w:rPr>
                <w:webHidden/>
              </w:rPr>
              <w:instrText xml:space="preserve"> PAGEREF _Toc409788715 \h </w:instrText>
            </w:r>
            <w:r w:rsidR="00255650">
              <w:rPr>
                <w:webHidden/>
              </w:rPr>
            </w:r>
            <w:r w:rsidR="00255650">
              <w:rPr>
                <w:webHidden/>
              </w:rPr>
              <w:fldChar w:fldCharType="separate"/>
            </w:r>
            <w:r w:rsidR="001D76F4">
              <w:rPr>
                <w:webHidden/>
              </w:rPr>
              <w:t>11</w:t>
            </w:r>
            <w:r w:rsidR="00255650">
              <w:rPr>
                <w:webHidden/>
              </w:rPr>
              <w:fldChar w:fldCharType="end"/>
            </w:r>
          </w:hyperlink>
        </w:p>
        <w:p w14:paraId="375DB012"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16" w:history="1">
            <w:r w:rsidR="00255650" w:rsidRPr="00180905">
              <w:rPr>
                <w:rStyle w:val="Hyperlink"/>
                <w:rFonts w:ascii="Arial" w:eastAsia="Times New Roman" w:hAnsi="Arial"/>
                <w:lang w:val="en-AU"/>
              </w:rPr>
              <w:t>(c)</w:t>
            </w:r>
            <w:r w:rsidR="00255650">
              <w:rPr>
                <w:rFonts w:asciiTheme="minorHAnsi" w:eastAsiaTheme="minorEastAsia" w:hAnsiTheme="minorHAnsi" w:cstheme="minorBidi"/>
                <w:i w:val="0"/>
                <w:lang w:val="en-AU" w:eastAsia="en-AU"/>
              </w:rPr>
              <w:tab/>
            </w:r>
            <w:r w:rsidR="00255650" w:rsidRPr="00180905">
              <w:rPr>
                <w:rStyle w:val="Hyperlink"/>
                <w:lang w:val="en-AU"/>
              </w:rPr>
              <w:t>High levels of chronic conditions at comparatively young ages</w:t>
            </w:r>
            <w:r w:rsidR="00255650">
              <w:rPr>
                <w:webHidden/>
              </w:rPr>
              <w:tab/>
            </w:r>
            <w:r w:rsidR="00255650">
              <w:rPr>
                <w:webHidden/>
              </w:rPr>
              <w:fldChar w:fldCharType="begin"/>
            </w:r>
            <w:r w:rsidR="00255650">
              <w:rPr>
                <w:webHidden/>
              </w:rPr>
              <w:instrText xml:space="preserve"> PAGEREF _Toc409788716 \h </w:instrText>
            </w:r>
            <w:r w:rsidR="00255650">
              <w:rPr>
                <w:webHidden/>
              </w:rPr>
            </w:r>
            <w:r w:rsidR="00255650">
              <w:rPr>
                <w:webHidden/>
              </w:rPr>
              <w:fldChar w:fldCharType="separate"/>
            </w:r>
            <w:r w:rsidR="001D76F4">
              <w:rPr>
                <w:webHidden/>
              </w:rPr>
              <w:t>12</w:t>
            </w:r>
            <w:r w:rsidR="00255650">
              <w:rPr>
                <w:webHidden/>
              </w:rPr>
              <w:fldChar w:fldCharType="end"/>
            </w:r>
          </w:hyperlink>
        </w:p>
        <w:p w14:paraId="20387F27"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17" w:history="1">
            <w:r w:rsidR="00255650" w:rsidRPr="00180905">
              <w:rPr>
                <w:rStyle w:val="Hyperlink"/>
                <w:rFonts w:ascii="Arial" w:hAnsi="Arial"/>
              </w:rPr>
              <w:t>(d)</w:t>
            </w:r>
            <w:r w:rsidR="00255650">
              <w:rPr>
                <w:rFonts w:asciiTheme="minorHAnsi" w:eastAsiaTheme="minorEastAsia" w:hAnsiTheme="minorHAnsi" w:cstheme="minorBidi"/>
                <w:i w:val="0"/>
                <w:lang w:val="en-AU" w:eastAsia="en-AU"/>
              </w:rPr>
              <w:tab/>
            </w:r>
            <w:r w:rsidR="00255650" w:rsidRPr="00180905">
              <w:rPr>
                <w:rStyle w:val="Hyperlink"/>
              </w:rPr>
              <w:t>High levels of undetected and untreated chronic conditions</w:t>
            </w:r>
            <w:r w:rsidR="00255650">
              <w:rPr>
                <w:webHidden/>
              </w:rPr>
              <w:tab/>
            </w:r>
            <w:r w:rsidR="00255650">
              <w:rPr>
                <w:webHidden/>
              </w:rPr>
              <w:fldChar w:fldCharType="begin"/>
            </w:r>
            <w:r w:rsidR="00255650">
              <w:rPr>
                <w:webHidden/>
              </w:rPr>
              <w:instrText xml:space="preserve"> PAGEREF _Toc409788717 \h </w:instrText>
            </w:r>
            <w:r w:rsidR="00255650">
              <w:rPr>
                <w:webHidden/>
              </w:rPr>
            </w:r>
            <w:r w:rsidR="00255650">
              <w:rPr>
                <w:webHidden/>
              </w:rPr>
              <w:fldChar w:fldCharType="separate"/>
            </w:r>
            <w:r w:rsidR="001D76F4">
              <w:rPr>
                <w:webHidden/>
              </w:rPr>
              <w:t>12</w:t>
            </w:r>
            <w:r w:rsidR="00255650">
              <w:rPr>
                <w:webHidden/>
              </w:rPr>
              <w:fldChar w:fldCharType="end"/>
            </w:r>
          </w:hyperlink>
        </w:p>
        <w:p w14:paraId="3272C220"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18" w:history="1">
            <w:r w:rsidR="00255650" w:rsidRPr="00180905">
              <w:rPr>
                <w:rStyle w:val="Hyperlink"/>
                <w:noProof/>
                <w:lang w:val="en-AU"/>
              </w:rPr>
              <w:t>1.3</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Risk factors for chronic disease</w:t>
            </w:r>
            <w:r w:rsidR="00255650">
              <w:rPr>
                <w:noProof/>
                <w:webHidden/>
              </w:rPr>
              <w:tab/>
            </w:r>
            <w:r w:rsidR="00255650">
              <w:rPr>
                <w:noProof/>
                <w:webHidden/>
              </w:rPr>
              <w:fldChar w:fldCharType="begin"/>
            </w:r>
            <w:r w:rsidR="00255650">
              <w:rPr>
                <w:noProof/>
                <w:webHidden/>
              </w:rPr>
              <w:instrText xml:space="preserve"> PAGEREF _Toc409788718 \h </w:instrText>
            </w:r>
            <w:r w:rsidR="00255650">
              <w:rPr>
                <w:noProof/>
                <w:webHidden/>
              </w:rPr>
            </w:r>
            <w:r w:rsidR="00255650">
              <w:rPr>
                <w:noProof/>
                <w:webHidden/>
              </w:rPr>
              <w:fldChar w:fldCharType="separate"/>
            </w:r>
            <w:r w:rsidR="001D76F4">
              <w:rPr>
                <w:noProof/>
                <w:webHidden/>
              </w:rPr>
              <w:t>13</w:t>
            </w:r>
            <w:r w:rsidR="00255650">
              <w:rPr>
                <w:noProof/>
                <w:webHidden/>
              </w:rPr>
              <w:fldChar w:fldCharType="end"/>
            </w:r>
          </w:hyperlink>
        </w:p>
        <w:p w14:paraId="778E1FFC"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19" w:history="1">
            <w:r w:rsidR="00255650" w:rsidRPr="00180905">
              <w:rPr>
                <w:rStyle w:val="Hyperlink"/>
                <w:rFonts w:ascii="Arial" w:hAnsi="Arial"/>
                <w:lang w:val="en-AU"/>
              </w:rPr>
              <w:t>(a)</w:t>
            </w:r>
            <w:r w:rsidR="00255650">
              <w:rPr>
                <w:rFonts w:asciiTheme="minorHAnsi" w:eastAsiaTheme="minorEastAsia" w:hAnsiTheme="minorHAnsi" w:cstheme="minorBidi"/>
                <w:i w:val="0"/>
                <w:lang w:val="en-AU" w:eastAsia="en-AU"/>
              </w:rPr>
              <w:tab/>
            </w:r>
            <w:r w:rsidR="00255650" w:rsidRPr="00180905">
              <w:rPr>
                <w:rStyle w:val="Hyperlink"/>
                <w:lang w:val="en-AU"/>
              </w:rPr>
              <w:t>Mental health problems</w:t>
            </w:r>
            <w:r w:rsidR="00255650">
              <w:rPr>
                <w:webHidden/>
              </w:rPr>
              <w:tab/>
            </w:r>
            <w:r w:rsidR="00255650">
              <w:rPr>
                <w:webHidden/>
              </w:rPr>
              <w:fldChar w:fldCharType="begin"/>
            </w:r>
            <w:r w:rsidR="00255650">
              <w:rPr>
                <w:webHidden/>
              </w:rPr>
              <w:instrText xml:space="preserve"> PAGEREF _Toc409788719 \h </w:instrText>
            </w:r>
            <w:r w:rsidR="00255650">
              <w:rPr>
                <w:webHidden/>
              </w:rPr>
            </w:r>
            <w:r w:rsidR="00255650">
              <w:rPr>
                <w:webHidden/>
              </w:rPr>
              <w:fldChar w:fldCharType="separate"/>
            </w:r>
            <w:r w:rsidR="001D76F4">
              <w:rPr>
                <w:webHidden/>
              </w:rPr>
              <w:t>13</w:t>
            </w:r>
            <w:r w:rsidR="00255650">
              <w:rPr>
                <w:webHidden/>
              </w:rPr>
              <w:fldChar w:fldCharType="end"/>
            </w:r>
          </w:hyperlink>
        </w:p>
        <w:p w14:paraId="226E0900"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20" w:history="1">
            <w:r w:rsidR="00255650" w:rsidRPr="00180905">
              <w:rPr>
                <w:rStyle w:val="Hyperlink"/>
                <w:rFonts w:ascii="Arial" w:hAnsi="Arial"/>
                <w:lang w:val="en-AU"/>
              </w:rPr>
              <w:t>(b)</w:t>
            </w:r>
            <w:r w:rsidR="00255650">
              <w:rPr>
                <w:rFonts w:asciiTheme="minorHAnsi" w:eastAsiaTheme="minorEastAsia" w:hAnsiTheme="minorHAnsi" w:cstheme="minorBidi"/>
                <w:i w:val="0"/>
                <w:lang w:val="en-AU" w:eastAsia="en-AU"/>
              </w:rPr>
              <w:tab/>
            </w:r>
            <w:r w:rsidR="00255650" w:rsidRPr="00180905">
              <w:rPr>
                <w:rStyle w:val="Hyperlink"/>
                <w:lang w:val="en-AU"/>
              </w:rPr>
              <w:t>Rates of current daily smokers</w:t>
            </w:r>
            <w:r w:rsidR="00255650">
              <w:rPr>
                <w:webHidden/>
              </w:rPr>
              <w:tab/>
            </w:r>
            <w:r w:rsidR="00255650">
              <w:rPr>
                <w:webHidden/>
              </w:rPr>
              <w:fldChar w:fldCharType="begin"/>
            </w:r>
            <w:r w:rsidR="00255650">
              <w:rPr>
                <w:webHidden/>
              </w:rPr>
              <w:instrText xml:space="preserve"> PAGEREF _Toc409788720 \h </w:instrText>
            </w:r>
            <w:r w:rsidR="00255650">
              <w:rPr>
                <w:webHidden/>
              </w:rPr>
            </w:r>
            <w:r w:rsidR="00255650">
              <w:rPr>
                <w:webHidden/>
              </w:rPr>
              <w:fldChar w:fldCharType="separate"/>
            </w:r>
            <w:r w:rsidR="001D76F4">
              <w:rPr>
                <w:webHidden/>
              </w:rPr>
              <w:t>13</w:t>
            </w:r>
            <w:r w:rsidR="00255650">
              <w:rPr>
                <w:webHidden/>
              </w:rPr>
              <w:fldChar w:fldCharType="end"/>
            </w:r>
          </w:hyperlink>
        </w:p>
        <w:p w14:paraId="725C019D"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21" w:history="1">
            <w:r w:rsidR="00255650" w:rsidRPr="00180905">
              <w:rPr>
                <w:rStyle w:val="Hyperlink"/>
                <w:rFonts w:ascii="Arial" w:hAnsi="Arial"/>
                <w:lang w:val="en-AU"/>
              </w:rPr>
              <w:t>(c)</w:t>
            </w:r>
            <w:r w:rsidR="00255650">
              <w:rPr>
                <w:rFonts w:asciiTheme="minorHAnsi" w:eastAsiaTheme="minorEastAsia" w:hAnsiTheme="minorHAnsi" w:cstheme="minorBidi"/>
                <w:i w:val="0"/>
                <w:lang w:val="en-AU" w:eastAsia="en-AU"/>
              </w:rPr>
              <w:tab/>
            </w:r>
            <w:r w:rsidR="00255650" w:rsidRPr="00180905">
              <w:rPr>
                <w:rStyle w:val="Hyperlink"/>
                <w:lang w:val="en-AU"/>
              </w:rPr>
              <w:t>Excess body weight and obesity</w:t>
            </w:r>
            <w:r w:rsidR="00255650">
              <w:rPr>
                <w:webHidden/>
              </w:rPr>
              <w:tab/>
            </w:r>
            <w:r w:rsidR="00255650">
              <w:rPr>
                <w:webHidden/>
              </w:rPr>
              <w:fldChar w:fldCharType="begin"/>
            </w:r>
            <w:r w:rsidR="00255650">
              <w:rPr>
                <w:webHidden/>
              </w:rPr>
              <w:instrText xml:space="preserve"> PAGEREF _Toc409788721 \h </w:instrText>
            </w:r>
            <w:r w:rsidR="00255650">
              <w:rPr>
                <w:webHidden/>
              </w:rPr>
            </w:r>
            <w:r w:rsidR="00255650">
              <w:rPr>
                <w:webHidden/>
              </w:rPr>
              <w:fldChar w:fldCharType="separate"/>
            </w:r>
            <w:r w:rsidR="001D76F4">
              <w:rPr>
                <w:webHidden/>
              </w:rPr>
              <w:t>14</w:t>
            </w:r>
            <w:r w:rsidR="00255650">
              <w:rPr>
                <w:webHidden/>
              </w:rPr>
              <w:fldChar w:fldCharType="end"/>
            </w:r>
          </w:hyperlink>
        </w:p>
        <w:p w14:paraId="4EB6E237"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22" w:history="1">
            <w:r w:rsidR="00255650" w:rsidRPr="00180905">
              <w:rPr>
                <w:rStyle w:val="Hyperlink"/>
                <w:rFonts w:ascii="Arial" w:hAnsi="Arial"/>
                <w:lang w:val="en-AU"/>
              </w:rPr>
              <w:t>(d)</w:t>
            </w:r>
            <w:r w:rsidR="00255650">
              <w:rPr>
                <w:rFonts w:asciiTheme="minorHAnsi" w:eastAsiaTheme="minorEastAsia" w:hAnsiTheme="minorHAnsi" w:cstheme="minorBidi"/>
                <w:i w:val="0"/>
                <w:lang w:val="en-AU" w:eastAsia="en-AU"/>
              </w:rPr>
              <w:tab/>
            </w:r>
            <w:r w:rsidR="00255650" w:rsidRPr="00180905">
              <w:rPr>
                <w:rStyle w:val="Hyperlink"/>
                <w:lang w:val="en-AU"/>
              </w:rPr>
              <w:t>Alcohol consumption and at-risk drinking</w:t>
            </w:r>
            <w:r w:rsidR="00255650">
              <w:rPr>
                <w:webHidden/>
              </w:rPr>
              <w:tab/>
            </w:r>
            <w:r w:rsidR="00255650">
              <w:rPr>
                <w:webHidden/>
              </w:rPr>
              <w:fldChar w:fldCharType="begin"/>
            </w:r>
            <w:r w:rsidR="00255650">
              <w:rPr>
                <w:webHidden/>
              </w:rPr>
              <w:instrText xml:space="preserve"> PAGEREF _Toc409788722 \h </w:instrText>
            </w:r>
            <w:r w:rsidR="00255650">
              <w:rPr>
                <w:webHidden/>
              </w:rPr>
            </w:r>
            <w:r w:rsidR="00255650">
              <w:rPr>
                <w:webHidden/>
              </w:rPr>
              <w:fldChar w:fldCharType="separate"/>
            </w:r>
            <w:r w:rsidR="001D76F4">
              <w:rPr>
                <w:webHidden/>
              </w:rPr>
              <w:t>15</w:t>
            </w:r>
            <w:r w:rsidR="00255650">
              <w:rPr>
                <w:webHidden/>
              </w:rPr>
              <w:fldChar w:fldCharType="end"/>
            </w:r>
          </w:hyperlink>
        </w:p>
        <w:p w14:paraId="59112D53"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23" w:history="1">
            <w:r w:rsidR="00255650" w:rsidRPr="00180905">
              <w:rPr>
                <w:rStyle w:val="Hyperlink"/>
                <w:noProof/>
                <w:lang w:val="en-AU"/>
              </w:rPr>
              <w:t>1.4</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Progress towards achieving the child (under-five) mortality target</w:t>
            </w:r>
            <w:r w:rsidR="00255650">
              <w:rPr>
                <w:noProof/>
                <w:webHidden/>
              </w:rPr>
              <w:tab/>
            </w:r>
            <w:r w:rsidR="00255650">
              <w:rPr>
                <w:noProof/>
                <w:webHidden/>
              </w:rPr>
              <w:fldChar w:fldCharType="begin"/>
            </w:r>
            <w:r w:rsidR="00255650">
              <w:rPr>
                <w:noProof/>
                <w:webHidden/>
              </w:rPr>
              <w:instrText xml:space="preserve"> PAGEREF _Toc409788723 \h </w:instrText>
            </w:r>
            <w:r w:rsidR="00255650">
              <w:rPr>
                <w:noProof/>
                <w:webHidden/>
              </w:rPr>
            </w:r>
            <w:r w:rsidR="00255650">
              <w:rPr>
                <w:noProof/>
                <w:webHidden/>
              </w:rPr>
              <w:fldChar w:fldCharType="separate"/>
            </w:r>
            <w:r w:rsidR="001D76F4">
              <w:rPr>
                <w:noProof/>
                <w:webHidden/>
              </w:rPr>
              <w:t>17</w:t>
            </w:r>
            <w:r w:rsidR="00255650">
              <w:rPr>
                <w:noProof/>
                <w:webHidden/>
              </w:rPr>
              <w:fldChar w:fldCharType="end"/>
            </w:r>
          </w:hyperlink>
        </w:p>
        <w:p w14:paraId="03049EB9"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24" w:history="1">
            <w:r w:rsidR="00255650" w:rsidRPr="00180905">
              <w:rPr>
                <w:rStyle w:val="Hyperlink"/>
                <w:rFonts w:ascii="Arial" w:hAnsi="Arial"/>
                <w:lang w:val="en-AU"/>
              </w:rPr>
              <w:t>(a)</w:t>
            </w:r>
            <w:r w:rsidR="00255650">
              <w:rPr>
                <w:rFonts w:asciiTheme="minorHAnsi" w:eastAsiaTheme="minorEastAsia" w:hAnsiTheme="minorHAnsi" w:cstheme="minorBidi"/>
                <w:i w:val="0"/>
                <w:lang w:val="en-AU" w:eastAsia="en-AU"/>
              </w:rPr>
              <w:tab/>
            </w:r>
            <w:r w:rsidR="00255650" w:rsidRPr="00180905">
              <w:rPr>
                <w:rStyle w:val="Hyperlink"/>
                <w:lang w:val="en-AU"/>
              </w:rPr>
              <w:t>Low birth weight babies</w:t>
            </w:r>
            <w:r w:rsidR="00255650">
              <w:rPr>
                <w:webHidden/>
              </w:rPr>
              <w:tab/>
            </w:r>
            <w:r w:rsidR="00255650">
              <w:rPr>
                <w:webHidden/>
              </w:rPr>
              <w:fldChar w:fldCharType="begin"/>
            </w:r>
            <w:r w:rsidR="00255650">
              <w:rPr>
                <w:webHidden/>
              </w:rPr>
              <w:instrText xml:space="preserve"> PAGEREF _Toc409788724 \h </w:instrText>
            </w:r>
            <w:r w:rsidR="00255650">
              <w:rPr>
                <w:webHidden/>
              </w:rPr>
            </w:r>
            <w:r w:rsidR="00255650">
              <w:rPr>
                <w:webHidden/>
              </w:rPr>
              <w:fldChar w:fldCharType="separate"/>
            </w:r>
            <w:r w:rsidR="001D76F4">
              <w:rPr>
                <w:webHidden/>
              </w:rPr>
              <w:t>18</w:t>
            </w:r>
            <w:r w:rsidR="00255650">
              <w:rPr>
                <w:webHidden/>
              </w:rPr>
              <w:fldChar w:fldCharType="end"/>
            </w:r>
          </w:hyperlink>
        </w:p>
        <w:p w14:paraId="6349E351" w14:textId="77777777" w:rsidR="00255650" w:rsidRDefault="000B6D6F">
          <w:pPr>
            <w:pStyle w:val="TOC1"/>
            <w:rPr>
              <w:rFonts w:asciiTheme="minorHAnsi" w:eastAsiaTheme="minorEastAsia" w:hAnsiTheme="minorHAnsi" w:cstheme="minorBidi"/>
              <w:b w:val="0"/>
              <w:noProof/>
              <w:lang w:val="en-AU" w:eastAsia="en-AU"/>
            </w:rPr>
          </w:pPr>
          <w:hyperlink w:anchor="_Toc409788725" w:history="1">
            <w:r w:rsidR="00255650" w:rsidRPr="00180905">
              <w:rPr>
                <w:rStyle w:val="Hyperlink"/>
                <w:noProof/>
                <w:lang w:val="en-AU"/>
              </w:rPr>
              <w:t>2</w:t>
            </w:r>
            <w:r w:rsidR="00255650">
              <w:rPr>
                <w:rFonts w:asciiTheme="minorHAnsi" w:eastAsiaTheme="minorEastAsia" w:hAnsiTheme="minorHAnsi" w:cstheme="minorBidi"/>
                <w:b w:val="0"/>
                <w:noProof/>
                <w:lang w:val="en-AU" w:eastAsia="en-AU"/>
              </w:rPr>
              <w:tab/>
            </w:r>
            <w:r w:rsidR="00255650" w:rsidRPr="00180905">
              <w:rPr>
                <w:rStyle w:val="Hyperlink"/>
                <w:noProof/>
                <w:lang w:val="en-AU"/>
              </w:rPr>
              <w:t>Developments in policy</w:t>
            </w:r>
            <w:r w:rsidR="00255650">
              <w:rPr>
                <w:noProof/>
                <w:webHidden/>
              </w:rPr>
              <w:tab/>
            </w:r>
            <w:r w:rsidR="00255650">
              <w:rPr>
                <w:noProof/>
                <w:webHidden/>
              </w:rPr>
              <w:fldChar w:fldCharType="begin"/>
            </w:r>
            <w:r w:rsidR="00255650">
              <w:rPr>
                <w:noProof/>
                <w:webHidden/>
              </w:rPr>
              <w:instrText xml:space="preserve"> PAGEREF _Toc409788725 \h </w:instrText>
            </w:r>
            <w:r w:rsidR="00255650">
              <w:rPr>
                <w:noProof/>
                <w:webHidden/>
              </w:rPr>
            </w:r>
            <w:r w:rsidR="00255650">
              <w:rPr>
                <w:noProof/>
                <w:webHidden/>
              </w:rPr>
              <w:fldChar w:fldCharType="separate"/>
            </w:r>
            <w:r w:rsidR="001D76F4">
              <w:rPr>
                <w:noProof/>
                <w:webHidden/>
              </w:rPr>
              <w:t>20</w:t>
            </w:r>
            <w:r w:rsidR="00255650">
              <w:rPr>
                <w:noProof/>
                <w:webHidden/>
              </w:rPr>
              <w:fldChar w:fldCharType="end"/>
            </w:r>
          </w:hyperlink>
        </w:p>
        <w:p w14:paraId="24A2788A"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26" w:history="1">
            <w:r w:rsidR="00255650" w:rsidRPr="00180905">
              <w:rPr>
                <w:rStyle w:val="Hyperlink"/>
                <w:noProof/>
                <w:lang w:val="en-AU"/>
              </w:rPr>
              <w:t>2.1</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Proposed changes in Commonwealth-State relations and their impact on the Closing the Gap Strategy</w:t>
            </w:r>
            <w:r w:rsidR="00255650">
              <w:rPr>
                <w:noProof/>
                <w:webHidden/>
              </w:rPr>
              <w:tab/>
            </w:r>
            <w:r w:rsidR="00255650">
              <w:rPr>
                <w:noProof/>
                <w:webHidden/>
              </w:rPr>
              <w:fldChar w:fldCharType="begin"/>
            </w:r>
            <w:r w:rsidR="00255650">
              <w:rPr>
                <w:noProof/>
                <w:webHidden/>
              </w:rPr>
              <w:instrText xml:space="preserve"> PAGEREF _Toc409788726 \h </w:instrText>
            </w:r>
            <w:r w:rsidR="00255650">
              <w:rPr>
                <w:noProof/>
                <w:webHidden/>
              </w:rPr>
            </w:r>
            <w:r w:rsidR="00255650">
              <w:rPr>
                <w:noProof/>
                <w:webHidden/>
              </w:rPr>
              <w:fldChar w:fldCharType="separate"/>
            </w:r>
            <w:r w:rsidR="001D76F4">
              <w:rPr>
                <w:noProof/>
                <w:webHidden/>
              </w:rPr>
              <w:t>20</w:t>
            </w:r>
            <w:r w:rsidR="00255650">
              <w:rPr>
                <w:noProof/>
                <w:webHidden/>
              </w:rPr>
              <w:fldChar w:fldCharType="end"/>
            </w:r>
          </w:hyperlink>
        </w:p>
        <w:p w14:paraId="07F71603"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27" w:history="1">
            <w:r w:rsidR="00255650" w:rsidRPr="00180905">
              <w:rPr>
                <w:rStyle w:val="Hyperlink"/>
                <w:rFonts w:ascii="Arial" w:hAnsi="Arial"/>
                <w:lang w:val="en-AU"/>
              </w:rPr>
              <w:t>(a)</w:t>
            </w:r>
            <w:r w:rsidR="00255650">
              <w:rPr>
                <w:rFonts w:asciiTheme="minorHAnsi" w:eastAsiaTheme="minorEastAsia" w:hAnsiTheme="minorHAnsi" w:cstheme="minorBidi"/>
                <w:i w:val="0"/>
                <w:lang w:val="en-AU" w:eastAsia="en-AU"/>
              </w:rPr>
              <w:tab/>
            </w:r>
            <w:r w:rsidR="00255650" w:rsidRPr="00180905">
              <w:rPr>
                <w:rStyle w:val="Hyperlink"/>
                <w:lang w:val="en-AU"/>
              </w:rPr>
              <w:t>Reforms to the federal system</w:t>
            </w:r>
            <w:r w:rsidR="00255650">
              <w:rPr>
                <w:webHidden/>
              </w:rPr>
              <w:tab/>
            </w:r>
            <w:r w:rsidR="00255650">
              <w:rPr>
                <w:webHidden/>
              </w:rPr>
              <w:fldChar w:fldCharType="begin"/>
            </w:r>
            <w:r w:rsidR="00255650">
              <w:rPr>
                <w:webHidden/>
              </w:rPr>
              <w:instrText xml:space="preserve"> PAGEREF _Toc409788727 \h </w:instrText>
            </w:r>
            <w:r w:rsidR="00255650">
              <w:rPr>
                <w:webHidden/>
              </w:rPr>
            </w:r>
            <w:r w:rsidR="00255650">
              <w:rPr>
                <w:webHidden/>
              </w:rPr>
              <w:fldChar w:fldCharType="separate"/>
            </w:r>
            <w:r w:rsidR="001D76F4">
              <w:rPr>
                <w:webHidden/>
              </w:rPr>
              <w:t>20</w:t>
            </w:r>
            <w:r w:rsidR="00255650">
              <w:rPr>
                <w:webHidden/>
              </w:rPr>
              <w:fldChar w:fldCharType="end"/>
            </w:r>
          </w:hyperlink>
        </w:p>
        <w:p w14:paraId="2D141655" w14:textId="77777777" w:rsidR="00255650" w:rsidRDefault="000B6D6F">
          <w:pPr>
            <w:pStyle w:val="TOC3"/>
            <w:tabs>
              <w:tab w:val="left" w:pos="1202"/>
              <w:tab w:val="right" w:leader="dot" w:pos="9060"/>
            </w:tabs>
            <w:rPr>
              <w:rFonts w:asciiTheme="minorHAnsi" w:eastAsiaTheme="minorEastAsia" w:hAnsiTheme="minorHAnsi" w:cstheme="minorBidi"/>
              <w:i w:val="0"/>
              <w:lang w:val="en-AU" w:eastAsia="en-AU"/>
            </w:rPr>
          </w:pPr>
          <w:hyperlink w:anchor="_Toc409788728" w:history="1">
            <w:r w:rsidR="00255650" w:rsidRPr="00180905">
              <w:rPr>
                <w:rStyle w:val="Hyperlink"/>
                <w:rFonts w:ascii="Arial" w:hAnsi="Arial"/>
                <w:lang w:val="en-AU"/>
              </w:rPr>
              <w:t>(b)</w:t>
            </w:r>
            <w:r w:rsidR="00255650">
              <w:rPr>
                <w:rFonts w:asciiTheme="minorHAnsi" w:eastAsiaTheme="minorEastAsia" w:hAnsiTheme="minorHAnsi" w:cstheme="minorBidi"/>
                <w:i w:val="0"/>
                <w:lang w:val="en-AU" w:eastAsia="en-AU"/>
              </w:rPr>
              <w:tab/>
            </w:r>
            <w:r w:rsidR="00255650" w:rsidRPr="00180905">
              <w:rPr>
                <w:rStyle w:val="Hyperlink"/>
                <w:lang w:val="en-AU"/>
              </w:rPr>
              <w:t>Continued national leadership of the Closing the Gap Strategy</w:t>
            </w:r>
            <w:r w:rsidR="00255650">
              <w:rPr>
                <w:webHidden/>
              </w:rPr>
              <w:tab/>
            </w:r>
            <w:r w:rsidR="00255650">
              <w:rPr>
                <w:webHidden/>
              </w:rPr>
              <w:fldChar w:fldCharType="begin"/>
            </w:r>
            <w:r w:rsidR="00255650">
              <w:rPr>
                <w:webHidden/>
              </w:rPr>
              <w:instrText xml:space="preserve"> PAGEREF _Toc409788728 \h </w:instrText>
            </w:r>
            <w:r w:rsidR="00255650">
              <w:rPr>
                <w:webHidden/>
              </w:rPr>
            </w:r>
            <w:r w:rsidR="00255650">
              <w:rPr>
                <w:webHidden/>
              </w:rPr>
              <w:fldChar w:fldCharType="separate"/>
            </w:r>
            <w:r w:rsidR="001D76F4">
              <w:rPr>
                <w:webHidden/>
              </w:rPr>
              <w:t>21</w:t>
            </w:r>
            <w:r w:rsidR="00255650">
              <w:rPr>
                <w:webHidden/>
              </w:rPr>
              <w:fldChar w:fldCharType="end"/>
            </w:r>
          </w:hyperlink>
        </w:p>
        <w:p w14:paraId="76A978EB"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29" w:history="1">
            <w:r w:rsidR="00255650" w:rsidRPr="00180905">
              <w:rPr>
                <w:rStyle w:val="Hyperlink"/>
                <w:noProof/>
                <w:lang w:val="en-AU"/>
              </w:rPr>
              <w:t>2.2</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The Indigenous Advancement Strategy and the Closing the Gap Strategy</w:t>
            </w:r>
            <w:r w:rsidR="00255650">
              <w:rPr>
                <w:noProof/>
                <w:webHidden/>
              </w:rPr>
              <w:tab/>
            </w:r>
            <w:r w:rsidR="00255650">
              <w:rPr>
                <w:noProof/>
                <w:webHidden/>
              </w:rPr>
              <w:fldChar w:fldCharType="begin"/>
            </w:r>
            <w:r w:rsidR="00255650">
              <w:rPr>
                <w:noProof/>
                <w:webHidden/>
              </w:rPr>
              <w:instrText xml:space="preserve"> PAGEREF _Toc409788729 \h </w:instrText>
            </w:r>
            <w:r w:rsidR="00255650">
              <w:rPr>
                <w:noProof/>
                <w:webHidden/>
              </w:rPr>
            </w:r>
            <w:r w:rsidR="00255650">
              <w:rPr>
                <w:noProof/>
                <w:webHidden/>
              </w:rPr>
              <w:fldChar w:fldCharType="separate"/>
            </w:r>
            <w:r w:rsidR="001D76F4">
              <w:rPr>
                <w:noProof/>
                <w:webHidden/>
              </w:rPr>
              <w:t>23</w:t>
            </w:r>
            <w:r w:rsidR="00255650">
              <w:rPr>
                <w:noProof/>
                <w:webHidden/>
              </w:rPr>
              <w:fldChar w:fldCharType="end"/>
            </w:r>
          </w:hyperlink>
        </w:p>
        <w:p w14:paraId="5E90B87E"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30" w:history="1">
            <w:r w:rsidR="00255650" w:rsidRPr="00180905">
              <w:rPr>
                <w:rStyle w:val="Hyperlink"/>
                <w:noProof/>
                <w:lang w:val="en-AU"/>
              </w:rPr>
              <w:t>2.3</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Potential negative impact of proposed Budget measures</w:t>
            </w:r>
            <w:r w:rsidR="00255650">
              <w:rPr>
                <w:noProof/>
                <w:webHidden/>
              </w:rPr>
              <w:tab/>
            </w:r>
            <w:r w:rsidR="00255650">
              <w:rPr>
                <w:noProof/>
                <w:webHidden/>
              </w:rPr>
              <w:fldChar w:fldCharType="begin"/>
            </w:r>
            <w:r w:rsidR="00255650">
              <w:rPr>
                <w:noProof/>
                <w:webHidden/>
              </w:rPr>
              <w:instrText xml:space="preserve"> PAGEREF _Toc409788730 \h </w:instrText>
            </w:r>
            <w:r w:rsidR="00255650">
              <w:rPr>
                <w:noProof/>
                <w:webHidden/>
              </w:rPr>
            </w:r>
            <w:r w:rsidR="00255650">
              <w:rPr>
                <w:noProof/>
                <w:webHidden/>
              </w:rPr>
              <w:fldChar w:fldCharType="separate"/>
            </w:r>
            <w:r w:rsidR="001D76F4">
              <w:rPr>
                <w:noProof/>
                <w:webHidden/>
              </w:rPr>
              <w:t>25</w:t>
            </w:r>
            <w:r w:rsidR="00255650">
              <w:rPr>
                <w:noProof/>
                <w:webHidden/>
              </w:rPr>
              <w:fldChar w:fldCharType="end"/>
            </w:r>
          </w:hyperlink>
        </w:p>
        <w:p w14:paraId="7102B3FB" w14:textId="77777777" w:rsidR="00255650" w:rsidRDefault="000B6D6F">
          <w:pPr>
            <w:pStyle w:val="TOC1"/>
            <w:rPr>
              <w:rFonts w:asciiTheme="minorHAnsi" w:eastAsiaTheme="minorEastAsia" w:hAnsiTheme="minorHAnsi" w:cstheme="minorBidi"/>
              <w:b w:val="0"/>
              <w:noProof/>
              <w:lang w:val="en-AU" w:eastAsia="en-AU"/>
            </w:rPr>
          </w:pPr>
          <w:hyperlink w:anchor="_Toc409788731" w:history="1">
            <w:r w:rsidR="00255650" w:rsidRPr="00180905">
              <w:rPr>
                <w:rStyle w:val="Hyperlink"/>
                <w:noProof/>
                <w:lang w:val="en-AU"/>
              </w:rPr>
              <w:t>3</w:t>
            </w:r>
            <w:r w:rsidR="00255650">
              <w:rPr>
                <w:rFonts w:asciiTheme="minorHAnsi" w:eastAsiaTheme="minorEastAsia" w:hAnsiTheme="minorHAnsi" w:cstheme="minorBidi"/>
                <w:b w:val="0"/>
                <w:noProof/>
                <w:lang w:val="en-AU" w:eastAsia="en-AU"/>
              </w:rPr>
              <w:tab/>
            </w:r>
            <w:r w:rsidR="00255650" w:rsidRPr="00180905">
              <w:rPr>
                <w:rStyle w:val="Hyperlink"/>
                <w:noProof/>
                <w:lang w:val="en-AU"/>
              </w:rPr>
              <w:t>Establishing effective pathways for positive change – an analysis by the Campaign Steering Committee</w:t>
            </w:r>
            <w:r w:rsidR="00255650">
              <w:rPr>
                <w:noProof/>
                <w:webHidden/>
              </w:rPr>
              <w:tab/>
            </w:r>
            <w:r w:rsidR="00255650">
              <w:rPr>
                <w:noProof/>
                <w:webHidden/>
              </w:rPr>
              <w:fldChar w:fldCharType="begin"/>
            </w:r>
            <w:r w:rsidR="00255650">
              <w:rPr>
                <w:noProof/>
                <w:webHidden/>
              </w:rPr>
              <w:instrText xml:space="preserve"> PAGEREF _Toc409788731 \h </w:instrText>
            </w:r>
            <w:r w:rsidR="00255650">
              <w:rPr>
                <w:noProof/>
                <w:webHidden/>
              </w:rPr>
            </w:r>
            <w:r w:rsidR="00255650">
              <w:rPr>
                <w:noProof/>
                <w:webHidden/>
              </w:rPr>
              <w:fldChar w:fldCharType="separate"/>
            </w:r>
            <w:r w:rsidR="001D76F4">
              <w:rPr>
                <w:noProof/>
                <w:webHidden/>
              </w:rPr>
              <w:t>28</w:t>
            </w:r>
            <w:r w:rsidR="00255650">
              <w:rPr>
                <w:noProof/>
                <w:webHidden/>
              </w:rPr>
              <w:fldChar w:fldCharType="end"/>
            </w:r>
          </w:hyperlink>
        </w:p>
        <w:p w14:paraId="0FBF87D7"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32" w:history="1">
            <w:r w:rsidR="00255650" w:rsidRPr="00180905">
              <w:rPr>
                <w:rStyle w:val="Hyperlink"/>
                <w:noProof/>
                <w:lang w:val="en-AU"/>
              </w:rPr>
              <w:t>3.1</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Staying to the path</w:t>
            </w:r>
            <w:r w:rsidR="00255650">
              <w:rPr>
                <w:noProof/>
                <w:webHidden/>
              </w:rPr>
              <w:tab/>
            </w:r>
            <w:r w:rsidR="00255650">
              <w:rPr>
                <w:noProof/>
                <w:webHidden/>
              </w:rPr>
              <w:fldChar w:fldCharType="begin"/>
            </w:r>
            <w:r w:rsidR="00255650">
              <w:rPr>
                <w:noProof/>
                <w:webHidden/>
              </w:rPr>
              <w:instrText xml:space="preserve"> PAGEREF _Toc409788732 \h </w:instrText>
            </w:r>
            <w:r w:rsidR="00255650">
              <w:rPr>
                <w:noProof/>
                <w:webHidden/>
              </w:rPr>
            </w:r>
            <w:r w:rsidR="00255650">
              <w:rPr>
                <w:noProof/>
                <w:webHidden/>
              </w:rPr>
              <w:fldChar w:fldCharType="separate"/>
            </w:r>
            <w:r w:rsidR="001D76F4">
              <w:rPr>
                <w:noProof/>
                <w:webHidden/>
              </w:rPr>
              <w:t>28</w:t>
            </w:r>
            <w:r w:rsidR="00255650">
              <w:rPr>
                <w:noProof/>
                <w:webHidden/>
              </w:rPr>
              <w:fldChar w:fldCharType="end"/>
            </w:r>
          </w:hyperlink>
        </w:p>
        <w:p w14:paraId="41CB0D0F"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33" w:history="1">
            <w:r w:rsidR="00255650" w:rsidRPr="00180905">
              <w:rPr>
                <w:rStyle w:val="Hyperlink"/>
                <w:noProof/>
                <w:lang w:val="en-AU"/>
              </w:rPr>
              <w:t>3.2</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The role of culture</w:t>
            </w:r>
            <w:r w:rsidR="00255650">
              <w:rPr>
                <w:noProof/>
                <w:webHidden/>
              </w:rPr>
              <w:tab/>
            </w:r>
            <w:r w:rsidR="00255650">
              <w:rPr>
                <w:noProof/>
                <w:webHidden/>
              </w:rPr>
              <w:fldChar w:fldCharType="begin"/>
            </w:r>
            <w:r w:rsidR="00255650">
              <w:rPr>
                <w:noProof/>
                <w:webHidden/>
              </w:rPr>
              <w:instrText xml:space="preserve"> PAGEREF _Toc409788733 \h </w:instrText>
            </w:r>
            <w:r w:rsidR="00255650">
              <w:rPr>
                <w:noProof/>
                <w:webHidden/>
              </w:rPr>
            </w:r>
            <w:r w:rsidR="00255650">
              <w:rPr>
                <w:noProof/>
                <w:webHidden/>
              </w:rPr>
              <w:fldChar w:fldCharType="separate"/>
            </w:r>
            <w:r w:rsidR="001D76F4">
              <w:rPr>
                <w:noProof/>
                <w:webHidden/>
              </w:rPr>
              <w:t>29</w:t>
            </w:r>
            <w:r w:rsidR="00255650">
              <w:rPr>
                <w:noProof/>
                <w:webHidden/>
              </w:rPr>
              <w:fldChar w:fldCharType="end"/>
            </w:r>
          </w:hyperlink>
        </w:p>
        <w:p w14:paraId="25C0DD01"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34" w:history="1">
            <w:r w:rsidR="00255650" w:rsidRPr="00180905">
              <w:rPr>
                <w:rStyle w:val="Hyperlink"/>
                <w:noProof/>
                <w:lang w:val="en-AU"/>
              </w:rPr>
              <w:t>3.3</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Including access to services as a measure of success</w:t>
            </w:r>
            <w:r w:rsidR="00255650">
              <w:rPr>
                <w:noProof/>
                <w:webHidden/>
              </w:rPr>
              <w:tab/>
            </w:r>
            <w:r w:rsidR="00255650">
              <w:rPr>
                <w:noProof/>
                <w:webHidden/>
              </w:rPr>
              <w:fldChar w:fldCharType="begin"/>
            </w:r>
            <w:r w:rsidR="00255650">
              <w:rPr>
                <w:noProof/>
                <w:webHidden/>
              </w:rPr>
              <w:instrText xml:space="preserve"> PAGEREF _Toc409788734 \h </w:instrText>
            </w:r>
            <w:r w:rsidR="00255650">
              <w:rPr>
                <w:noProof/>
                <w:webHidden/>
              </w:rPr>
            </w:r>
            <w:r w:rsidR="00255650">
              <w:rPr>
                <w:noProof/>
                <w:webHidden/>
              </w:rPr>
              <w:fldChar w:fldCharType="separate"/>
            </w:r>
            <w:r w:rsidR="001D76F4">
              <w:rPr>
                <w:noProof/>
                <w:webHidden/>
              </w:rPr>
              <w:t>30</w:t>
            </w:r>
            <w:r w:rsidR="00255650">
              <w:rPr>
                <w:noProof/>
                <w:webHidden/>
              </w:rPr>
              <w:fldChar w:fldCharType="end"/>
            </w:r>
          </w:hyperlink>
        </w:p>
        <w:p w14:paraId="72EB400F"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35" w:history="1">
            <w:r w:rsidR="00255650" w:rsidRPr="00180905">
              <w:rPr>
                <w:rStyle w:val="Hyperlink"/>
                <w:noProof/>
                <w:lang w:val="en-AU"/>
              </w:rPr>
              <w:t>3.4</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Building on the strengths of Aboriginal Community Controlled Heath Services</w:t>
            </w:r>
            <w:r w:rsidR="00255650">
              <w:rPr>
                <w:noProof/>
                <w:webHidden/>
              </w:rPr>
              <w:tab/>
            </w:r>
            <w:r w:rsidR="00255650">
              <w:rPr>
                <w:noProof/>
                <w:webHidden/>
              </w:rPr>
              <w:fldChar w:fldCharType="begin"/>
            </w:r>
            <w:r w:rsidR="00255650">
              <w:rPr>
                <w:noProof/>
                <w:webHidden/>
              </w:rPr>
              <w:instrText xml:space="preserve"> PAGEREF _Toc409788735 \h </w:instrText>
            </w:r>
            <w:r w:rsidR="00255650">
              <w:rPr>
                <w:noProof/>
                <w:webHidden/>
              </w:rPr>
            </w:r>
            <w:r w:rsidR="00255650">
              <w:rPr>
                <w:noProof/>
                <w:webHidden/>
              </w:rPr>
              <w:fldChar w:fldCharType="separate"/>
            </w:r>
            <w:r w:rsidR="001D76F4">
              <w:rPr>
                <w:noProof/>
                <w:webHidden/>
              </w:rPr>
              <w:t>31</w:t>
            </w:r>
            <w:r w:rsidR="00255650">
              <w:rPr>
                <w:noProof/>
                <w:webHidden/>
              </w:rPr>
              <w:fldChar w:fldCharType="end"/>
            </w:r>
          </w:hyperlink>
        </w:p>
        <w:p w14:paraId="46057157"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36" w:history="1">
            <w:r w:rsidR="00255650" w:rsidRPr="00180905">
              <w:rPr>
                <w:rStyle w:val="Hyperlink"/>
                <w:noProof/>
                <w:lang w:val="en-AU"/>
              </w:rPr>
              <w:t>3.5</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Building an Aboriginal and Torres Strait Islander health workforce</w:t>
            </w:r>
            <w:r w:rsidR="00255650">
              <w:rPr>
                <w:noProof/>
                <w:webHidden/>
              </w:rPr>
              <w:tab/>
            </w:r>
            <w:r w:rsidR="00255650">
              <w:rPr>
                <w:noProof/>
                <w:webHidden/>
              </w:rPr>
              <w:fldChar w:fldCharType="begin"/>
            </w:r>
            <w:r w:rsidR="00255650">
              <w:rPr>
                <w:noProof/>
                <w:webHidden/>
              </w:rPr>
              <w:instrText xml:space="preserve"> PAGEREF _Toc409788736 \h </w:instrText>
            </w:r>
            <w:r w:rsidR="00255650">
              <w:rPr>
                <w:noProof/>
                <w:webHidden/>
              </w:rPr>
            </w:r>
            <w:r w:rsidR="00255650">
              <w:rPr>
                <w:noProof/>
                <w:webHidden/>
              </w:rPr>
              <w:fldChar w:fldCharType="separate"/>
            </w:r>
            <w:r w:rsidR="001D76F4">
              <w:rPr>
                <w:noProof/>
                <w:webHidden/>
              </w:rPr>
              <w:t>33</w:t>
            </w:r>
            <w:r w:rsidR="00255650">
              <w:rPr>
                <w:noProof/>
                <w:webHidden/>
              </w:rPr>
              <w:fldChar w:fldCharType="end"/>
            </w:r>
          </w:hyperlink>
        </w:p>
        <w:p w14:paraId="59D9F40A"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37" w:history="1">
            <w:r w:rsidR="00255650" w:rsidRPr="00180905">
              <w:rPr>
                <w:rStyle w:val="Hyperlink"/>
                <w:noProof/>
                <w:lang w:val="en-AU"/>
              </w:rPr>
              <w:t>3.6</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Addressing mental health as a new priority focus</w:t>
            </w:r>
            <w:r w:rsidR="00255650">
              <w:rPr>
                <w:noProof/>
                <w:webHidden/>
              </w:rPr>
              <w:tab/>
            </w:r>
            <w:r w:rsidR="00255650">
              <w:rPr>
                <w:noProof/>
                <w:webHidden/>
              </w:rPr>
              <w:fldChar w:fldCharType="begin"/>
            </w:r>
            <w:r w:rsidR="00255650">
              <w:rPr>
                <w:noProof/>
                <w:webHidden/>
              </w:rPr>
              <w:instrText xml:space="preserve"> PAGEREF _Toc409788737 \h </w:instrText>
            </w:r>
            <w:r w:rsidR="00255650">
              <w:rPr>
                <w:noProof/>
                <w:webHidden/>
              </w:rPr>
            </w:r>
            <w:r w:rsidR="00255650">
              <w:rPr>
                <w:noProof/>
                <w:webHidden/>
              </w:rPr>
              <w:fldChar w:fldCharType="separate"/>
            </w:r>
            <w:r w:rsidR="001D76F4">
              <w:rPr>
                <w:noProof/>
                <w:webHidden/>
              </w:rPr>
              <w:t>34</w:t>
            </w:r>
            <w:r w:rsidR="00255650">
              <w:rPr>
                <w:noProof/>
                <w:webHidden/>
              </w:rPr>
              <w:fldChar w:fldCharType="end"/>
            </w:r>
          </w:hyperlink>
        </w:p>
        <w:p w14:paraId="197410E2"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38" w:history="1">
            <w:r w:rsidR="00255650" w:rsidRPr="00180905">
              <w:rPr>
                <w:rStyle w:val="Hyperlink"/>
                <w:noProof/>
                <w:lang w:val="en-AU"/>
              </w:rPr>
              <w:t>3.7</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A target to reduce imprisonment rates</w:t>
            </w:r>
            <w:r w:rsidR="00255650">
              <w:rPr>
                <w:noProof/>
                <w:webHidden/>
              </w:rPr>
              <w:tab/>
            </w:r>
            <w:r w:rsidR="00255650">
              <w:rPr>
                <w:noProof/>
                <w:webHidden/>
              </w:rPr>
              <w:fldChar w:fldCharType="begin"/>
            </w:r>
            <w:r w:rsidR="00255650">
              <w:rPr>
                <w:noProof/>
                <w:webHidden/>
              </w:rPr>
              <w:instrText xml:space="preserve"> PAGEREF _Toc409788738 \h </w:instrText>
            </w:r>
            <w:r w:rsidR="00255650">
              <w:rPr>
                <w:noProof/>
                <w:webHidden/>
              </w:rPr>
            </w:r>
            <w:r w:rsidR="00255650">
              <w:rPr>
                <w:noProof/>
                <w:webHidden/>
              </w:rPr>
              <w:fldChar w:fldCharType="separate"/>
            </w:r>
            <w:r w:rsidR="001D76F4">
              <w:rPr>
                <w:noProof/>
                <w:webHidden/>
              </w:rPr>
              <w:t>36</w:t>
            </w:r>
            <w:r w:rsidR="00255650">
              <w:rPr>
                <w:noProof/>
                <w:webHidden/>
              </w:rPr>
              <w:fldChar w:fldCharType="end"/>
            </w:r>
          </w:hyperlink>
        </w:p>
        <w:p w14:paraId="14B85B23"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39" w:history="1">
            <w:r w:rsidR="00255650" w:rsidRPr="00180905">
              <w:rPr>
                <w:rStyle w:val="Hyperlink"/>
                <w:noProof/>
                <w:lang w:val="en-AU"/>
              </w:rPr>
              <w:t>3.8</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Health in all Aboriginal and Torres Strait Islander peoples policy approach</w:t>
            </w:r>
            <w:r w:rsidR="00255650">
              <w:rPr>
                <w:noProof/>
                <w:webHidden/>
              </w:rPr>
              <w:tab/>
            </w:r>
            <w:r w:rsidR="00255650">
              <w:rPr>
                <w:noProof/>
                <w:webHidden/>
              </w:rPr>
              <w:fldChar w:fldCharType="begin"/>
            </w:r>
            <w:r w:rsidR="00255650">
              <w:rPr>
                <w:noProof/>
                <w:webHidden/>
              </w:rPr>
              <w:instrText xml:space="preserve"> PAGEREF _Toc409788739 \h </w:instrText>
            </w:r>
            <w:r w:rsidR="00255650">
              <w:rPr>
                <w:noProof/>
                <w:webHidden/>
              </w:rPr>
            </w:r>
            <w:r w:rsidR="00255650">
              <w:rPr>
                <w:noProof/>
                <w:webHidden/>
              </w:rPr>
              <w:fldChar w:fldCharType="separate"/>
            </w:r>
            <w:r w:rsidR="001D76F4">
              <w:rPr>
                <w:noProof/>
                <w:webHidden/>
              </w:rPr>
              <w:t>37</w:t>
            </w:r>
            <w:r w:rsidR="00255650">
              <w:rPr>
                <w:noProof/>
                <w:webHidden/>
              </w:rPr>
              <w:fldChar w:fldCharType="end"/>
            </w:r>
          </w:hyperlink>
        </w:p>
        <w:p w14:paraId="7F8D078E" w14:textId="77777777" w:rsidR="00255650" w:rsidRDefault="000B6D6F">
          <w:pPr>
            <w:pStyle w:val="TOC2"/>
            <w:tabs>
              <w:tab w:val="right" w:leader="dot" w:pos="9060"/>
            </w:tabs>
            <w:rPr>
              <w:rFonts w:asciiTheme="minorHAnsi" w:eastAsiaTheme="minorEastAsia" w:hAnsiTheme="minorHAnsi" w:cstheme="minorBidi"/>
              <w:b w:val="0"/>
              <w:i w:val="0"/>
              <w:noProof/>
              <w:lang w:val="en-AU" w:eastAsia="en-AU"/>
            </w:rPr>
          </w:pPr>
          <w:hyperlink w:anchor="_Toc409788740" w:history="1">
            <w:r w:rsidR="00255650" w:rsidRPr="00180905">
              <w:rPr>
                <w:rStyle w:val="Hyperlink"/>
                <w:noProof/>
                <w:lang w:val="en-AU"/>
              </w:rPr>
              <w:t>3.9</w:t>
            </w:r>
            <w:r w:rsidR="00255650">
              <w:rPr>
                <w:rFonts w:asciiTheme="minorHAnsi" w:eastAsiaTheme="minorEastAsia" w:hAnsiTheme="minorHAnsi" w:cstheme="minorBidi"/>
                <w:b w:val="0"/>
                <w:i w:val="0"/>
                <w:noProof/>
                <w:lang w:val="en-AU" w:eastAsia="en-AU"/>
              </w:rPr>
              <w:tab/>
            </w:r>
            <w:r w:rsidR="00255650" w:rsidRPr="00180905">
              <w:rPr>
                <w:rStyle w:val="Hyperlink"/>
                <w:noProof/>
                <w:lang w:val="en-AU"/>
              </w:rPr>
              <w:t>The implementation of the National Aboriginal and Torres Strait Islander Health Plan Health</w:t>
            </w:r>
            <w:r w:rsidR="00255650">
              <w:rPr>
                <w:noProof/>
                <w:webHidden/>
              </w:rPr>
              <w:tab/>
            </w:r>
            <w:r w:rsidR="00255650">
              <w:rPr>
                <w:noProof/>
                <w:webHidden/>
              </w:rPr>
              <w:fldChar w:fldCharType="begin"/>
            </w:r>
            <w:r w:rsidR="00255650">
              <w:rPr>
                <w:noProof/>
                <w:webHidden/>
              </w:rPr>
              <w:instrText xml:space="preserve"> PAGEREF _Toc409788740 \h </w:instrText>
            </w:r>
            <w:r w:rsidR="00255650">
              <w:rPr>
                <w:noProof/>
                <w:webHidden/>
              </w:rPr>
            </w:r>
            <w:r w:rsidR="00255650">
              <w:rPr>
                <w:noProof/>
                <w:webHidden/>
              </w:rPr>
              <w:fldChar w:fldCharType="separate"/>
            </w:r>
            <w:r w:rsidR="001D76F4">
              <w:rPr>
                <w:noProof/>
                <w:webHidden/>
              </w:rPr>
              <w:t>38</w:t>
            </w:r>
            <w:r w:rsidR="00255650">
              <w:rPr>
                <w:noProof/>
                <w:webHidden/>
              </w:rPr>
              <w:fldChar w:fldCharType="end"/>
            </w:r>
          </w:hyperlink>
        </w:p>
        <w:p w14:paraId="6067DB7A" w14:textId="77777777" w:rsidR="00255650" w:rsidRDefault="000B6D6F">
          <w:pPr>
            <w:pStyle w:val="TOC1"/>
            <w:rPr>
              <w:rFonts w:asciiTheme="minorHAnsi" w:eastAsiaTheme="minorEastAsia" w:hAnsiTheme="minorHAnsi" w:cstheme="minorBidi"/>
              <w:b w:val="0"/>
              <w:noProof/>
              <w:lang w:val="en-AU" w:eastAsia="en-AU"/>
            </w:rPr>
          </w:pPr>
          <w:hyperlink w:anchor="_Toc409788741" w:history="1">
            <w:r w:rsidR="00255650" w:rsidRPr="00180905">
              <w:rPr>
                <w:rStyle w:val="Hyperlink"/>
                <w:noProof/>
                <w:lang w:val="en-AU"/>
              </w:rPr>
              <w:t>Conclusion</w:t>
            </w:r>
            <w:r w:rsidR="00255650">
              <w:rPr>
                <w:noProof/>
                <w:webHidden/>
              </w:rPr>
              <w:tab/>
            </w:r>
            <w:r w:rsidR="00255650">
              <w:rPr>
                <w:noProof/>
                <w:webHidden/>
              </w:rPr>
              <w:fldChar w:fldCharType="begin"/>
            </w:r>
            <w:r w:rsidR="00255650">
              <w:rPr>
                <w:noProof/>
                <w:webHidden/>
              </w:rPr>
              <w:instrText xml:space="preserve"> PAGEREF _Toc409788741 \h </w:instrText>
            </w:r>
            <w:r w:rsidR="00255650">
              <w:rPr>
                <w:noProof/>
                <w:webHidden/>
              </w:rPr>
            </w:r>
            <w:r w:rsidR="00255650">
              <w:rPr>
                <w:noProof/>
                <w:webHidden/>
              </w:rPr>
              <w:fldChar w:fldCharType="separate"/>
            </w:r>
            <w:r w:rsidR="001D76F4">
              <w:rPr>
                <w:noProof/>
                <w:webHidden/>
              </w:rPr>
              <w:t>40</w:t>
            </w:r>
            <w:r w:rsidR="00255650">
              <w:rPr>
                <w:noProof/>
                <w:webHidden/>
              </w:rPr>
              <w:fldChar w:fldCharType="end"/>
            </w:r>
          </w:hyperlink>
        </w:p>
        <w:p w14:paraId="64C4CD2F" w14:textId="77777777" w:rsidR="00EF2F0D" w:rsidRPr="00B918A5" w:rsidRDefault="00FC56BE">
          <w:pPr>
            <w:rPr>
              <w:lang w:val="en-AU"/>
            </w:rPr>
          </w:pPr>
          <w:r w:rsidRPr="00B918A5">
            <w:rPr>
              <w:b/>
              <w:bCs/>
              <w:noProof/>
              <w:lang w:val="en-AU"/>
            </w:rPr>
            <w:fldChar w:fldCharType="end"/>
          </w:r>
        </w:p>
      </w:sdtContent>
    </w:sdt>
    <w:p w14:paraId="6D00664E" w14:textId="77777777" w:rsidR="00D77F3E" w:rsidRPr="00B918A5" w:rsidRDefault="00D77F3E" w:rsidP="00387E8D">
      <w:pPr>
        <w:jc w:val="both"/>
        <w:rPr>
          <w:rFonts w:cs="Calibri"/>
          <w:b/>
          <w:spacing w:val="-4"/>
          <w:sz w:val="32"/>
          <w:szCs w:val="32"/>
          <w:lang w:val="en-AU"/>
        </w:rPr>
      </w:pPr>
    </w:p>
    <w:p w14:paraId="43619D32" w14:textId="77777777" w:rsidR="00387E8D" w:rsidRPr="00B918A5" w:rsidRDefault="00F01AA5" w:rsidP="00387E8D">
      <w:pPr>
        <w:jc w:val="both"/>
        <w:rPr>
          <w:rFonts w:cs="Calibri"/>
          <w:b/>
          <w:spacing w:val="-4"/>
          <w:sz w:val="32"/>
          <w:szCs w:val="32"/>
          <w:lang w:val="en-AU"/>
        </w:rPr>
      </w:pPr>
      <w:r w:rsidRPr="00B918A5">
        <w:rPr>
          <w:rFonts w:cs="Calibri"/>
          <w:b/>
          <w:spacing w:val="-4"/>
          <w:sz w:val="32"/>
          <w:szCs w:val="32"/>
          <w:lang w:val="en-AU"/>
        </w:rPr>
        <w:br w:type="page"/>
      </w:r>
    </w:p>
    <w:p w14:paraId="12D85F82" w14:textId="77777777" w:rsidR="00DB0833" w:rsidRPr="00B918A5" w:rsidRDefault="00F01AA5" w:rsidP="00617A9F">
      <w:pPr>
        <w:pStyle w:val="Heading1"/>
        <w:numPr>
          <w:ilvl w:val="0"/>
          <w:numId w:val="0"/>
        </w:numPr>
        <w:ind w:left="851" w:hanging="851"/>
        <w:rPr>
          <w:lang w:val="en-AU"/>
        </w:rPr>
      </w:pPr>
      <w:bookmarkStart w:id="0" w:name="_Toc409788705"/>
      <w:r w:rsidRPr="00B918A5">
        <w:rPr>
          <w:lang w:val="en-AU"/>
        </w:rPr>
        <w:lastRenderedPageBreak/>
        <w:t>Executive summary</w:t>
      </w:r>
      <w:bookmarkEnd w:id="0"/>
    </w:p>
    <w:p w14:paraId="11D4B7A0" w14:textId="77777777" w:rsidR="00A26FB4" w:rsidRPr="00B918A5" w:rsidRDefault="007F439C" w:rsidP="00D77F3E">
      <w:pPr>
        <w:spacing w:before="240" w:after="240"/>
        <w:rPr>
          <w:lang w:val="en-AU"/>
        </w:rPr>
      </w:pPr>
      <w:r w:rsidRPr="00B918A5">
        <w:rPr>
          <w:rFonts w:asciiTheme="majorHAnsi" w:hAnsiTheme="majorHAnsi"/>
          <w:lang w:val="en-AU"/>
        </w:rPr>
        <w:t xml:space="preserve">The Campaign Steering Committee welcomes the absolute gains in Aboriginal and Torres Strait Islander life expectancy </w:t>
      </w:r>
      <w:r w:rsidR="00995C22">
        <w:rPr>
          <w:rFonts w:asciiTheme="majorHAnsi" w:hAnsiTheme="majorHAnsi"/>
          <w:lang w:val="en-AU"/>
        </w:rPr>
        <w:t>from</w:t>
      </w:r>
      <w:r w:rsidRPr="00B918A5">
        <w:rPr>
          <w:rFonts w:asciiTheme="majorHAnsi" w:hAnsiTheme="majorHAnsi"/>
          <w:lang w:val="en-AU"/>
        </w:rPr>
        <w:t xml:space="preserve"> 2005-2007 </w:t>
      </w:r>
      <w:r w:rsidR="00995C22">
        <w:rPr>
          <w:rFonts w:asciiTheme="majorHAnsi" w:hAnsiTheme="majorHAnsi"/>
          <w:lang w:val="en-AU"/>
        </w:rPr>
        <w:t>to</w:t>
      </w:r>
      <w:r w:rsidRPr="00B918A5">
        <w:rPr>
          <w:rFonts w:asciiTheme="majorHAnsi" w:hAnsiTheme="majorHAnsi"/>
          <w:lang w:val="en-AU"/>
        </w:rPr>
        <w:t xml:space="preserve"> 2010-2012. Over that five</w:t>
      </w:r>
      <w:r w:rsidR="00BE5568" w:rsidRPr="00B918A5">
        <w:rPr>
          <w:rFonts w:asciiTheme="majorHAnsi" w:hAnsiTheme="majorHAnsi"/>
          <w:lang w:val="en-AU"/>
        </w:rPr>
        <w:t>-</w:t>
      </w:r>
      <w:r w:rsidRPr="00B918A5">
        <w:rPr>
          <w:rFonts w:asciiTheme="majorHAnsi" w:hAnsiTheme="majorHAnsi"/>
          <w:lang w:val="en-AU"/>
        </w:rPr>
        <w:t>year period</w:t>
      </w:r>
      <w:r w:rsidR="00A26FB4" w:rsidRPr="00B918A5">
        <w:rPr>
          <w:rFonts w:asciiTheme="majorHAnsi" w:hAnsiTheme="majorHAnsi"/>
          <w:lang w:val="en-AU"/>
        </w:rPr>
        <w:t xml:space="preserve">, </w:t>
      </w:r>
      <w:r w:rsidRPr="00B918A5">
        <w:rPr>
          <w:rFonts w:asciiTheme="majorHAnsi" w:hAnsiTheme="majorHAnsi"/>
          <w:lang w:val="en-AU"/>
        </w:rPr>
        <w:t xml:space="preserve">life expectancy is estimated to have increased by 1.6 years for males and by 0.6 of a year for females. </w:t>
      </w:r>
      <w:r w:rsidR="00A26FB4" w:rsidRPr="00B918A5">
        <w:rPr>
          <w:rFonts w:asciiTheme="majorHAnsi" w:hAnsiTheme="majorHAnsi"/>
          <w:lang w:val="en-AU"/>
        </w:rPr>
        <w:t xml:space="preserve">But a </w:t>
      </w:r>
      <w:r w:rsidR="0017088D" w:rsidRPr="00B918A5">
        <w:rPr>
          <w:rFonts w:asciiTheme="majorHAnsi" w:hAnsiTheme="majorHAnsi"/>
          <w:lang w:val="en-AU"/>
        </w:rPr>
        <w:t xml:space="preserve">life expectancy </w:t>
      </w:r>
      <w:r w:rsidR="00A26FB4" w:rsidRPr="00B918A5">
        <w:rPr>
          <w:rFonts w:asciiTheme="majorHAnsi" w:hAnsiTheme="majorHAnsi"/>
          <w:lang w:val="en-AU"/>
        </w:rPr>
        <w:t>gap of around ten years</w:t>
      </w:r>
      <w:r w:rsidR="0017088D" w:rsidRPr="00B918A5">
        <w:rPr>
          <w:rFonts w:asciiTheme="majorHAnsi" w:hAnsiTheme="majorHAnsi"/>
          <w:lang w:val="en-AU"/>
        </w:rPr>
        <w:t xml:space="preserve"> remains for Aboriginal and</w:t>
      </w:r>
      <w:r w:rsidR="00135BE1">
        <w:rPr>
          <w:rFonts w:asciiTheme="majorHAnsi" w:hAnsiTheme="majorHAnsi"/>
          <w:lang w:val="en-AU"/>
        </w:rPr>
        <w:t xml:space="preserve"> Torres Strait Islander people </w:t>
      </w:r>
      <w:r w:rsidR="0017088D" w:rsidRPr="00B918A5">
        <w:rPr>
          <w:rFonts w:asciiTheme="majorHAnsi" w:hAnsiTheme="majorHAnsi"/>
          <w:lang w:val="en-AU"/>
        </w:rPr>
        <w:t>when compared with non-Indigenous people.</w:t>
      </w:r>
    </w:p>
    <w:p w14:paraId="28952DD9" w14:textId="54C2A801" w:rsidR="00A26FB4" w:rsidRDefault="00A26FB4" w:rsidP="001B1130">
      <w:pPr>
        <w:spacing w:before="240" w:after="240"/>
        <w:rPr>
          <w:lang w:val="en-AU"/>
        </w:rPr>
      </w:pPr>
      <w:r w:rsidRPr="00B918A5">
        <w:rPr>
          <w:rFonts w:asciiTheme="majorHAnsi" w:hAnsiTheme="majorHAnsi"/>
          <w:lang w:val="en-AU"/>
        </w:rPr>
        <w:t xml:space="preserve">Both the modesty of the </w:t>
      </w:r>
      <w:proofErr w:type="gramStart"/>
      <w:r w:rsidRPr="00B918A5">
        <w:rPr>
          <w:rFonts w:asciiTheme="majorHAnsi" w:hAnsiTheme="majorHAnsi"/>
          <w:lang w:val="en-AU"/>
        </w:rPr>
        <w:t>gains,</w:t>
      </w:r>
      <w:proofErr w:type="gramEnd"/>
      <w:r w:rsidRPr="00B918A5">
        <w:rPr>
          <w:rFonts w:asciiTheme="majorHAnsi" w:hAnsiTheme="majorHAnsi"/>
          <w:lang w:val="en-AU"/>
        </w:rPr>
        <w:t xml:space="preserve"> and the magnitude of the remaining life expectancy gap remind us why the </w:t>
      </w:r>
      <w:r w:rsidR="00925FF0">
        <w:rPr>
          <w:rFonts w:asciiTheme="majorHAnsi" w:hAnsiTheme="majorHAnsi"/>
          <w:lang w:val="en-AU"/>
        </w:rPr>
        <w:t>Council of Australian Governments’</w:t>
      </w:r>
      <w:r w:rsidR="002376DC">
        <w:rPr>
          <w:rFonts w:asciiTheme="majorHAnsi" w:hAnsiTheme="majorHAnsi"/>
          <w:lang w:val="en-AU"/>
        </w:rPr>
        <w:t xml:space="preserve"> (COAG)</w:t>
      </w:r>
      <w:r w:rsidR="006C3FE2">
        <w:rPr>
          <w:rFonts w:asciiTheme="majorHAnsi" w:hAnsiTheme="majorHAnsi"/>
          <w:lang w:val="en-AU"/>
        </w:rPr>
        <w:t xml:space="preserve"> </w:t>
      </w:r>
      <w:r w:rsidRPr="00B918A5">
        <w:rPr>
          <w:rFonts w:asciiTheme="majorHAnsi" w:hAnsiTheme="majorHAnsi"/>
          <w:lang w:val="en-AU"/>
        </w:rPr>
        <w:t>Closing the Gap Strategy</w:t>
      </w:r>
      <w:r w:rsidR="0017088D" w:rsidRPr="00B918A5">
        <w:rPr>
          <w:rFonts w:asciiTheme="majorHAnsi" w:hAnsiTheme="majorHAnsi"/>
          <w:lang w:val="en-AU"/>
        </w:rPr>
        <w:t xml:space="preserve"> </w:t>
      </w:r>
      <w:r w:rsidR="00925FF0">
        <w:rPr>
          <w:rFonts w:asciiTheme="majorHAnsi" w:hAnsiTheme="majorHAnsi"/>
          <w:lang w:val="en-AU"/>
        </w:rPr>
        <w:t xml:space="preserve">and the target to close the life expectancy gap </w:t>
      </w:r>
      <w:r w:rsidRPr="00B918A5">
        <w:rPr>
          <w:rFonts w:asciiTheme="majorHAnsi" w:hAnsiTheme="majorHAnsi"/>
          <w:lang w:val="en-AU"/>
        </w:rPr>
        <w:t xml:space="preserve">was </w:t>
      </w:r>
      <w:r w:rsidR="00770D6A" w:rsidRPr="00B918A5">
        <w:rPr>
          <w:rFonts w:asciiTheme="majorHAnsi" w:hAnsiTheme="majorHAnsi"/>
          <w:lang w:val="en-AU"/>
        </w:rPr>
        <w:t>needed</w:t>
      </w:r>
      <w:r w:rsidR="00D04841">
        <w:rPr>
          <w:rFonts w:asciiTheme="majorHAnsi" w:hAnsiTheme="majorHAnsi"/>
          <w:lang w:val="en-AU"/>
        </w:rPr>
        <w:t xml:space="preserve">. It remains </w:t>
      </w:r>
      <w:r w:rsidRPr="00B918A5">
        <w:rPr>
          <w:rFonts w:asciiTheme="majorHAnsi" w:hAnsiTheme="majorHAnsi"/>
          <w:lang w:val="en-AU"/>
        </w:rPr>
        <w:t>necessary</w:t>
      </w:r>
      <w:r w:rsidR="00D40DB7" w:rsidRPr="00B918A5">
        <w:rPr>
          <w:rFonts w:asciiTheme="majorHAnsi" w:hAnsiTheme="majorHAnsi"/>
          <w:lang w:val="en-AU"/>
        </w:rPr>
        <w:t xml:space="preserve"> today</w:t>
      </w:r>
      <w:r w:rsidRPr="00B918A5">
        <w:rPr>
          <w:rFonts w:asciiTheme="majorHAnsi" w:hAnsiTheme="majorHAnsi"/>
          <w:lang w:val="en-AU"/>
        </w:rPr>
        <w:t xml:space="preserve">. </w:t>
      </w:r>
      <w:r w:rsidR="00925FF0">
        <w:rPr>
          <w:rFonts w:asciiTheme="majorHAnsi" w:hAnsiTheme="majorHAnsi"/>
          <w:lang w:val="en-AU"/>
        </w:rPr>
        <w:t xml:space="preserve">But we must also keep in mind that </w:t>
      </w:r>
      <w:r w:rsidR="00D04841">
        <w:rPr>
          <w:rFonts w:asciiTheme="majorHAnsi" w:hAnsiTheme="majorHAnsi"/>
          <w:lang w:val="en-AU"/>
        </w:rPr>
        <w:t>closing</w:t>
      </w:r>
      <w:r w:rsidR="00925FF0">
        <w:rPr>
          <w:rFonts w:asciiTheme="majorHAnsi" w:hAnsiTheme="majorHAnsi"/>
          <w:lang w:val="en-AU"/>
        </w:rPr>
        <w:t xml:space="preserve"> the life expectancy gap requires time. </w:t>
      </w:r>
      <w:r w:rsidR="00BE5568" w:rsidRPr="00B918A5">
        <w:rPr>
          <w:lang w:val="en-AU"/>
        </w:rPr>
        <w:t xml:space="preserve">The Closing the Gap Strategy </w:t>
      </w:r>
      <w:r w:rsidR="002354A5" w:rsidRPr="00B918A5">
        <w:rPr>
          <w:lang w:val="en-AU"/>
        </w:rPr>
        <w:t xml:space="preserve">was </w:t>
      </w:r>
      <w:proofErr w:type="spellStart"/>
      <w:r w:rsidR="002354A5" w:rsidRPr="00B918A5">
        <w:rPr>
          <w:lang w:val="en-AU"/>
        </w:rPr>
        <w:t>operationalised</w:t>
      </w:r>
      <w:proofErr w:type="spellEnd"/>
      <w:r w:rsidR="00BE5568" w:rsidRPr="00B918A5">
        <w:rPr>
          <w:lang w:val="en-AU"/>
        </w:rPr>
        <w:t xml:space="preserve"> in July </w:t>
      </w:r>
      <w:r w:rsidR="007438E1" w:rsidRPr="00B918A5">
        <w:rPr>
          <w:lang w:val="en-AU"/>
        </w:rPr>
        <w:t>2009</w:t>
      </w:r>
      <w:r w:rsidR="00925FF0">
        <w:rPr>
          <w:lang w:val="en-AU"/>
        </w:rPr>
        <w:t xml:space="preserve"> and the </w:t>
      </w:r>
      <w:r w:rsidR="00BE5568" w:rsidRPr="00B918A5">
        <w:rPr>
          <w:lang w:val="en-AU"/>
        </w:rPr>
        <w:t xml:space="preserve">latest data we have </w:t>
      </w:r>
      <w:r w:rsidR="00925FF0">
        <w:rPr>
          <w:lang w:val="en-AU"/>
        </w:rPr>
        <w:t>is</w:t>
      </w:r>
      <w:r w:rsidRPr="00B918A5">
        <w:rPr>
          <w:lang w:val="en-AU"/>
        </w:rPr>
        <w:t xml:space="preserve"> </w:t>
      </w:r>
      <w:r w:rsidR="00BE5568" w:rsidRPr="00B918A5">
        <w:rPr>
          <w:lang w:val="en-AU"/>
        </w:rPr>
        <w:t>from</w:t>
      </w:r>
      <w:r w:rsidR="00AB15C5" w:rsidRPr="00B918A5">
        <w:rPr>
          <w:lang w:val="en-AU"/>
        </w:rPr>
        <w:t xml:space="preserve"> </w:t>
      </w:r>
      <w:r w:rsidR="00925FF0">
        <w:rPr>
          <w:lang w:val="en-AU"/>
        </w:rPr>
        <w:t xml:space="preserve">2012-2013. This is too short a time </w:t>
      </w:r>
      <w:r w:rsidR="00AB15C5" w:rsidRPr="00B918A5">
        <w:rPr>
          <w:lang w:val="en-AU"/>
        </w:rPr>
        <w:t xml:space="preserve">to </w:t>
      </w:r>
      <w:r w:rsidR="001B1130">
        <w:rPr>
          <w:lang w:val="en-AU"/>
        </w:rPr>
        <w:t xml:space="preserve">adequately </w:t>
      </w:r>
      <w:r w:rsidR="00AB15C5" w:rsidRPr="00B918A5">
        <w:rPr>
          <w:lang w:val="en-AU"/>
        </w:rPr>
        <w:t xml:space="preserve">assess the progress of </w:t>
      </w:r>
      <w:r w:rsidR="002534D7" w:rsidRPr="00B918A5">
        <w:rPr>
          <w:lang w:val="en-AU"/>
        </w:rPr>
        <w:t>this</w:t>
      </w:r>
      <w:r w:rsidR="00AB15C5" w:rsidRPr="00B918A5">
        <w:rPr>
          <w:lang w:val="en-AU"/>
        </w:rPr>
        <w:t xml:space="preserve"> S</w:t>
      </w:r>
      <w:r w:rsidR="00162AA1">
        <w:rPr>
          <w:lang w:val="en-AU"/>
        </w:rPr>
        <w:t>trategy in achieving outcomes.</w:t>
      </w:r>
    </w:p>
    <w:p w14:paraId="2BCE75FA" w14:textId="77777777" w:rsidR="006C3FE2" w:rsidRDefault="00A26FB4" w:rsidP="001B1130">
      <w:pPr>
        <w:spacing w:before="240" w:after="240"/>
        <w:rPr>
          <w:szCs w:val="16"/>
          <w:lang w:val="en-AU"/>
        </w:rPr>
      </w:pPr>
      <w:r w:rsidRPr="00B918A5">
        <w:rPr>
          <w:lang w:val="en-AU"/>
        </w:rPr>
        <w:t>Instead, the Campaign Steering Committee look to r</w:t>
      </w:r>
      <w:r w:rsidRPr="00B918A5">
        <w:rPr>
          <w:rFonts w:cs="Calibri"/>
          <w:lang w:val="en-AU"/>
        </w:rPr>
        <w:t xml:space="preserve">eductions in smoking rates, improvements to maternal and child health outcomes and demonstrated inroads into the impact of chronic diseases </w:t>
      </w:r>
      <w:r w:rsidR="006C3FE2">
        <w:rPr>
          <w:rFonts w:cs="Calibri"/>
          <w:lang w:val="en-AU"/>
        </w:rPr>
        <w:t xml:space="preserve">as evidence </w:t>
      </w:r>
      <w:r w:rsidRPr="00B918A5">
        <w:rPr>
          <w:szCs w:val="16"/>
          <w:lang w:val="en-AU"/>
        </w:rPr>
        <w:t xml:space="preserve">that the </w:t>
      </w:r>
      <w:r w:rsidR="006C3FE2">
        <w:rPr>
          <w:szCs w:val="16"/>
          <w:lang w:val="en-AU"/>
        </w:rPr>
        <w:t>Closing the Gap Strategy is</w:t>
      </w:r>
      <w:r w:rsidRPr="00B918A5">
        <w:rPr>
          <w:szCs w:val="16"/>
          <w:lang w:val="en-AU"/>
        </w:rPr>
        <w:t xml:space="preserve"> working</w:t>
      </w:r>
      <w:r w:rsidR="001B1130">
        <w:rPr>
          <w:szCs w:val="16"/>
          <w:lang w:val="en-AU"/>
        </w:rPr>
        <w:t xml:space="preserve">. </w:t>
      </w:r>
    </w:p>
    <w:p w14:paraId="6DAC4A9E" w14:textId="00A1160E" w:rsidR="006C3FE2" w:rsidRDefault="006C3FE2" w:rsidP="006C3FE2">
      <w:pPr>
        <w:spacing w:before="240" w:after="240"/>
        <w:rPr>
          <w:rFonts w:asciiTheme="majorHAnsi" w:eastAsia="Times New Roman" w:hAnsiTheme="majorHAnsi" w:cs="Tahoma"/>
        </w:rPr>
      </w:pPr>
      <w:r>
        <w:rPr>
          <w:rFonts w:asciiTheme="majorHAnsi" w:hAnsiTheme="majorHAnsi"/>
          <w:lang w:val="en-AU"/>
        </w:rPr>
        <w:t>T</w:t>
      </w:r>
      <w:r w:rsidRPr="00CB5D9A">
        <w:rPr>
          <w:rFonts w:asciiTheme="majorHAnsi" w:eastAsia="Times New Roman" w:hAnsiTheme="majorHAnsi" w:cs="Tahoma"/>
        </w:rPr>
        <w:t xml:space="preserve">he findings of the </w:t>
      </w:r>
      <w:r w:rsidRPr="00CB5D9A">
        <w:rPr>
          <w:rFonts w:asciiTheme="majorHAnsi" w:hAnsiTheme="majorHAnsi"/>
          <w:i/>
          <w:lang w:val="en-AU"/>
        </w:rPr>
        <w:t>National Aboriginal and Torres Strait Islander Health Measures Survey</w:t>
      </w:r>
      <w:r w:rsidR="002376DC">
        <w:rPr>
          <w:rFonts w:asciiTheme="majorHAnsi" w:hAnsiTheme="majorHAnsi"/>
          <w:i/>
          <w:lang w:val="en-AU"/>
        </w:rPr>
        <w:t xml:space="preserve"> </w:t>
      </w:r>
      <w:r w:rsidR="002376DC">
        <w:rPr>
          <w:rFonts w:asciiTheme="majorHAnsi" w:hAnsiTheme="majorHAnsi"/>
          <w:lang w:val="en-AU"/>
        </w:rPr>
        <w:t>(NATSIHMS)</w:t>
      </w:r>
      <w:r w:rsidRPr="009536F9">
        <w:rPr>
          <w:rFonts w:asciiTheme="majorHAnsi" w:hAnsiTheme="majorHAnsi"/>
          <w:lang w:val="en-AU"/>
        </w:rPr>
        <w:t>, the largest biomedical surve</w:t>
      </w:r>
      <w:r w:rsidRPr="009D4F18">
        <w:rPr>
          <w:rFonts w:asciiTheme="majorHAnsi" w:hAnsiTheme="majorHAnsi"/>
          <w:lang w:val="en-AU"/>
        </w:rPr>
        <w:t>y ever conducted among Aboriginal and Torres Strait Islander people</w:t>
      </w:r>
      <w:r w:rsidR="00A57A95">
        <w:rPr>
          <w:rFonts w:asciiTheme="majorHAnsi" w:hAnsiTheme="majorHAnsi"/>
          <w:lang w:val="en-AU"/>
        </w:rPr>
        <w:t>,</w:t>
      </w:r>
      <w:r w:rsidR="00C15D07">
        <w:rPr>
          <w:rFonts w:asciiTheme="majorHAnsi" w:hAnsiTheme="majorHAnsi"/>
          <w:lang w:val="en-AU"/>
        </w:rPr>
        <w:t xml:space="preserve"> are critical</w:t>
      </w:r>
      <w:r w:rsidRPr="009D4F18">
        <w:rPr>
          <w:rFonts w:asciiTheme="majorHAnsi" w:hAnsiTheme="majorHAnsi"/>
          <w:lang w:val="en-AU"/>
        </w:rPr>
        <w:t>. Th</w:t>
      </w:r>
      <w:r w:rsidR="00C15D07">
        <w:rPr>
          <w:rFonts w:asciiTheme="majorHAnsi" w:hAnsiTheme="majorHAnsi"/>
          <w:lang w:val="en-AU"/>
        </w:rPr>
        <w:t>e survey</w:t>
      </w:r>
      <w:r w:rsidRPr="009D4F18">
        <w:rPr>
          <w:rFonts w:asciiTheme="majorHAnsi" w:hAnsiTheme="majorHAnsi"/>
          <w:lang w:val="en-AU"/>
        </w:rPr>
        <w:t xml:space="preserve"> identified </w:t>
      </w:r>
      <w:r w:rsidRPr="00CB5D9A">
        <w:rPr>
          <w:rFonts w:asciiTheme="majorHAnsi" w:eastAsia="Times New Roman" w:hAnsiTheme="majorHAnsi" w:cs="Tahoma"/>
        </w:rPr>
        <w:t xml:space="preserve">high levels of </w:t>
      </w:r>
      <w:r w:rsidRPr="00B918A5">
        <w:rPr>
          <w:rFonts w:asciiTheme="majorHAnsi" w:hAnsiTheme="majorHAnsi"/>
          <w:lang w:val="en-AU"/>
        </w:rPr>
        <w:t>Aboriginal and Torres Strait Islander</w:t>
      </w:r>
      <w:r w:rsidRPr="009D4F18">
        <w:rPr>
          <w:rFonts w:asciiTheme="majorHAnsi" w:eastAsia="Times New Roman" w:hAnsiTheme="majorHAnsi" w:cs="Tahoma"/>
        </w:rPr>
        <w:t xml:space="preserve"> </w:t>
      </w:r>
      <w:r>
        <w:rPr>
          <w:rFonts w:asciiTheme="majorHAnsi" w:eastAsia="Times New Roman" w:hAnsiTheme="majorHAnsi" w:cs="Tahoma"/>
        </w:rPr>
        <w:t xml:space="preserve">people with undetected </w:t>
      </w:r>
      <w:r w:rsidRPr="00CB5D9A">
        <w:rPr>
          <w:rFonts w:asciiTheme="majorHAnsi" w:eastAsia="Times New Roman" w:hAnsiTheme="majorHAnsi" w:cs="Tahoma"/>
        </w:rPr>
        <w:t xml:space="preserve">treatable and preventable </w:t>
      </w:r>
      <w:r>
        <w:rPr>
          <w:rFonts w:asciiTheme="majorHAnsi" w:eastAsia="Times New Roman" w:hAnsiTheme="majorHAnsi" w:cs="Tahoma"/>
        </w:rPr>
        <w:t xml:space="preserve">chronic </w:t>
      </w:r>
      <w:r w:rsidRPr="00CB5D9A">
        <w:rPr>
          <w:rFonts w:asciiTheme="majorHAnsi" w:eastAsia="Times New Roman" w:hAnsiTheme="majorHAnsi" w:cs="Tahoma"/>
        </w:rPr>
        <w:t xml:space="preserve">conditions </w:t>
      </w:r>
      <w:r>
        <w:rPr>
          <w:rFonts w:asciiTheme="majorHAnsi" w:eastAsia="Times New Roman" w:hAnsiTheme="majorHAnsi" w:cs="Tahoma"/>
        </w:rPr>
        <w:t xml:space="preserve">that </w:t>
      </w:r>
      <w:r w:rsidRPr="00CB5D9A">
        <w:rPr>
          <w:rFonts w:asciiTheme="majorHAnsi" w:eastAsia="Times New Roman" w:hAnsiTheme="majorHAnsi" w:cs="Tahoma"/>
        </w:rPr>
        <w:t>impact significantly on life expectancy. Armed with this data, the Campaign Steering Committee believe</w:t>
      </w:r>
      <w:r>
        <w:rPr>
          <w:rFonts w:asciiTheme="majorHAnsi" w:eastAsia="Times New Roman" w:hAnsiTheme="majorHAnsi" w:cs="Tahoma"/>
        </w:rPr>
        <w:t>s</w:t>
      </w:r>
      <w:r w:rsidRPr="00CB5D9A">
        <w:rPr>
          <w:rFonts w:asciiTheme="majorHAnsi" w:eastAsia="Times New Roman" w:hAnsiTheme="majorHAnsi" w:cs="Tahoma"/>
        </w:rPr>
        <w:t xml:space="preserve"> </w:t>
      </w:r>
      <w:r w:rsidRPr="00AC05D9">
        <w:rPr>
          <w:rFonts w:asciiTheme="majorHAnsi" w:eastAsia="Times New Roman" w:hAnsiTheme="majorHAnsi" w:cs="Tahoma"/>
        </w:rPr>
        <w:t>the nation now has</w:t>
      </w:r>
      <w:r w:rsidRPr="00CB5D9A">
        <w:rPr>
          <w:rFonts w:asciiTheme="majorHAnsi" w:eastAsia="Times New Roman" w:hAnsiTheme="majorHAnsi" w:cs="Tahoma"/>
        </w:rPr>
        <w:t xml:space="preserve"> </w:t>
      </w:r>
      <w:r>
        <w:rPr>
          <w:rFonts w:asciiTheme="majorHAnsi" w:eastAsia="Times New Roman" w:hAnsiTheme="majorHAnsi" w:cs="Tahoma"/>
        </w:rPr>
        <w:t>an enhanced</w:t>
      </w:r>
      <w:r w:rsidRPr="00CB5D9A">
        <w:rPr>
          <w:rFonts w:asciiTheme="majorHAnsi" w:eastAsia="Times New Roman" w:hAnsiTheme="majorHAnsi" w:cs="Tahoma"/>
        </w:rPr>
        <w:t xml:space="preserve"> ability to make relatively large health </w:t>
      </w:r>
      <w:r>
        <w:rPr>
          <w:rFonts w:asciiTheme="majorHAnsi" w:eastAsia="Times New Roman" w:hAnsiTheme="majorHAnsi" w:cs="Tahoma"/>
        </w:rPr>
        <w:t xml:space="preserve">and life expectancy </w:t>
      </w:r>
      <w:r w:rsidRPr="00CB5D9A">
        <w:rPr>
          <w:rFonts w:asciiTheme="majorHAnsi" w:eastAsia="Times New Roman" w:hAnsiTheme="majorHAnsi" w:cs="Tahoma"/>
        </w:rPr>
        <w:t xml:space="preserve">gains in relatively short periods of time. </w:t>
      </w:r>
    </w:p>
    <w:p w14:paraId="0F18D452" w14:textId="52B487D0" w:rsidR="006C3FE2" w:rsidRPr="006C3FE2" w:rsidRDefault="006C3FE2" w:rsidP="001B1130">
      <w:pPr>
        <w:spacing w:before="240" w:after="240"/>
        <w:rPr>
          <w:rFonts w:asciiTheme="majorHAnsi" w:hAnsiTheme="majorHAnsi"/>
          <w:lang w:val="en-AU"/>
        </w:rPr>
      </w:pPr>
      <w:r w:rsidRPr="00CB5D9A">
        <w:rPr>
          <w:rFonts w:asciiTheme="majorHAnsi" w:eastAsia="Times New Roman" w:hAnsiTheme="majorHAnsi" w:cs="Tahoma"/>
        </w:rPr>
        <w:t xml:space="preserve">To do this, there needs to be a </w:t>
      </w:r>
      <w:r w:rsidRPr="006C3FE2">
        <w:rPr>
          <w:rFonts w:asciiTheme="majorHAnsi" w:eastAsia="Times New Roman" w:hAnsiTheme="majorHAnsi" w:cs="Tahoma"/>
          <w:b/>
          <w:bCs/>
          <w:i/>
        </w:rPr>
        <w:t>much greater focus on access to appropriate primary health care services to detect, treat and manage these conditions</w:t>
      </w:r>
      <w:r w:rsidRPr="006C3FE2">
        <w:rPr>
          <w:rFonts w:asciiTheme="majorHAnsi" w:eastAsia="Times New Roman" w:hAnsiTheme="majorHAnsi" w:cs="Tahoma"/>
          <w:bCs/>
        </w:rPr>
        <w:t xml:space="preserve">. </w:t>
      </w:r>
      <w:r w:rsidRPr="00CB5D9A">
        <w:rPr>
          <w:rFonts w:asciiTheme="majorHAnsi" w:eastAsia="Times New Roman" w:hAnsiTheme="majorHAnsi" w:cs="Tahoma"/>
        </w:rPr>
        <w:t>And the evidence is that Aboriginal Community Controlled Health Services</w:t>
      </w:r>
      <w:r w:rsidR="002376DC">
        <w:rPr>
          <w:rFonts w:asciiTheme="majorHAnsi" w:eastAsia="Times New Roman" w:hAnsiTheme="majorHAnsi" w:cs="Tahoma"/>
        </w:rPr>
        <w:t xml:space="preserve"> (ACCHS)</w:t>
      </w:r>
      <w:r w:rsidRPr="00CB5D9A">
        <w:rPr>
          <w:rFonts w:asciiTheme="majorHAnsi" w:eastAsia="Times New Roman" w:hAnsiTheme="majorHAnsi" w:cs="Tahoma"/>
        </w:rPr>
        <w:t xml:space="preserve"> provide the best returns on investment in terms of providing both access to health services and the quality of those services.</w:t>
      </w:r>
    </w:p>
    <w:p w14:paraId="46121422" w14:textId="06B8A78E" w:rsidR="00BE5568" w:rsidRPr="00B918A5" w:rsidRDefault="006C3FE2" w:rsidP="001B1130">
      <w:pPr>
        <w:spacing w:before="240" w:after="240"/>
        <w:rPr>
          <w:lang w:val="en-AU"/>
        </w:rPr>
      </w:pPr>
      <w:r>
        <w:rPr>
          <w:lang w:val="en-AU"/>
        </w:rPr>
        <w:t>As such, t</w:t>
      </w:r>
      <w:r w:rsidR="001B1130" w:rsidRPr="006A24D8">
        <w:rPr>
          <w:lang w:val="en-AU"/>
        </w:rPr>
        <w:t>his report affirms the need to keep on track with the Closing the Gap Strategy and</w:t>
      </w:r>
      <w:r w:rsidR="00726869">
        <w:rPr>
          <w:lang w:val="en-AU"/>
        </w:rPr>
        <w:t xml:space="preserve">, with patience, many indicators suggest </w:t>
      </w:r>
      <w:r w:rsidR="001B1130" w:rsidRPr="006A24D8">
        <w:rPr>
          <w:lang w:val="en-AU"/>
        </w:rPr>
        <w:t xml:space="preserve">improvements to life expectancy will be seen in time. Any reduction in effort or momentum will squander the investment we have made as a nation </w:t>
      </w:r>
      <w:r w:rsidR="00726869">
        <w:rPr>
          <w:lang w:val="en-AU"/>
        </w:rPr>
        <w:t>up until now</w:t>
      </w:r>
      <w:r w:rsidR="001B1130" w:rsidRPr="006A24D8">
        <w:rPr>
          <w:lang w:val="en-AU"/>
        </w:rPr>
        <w:t>.</w:t>
      </w:r>
    </w:p>
    <w:p w14:paraId="3E9B44E0" w14:textId="7F41ACBF" w:rsidR="007F439C" w:rsidRDefault="007F439C" w:rsidP="00D77F3E">
      <w:pPr>
        <w:autoSpaceDE w:val="0"/>
        <w:autoSpaceDN w:val="0"/>
        <w:adjustRightInd w:val="0"/>
        <w:spacing w:before="240" w:after="240"/>
        <w:rPr>
          <w:szCs w:val="19"/>
          <w:lang w:val="en-AU"/>
        </w:rPr>
      </w:pPr>
      <w:r w:rsidRPr="00B918A5">
        <w:rPr>
          <w:lang w:val="en-AU"/>
        </w:rPr>
        <w:t xml:space="preserve">The comparison between the life expectancy of Maori peoples and Aboriginal and Torres Strait Islander peoples is illustrative. </w:t>
      </w:r>
      <w:r w:rsidR="00B3284C">
        <w:rPr>
          <w:szCs w:val="19"/>
          <w:lang w:val="en-AU"/>
        </w:rPr>
        <w:t xml:space="preserve">In </w:t>
      </w:r>
      <w:r w:rsidR="00726869">
        <w:rPr>
          <w:szCs w:val="19"/>
          <w:lang w:val="en-AU"/>
        </w:rPr>
        <w:t xml:space="preserve">2010-12 an increase </w:t>
      </w:r>
      <w:r w:rsidRPr="00B918A5">
        <w:rPr>
          <w:szCs w:val="19"/>
          <w:lang w:val="en-AU"/>
        </w:rPr>
        <w:t>of approximately four years has been reported for the Maori life expectancy</w:t>
      </w:r>
      <w:r w:rsidR="00B3284C">
        <w:rPr>
          <w:szCs w:val="19"/>
          <w:lang w:val="en-AU"/>
        </w:rPr>
        <w:t xml:space="preserve"> over the previous decade</w:t>
      </w:r>
      <w:r w:rsidRPr="00B918A5">
        <w:rPr>
          <w:szCs w:val="19"/>
          <w:lang w:val="en-AU"/>
        </w:rPr>
        <w:t xml:space="preserve">. </w:t>
      </w:r>
      <w:r w:rsidR="00BB5F4A" w:rsidRPr="00B918A5">
        <w:rPr>
          <w:szCs w:val="19"/>
          <w:lang w:val="en-AU"/>
        </w:rPr>
        <w:t>But this occurred after</w:t>
      </w:r>
      <w:r w:rsidRPr="00B918A5">
        <w:rPr>
          <w:szCs w:val="19"/>
          <w:lang w:val="en-AU"/>
        </w:rPr>
        <w:t xml:space="preserve"> </w:t>
      </w:r>
      <w:r w:rsidR="00D40DB7" w:rsidRPr="00B918A5">
        <w:rPr>
          <w:szCs w:val="19"/>
          <w:lang w:val="en-AU"/>
        </w:rPr>
        <w:t>two decades</w:t>
      </w:r>
      <w:r w:rsidRPr="00B918A5">
        <w:rPr>
          <w:szCs w:val="19"/>
          <w:lang w:val="en-AU"/>
        </w:rPr>
        <w:t xml:space="preserve"> of </w:t>
      </w:r>
      <w:r w:rsidR="00BB5F4A" w:rsidRPr="00B918A5">
        <w:rPr>
          <w:szCs w:val="19"/>
          <w:lang w:val="en-AU"/>
        </w:rPr>
        <w:t>effort</w:t>
      </w:r>
      <w:r w:rsidRPr="00B918A5">
        <w:rPr>
          <w:szCs w:val="19"/>
          <w:lang w:val="en-AU"/>
        </w:rPr>
        <w:t xml:space="preserve"> in New Zealand</w:t>
      </w:r>
      <w:r w:rsidR="00BB5F4A" w:rsidRPr="00B918A5">
        <w:rPr>
          <w:szCs w:val="19"/>
          <w:lang w:val="en-AU"/>
        </w:rPr>
        <w:t xml:space="preserve">. </w:t>
      </w:r>
      <w:r w:rsidR="00A846EB" w:rsidRPr="00B918A5">
        <w:rPr>
          <w:szCs w:val="19"/>
          <w:lang w:val="en-AU"/>
        </w:rPr>
        <w:t xml:space="preserve">This demonstrates that substantial change is possible but it takes sustained </w:t>
      </w:r>
      <w:r w:rsidR="0069223B" w:rsidRPr="00B918A5">
        <w:rPr>
          <w:szCs w:val="19"/>
          <w:lang w:val="en-AU"/>
        </w:rPr>
        <w:t xml:space="preserve">and </w:t>
      </w:r>
      <w:r w:rsidR="005F0E89" w:rsidRPr="00B918A5">
        <w:rPr>
          <w:szCs w:val="19"/>
          <w:lang w:val="en-AU"/>
        </w:rPr>
        <w:t>continuous effort</w:t>
      </w:r>
      <w:r w:rsidR="0069223B" w:rsidRPr="00B918A5">
        <w:rPr>
          <w:szCs w:val="19"/>
          <w:lang w:val="en-AU"/>
        </w:rPr>
        <w:t xml:space="preserve">. </w:t>
      </w:r>
    </w:p>
    <w:p w14:paraId="65AE2E1F" w14:textId="4AB41371" w:rsidR="00D27EB5" w:rsidRPr="00D27EB5" w:rsidRDefault="00D27EB5" w:rsidP="00D27EB5">
      <w:pPr>
        <w:spacing w:before="240" w:after="240"/>
        <w:rPr>
          <w:rFonts w:cs="Calibri"/>
          <w:bCs/>
          <w:color w:val="000000"/>
          <w:lang w:val="en-AU"/>
        </w:rPr>
      </w:pPr>
      <w:r w:rsidRPr="00B918A5">
        <w:rPr>
          <w:rFonts w:cs="Calibri"/>
          <w:bCs/>
          <w:color w:val="000000"/>
          <w:lang w:val="en-AU"/>
        </w:rPr>
        <w:t xml:space="preserve">The Campaign Steering Committee emphasises the need to ensure that potential changes in Commonwealth-State relations do not </w:t>
      </w:r>
      <w:r w:rsidR="00E83F55">
        <w:rPr>
          <w:rFonts w:cs="Calibri"/>
          <w:bCs/>
          <w:color w:val="000000"/>
          <w:lang w:val="en-AU"/>
        </w:rPr>
        <w:t xml:space="preserve">have the unintended effect of </w:t>
      </w:r>
      <w:r w:rsidRPr="00B918A5">
        <w:rPr>
          <w:rFonts w:cs="Calibri"/>
          <w:bCs/>
          <w:color w:val="000000"/>
          <w:lang w:val="en-AU"/>
        </w:rPr>
        <w:t>undermin</w:t>
      </w:r>
      <w:r w:rsidR="00E83F55">
        <w:rPr>
          <w:rFonts w:cs="Calibri"/>
          <w:bCs/>
          <w:color w:val="000000"/>
          <w:lang w:val="en-AU"/>
        </w:rPr>
        <w:t>ing</w:t>
      </w:r>
      <w:r w:rsidRPr="00B918A5">
        <w:rPr>
          <w:rFonts w:cs="Calibri"/>
          <w:bCs/>
          <w:color w:val="000000"/>
          <w:lang w:val="en-AU"/>
        </w:rPr>
        <w:t xml:space="preserve"> the </w:t>
      </w:r>
      <w:r w:rsidR="00E83F55">
        <w:rPr>
          <w:rFonts w:cs="Calibri"/>
          <w:bCs/>
          <w:color w:val="000000"/>
          <w:lang w:val="en-AU"/>
        </w:rPr>
        <w:t>Closing the Gap Strategy</w:t>
      </w:r>
      <w:r w:rsidRPr="00B918A5">
        <w:rPr>
          <w:rFonts w:cs="Calibri"/>
          <w:bCs/>
          <w:color w:val="000000"/>
          <w:lang w:val="en-AU"/>
        </w:rPr>
        <w:t xml:space="preserve">. </w:t>
      </w:r>
      <w:r w:rsidRPr="006A24D8">
        <w:rPr>
          <w:rFonts w:cs="Calibri"/>
          <w:bCs/>
          <w:color w:val="000000"/>
          <w:lang w:val="en-AU"/>
        </w:rPr>
        <w:t>While recognising that all jurisdictions have a responsibility to contribute, the</w:t>
      </w:r>
      <w:r w:rsidRPr="00B918A5">
        <w:rPr>
          <w:rFonts w:cs="Calibri"/>
          <w:bCs/>
          <w:color w:val="000000"/>
          <w:lang w:val="en-AU"/>
        </w:rPr>
        <w:t xml:space="preserve"> Campaign Steering Committee firmly supports the </w:t>
      </w:r>
      <w:r>
        <w:rPr>
          <w:rFonts w:cs="Calibri"/>
          <w:bCs/>
          <w:color w:val="000000"/>
          <w:lang w:val="en-AU"/>
        </w:rPr>
        <w:t>Australian Government’s</w:t>
      </w:r>
      <w:r w:rsidRPr="00B918A5">
        <w:rPr>
          <w:rFonts w:cs="Calibri"/>
          <w:bCs/>
          <w:color w:val="000000"/>
          <w:lang w:val="en-AU"/>
        </w:rPr>
        <w:t xml:space="preserve"> </w:t>
      </w:r>
      <w:r w:rsidR="00E83F55">
        <w:rPr>
          <w:rFonts w:cs="Calibri"/>
          <w:bCs/>
          <w:color w:val="000000"/>
          <w:lang w:val="en-AU"/>
        </w:rPr>
        <w:t>continuing leadership role</w:t>
      </w:r>
      <w:r w:rsidRPr="00B918A5">
        <w:rPr>
          <w:rFonts w:cs="Calibri"/>
          <w:bCs/>
          <w:color w:val="000000"/>
          <w:lang w:val="en-AU"/>
        </w:rPr>
        <w:t xml:space="preserve"> </w:t>
      </w:r>
      <w:r w:rsidR="00E83F55">
        <w:rPr>
          <w:rFonts w:cs="Calibri"/>
          <w:bCs/>
          <w:color w:val="000000"/>
          <w:lang w:val="en-AU"/>
        </w:rPr>
        <w:t>in an overall</w:t>
      </w:r>
      <w:r w:rsidRPr="00B918A5">
        <w:rPr>
          <w:rFonts w:cs="Calibri"/>
          <w:bCs/>
          <w:color w:val="000000"/>
          <w:lang w:val="en-AU"/>
        </w:rPr>
        <w:t xml:space="preserve"> national approach. </w:t>
      </w:r>
    </w:p>
    <w:p w14:paraId="662C58EA" w14:textId="6AA2E951" w:rsidR="00545F88" w:rsidRPr="006A24D8" w:rsidRDefault="001B1130" w:rsidP="00545F88">
      <w:pPr>
        <w:spacing w:before="240" w:after="240"/>
        <w:ind w:right="74"/>
        <w:rPr>
          <w:lang w:val="en-AU"/>
        </w:rPr>
      </w:pPr>
      <w:r>
        <w:rPr>
          <w:lang w:val="en-AU"/>
        </w:rPr>
        <w:t>The Campaign Steering Committee</w:t>
      </w:r>
      <w:r w:rsidR="00545F88" w:rsidRPr="006A24D8">
        <w:rPr>
          <w:lang w:val="en-AU"/>
        </w:rPr>
        <w:t xml:space="preserve"> recognises the value in the new Indigenous Affairs priorities of the Australian Government</w:t>
      </w:r>
      <w:r w:rsidR="00A83529" w:rsidRPr="006A24D8">
        <w:rPr>
          <w:lang w:val="en-AU"/>
        </w:rPr>
        <w:t>: education, employment and community safety</w:t>
      </w:r>
      <w:r w:rsidR="00545F88" w:rsidRPr="006A24D8">
        <w:rPr>
          <w:lang w:val="en-AU"/>
        </w:rPr>
        <w:t>.</w:t>
      </w:r>
      <w:r w:rsidR="00C15D07">
        <w:rPr>
          <w:lang w:val="en-AU"/>
        </w:rPr>
        <w:t xml:space="preserve"> But there are concerns. </w:t>
      </w:r>
      <w:r w:rsidR="007438E1" w:rsidRPr="006A24D8">
        <w:rPr>
          <w:lang w:val="en-AU"/>
        </w:rPr>
        <w:t xml:space="preserve">In particular, </w:t>
      </w:r>
      <w:r w:rsidR="00726869">
        <w:rPr>
          <w:lang w:val="en-AU"/>
        </w:rPr>
        <w:t xml:space="preserve">a clearer connection between </w:t>
      </w:r>
      <w:r w:rsidR="007438E1" w:rsidRPr="006A24D8">
        <w:rPr>
          <w:lang w:val="en-AU"/>
        </w:rPr>
        <w:t xml:space="preserve">the Indigenous Advancement Strategy </w:t>
      </w:r>
      <w:r w:rsidR="00726869">
        <w:rPr>
          <w:lang w:val="en-AU"/>
        </w:rPr>
        <w:t>and the</w:t>
      </w:r>
      <w:r w:rsidR="00A83529" w:rsidRPr="006A24D8">
        <w:rPr>
          <w:lang w:val="en-AU"/>
        </w:rPr>
        <w:t xml:space="preserve"> </w:t>
      </w:r>
      <w:r w:rsidR="007438E1" w:rsidRPr="006A24D8">
        <w:rPr>
          <w:lang w:val="en-AU"/>
        </w:rPr>
        <w:t>Closing</w:t>
      </w:r>
      <w:r w:rsidR="00545F88" w:rsidRPr="006A24D8">
        <w:rPr>
          <w:lang w:val="en-AU"/>
        </w:rPr>
        <w:t xml:space="preserve"> the Gap Strategy</w:t>
      </w:r>
      <w:r w:rsidR="00A83529" w:rsidRPr="006A24D8">
        <w:rPr>
          <w:lang w:val="en-AU"/>
        </w:rPr>
        <w:t xml:space="preserve"> </w:t>
      </w:r>
      <w:r w:rsidR="00726869">
        <w:rPr>
          <w:lang w:val="en-AU"/>
        </w:rPr>
        <w:t>will enhance both policies</w:t>
      </w:r>
      <w:r w:rsidR="00545F88" w:rsidRPr="006A24D8">
        <w:rPr>
          <w:lang w:val="en-AU"/>
        </w:rPr>
        <w:t>.</w:t>
      </w:r>
      <w:r w:rsidR="00A83529" w:rsidRPr="006A24D8">
        <w:rPr>
          <w:lang w:val="en-AU"/>
        </w:rPr>
        <w:t xml:space="preserve"> </w:t>
      </w:r>
      <w:r w:rsidR="004865B5">
        <w:rPr>
          <w:lang w:val="en-AU"/>
        </w:rPr>
        <w:t>E</w:t>
      </w:r>
      <w:r w:rsidR="00A83529" w:rsidRPr="006A24D8">
        <w:rPr>
          <w:lang w:val="en-AU"/>
        </w:rPr>
        <w:t>mployment, education and community safety</w:t>
      </w:r>
      <w:r w:rsidR="004865B5">
        <w:rPr>
          <w:lang w:val="en-AU"/>
        </w:rPr>
        <w:t xml:space="preserve"> are drivers of improved</w:t>
      </w:r>
      <w:r w:rsidR="00A83529" w:rsidRPr="006A24D8">
        <w:rPr>
          <w:lang w:val="en-AU"/>
        </w:rPr>
        <w:t xml:space="preserve"> health</w:t>
      </w:r>
      <w:r w:rsidR="00DE252B" w:rsidRPr="006A24D8">
        <w:rPr>
          <w:lang w:val="en-AU"/>
        </w:rPr>
        <w:t xml:space="preserve"> and wellbeing</w:t>
      </w:r>
      <w:r w:rsidR="00A83529" w:rsidRPr="006A24D8">
        <w:rPr>
          <w:lang w:val="en-AU"/>
        </w:rPr>
        <w:t xml:space="preserve">. </w:t>
      </w:r>
      <w:r w:rsidR="002534D7" w:rsidRPr="006A24D8">
        <w:rPr>
          <w:lang w:val="en-AU"/>
        </w:rPr>
        <w:t xml:space="preserve">However, good health </w:t>
      </w:r>
      <w:r w:rsidR="004865B5">
        <w:rPr>
          <w:lang w:val="en-AU"/>
        </w:rPr>
        <w:t>is</w:t>
      </w:r>
      <w:r w:rsidR="002534D7" w:rsidRPr="006A24D8">
        <w:rPr>
          <w:lang w:val="en-AU"/>
        </w:rPr>
        <w:t xml:space="preserve"> </w:t>
      </w:r>
      <w:r w:rsidR="00C15D07">
        <w:rPr>
          <w:lang w:val="en-AU"/>
        </w:rPr>
        <w:t xml:space="preserve">equally </w:t>
      </w:r>
      <w:r w:rsidR="002534D7" w:rsidRPr="006A24D8">
        <w:rPr>
          <w:lang w:val="en-AU"/>
        </w:rPr>
        <w:t xml:space="preserve">important </w:t>
      </w:r>
      <w:r w:rsidR="00C15D07">
        <w:rPr>
          <w:lang w:val="en-AU"/>
        </w:rPr>
        <w:t xml:space="preserve">to </w:t>
      </w:r>
      <w:r w:rsidR="00C15D07">
        <w:rPr>
          <w:lang w:val="en-AU"/>
        </w:rPr>
        <w:lastRenderedPageBreak/>
        <w:t xml:space="preserve">employment, education and community safety. Further, the health sector is the biggest employer of </w:t>
      </w:r>
      <w:r w:rsidR="00E83F55">
        <w:rPr>
          <w:lang w:val="en-AU"/>
        </w:rPr>
        <w:t>Aboriginal</w:t>
      </w:r>
      <w:r w:rsidR="00C15D07">
        <w:rPr>
          <w:lang w:val="en-AU"/>
        </w:rPr>
        <w:t xml:space="preserve"> and Torres Strait </w:t>
      </w:r>
      <w:r w:rsidR="00E83F55">
        <w:rPr>
          <w:lang w:val="en-AU"/>
        </w:rPr>
        <w:t>Islander</w:t>
      </w:r>
      <w:r w:rsidR="00C15D07">
        <w:rPr>
          <w:lang w:val="en-AU"/>
        </w:rPr>
        <w:t xml:space="preserve"> people</w:t>
      </w:r>
      <w:r w:rsidR="00E83F55">
        <w:rPr>
          <w:lang w:val="en-AU"/>
        </w:rPr>
        <w:t xml:space="preserve"> and increased investment in health services will result in increased employment. </w:t>
      </w:r>
    </w:p>
    <w:p w14:paraId="4E5BFA4D" w14:textId="3ED7BF79" w:rsidR="007F439C" w:rsidRPr="00B918A5" w:rsidRDefault="007F439C" w:rsidP="00D77F3E">
      <w:pPr>
        <w:spacing w:before="240" w:after="240"/>
        <w:rPr>
          <w:lang w:val="en-AU"/>
        </w:rPr>
      </w:pPr>
      <w:r w:rsidRPr="00B918A5">
        <w:rPr>
          <w:lang w:val="en-AU"/>
        </w:rPr>
        <w:t xml:space="preserve">The Campaign Steering Committee </w:t>
      </w:r>
      <w:r w:rsidR="0060185C" w:rsidRPr="00B918A5">
        <w:rPr>
          <w:lang w:val="en-AU"/>
        </w:rPr>
        <w:t>is</w:t>
      </w:r>
      <w:r w:rsidR="00B17A4A" w:rsidRPr="00B918A5">
        <w:rPr>
          <w:lang w:val="en-AU"/>
        </w:rPr>
        <w:t xml:space="preserve"> </w:t>
      </w:r>
      <w:r w:rsidRPr="00B918A5">
        <w:rPr>
          <w:lang w:val="en-AU"/>
        </w:rPr>
        <w:t>also concerned that hard won Aboriginal and Torres Strait Islander health gains could be negatively impacted by proposed measures containe</w:t>
      </w:r>
      <w:r w:rsidR="005E3E0B">
        <w:rPr>
          <w:lang w:val="en-AU"/>
        </w:rPr>
        <w:t>d in the 2014-15 Budget</w:t>
      </w:r>
      <w:r w:rsidRPr="00B918A5">
        <w:rPr>
          <w:lang w:val="en-AU"/>
        </w:rPr>
        <w:t xml:space="preserve">. </w:t>
      </w:r>
      <w:r w:rsidR="00B17A4A" w:rsidRPr="00B918A5">
        <w:rPr>
          <w:lang w:val="en-AU"/>
        </w:rPr>
        <w:t>Potential cuts to the Tackling Indigenous Smoking program</w:t>
      </w:r>
      <w:r w:rsidR="00DC2482" w:rsidRPr="00B918A5">
        <w:rPr>
          <w:lang w:val="en-AU"/>
        </w:rPr>
        <w:t>me</w:t>
      </w:r>
      <w:r w:rsidR="00B17A4A" w:rsidRPr="00B918A5">
        <w:rPr>
          <w:lang w:val="en-AU"/>
        </w:rPr>
        <w:t xml:space="preserve"> are </w:t>
      </w:r>
      <w:r w:rsidR="008F3B6C">
        <w:rPr>
          <w:lang w:val="en-AU"/>
        </w:rPr>
        <w:t>of</w:t>
      </w:r>
      <w:r w:rsidR="00B17A4A" w:rsidRPr="00B918A5">
        <w:rPr>
          <w:lang w:val="en-AU"/>
        </w:rPr>
        <w:t xml:space="preserve"> particular concern and could </w:t>
      </w:r>
      <w:r w:rsidR="008F3B6C">
        <w:rPr>
          <w:lang w:val="en-AU"/>
        </w:rPr>
        <w:t>hinder</w:t>
      </w:r>
      <w:r w:rsidR="00B17A4A" w:rsidRPr="00B918A5">
        <w:rPr>
          <w:lang w:val="en-AU"/>
        </w:rPr>
        <w:t xml:space="preserve"> the significant progress made in reducing Aboriginal and Torres Strait Islander smoking rates in recent years. </w:t>
      </w:r>
      <w:r w:rsidR="00CB2D88" w:rsidRPr="00B918A5">
        <w:rPr>
          <w:lang w:val="en-AU"/>
        </w:rPr>
        <w:t>Investment in early prevention activities save</w:t>
      </w:r>
      <w:r w:rsidR="00A57A95">
        <w:rPr>
          <w:lang w:val="en-AU"/>
        </w:rPr>
        <w:t>s</w:t>
      </w:r>
      <w:r w:rsidR="00CB2D88" w:rsidRPr="00B918A5">
        <w:rPr>
          <w:lang w:val="en-AU"/>
        </w:rPr>
        <w:t xml:space="preserve"> on the provision of complex care into the future. </w:t>
      </w:r>
      <w:r w:rsidR="005F0E89" w:rsidRPr="00B918A5">
        <w:rPr>
          <w:lang w:val="en-AU"/>
        </w:rPr>
        <w:t>These program</w:t>
      </w:r>
      <w:r w:rsidR="005E3E0B">
        <w:rPr>
          <w:lang w:val="en-AU"/>
        </w:rPr>
        <w:t>me</w:t>
      </w:r>
      <w:r w:rsidR="005F0E89" w:rsidRPr="00B918A5">
        <w:rPr>
          <w:lang w:val="en-AU"/>
        </w:rPr>
        <w:t xml:space="preserve">s also address and have started to make inroads into primary prevention, particularly in healthy eating, nutrition and physical activity. </w:t>
      </w:r>
    </w:p>
    <w:p w14:paraId="399E2807" w14:textId="32150AE2" w:rsidR="001647C8" w:rsidRPr="001647C8" w:rsidRDefault="001647C8" w:rsidP="001647C8">
      <w:pPr>
        <w:spacing w:before="240" w:after="240"/>
        <w:rPr>
          <w:rFonts w:asciiTheme="majorHAnsi" w:hAnsiTheme="majorHAnsi" w:cs="Calibri"/>
          <w:color w:val="000000" w:themeColor="text1"/>
          <w:lang w:val="en-AU"/>
        </w:rPr>
      </w:pPr>
      <w:r>
        <w:rPr>
          <w:rFonts w:asciiTheme="majorHAnsi" w:hAnsiTheme="majorHAnsi"/>
          <w:lang w:val="en-AU"/>
        </w:rPr>
        <w:t>T</w:t>
      </w:r>
      <w:r w:rsidRPr="00B918A5">
        <w:rPr>
          <w:rFonts w:asciiTheme="majorHAnsi" w:hAnsiTheme="majorHAnsi"/>
          <w:lang w:val="en-AU"/>
        </w:rPr>
        <w:t xml:space="preserve">he development of the Implementation Plan for the </w:t>
      </w:r>
      <w:r w:rsidRPr="00B918A5">
        <w:rPr>
          <w:rFonts w:asciiTheme="majorHAnsi" w:hAnsiTheme="majorHAnsi"/>
          <w:i/>
          <w:lang w:val="en-AU"/>
        </w:rPr>
        <w:t>National Aboriginal and Torres Strait Islander Health Plan</w:t>
      </w:r>
      <w:r>
        <w:rPr>
          <w:rFonts w:asciiTheme="majorHAnsi" w:hAnsiTheme="majorHAnsi"/>
          <w:i/>
          <w:lang w:val="en-AU"/>
        </w:rPr>
        <w:t xml:space="preserve"> </w:t>
      </w:r>
      <w:r w:rsidRPr="00577E83">
        <w:rPr>
          <w:rFonts w:asciiTheme="majorHAnsi" w:hAnsiTheme="majorHAnsi"/>
          <w:lang w:val="en-AU"/>
        </w:rPr>
        <w:t>(Health Plan) will</w:t>
      </w:r>
      <w:r>
        <w:rPr>
          <w:rFonts w:asciiTheme="majorHAnsi" w:hAnsiTheme="majorHAnsi"/>
          <w:lang w:val="en-AU"/>
        </w:rPr>
        <w:t xml:space="preserve"> be pivotal in our shared efforts to close the gap</w:t>
      </w:r>
      <w:r w:rsidRPr="00B918A5">
        <w:rPr>
          <w:rFonts w:asciiTheme="majorHAnsi" w:hAnsiTheme="majorHAnsi"/>
          <w:lang w:val="en-AU"/>
        </w:rPr>
        <w:t xml:space="preserve">. </w:t>
      </w:r>
      <w:r>
        <w:rPr>
          <w:rFonts w:asciiTheme="majorHAnsi" w:hAnsiTheme="majorHAnsi"/>
          <w:lang w:val="en-AU"/>
        </w:rPr>
        <w:t>It</w:t>
      </w:r>
      <w:r w:rsidRPr="00B918A5">
        <w:rPr>
          <w:rFonts w:asciiTheme="majorHAnsi" w:hAnsiTheme="majorHAnsi"/>
          <w:lang w:val="en-AU"/>
        </w:rPr>
        <w:t xml:space="preserve"> provides an opportunity to increase the quality and efficiency of services, address service gaps</w:t>
      </w:r>
      <w:r w:rsidR="008F3B6C">
        <w:rPr>
          <w:rFonts w:asciiTheme="majorHAnsi" w:hAnsiTheme="majorHAnsi"/>
          <w:lang w:val="en-AU"/>
        </w:rPr>
        <w:t xml:space="preserve"> by</w:t>
      </w:r>
      <w:r w:rsidRPr="00B918A5">
        <w:rPr>
          <w:rFonts w:asciiTheme="majorHAnsi" w:hAnsiTheme="majorHAnsi"/>
          <w:lang w:val="en-AU"/>
        </w:rPr>
        <w:t xml:space="preserve"> </w:t>
      </w:r>
      <w:r w:rsidRPr="00B918A5">
        <w:rPr>
          <w:rFonts w:asciiTheme="majorHAnsi" w:hAnsiTheme="majorHAnsi" w:cs="Calibri"/>
          <w:color w:val="000000" w:themeColor="text1"/>
          <w:lang w:val="en-AU"/>
        </w:rPr>
        <w:t xml:space="preserve">building on the existing capacity of </w:t>
      </w:r>
      <w:r w:rsidR="002376DC">
        <w:rPr>
          <w:rFonts w:cs="Calibri"/>
          <w:lang w:val="en-AU"/>
        </w:rPr>
        <w:t>ACCHS</w:t>
      </w:r>
      <w:r w:rsidR="008F3B6C">
        <w:rPr>
          <w:rFonts w:cs="Calibri"/>
          <w:lang w:val="en-AU"/>
        </w:rPr>
        <w:t>,</w:t>
      </w:r>
      <w:r w:rsidRPr="00B918A5">
        <w:rPr>
          <w:rFonts w:cs="Calibri"/>
          <w:lang w:val="en-AU"/>
        </w:rPr>
        <w:t xml:space="preserve"> </w:t>
      </w:r>
      <w:r w:rsidRPr="00B918A5">
        <w:rPr>
          <w:rFonts w:asciiTheme="majorHAnsi" w:hAnsiTheme="majorHAnsi" w:cs="Calibri"/>
          <w:color w:val="000000" w:themeColor="text1"/>
          <w:lang w:val="en-AU"/>
        </w:rPr>
        <w:t xml:space="preserve">and </w:t>
      </w:r>
      <w:r w:rsidR="008F3B6C">
        <w:rPr>
          <w:rFonts w:asciiTheme="majorHAnsi" w:hAnsiTheme="majorHAnsi" w:cs="Calibri"/>
          <w:color w:val="000000" w:themeColor="text1"/>
          <w:lang w:val="en-AU"/>
        </w:rPr>
        <w:t xml:space="preserve">to </w:t>
      </w:r>
      <w:r w:rsidRPr="00B918A5">
        <w:rPr>
          <w:rFonts w:asciiTheme="majorHAnsi" w:hAnsiTheme="majorHAnsi" w:cs="Calibri"/>
          <w:color w:val="000000" w:themeColor="text1"/>
          <w:lang w:val="en-AU"/>
        </w:rPr>
        <w:t>expand the Aboriginal and Torres Strait Islander health workforce.</w:t>
      </w:r>
    </w:p>
    <w:p w14:paraId="03725609" w14:textId="274B6D4E" w:rsidR="00F60BDF" w:rsidRPr="00B918A5" w:rsidRDefault="007F439C" w:rsidP="00D715AB">
      <w:pPr>
        <w:widowControl w:val="0"/>
        <w:autoSpaceDE w:val="0"/>
        <w:autoSpaceDN w:val="0"/>
        <w:adjustRightInd w:val="0"/>
        <w:spacing w:before="240" w:after="240"/>
        <w:rPr>
          <w:rFonts w:asciiTheme="majorHAnsi" w:hAnsiTheme="majorHAnsi" w:cs="Calibri"/>
          <w:color w:val="000000" w:themeColor="text1"/>
          <w:lang w:val="en-AU"/>
        </w:rPr>
      </w:pPr>
      <w:r w:rsidRPr="00577E83">
        <w:rPr>
          <w:rFonts w:asciiTheme="majorHAnsi" w:hAnsiTheme="majorHAnsi" w:cs="Calibri"/>
          <w:lang w:val="en-AU"/>
        </w:rPr>
        <w:t>The Campaign Steering Committee remains steadfast in its belief</w:t>
      </w:r>
      <w:r w:rsidRPr="00B918A5">
        <w:rPr>
          <w:rFonts w:asciiTheme="majorHAnsi" w:hAnsiTheme="majorHAnsi" w:cs="Calibri"/>
          <w:color w:val="000000" w:themeColor="text1"/>
          <w:lang w:val="en-AU"/>
        </w:rPr>
        <w:t xml:space="preserve"> that the road to closing the </w:t>
      </w:r>
      <w:r w:rsidR="004C78A7" w:rsidRPr="00B918A5">
        <w:rPr>
          <w:rFonts w:asciiTheme="majorHAnsi" w:hAnsiTheme="majorHAnsi" w:cs="Calibri"/>
          <w:color w:val="000000" w:themeColor="text1"/>
          <w:lang w:val="en-AU"/>
        </w:rPr>
        <w:t xml:space="preserve">health </w:t>
      </w:r>
      <w:r w:rsidRPr="00B918A5">
        <w:rPr>
          <w:rFonts w:asciiTheme="majorHAnsi" w:hAnsiTheme="majorHAnsi" w:cs="Calibri"/>
          <w:color w:val="000000" w:themeColor="text1"/>
          <w:lang w:val="en-AU"/>
        </w:rPr>
        <w:t xml:space="preserve">gap is </w:t>
      </w:r>
      <w:r w:rsidR="00B33F6F" w:rsidRPr="00B918A5">
        <w:rPr>
          <w:rFonts w:asciiTheme="majorHAnsi" w:hAnsiTheme="majorHAnsi" w:cs="Calibri"/>
          <w:color w:val="000000" w:themeColor="text1"/>
          <w:lang w:val="en-AU"/>
        </w:rPr>
        <w:t>embodied</w:t>
      </w:r>
      <w:r w:rsidR="004C78A7" w:rsidRPr="00B918A5">
        <w:rPr>
          <w:rFonts w:asciiTheme="majorHAnsi" w:hAnsiTheme="majorHAnsi" w:cs="Calibri"/>
          <w:color w:val="000000" w:themeColor="text1"/>
          <w:lang w:val="en-AU"/>
        </w:rPr>
        <w:t xml:space="preserve"> </w:t>
      </w:r>
      <w:r w:rsidR="00B33F6F" w:rsidRPr="00B918A5">
        <w:rPr>
          <w:rFonts w:asciiTheme="majorHAnsi" w:hAnsiTheme="majorHAnsi" w:cs="Calibri"/>
          <w:color w:val="000000" w:themeColor="text1"/>
          <w:lang w:val="en-AU"/>
        </w:rPr>
        <w:t>i</w:t>
      </w:r>
      <w:r w:rsidRPr="00B918A5">
        <w:rPr>
          <w:rFonts w:asciiTheme="majorHAnsi" w:hAnsiTheme="majorHAnsi" w:cs="Calibri"/>
          <w:color w:val="000000" w:themeColor="text1"/>
          <w:lang w:val="en-AU"/>
        </w:rPr>
        <w:t xml:space="preserve">n the </w:t>
      </w:r>
      <w:r w:rsidR="007438E1" w:rsidRPr="00B918A5">
        <w:rPr>
          <w:rFonts w:asciiTheme="majorHAnsi" w:hAnsiTheme="majorHAnsi" w:cs="Calibri"/>
          <w:i/>
          <w:color w:val="000000" w:themeColor="text1"/>
          <w:lang w:val="en-AU"/>
        </w:rPr>
        <w:t xml:space="preserve">Close the Gap </w:t>
      </w:r>
      <w:r w:rsidRPr="00B918A5">
        <w:rPr>
          <w:rFonts w:asciiTheme="majorHAnsi" w:hAnsiTheme="majorHAnsi" w:cs="Calibri"/>
          <w:i/>
          <w:color w:val="000000" w:themeColor="text1"/>
          <w:lang w:val="en-AU"/>
        </w:rPr>
        <w:t>Statement of Intent</w:t>
      </w:r>
      <w:r w:rsidR="001E10C7" w:rsidRPr="00B918A5">
        <w:rPr>
          <w:rFonts w:asciiTheme="majorHAnsi" w:hAnsiTheme="majorHAnsi" w:cs="Calibri"/>
          <w:color w:val="000000" w:themeColor="text1"/>
          <w:lang w:val="en-AU"/>
        </w:rPr>
        <w:t xml:space="preserve"> </w:t>
      </w:r>
      <w:r w:rsidR="00D715AB" w:rsidRPr="00B918A5">
        <w:rPr>
          <w:rFonts w:asciiTheme="majorHAnsi" w:hAnsiTheme="majorHAnsi" w:cs="Calibri"/>
          <w:color w:val="000000" w:themeColor="text1"/>
          <w:lang w:val="en-AU"/>
        </w:rPr>
        <w:t xml:space="preserve">signed by the Australian </w:t>
      </w:r>
      <w:r w:rsidR="002376DC">
        <w:rPr>
          <w:rFonts w:asciiTheme="majorHAnsi" w:hAnsiTheme="majorHAnsi" w:cs="Calibri"/>
          <w:color w:val="000000" w:themeColor="text1"/>
          <w:lang w:val="en-AU"/>
        </w:rPr>
        <w:t xml:space="preserve">Government </w:t>
      </w:r>
      <w:r w:rsidR="00D715AB" w:rsidRPr="00B918A5">
        <w:rPr>
          <w:rFonts w:asciiTheme="majorHAnsi" w:hAnsiTheme="majorHAnsi" w:cs="Calibri"/>
          <w:color w:val="000000" w:themeColor="text1"/>
          <w:lang w:val="en-AU"/>
        </w:rPr>
        <w:t xml:space="preserve">and most state and territory governments. </w:t>
      </w:r>
      <w:r w:rsidR="00577E83">
        <w:rPr>
          <w:rFonts w:asciiTheme="majorHAnsi" w:hAnsiTheme="majorHAnsi" w:cs="Calibri"/>
          <w:color w:val="000000" w:themeColor="text1"/>
          <w:lang w:val="en-AU"/>
        </w:rPr>
        <w:t xml:space="preserve">The </w:t>
      </w:r>
      <w:r w:rsidR="00577E83" w:rsidRPr="00577E83">
        <w:rPr>
          <w:rFonts w:asciiTheme="majorHAnsi" w:hAnsiTheme="majorHAnsi" w:cs="Calibri"/>
          <w:i/>
          <w:color w:val="000000" w:themeColor="text1"/>
          <w:lang w:val="en-AU"/>
        </w:rPr>
        <w:t>Close the Gap Statement of Intent</w:t>
      </w:r>
      <w:r w:rsidR="00577E83">
        <w:rPr>
          <w:rFonts w:asciiTheme="majorHAnsi" w:hAnsiTheme="majorHAnsi" w:cs="Calibri"/>
          <w:color w:val="000000" w:themeColor="text1"/>
          <w:lang w:val="en-AU"/>
        </w:rPr>
        <w:t xml:space="preserve"> commits parties</w:t>
      </w:r>
      <w:r w:rsidR="00D715AB" w:rsidRPr="00B918A5">
        <w:rPr>
          <w:rFonts w:asciiTheme="majorHAnsi" w:hAnsiTheme="majorHAnsi" w:cs="Calibri"/>
          <w:color w:val="000000" w:themeColor="text1"/>
          <w:lang w:val="en-AU"/>
        </w:rPr>
        <w:t xml:space="preserve"> to genuine partnerships with Aboriginal and Torres Strait Islander peoples, ensuring appropriate evidence based health services, strengthening the ACCHS sector, effective planning and the use of targets, and addressing</w:t>
      </w:r>
      <w:r w:rsidR="00D04841">
        <w:rPr>
          <w:rFonts w:asciiTheme="majorHAnsi" w:hAnsiTheme="majorHAnsi" w:cs="Calibri"/>
          <w:color w:val="000000" w:themeColor="text1"/>
          <w:lang w:val="en-AU"/>
        </w:rPr>
        <w:t xml:space="preserve"> the</w:t>
      </w:r>
      <w:r w:rsidR="00D715AB" w:rsidRPr="00B918A5">
        <w:rPr>
          <w:rFonts w:asciiTheme="majorHAnsi" w:hAnsiTheme="majorHAnsi" w:cs="Calibri"/>
          <w:color w:val="000000" w:themeColor="text1"/>
          <w:lang w:val="en-AU"/>
        </w:rPr>
        <w:t xml:space="preserve"> social determinants</w:t>
      </w:r>
      <w:r w:rsidR="00D04841">
        <w:rPr>
          <w:rFonts w:asciiTheme="majorHAnsi" w:hAnsiTheme="majorHAnsi" w:cs="Calibri"/>
          <w:color w:val="000000" w:themeColor="text1"/>
          <w:lang w:val="en-AU"/>
        </w:rPr>
        <w:t xml:space="preserve"> of health</w:t>
      </w:r>
      <w:r w:rsidR="00D715AB" w:rsidRPr="00B918A5">
        <w:rPr>
          <w:rFonts w:asciiTheme="majorHAnsi" w:hAnsiTheme="majorHAnsi" w:cs="Calibri"/>
          <w:color w:val="000000" w:themeColor="text1"/>
          <w:lang w:val="en-AU"/>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7F439C" w:rsidRPr="006A24D8" w14:paraId="732AF486" w14:textId="77777777" w:rsidTr="00DB0833">
        <w:tc>
          <w:tcPr>
            <w:tcW w:w="9924" w:type="dxa"/>
            <w:shd w:val="clear" w:color="auto" w:fill="E6E6E6"/>
          </w:tcPr>
          <w:p w14:paraId="4BE5235A" w14:textId="1DDB7CDF" w:rsidR="007F439C" w:rsidRPr="00B918A5" w:rsidDel="009D1FCE" w:rsidRDefault="007F439C">
            <w:pPr>
              <w:jc w:val="center"/>
              <w:rPr>
                <w:rFonts w:cs="Calibri"/>
                <w:b/>
                <w:lang w:val="en-AU"/>
              </w:rPr>
            </w:pPr>
            <w:r w:rsidRPr="00B918A5" w:rsidDel="00DA5364">
              <w:rPr>
                <w:rFonts w:cs="Calibri"/>
                <w:b/>
                <w:lang w:val="en-AU"/>
              </w:rPr>
              <w:t>T</w:t>
            </w:r>
            <w:r w:rsidRPr="00B918A5" w:rsidDel="009D1FCE">
              <w:rPr>
                <w:rFonts w:cs="Calibri"/>
                <w:b/>
                <w:lang w:val="en-AU"/>
              </w:rPr>
              <w:t xml:space="preserve">he Close the Gap Campaign Steering Committee </w:t>
            </w:r>
            <w:r w:rsidRPr="00B918A5">
              <w:rPr>
                <w:rFonts w:cs="Calibri"/>
                <w:b/>
                <w:lang w:val="en-AU"/>
              </w:rPr>
              <w:t>recommends</w:t>
            </w:r>
            <w:r w:rsidRPr="00B918A5" w:rsidDel="009D1FCE">
              <w:rPr>
                <w:rFonts w:cs="Calibri"/>
                <w:b/>
                <w:lang w:val="en-AU"/>
              </w:rPr>
              <w:t>:</w:t>
            </w:r>
            <w:r w:rsidRPr="00B918A5">
              <w:rPr>
                <w:rFonts w:cs="Calibri"/>
                <w:b/>
                <w:lang w:val="en-AU"/>
              </w:rPr>
              <w:t xml:space="preserve">      </w:t>
            </w:r>
          </w:p>
          <w:p w14:paraId="308A219E" w14:textId="77777777" w:rsidR="007F439C" w:rsidRPr="00B918A5" w:rsidRDefault="007F439C">
            <w:pPr>
              <w:autoSpaceDE w:val="0"/>
              <w:autoSpaceDN w:val="0"/>
              <w:adjustRightInd w:val="0"/>
              <w:rPr>
                <w:rFonts w:cs="Calibri"/>
                <w:bCs/>
                <w:color w:val="000000"/>
                <w:lang w:val="en-AU"/>
              </w:rPr>
            </w:pPr>
          </w:p>
          <w:p w14:paraId="4BF523CB" w14:textId="6E1F24A9" w:rsidR="002376DC" w:rsidRPr="002376DC" w:rsidRDefault="002376DC" w:rsidP="002376DC">
            <w:pPr>
              <w:pStyle w:val="ListParagraph"/>
              <w:numPr>
                <w:ilvl w:val="0"/>
                <w:numId w:val="26"/>
              </w:numPr>
              <w:rPr>
                <w:rFonts w:cs="Calibri"/>
                <w:bCs/>
                <w:color w:val="000000"/>
                <w:lang w:val="en-AU"/>
              </w:rPr>
            </w:pPr>
            <w:r w:rsidRPr="002376DC">
              <w:rPr>
                <w:rFonts w:cs="Calibri"/>
                <w:bCs/>
                <w:color w:val="000000"/>
                <w:lang w:val="en-AU"/>
              </w:rPr>
              <w:t xml:space="preserve">That the findings of the </w:t>
            </w:r>
            <w:r w:rsidRPr="00D04841">
              <w:rPr>
                <w:rFonts w:cs="Calibri"/>
                <w:bCs/>
                <w:i/>
                <w:color w:val="000000"/>
                <w:lang w:val="en-AU"/>
              </w:rPr>
              <w:t>National Aboriginal and Torres Strait Islander Health Measures Survey</w:t>
            </w:r>
            <w:r w:rsidRPr="002376DC">
              <w:rPr>
                <w:rFonts w:cs="Calibri"/>
                <w:bCs/>
                <w:color w:val="000000"/>
                <w:lang w:val="en-AU"/>
              </w:rPr>
              <w:t xml:space="preserve"> </w:t>
            </w:r>
            <w:r w:rsidR="00A57A95">
              <w:rPr>
                <w:rFonts w:cs="Calibri"/>
                <w:bCs/>
                <w:color w:val="000000"/>
                <w:lang w:val="en-AU"/>
              </w:rPr>
              <w:t>(</w:t>
            </w:r>
            <w:r w:rsidR="00A57A95" w:rsidRPr="00A57A95">
              <w:rPr>
                <w:rFonts w:cs="Calibri"/>
                <w:bCs/>
                <w:color w:val="000000"/>
                <w:lang w:val="en-AU"/>
              </w:rPr>
              <w:t>NATSIHMS</w:t>
            </w:r>
            <w:r w:rsidR="00A57A95">
              <w:rPr>
                <w:rFonts w:cs="Calibri"/>
                <w:bCs/>
                <w:color w:val="000000"/>
                <w:lang w:val="en-AU"/>
              </w:rPr>
              <w:t xml:space="preserve">) </w:t>
            </w:r>
            <w:r w:rsidRPr="002376DC">
              <w:rPr>
                <w:rFonts w:cs="Calibri"/>
                <w:bCs/>
                <w:color w:val="000000"/>
                <w:lang w:val="en-AU"/>
              </w:rPr>
              <w:t xml:space="preserve">are used to better target chronic conditions that are undetected in the Aboriginal and Torres Strait Islander population. In particular, access to appropriate primary health care services to detect, treat and manage these conditions should be increased. Aboriginal Community Controlled Health Services should be the preferred services for this enhanced, targeted response. </w:t>
            </w:r>
          </w:p>
          <w:p w14:paraId="1DBADA3E" w14:textId="77777777" w:rsidR="002376DC" w:rsidRPr="002376DC" w:rsidRDefault="002376DC" w:rsidP="00C40AA3">
            <w:pPr>
              <w:pStyle w:val="ListParagraph"/>
              <w:widowControl w:val="0"/>
              <w:autoSpaceDE w:val="0"/>
              <w:autoSpaceDN w:val="0"/>
              <w:adjustRightInd w:val="0"/>
              <w:rPr>
                <w:rFonts w:cs="Calibri"/>
                <w:bCs/>
                <w:color w:val="000000"/>
                <w:lang w:val="en-AU"/>
              </w:rPr>
            </w:pPr>
          </w:p>
          <w:p w14:paraId="3E386FC8" w14:textId="510CDF01" w:rsidR="00842B0D" w:rsidRPr="00B918A5" w:rsidRDefault="00D715AB" w:rsidP="00644563">
            <w:pPr>
              <w:pStyle w:val="ListParagraph"/>
              <w:numPr>
                <w:ilvl w:val="0"/>
                <w:numId w:val="26"/>
              </w:numPr>
              <w:rPr>
                <w:rFonts w:cs="Calibri"/>
                <w:bCs/>
                <w:color w:val="000000"/>
                <w:lang w:val="en-AU"/>
              </w:rPr>
            </w:pPr>
            <w:r w:rsidRPr="00B918A5">
              <w:rPr>
                <w:rFonts w:cs="Calibri"/>
                <w:bCs/>
                <w:color w:val="000000"/>
                <w:lang w:val="en-AU"/>
              </w:rPr>
              <w:t>T</w:t>
            </w:r>
            <w:r w:rsidR="00590D34">
              <w:rPr>
                <w:rFonts w:cs="Calibri"/>
                <w:bCs/>
                <w:color w:val="000000"/>
                <w:lang w:val="en-AU"/>
              </w:rPr>
              <w:t>hat t</w:t>
            </w:r>
            <w:r w:rsidR="002B4E85" w:rsidRPr="00B918A5">
              <w:rPr>
                <w:rFonts w:cs="Calibri"/>
                <w:bCs/>
                <w:color w:val="000000"/>
                <w:lang w:val="en-AU"/>
              </w:rPr>
              <w:t xml:space="preserve">he Australian Government </w:t>
            </w:r>
            <w:r w:rsidR="002376DC">
              <w:rPr>
                <w:rFonts w:cs="Calibri"/>
                <w:bCs/>
                <w:color w:val="000000"/>
                <w:lang w:val="en-AU"/>
              </w:rPr>
              <w:t>should continue to lead the COAG</w:t>
            </w:r>
            <w:r w:rsidR="002B4E85" w:rsidRPr="00B918A5">
              <w:rPr>
                <w:rFonts w:cs="Calibri"/>
                <w:bCs/>
                <w:color w:val="000000"/>
                <w:lang w:val="en-AU"/>
              </w:rPr>
              <w:t xml:space="preserve"> Closing the Gap Strategy</w:t>
            </w:r>
            <w:r w:rsidR="00842B0D" w:rsidRPr="00B918A5">
              <w:rPr>
                <w:rFonts w:cs="Calibri"/>
                <w:bCs/>
                <w:color w:val="000000"/>
                <w:lang w:val="en-AU"/>
              </w:rPr>
              <w:t xml:space="preserve">. </w:t>
            </w:r>
          </w:p>
          <w:p w14:paraId="16252D24" w14:textId="77777777" w:rsidR="00842B0D" w:rsidRPr="00B918A5" w:rsidRDefault="00842B0D" w:rsidP="00DB0833">
            <w:pPr>
              <w:pStyle w:val="ListParagraph"/>
              <w:widowControl w:val="0"/>
              <w:autoSpaceDE w:val="0"/>
              <w:autoSpaceDN w:val="0"/>
              <w:adjustRightInd w:val="0"/>
              <w:rPr>
                <w:rFonts w:cs="Calibri"/>
                <w:bCs/>
                <w:color w:val="000000"/>
                <w:lang w:val="en-AU"/>
              </w:rPr>
            </w:pPr>
          </w:p>
          <w:p w14:paraId="634AFA83" w14:textId="0732143A" w:rsidR="006A7E17" w:rsidRPr="006A7E17" w:rsidRDefault="006A7E17" w:rsidP="00644563">
            <w:pPr>
              <w:pStyle w:val="ListParagraph"/>
              <w:widowControl w:val="0"/>
              <w:numPr>
                <w:ilvl w:val="0"/>
                <w:numId w:val="26"/>
              </w:numPr>
              <w:autoSpaceDE w:val="0"/>
              <w:autoSpaceDN w:val="0"/>
              <w:adjustRightInd w:val="0"/>
              <w:rPr>
                <w:rFonts w:cs="Calibri"/>
                <w:bCs/>
                <w:color w:val="000000"/>
                <w:lang w:val="en-AU"/>
              </w:rPr>
            </w:pPr>
            <w:r w:rsidRPr="006A7E17">
              <w:rPr>
                <w:rFonts w:cs="Calibri"/>
                <w:bCs/>
                <w:color w:val="000000"/>
              </w:rPr>
              <w:t xml:space="preserve">That the Australian Government </w:t>
            </w:r>
            <w:proofErr w:type="gramStart"/>
            <w:r w:rsidRPr="006A7E17">
              <w:rPr>
                <w:rFonts w:cs="Calibri"/>
                <w:bCs/>
                <w:color w:val="000000"/>
              </w:rPr>
              <w:t>revisit</w:t>
            </w:r>
            <w:proofErr w:type="gramEnd"/>
            <w:r w:rsidRPr="006A7E17">
              <w:rPr>
                <w:rFonts w:cs="Calibri"/>
                <w:bCs/>
                <w:color w:val="000000"/>
              </w:rPr>
              <w:t xml:space="preserve"> its decision to discontinue the National Indigenous Drug and Alcohol Committee.</w:t>
            </w:r>
          </w:p>
          <w:p w14:paraId="4E79701F" w14:textId="77777777" w:rsidR="006A7E17" w:rsidRPr="006A7E17" w:rsidRDefault="006A7E17" w:rsidP="006A7E17">
            <w:pPr>
              <w:pStyle w:val="ListParagraph"/>
              <w:rPr>
                <w:rFonts w:cs="Calibri"/>
                <w:bCs/>
                <w:color w:val="000000"/>
                <w:lang w:val="en-AU"/>
              </w:rPr>
            </w:pPr>
          </w:p>
          <w:p w14:paraId="2B417D9E" w14:textId="77777777" w:rsidR="00842B0D" w:rsidRPr="00B918A5" w:rsidRDefault="00842B0D" w:rsidP="00644563">
            <w:pPr>
              <w:pStyle w:val="ListParagraph"/>
              <w:widowControl w:val="0"/>
              <w:numPr>
                <w:ilvl w:val="0"/>
                <w:numId w:val="26"/>
              </w:numPr>
              <w:autoSpaceDE w:val="0"/>
              <w:autoSpaceDN w:val="0"/>
              <w:adjustRightInd w:val="0"/>
              <w:rPr>
                <w:rFonts w:cs="Calibri"/>
                <w:bCs/>
                <w:color w:val="000000"/>
                <w:lang w:val="en-AU"/>
              </w:rPr>
            </w:pPr>
            <w:proofErr w:type="gramStart"/>
            <w:r w:rsidRPr="00B918A5">
              <w:rPr>
                <w:rFonts w:cs="Calibri"/>
                <w:bCs/>
                <w:color w:val="000000"/>
                <w:lang w:val="en-AU"/>
              </w:rPr>
              <w:t>That connections</w:t>
            </w:r>
            <w:proofErr w:type="gramEnd"/>
            <w:r w:rsidRPr="00B918A5">
              <w:rPr>
                <w:rFonts w:cs="Calibri"/>
                <w:bCs/>
                <w:color w:val="000000"/>
                <w:lang w:val="en-AU"/>
              </w:rPr>
              <w:t xml:space="preserve"> between the Indigenous Advancement Strategy and the Closing the Gap Strategy are </w:t>
            </w:r>
            <w:r w:rsidR="001E10C7" w:rsidRPr="00B918A5">
              <w:rPr>
                <w:rFonts w:cs="Calibri"/>
                <w:bCs/>
                <w:color w:val="000000"/>
                <w:lang w:val="en-AU"/>
              </w:rPr>
              <w:t xml:space="preserve">clearly </w:t>
            </w:r>
            <w:r w:rsidRPr="00B918A5">
              <w:rPr>
                <w:rFonts w:cs="Calibri"/>
                <w:bCs/>
                <w:color w:val="000000"/>
                <w:lang w:val="en-AU"/>
              </w:rPr>
              <w:t>articulated and developed in recognition of their capacity to mutually support the other</w:t>
            </w:r>
            <w:r w:rsidR="00DC2482" w:rsidRPr="00B918A5">
              <w:rPr>
                <w:rFonts w:cs="Calibri"/>
                <w:bCs/>
                <w:color w:val="000000"/>
                <w:lang w:val="en-AU"/>
              </w:rPr>
              <w:t>’</w:t>
            </w:r>
            <w:r w:rsidRPr="00B918A5">
              <w:rPr>
                <w:rFonts w:cs="Calibri"/>
                <w:bCs/>
                <w:color w:val="000000"/>
                <w:lang w:val="en-AU"/>
              </w:rPr>
              <w:t>s priorities, including closing the health and life expectancy gap.</w:t>
            </w:r>
          </w:p>
          <w:p w14:paraId="0A7CF171" w14:textId="77777777" w:rsidR="007F439C" w:rsidRPr="00B918A5" w:rsidRDefault="007F439C" w:rsidP="00C40AA3">
            <w:pPr>
              <w:pStyle w:val="ListParagraph"/>
              <w:widowControl w:val="0"/>
              <w:autoSpaceDE w:val="0"/>
              <w:autoSpaceDN w:val="0"/>
              <w:adjustRightInd w:val="0"/>
              <w:rPr>
                <w:rFonts w:cs="Calibri"/>
                <w:bCs/>
                <w:color w:val="000000"/>
                <w:lang w:val="en-AU"/>
              </w:rPr>
            </w:pPr>
          </w:p>
          <w:p w14:paraId="764723C3" w14:textId="77777777" w:rsidR="007F439C" w:rsidRPr="00B918A5" w:rsidRDefault="00957843" w:rsidP="00644563">
            <w:pPr>
              <w:pStyle w:val="ListParagraph"/>
              <w:widowControl w:val="0"/>
              <w:numPr>
                <w:ilvl w:val="0"/>
                <w:numId w:val="26"/>
              </w:numPr>
              <w:autoSpaceDE w:val="0"/>
              <w:autoSpaceDN w:val="0"/>
              <w:adjustRightInd w:val="0"/>
              <w:rPr>
                <w:rFonts w:cs="Calibri"/>
                <w:bCs/>
                <w:color w:val="000000"/>
                <w:lang w:val="en-AU"/>
              </w:rPr>
            </w:pPr>
            <w:r w:rsidRPr="00B918A5">
              <w:rPr>
                <w:lang w:val="en-AU"/>
              </w:rPr>
              <w:t>That the Tackling Indigenous Smoking programme is retained and funding is increased above current levels to enable consolidation, improvement and expansion of activities until the gap in the rates of smoking between Aboriginal and Torres Strait Islander and non-Indigenous people closes</w:t>
            </w:r>
            <w:r w:rsidR="007F439C" w:rsidRPr="00B918A5">
              <w:rPr>
                <w:lang w:val="en-AU"/>
              </w:rPr>
              <w:t>.</w:t>
            </w:r>
          </w:p>
          <w:p w14:paraId="2233D405" w14:textId="77777777" w:rsidR="008A2885" w:rsidRPr="00B918A5" w:rsidRDefault="008A2885" w:rsidP="00DB0833">
            <w:pPr>
              <w:pStyle w:val="ListParagraph"/>
              <w:widowControl w:val="0"/>
              <w:autoSpaceDE w:val="0"/>
              <w:autoSpaceDN w:val="0"/>
              <w:adjustRightInd w:val="0"/>
              <w:rPr>
                <w:rFonts w:cs="Calibri"/>
                <w:bCs/>
                <w:color w:val="000000"/>
                <w:lang w:val="en-AU"/>
              </w:rPr>
            </w:pPr>
          </w:p>
          <w:p w14:paraId="3959981D" w14:textId="7D5A6A2D" w:rsidR="002964ED" w:rsidRPr="002964ED" w:rsidRDefault="008F3B6C" w:rsidP="00644563">
            <w:pPr>
              <w:pStyle w:val="ListParagraph"/>
              <w:widowControl w:val="0"/>
              <w:numPr>
                <w:ilvl w:val="0"/>
                <w:numId w:val="26"/>
              </w:numPr>
              <w:autoSpaceDE w:val="0"/>
              <w:autoSpaceDN w:val="0"/>
              <w:adjustRightInd w:val="0"/>
              <w:rPr>
                <w:rFonts w:cs="Calibri"/>
                <w:bCs/>
                <w:color w:val="000000"/>
                <w:lang w:val="en-AU"/>
              </w:rPr>
            </w:pPr>
            <w:proofErr w:type="gramStart"/>
            <w:r>
              <w:rPr>
                <w:rFonts w:cs="Calibri"/>
                <w:bCs/>
                <w:color w:val="000000"/>
                <w:lang w:val="en-AU"/>
              </w:rPr>
              <w:t>That p</w:t>
            </w:r>
            <w:r w:rsidR="002964ED" w:rsidRPr="002964ED">
              <w:rPr>
                <w:rFonts w:cs="Calibri"/>
                <w:bCs/>
                <w:color w:val="000000"/>
                <w:lang w:val="en-AU"/>
              </w:rPr>
              <w:t>roxy indicators</w:t>
            </w:r>
            <w:proofErr w:type="gramEnd"/>
            <w:r w:rsidR="002964ED" w:rsidRPr="002964ED">
              <w:rPr>
                <w:rFonts w:cs="Calibri"/>
                <w:bCs/>
                <w:color w:val="000000"/>
                <w:lang w:val="en-AU"/>
              </w:rPr>
              <w:t xml:space="preserve"> are developed to provide insights into </w:t>
            </w:r>
            <w:r w:rsidR="00AA0A7A">
              <w:rPr>
                <w:rFonts w:cs="Calibri"/>
                <w:bCs/>
                <w:color w:val="000000"/>
                <w:lang w:val="en-AU"/>
              </w:rPr>
              <w:t>the</w:t>
            </w:r>
            <w:r w:rsidR="002964ED" w:rsidRPr="002964ED">
              <w:rPr>
                <w:rFonts w:cs="Calibri"/>
                <w:bCs/>
                <w:color w:val="000000"/>
                <w:lang w:val="en-AU"/>
              </w:rPr>
              <w:t xml:space="preserve"> use and availability of health services </w:t>
            </w:r>
            <w:r w:rsidR="00AA0A7A">
              <w:rPr>
                <w:rFonts w:cs="Calibri"/>
                <w:bCs/>
                <w:color w:val="000000"/>
                <w:lang w:val="en-AU"/>
              </w:rPr>
              <w:t>on</w:t>
            </w:r>
            <w:r w:rsidR="002964ED" w:rsidRPr="002964ED">
              <w:rPr>
                <w:rFonts w:cs="Calibri"/>
                <w:bCs/>
                <w:color w:val="000000"/>
                <w:lang w:val="en-AU"/>
              </w:rPr>
              <w:t xml:space="preserve"> Aboriginal and Torres Strait Islander health and life expectancy</w:t>
            </w:r>
            <w:r w:rsidR="00AA0A7A">
              <w:rPr>
                <w:rFonts w:cs="Calibri"/>
                <w:bCs/>
                <w:color w:val="000000"/>
                <w:lang w:val="en-AU"/>
              </w:rPr>
              <w:t xml:space="preserve"> outcomes</w:t>
            </w:r>
            <w:r w:rsidR="002964ED" w:rsidRPr="002964ED">
              <w:rPr>
                <w:rFonts w:cs="Calibri"/>
                <w:bCs/>
                <w:color w:val="000000"/>
                <w:lang w:val="en-AU"/>
              </w:rPr>
              <w:t>.</w:t>
            </w:r>
          </w:p>
          <w:p w14:paraId="3D2D5146" w14:textId="77777777" w:rsidR="002964ED" w:rsidRPr="002964ED" w:rsidRDefault="002964ED" w:rsidP="002964ED">
            <w:pPr>
              <w:pStyle w:val="ListParagraph"/>
              <w:rPr>
                <w:rFonts w:asciiTheme="majorHAnsi" w:hAnsiTheme="majorHAnsi"/>
                <w:lang w:val="en-AU"/>
              </w:rPr>
            </w:pPr>
          </w:p>
          <w:p w14:paraId="0E93C1E0" w14:textId="13AD031C" w:rsidR="008A2885" w:rsidRPr="00B918A5" w:rsidRDefault="008A2885" w:rsidP="00644563">
            <w:pPr>
              <w:pStyle w:val="ListParagraph"/>
              <w:widowControl w:val="0"/>
              <w:numPr>
                <w:ilvl w:val="0"/>
                <w:numId w:val="26"/>
              </w:numPr>
              <w:autoSpaceDE w:val="0"/>
              <w:autoSpaceDN w:val="0"/>
              <w:adjustRightInd w:val="0"/>
              <w:rPr>
                <w:rFonts w:cs="Calibri"/>
                <w:bCs/>
                <w:color w:val="000000"/>
                <w:lang w:val="en-AU"/>
              </w:rPr>
            </w:pPr>
            <w:r w:rsidRPr="00B918A5">
              <w:rPr>
                <w:rFonts w:asciiTheme="majorHAnsi" w:hAnsiTheme="majorHAnsi"/>
                <w:lang w:val="en-AU"/>
              </w:rPr>
              <w:t xml:space="preserve">The </w:t>
            </w:r>
            <w:r w:rsidRPr="00B918A5">
              <w:rPr>
                <w:rFonts w:asciiTheme="majorHAnsi" w:hAnsiTheme="majorHAnsi"/>
                <w:i/>
                <w:lang w:val="en-AU"/>
              </w:rPr>
              <w:t xml:space="preserve">National Strategic Framework for Aboriginal and Torres Strait Islander Peoples’ Mental Health and Social and Emotional Wellbeing </w:t>
            </w:r>
            <w:r w:rsidRPr="00B918A5">
              <w:rPr>
                <w:rFonts w:asciiTheme="majorHAnsi" w:hAnsiTheme="majorHAnsi"/>
                <w:lang w:val="en-AU"/>
              </w:rPr>
              <w:t xml:space="preserve">provides the basis for a dedicated Aboriginal and Torres Strait Islander mental health and social and emotional wellbeing plan. This is developed and implemented with the </w:t>
            </w:r>
            <w:r w:rsidRPr="00B918A5">
              <w:rPr>
                <w:rFonts w:asciiTheme="majorHAnsi" w:hAnsiTheme="majorHAnsi"/>
                <w:i/>
                <w:lang w:val="en-AU"/>
              </w:rPr>
              <w:t>National Aboriginal and Torres Strait Islander Health Plan</w:t>
            </w:r>
            <w:r w:rsidRPr="00B918A5">
              <w:rPr>
                <w:rFonts w:asciiTheme="majorHAnsi" w:hAnsiTheme="majorHAnsi"/>
                <w:lang w:val="en-AU"/>
              </w:rPr>
              <w:t xml:space="preserve">, the </w:t>
            </w:r>
            <w:r w:rsidRPr="00B918A5">
              <w:rPr>
                <w:rFonts w:asciiTheme="majorHAnsi" w:hAnsiTheme="majorHAnsi"/>
                <w:i/>
                <w:lang w:val="en-AU"/>
              </w:rPr>
              <w:t>National Aboriginal and Torres Strait Islander Suicide Prevention Strategy 2013</w:t>
            </w:r>
            <w:r w:rsidRPr="00B918A5">
              <w:rPr>
                <w:rFonts w:asciiTheme="majorHAnsi" w:hAnsiTheme="majorHAnsi"/>
                <w:lang w:val="en-AU"/>
              </w:rPr>
              <w:t xml:space="preserve"> and the </w:t>
            </w:r>
            <w:r w:rsidRPr="00B918A5">
              <w:rPr>
                <w:rFonts w:asciiTheme="majorHAnsi" w:hAnsiTheme="majorHAnsi"/>
                <w:i/>
                <w:lang w:val="en-AU"/>
              </w:rPr>
              <w:t>National Aboriginal and Torres Strait Islander Peoples’ Drug Strategy</w:t>
            </w:r>
            <w:r w:rsidRPr="00B918A5">
              <w:rPr>
                <w:rFonts w:asciiTheme="majorHAnsi" w:hAnsiTheme="majorHAnsi"/>
                <w:lang w:val="en-AU"/>
              </w:rPr>
              <w:t xml:space="preserve"> implementation processes in order to avoid duplication, be more </w:t>
            </w:r>
            <w:r w:rsidRPr="00B918A5">
              <w:rPr>
                <w:rFonts w:asciiTheme="majorHAnsi" w:hAnsiTheme="majorHAnsi"/>
                <w:lang w:val="en-AU"/>
              </w:rPr>
              <w:lastRenderedPageBreak/>
              <w:t xml:space="preserve">efficient, and maximise opportunities in this </w:t>
            </w:r>
            <w:r w:rsidR="00D715AB" w:rsidRPr="00B918A5">
              <w:rPr>
                <w:rFonts w:asciiTheme="majorHAnsi" w:hAnsiTheme="majorHAnsi"/>
                <w:lang w:val="en-AU"/>
              </w:rPr>
              <w:t>critical field</w:t>
            </w:r>
            <w:r w:rsidRPr="00B918A5">
              <w:rPr>
                <w:rFonts w:asciiTheme="majorHAnsi" w:hAnsiTheme="majorHAnsi"/>
                <w:lang w:val="en-AU"/>
              </w:rPr>
              <w:t>.</w:t>
            </w:r>
          </w:p>
          <w:p w14:paraId="558160E0" w14:textId="77777777" w:rsidR="007F439C" w:rsidRPr="00B918A5" w:rsidRDefault="007F439C">
            <w:pPr>
              <w:rPr>
                <w:rFonts w:cs="Calibri"/>
                <w:bCs/>
                <w:color w:val="000000"/>
                <w:lang w:val="en-AU"/>
              </w:rPr>
            </w:pPr>
          </w:p>
          <w:p w14:paraId="5F6E5B8C" w14:textId="3BCE511E" w:rsidR="00AF7AF8" w:rsidRPr="00255650" w:rsidRDefault="00D04841" w:rsidP="00644563">
            <w:pPr>
              <w:pStyle w:val="ListParagraph"/>
              <w:numPr>
                <w:ilvl w:val="0"/>
                <w:numId w:val="26"/>
              </w:numPr>
              <w:rPr>
                <w:rFonts w:cs="Calibri"/>
                <w:bCs/>
                <w:color w:val="000000"/>
                <w:lang w:val="en-AU"/>
              </w:rPr>
            </w:pPr>
            <w:r>
              <w:rPr>
                <w:rFonts w:cs="Calibri"/>
                <w:bCs/>
                <w:color w:val="000000"/>
                <w:lang w:val="en-AU"/>
              </w:rPr>
              <w:t>That Closing the Gap T</w:t>
            </w:r>
            <w:r w:rsidR="00255650" w:rsidRPr="00255650">
              <w:rPr>
                <w:rFonts w:cs="Calibri"/>
                <w:bCs/>
                <w:color w:val="000000"/>
                <w:lang w:val="en-AU"/>
              </w:rPr>
              <w:t>argets to reduce imprisonment and violence rates are developed, and</w:t>
            </w:r>
            <w:r>
              <w:rPr>
                <w:rFonts w:cs="Calibri"/>
                <w:bCs/>
                <w:color w:val="000000"/>
                <w:lang w:val="en-AU"/>
              </w:rPr>
              <w:t xml:space="preserve"> activity towards reaching the T</w:t>
            </w:r>
            <w:r w:rsidR="00255650" w:rsidRPr="00255650">
              <w:rPr>
                <w:rFonts w:cs="Calibri"/>
                <w:bCs/>
                <w:color w:val="000000"/>
                <w:lang w:val="en-AU"/>
              </w:rPr>
              <w:t>argets is funded through justice reinvestment measures.</w:t>
            </w:r>
          </w:p>
          <w:p w14:paraId="27BAF276" w14:textId="77777777" w:rsidR="00AF7AF8" w:rsidRPr="001647C8" w:rsidRDefault="00AF7AF8" w:rsidP="001647C8">
            <w:pPr>
              <w:ind w:left="360"/>
              <w:rPr>
                <w:rFonts w:cs="Calibri"/>
                <w:bCs/>
                <w:color w:val="000000"/>
                <w:lang w:val="en-AU"/>
              </w:rPr>
            </w:pPr>
          </w:p>
          <w:p w14:paraId="49F46239" w14:textId="621836CC" w:rsidR="007F439C" w:rsidRDefault="006A7E17" w:rsidP="006A7E17">
            <w:pPr>
              <w:pStyle w:val="ListParagraph"/>
              <w:numPr>
                <w:ilvl w:val="0"/>
                <w:numId w:val="26"/>
              </w:numPr>
              <w:rPr>
                <w:rFonts w:cs="Calibri"/>
                <w:bCs/>
                <w:color w:val="000000"/>
                <w:lang w:val="en-AU"/>
              </w:rPr>
            </w:pPr>
            <w:r w:rsidRPr="006A7E17">
              <w:rPr>
                <w:rFonts w:cs="Calibri"/>
                <w:bCs/>
                <w:color w:val="000000"/>
                <w:lang w:val="en-AU"/>
              </w:rPr>
              <w:t xml:space="preserve">That the Implementation Plan for the National Aboriginal and Torres Strait Islander Health Plan include the </w:t>
            </w:r>
            <w:r w:rsidR="00A57A95">
              <w:rPr>
                <w:rFonts w:cs="Calibri"/>
                <w:bCs/>
                <w:color w:val="000000"/>
                <w:lang w:val="en-AU"/>
              </w:rPr>
              <w:t xml:space="preserve">following </w:t>
            </w:r>
            <w:r w:rsidRPr="006A7E17">
              <w:rPr>
                <w:rFonts w:cs="Calibri"/>
                <w:bCs/>
                <w:color w:val="000000"/>
                <w:lang w:val="en-AU"/>
              </w:rPr>
              <w:t>essential elements</w:t>
            </w:r>
            <w:r w:rsidR="00A57A95">
              <w:rPr>
                <w:rFonts w:cs="Calibri"/>
                <w:bCs/>
                <w:color w:val="000000"/>
                <w:lang w:val="en-AU"/>
              </w:rPr>
              <w:t>:</w:t>
            </w:r>
          </w:p>
          <w:p w14:paraId="7DAC54D7" w14:textId="4D3B05ED" w:rsidR="00A57A95" w:rsidRPr="00A57A95" w:rsidRDefault="00A57A95" w:rsidP="0018076A">
            <w:pPr>
              <w:pStyle w:val="ListParagraph"/>
              <w:numPr>
                <w:ilvl w:val="1"/>
                <w:numId w:val="26"/>
              </w:numPr>
              <w:spacing w:before="120" w:after="120"/>
              <w:ind w:left="1168" w:hanging="357"/>
              <w:contextualSpacing w:val="0"/>
              <w:rPr>
                <w:rFonts w:cs="Calibri"/>
                <w:bCs/>
                <w:color w:val="000000"/>
                <w:lang w:val="en-AU"/>
              </w:rPr>
            </w:pPr>
            <w:r w:rsidRPr="00A57A95">
              <w:rPr>
                <w:rFonts w:cs="Calibri"/>
                <w:bCs/>
                <w:color w:val="000000"/>
                <w:lang w:val="en-AU"/>
              </w:rPr>
              <w:t>Set targets to measure progress and outcomes;</w:t>
            </w:r>
          </w:p>
          <w:p w14:paraId="573FAC46" w14:textId="0A9BA680" w:rsidR="00A57A95" w:rsidRPr="00A57A95" w:rsidRDefault="00A57A95" w:rsidP="0018076A">
            <w:pPr>
              <w:pStyle w:val="ListParagraph"/>
              <w:numPr>
                <w:ilvl w:val="1"/>
                <w:numId w:val="26"/>
              </w:numPr>
              <w:spacing w:before="120" w:after="120"/>
              <w:ind w:left="1168" w:hanging="357"/>
              <w:contextualSpacing w:val="0"/>
              <w:rPr>
                <w:rFonts w:cs="Calibri"/>
                <w:bCs/>
                <w:color w:val="000000"/>
                <w:lang w:val="en-AU"/>
              </w:rPr>
            </w:pPr>
            <w:r w:rsidRPr="00A57A95">
              <w:rPr>
                <w:rFonts w:cs="Calibri"/>
                <w:bCs/>
                <w:color w:val="000000"/>
                <w:lang w:val="en-AU"/>
              </w:rPr>
              <w:t>Develop a model of comprehensive core services across a person’s whole of life;</w:t>
            </w:r>
          </w:p>
          <w:p w14:paraId="40C0D01F" w14:textId="43897080" w:rsidR="00A57A95" w:rsidRPr="00A57A95" w:rsidRDefault="00A57A95" w:rsidP="0018076A">
            <w:pPr>
              <w:pStyle w:val="ListParagraph"/>
              <w:numPr>
                <w:ilvl w:val="1"/>
                <w:numId w:val="26"/>
              </w:numPr>
              <w:spacing w:before="120" w:after="120"/>
              <w:ind w:left="1168" w:hanging="357"/>
              <w:contextualSpacing w:val="0"/>
              <w:rPr>
                <w:rFonts w:cs="Calibri"/>
                <w:bCs/>
                <w:color w:val="000000"/>
                <w:lang w:val="en-AU"/>
              </w:rPr>
            </w:pPr>
            <w:r w:rsidRPr="00A57A95">
              <w:rPr>
                <w:rFonts w:cs="Calibri"/>
                <w:bCs/>
                <w:color w:val="000000"/>
                <w:lang w:val="en-AU"/>
              </w:rPr>
              <w:t>Develop workforce, infrastructure, information management and funding strategies based on the core services model;</w:t>
            </w:r>
          </w:p>
          <w:p w14:paraId="3FFD152C" w14:textId="40E316C8" w:rsidR="00A57A95" w:rsidRPr="00A57A95" w:rsidRDefault="00A57A95" w:rsidP="0018076A">
            <w:pPr>
              <w:pStyle w:val="ListParagraph"/>
              <w:numPr>
                <w:ilvl w:val="1"/>
                <w:numId w:val="26"/>
              </w:numPr>
              <w:spacing w:before="120" w:after="120"/>
              <w:ind w:left="1168" w:hanging="357"/>
              <w:contextualSpacing w:val="0"/>
              <w:rPr>
                <w:rFonts w:cs="Calibri"/>
                <w:bCs/>
                <w:color w:val="000000"/>
                <w:lang w:val="en-AU"/>
              </w:rPr>
            </w:pPr>
            <w:r w:rsidRPr="00A57A95">
              <w:rPr>
                <w:rFonts w:cs="Calibri"/>
                <w:bCs/>
                <w:color w:val="000000"/>
                <w:lang w:val="en-AU"/>
              </w:rPr>
              <w:t>A mapping of regions with relatively poor health outcomes and inadequate services. This will enable the identification of services gaps and the development of capacity building plans;</w:t>
            </w:r>
          </w:p>
          <w:p w14:paraId="6B21FFA4" w14:textId="080BFB81" w:rsidR="00A57A95" w:rsidRPr="00A57A95" w:rsidRDefault="00A57A95" w:rsidP="0018076A">
            <w:pPr>
              <w:pStyle w:val="ListParagraph"/>
              <w:numPr>
                <w:ilvl w:val="1"/>
                <w:numId w:val="26"/>
              </w:numPr>
              <w:spacing w:before="120" w:after="120"/>
              <w:ind w:left="1168" w:hanging="357"/>
              <w:contextualSpacing w:val="0"/>
              <w:rPr>
                <w:rFonts w:cs="Calibri"/>
                <w:bCs/>
                <w:color w:val="000000"/>
                <w:lang w:val="en-AU"/>
              </w:rPr>
            </w:pPr>
            <w:r w:rsidRPr="00A57A95">
              <w:rPr>
                <w:rFonts w:cs="Calibri"/>
                <w:bCs/>
                <w:color w:val="000000"/>
                <w:lang w:val="en-AU"/>
              </w:rPr>
              <w:t>Identify and eradicate systemic racism within the health system and improve access to and outcomes across primary, secondary and tertiary health care;</w:t>
            </w:r>
          </w:p>
          <w:p w14:paraId="12591B6F" w14:textId="19413E2B" w:rsidR="00A57A95" w:rsidRPr="00A57A95" w:rsidRDefault="00A57A95" w:rsidP="0018076A">
            <w:pPr>
              <w:pStyle w:val="ListParagraph"/>
              <w:numPr>
                <w:ilvl w:val="1"/>
                <w:numId w:val="26"/>
              </w:numPr>
              <w:spacing w:before="120" w:after="120"/>
              <w:ind w:left="1168" w:hanging="357"/>
              <w:contextualSpacing w:val="0"/>
              <w:rPr>
                <w:rFonts w:cs="Calibri"/>
                <w:bCs/>
                <w:color w:val="000000"/>
                <w:lang w:val="en-AU"/>
              </w:rPr>
            </w:pPr>
            <w:r w:rsidRPr="00A57A95">
              <w:rPr>
                <w:rFonts w:cs="Calibri"/>
                <w:bCs/>
                <w:color w:val="000000"/>
                <w:lang w:val="en-AU"/>
              </w:rPr>
              <w:t>Ensure that culture is reflected in practical ways throughout Implementation Plan actions as it is central to the health and wellbeing of Aboriginal and Torres Strait Islander people;</w:t>
            </w:r>
          </w:p>
          <w:p w14:paraId="7F7E37AE" w14:textId="1CBF2FD2" w:rsidR="00A57A95" w:rsidRPr="00A57A95" w:rsidRDefault="00A57A95" w:rsidP="0018076A">
            <w:pPr>
              <w:pStyle w:val="ListParagraph"/>
              <w:numPr>
                <w:ilvl w:val="1"/>
                <w:numId w:val="26"/>
              </w:numPr>
              <w:spacing w:before="120" w:after="120"/>
              <w:ind w:left="1168" w:hanging="357"/>
              <w:contextualSpacing w:val="0"/>
              <w:rPr>
                <w:rFonts w:cs="Calibri"/>
                <w:bCs/>
                <w:color w:val="000000"/>
                <w:lang w:val="en-AU"/>
              </w:rPr>
            </w:pPr>
            <w:r w:rsidRPr="00A57A95">
              <w:rPr>
                <w:rFonts w:cs="Calibri"/>
                <w:bCs/>
                <w:color w:val="000000"/>
                <w:lang w:val="en-AU"/>
              </w:rPr>
              <w:t>Include a comprehensive address of the social and cultural determinants of health; and</w:t>
            </w:r>
          </w:p>
          <w:p w14:paraId="5463AC99" w14:textId="62B76E8E" w:rsidR="00A57A95" w:rsidRPr="00A57A95" w:rsidRDefault="00A57A95" w:rsidP="0018076A">
            <w:pPr>
              <w:pStyle w:val="ListParagraph"/>
              <w:numPr>
                <w:ilvl w:val="1"/>
                <w:numId w:val="26"/>
              </w:numPr>
              <w:spacing w:before="120" w:after="120"/>
              <w:ind w:left="1168" w:hanging="357"/>
              <w:contextualSpacing w:val="0"/>
              <w:rPr>
                <w:rFonts w:cs="Calibri"/>
                <w:bCs/>
                <w:color w:val="000000"/>
                <w:lang w:val="en-AU"/>
              </w:rPr>
            </w:pPr>
            <w:r>
              <w:rPr>
                <w:rFonts w:cs="Calibri"/>
                <w:bCs/>
                <w:color w:val="000000"/>
                <w:lang w:val="en-AU"/>
              </w:rPr>
              <w:t>E</w:t>
            </w:r>
            <w:r w:rsidRPr="00A57A95">
              <w:rPr>
                <w:rFonts w:cs="Calibri"/>
                <w:bCs/>
                <w:color w:val="000000"/>
                <w:lang w:val="en-AU"/>
              </w:rPr>
              <w:t>stablish partnership arrangements between the Australian Government and state and territory governments and between ACCHS and mainstream services providers at the regional level for the delivery of appropriate health services.</w:t>
            </w:r>
          </w:p>
          <w:p w14:paraId="38FA3E0B" w14:textId="77777777" w:rsidR="001647C8" w:rsidRPr="001647C8" w:rsidRDefault="001647C8" w:rsidP="001647C8">
            <w:pPr>
              <w:rPr>
                <w:rFonts w:cs="Calibri"/>
                <w:bCs/>
                <w:color w:val="000000"/>
                <w:lang w:val="en-AU"/>
              </w:rPr>
            </w:pPr>
          </w:p>
        </w:tc>
      </w:tr>
    </w:tbl>
    <w:p w14:paraId="51F3B24A" w14:textId="77777777" w:rsidR="007F439C" w:rsidRPr="00B918A5" w:rsidRDefault="007F439C" w:rsidP="007D7616">
      <w:pPr>
        <w:pStyle w:val="Heading1"/>
        <w:numPr>
          <w:ilvl w:val="0"/>
          <w:numId w:val="0"/>
        </w:numPr>
        <w:ind w:left="851" w:hanging="851"/>
        <w:rPr>
          <w:lang w:val="en-AU"/>
        </w:rPr>
      </w:pPr>
      <w:r w:rsidRPr="00B918A5">
        <w:rPr>
          <w:lang w:val="en-AU"/>
        </w:rPr>
        <w:lastRenderedPageBreak/>
        <w:br w:type="page"/>
      </w:r>
      <w:bookmarkStart w:id="1" w:name="_Toc409788706"/>
      <w:r w:rsidRPr="00B918A5">
        <w:rPr>
          <w:lang w:val="en-AU"/>
        </w:rPr>
        <w:lastRenderedPageBreak/>
        <w:t>Introduction</w:t>
      </w:r>
      <w:bookmarkEnd w:id="1"/>
    </w:p>
    <w:p w14:paraId="0D0B933C" w14:textId="2A2C5EB6" w:rsidR="007F439C" w:rsidRPr="00B918A5" w:rsidRDefault="007F439C" w:rsidP="005D2610">
      <w:pPr>
        <w:spacing w:before="240" w:after="240"/>
        <w:ind w:right="74"/>
        <w:rPr>
          <w:lang w:val="en-AU"/>
        </w:rPr>
      </w:pPr>
      <w:r w:rsidRPr="00B918A5">
        <w:rPr>
          <w:rFonts w:cs="Calibri"/>
          <w:lang w:val="en-AU"/>
        </w:rPr>
        <w:t xml:space="preserve">In March 2008, the then Australian Government and Opposition signed the </w:t>
      </w:r>
      <w:r w:rsidRPr="00B918A5">
        <w:rPr>
          <w:rFonts w:cs="Calibri"/>
          <w:i/>
          <w:lang w:val="en-AU"/>
        </w:rPr>
        <w:t>Close the Gap Statement of Intent</w:t>
      </w:r>
      <w:r w:rsidRPr="00B918A5">
        <w:rPr>
          <w:rFonts w:cs="Calibri"/>
          <w:lang w:val="en-AU"/>
        </w:rPr>
        <w:t>,</w:t>
      </w:r>
      <w:r w:rsidRPr="00B918A5">
        <w:rPr>
          <w:rFonts w:cs="Calibri"/>
          <w:i/>
          <w:lang w:val="en-AU"/>
        </w:rPr>
        <w:t xml:space="preserve"> </w:t>
      </w:r>
      <w:r w:rsidRPr="00B918A5">
        <w:rPr>
          <w:rFonts w:cs="Calibri"/>
          <w:lang w:val="en-AU"/>
        </w:rPr>
        <w:t xml:space="preserve">committing to closing the health </w:t>
      </w:r>
      <w:r w:rsidR="009E6F32">
        <w:rPr>
          <w:rFonts w:cs="Calibri"/>
          <w:lang w:val="en-AU"/>
        </w:rPr>
        <w:t xml:space="preserve">and life expectancy </w:t>
      </w:r>
      <w:r w:rsidRPr="00B918A5">
        <w:rPr>
          <w:rFonts w:cs="Calibri"/>
          <w:lang w:val="en-AU"/>
        </w:rPr>
        <w:t xml:space="preserve">gap between Aboriginal and Torres Strait Islander people and non-Indigenous Australians by 2030. </w:t>
      </w:r>
      <w:r w:rsidRPr="00B918A5">
        <w:rPr>
          <w:lang w:val="en-AU"/>
        </w:rPr>
        <w:t xml:space="preserve">All Australian governments ratified this commitment when </w:t>
      </w:r>
      <w:r w:rsidR="00E81275" w:rsidRPr="00B918A5">
        <w:rPr>
          <w:lang w:val="en-AU"/>
        </w:rPr>
        <w:t xml:space="preserve">the </w:t>
      </w:r>
      <w:r w:rsidR="006C3FE2">
        <w:rPr>
          <w:lang w:val="en-AU"/>
        </w:rPr>
        <w:t>Council of Australian Governments (</w:t>
      </w:r>
      <w:r w:rsidRPr="00B918A5">
        <w:rPr>
          <w:lang w:val="en-AU"/>
        </w:rPr>
        <w:t>COAG</w:t>
      </w:r>
      <w:r w:rsidR="006C3FE2">
        <w:rPr>
          <w:lang w:val="en-AU"/>
        </w:rPr>
        <w:t>)</w:t>
      </w:r>
      <w:r w:rsidRPr="00B918A5">
        <w:rPr>
          <w:lang w:val="en-AU"/>
        </w:rPr>
        <w:t xml:space="preserve"> set the Closing the Gap Targets </w:t>
      </w:r>
      <w:r w:rsidRPr="00B918A5">
        <w:rPr>
          <w:rFonts w:cs="Calibri"/>
          <w:lang w:val="en-AU"/>
        </w:rPr>
        <w:t xml:space="preserve">found in the </w:t>
      </w:r>
      <w:r w:rsidRPr="00B918A5">
        <w:rPr>
          <w:rFonts w:cs="Calibri"/>
          <w:i/>
          <w:lang w:val="en-AU"/>
        </w:rPr>
        <w:t xml:space="preserve">National Indigenous Reform Agreement </w:t>
      </w:r>
      <w:r w:rsidRPr="00B918A5">
        <w:rPr>
          <w:rFonts w:cs="Calibri"/>
          <w:lang w:val="en-AU"/>
        </w:rPr>
        <w:t>and the Closing the Gap Strategy.</w:t>
      </w:r>
    </w:p>
    <w:p w14:paraId="101C09D1" w14:textId="4BF58D0D" w:rsidR="00560FB2" w:rsidRPr="00B918A5" w:rsidRDefault="007F439C" w:rsidP="005D2610">
      <w:pPr>
        <w:spacing w:before="240" w:after="240"/>
        <w:ind w:right="74"/>
        <w:rPr>
          <w:rFonts w:cs="Calibri"/>
          <w:lang w:val="en-AU"/>
        </w:rPr>
      </w:pPr>
      <w:r w:rsidRPr="00B918A5">
        <w:rPr>
          <w:rFonts w:cs="Calibri"/>
          <w:lang w:val="en-AU"/>
        </w:rPr>
        <w:t>In April 2008</w:t>
      </w:r>
      <w:r w:rsidR="009E6F32">
        <w:rPr>
          <w:rFonts w:cs="Calibri"/>
          <w:lang w:val="en-AU"/>
        </w:rPr>
        <w:t>,</w:t>
      </w:r>
      <w:r w:rsidRPr="00B918A5">
        <w:rPr>
          <w:rFonts w:cs="Calibri"/>
          <w:lang w:val="en-AU"/>
        </w:rPr>
        <w:t xml:space="preserve"> the then Australian Government (subsequently supported by the then Opposition)</w:t>
      </w:r>
      <w:r w:rsidR="00560FB2" w:rsidRPr="00B918A5">
        <w:rPr>
          <w:rFonts w:cs="Calibri"/>
          <w:lang w:val="en-AU"/>
        </w:rPr>
        <w:t xml:space="preserve"> further committed to the Prime Minister providing an annual report to Parliament on progress towards closing the gap. This report would focus on the </w:t>
      </w:r>
      <w:r w:rsidR="00875E79">
        <w:rPr>
          <w:rFonts w:cs="Calibri"/>
          <w:lang w:val="en-AU"/>
        </w:rPr>
        <w:t xml:space="preserve">progress made in reaching </w:t>
      </w:r>
      <w:r w:rsidR="00560FB2" w:rsidRPr="00B918A5">
        <w:rPr>
          <w:rFonts w:cs="Calibri"/>
          <w:lang w:val="en-AU"/>
        </w:rPr>
        <w:t>the COAG Closing the Gap Targets. The report, by tradition, occur</w:t>
      </w:r>
      <w:r w:rsidR="00F06950" w:rsidRPr="00B918A5">
        <w:rPr>
          <w:rFonts w:cs="Calibri"/>
          <w:lang w:val="en-AU"/>
        </w:rPr>
        <w:t>s in the first sitting week of P</w:t>
      </w:r>
      <w:r w:rsidR="00560FB2" w:rsidRPr="00B918A5">
        <w:rPr>
          <w:rFonts w:cs="Calibri"/>
          <w:lang w:val="en-AU"/>
        </w:rPr>
        <w:t xml:space="preserve">arliament, symbolically reminding the parliament and the nation of </w:t>
      </w:r>
      <w:r w:rsidR="00F06950" w:rsidRPr="00B918A5">
        <w:rPr>
          <w:rFonts w:cs="Calibri"/>
          <w:lang w:val="en-AU"/>
        </w:rPr>
        <w:t xml:space="preserve">the </w:t>
      </w:r>
      <w:r w:rsidR="00560FB2" w:rsidRPr="00B918A5">
        <w:rPr>
          <w:rFonts w:cs="Calibri"/>
          <w:lang w:val="en-AU"/>
        </w:rPr>
        <w:t xml:space="preserve">importance of our collective efforts to close the gap. </w:t>
      </w:r>
    </w:p>
    <w:p w14:paraId="1EB14010" w14:textId="68C657CC" w:rsidR="00560FB2" w:rsidRPr="006A24D8" w:rsidRDefault="00560FB2" w:rsidP="005D2610">
      <w:pPr>
        <w:spacing w:before="240" w:after="240"/>
        <w:ind w:right="74"/>
        <w:rPr>
          <w:lang w:val="en-AU"/>
        </w:rPr>
      </w:pPr>
      <w:r w:rsidRPr="006A24D8">
        <w:rPr>
          <w:lang w:val="en-AU"/>
        </w:rPr>
        <w:t>In the spirit of an open and constructive dialogue between government, the wider community, and Aboriginal and Torres Strait Islander peoples</w:t>
      </w:r>
      <w:r w:rsidR="0018076A">
        <w:rPr>
          <w:lang w:val="en-AU"/>
        </w:rPr>
        <w:t>,</w:t>
      </w:r>
      <w:r w:rsidRPr="006A24D8">
        <w:rPr>
          <w:lang w:val="en-AU"/>
        </w:rPr>
        <w:t xml:space="preserve"> the Close the Gap Campaign annually produces this </w:t>
      </w:r>
      <w:r w:rsidR="003C3B18">
        <w:rPr>
          <w:lang w:val="en-AU"/>
        </w:rPr>
        <w:t>progress and priorities</w:t>
      </w:r>
      <w:r w:rsidRPr="006A24D8">
        <w:rPr>
          <w:lang w:val="en-AU"/>
        </w:rPr>
        <w:t xml:space="preserve"> report alongside the Prime Minister’s report. </w:t>
      </w:r>
    </w:p>
    <w:p w14:paraId="10F374F1" w14:textId="77777777" w:rsidR="00560FB2" w:rsidRPr="00B918A5" w:rsidRDefault="00560FB2" w:rsidP="00CE20E2">
      <w:pPr>
        <w:pStyle w:val="ColorfulList-Accent11"/>
        <w:spacing w:before="240" w:after="240"/>
        <w:ind w:left="0"/>
        <w:contextualSpacing w:val="0"/>
        <w:rPr>
          <w:rFonts w:cs="Calibri"/>
          <w:lang w:val="en-AU"/>
        </w:rPr>
      </w:pPr>
      <w:r w:rsidRPr="00B918A5">
        <w:rPr>
          <w:rFonts w:cs="Calibri"/>
          <w:lang w:val="en-AU"/>
        </w:rPr>
        <w:t xml:space="preserve">The report comprises three </w:t>
      </w:r>
      <w:r w:rsidR="00D27EB5">
        <w:rPr>
          <w:rFonts w:cs="Calibri"/>
          <w:lang w:val="en-AU"/>
        </w:rPr>
        <w:t>chapters</w:t>
      </w:r>
      <w:r w:rsidRPr="00B918A5">
        <w:rPr>
          <w:rFonts w:cs="Calibri"/>
          <w:lang w:val="en-AU"/>
        </w:rPr>
        <w:t>:</w:t>
      </w:r>
    </w:p>
    <w:p w14:paraId="66D9EDD5" w14:textId="77777777" w:rsidR="00560FB2" w:rsidRPr="006A24D8" w:rsidDel="004D2D66" w:rsidRDefault="00560FB2" w:rsidP="00CE20E2">
      <w:pPr>
        <w:pStyle w:val="ColorfulList-Accent11"/>
        <w:spacing w:before="240" w:after="240"/>
        <w:ind w:left="0"/>
        <w:contextualSpacing w:val="0"/>
        <w:rPr>
          <w:lang w:val="en-AU"/>
        </w:rPr>
      </w:pPr>
      <w:r w:rsidRPr="006A24D8">
        <w:rPr>
          <w:b/>
          <w:lang w:val="en-AU"/>
        </w:rPr>
        <w:t xml:space="preserve">Chapter 1: Progress in the national effort to close the gap </w:t>
      </w:r>
      <w:r w:rsidRPr="006A24D8">
        <w:rPr>
          <w:lang w:val="en-AU"/>
        </w:rPr>
        <w:t xml:space="preserve">examines health outcomes as revealed by data in the last twelve months. It demonstrates that gradual improvements are beginning to </w:t>
      </w:r>
      <w:r w:rsidR="00E81275" w:rsidRPr="006A24D8">
        <w:rPr>
          <w:lang w:val="en-AU"/>
        </w:rPr>
        <w:t xml:space="preserve">be evidenced </w:t>
      </w:r>
      <w:r w:rsidRPr="006A24D8">
        <w:rPr>
          <w:lang w:val="en-AU"/>
        </w:rPr>
        <w:t xml:space="preserve">in key Aboriginal and Torres Strait Islander health outcomes. </w:t>
      </w:r>
    </w:p>
    <w:p w14:paraId="5185EBA1" w14:textId="77777777" w:rsidR="00560FB2" w:rsidRPr="00B918A5" w:rsidRDefault="00560FB2" w:rsidP="00A05B98">
      <w:pPr>
        <w:spacing w:before="240" w:after="240"/>
        <w:rPr>
          <w:rFonts w:cs="Calibri"/>
          <w:lang w:val="en-AU"/>
        </w:rPr>
      </w:pPr>
      <w:r w:rsidRPr="006A24D8">
        <w:rPr>
          <w:rFonts w:eastAsia="Times New Roman" w:cs="Calibri"/>
          <w:b/>
          <w:szCs w:val="28"/>
          <w:lang w:val="en-AU" w:eastAsia="en-AU"/>
        </w:rPr>
        <w:t>Chapter 2</w:t>
      </w:r>
      <w:r w:rsidR="003C3B18">
        <w:rPr>
          <w:rFonts w:eastAsia="Times New Roman" w:cs="Calibri"/>
          <w:b/>
          <w:szCs w:val="28"/>
          <w:lang w:val="en-AU" w:eastAsia="en-AU"/>
        </w:rPr>
        <w:t>:</w:t>
      </w:r>
      <w:r w:rsidRPr="006A24D8">
        <w:rPr>
          <w:rFonts w:eastAsia="Times New Roman" w:cs="Calibri"/>
          <w:b/>
          <w:szCs w:val="28"/>
          <w:lang w:val="en-AU" w:eastAsia="en-AU"/>
        </w:rPr>
        <w:t xml:space="preserve"> Developments in </w:t>
      </w:r>
      <w:r w:rsidR="00E81275" w:rsidRPr="006A24D8">
        <w:rPr>
          <w:rFonts w:eastAsia="Times New Roman" w:cs="Calibri"/>
          <w:b/>
          <w:szCs w:val="28"/>
          <w:lang w:val="en-AU" w:eastAsia="en-AU"/>
        </w:rPr>
        <w:t>p</w:t>
      </w:r>
      <w:r w:rsidRPr="006A24D8">
        <w:rPr>
          <w:rFonts w:eastAsia="Times New Roman" w:cs="Calibri"/>
          <w:b/>
          <w:szCs w:val="28"/>
          <w:lang w:val="en-AU" w:eastAsia="en-AU"/>
        </w:rPr>
        <w:t xml:space="preserve">olicy </w:t>
      </w:r>
      <w:r w:rsidRPr="00B918A5">
        <w:rPr>
          <w:rFonts w:cs="Calibri"/>
          <w:lang w:val="en-AU"/>
        </w:rPr>
        <w:t>assesses proposals for federal relations reform, changes to the Closing the Gap Strategy, the Indigenous Advancement Strategy and other developments.</w:t>
      </w:r>
    </w:p>
    <w:p w14:paraId="19AD64DE" w14:textId="77777777" w:rsidR="00560FB2" w:rsidRPr="00B918A5" w:rsidRDefault="00560FB2" w:rsidP="001C323F">
      <w:pPr>
        <w:widowControl w:val="0"/>
        <w:autoSpaceDE w:val="0"/>
        <w:autoSpaceDN w:val="0"/>
        <w:adjustRightInd w:val="0"/>
        <w:spacing w:before="240" w:after="240"/>
        <w:rPr>
          <w:rFonts w:cs="Calibri"/>
          <w:b/>
          <w:lang w:val="en-AU"/>
        </w:rPr>
      </w:pPr>
      <w:r w:rsidRPr="006A24D8">
        <w:rPr>
          <w:b/>
          <w:lang w:val="en-AU"/>
        </w:rPr>
        <w:t xml:space="preserve">Chapter 3: </w:t>
      </w:r>
      <w:r w:rsidRPr="00B918A5">
        <w:rPr>
          <w:b/>
          <w:lang w:val="en-AU"/>
        </w:rPr>
        <w:t xml:space="preserve">Establishing effective pathways for positive change </w:t>
      </w:r>
      <w:r w:rsidRPr="006A24D8">
        <w:rPr>
          <w:b/>
          <w:lang w:val="en-AU"/>
        </w:rPr>
        <w:t xml:space="preserve">– an analysis by the Campaign Steering Committee </w:t>
      </w:r>
      <w:r w:rsidRPr="006A24D8">
        <w:rPr>
          <w:lang w:val="en-AU"/>
        </w:rPr>
        <w:t>sets out the Campaign’s ideas for enhancing the Closing the Gap Strategy and improving Aboriginal and Torres Strait Islander health outcomes over the next few years.</w:t>
      </w:r>
      <w:r w:rsidRPr="00B918A5">
        <w:rPr>
          <w:rFonts w:cs="Calibri"/>
          <w:b/>
          <w:lang w:val="en-AU"/>
        </w:rPr>
        <w:br w:type="page"/>
      </w:r>
    </w:p>
    <w:p w14:paraId="2C036946" w14:textId="77777777" w:rsidR="00560FB2" w:rsidRPr="00B918A5" w:rsidRDefault="00560FB2" w:rsidP="007D7616">
      <w:pPr>
        <w:pStyle w:val="Heading1"/>
        <w:numPr>
          <w:ilvl w:val="0"/>
          <w:numId w:val="0"/>
        </w:numPr>
        <w:ind w:left="851" w:hanging="851"/>
        <w:rPr>
          <w:lang w:val="en-AU"/>
        </w:rPr>
      </w:pPr>
      <w:bookmarkStart w:id="2" w:name="_Toc409788707"/>
      <w:r w:rsidRPr="00B918A5">
        <w:rPr>
          <w:lang w:val="en-AU"/>
        </w:rPr>
        <w:lastRenderedPageBreak/>
        <w:t>The Close the Gap Statement of Intent</w:t>
      </w:r>
      <w:bookmarkEnd w:id="2"/>
    </w:p>
    <w:p w14:paraId="19EA66FE" w14:textId="77777777" w:rsidR="00560FB2" w:rsidRPr="00B918A5" w:rsidRDefault="00560FB2" w:rsidP="00AB7B40">
      <w:pPr>
        <w:spacing w:before="240" w:after="240"/>
        <w:rPr>
          <w:sz w:val="16"/>
          <w:szCs w:val="16"/>
          <w:lang w:val="en-AU"/>
        </w:rPr>
      </w:pPr>
      <w:r w:rsidRPr="00B918A5">
        <w:rPr>
          <w:rFonts w:cs="Calibri"/>
          <w:lang w:val="en-AU"/>
        </w:rPr>
        <w:t xml:space="preserve">The </w:t>
      </w:r>
      <w:r w:rsidRPr="00B918A5">
        <w:rPr>
          <w:rFonts w:cs="Calibri"/>
          <w:i/>
          <w:lang w:val="en-AU"/>
        </w:rPr>
        <w:t>Close the Gap Statement of Intent</w:t>
      </w:r>
      <w:r w:rsidRPr="00B918A5">
        <w:rPr>
          <w:rFonts w:cs="Calibri"/>
          <w:lang w:val="en-AU"/>
        </w:rPr>
        <w:t xml:space="preserve"> was signed on 20 March 2008 by Hon</w:t>
      </w:r>
      <w:r w:rsidR="003C3B18">
        <w:rPr>
          <w:rFonts w:cs="Calibri"/>
          <w:lang w:val="en-AU"/>
        </w:rPr>
        <w:t>.</w:t>
      </w:r>
      <w:r w:rsidRPr="00B918A5">
        <w:rPr>
          <w:rFonts w:cs="Calibri"/>
          <w:lang w:val="en-AU"/>
        </w:rPr>
        <w:t xml:space="preserve"> Kevin Rudd MP (then Prime Minister); Hon. Nicola Roxon MP (then Minister for Health and Ageing); Hon. Jenny Macklin MP (then Minister for Families, Housing, Community Services and Indigenous Affairs); and Dr Brendan Nelson MP (then Opposition Leader).</w:t>
      </w:r>
      <w:r w:rsidRPr="00B918A5">
        <w:rPr>
          <w:sz w:val="16"/>
          <w:szCs w:val="16"/>
          <w:lang w:val="en-AU"/>
        </w:rPr>
        <w:t xml:space="preserve"> </w:t>
      </w:r>
    </w:p>
    <w:p w14:paraId="507DD977" w14:textId="131B20DF" w:rsidR="00560FB2" w:rsidRPr="004C38C6" w:rsidRDefault="00560FB2" w:rsidP="00AB7B40">
      <w:pPr>
        <w:spacing w:before="240" w:after="240"/>
        <w:rPr>
          <w:lang w:val="en-AU"/>
        </w:rPr>
      </w:pPr>
      <w:r w:rsidRPr="00B918A5">
        <w:rPr>
          <w:lang w:val="en-AU"/>
        </w:rPr>
        <w:t xml:space="preserve">Most state and territory governments and oppositions have also signed the </w:t>
      </w:r>
      <w:r w:rsidRPr="00B918A5">
        <w:rPr>
          <w:i/>
          <w:lang w:val="en-AU"/>
        </w:rPr>
        <w:t>Close the Gap Statement of Intent</w:t>
      </w:r>
      <w:r w:rsidR="00875E79">
        <w:rPr>
          <w:lang w:val="en-AU"/>
        </w:rPr>
        <w:t>,</w:t>
      </w:r>
      <w:r w:rsidRPr="00B918A5">
        <w:rPr>
          <w:lang w:val="en-AU"/>
        </w:rPr>
        <w:t xml:space="preserve"> including Victoria in March</w:t>
      </w:r>
      <w:r w:rsidR="00875E79">
        <w:rPr>
          <w:lang w:val="en-AU"/>
        </w:rPr>
        <w:t xml:space="preserve"> 2008; Queensland in April 2008;</w:t>
      </w:r>
      <w:r w:rsidRPr="00B918A5">
        <w:rPr>
          <w:lang w:val="en-AU"/>
        </w:rPr>
        <w:t xml:space="preserve"> Western Australia in April 2009; the Australian </w:t>
      </w:r>
      <w:r w:rsidR="0018076A">
        <w:rPr>
          <w:lang w:val="en-AU"/>
        </w:rPr>
        <w:t>Capital Territory in April 2010;</w:t>
      </w:r>
      <w:r w:rsidRPr="00B918A5">
        <w:rPr>
          <w:lang w:val="en-AU"/>
        </w:rPr>
        <w:t xml:space="preserve"> New South Wales in June 2010; and South Australia in November 2010.</w:t>
      </w:r>
      <w:r w:rsidR="004C38C6">
        <w:rPr>
          <w:lang w:val="en-AU"/>
        </w:rPr>
        <w:t xml:space="preserve"> A variety of non-government organisations including Campaign Steering Committee members, health bodies, human rights groups and community development organisations have also signed the </w:t>
      </w:r>
      <w:r w:rsidR="004C38C6" w:rsidRPr="004C38C6">
        <w:rPr>
          <w:i/>
          <w:lang w:val="en-AU"/>
        </w:rPr>
        <w:t>Close the Gap Statement of Intent</w:t>
      </w:r>
      <w:r w:rsidR="004C38C6">
        <w:rPr>
          <w:lang w:val="en-AU"/>
        </w:rPr>
        <w:t xml:space="preserve"> </w:t>
      </w:r>
      <w:r w:rsidR="004C38C6" w:rsidRPr="004C38C6">
        <w:rPr>
          <w:lang w:val="en-AU"/>
        </w:rPr>
        <w:t>at both a national and state/territory level demonstrating broad community support for these principles</w:t>
      </w:r>
      <w:r w:rsidR="004C38C6">
        <w:rPr>
          <w:lang w:val="en-AU"/>
        </w:rPr>
        <w:t xml:space="preserve"> </w:t>
      </w:r>
    </w:p>
    <w:p w14:paraId="070C971B" w14:textId="77777777" w:rsidR="00560FB2" w:rsidRPr="004C38C6" w:rsidRDefault="00560FB2" w:rsidP="004C38C6">
      <w:pPr>
        <w:spacing w:before="240" w:after="240"/>
        <w:rPr>
          <w:lang w:val="en-AU"/>
        </w:rPr>
      </w:pPr>
    </w:p>
    <w:p w14:paraId="090D975E" w14:textId="77777777" w:rsidR="00560FB2" w:rsidRPr="00B918A5" w:rsidRDefault="00560FB2" w:rsidP="00F01AA5">
      <w:pPr>
        <w:rPr>
          <w:rFonts w:cs="Calibri"/>
          <w:lang w:val="en-AU"/>
        </w:rPr>
      </w:pPr>
      <w:r w:rsidRPr="00B918A5">
        <w:rPr>
          <w:rFonts w:cs="Calibri"/>
          <w:lang w:val="en-AU"/>
        </w:rPr>
        <w:br w:type="page"/>
      </w:r>
    </w:p>
    <w:p w14:paraId="6974993C" w14:textId="77777777" w:rsidR="00560FB2" w:rsidRPr="00B918A5" w:rsidRDefault="00560FB2" w:rsidP="007D7616">
      <w:pPr>
        <w:pStyle w:val="Heading1"/>
        <w:rPr>
          <w:lang w:val="en-AU"/>
        </w:rPr>
      </w:pPr>
      <w:bookmarkStart w:id="3" w:name="_Toc409788708"/>
      <w:r w:rsidRPr="00B918A5">
        <w:rPr>
          <w:lang w:val="en-AU"/>
        </w:rPr>
        <w:lastRenderedPageBreak/>
        <w:t>Progress in the national effort to close the gap – health outcomes</w:t>
      </w:r>
      <w:bookmarkEnd w:id="3"/>
    </w:p>
    <w:p w14:paraId="39277375" w14:textId="77777777" w:rsidR="00560FB2" w:rsidRPr="00B918A5" w:rsidRDefault="00560FB2" w:rsidP="00492A42">
      <w:pPr>
        <w:rPr>
          <w:rFonts w:asciiTheme="majorHAnsi" w:hAnsiTheme="majorHAnsi"/>
          <w:b/>
          <w:sz w:val="32"/>
          <w:szCs w:val="32"/>
          <w:lang w:val="en-AU"/>
        </w:rPr>
      </w:pPr>
    </w:p>
    <w:p w14:paraId="39850F1E" w14:textId="77777777" w:rsidR="00560FB2" w:rsidRPr="00B918A5" w:rsidRDefault="00560FB2" w:rsidP="00487A5E">
      <w:pPr>
        <w:widowControl w:val="0"/>
        <w:autoSpaceDE w:val="0"/>
        <w:autoSpaceDN w:val="0"/>
        <w:adjustRightInd w:val="0"/>
        <w:ind w:left="720"/>
        <w:rPr>
          <w:rFonts w:asciiTheme="majorHAnsi" w:hAnsiTheme="majorHAnsi" w:cs="Helvetica"/>
          <w:bCs/>
          <w:i/>
          <w:color w:val="1C1C1C"/>
          <w:lang w:val="en-AU"/>
        </w:rPr>
      </w:pPr>
      <w:r w:rsidRPr="00B918A5">
        <w:rPr>
          <w:rFonts w:asciiTheme="majorHAnsi" w:hAnsiTheme="majorHAnsi" w:cs="Helvetica"/>
          <w:bCs/>
          <w:i/>
          <w:color w:val="1C1C1C"/>
          <w:lang w:val="en-AU"/>
        </w:rPr>
        <w:t xml:space="preserve">Closing the Gap has always been a bipartisan goal and, as such, our successes and failures </w:t>
      </w:r>
    </w:p>
    <w:p w14:paraId="40A1D3E8" w14:textId="77777777" w:rsidR="00814869" w:rsidRPr="00B918A5" w:rsidRDefault="00560FB2" w:rsidP="00487A5E">
      <w:pPr>
        <w:widowControl w:val="0"/>
        <w:autoSpaceDE w:val="0"/>
        <w:autoSpaceDN w:val="0"/>
        <w:adjustRightInd w:val="0"/>
        <w:ind w:left="720"/>
        <w:rPr>
          <w:rFonts w:asciiTheme="majorHAnsi" w:hAnsiTheme="majorHAnsi" w:cs="Helvetica"/>
          <w:bCs/>
          <w:i/>
          <w:color w:val="1C1C1C"/>
          <w:lang w:val="en-AU"/>
        </w:rPr>
      </w:pPr>
      <w:proofErr w:type="gramStart"/>
      <w:r w:rsidRPr="00B918A5">
        <w:rPr>
          <w:rFonts w:asciiTheme="majorHAnsi" w:hAnsiTheme="majorHAnsi" w:cs="Helvetica"/>
          <w:bCs/>
          <w:i/>
          <w:color w:val="1C1C1C"/>
          <w:lang w:val="en-AU"/>
        </w:rPr>
        <w:t>are</w:t>
      </w:r>
      <w:proofErr w:type="gramEnd"/>
      <w:r w:rsidRPr="00B918A5">
        <w:rPr>
          <w:rFonts w:asciiTheme="majorHAnsi" w:hAnsiTheme="majorHAnsi" w:cs="Helvetica"/>
          <w:bCs/>
          <w:i/>
          <w:color w:val="1C1C1C"/>
          <w:lang w:val="en-AU"/>
        </w:rPr>
        <w:t xml:space="preserve"> always shared.</w:t>
      </w:r>
      <w:r w:rsidR="00814869" w:rsidRPr="00B918A5">
        <w:rPr>
          <w:rStyle w:val="EndnoteReference"/>
          <w:rFonts w:asciiTheme="majorHAnsi" w:hAnsiTheme="majorHAnsi" w:cs="Helvetica"/>
          <w:bCs/>
          <w:color w:val="1C1C1C"/>
          <w:sz w:val="22"/>
          <w:lang w:val="en-AU"/>
        </w:rPr>
        <w:endnoteReference w:id="1"/>
      </w:r>
    </w:p>
    <w:p w14:paraId="1B4B353D" w14:textId="77777777" w:rsidR="00814869" w:rsidRPr="00B918A5" w:rsidRDefault="00814869" w:rsidP="00487A5E">
      <w:pPr>
        <w:widowControl w:val="0"/>
        <w:autoSpaceDE w:val="0"/>
        <w:autoSpaceDN w:val="0"/>
        <w:adjustRightInd w:val="0"/>
        <w:jc w:val="center"/>
        <w:rPr>
          <w:rFonts w:asciiTheme="majorHAnsi" w:hAnsiTheme="majorHAnsi" w:cs="Helvetica"/>
          <w:bCs/>
          <w:color w:val="1C1C1C"/>
          <w:sz w:val="16"/>
          <w:szCs w:val="16"/>
          <w:lang w:val="en-AU"/>
        </w:rPr>
      </w:pPr>
    </w:p>
    <w:p w14:paraId="2F46235A" w14:textId="44C7C8BB" w:rsidR="00814869" w:rsidRPr="00B918A5" w:rsidRDefault="00814869" w:rsidP="00487A5E">
      <w:pPr>
        <w:widowControl w:val="0"/>
        <w:autoSpaceDE w:val="0"/>
        <w:autoSpaceDN w:val="0"/>
        <w:adjustRightInd w:val="0"/>
        <w:jc w:val="center"/>
        <w:rPr>
          <w:rFonts w:asciiTheme="majorHAnsi" w:hAnsiTheme="majorHAnsi"/>
          <w:b/>
          <w:sz w:val="16"/>
          <w:szCs w:val="16"/>
          <w:lang w:val="en-AU"/>
        </w:rPr>
      </w:pPr>
      <w:r w:rsidRPr="00B918A5">
        <w:rPr>
          <w:rFonts w:asciiTheme="majorHAnsi" w:hAnsiTheme="majorHAnsi" w:cs="Helvetica"/>
          <w:bCs/>
          <w:color w:val="1C1C1C"/>
          <w:sz w:val="16"/>
          <w:szCs w:val="16"/>
          <w:lang w:val="en-AU"/>
        </w:rPr>
        <w:t>Prime Minister Abbott, Prime Minister</w:t>
      </w:r>
      <w:r w:rsidR="00ED0CA0">
        <w:rPr>
          <w:rFonts w:asciiTheme="majorHAnsi" w:hAnsiTheme="majorHAnsi" w:cs="Helvetica"/>
          <w:bCs/>
          <w:color w:val="1C1C1C"/>
          <w:sz w:val="16"/>
          <w:szCs w:val="16"/>
          <w:lang w:val="en-AU"/>
        </w:rPr>
        <w:t>’</w:t>
      </w:r>
      <w:r w:rsidRPr="00B918A5">
        <w:rPr>
          <w:rFonts w:asciiTheme="majorHAnsi" w:hAnsiTheme="majorHAnsi" w:cs="Helvetica"/>
          <w:bCs/>
          <w:color w:val="1C1C1C"/>
          <w:sz w:val="16"/>
          <w:szCs w:val="16"/>
          <w:lang w:val="en-AU"/>
        </w:rPr>
        <w:t>s Report on Closing the Gap 2014</w:t>
      </w:r>
    </w:p>
    <w:p w14:paraId="30C70465" w14:textId="7967D86B" w:rsidR="00814869" w:rsidRPr="00B918A5" w:rsidRDefault="003A0BAB" w:rsidP="007D7616">
      <w:pPr>
        <w:spacing w:before="240" w:after="240"/>
        <w:rPr>
          <w:rFonts w:asciiTheme="majorHAnsi" w:hAnsiTheme="majorHAnsi"/>
          <w:lang w:val="en-AU"/>
        </w:rPr>
      </w:pPr>
      <w:r>
        <w:rPr>
          <w:rFonts w:asciiTheme="majorHAnsi" w:hAnsiTheme="majorHAnsi"/>
          <w:lang w:val="en-AU"/>
        </w:rPr>
        <w:t>This c</w:t>
      </w:r>
      <w:r w:rsidR="00814869" w:rsidRPr="00B918A5">
        <w:rPr>
          <w:rFonts w:asciiTheme="majorHAnsi" w:hAnsiTheme="majorHAnsi"/>
          <w:lang w:val="en-AU"/>
        </w:rPr>
        <w:t xml:space="preserve">hapter considers Australian governments’ progress towards meeting the COAG Closing the Gap health targets: </w:t>
      </w:r>
      <w:r w:rsidR="00F73C13">
        <w:rPr>
          <w:rFonts w:asciiTheme="majorHAnsi" w:hAnsiTheme="majorHAnsi"/>
          <w:lang w:val="en-AU"/>
        </w:rPr>
        <w:t xml:space="preserve">that is, </w:t>
      </w:r>
      <w:r w:rsidR="00814869" w:rsidRPr="00B918A5">
        <w:rPr>
          <w:rFonts w:asciiTheme="majorHAnsi" w:hAnsiTheme="majorHAnsi"/>
          <w:lang w:val="en-AU"/>
        </w:rPr>
        <w:t>to achieve life expectancy equality between Aboriginal and Torres Strait Islander people and non-Indigenous Australians by 2030; and</w:t>
      </w:r>
      <w:r w:rsidR="00F73C13">
        <w:rPr>
          <w:rFonts w:asciiTheme="majorHAnsi" w:hAnsiTheme="majorHAnsi"/>
          <w:lang w:val="en-AU"/>
        </w:rPr>
        <w:t xml:space="preserve"> to</w:t>
      </w:r>
      <w:r w:rsidR="00814869" w:rsidRPr="00B918A5">
        <w:rPr>
          <w:rFonts w:asciiTheme="majorHAnsi" w:hAnsiTheme="majorHAnsi"/>
          <w:lang w:val="en-AU"/>
        </w:rPr>
        <w:t xml:space="preserve"> halv</w:t>
      </w:r>
      <w:r w:rsidR="00F73C13">
        <w:rPr>
          <w:rFonts w:asciiTheme="majorHAnsi" w:hAnsiTheme="majorHAnsi"/>
          <w:lang w:val="en-AU"/>
        </w:rPr>
        <w:t>e</w:t>
      </w:r>
      <w:r w:rsidR="00814869" w:rsidRPr="00B918A5">
        <w:rPr>
          <w:rFonts w:asciiTheme="majorHAnsi" w:hAnsiTheme="majorHAnsi"/>
          <w:lang w:val="en-AU"/>
        </w:rPr>
        <w:t xml:space="preserve"> Aboriginal and Torres Strait Islander deaths among children </w:t>
      </w:r>
      <w:r w:rsidR="00F73C13">
        <w:rPr>
          <w:rFonts w:asciiTheme="majorHAnsi" w:hAnsiTheme="majorHAnsi"/>
          <w:lang w:val="en-AU"/>
        </w:rPr>
        <w:t xml:space="preserve">ages </w:t>
      </w:r>
      <w:r w:rsidR="00814869" w:rsidRPr="00B918A5">
        <w:rPr>
          <w:rFonts w:asciiTheme="majorHAnsi" w:hAnsiTheme="majorHAnsi"/>
          <w:lang w:val="en-AU"/>
        </w:rPr>
        <w:t>0-4 years by 2018.</w:t>
      </w:r>
      <w:r w:rsidR="00814869" w:rsidRPr="00B918A5">
        <w:rPr>
          <w:rFonts w:asciiTheme="majorHAnsi" w:hAnsiTheme="majorHAnsi"/>
          <w:vertAlign w:val="superscript"/>
          <w:lang w:val="en-AU"/>
        </w:rPr>
        <w:endnoteReference w:id="2"/>
      </w:r>
    </w:p>
    <w:p w14:paraId="5E006238" w14:textId="1FE67529" w:rsidR="00814869" w:rsidRPr="00B918A5" w:rsidRDefault="00814869" w:rsidP="007D7616">
      <w:pPr>
        <w:spacing w:before="240" w:after="240"/>
        <w:rPr>
          <w:rFonts w:asciiTheme="majorHAnsi" w:hAnsiTheme="majorHAnsi"/>
          <w:lang w:val="en-AU"/>
        </w:rPr>
      </w:pPr>
      <w:r w:rsidRPr="00B918A5">
        <w:rPr>
          <w:rFonts w:asciiTheme="majorHAnsi" w:hAnsiTheme="majorHAnsi"/>
          <w:lang w:val="en-AU"/>
        </w:rPr>
        <w:t>Primary references include the COA</w:t>
      </w:r>
      <w:r w:rsidR="00F73C13">
        <w:rPr>
          <w:rFonts w:asciiTheme="majorHAnsi" w:hAnsiTheme="majorHAnsi"/>
          <w:lang w:val="en-AU"/>
        </w:rPr>
        <w:t>G Reform Council’s final report,</w:t>
      </w:r>
      <w:r w:rsidRPr="00B918A5">
        <w:rPr>
          <w:rFonts w:asciiTheme="majorHAnsi" w:hAnsiTheme="majorHAnsi"/>
          <w:lang w:val="en-AU"/>
        </w:rPr>
        <w:t xml:space="preserve"> </w:t>
      </w:r>
      <w:r w:rsidRPr="00B918A5">
        <w:rPr>
          <w:rFonts w:asciiTheme="majorHAnsi" w:hAnsiTheme="majorHAnsi"/>
          <w:i/>
          <w:lang w:val="en-AU"/>
        </w:rPr>
        <w:t>Indigenous Reform 2012-13: Five years of Performance</w:t>
      </w:r>
      <w:r w:rsidR="00F73C13">
        <w:rPr>
          <w:rFonts w:asciiTheme="majorHAnsi" w:hAnsiTheme="majorHAnsi"/>
          <w:lang w:val="en-AU"/>
        </w:rPr>
        <w:t>,</w:t>
      </w:r>
      <w:r w:rsidRPr="00B918A5">
        <w:rPr>
          <w:rStyle w:val="EndnoteReference"/>
          <w:lang w:val="en-AU"/>
        </w:rPr>
        <w:endnoteReference w:id="3"/>
      </w:r>
      <w:r w:rsidRPr="00B918A5">
        <w:rPr>
          <w:rFonts w:asciiTheme="majorHAnsi" w:hAnsiTheme="majorHAnsi"/>
          <w:lang w:val="en-AU"/>
        </w:rPr>
        <w:t xml:space="preserve"> and the Productivity Commission’s</w:t>
      </w:r>
      <w:r w:rsidR="00875E79">
        <w:rPr>
          <w:rFonts w:asciiTheme="majorHAnsi" w:hAnsiTheme="majorHAnsi"/>
          <w:lang w:val="en-AU"/>
        </w:rPr>
        <w:t xml:space="preserve"> report,</w:t>
      </w:r>
      <w:r w:rsidRPr="00B918A5">
        <w:rPr>
          <w:rFonts w:asciiTheme="majorHAnsi" w:hAnsiTheme="majorHAnsi"/>
          <w:lang w:val="en-AU"/>
        </w:rPr>
        <w:t xml:space="preserve"> </w:t>
      </w:r>
      <w:r w:rsidRPr="00B918A5">
        <w:rPr>
          <w:rFonts w:asciiTheme="majorHAnsi" w:hAnsiTheme="majorHAnsi"/>
          <w:i/>
          <w:lang w:val="en-AU"/>
        </w:rPr>
        <w:t>Overcoming Indigenous Disadvantage 2014</w:t>
      </w:r>
      <w:r w:rsidRPr="00B918A5">
        <w:rPr>
          <w:rFonts w:asciiTheme="majorHAnsi" w:hAnsiTheme="majorHAnsi"/>
          <w:lang w:val="en-AU"/>
        </w:rPr>
        <w:t xml:space="preserve"> </w:t>
      </w:r>
      <w:r w:rsidRPr="0089182A">
        <w:rPr>
          <w:rFonts w:asciiTheme="majorHAnsi" w:hAnsiTheme="majorHAnsi"/>
          <w:lang w:val="en-AU"/>
        </w:rPr>
        <w:t>(OID</w:t>
      </w:r>
      <w:r w:rsidR="0089182A" w:rsidRPr="0089182A">
        <w:rPr>
          <w:rFonts w:asciiTheme="majorHAnsi" w:hAnsiTheme="majorHAnsi"/>
          <w:lang w:val="en-AU"/>
        </w:rPr>
        <w:t xml:space="preserve"> 2014</w:t>
      </w:r>
      <w:r w:rsidR="00875E79">
        <w:rPr>
          <w:rFonts w:asciiTheme="majorHAnsi" w:hAnsiTheme="majorHAnsi"/>
          <w:lang w:val="en-AU"/>
        </w:rPr>
        <w:t xml:space="preserve"> Report</w:t>
      </w:r>
      <w:r w:rsidRPr="0089182A">
        <w:rPr>
          <w:rFonts w:asciiTheme="majorHAnsi" w:hAnsiTheme="majorHAnsi"/>
          <w:lang w:val="en-AU"/>
        </w:rPr>
        <w:t>)</w:t>
      </w:r>
      <w:r w:rsidRPr="00B918A5">
        <w:rPr>
          <w:rFonts w:asciiTheme="majorHAnsi" w:hAnsiTheme="majorHAnsi"/>
          <w:lang w:val="en-AU"/>
        </w:rPr>
        <w:t>.</w:t>
      </w:r>
      <w:r w:rsidRPr="00B918A5">
        <w:rPr>
          <w:rStyle w:val="EndnoteReference"/>
          <w:lang w:val="en-AU"/>
        </w:rPr>
        <w:endnoteReference w:id="4"/>
      </w:r>
      <w:r w:rsidRPr="00B918A5">
        <w:rPr>
          <w:rFonts w:asciiTheme="majorHAnsi" w:hAnsiTheme="majorHAnsi"/>
          <w:lang w:val="en-AU"/>
        </w:rPr>
        <w:t xml:space="preserve"> Both reports measure progress against the above targets, the latter in the context of many other indicators. </w:t>
      </w:r>
    </w:p>
    <w:p w14:paraId="4FC4DBC7" w14:textId="76602D22" w:rsidR="00814869" w:rsidRPr="00B918A5" w:rsidRDefault="00814869" w:rsidP="007D7616">
      <w:pPr>
        <w:spacing w:before="240" w:after="240"/>
        <w:rPr>
          <w:rFonts w:asciiTheme="majorHAnsi" w:hAnsiTheme="majorHAnsi"/>
          <w:lang w:val="en-AU"/>
        </w:rPr>
      </w:pPr>
      <w:r w:rsidRPr="00B918A5">
        <w:rPr>
          <w:rFonts w:asciiTheme="majorHAnsi" w:hAnsiTheme="majorHAnsi"/>
          <w:lang w:val="en-AU"/>
        </w:rPr>
        <w:t xml:space="preserve">Also considered are the results of the 2012-2013 Australian Bureau of Statistics (ABS) </w:t>
      </w:r>
      <w:r w:rsidR="00C63066">
        <w:rPr>
          <w:rFonts w:asciiTheme="majorHAnsi" w:hAnsiTheme="majorHAnsi"/>
          <w:lang w:val="en-AU"/>
        </w:rPr>
        <w:t>NATSI</w:t>
      </w:r>
      <w:r w:rsidRPr="00B918A5">
        <w:rPr>
          <w:rFonts w:asciiTheme="majorHAnsi" w:hAnsiTheme="majorHAnsi"/>
          <w:lang w:val="en-AU"/>
        </w:rPr>
        <w:t>H</w:t>
      </w:r>
      <w:r w:rsidR="00C63066">
        <w:rPr>
          <w:rFonts w:asciiTheme="majorHAnsi" w:hAnsiTheme="majorHAnsi"/>
          <w:lang w:val="en-AU"/>
        </w:rPr>
        <w:t>M</w:t>
      </w:r>
      <w:r w:rsidRPr="00B918A5">
        <w:rPr>
          <w:rFonts w:asciiTheme="majorHAnsi" w:hAnsiTheme="majorHAnsi"/>
          <w:lang w:val="en-AU"/>
        </w:rPr>
        <w:t>S</w:t>
      </w:r>
      <w:r w:rsidRPr="00B918A5">
        <w:rPr>
          <w:rStyle w:val="EndnoteReference"/>
          <w:lang w:val="en-AU"/>
        </w:rPr>
        <w:endnoteReference w:id="5"/>
      </w:r>
      <w:r w:rsidRPr="00B918A5">
        <w:rPr>
          <w:rFonts w:asciiTheme="majorHAnsi" w:hAnsiTheme="majorHAnsi"/>
          <w:lang w:val="en-AU"/>
        </w:rPr>
        <w:t xml:space="preserve"> – the first national biomedical survey for Aboriginal and Torres Strait Islander people, and some challenging research into closing the diabetes gap.</w:t>
      </w:r>
      <w:r w:rsidRPr="00B918A5">
        <w:rPr>
          <w:rStyle w:val="EndnoteReference"/>
          <w:lang w:val="en-AU"/>
        </w:rPr>
        <w:endnoteReference w:id="6"/>
      </w:r>
      <w:r w:rsidRPr="00B918A5">
        <w:rPr>
          <w:rFonts w:asciiTheme="majorHAnsi" w:hAnsiTheme="majorHAnsi"/>
          <w:lang w:val="en-AU"/>
        </w:rPr>
        <w:t xml:space="preserve"> </w:t>
      </w:r>
    </w:p>
    <w:p w14:paraId="4E304E8A" w14:textId="77777777" w:rsidR="00814869" w:rsidRPr="00B918A5" w:rsidRDefault="00814869" w:rsidP="00E81275">
      <w:pPr>
        <w:pStyle w:val="Heading2"/>
        <w:rPr>
          <w:lang w:val="en-AU"/>
        </w:rPr>
      </w:pPr>
      <w:bookmarkStart w:id="4" w:name="_Toc409788709"/>
      <w:r w:rsidRPr="00B918A5">
        <w:rPr>
          <w:lang w:val="en-AU"/>
        </w:rPr>
        <w:t>Progress towards achieving the life expectancy target</w:t>
      </w:r>
      <w:bookmarkEnd w:id="4"/>
    </w:p>
    <w:p w14:paraId="2E41D788" w14:textId="77777777" w:rsidR="00814869" w:rsidRPr="00B918A5" w:rsidRDefault="00814869" w:rsidP="007D7616">
      <w:pPr>
        <w:pStyle w:val="Heading3"/>
        <w:rPr>
          <w:lang w:val="en-AU"/>
        </w:rPr>
      </w:pPr>
      <w:bookmarkStart w:id="5" w:name="_Toc409788710"/>
      <w:r w:rsidRPr="00B918A5">
        <w:rPr>
          <w:lang w:val="en-AU"/>
        </w:rPr>
        <w:t>Absolute gains</w:t>
      </w:r>
      <w:bookmarkEnd w:id="5"/>
      <w:r w:rsidRPr="00B918A5">
        <w:rPr>
          <w:lang w:val="en-AU"/>
        </w:rPr>
        <w:t xml:space="preserve"> </w:t>
      </w:r>
    </w:p>
    <w:p w14:paraId="2EF63641" w14:textId="4FE34958" w:rsidR="00814869" w:rsidRPr="00B918A5" w:rsidRDefault="00814869" w:rsidP="007D7616">
      <w:pPr>
        <w:spacing w:before="240" w:after="240"/>
        <w:rPr>
          <w:rFonts w:asciiTheme="majorHAnsi" w:hAnsiTheme="majorHAnsi"/>
          <w:lang w:val="en-AU"/>
        </w:rPr>
      </w:pPr>
      <w:r w:rsidRPr="00B918A5">
        <w:rPr>
          <w:rFonts w:asciiTheme="majorHAnsi" w:hAnsiTheme="majorHAnsi"/>
          <w:lang w:val="en-AU"/>
        </w:rPr>
        <w:t>The ABS 2010-2012 life expectancy estimates for Aboriginal and Torres Strait Islander people are still current: 69.1 years for men and 73.7 years for women</w:t>
      </w:r>
      <w:r w:rsidRPr="00BD11B3">
        <w:rPr>
          <w:rFonts w:asciiTheme="majorHAnsi" w:hAnsiTheme="majorHAnsi"/>
          <w:lang w:val="en-AU"/>
        </w:rPr>
        <w:t>.</w:t>
      </w:r>
      <w:r w:rsidRPr="00BD11B3">
        <w:rPr>
          <w:rFonts w:asciiTheme="majorHAnsi" w:hAnsiTheme="majorHAnsi"/>
          <w:vertAlign w:val="superscript"/>
          <w:lang w:val="en-AU"/>
        </w:rPr>
        <w:endnoteReference w:id="7"/>
      </w:r>
      <w:r w:rsidRPr="00BD11B3">
        <w:rPr>
          <w:rFonts w:asciiTheme="majorHAnsi" w:hAnsiTheme="majorHAnsi"/>
          <w:lang w:val="en-AU"/>
        </w:rPr>
        <w:t xml:space="preserve"> Table</w:t>
      </w:r>
      <w:r w:rsidR="00E81275" w:rsidRPr="00BD11B3">
        <w:rPr>
          <w:rFonts w:asciiTheme="majorHAnsi" w:hAnsiTheme="majorHAnsi"/>
          <w:lang w:val="en-AU"/>
        </w:rPr>
        <w:t xml:space="preserve"> 1</w:t>
      </w:r>
      <w:r w:rsidRPr="00BD11B3">
        <w:rPr>
          <w:rFonts w:asciiTheme="majorHAnsi" w:hAnsiTheme="majorHAnsi"/>
          <w:lang w:val="en-AU"/>
        </w:rPr>
        <w:t xml:space="preserve"> summarises</w:t>
      </w:r>
      <w:r w:rsidRPr="00B918A5">
        <w:rPr>
          <w:rFonts w:asciiTheme="majorHAnsi" w:hAnsiTheme="majorHAnsi"/>
          <w:lang w:val="en-AU"/>
        </w:rPr>
        <w:t xml:space="preserve"> the absolute gains in life expectancy from 2005-07 and 2010-12 for both Aboriginal and Torres Strait Islander </w:t>
      </w:r>
      <w:r w:rsidR="009E6F32">
        <w:rPr>
          <w:rFonts w:asciiTheme="majorHAnsi" w:hAnsiTheme="majorHAnsi"/>
          <w:lang w:val="en-AU"/>
        </w:rPr>
        <w:t xml:space="preserve">people </w:t>
      </w:r>
      <w:r w:rsidRPr="00B918A5">
        <w:rPr>
          <w:rFonts w:asciiTheme="majorHAnsi" w:hAnsiTheme="majorHAnsi"/>
          <w:lang w:val="en-AU"/>
        </w:rPr>
        <w:t>and non-Indigenous people, disaggregated by gender.</w:t>
      </w:r>
    </w:p>
    <w:p w14:paraId="368C17C8" w14:textId="77777777" w:rsidR="00814869" w:rsidRPr="00B918A5" w:rsidRDefault="00E81275" w:rsidP="00DB0833">
      <w:pPr>
        <w:spacing w:before="240" w:after="240"/>
        <w:jc w:val="center"/>
        <w:rPr>
          <w:rFonts w:asciiTheme="majorHAnsi" w:hAnsiTheme="majorHAnsi"/>
          <w:lang w:val="en-AU"/>
        </w:rPr>
      </w:pPr>
      <w:r w:rsidRPr="00BD11B3">
        <w:rPr>
          <w:rFonts w:asciiTheme="majorHAnsi" w:hAnsiTheme="majorHAnsi"/>
          <w:b/>
          <w:lang w:val="en-AU"/>
        </w:rPr>
        <w:t>Table 1</w:t>
      </w:r>
      <w:r w:rsidR="00814869" w:rsidRPr="00BD11B3">
        <w:rPr>
          <w:rFonts w:asciiTheme="majorHAnsi" w:hAnsiTheme="majorHAnsi"/>
          <w:b/>
          <w:lang w:val="en-AU"/>
        </w:rPr>
        <w:t>: Changes</w:t>
      </w:r>
      <w:r w:rsidR="00814869" w:rsidRPr="00B918A5">
        <w:rPr>
          <w:rFonts w:asciiTheme="majorHAnsi" w:hAnsiTheme="majorHAnsi"/>
          <w:b/>
          <w:lang w:val="en-AU"/>
        </w:rPr>
        <w:t xml:space="preserve"> in Aboriginal and Torres Strait Islander and non-Indigenous life expectancy over 2005-07 and 2010-12, disaggregated by gender</w:t>
      </w:r>
      <w:r w:rsidR="00814869" w:rsidRPr="00B918A5">
        <w:rPr>
          <w:rFonts w:asciiTheme="majorHAnsi" w:hAnsiTheme="majorHAnsi"/>
          <w:vertAlign w:val="superscript"/>
          <w:lang w:val="en-AU"/>
        </w:rPr>
        <w:endnoteReference w:id="8"/>
      </w:r>
    </w:p>
    <w:tbl>
      <w:tblPr>
        <w:tblW w:w="8931" w:type="dxa"/>
        <w:tblInd w:w="-132" w:type="dxa"/>
        <w:tblLayout w:type="fixed"/>
        <w:tblCellMar>
          <w:left w:w="0" w:type="dxa"/>
          <w:right w:w="0" w:type="dxa"/>
        </w:tblCellMar>
        <w:tblLook w:val="0000" w:firstRow="0" w:lastRow="0" w:firstColumn="0" w:lastColumn="0" w:noHBand="0" w:noVBand="0"/>
      </w:tblPr>
      <w:tblGrid>
        <w:gridCol w:w="2302"/>
        <w:gridCol w:w="1101"/>
        <w:gridCol w:w="1559"/>
        <w:gridCol w:w="1559"/>
        <w:gridCol w:w="2410"/>
      </w:tblGrid>
      <w:tr w:rsidR="00814869" w:rsidRPr="006A24D8" w14:paraId="1A007848" w14:textId="77777777" w:rsidTr="000C0C85">
        <w:tc>
          <w:tcPr>
            <w:tcW w:w="3403" w:type="dxa"/>
            <w:gridSpan w:val="2"/>
            <w:vMerge w:val="restart"/>
            <w:tcBorders>
              <w:top w:val="single" w:sz="8" w:space="0" w:color="C0C0C0"/>
              <w:left w:val="single" w:sz="8" w:space="0" w:color="C0C0C0"/>
              <w:right w:val="single" w:sz="8" w:space="0" w:color="C0C0C0"/>
            </w:tcBorders>
            <w:shd w:val="clear" w:color="auto" w:fill="DBE5F1" w:themeFill="accent1" w:themeFillTint="33"/>
          </w:tcPr>
          <w:p w14:paraId="37792807" w14:textId="77777777" w:rsidR="00814869" w:rsidRPr="00B918A5" w:rsidRDefault="00814869" w:rsidP="009816B3">
            <w:pPr>
              <w:spacing w:after="40"/>
              <w:jc w:val="center"/>
              <w:rPr>
                <w:rFonts w:asciiTheme="majorHAnsi" w:hAnsiTheme="majorHAnsi"/>
                <w:b/>
                <w:sz w:val="20"/>
                <w:szCs w:val="20"/>
                <w:lang w:val="en-AU"/>
              </w:rPr>
            </w:pPr>
          </w:p>
        </w:tc>
        <w:tc>
          <w:tcPr>
            <w:tcW w:w="3118" w:type="dxa"/>
            <w:gridSpan w:val="2"/>
            <w:tcBorders>
              <w:top w:val="single" w:sz="8" w:space="0" w:color="C0C0C0"/>
              <w:left w:val="single" w:sz="8" w:space="0" w:color="C0C0C0"/>
              <w:bottom w:val="single" w:sz="8" w:space="0" w:color="C0C0C0"/>
              <w:right w:val="single" w:sz="8" w:space="0" w:color="C0C0C0"/>
            </w:tcBorders>
            <w:shd w:val="clear" w:color="auto" w:fill="DBE5F1" w:themeFill="accent1" w:themeFillTint="33"/>
            <w:vAlign w:val="center"/>
          </w:tcPr>
          <w:p w14:paraId="3E015C40" w14:textId="77777777" w:rsidR="00814869" w:rsidRPr="00B918A5" w:rsidRDefault="00814869" w:rsidP="000C0C85">
            <w:pPr>
              <w:spacing w:after="40"/>
              <w:jc w:val="center"/>
              <w:rPr>
                <w:rFonts w:asciiTheme="majorHAnsi" w:hAnsiTheme="majorHAnsi"/>
                <w:b/>
                <w:sz w:val="20"/>
                <w:szCs w:val="20"/>
                <w:lang w:val="en-AU"/>
              </w:rPr>
            </w:pPr>
            <w:r w:rsidRPr="00B918A5">
              <w:rPr>
                <w:rFonts w:asciiTheme="majorHAnsi" w:hAnsiTheme="majorHAnsi"/>
                <w:b/>
                <w:sz w:val="20"/>
                <w:szCs w:val="20"/>
                <w:lang w:val="en-AU"/>
              </w:rPr>
              <w:t xml:space="preserve">Life expectancy </w:t>
            </w:r>
            <w:r w:rsidRPr="00B918A5">
              <w:rPr>
                <w:rFonts w:asciiTheme="majorHAnsi" w:hAnsiTheme="majorHAnsi"/>
                <w:sz w:val="20"/>
                <w:szCs w:val="20"/>
                <w:lang w:val="en-AU"/>
              </w:rPr>
              <w:t>(years)</w:t>
            </w:r>
          </w:p>
        </w:tc>
        <w:tc>
          <w:tcPr>
            <w:tcW w:w="2410" w:type="dxa"/>
            <w:vMerge w:val="restart"/>
            <w:tcBorders>
              <w:top w:val="single" w:sz="8" w:space="0" w:color="C0C0C0"/>
              <w:left w:val="single" w:sz="8" w:space="0" w:color="C0C0C0"/>
              <w:right w:val="single" w:sz="8" w:space="0" w:color="C0C0C0"/>
            </w:tcBorders>
            <w:shd w:val="clear" w:color="auto" w:fill="DBE5F1" w:themeFill="accent1" w:themeFillTint="33"/>
            <w:vAlign w:val="center"/>
          </w:tcPr>
          <w:p w14:paraId="553CD692" w14:textId="77777777" w:rsidR="00814869" w:rsidRPr="00B918A5" w:rsidRDefault="00814869" w:rsidP="009816B3">
            <w:pPr>
              <w:spacing w:after="40"/>
              <w:jc w:val="center"/>
              <w:rPr>
                <w:rFonts w:asciiTheme="majorHAnsi" w:hAnsiTheme="majorHAnsi"/>
                <w:b/>
                <w:sz w:val="20"/>
                <w:szCs w:val="20"/>
                <w:lang w:val="en-AU"/>
              </w:rPr>
            </w:pPr>
            <w:r w:rsidRPr="00B918A5">
              <w:rPr>
                <w:rFonts w:asciiTheme="majorHAnsi" w:hAnsiTheme="majorHAnsi"/>
                <w:b/>
                <w:sz w:val="20"/>
                <w:szCs w:val="20"/>
                <w:lang w:val="en-AU"/>
              </w:rPr>
              <w:t>Increase in life expectancy from 2005-07 to 2010-12</w:t>
            </w:r>
          </w:p>
        </w:tc>
      </w:tr>
      <w:tr w:rsidR="00814869" w:rsidRPr="006A24D8" w14:paraId="4F4D020E" w14:textId="77777777" w:rsidTr="000C0C85">
        <w:tc>
          <w:tcPr>
            <w:tcW w:w="3403" w:type="dxa"/>
            <w:gridSpan w:val="2"/>
            <w:vMerge/>
            <w:tcBorders>
              <w:left w:val="single" w:sz="8" w:space="0" w:color="C0C0C0"/>
              <w:bottom w:val="single" w:sz="8" w:space="0" w:color="C0C0C0"/>
              <w:right w:val="single" w:sz="8" w:space="0" w:color="C0C0C0"/>
            </w:tcBorders>
            <w:shd w:val="clear" w:color="auto" w:fill="DBE5F1" w:themeFill="accent1" w:themeFillTint="33"/>
          </w:tcPr>
          <w:p w14:paraId="1F132272" w14:textId="77777777" w:rsidR="00814869" w:rsidRPr="00B918A5" w:rsidRDefault="00814869" w:rsidP="009816B3">
            <w:pPr>
              <w:spacing w:after="40"/>
              <w:jc w:val="center"/>
              <w:rPr>
                <w:rFonts w:asciiTheme="majorHAnsi" w:hAnsiTheme="majorHAnsi"/>
                <w:b/>
                <w:sz w:val="20"/>
                <w:szCs w:val="20"/>
                <w:lang w:val="en-AU"/>
              </w:rPr>
            </w:pPr>
          </w:p>
        </w:tc>
        <w:tc>
          <w:tcPr>
            <w:tcW w:w="1559"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vAlign w:val="center"/>
          </w:tcPr>
          <w:p w14:paraId="3C1D4369" w14:textId="77777777" w:rsidR="00814869" w:rsidRPr="00B918A5" w:rsidRDefault="00814869" w:rsidP="009816B3">
            <w:pPr>
              <w:spacing w:after="40"/>
              <w:jc w:val="center"/>
              <w:rPr>
                <w:rFonts w:asciiTheme="majorHAnsi" w:hAnsiTheme="majorHAnsi"/>
                <w:b/>
                <w:sz w:val="20"/>
                <w:szCs w:val="20"/>
                <w:lang w:val="en-AU"/>
              </w:rPr>
            </w:pPr>
            <w:r w:rsidRPr="00B918A5">
              <w:rPr>
                <w:rFonts w:asciiTheme="majorHAnsi" w:hAnsiTheme="majorHAnsi"/>
                <w:b/>
                <w:sz w:val="20"/>
                <w:szCs w:val="20"/>
                <w:lang w:val="en-AU"/>
              </w:rPr>
              <w:t>2005-07</w:t>
            </w:r>
          </w:p>
        </w:tc>
        <w:tc>
          <w:tcPr>
            <w:tcW w:w="1559"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vAlign w:val="center"/>
          </w:tcPr>
          <w:p w14:paraId="49AFDE5F" w14:textId="77777777" w:rsidR="00814869" w:rsidRPr="00B918A5" w:rsidRDefault="00814869" w:rsidP="009816B3">
            <w:pPr>
              <w:spacing w:after="40"/>
              <w:jc w:val="center"/>
              <w:rPr>
                <w:rFonts w:asciiTheme="majorHAnsi" w:hAnsiTheme="majorHAnsi"/>
                <w:b/>
                <w:sz w:val="20"/>
                <w:szCs w:val="20"/>
                <w:lang w:val="en-AU"/>
              </w:rPr>
            </w:pPr>
            <w:r w:rsidRPr="00B918A5">
              <w:rPr>
                <w:rFonts w:asciiTheme="majorHAnsi" w:hAnsiTheme="majorHAnsi"/>
                <w:b/>
                <w:sz w:val="20"/>
                <w:szCs w:val="20"/>
                <w:lang w:val="en-AU"/>
              </w:rPr>
              <w:t>2010-12</w:t>
            </w:r>
          </w:p>
        </w:tc>
        <w:tc>
          <w:tcPr>
            <w:tcW w:w="2410" w:type="dxa"/>
            <w:vMerge/>
            <w:tcBorders>
              <w:left w:val="single" w:sz="8" w:space="0" w:color="C0C0C0"/>
              <w:bottom w:val="single" w:sz="8" w:space="0" w:color="C0C0C0"/>
              <w:right w:val="single" w:sz="8" w:space="0" w:color="C0C0C0"/>
            </w:tcBorders>
            <w:shd w:val="clear" w:color="auto" w:fill="DBE5F1" w:themeFill="accent1" w:themeFillTint="33"/>
            <w:vAlign w:val="center"/>
          </w:tcPr>
          <w:p w14:paraId="7AF2CA6F" w14:textId="77777777" w:rsidR="00814869" w:rsidRPr="00B918A5" w:rsidRDefault="00814869" w:rsidP="009816B3">
            <w:pPr>
              <w:spacing w:after="40"/>
              <w:jc w:val="center"/>
              <w:rPr>
                <w:rFonts w:asciiTheme="majorHAnsi" w:hAnsiTheme="majorHAnsi"/>
                <w:b/>
                <w:sz w:val="20"/>
                <w:szCs w:val="20"/>
                <w:lang w:val="en-AU"/>
              </w:rPr>
            </w:pPr>
          </w:p>
        </w:tc>
      </w:tr>
      <w:tr w:rsidR="00814869" w:rsidRPr="006A24D8" w14:paraId="1F48EA26" w14:textId="77777777" w:rsidTr="000C0C85">
        <w:tc>
          <w:tcPr>
            <w:tcW w:w="2302" w:type="dxa"/>
            <w:vMerge w:val="restart"/>
            <w:tcBorders>
              <w:top w:val="single" w:sz="8" w:space="0" w:color="C0C0C0"/>
              <w:left w:val="single" w:sz="8" w:space="0" w:color="C0C0C0"/>
              <w:right w:val="single" w:sz="8" w:space="0" w:color="C0C0C0"/>
            </w:tcBorders>
            <w:shd w:val="clear" w:color="auto" w:fill="DBE5F1" w:themeFill="accent1" w:themeFillTint="33"/>
            <w:vAlign w:val="center"/>
          </w:tcPr>
          <w:p w14:paraId="5854A522" w14:textId="77777777" w:rsidR="00814869" w:rsidRPr="00B918A5" w:rsidRDefault="00814869" w:rsidP="009816B3">
            <w:pPr>
              <w:spacing w:after="40"/>
              <w:jc w:val="center"/>
              <w:rPr>
                <w:rFonts w:asciiTheme="majorHAnsi" w:hAnsiTheme="majorHAnsi"/>
                <w:b/>
                <w:sz w:val="20"/>
                <w:szCs w:val="20"/>
                <w:lang w:val="en-AU"/>
              </w:rPr>
            </w:pPr>
            <w:r w:rsidRPr="00B918A5">
              <w:rPr>
                <w:rFonts w:asciiTheme="majorHAnsi" w:hAnsiTheme="majorHAnsi"/>
                <w:b/>
                <w:sz w:val="20"/>
                <w:szCs w:val="20"/>
                <w:lang w:val="en-AU"/>
              </w:rPr>
              <w:t>Aboriginal and Torres Strait Islander</w:t>
            </w:r>
          </w:p>
        </w:tc>
        <w:tc>
          <w:tcPr>
            <w:tcW w:w="1101"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vAlign w:val="center"/>
          </w:tcPr>
          <w:p w14:paraId="424FDF38" w14:textId="77777777" w:rsidR="00814869" w:rsidRPr="00B918A5" w:rsidRDefault="00814869" w:rsidP="009816B3">
            <w:pPr>
              <w:spacing w:after="40"/>
              <w:jc w:val="center"/>
              <w:rPr>
                <w:rFonts w:asciiTheme="majorHAnsi" w:hAnsiTheme="majorHAnsi"/>
                <w:b/>
                <w:sz w:val="20"/>
                <w:szCs w:val="20"/>
                <w:lang w:val="en-AU"/>
              </w:rPr>
            </w:pPr>
            <w:r w:rsidRPr="00B918A5">
              <w:rPr>
                <w:rFonts w:asciiTheme="majorHAnsi" w:hAnsiTheme="majorHAnsi"/>
                <w:b/>
                <w:sz w:val="20"/>
                <w:szCs w:val="20"/>
                <w:lang w:val="en-AU"/>
              </w:rPr>
              <w:t>Men</w:t>
            </w:r>
          </w:p>
        </w:tc>
        <w:tc>
          <w:tcPr>
            <w:tcW w:w="1559" w:type="dxa"/>
            <w:tcBorders>
              <w:top w:val="single" w:sz="8" w:space="0" w:color="C0C0C0"/>
              <w:left w:val="single" w:sz="8" w:space="0" w:color="C0C0C0"/>
              <w:bottom w:val="single" w:sz="8" w:space="0" w:color="C0C0C0"/>
              <w:right w:val="single" w:sz="8" w:space="0" w:color="C0C0C0"/>
            </w:tcBorders>
            <w:vAlign w:val="center"/>
          </w:tcPr>
          <w:p w14:paraId="0D334755"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67.5</w:t>
            </w:r>
          </w:p>
        </w:tc>
        <w:tc>
          <w:tcPr>
            <w:tcW w:w="1559" w:type="dxa"/>
            <w:tcBorders>
              <w:top w:val="single" w:sz="8" w:space="0" w:color="C0C0C0"/>
              <w:left w:val="single" w:sz="8" w:space="0" w:color="C0C0C0"/>
              <w:bottom w:val="single" w:sz="8" w:space="0" w:color="C0C0C0"/>
              <w:right w:val="single" w:sz="8" w:space="0" w:color="C0C0C0"/>
            </w:tcBorders>
            <w:vAlign w:val="center"/>
          </w:tcPr>
          <w:p w14:paraId="03442F25"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69.1</w:t>
            </w:r>
          </w:p>
        </w:tc>
        <w:tc>
          <w:tcPr>
            <w:tcW w:w="2410" w:type="dxa"/>
            <w:tcBorders>
              <w:top w:val="single" w:sz="8" w:space="0" w:color="C0C0C0"/>
              <w:left w:val="single" w:sz="8" w:space="0" w:color="C0C0C0"/>
              <w:bottom w:val="single" w:sz="8" w:space="0" w:color="C0C0C0"/>
              <w:right w:val="single" w:sz="8" w:space="0" w:color="C0C0C0"/>
            </w:tcBorders>
            <w:vAlign w:val="center"/>
          </w:tcPr>
          <w:p w14:paraId="69D158CF"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+1.6 years</w:t>
            </w:r>
          </w:p>
        </w:tc>
      </w:tr>
      <w:tr w:rsidR="00814869" w:rsidRPr="006A24D8" w14:paraId="0527CBE4" w14:textId="77777777" w:rsidTr="000C0C85">
        <w:tc>
          <w:tcPr>
            <w:tcW w:w="2302" w:type="dxa"/>
            <w:vMerge/>
            <w:tcBorders>
              <w:left w:val="single" w:sz="8" w:space="0" w:color="C0C0C0"/>
              <w:bottom w:val="single" w:sz="8" w:space="0" w:color="C0C0C0"/>
              <w:right w:val="single" w:sz="8" w:space="0" w:color="C0C0C0"/>
            </w:tcBorders>
            <w:shd w:val="clear" w:color="auto" w:fill="DBE5F1" w:themeFill="accent1" w:themeFillTint="33"/>
            <w:vAlign w:val="center"/>
          </w:tcPr>
          <w:p w14:paraId="4B4B8254" w14:textId="77777777" w:rsidR="00814869" w:rsidRPr="00B918A5" w:rsidRDefault="00814869" w:rsidP="009816B3">
            <w:pPr>
              <w:spacing w:after="40"/>
              <w:jc w:val="center"/>
              <w:rPr>
                <w:rFonts w:asciiTheme="majorHAnsi" w:hAnsiTheme="majorHAnsi"/>
                <w:b/>
                <w:sz w:val="20"/>
                <w:szCs w:val="20"/>
                <w:lang w:val="en-AU"/>
              </w:rPr>
            </w:pPr>
          </w:p>
        </w:tc>
        <w:tc>
          <w:tcPr>
            <w:tcW w:w="1101"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vAlign w:val="center"/>
          </w:tcPr>
          <w:p w14:paraId="2AD3B825" w14:textId="77777777" w:rsidR="00814869" w:rsidRPr="00B918A5" w:rsidRDefault="00814869" w:rsidP="009816B3">
            <w:pPr>
              <w:spacing w:after="40"/>
              <w:jc w:val="center"/>
              <w:rPr>
                <w:rFonts w:asciiTheme="majorHAnsi" w:hAnsiTheme="majorHAnsi"/>
                <w:b/>
                <w:sz w:val="20"/>
                <w:szCs w:val="20"/>
                <w:lang w:val="en-AU"/>
              </w:rPr>
            </w:pPr>
            <w:r w:rsidRPr="00B918A5">
              <w:rPr>
                <w:rFonts w:asciiTheme="majorHAnsi" w:hAnsiTheme="majorHAnsi"/>
                <w:b/>
                <w:sz w:val="20"/>
                <w:szCs w:val="20"/>
                <w:lang w:val="en-AU"/>
              </w:rPr>
              <w:t>Women</w:t>
            </w:r>
          </w:p>
        </w:tc>
        <w:tc>
          <w:tcPr>
            <w:tcW w:w="1559" w:type="dxa"/>
            <w:tcBorders>
              <w:top w:val="single" w:sz="8" w:space="0" w:color="C0C0C0"/>
              <w:left w:val="single" w:sz="8" w:space="0" w:color="C0C0C0"/>
              <w:bottom w:val="single" w:sz="8" w:space="0" w:color="C0C0C0"/>
              <w:right w:val="single" w:sz="8" w:space="0" w:color="C0C0C0"/>
            </w:tcBorders>
            <w:vAlign w:val="center"/>
          </w:tcPr>
          <w:p w14:paraId="174C1EF0"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73.1</w:t>
            </w:r>
          </w:p>
        </w:tc>
        <w:tc>
          <w:tcPr>
            <w:tcW w:w="1559" w:type="dxa"/>
            <w:tcBorders>
              <w:top w:val="single" w:sz="8" w:space="0" w:color="C0C0C0"/>
              <w:left w:val="single" w:sz="8" w:space="0" w:color="C0C0C0"/>
              <w:bottom w:val="single" w:sz="8" w:space="0" w:color="C0C0C0"/>
              <w:right w:val="single" w:sz="8" w:space="0" w:color="C0C0C0"/>
            </w:tcBorders>
            <w:vAlign w:val="center"/>
          </w:tcPr>
          <w:p w14:paraId="5E4B9934"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73.7</w:t>
            </w:r>
          </w:p>
        </w:tc>
        <w:tc>
          <w:tcPr>
            <w:tcW w:w="2410" w:type="dxa"/>
            <w:tcBorders>
              <w:top w:val="single" w:sz="8" w:space="0" w:color="C0C0C0"/>
              <w:left w:val="single" w:sz="8" w:space="0" w:color="C0C0C0"/>
              <w:bottom w:val="single" w:sz="8" w:space="0" w:color="C0C0C0"/>
              <w:right w:val="single" w:sz="8" w:space="0" w:color="C0C0C0"/>
            </w:tcBorders>
            <w:vAlign w:val="center"/>
          </w:tcPr>
          <w:p w14:paraId="15414CB0"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+0.6 year</w:t>
            </w:r>
          </w:p>
        </w:tc>
      </w:tr>
      <w:tr w:rsidR="00814869" w:rsidRPr="006A24D8" w14:paraId="3818844B" w14:textId="77777777" w:rsidTr="000C0C85">
        <w:tc>
          <w:tcPr>
            <w:tcW w:w="2302" w:type="dxa"/>
            <w:vMerge w:val="restart"/>
            <w:tcBorders>
              <w:top w:val="single" w:sz="8" w:space="0" w:color="C0C0C0"/>
              <w:left w:val="single" w:sz="8" w:space="0" w:color="C0C0C0"/>
              <w:right w:val="single" w:sz="8" w:space="0" w:color="C0C0C0"/>
            </w:tcBorders>
            <w:shd w:val="clear" w:color="auto" w:fill="DBE5F1" w:themeFill="accent1" w:themeFillTint="33"/>
            <w:vAlign w:val="center"/>
          </w:tcPr>
          <w:p w14:paraId="62C59609" w14:textId="77777777" w:rsidR="00814869" w:rsidRPr="00B918A5" w:rsidRDefault="00814869" w:rsidP="009816B3">
            <w:pPr>
              <w:spacing w:after="40"/>
              <w:jc w:val="center"/>
              <w:rPr>
                <w:rFonts w:asciiTheme="majorHAnsi" w:hAnsiTheme="majorHAnsi"/>
                <w:b/>
                <w:sz w:val="20"/>
                <w:szCs w:val="20"/>
                <w:lang w:val="en-AU"/>
              </w:rPr>
            </w:pPr>
            <w:r w:rsidRPr="00B918A5">
              <w:rPr>
                <w:rFonts w:asciiTheme="majorHAnsi" w:hAnsiTheme="majorHAnsi"/>
                <w:b/>
                <w:sz w:val="20"/>
                <w:szCs w:val="20"/>
                <w:lang w:val="en-AU"/>
              </w:rPr>
              <w:t>Non-Indigenous</w:t>
            </w:r>
          </w:p>
        </w:tc>
        <w:tc>
          <w:tcPr>
            <w:tcW w:w="1101"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vAlign w:val="center"/>
          </w:tcPr>
          <w:p w14:paraId="5119B78D" w14:textId="77777777" w:rsidR="00814869" w:rsidRPr="00B918A5" w:rsidRDefault="00814869" w:rsidP="009816B3">
            <w:pPr>
              <w:spacing w:after="40"/>
              <w:jc w:val="center"/>
              <w:rPr>
                <w:rFonts w:asciiTheme="majorHAnsi" w:hAnsiTheme="majorHAnsi"/>
                <w:b/>
                <w:sz w:val="20"/>
                <w:szCs w:val="20"/>
                <w:lang w:val="en-AU"/>
              </w:rPr>
            </w:pPr>
            <w:r w:rsidRPr="00B918A5">
              <w:rPr>
                <w:rFonts w:asciiTheme="majorHAnsi" w:hAnsiTheme="majorHAnsi"/>
                <w:b/>
                <w:sz w:val="20"/>
                <w:szCs w:val="20"/>
                <w:lang w:val="en-AU"/>
              </w:rPr>
              <w:t>Men</w:t>
            </w:r>
          </w:p>
        </w:tc>
        <w:tc>
          <w:tcPr>
            <w:tcW w:w="1559" w:type="dxa"/>
            <w:tcBorders>
              <w:top w:val="single" w:sz="8" w:space="0" w:color="C0C0C0"/>
              <w:left w:val="single" w:sz="8" w:space="0" w:color="C0C0C0"/>
              <w:bottom w:val="single" w:sz="8" w:space="0" w:color="C0C0C0"/>
              <w:right w:val="single" w:sz="8" w:space="0" w:color="C0C0C0"/>
            </w:tcBorders>
            <w:vAlign w:val="center"/>
          </w:tcPr>
          <w:p w14:paraId="62A385B8"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78.9</w:t>
            </w:r>
          </w:p>
        </w:tc>
        <w:tc>
          <w:tcPr>
            <w:tcW w:w="1559" w:type="dxa"/>
            <w:tcBorders>
              <w:top w:val="single" w:sz="8" w:space="0" w:color="C0C0C0"/>
              <w:left w:val="single" w:sz="8" w:space="0" w:color="C0C0C0"/>
              <w:bottom w:val="single" w:sz="8" w:space="0" w:color="C0C0C0"/>
              <w:right w:val="single" w:sz="8" w:space="0" w:color="C0C0C0"/>
            </w:tcBorders>
            <w:vAlign w:val="center"/>
          </w:tcPr>
          <w:p w14:paraId="364DDA75"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79.7</w:t>
            </w:r>
          </w:p>
        </w:tc>
        <w:tc>
          <w:tcPr>
            <w:tcW w:w="2410" w:type="dxa"/>
            <w:tcBorders>
              <w:top w:val="single" w:sz="8" w:space="0" w:color="C0C0C0"/>
              <w:left w:val="single" w:sz="8" w:space="0" w:color="C0C0C0"/>
              <w:bottom w:val="single" w:sz="8" w:space="0" w:color="C0C0C0"/>
              <w:right w:val="single" w:sz="8" w:space="0" w:color="C0C0C0"/>
            </w:tcBorders>
            <w:vAlign w:val="center"/>
          </w:tcPr>
          <w:p w14:paraId="63C28295"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+0.8 year</w:t>
            </w:r>
          </w:p>
        </w:tc>
      </w:tr>
      <w:tr w:rsidR="00814869" w:rsidRPr="006A24D8" w14:paraId="5B2A69D9" w14:textId="77777777" w:rsidTr="000C0C85">
        <w:tc>
          <w:tcPr>
            <w:tcW w:w="2302" w:type="dxa"/>
            <w:vMerge/>
            <w:tcBorders>
              <w:left w:val="single" w:sz="8" w:space="0" w:color="C0C0C0"/>
              <w:bottom w:val="single" w:sz="8" w:space="0" w:color="C0C0C0"/>
              <w:right w:val="single" w:sz="8" w:space="0" w:color="C0C0C0"/>
            </w:tcBorders>
            <w:shd w:val="clear" w:color="auto" w:fill="DBE5F1" w:themeFill="accent1" w:themeFillTint="33"/>
          </w:tcPr>
          <w:p w14:paraId="1F97F5E2" w14:textId="77777777" w:rsidR="00814869" w:rsidRPr="00B918A5" w:rsidRDefault="00814869" w:rsidP="009816B3">
            <w:pPr>
              <w:spacing w:after="40"/>
              <w:jc w:val="center"/>
              <w:rPr>
                <w:rFonts w:asciiTheme="majorHAnsi" w:hAnsiTheme="majorHAnsi"/>
                <w:b/>
                <w:sz w:val="20"/>
                <w:szCs w:val="20"/>
                <w:lang w:val="en-AU"/>
              </w:rPr>
            </w:pPr>
          </w:p>
        </w:tc>
        <w:tc>
          <w:tcPr>
            <w:tcW w:w="1101"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vAlign w:val="center"/>
          </w:tcPr>
          <w:p w14:paraId="23C0A144" w14:textId="77777777" w:rsidR="00814869" w:rsidRPr="00B918A5" w:rsidRDefault="00814869" w:rsidP="009816B3">
            <w:pPr>
              <w:spacing w:after="40"/>
              <w:jc w:val="center"/>
              <w:rPr>
                <w:rFonts w:asciiTheme="majorHAnsi" w:hAnsiTheme="majorHAnsi"/>
                <w:b/>
                <w:sz w:val="20"/>
                <w:szCs w:val="20"/>
                <w:lang w:val="en-AU"/>
              </w:rPr>
            </w:pPr>
            <w:r w:rsidRPr="00B918A5">
              <w:rPr>
                <w:rFonts w:asciiTheme="majorHAnsi" w:hAnsiTheme="majorHAnsi"/>
                <w:b/>
                <w:sz w:val="20"/>
                <w:szCs w:val="20"/>
                <w:lang w:val="en-AU"/>
              </w:rPr>
              <w:t>Women</w:t>
            </w:r>
          </w:p>
        </w:tc>
        <w:tc>
          <w:tcPr>
            <w:tcW w:w="1559" w:type="dxa"/>
            <w:tcBorders>
              <w:top w:val="single" w:sz="8" w:space="0" w:color="C0C0C0"/>
              <w:left w:val="single" w:sz="8" w:space="0" w:color="C0C0C0"/>
              <w:bottom w:val="single" w:sz="8" w:space="0" w:color="C0C0C0"/>
              <w:right w:val="single" w:sz="8" w:space="0" w:color="C0C0C0"/>
            </w:tcBorders>
            <w:vAlign w:val="center"/>
          </w:tcPr>
          <w:p w14:paraId="2FF77017"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82.6</w:t>
            </w:r>
          </w:p>
        </w:tc>
        <w:tc>
          <w:tcPr>
            <w:tcW w:w="1559" w:type="dxa"/>
            <w:tcBorders>
              <w:top w:val="single" w:sz="8" w:space="0" w:color="C0C0C0"/>
              <w:left w:val="single" w:sz="8" w:space="0" w:color="C0C0C0"/>
              <w:bottom w:val="single" w:sz="8" w:space="0" w:color="C0C0C0"/>
              <w:right w:val="single" w:sz="8" w:space="0" w:color="C0C0C0"/>
            </w:tcBorders>
            <w:vAlign w:val="center"/>
          </w:tcPr>
          <w:p w14:paraId="4293F9A6"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83.1</w:t>
            </w:r>
          </w:p>
        </w:tc>
        <w:tc>
          <w:tcPr>
            <w:tcW w:w="2410" w:type="dxa"/>
            <w:tcBorders>
              <w:top w:val="single" w:sz="8" w:space="0" w:color="C0C0C0"/>
              <w:left w:val="single" w:sz="8" w:space="0" w:color="C0C0C0"/>
              <w:bottom w:val="single" w:sz="8" w:space="0" w:color="C0C0C0"/>
              <w:right w:val="single" w:sz="8" w:space="0" w:color="C0C0C0"/>
            </w:tcBorders>
            <w:vAlign w:val="center"/>
          </w:tcPr>
          <w:p w14:paraId="41DD203C" w14:textId="77777777" w:rsidR="00814869" w:rsidRPr="00B918A5" w:rsidRDefault="00814869" w:rsidP="009816B3">
            <w:pPr>
              <w:spacing w:after="40"/>
              <w:jc w:val="center"/>
              <w:rPr>
                <w:rFonts w:asciiTheme="majorHAnsi" w:hAnsiTheme="majorHAnsi"/>
                <w:sz w:val="20"/>
                <w:szCs w:val="20"/>
                <w:lang w:val="en-AU"/>
              </w:rPr>
            </w:pPr>
            <w:r w:rsidRPr="00B918A5">
              <w:rPr>
                <w:rFonts w:asciiTheme="majorHAnsi" w:hAnsiTheme="majorHAnsi"/>
                <w:sz w:val="20"/>
                <w:szCs w:val="20"/>
                <w:lang w:val="en-AU"/>
              </w:rPr>
              <w:t>+0.5 year</w:t>
            </w:r>
          </w:p>
        </w:tc>
      </w:tr>
    </w:tbl>
    <w:p w14:paraId="052B91B0" w14:textId="3C1563BE" w:rsidR="00814869" w:rsidRPr="00B918A5" w:rsidRDefault="00814869" w:rsidP="00296142">
      <w:pPr>
        <w:spacing w:before="240" w:after="240"/>
        <w:rPr>
          <w:lang w:val="en-AU"/>
        </w:rPr>
      </w:pPr>
      <w:r w:rsidRPr="00B918A5">
        <w:rPr>
          <w:rFonts w:asciiTheme="majorHAnsi" w:hAnsiTheme="majorHAnsi"/>
          <w:lang w:val="en-AU"/>
        </w:rPr>
        <w:t>The Campaign Steering Committee welcomes the absolute gains in estimated Aboriginal and Torres Strait Islander life expectancy. These are ‘on-the ground’ improvements to the lives of Aboriginal and Torres Strait Islander people</w:t>
      </w:r>
      <w:r w:rsidR="00AB7F82">
        <w:rPr>
          <w:rFonts w:asciiTheme="majorHAnsi" w:hAnsiTheme="majorHAnsi"/>
          <w:lang w:val="en-AU"/>
        </w:rPr>
        <w:t>s</w:t>
      </w:r>
      <w:r w:rsidRPr="00B918A5">
        <w:rPr>
          <w:rFonts w:asciiTheme="majorHAnsi" w:hAnsiTheme="majorHAnsi"/>
          <w:lang w:val="en-AU"/>
        </w:rPr>
        <w:t xml:space="preserve"> </w:t>
      </w:r>
      <w:r w:rsidR="001E10C7" w:rsidRPr="00B918A5">
        <w:rPr>
          <w:rFonts w:asciiTheme="majorHAnsi" w:hAnsiTheme="majorHAnsi"/>
          <w:lang w:val="en-AU"/>
        </w:rPr>
        <w:t xml:space="preserve">and </w:t>
      </w:r>
      <w:r w:rsidRPr="00B918A5">
        <w:rPr>
          <w:rFonts w:asciiTheme="majorHAnsi" w:hAnsiTheme="majorHAnsi"/>
          <w:lang w:val="en-AU"/>
        </w:rPr>
        <w:t xml:space="preserve">should not be underestimated. </w:t>
      </w:r>
      <w:r w:rsidRPr="00B918A5">
        <w:rPr>
          <w:lang w:val="en-AU"/>
        </w:rPr>
        <w:t xml:space="preserve">Another year a father can spend with </w:t>
      </w:r>
      <w:r w:rsidR="00BD11B3">
        <w:rPr>
          <w:lang w:val="en-AU"/>
        </w:rPr>
        <w:t>his</w:t>
      </w:r>
      <w:r w:rsidRPr="00B918A5">
        <w:rPr>
          <w:lang w:val="en-AU"/>
        </w:rPr>
        <w:t xml:space="preserve"> son, or a grandmother with </w:t>
      </w:r>
      <w:r w:rsidR="00BD11B3">
        <w:rPr>
          <w:lang w:val="en-AU"/>
        </w:rPr>
        <w:t>her</w:t>
      </w:r>
      <w:r w:rsidRPr="00B918A5">
        <w:rPr>
          <w:lang w:val="en-AU"/>
        </w:rPr>
        <w:t xml:space="preserve"> grandchildren, or a trusted </w:t>
      </w:r>
      <w:proofErr w:type="gramStart"/>
      <w:r w:rsidRPr="00B918A5">
        <w:rPr>
          <w:lang w:val="en-AU"/>
        </w:rPr>
        <w:t>Elder</w:t>
      </w:r>
      <w:proofErr w:type="gramEnd"/>
      <w:r w:rsidRPr="00B918A5">
        <w:rPr>
          <w:lang w:val="en-AU"/>
        </w:rPr>
        <w:t xml:space="preserve"> guiding the life of their community, is to be treasured. </w:t>
      </w:r>
    </w:p>
    <w:p w14:paraId="7380B6F8" w14:textId="6C868D91" w:rsidR="00915F0D" w:rsidRPr="00B918A5" w:rsidRDefault="00814869" w:rsidP="00296142">
      <w:pPr>
        <w:spacing w:before="240" w:after="240"/>
        <w:rPr>
          <w:lang w:val="en-AU"/>
        </w:rPr>
      </w:pPr>
      <w:r w:rsidRPr="00B918A5">
        <w:rPr>
          <w:lang w:val="en-AU"/>
        </w:rPr>
        <w:t xml:space="preserve">In Chapter 3 of this report, an illustrative comparison between the life expectancy of </w:t>
      </w:r>
      <w:r w:rsidR="009E6F32">
        <w:rPr>
          <w:lang w:val="en-AU"/>
        </w:rPr>
        <w:t xml:space="preserve">the </w:t>
      </w:r>
      <w:r w:rsidRPr="00B918A5">
        <w:rPr>
          <w:lang w:val="en-AU"/>
        </w:rPr>
        <w:t xml:space="preserve">Maori peoples and Aboriginal and Torres Strait Islander </w:t>
      </w:r>
      <w:r w:rsidR="00AB7F82">
        <w:rPr>
          <w:lang w:val="en-AU"/>
        </w:rPr>
        <w:t>peoples</w:t>
      </w:r>
      <w:r w:rsidRPr="00B918A5">
        <w:rPr>
          <w:lang w:val="en-AU"/>
        </w:rPr>
        <w:t xml:space="preserve"> is provided. </w:t>
      </w:r>
      <w:r w:rsidR="00E924A0">
        <w:rPr>
          <w:lang w:val="en-AU"/>
        </w:rPr>
        <w:t>A four-year rise in Maori life expectancy was achieved between 2000-02 and</w:t>
      </w:r>
      <w:r w:rsidRPr="00B918A5">
        <w:rPr>
          <w:lang w:val="en-AU"/>
        </w:rPr>
        <w:t xml:space="preserve"> 2010-12</w:t>
      </w:r>
      <w:r w:rsidR="00E924A0">
        <w:rPr>
          <w:szCs w:val="19"/>
          <w:lang w:val="en-AU"/>
        </w:rPr>
        <w:t>. This positive outcome was the</w:t>
      </w:r>
      <w:r w:rsidRPr="00B918A5">
        <w:rPr>
          <w:szCs w:val="19"/>
          <w:lang w:val="en-AU"/>
        </w:rPr>
        <w:t xml:space="preserve"> result of two decades of sustained national effort.</w:t>
      </w:r>
      <w:r w:rsidRPr="00B918A5">
        <w:rPr>
          <w:rStyle w:val="EndnoteReference"/>
          <w:szCs w:val="19"/>
          <w:lang w:val="en-AU"/>
        </w:rPr>
        <w:endnoteReference w:id="9"/>
      </w:r>
      <w:r w:rsidRPr="00B918A5">
        <w:rPr>
          <w:szCs w:val="19"/>
          <w:lang w:val="en-AU"/>
        </w:rPr>
        <w:t xml:space="preserve"> The Campaign Steering Committee </w:t>
      </w:r>
      <w:r w:rsidRPr="00B918A5">
        <w:rPr>
          <w:lang w:val="en-AU"/>
        </w:rPr>
        <w:t>believes that Aboriginal an</w:t>
      </w:r>
      <w:r w:rsidR="00AB7F82">
        <w:rPr>
          <w:lang w:val="en-AU"/>
        </w:rPr>
        <w:t>d Torres Strait Islander peoples</w:t>
      </w:r>
      <w:r w:rsidRPr="00B918A5">
        <w:rPr>
          <w:lang w:val="en-AU"/>
        </w:rPr>
        <w:t xml:space="preserve"> could make similar absolute gains </w:t>
      </w:r>
      <w:r w:rsidR="00804E3A" w:rsidRPr="00B918A5">
        <w:rPr>
          <w:lang w:val="en-AU"/>
        </w:rPr>
        <w:t>before</w:t>
      </w:r>
      <w:r w:rsidRPr="00B918A5">
        <w:rPr>
          <w:lang w:val="en-AU"/>
        </w:rPr>
        <w:t xml:space="preserve"> the early 2020s if the effort to close the gap in this country is maintained. </w:t>
      </w:r>
      <w:r w:rsidR="00AC127E">
        <w:rPr>
          <w:lang w:val="en-AU"/>
        </w:rPr>
        <w:t xml:space="preserve">Large absolute gains will be particularly possible with a </w:t>
      </w:r>
      <w:r w:rsidR="00AC127E">
        <w:rPr>
          <w:lang w:val="en-AU"/>
        </w:rPr>
        <w:lastRenderedPageBreak/>
        <w:t xml:space="preserve">much greater focus on </w:t>
      </w:r>
      <w:r w:rsidR="00802E83">
        <w:rPr>
          <w:lang w:val="en-AU"/>
        </w:rPr>
        <w:t xml:space="preserve">increasing </w:t>
      </w:r>
      <w:r w:rsidR="00AC127E">
        <w:rPr>
          <w:lang w:val="en-AU"/>
        </w:rPr>
        <w:t xml:space="preserve">access to appropriate health services. This need will be addressed throughout this report. </w:t>
      </w:r>
    </w:p>
    <w:p w14:paraId="2BF8447A" w14:textId="77777777" w:rsidR="00814869" w:rsidRPr="00B918A5" w:rsidRDefault="00814869" w:rsidP="00296142">
      <w:pPr>
        <w:spacing w:before="240" w:after="240"/>
        <w:rPr>
          <w:lang w:val="en-AU"/>
        </w:rPr>
      </w:pPr>
      <w:r w:rsidRPr="00B918A5">
        <w:rPr>
          <w:lang w:val="en-AU"/>
        </w:rPr>
        <w:t xml:space="preserve">However, as important and welcome as absolute gains are, the focus of the Closing the Gap Strategy must remain on achieving </w:t>
      </w:r>
      <w:r w:rsidRPr="00F57789">
        <w:rPr>
          <w:b/>
          <w:i/>
          <w:lang w:val="en-AU"/>
        </w:rPr>
        <w:t>relative</w:t>
      </w:r>
      <w:r w:rsidR="00E924A0">
        <w:rPr>
          <w:lang w:val="en-AU"/>
        </w:rPr>
        <w:t xml:space="preserve"> gains. C</w:t>
      </w:r>
      <w:r w:rsidRPr="00B918A5">
        <w:rPr>
          <w:lang w:val="en-AU"/>
        </w:rPr>
        <w:t>losing the gap</w:t>
      </w:r>
      <w:r w:rsidR="00E924A0">
        <w:rPr>
          <w:lang w:val="en-AU"/>
        </w:rPr>
        <w:t xml:space="preserve"> is a</w:t>
      </w:r>
      <w:r w:rsidRPr="00B918A5">
        <w:rPr>
          <w:lang w:val="en-AU"/>
        </w:rPr>
        <w:t xml:space="preserve"> priority</w:t>
      </w:r>
      <w:r w:rsidR="000452A5" w:rsidRPr="00B918A5">
        <w:rPr>
          <w:lang w:val="en-AU"/>
        </w:rPr>
        <w:t xml:space="preserve"> health,</w:t>
      </w:r>
      <w:r w:rsidRPr="00B918A5">
        <w:rPr>
          <w:lang w:val="en-AU"/>
        </w:rPr>
        <w:t xml:space="preserve"> social justice and human rights issue in Australia.</w:t>
      </w:r>
    </w:p>
    <w:p w14:paraId="6E67C3E0" w14:textId="77777777" w:rsidR="00814869" w:rsidRPr="00B918A5" w:rsidRDefault="00814869" w:rsidP="00296142">
      <w:pPr>
        <w:pStyle w:val="Heading3"/>
        <w:rPr>
          <w:lang w:val="en-AU"/>
        </w:rPr>
      </w:pPr>
      <w:bookmarkStart w:id="6" w:name="_Toc409788711"/>
      <w:r w:rsidRPr="00B918A5">
        <w:rPr>
          <w:lang w:val="en-AU"/>
        </w:rPr>
        <w:t>Relative gains</w:t>
      </w:r>
      <w:bookmarkEnd w:id="6"/>
    </w:p>
    <w:p w14:paraId="1DD25420" w14:textId="271D566B" w:rsidR="00814869" w:rsidRPr="00E924A0" w:rsidRDefault="009E6F32" w:rsidP="00296142">
      <w:pPr>
        <w:spacing w:before="240" w:after="240"/>
        <w:rPr>
          <w:rFonts w:asciiTheme="majorHAnsi" w:hAnsiTheme="majorHAnsi"/>
          <w:lang w:val="en-AU"/>
        </w:rPr>
      </w:pPr>
      <w:r>
        <w:rPr>
          <w:rFonts w:asciiTheme="majorHAnsi" w:hAnsiTheme="majorHAnsi"/>
          <w:lang w:val="en-AU"/>
        </w:rPr>
        <w:t>Over 2005-2007 and 2010-2012 the</w:t>
      </w:r>
      <w:r w:rsidR="00E924A0">
        <w:rPr>
          <w:rFonts w:asciiTheme="majorHAnsi" w:hAnsiTheme="majorHAnsi"/>
          <w:lang w:val="en-AU"/>
        </w:rPr>
        <w:t xml:space="preserve"> life expectancy gap </w:t>
      </w:r>
      <w:r w:rsidR="00E924A0" w:rsidRPr="00B918A5">
        <w:rPr>
          <w:rFonts w:asciiTheme="majorHAnsi" w:hAnsiTheme="majorHAnsi"/>
          <w:lang w:val="en-AU"/>
        </w:rPr>
        <w:t xml:space="preserve">for Aboriginal and Torres Strait Islander men closed by 0.8 </w:t>
      </w:r>
      <w:proofErr w:type="gramStart"/>
      <w:r w:rsidR="00E924A0" w:rsidRPr="00B918A5">
        <w:rPr>
          <w:rFonts w:asciiTheme="majorHAnsi" w:hAnsiTheme="majorHAnsi"/>
          <w:lang w:val="en-AU"/>
        </w:rPr>
        <w:t>years,</w:t>
      </w:r>
      <w:proofErr w:type="gramEnd"/>
      <w:r w:rsidR="00E924A0" w:rsidRPr="00B918A5">
        <w:rPr>
          <w:rFonts w:asciiTheme="majorHAnsi" w:hAnsiTheme="majorHAnsi"/>
          <w:lang w:val="en-AU"/>
        </w:rPr>
        <w:t xml:space="preserve"> and for women by only 0.1 years.</w:t>
      </w:r>
      <w:r w:rsidR="00E924A0" w:rsidRPr="00B918A5">
        <w:rPr>
          <w:rFonts w:asciiTheme="majorHAnsi" w:hAnsiTheme="majorHAnsi"/>
          <w:vertAlign w:val="superscript"/>
          <w:lang w:val="en-AU"/>
        </w:rPr>
        <w:endnoteReference w:id="10"/>
      </w:r>
      <w:r w:rsidR="00E924A0">
        <w:rPr>
          <w:rFonts w:asciiTheme="majorHAnsi" w:hAnsiTheme="majorHAnsi"/>
          <w:lang w:val="en-AU"/>
        </w:rPr>
        <w:t xml:space="preserve"> </w:t>
      </w:r>
      <w:r w:rsidR="0089427B">
        <w:rPr>
          <w:rFonts w:asciiTheme="majorHAnsi" w:hAnsiTheme="majorHAnsi"/>
          <w:lang w:val="en-AU"/>
        </w:rPr>
        <w:t>The small relative gain was</w:t>
      </w:r>
      <w:r w:rsidR="00E924A0">
        <w:rPr>
          <w:rFonts w:asciiTheme="majorHAnsi" w:hAnsiTheme="majorHAnsi"/>
          <w:lang w:val="en-AU"/>
        </w:rPr>
        <w:t xml:space="preserve"> </w:t>
      </w:r>
      <w:r w:rsidR="0089427B">
        <w:rPr>
          <w:rFonts w:asciiTheme="majorHAnsi" w:hAnsiTheme="majorHAnsi"/>
          <w:lang w:val="en-AU"/>
        </w:rPr>
        <w:t>a result o</w:t>
      </w:r>
      <w:r w:rsidR="00814869" w:rsidRPr="00B918A5">
        <w:rPr>
          <w:rFonts w:asciiTheme="majorHAnsi" w:hAnsiTheme="majorHAnsi"/>
          <w:lang w:val="en-AU"/>
        </w:rPr>
        <w:t>f the gains in life expectancy made by non-Indigenous people</w:t>
      </w:r>
      <w:r w:rsidR="00E924A0">
        <w:rPr>
          <w:rFonts w:asciiTheme="majorHAnsi" w:hAnsiTheme="majorHAnsi"/>
          <w:lang w:val="en-AU"/>
        </w:rPr>
        <w:t xml:space="preserve">. </w:t>
      </w:r>
      <w:r w:rsidR="0089427B">
        <w:rPr>
          <w:rFonts w:asciiTheme="majorHAnsi" w:hAnsiTheme="majorHAnsi"/>
          <w:lang w:val="en-AU"/>
        </w:rPr>
        <w:t>Indeed</w:t>
      </w:r>
      <w:r w:rsidR="000452A5" w:rsidRPr="00B918A5">
        <w:rPr>
          <w:rFonts w:asciiTheme="majorHAnsi" w:hAnsiTheme="majorHAnsi"/>
          <w:lang w:val="en-AU"/>
        </w:rPr>
        <w:t>, such</w:t>
      </w:r>
      <w:r w:rsidR="00814869" w:rsidRPr="00B918A5">
        <w:rPr>
          <w:rFonts w:asciiTheme="majorHAnsi" w:hAnsiTheme="majorHAnsi"/>
          <w:lang w:val="en-AU"/>
        </w:rPr>
        <w:t xml:space="preserve"> small relative gains are within the margin for error and could in fact be non-existent.</w:t>
      </w:r>
      <w:r w:rsidR="00814869" w:rsidRPr="00B918A5">
        <w:rPr>
          <w:rFonts w:asciiTheme="majorHAnsi" w:hAnsiTheme="majorHAnsi"/>
          <w:vertAlign w:val="superscript"/>
          <w:lang w:val="en-AU"/>
        </w:rPr>
        <w:endnoteReference w:id="11"/>
      </w:r>
      <w:r w:rsidR="00814869" w:rsidRPr="00B918A5">
        <w:rPr>
          <w:rFonts w:asciiTheme="majorHAnsi" w:hAnsiTheme="majorHAnsi"/>
          <w:vertAlign w:val="superscript"/>
          <w:lang w:val="en-AU"/>
        </w:rPr>
        <w:t xml:space="preserve"> </w:t>
      </w:r>
    </w:p>
    <w:p w14:paraId="28F20AE5" w14:textId="427A28AD" w:rsidR="00814869" w:rsidRPr="00B918A5" w:rsidRDefault="00814869" w:rsidP="00296142">
      <w:pPr>
        <w:spacing w:before="240" w:after="240"/>
        <w:rPr>
          <w:rFonts w:asciiTheme="majorHAnsi" w:hAnsiTheme="majorHAnsi"/>
          <w:lang w:val="en-AU"/>
        </w:rPr>
      </w:pPr>
      <w:r w:rsidRPr="00B918A5">
        <w:rPr>
          <w:rFonts w:asciiTheme="majorHAnsi" w:hAnsiTheme="majorHAnsi"/>
          <w:lang w:val="en-AU"/>
        </w:rPr>
        <w:t>In its final report, the COAG Reform Council conclude</w:t>
      </w:r>
      <w:r w:rsidR="000452A5" w:rsidRPr="00B918A5">
        <w:rPr>
          <w:rFonts w:asciiTheme="majorHAnsi" w:hAnsiTheme="majorHAnsi"/>
          <w:lang w:val="en-AU"/>
        </w:rPr>
        <w:t>d</w:t>
      </w:r>
      <w:r w:rsidRPr="00B918A5">
        <w:rPr>
          <w:rFonts w:asciiTheme="majorHAnsi" w:hAnsiTheme="majorHAnsi"/>
          <w:lang w:val="en-AU"/>
        </w:rPr>
        <w:t xml:space="preserve"> that the nation is not on track to meet the 203</w:t>
      </w:r>
      <w:r w:rsidR="009E6F32">
        <w:rPr>
          <w:rFonts w:asciiTheme="majorHAnsi" w:hAnsiTheme="majorHAnsi"/>
          <w:lang w:val="en-AU"/>
        </w:rPr>
        <w:t>0</w:t>
      </w:r>
      <w:r w:rsidRPr="00B918A5">
        <w:rPr>
          <w:rFonts w:asciiTheme="majorHAnsi" w:hAnsiTheme="majorHAnsi"/>
          <w:lang w:val="en-AU"/>
        </w:rPr>
        <w:t xml:space="preserve"> COAG life expectancy equality target and that larger absolute and relative gains are needed in future years.</w:t>
      </w:r>
      <w:r w:rsidRPr="00B918A5">
        <w:rPr>
          <w:rFonts w:asciiTheme="majorHAnsi" w:hAnsiTheme="majorHAnsi"/>
          <w:vertAlign w:val="superscript"/>
          <w:lang w:val="en-AU"/>
        </w:rPr>
        <w:endnoteReference w:id="12"/>
      </w:r>
      <w:r w:rsidRPr="00B918A5">
        <w:rPr>
          <w:rFonts w:asciiTheme="majorHAnsi" w:hAnsiTheme="majorHAnsi"/>
          <w:lang w:val="en-AU"/>
        </w:rPr>
        <w:t xml:space="preserve"> They highlight particular concerns nationally for Aboriginal and Torr</w:t>
      </w:r>
      <w:r w:rsidR="000452A5" w:rsidRPr="00B918A5">
        <w:rPr>
          <w:rFonts w:asciiTheme="majorHAnsi" w:hAnsiTheme="majorHAnsi"/>
          <w:lang w:val="en-AU"/>
        </w:rPr>
        <w:t>es Strait I</w:t>
      </w:r>
      <w:r w:rsidRPr="00B918A5">
        <w:rPr>
          <w:rFonts w:asciiTheme="majorHAnsi" w:hAnsiTheme="majorHAnsi"/>
          <w:lang w:val="en-AU"/>
        </w:rPr>
        <w:t>slander women’s life expectancy, and for Northern Territory Aboriginal and Torres Strait Islander residents.</w:t>
      </w:r>
      <w:r w:rsidRPr="00B918A5">
        <w:rPr>
          <w:rFonts w:asciiTheme="majorHAnsi" w:hAnsiTheme="majorHAnsi"/>
          <w:vertAlign w:val="superscript"/>
          <w:lang w:val="en-AU"/>
        </w:rPr>
        <w:endnoteReference w:id="13"/>
      </w:r>
    </w:p>
    <w:p w14:paraId="6898C0AA" w14:textId="77777777" w:rsidR="00814869" w:rsidRPr="00B918A5" w:rsidRDefault="0038759E" w:rsidP="005D0802">
      <w:pPr>
        <w:pStyle w:val="Heading3"/>
        <w:rPr>
          <w:lang w:val="en-AU"/>
        </w:rPr>
      </w:pPr>
      <w:bookmarkStart w:id="7" w:name="_Toc409788712"/>
      <w:r>
        <w:rPr>
          <w:lang w:val="en-AU"/>
        </w:rPr>
        <w:t xml:space="preserve">Being realistic about </w:t>
      </w:r>
      <w:r w:rsidR="00814869" w:rsidRPr="00B918A5">
        <w:rPr>
          <w:lang w:val="en-AU"/>
        </w:rPr>
        <w:t>big picture change</w:t>
      </w:r>
      <w:bookmarkEnd w:id="7"/>
    </w:p>
    <w:p w14:paraId="472432EB" w14:textId="12C8D0D9" w:rsidR="00814869" w:rsidRPr="00B918A5" w:rsidRDefault="000E4221" w:rsidP="00015233">
      <w:pPr>
        <w:spacing w:before="240" w:after="240"/>
        <w:rPr>
          <w:szCs w:val="19"/>
          <w:lang w:val="en-AU"/>
        </w:rPr>
      </w:pPr>
      <w:r>
        <w:rPr>
          <w:szCs w:val="19"/>
          <w:lang w:val="en-AU"/>
        </w:rPr>
        <w:t xml:space="preserve">The 2010-2012 life expectancy </w:t>
      </w:r>
      <w:proofErr w:type="gramStart"/>
      <w:r w:rsidR="00256B2F">
        <w:rPr>
          <w:szCs w:val="19"/>
          <w:lang w:val="en-AU"/>
        </w:rPr>
        <w:t>estimate</w:t>
      </w:r>
      <w:proofErr w:type="gramEnd"/>
      <w:r>
        <w:rPr>
          <w:szCs w:val="19"/>
          <w:lang w:val="en-AU"/>
        </w:rPr>
        <w:t xml:space="preserve"> is akin to a baseline </w:t>
      </w:r>
      <w:r w:rsidR="00256B2F">
        <w:rPr>
          <w:szCs w:val="19"/>
          <w:lang w:val="en-AU"/>
        </w:rPr>
        <w:t xml:space="preserve">– against which </w:t>
      </w:r>
      <w:r w:rsidR="001A2BCA">
        <w:rPr>
          <w:szCs w:val="19"/>
          <w:lang w:val="en-AU"/>
        </w:rPr>
        <w:t>progress</w:t>
      </w:r>
      <w:r w:rsidR="00256B2F">
        <w:rPr>
          <w:szCs w:val="19"/>
          <w:lang w:val="en-AU"/>
        </w:rPr>
        <w:t xml:space="preserve"> can be measured </w:t>
      </w:r>
      <w:r w:rsidR="001A2BCA">
        <w:rPr>
          <w:szCs w:val="19"/>
          <w:lang w:val="en-AU"/>
        </w:rPr>
        <w:t>until 2030</w:t>
      </w:r>
      <w:r w:rsidR="00256B2F">
        <w:rPr>
          <w:szCs w:val="19"/>
          <w:lang w:val="en-AU"/>
        </w:rPr>
        <w:t xml:space="preserve">. This is because the 2010-2012 data is better understood as </w:t>
      </w:r>
      <w:r w:rsidR="001A2BCA">
        <w:rPr>
          <w:szCs w:val="19"/>
          <w:lang w:val="en-AU"/>
        </w:rPr>
        <w:t>reflect</w:t>
      </w:r>
      <w:r w:rsidR="00256B2F">
        <w:rPr>
          <w:szCs w:val="19"/>
          <w:lang w:val="en-AU"/>
        </w:rPr>
        <w:t xml:space="preserve">ing life expectancy </w:t>
      </w:r>
      <w:r w:rsidR="00256B2F" w:rsidRPr="00256B2F">
        <w:rPr>
          <w:b/>
          <w:i/>
          <w:szCs w:val="19"/>
          <w:lang w:val="en-AU"/>
        </w:rPr>
        <w:t>prior</w:t>
      </w:r>
      <w:r w:rsidR="001A2BCA">
        <w:rPr>
          <w:szCs w:val="19"/>
          <w:lang w:val="en-AU"/>
        </w:rPr>
        <w:t xml:space="preserve"> t</w:t>
      </w:r>
      <w:r w:rsidR="0063556B">
        <w:rPr>
          <w:szCs w:val="19"/>
          <w:lang w:val="en-AU"/>
        </w:rPr>
        <w:t>o the Closing the Gap Strategy: i</w:t>
      </w:r>
      <w:r w:rsidR="00256B2F">
        <w:rPr>
          <w:szCs w:val="19"/>
          <w:lang w:val="en-AU"/>
        </w:rPr>
        <w:t xml:space="preserve">n such a short period </w:t>
      </w:r>
      <w:r w:rsidR="0063556B">
        <w:rPr>
          <w:szCs w:val="19"/>
          <w:lang w:val="en-AU"/>
        </w:rPr>
        <w:t>of time (</w:t>
      </w:r>
      <w:r w:rsidR="00256B2F">
        <w:rPr>
          <w:szCs w:val="19"/>
          <w:lang w:val="en-AU"/>
        </w:rPr>
        <w:t>since the strateg</w:t>
      </w:r>
      <w:r w:rsidR="0063556B">
        <w:rPr>
          <w:szCs w:val="19"/>
          <w:lang w:val="en-AU"/>
        </w:rPr>
        <w:t>y became operation</w:t>
      </w:r>
      <w:r w:rsidR="0018076A">
        <w:rPr>
          <w:szCs w:val="19"/>
          <w:lang w:val="en-AU"/>
        </w:rPr>
        <w:t>al</w:t>
      </w:r>
      <w:r w:rsidR="0063556B">
        <w:rPr>
          <w:szCs w:val="19"/>
          <w:lang w:val="en-AU"/>
        </w:rPr>
        <w:t xml:space="preserve"> in July 2009)</w:t>
      </w:r>
      <w:r w:rsidR="00256B2F">
        <w:rPr>
          <w:szCs w:val="19"/>
          <w:lang w:val="en-AU"/>
        </w:rPr>
        <w:t xml:space="preserve">, no significant changes or </w:t>
      </w:r>
      <w:r w:rsidR="00814869" w:rsidRPr="00B918A5">
        <w:rPr>
          <w:rFonts w:asciiTheme="majorHAnsi" w:hAnsiTheme="majorHAnsi"/>
          <w:lang w:val="en-AU"/>
        </w:rPr>
        <w:t xml:space="preserve">‘instant results’ </w:t>
      </w:r>
      <w:r w:rsidR="00256B2F">
        <w:rPr>
          <w:rFonts w:asciiTheme="majorHAnsi" w:hAnsiTheme="majorHAnsi"/>
          <w:lang w:val="en-AU"/>
        </w:rPr>
        <w:t>should be expected</w:t>
      </w:r>
      <w:r w:rsidR="00814869" w:rsidRPr="00B918A5">
        <w:rPr>
          <w:lang w:val="en-AU"/>
        </w:rPr>
        <w:t xml:space="preserve">. </w:t>
      </w:r>
    </w:p>
    <w:tbl>
      <w:tblPr>
        <w:tblStyle w:val="TableGrid"/>
        <w:tblW w:w="0" w:type="auto"/>
        <w:shd w:val="clear" w:color="auto" w:fill="DBE5F1" w:themeFill="accent1" w:themeFillTint="33"/>
        <w:tblLook w:val="04A0" w:firstRow="1" w:lastRow="0" w:firstColumn="1" w:lastColumn="0" w:noHBand="0" w:noVBand="1"/>
      </w:tblPr>
      <w:tblGrid>
        <w:gridCol w:w="9286"/>
      </w:tblGrid>
      <w:tr w:rsidR="002E169D" w14:paraId="5F4191FB" w14:textId="77777777" w:rsidTr="002E169D">
        <w:tc>
          <w:tcPr>
            <w:tcW w:w="9286" w:type="dxa"/>
            <w:shd w:val="clear" w:color="auto" w:fill="DBE5F1" w:themeFill="accent1" w:themeFillTint="33"/>
          </w:tcPr>
          <w:p w14:paraId="6F8FFBB3" w14:textId="219F19DA" w:rsidR="002E169D" w:rsidRPr="002E169D" w:rsidRDefault="002E169D" w:rsidP="002E169D">
            <w:pPr>
              <w:spacing w:before="120" w:after="120"/>
              <w:rPr>
                <w:rFonts w:asciiTheme="majorHAnsi" w:hAnsiTheme="majorHAnsi"/>
                <w:b/>
                <w:lang w:val="en-AU"/>
              </w:rPr>
            </w:pPr>
            <w:r w:rsidRPr="002E169D">
              <w:rPr>
                <w:rFonts w:asciiTheme="majorHAnsi" w:hAnsiTheme="majorHAnsi"/>
                <w:b/>
                <w:lang w:val="en-AU"/>
              </w:rPr>
              <w:t>Text Box: Cardiovascular disease and the time required to yield results</w:t>
            </w:r>
          </w:p>
          <w:p w14:paraId="5E137861" w14:textId="77777777" w:rsidR="002E169D" w:rsidRPr="002E169D" w:rsidRDefault="002E169D" w:rsidP="002E169D">
            <w:pPr>
              <w:spacing w:before="120" w:after="120"/>
              <w:rPr>
                <w:rFonts w:asciiTheme="majorHAnsi" w:hAnsiTheme="majorHAnsi"/>
                <w:lang w:val="en-AU"/>
              </w:rPr>
            </w:pPr>
            <w:r w:rsidRPr="002E169D">
              <w:rPr>
                <w:rFonts w:asciiTheme="majorHAnsi" w:hAnsiTheme="majorHAnsi"/>
                <w:lang w:val="en-AU"/>
              </w:rPr>
              <w:t>Cardiovascular disease, the single biggest killer of Aboriginal and Torres Strait Islander people, is illustrative of the need for time to yield results. The COAG Reform Council reports that, in the five states where data is reliable, 26.1 percent of Aboriginal and Torres Strait Islander deaths were caused by cardiovascular disease in 2007-11.</w:t>
            </w:r>
            <w:r w:rsidRPr="002E169D">
              <w:rPr>
                <w:rFonts w:asciiTheme="majorHAnsi" w:hAnsiTheme="majorHAnsi"/>
                <w:vertAlign w:val="superscript"/>
                <w:lang w:val="en-AU"/>
              </w:rPr>
              <w:endnoteReference w:id="14"/>
            </w:r>
            <w:r w:rsidRPr="002E169D">
              <w:rPr>
                <w:rFonts w:asciiTheme="majorHAnsi" w:hAnsiTheme="majorHAnsi"/>
                <w:vertAlign w:val="superscript"/>
                <w:lang w:val="en-AU"/>
              </w:rPr>
              <w:t xml:space="preserve"> </w:t>
            </w:r>
            <w:r w:rsidRPr="002E169D">
              <w:rPr>
                <w:rFonts w:asciiTheme="majorHAnsi" w:hAnsiTheme="majorHAnsi"/>
                <w:lang w:val="en-AU"/>
              </w:rPr>
              <w:t>In 2009-2011, the age-adjusted cardiovascular disease death rate for Aboriginal and Torres Strait Islander people was 1.3 times as high as that for non-Indigenous people.</w:t>
            </w:r>
            <w:r w:rsidRPr="002E169D">
              <w:rPr>
                <w:rFonts w:asciiTheme="majorHAnsi" w:hAnsiTheme="majorHAnsi"/>
                <w:vertAlign w:val="superscript"/>
                <w:lang w:val="en-AU"/>
              </w:rPr>
              <w:endnoteReference w:id="15"/>
            </w:r>
          </w:p>
          <w:p w14:paraId="2BFE0AAA" w14:textId="77777777" w:rsidR="002E169D" w:rsidRPr="002E169D" w:rsidRDefault="002E169D" w:rsidP="002E169D">
            <w:pPr>
              <w:spacing w:before="120" w:after="120"/>
              <w:rPr>
                <w:rFonts w:asciiTheme="majorHAnsi" w:hAnsiTheme="majorHAnsi"/>
                <w:vertAlign w:val="superscript"/>
                <w:lang w:val="en-AU"/>
              </w:rPr>
            </w:pPr>
            <w:r w:rsidRPr="002E169D">
              <w:rPr>
                <w:rFonts w:asciiTheme="majorHAnsi" w:hAnsiTheme="majorHAnsi"/>
                <w:lang w:val="en-AU"/>
              </w:rPr>
              <w:t>Over the twentieth century, cardiovascular disease mortality in Australia reached a peak in the late 1960s. Rates began to decline steadily in both sexes from 1970.</w:t>
            </w:r>
            <w:r w:rsidRPr="002E169D">
              <w:rPr>
                <w:rFonts w:asciiTheme="majorHAnsi" w:hAnsiTheme="majorHAnsi"/>
                <w:vertAlign w:val="superscript"/>
                <w:lang w:val="en-AU"/>
              </w:rPr>
              <w:endnoteReference w:id="16"/>
            </w:r>
            <w:r w:rsidRPr="002E169D">
              <w:rPr>
                <w:rFonts w:asciiTheme="majorHAnsi" w:hAnsiTheme="majorHAnsi"/>
                <w:lang w:val="en-AU"/>
              </w:rPr>
              <w:t xml:space="preserve"> Between 1981 and 2011, the cardiovascular disease death rate for males fell by 71 percent – a 4.2 percent average annual decline. The female rate fell by 67 percent – a 3.8 percent average annual decline.</w:t>
            </w:r>
            <w:r w:rsidRPr="002E169D">
              <w:rPr>
                <w:rFonts w:asciiTheme="majorHAnsi" w:hAnsiTheme="majorHAnsi"/>
                <w:vertAlign w:val="superscript"/>
                <w:lang w:val="en-AU"/>
              </w:rPr>
              <w:endnoteReference w:id="17"/>
            </w:r>
          </w:p>
          <w:p w14:paraId="4BEBE50A" w14:textId="3D00D366" w:rsidR="002E169D" w:rsidRPr="002E169D" w:rsidRDefault="002E169D" w:rsidP="002E169D">
            <w:pPr>
              <w:spacing w:before="120" w:after="120"/>
              <w:rPr>
                <w:rFonts w:asciiTheme="majorHAnsi" w:hAnsiTheme="majorHAnsi"/>
                <w:lang w:val="en-AU"/>
              </w:rPr>
            </w:pPr>
            <w:r w:rsidRPr="002E169D">
              <w:rPr>
                <w:rFonts w:asciiTheme="majorHAnsi" w:hAnsiTheme="majorHAnsi"/>
                <w:lang w:val="en-AU"/>
              </w:rPr>
              <w:t>The Australian Institute of Health and Welfare (AIHW) estimate</w:t>
            </w:r>
            <w:r w:rsidR="0018076A">
              <w:rPr>
                <w:rFonts w:asciiTheme="majorHAnsi" w:hAnsiTheme="majorHAnsi"/>
                <w:lang w:val="en-AU"/>
              </w:rPr>
              <w:t>s</w:t>
            </w:r>
            <w:r w:rsidRPr="002E169D">
              <w:rPr>
                <w:rFonts w:asciiTheme="majorHAnsi" w:hAnsiTheme="majorHAnsi"/>
                <w:lang w:val="en-AU"/>
              </w:rPr>
              <w:t xml:space="preserve"> that if cardiovascular disease death rates had remained at their 1968 peak, there would have been 190,223 deaths for cardiovascular disease in 2011—more, in fact, than the number of deaths from all causes in that year.</w:t>
            </w:r>
            <w:r w:rsidRPr="002E169D">
              <w:rPr>
                <w:rFonts w:asciiTheme="majorHAnsi" w:hAnsiTheme="majorHAnsi"/>
                <w:vertAlign w:val="superscript"/>
                <w:lang w:val="en-AU"/>
              </w:rPr>
              <w:endnoteReference w:id="18"/>
            </w:r>
            <w:r w:rsidRPr="002E169D">
              <w:rPr>
                <w:rFonts w:asciiTheme="majorHAnsi" w:hAnsiTheme="majorHAnsi"/>
                <w:lang w:val="en-AU"/>
              </w:rPr>
              <w:t xml:space="preserve"> The actual number of cardiovascular disease deaths that occurred in 2011 was 45,622.</w:t>
            </w:r>
            <w:r w:rsidRPr="002E169D">
              <w:rPr>
                <w:rFonts w:asciiTheme="majorHAnsi" w:hAnsiTheme="majorHAnsi"/>
                <w:vertAlign w:val="superscript"/>
                <w:lang w:val="en-AU"/>
              </w:rPr>
              <w:endnoteReference w:id="19"/>
            </w:r>
            <w:r w:rsidRPr="002E169D">
              <w:rPr>
                <w:rFonts w:asciiTheme="majorHAnsi" w:hAnsiTheme="majorHAnsi"/>
                <w:lang w:val="en-AU"/>
              </w:rPr>
              <w:t xml:space="preserve">  </w:t>
            </w:r>
          </w:p>
          <w:p w14:paraId="0D53B489" w14:textId="7D37E6A0" w:rsidR="002E169D" w:rsidRDefault="002E169D" w:rsidP="0018076A">
            <w:pPr>
              <w:spacing w:before="120" w:after="120"/>
              <w:rPr>
                <w:rFonts w:asciiTheme="majorHAnsi" w:hAnsiTheme="majorHAnsi"/>
                <w:lang w:val="en-AU"/>
              </w:rPr>
            </w:pPr>
            <w:r w:rsidRPr="002E169D">
              <w:rPr>
                <w:rFonts w:asciiTheme="majorHAnsi" w:hAnsiTheme="majorHAnsi"/>
                <w:lang w:val="en-AU"/>
              </w:rPr>
              <w:t>The AIHW attribute</w:t>
            </w:r>
            <w:r w:rsidR="0018076A">
              <w:rPr>
                <w:rFonts w:asciiTheme="majorHAnsi" w:hAnsiTheme="majorHAnsi"/>
                <w:lang w:val="en-AU"/>
              </w:rPr>
              <w:t>s</w:t>
            </w:r>
            <w:r w:rsidRPr="002E169D">
              <w:rPr>
                <w:rFonts w:asciiTheme="majorHAnsi" w:hAnsiTheme="majorHAnsi"/>
                <w:lang w:val="en-AU"/>
              </w:rPr>
              <w:t xml:space="preserve"> the decline in about equal measure to improved diagnosis and treatment of cardiovascular disease, as well as lowering of the rates of smoking and hypertension among the general population over that 50-year period.</w:t>
            </w:r>
            <w:r w:rsidRPr="002E169D">
              <w:rPr>
                <w:rFonts w:asciiTheme="majorHAnsi" w:hAnsiTheme="majorHAnsi"/>
                <w:vertAlign w:val="superscript"/>
                <w:lang w:val="en-AU"/>
              </w:rPr>
              <w:endnoteReference w:id="20"/>
            </w:r>
            <w:r w:rsidRPr="002E169D">
              <w:rPr>
                <w:rFonts w:asciiTheme="majorHAnsi" w:hAnsiTheme="majorHAnsi"/>
                <w:lang w:val="en-AU"/>
              </w:rPr>
              <w:t xml:space="preserve"> As such</w:t>
            </w:r>
            <w:r w:rsidR="0018076A">
              <w:rPr>
                <w:rFonts w:asciiTheme="majorHAnsi" w:hAnsiTheme="majorHAnsi"/>
                <w:lang w:val="en-AU"/>
              </w:rPr>
              <w:t>,</w:t>
            </w:r>
            <w:r w:rsidRPr="002E169D">
              <w:rPr>
                <w:rFonts w:asciiTheme="majorHAnsi" w:hAnsiTheme="majorHAnsi"/>
                <w:lang w:val="en-AU"/>
              </w:rPr>
              <w:t xml:space="preserve"> a relatively long ‘</w:t>
            </w:r>
            <w:proofErr w:type="gramStart"/>
            <w:r w:rsidRPr="002E169D">
              <w:rPr>
                <w:rFonts w:asciiTheme="majorHAnsi" w:hAnsiTheme="majorHAnsi"/>
                <w:lang w:val="en-AU"/>
              </w:rPr>
              <w:t>lag</w:t>
            </w:r>
            <w:proofErr w:type="gramEnd"/>
            <w:r w:rsidRPr="002E169D">
              <w:rPr>
                <w:rFonts w:asciiTheme="majorHAnsi" w:hAnsiTheme="majorHAnsi"/>
                <w:lang w:val="en-AU"/>
              </w:rPr>
              <w:t xml:space="preserve"> period’ can be expected until that change is reflected in available data. For example, studies suggest that it takes from between two and six years after quitting for a smoker’s risk of cardiovascular disease returning to a level </w:t>
            </w:r>
            <w:r w:rsidR="0018076A">
              <w:rPr>
                <w:rFonts w:asciiTheme="majorHAnsi" w:hAnsiTheme="majorHAnsi"/>
                <w:lang w:val="en-AU"/>
              </w:rPr>
              <w:t>similar to</w:t>
            </w:r>
            <w:r w:rsidRPr="002E169D">
              <w:rPr>
                <w:rFonts w:asciiTheme="majorHAnsi" w:hAnsiTheme="majorHAnsi"/>
                <w:lang w:val="en-AU"/>
              </w:rPr>
              <w:t xml:space="preserve"> that of a non-smoker.</w:t>
            </w:r>
            <w:r w:rsidRPr="002E169D">
              <w:rPr>
                <w:rFonts w:asciiTheme="majorHAnsi" w:hAnsiTheme="majorHAnsi"/>
                <w:vertAlign w:val="superscript"/>
                <w:lang w:val="en-AU"/>
              </w:rPr>
              <w:endnoteReference w:id="21"/>
            </w:r>
          </w:p>
        </w:tc>
      </w:tr>
    </w:tbl>
    <w:p w14:paraId="1A237449" w14:textId="6DDBA35C" w:rsidR="00804E3A" w:rsidRDefault="0063556B" w:rsidP="00804E3A">
      <w:pPr>
        <w:widowControl w:val="0"/>
        <w:autoSpaceDE w:val="0"/>
        <w:autoSpaceDN w:val="0"/>
        <w:adjustRightInd w:val="0"/>
        <w:spacing w:before="240" w:after="240"/>
        <w:rPr>
          <w:rFonts w:asciiTheme="majorHAnsi" w:eastAsia="Times New Roman" w:hAnsiTheme="majorHAnsi" w:cs="Arial"/>
          <w:color w:val="0E1315"/>
          <w:lang w:val="en-AU"/>
        </w:rPr>
      </w:pPr>
      <w:r>
        <w:rPr>
          <w:rFonts w:asciiTheme="majorHAnsi" w:eastAsia="Times New Roman" w:hAnsiTheme="majorHAnsi" w:cs="Arial"/>
          <w:color w:val="0E1315"/>
          <w:lang w:val="en-AU"/>
        </w:rPr>
        <w:t xml:space="preserve">Cardiovascular disease is one area where targeted </w:t>
      </w:r>
      <w:r w:rsidR="00ED0CA0">
        <w:rPr>
          <w:rFonts w:asciiTheme="majorHAnsi" w:eastAsia="Times New Roman" w:hAnsiTheme="majorHAnsi" w:cs="Arial"/>
          <w:color w:val="0E1315"/>
          <w:lang w:val="en-AU"/>
        </w:rPr>
        <w:t>improvements</w:t>
      </w:r>
      <w:r>
        <w:rPr>
          <w:rFonts w:asciiTheme="majorHAnsi" w:eastAsia="Times New Roman" w:hAnsiTheme="majorHAnsi" w:cs="Arial"/>
          <w:color w:val="0E1315"/>
          <w:lang w:val="en-AU"/>
        </w:rPr>
        <w:t xml:space="preserve"> could result in significant health benefits. In particular, w</w:t>
      </w:r>
      <w:r w:rsidR="00804E3A" w:rsidRPr="00B918A5">
        <w:rPr>
          <w:rFonts w:asciiTheme="majorHAnsi" w:eastAsia="Times New Roman" w:hAnsiTheme="majorHAnsi" w:cs="Arial"/>
          <w:color w:val="0E1315"/>
          <w:lang w:val="en-AU"/>
        </w:rPr>
        <w:t xml:space="preserve">hen presenting to hospitals with acute coronary syndrome, Aboriginal and Torres Strait Islander peoples do not receive equivalent care as other Australians. A landmark study by the AIHW showed there were twice as many in-hospital death rates, a 40 percent lower rate of </w:t>
      </w:r>
      <w:r w:rsidR="00804E3A" w:rsidRPr="00B918A5">
        <w:rPr>
          <w:rFonts w:asciiTheme="majorHAnsi" w:eastAsia="Times New Roman" w:hAnsiTheme="majorHAnsi" w:cs="Arial"/>
          <w:color w:val="0E1315"/>
          <w:lang w:val="en-AU"/>
        </w:rPr>
        <w:lastRenderedPageBreak/>
        <w:t>angiography, a 40 percent lower rate of coronary angioplasty or stent procedures and 20 percent lower rate of coronary artery bypass surgery.</w:t>
      </w:r>
      <w:r w:rsidR="007D7171" w:rsidRPr="00B918A5">
        <w:rPr>
          <w:rStyle w:val="EndnoteReference"/>
          <w:rFonts w:eastAsia="Times New Roman" w:cs="Arial"/>
          <w:color w:val="0E1315"/>
          <w:lang w:val="en-AU"/>
        </w:rPr>
        <w:endnoteReference w:id="22"/>
      </w:r>
      <w:r w:rsidR="00804E3A" w:rsidRPr="00B918A5">
        <w:rPr>
          <w:rFonts w:asciiTheme="majorHAnsi" w:eastAsia="Times New Roman" w:hAnsiTheme="majorHAnsi" w:cs="Arial"/>
          <w:color w:val="0E1315"/>
          <w:lang w:val="en-AU"/>
        </w:rPr>
        <w:t xml:space="preserve"> </w:t>
      </w:r>
      <w:r w:rsidR="008B0D76">
        <w:rPr>
          <w:rFonts w:asciiTheme="majorHAnsi" w:eastAsia="Times New Roman" w:hAnsiTheme="majorHAnsi" w:cs="Arial"/>
          <w:color w:val="0E1315"/>
          <w:lang w:val="en-AU"/>
        </w:rPr>
        <w:t xml:space="preserve">Addressing this access to service differential is a critical task at hand. </w:t>
      </w:r>
    </w:p>
    <w:p w14:paraId="5D30D688" w14:textId="64978614" w:rsidR="00F86BBF" w:rsidRPr="00B918A5" w:rsidRDefault="00470F7B" w:rsidP="00804E3A">
      <w:pPr>
        <w:widowControl w:val="0"/>
        <w:autoSpaceDE w:val="0"/>
        <w:autoSpaceDN w:val="0"/>
        <w:adjustRightInd w:val="0"/>
        <w:spacing w:before="240" w:after="240"/>
        <w:rPr>
          <w:rFonts w:asciiTheme="majorHAnsi" w:eastAsia="Times New Roman" w:hAnsiTheme="majorHAnsi" w:cs="Arial"/>
          <w:color w:val="0E1315"/>
          <w:lang w:val="en-AU"/>
        </w:rPr>
      </w:pPr>
      <w:r>
        <w:rPr>
          <w:rFonts w:asciiTheme="majorHAnsi" w:eastAsia="Times New Roman" w:hAnsiTheme="majorHAnsi" w:cs="Arial"/>
          <w:color w:val="0E1315"/>
          <w:lang w:val="en-AU"/>
        </w:rPr>
        <w:t xml:space="preserve">A study by Hoy and colleagues </w:t>
      </w:r>
      <w:r w:rsidR="000A7262">
        <w:rPr>
          <w:rFonts w:asciiTheme="majorHAnsi" w:eastAsia="Times New Roman" w:hAnsiTheme="majorHAnsi" w:cs="Arial"/>
          <w:color w:val="0E1315"/>
          <w:lang w:val="en-AU"/>
        </w:rPr>
        <w:t xml:space="preserve">further </w:t>
      </w:r>
      <w:r>
        <w:rPr>
          <w:rFonts w:asciiTheme="majorHAnsi" w:eastAsia="Times New Roman" w:hAnsiTheme="majorHAnsi" w:cs="Arial"/>
          <w:color w:val="0E1315"/>
          <w:lang w:val="en-AU"/>
        </w:rPr>
        <w:t xml:space="preserve">demonstrates this point. The study found that </w:t>
      </w:r>
      <w:r>
        <w:rPr>
          <w:rFonts w:asciiTheme="majorHAnsi" w:eastAsia="Times New Roman" w:hAnsiTheme="majorHAnsi" w:cs="Arial"/>
          <w:color w:val="0E1315"/>
        </w:rPr>
        <w:t>non-</w:t>
      </w:r>
      <w:r w:rsidRPr="00470F7B">
        <w:rPr>
          <w:rFonts w:asciiTheme="majorHAnsi" w:eastAsia="Times New Roman" w:hAnsiTheme="majorHAnsi" w:cs="Arial"/>
          <w:color w:val="0E1315"/>
        </w:rPr>
        <w:t>violent</w:t>
      </w:r>
      <w:r>
        <w:rPr>
          <w:rFonts w:asciiTheme="majorHAnsi" w:eastAsia="Times New Roman" w:hAnsiTheme="majorHAnsi" w:cs="Arial"/>
          <w:color w:val="0E1315"/>
        </w:rPr>
        <w:t xml:space="preserve"> Aboriginal and Torres Strait Islander deaths</w:t>
      </w:r>
      <w:r w:rsidRPr="00470F7B">
        <w:rPr>
          <w:rFonts w:asciiTheme="majorHAnsi" w:eastAsia="Times New Roman" w:hAnsiTheme="majorHAnsi" w:cs="Arial"/>
          <w:color w:val="0E1315"/>
        </w:rPr>
        <w:t xml:space="preserve"> with chronic disease can be halved in just over 3 years, through systematic application of currently available therapies.</w:t>
      </w:r>
      <w:r w:rsidR="003C00B0">
        <w:rPr>
          <w:rStyle w:val="EndnoteReference"/>
          <w:rFonts w:eastAsia="Times New Roman" w:cs="Arial"/>
          <w:color w:val="0E1315"/>
        </w:rPr>
        <w:endnoteReference w:id="23"/>
      </w:r>
      <w:r w:rsidRPr="00470F7B">
        <w:rPr>
          <w:rFonts w:asciiTheme="majorHAnsi" w:eastAsia="Times New Roman" w:hAnsiTheme="majorHAnsi" w:cs="Arial"/>
          <w:color w:val="0E1315"/>
        </w:rPr>
        <w:t xml:space="preserve"> </w:t>
      </w:r>
      <w:proofErr w:type="spellStart"/>
      <w:r w:rsidRPr="00470F7B">
        <w:rPr>
          <w:rFonts w:asciiTheme="majorHAnsi" w:eastAsia="Times New Roman" w:hAnsiTheme="majorHAnsi" w:cs="Arial"/>
          <w:color w:val="0E1315"/>
        </w:rPr>
        <w:t>Program</w:t>
      </w:r>
      <w:r w:rsidR="003C00B0">
        <w:rPr>
          <w:rFonts w:asciiTheme="majorHAnsi" w:eastAsia="Times New Roman" w:hAnsiTheme="majorHAnsi" w:cs="Arial"/>
          <w:color w:val="0E1315"/>
        </w:rPr>
        <w:t>mes</w:t>
      </w:r>
      <w:proofErr w:type="spellEnd"/>
      <w:r w:rsidRPr="00470F7B">
        <w:rPr>
          <w:rFonts w:asciiTheme="majorHAnsi" w:eastAsia="Times New Roman" w:hAnsiTheme="majorHAnsi" w:cs="Arial"/>
          <w:color w:val="0E1315"/>
        </w:rPr>
        <w:t xml:space="preserve"> </w:t>
      </w:r>
      <w:r w:rsidR="002975ED">
        <w:rPr>
          <w:rFonts w:asciiTheme="majorHAnsi" w:eastAsia="Times New Roman" w:hAnsiTheme="majorHAnsi" w:cs="Arial"/>
          <w:color w:val="0E1315"/>
        </w:rPr>
        <w:t>like these</w:t>
      </w:r>
      <w:r w:rsidRPr="00470F7B">
        <w:rPr>
          <w:rFonts w:asciiTheme="majorHAnsi" w:eastAsia="Times New Roman" w:hAnsiTheme="majorHAnsi" w:cs="Arial"/>
          <w:color w:val="0E1315"/>
        </w:rPr>
        <w:t xml:space="preserve"> can be enormously effective, save lives and reduce </w:t>
      </w:r>
      <w:r w:rsidR="00175B11">
        <w:rPr>
          <w:rFonts w:asciiTheme="majorHAnsi" w:eastAsia="Times New Roman" w:hAnsiTheme="majorHAnsi" w:cs="Arial"/>
          <w:color w:val="0E1315"/>
        </w:rPr>
        <w:t>health</w:t>
      </w:r>
      <w:r w:rsidRPr="00470F7B">
        <w:rPr>
          <w:rFonts w:asciiTheme="majorHAnsi" w:eastAsia="Times New Roman" w:hAnsiTheme="majorHAnsi" w:cs="Arial"/>
          <w:color w:val="0E1315"/>
        </w:rPr>
        <w:t xml:space="preserve"> costs </w:t>
      </w:r>
      <w:r w:rsidR="00175B11">
        <w:rPr>
          <w:rFonts w:asciiTheme="majorHAnsi" w:eastAsia="Times New Roman" w:hAnsiTheme="majorHAnsi" w:cs="Arial"/>
          <w:color w:val="0E1315"/>
        </w:rPr>
        <w:t xml:space="preserve">over the long-term </w:t>
      </w:r>
      <w:r w:rsidRPr="00470F7B">
        <w:rPr>
          <w:rFonts w:asciiTheme="majorHAnsi" w:eastAsia="Times New Roman" w:hAnsiTheme="majorHAnsi" w:cs="Arial"/>
          <w:color w:val="0E1315"/>
        </w:rPr>
        <w:t xml:space="preserve">as well as providing benefits from individual, family and community perspectives. But there are no shortcuts. These results </w:t>
      </w:r>
      <w:r w:rsidR="000A7262">
        <w:rPr>
          <w:rFonts w:asciiTheme="majorHAnsi" w:eastAsia="Times New Roman" w:hAnsiTheme="majorHAnsi" w:cs="Arial"/>
          <w:color w:val="0E1315"/>
        </w:rPr>
        <w:t xml:space="preserve">depend on </w:t>
      </w:r>
      <w:r w:rsidRPr="00470F7B">
        <w:rPr>
          <w:rFonts w:asciiTheme="majorHAnsi" w:eastAsia="Times New Roman" w:hAnsiTheme="majorHAnsi" w:cs="Arial"/>
          <w:color w:val="0E1315"/>
        </w:rPr>
        <w:t>well</w:t>
      </w:r>
      <w:r w:rsidR="000A7262">
        <w:rPr>
          <w:rFonts w:asciiTheme="majorHAnsi" w:eastAsia="Times New Roman" w:hAnsiTheme="majorHAnsi" w:cs="Arial"/>
          <w:color w:val="0E1315"/>
        </w:rPr>
        <w:t>-</w:t>
      </w:r>
      <w:r w:rsidRPr="00470F7B">
        <w:rPr>
          <w:rFonts w:asciiTheme="majorHAnsi" w:eastAsia="Times New Roman" w:hAnsiTheme="majorHAnsi" w:cs="Arial"/>
          <w:color w:val="0E1315"/>
        </w:rPr>
        <w:t xml:space="preserve">run </w:t>
      </w:r>
      <w:r w:rsidR="000A7262">
        <w:rPr>
          <w:rFonts w:asciiTheme="majorHAnsi" w:eastAsia="Times New Roman" w:hAnsiTheme="majorHAnsi" w:cs="Arial"/>
          <w:color w:val="0E1315"/>
        </w:rPr>
        <w:t xml:space="preserve">and </w:t>
      </w:r>
      <w:r w:rsidRPr="00470F7B">
        <w:rPr>
          <w:rFonts w:asciiTheme="majorHAnsi" w:eastAsia="Times New Roman" w:hAnsiTheme="majorHAnsi" w:cs="Arial"/>
          <w:color w:val="0E1315"/>
        </w:rPr>
        <w:t xml:space="preserve">adequately resourced </w:t>
      </w:r>
      <w:r w:rsidR="000A7262">
        <w:rPr>
          <w:rFonts w:asciiTheme="majorHAnsi" w:eastAsia="Times New Roman" w:hAnsiTheme="majorHAnsi" w:cs="Arial"/>
          <w:color w:val="0E1315"/>
        </w:rPr>
        <w:t xml:space="preserve">health </w:t>
      </w:r>
      <w:r w:rsidRPr="00470F7B">
        <w:rPr>
          <w:rFonts w:asciiTheme="majorHAnsi" w:eastAsia="Times New Roman" w:hAnsiTheme="majorHAnsi" w:cs="Arial"/>
          <w:color w:val="0E1315"/>
        </w:rPr>
        <w:t>services</w:t>
      </w:r>
      <w:r w:rsidR="000A7262">
        <w:rPr>
          <w:rFonts w:asciiTheme="majorHAnsi" w:eastAsia="Times New Roman" w:hAnsiTheme="majorHAnsi" w:cs="Arial"/>
          <w:color w:val="0E1315"/>
        </w:rPr>
        <w:t xml:space="preserve"> being accessible to Aboriginal and Torres Strait Islander people</w:t>
      </w:r>
      <w:r w:rsidR="003C00B0">
        <w:rPr>
          <w:rFonts w:asciiTheme="majorHAnsi" w:eastAsia="Times New Roman" w:hAnsiTheme="majorHAnsi" w:cs="Arial"/>
          <w:color w:val="0E1315"/>
        </w:rPr>
        <w:t>.</w:t>
      </w:r>
    </w:p>
    <w:p w14:paraId="35A2FA38" w14:textId="77777777" w:rsidR="00814869" w:rsidRPr="00B918A5" w:rsidRDefault="00995C22" w:rsidP="0062663C">
      <w:pPr>
        <w:pStyle w:val="Heading2"/>
        <w:rPr>
          <w:lang w:val="en-AU"/>
        </w:rPr>
      </w:pPr>
      <w:bookmarkStart w:id="8" w:name="_Toc409788713"/>
      <w:r>
        <w:rPr>
          <w:lang w:val="en-AU"/>
        </w:rPr>
        <w:t>New i</w:t>
      </w:r>
      <w:r w:rsidR="00814869" w:rsidRPr="00B918A5">
        <w:rPr>
          <w:lang w:val="en-AU"/>
        </w:rPr>
        <w:t>nsights into chronic disease and the high rates of undetected and untreated conditions</w:t>
      </w:r>
      <w:bookmarkEnd w:id="8"/>
      <w:r w:rsidR="00814869" w:rsidRPr="00B918A5">
        <w:rPr>
          <w:lang w:val="en-AU"/>
        </w:rPr>
        <w:t xml:space="preserve"> </w:t>
      </w:r>
    </w:p>
    <w:p w14:paraId="486615E1" w14:textId="77777777" w:rsidR="00814869" w:rsidRPr="00B918A5" w:rsidRDefault="00814869" w:rsidP="00882F4C">
      <w:pPr>
        <w:pStyle w:val="NormalWeb"/>
        <w:spacing w:before="240" w:after="240"/>
        <w:rPr>
          <w:rFonts w:asciiTheme="majorHAnsi" w:hAnsiTheme="majorHAnsi"/>
          <w:vertAlign w:val="superscript"/>
          <w:lang w:val="en-AU"/>
        </w:rPr>
      </w:pPr>
      <w:r w:rsidRPr="00B918A5">
        <w:rPr>
          <w:rFonts w:asciiTheme="majorHAnsi" w:hAnsiTheme="majorHAnsi"/>
          <w:lang w:val="en-AU"/>
        </w:rPr>
        <w:t xml:space="preserve">The results of the </w:t>
      </w:r>
      <w:r w:rsidR="00BE79AA" w:rsidRPr="00BE79AA">
        <w:rPr>
          <w:rFonts w:asciiTheme="majorHAnsi" w:hAnsiTheme="majorHAnsi"/>
          <w:lang w:val="en-AU"/>
        </w:rPr>
        <w:t>NATSIHMS</w:t>
      </w:r>
      <w:r w:rsidRPr="00B918A5">
        <w:rPr>
          <w:rFonts w:asciiTheme="majorHAnsi" w:hAnsiTheme="majorHAnsi"/>
          <w:lang w:val="en-AU"/>
        </w:rPr>
        <w:t>, the largest biomedical survey ever conducted among Aboriginal and Torres Strait Islander people (with around 3</w:t>
      </w:r>
      <w:r w:rsidR="00F06950" w:rsidRPr="00B918A5">
        <w:rPr>
          <w:rFonts w:asciiTheme="majorHAnsi" w:hAnsiTheme="majorHAnsi"/>
          <w:lang w:val="en-AU"/>
        </w:rPr>
        <w:t>,</w:t>
      </w:r>
      <w:r w:rsidRPr="00B918A5">
        <w:rPr>
          <w:rFonts w:asciiTheme="majorHAnsi" w:hAnsiTheme="majorHAnsi"/>
          <w:lang w:val="en-AU"/>
        </w:rPr>
        <w:t xml:space="preserve">300 participants), </w:t>
      </w:r>
      <w:r w:rsidR="00F06950" w:rsidRPr="00B918A5">
        <w:rPr>
          <w:rFonts w:asciiTheme="majorHAnsi" w:hAnsiTheme="majorHAnsi"/>
          <w:lang w:val="en-AU"/>
        </w:rPr>
        <w:t>was</w:t>
      </w:r>
      <w:r w:rsidRPr="00B918A5">
        <w:rPr>
          <w:rFonts w:asciiTheme="majorHAnsi" w:hAnsiTheme="majorHAnsi"/>
          <w:lang w:val="en-AU"/>
        </w:rPr>
        <w:t xml:space="preserve"> released in September 2014.</w:t>
      </w:r>
      <w:r w:rsidRPr="00B918A5">
        <w:rPr>
          <w:rFonts w:asciiTheme="majorHAnsi" w:hAnsiTheme="majorHAnsi"/>
          <w:vertAlign w:val="superscript"/>
          <w:lang w:val="en-AU"/>
        </w:rPr>
        <w:endnoteReference w:id="24"/>
      </w:r>
      <w:r w:rsidRPr="00B918A5">
        <w:rPr>
          <w:rFonts w:asciiTheme="majorHAnsi" w:hAnsiTheme="majorHAnsi"/>
          <w:vertAlign w:val="superscript"/>
          <w:lang w:val="en-AU"/>
        </w:rPr>
        <w:t xml:space="preserve"> </w:t>
      </w:r>
    </w:p>
    <w:p w14:paraId="0F6222EC" w14:textId="12B762F0" w:rsidR="00814869" w:rsidRPr="00B918A5" w:rsidRDefault="00814869" w:rsidP="00301D01">
      <w:pPr>
        <w:pStyle w:val="NormalWeb"/>
        <w:spacing w:before="240" w:after="240"/>
        <w:rPr>
          <w:rFonts w:asciiTheme="majorHAnsi" w:hAnsiTheme="majorHAnsi" w:cs="Calibri"/>
          <w:lang w:val="en-AU"/>
        </w:rPr>
      </w:pPr>
      <w:r w:rsidRPr="00B918A5">
        <w:rPr>
          <w:rFonts w:asciiTheme="majorHAnsi" w:hAnsiTheme="majorHAnsi" w:cs="Calibri"/>
          <w:lang w:val="en-AU"/>
        </w:rPr>
        <w:t xml:space="preserve">The results </w:t>
      </w:r>
      <w:r w:rsidR="002975ED">
        <w:rPr>
          <w:rFonts w:asciiTheme="majorHAnsi" w:hAnsiTheme="majorHAnsi" w:cs="Calibri"/>
          <w:lang w:val="en-AU"/>
        </w:rPr>
        <w:t xml:space="preserve">are </w:t>
      </w:r>
      <w:r w:rsidRPr="00B918A5">
        <w:rPr>
          <w:rFonts w:asciiTheme="majorHAnsi" w:hAnsiTheme="majorHAnsi" w:cs="Calibri"/>
          <w:lang w:val="en-AU"/>
        </w:rPr>
        <w:t>soberi</w:t>
      </w:r>
      <w:r w:rsidR="00AF6D6F">
        <w:rPr>
          <w:rFonts w:asciiTheme="majorHAnsi" w:hAnsiTheme="majorHAnsi" w:cs="Calibri"/>
          <w:lang w:val="en-AU"/>
        </w:rPr>
        <w:t xml:space="preserve">ng. However, they provide a </w:t>
      </w:r>
      <w:r w:rsidR="00175B11">
        <w:rPr>
          <w:rFonts w:asciiTheme="majorHAnsi" w:hAnsiTheme="majorHAnsi" w:cs="Calibri"/>
          <w:lang w:val="en-AU"/>
        </w:rPr>
        <w:t>strong</w:t>
      </w:r>
      <w:r w:rsidR="00AF6D6F">
        <w:rPr>
          <w:rFonts w:asciiTheme="majorHAnsi" w:hAnsiTheme="majorHAnsi" w:cs="Calibri"/>
          <w:lang w:val="en-AU"/>
        </w:rPr>
        <w:t xml:space="preserve"> indication </w:t>
      </w:r>
      <w:r w:rsidR="00175B11">
        <w:rPr>
          <w:rFonts w:asciiTheme="majorHAnsi" w:hAnsiTheme="majorHAnsi" w:cs="Calibri"/>
          <w:lang w:val="en-AU"/>
        </w:rPr>
        <w:t>that</w:t>
      </w:r>
      <w:r w:rsidRPr="00B918A5">
        <w:rPr>
          <w:rFonts w:asciiTheme="majorHAnsi" w:hAnsiTheme="majorHAnsi" w:cs="Calibri"/>
          <w:lang w:val="en-AU"/>
        </w:rPr>
        <w:t xml:space="preserve"> gains to health and life expectancy are possible through </w:t>
      </w:r>
      <w:r w:rsidR="00BA3963">
        <w:rPr>
          <w:rFonts w:asciiTheme="majorHAnsi" w:hAnsiTheme="majorHAnsi" w:cs="Calibri"/>
          <w:lang w:val="en-AU"/>
        </w:rPr>
        <w:t>targeted</w:t>
      </w:r>
      <w:r w:rsidRPr="00B918A5">
        <w:rPr>
          <w:rFonts w:asciiTheme="majorHAnsi" w:hAnsiTheme="majorHAnsi" w:cs="Calibri"/>
          <w:lang w:val="en-AU"/>
        </w:rPr>
        <w:t xml:space="preserve"> and enhanced primary health services that </w:t>
      </w:r>
      <w:r w:rsidR="00BA3963">
        <w:rPr>
          <w:rFonts w:asciiTheme="majorHAnsi" w:hAnsiTheme="majorHAnsi" w:cs="Calibri"/>
          <w:lang w:val="en-AU"/>
        </w:rPr>
        <w:t>are able to prevent, detect, treat and support the management of chronic diseases.</w:t>
      </w:r>
    </w:p>
    <w:p w14:paraId="42E26477" w14:textId="77777777" w:rsidR="00814869" w:rsidRPr="00B918A5" w:rsidRDefault="00814869" w:rsidP="0062663C">
      <w:pPr>
        <w:pStyle w:val="Heading3"/>
        <w:rPr>
          <w:lang w:val="en-AU"/>
        </w:rPr>
      </w:pPr>
      <w:bookmarkStart w:id="9" w:name="_Toc409788714"/>
      <w:r w:rsidRPr="00B918A5">
        <w:rPr>
          <w:lang w:val="en-AU"/>
        </w:rPr>
        <w:t>High levels of treatable and preventable conditions</w:t>
      </w:r>
      <w:bookmarkEnd w:id="9"/>
      <w:r w:rsidRPr="00B918A5">
        <w:rPr>
          <w:lang w:val="en-AU"/>
        </w:rPr>
        <w:t xml:space="preserve"> </w:t>
      </w:r>
    </w:p>
    <w:p w14:paraId="023513EF" w14:textId="77777777" w:rsidR="00814869" w:rsidRPr="00B918A5" w:rsidRDefault="00814869" w:rsidP="00882F4C">
      <w:pPr>
        <w:widowControl w:val="0"/>
        <w:autoSpaceDE w:val="0"/>
        <w:autoSpaceDN w:val="0"/>
        <w:adjustRightInd w:val="0"/>
        <w:spacing w:before="240" w:after="240"/>
        <w:rPr>
          <w:rFonts w:ascii="Times New Roman" w:eastAsia="Times New Roman" w:hAnsi="Times New Roman"/>
          <w:sz w:val="20"/>
          <w:szCs w:val="20"/>
          <w:lang w:val="en-AU"/>
        </w:rPr>
      </w:pPr>
      <w:r w:rsidRPr="00B918A5">
        <w:rPr>
          <w:rFonts w:asciiTheme="majorHAnsi" w:hAnsiTheme="majorHAnsi"/>
          <w:lang w:val="en-AU"/>
        </w:rPr>
        <w:t xml:space="preserve">The </w:t>
      </w:r>
      <w:r w:rsidR="00BE79AA" w:rsidRPr="00BE79AA">
        <w:rPr>
          <w:rFonts w:asciiTheme="majorHAnsi" w:hAnsiTheme="majorHAnsi"/>
          <w:lang w:val="en-AU"/>
        </w:rPr>
        <w:t xml:space="preserve">NATSIHMS </w:t>
      </w:r>
      <w:r w:rsidRPr="00B918A5">
        <w:rPr>
          <w:rFonts w:asciiTheme="majorHAnsi" w:hAnsiTheme="majorHAnsi"/>
          <w:lang w:val="en-AU"/>
        </w:rPr>
        <w:t>reported that Aboriginal and Torres Strait Islander people were</w:t>
      </w:r>
      <w:r w:rsidR="00F06950" w:rsidRPr="00B918A5">
        <w:rPr>
          <w:rFonts w:asciiTheme="majorHAnsi" w:hAnsiTheme="majorHAnsi"/>
          <w:lang w:val="en-AU"/>
        </w:rPr>
        <w:t xml:space="preserve">, when compared to </w:t>
      </w:r>
      <w:r w:rsidRPr="00B918A5">
        <w:rPr>
          <w:rFonts w:asciiTheme="majorHAnsi" w:hAnsiTheme="majorHAnsi"/>
          <w:lang w:val="en-AU"/>
        </w:rPr>
        <w:t>non-Indigenous people:</w:t>
      </w:r>
    </w:p>
    <w:p w14:paraId="494A5E1D" w14:textId="77777777" w:rsidR="00814869" w:rsidRPr="00B918A5" w:rsidRDefault="00814869" w:rsidP="00882F4C">
      <w:pPr>
        <w:pStyle w:val="ListParagraph"/>
        <w:widowControl w:val="0"/>
        <w:numPr>
          <w:ilvl w:val="0"/>
          <w:numId w:val="17"/>
        </w:numPr>
        <w:autoSpaceDE w:val="0"/>
        <w:autoSpaceDN w:val="0"/>
        <w:adjustRightInd w:val="0"/>
        <w:spacing w:before="120" w:after="120"/>
        <w:ind w:left="357" w:hanging="357"/>
        <w:contextualSpacing w:val="0"/>
        <w:rPr>
          <w:rFonts w:asciiTheme="majorHAnsi" w:hAnsiTheme="majorHAnsi"/>
          <w:lang w:val="en-AU"/>
        </w:rPr>
      </w:pPr>
      <w:r w:rsidRPr="00B918A5">
        <w:rPr>
          <w:rFonts w:asciiTheme="majorHAnsi" w:hAnsiTheme="majorHAnsi"/>
          <w:lang w:val="en-AU"/>
        </w:rPr>
        <w:t>More than three times as likely to have diabetes (rate ratio of 3.3);</w:t>
      </w:r>
      <w:r w:rsidRPr="00B918A5">
        <w:rPr>
          <w:rStyle w:val="EndnoteReference"/>
          <w:lang w:val="en-AU"/>
        </w:rPr>
        <w:endnoteReference w:id="25"/>
      </w:r>
    </w:p>
    <w:p w14:paraId="45095169" w14:textId="77777777" w:rsidR="00814869" w:rsidRPr="00B918A5" w:rsidRDefault="00814869" w:rsidP="00644563">
      <w:pPr>
        <w:numPr>
          <w:ilvl w:val="0"/>
          <w:numId w:val="31"/>
        </w:numPr>
        <w:spacing w:before="120" w:after="120"/>
        <w:rPr>
          <w:rFonts w:cs="Calibri"/>
          <w:lang w:val="en-AU"/>
        </w:rPr>
      </w:pPr>
      <w:r w:rsidRPr="00B918A5">
        <w:rPr>
          <w:rFonts w:asciiTheme="majorHAnsi" w:hAnsiTheme="majorHAnsi"/>
          <w:lang w:val="en-AU"/>
        </w:rPr>
        <w:t>Twice as likely to have signs of chronic kidney disease (rate ratio of 2.1),</w:t>
      </w:r>
      <w:r w:rsidRPr="00B918A5">
        <w:rPr>
          <w:rStyle w:val="EndnoteReference"/>
          <w:lang w:val="en-AU"/>
        </w:rPr>
        <w:endnoteReference w:id="26"/>
      </w:r>
      <w:r w:rsidRPr="00B918A5">
        <w:rPr>
          <w:lang w:val="en-AU"/>
        </w:rPr>
        <w:t xml:space="preserve"> </w:t>
      </w:r>
      <w:r w:rsidRPr="00B918A5">
        <w:rPr>
          <w:rFonts w:cs="Calibri"/>
          <w:lang w:val="en-AU"/>
        </w:rPr>
        <w:t>and more than four times as likely to be in the advanced stages of chronic kidney disease (Stages 4–5);</w:t>
      </w:r>
      <w:r w:rsidRPr="00B918A5">
        <w:rPr>
          <w:rStyle w:val="EndnoteReference"/>
          <w:rFonts w:cs="Calibri"/>
          <w:lang w:val="en-AU"/>
        </w:rPr>
        <w:endnoteReference w:id="27"/>
      </w:r>
      <w:r w:rsidRPr="00B918A5">
        <w:rPr>
          <w:rFonts w:cs="Calibri"/>
          <w:lang w:val="en-AU"/>
        </w:rPr>
        <w:t xml:space="preserve"> and </w:t>
      </w:r>
    </w:p>
    <w:p w14:paraId="1184EF95" w14:textId="77777777" w:rsidR="00814869" w:rsidRPr="00B918A5" w:rsidRDefault="00814869" w:rsidP="00DB0833">
      <w:pPr>
        <w:pStyle w:val="ListParagraph"/>
        <w:widowControl w:val="0"/>
        <w:numPr>
          <w:ilvl w:val="0"/>
          <w:numId w:val="17"/>
        </w:numPr>
        <w:autoSpaceDE w:val="0"/>
        <w:autoSpaceDN w:val="0"/>
        <w:adjustRightInd w:val="0"/>
        <w:spacing w:before="120" w:after="120"/>
        <w:ind w:left="357" w:hanging="357"/>
        <w:contextualSpacing w:val="0"/>
        <w:rPr>
          <w:rFonts w:asciiTheme="majorHAnsi" w:hAnsiTheme="majorHAnsi"/>
          <w:lang w:val="en-AU"/>
        </w:rPr>
      </w:pPr>
      <w:r w:rsidRPr="00B918A5">
        <w:rPr>
          <w:rFonts w:asciiTheme="majorHAnsi" w:hAnsiTheme="majorHAnsi"/>
          <w:lang w:val="en-AU"/>
        </w:rPr>
        <w:t>Nearly twice as likely to have a high amount of triglycerides in their blood – a risk factor for cardiovascular disease (rate ratio 1.9).</w:t>
      </w:r>
      <w:r w:rsidRPr="00B918A5">
        <w:rPr>
          <w:rStyle w:val="EndnoteReference"/>
          <w:lang w:val="en-AU"/>
        </w:rPr>
        <w:t xml:space="preserve"> </w:t>
      </w:r>
      <w:r w:rsidRPr="00B918A5">
        <w:rPr>
          <w:rStyle w:val="EndnoteReference"/>
          <w:lang w:val="en-AU"/>
        </w:rPr>
        <w:endnoteReference w:id="28"/>
      </w:r>
      <w:r w:rsidRPr="00B918A5">
        <w:rPr>
          <w:rFonts w:asciiTheme="majorHAnsi" w:hAnsiTheme="majorHAnsi"/>
          <w:lang w:val="en-AU"/>
        </w:rPr>
        <w:t xml:space="preserve"> </w:t>
      </w:r>
    </w:p>
    <w:p w14:paraId="33E7D0B7" w14:textId="77777777" w:rsidR="00814869" w:rsidRPr="00B918A5" w:rsidRDefault="00814869" w:rsidP="00882F4C">
      <w:pPr>
        <w:widowControl w:val="0"/>
        <w:autoSpaceDE w:val="0"/>
        <w:autoSpaceDN w:val="0"/>
        <w:adjustRightInd w:val="0"/>
        <w:spacing w:before="240" w:after="240"/>
        <w:rPr>
          <w:rFonts w:asciiTheme="majorHAnsi" w:hAnsiTheme="majorHAnsi"/>
          <w:lang w:val="en-AU"/>
        </w:rPr>
      </w:pPr>
      <w:r w:rsidRPr="00B918A5">
        <w:rPr>
          <w:rFonts w:asciiTheme="majorHAnsi" w:hAnsiTheme="majorHAnsi"/>
          <w:lang w:val="en-AU"/>
        </w:rPr>
        <w:t>The survey also found significant differences across remoteness areas. In particular, when compared with those living in urban areas, Aboriginal and Torres Strait Islander participants in remote areas were two and a half times as likely to have signs of chronic kidney disease (33.6 percent compared with 13.1 percent).</w:t>
      </w:r>
      <w:r w:rsidRPr="00B918A5">
        <w:rPr>
          <w:rStyle w:val="EndnoteReference"/>
          <w:lang w:val="en-AU"/>
        </w:rPr>
        <w:endnoteReference w:id="29"/>
      </w:r>
      <w:r w:rsidRPr="00B918A5">
        <w:rPr>
          <w:rFonts w:asciiTheme="majorHAnsi" w:hAnsiTheme="majorHAnsi"/>
          <w:lang w:val="en-AU"/>
        </w:rPr>
        <w:t xml:space="preserve"> </w:t>
      </w:r>
    </w:p>
    <w:p w14:paraId="5F3ECF0D" w14:textId="77777777" w:rsidR="00814869" w:rsidRPr="00B918A5" w:rsidRDefault="00814869" w:rsidP="0062663C">
      <w:pPr>
        <w:pStyle w:val="Heading3"/>
        <w:rPr>
          <w:lang w:val="en-AU"/>
        </w:rPr>
      </w:pPr>
      <w:bookmarkStart w:id="10" w:name="_Toc409788715"/>
      <w:r w:rsidRPr="00B918A5">
        <w:rPr>
          <w:lang w:val="en-AU"/>
        </w:rPr>
        <w:t>Compounding nature of chronic disease and high rates of comorbidities</w:t>
      </w:r>
      <w:bookmarkEnd w:id="10"/>
      <w:r w:rsidRPr="00B918A5">
        <w:rPr>
          <w:lang w:val="en-AU"/>
        </w:rPr>
        <w:t xml:space="preserve"> </w:t>
      </w:r>
    </w:p>
    <w:p w14:paraId="079A0602" w14:textId="29EBE277" w:rsidR="00814869" w:rsidRPr="00B918A5" w:rsidRDefault="00814869" w:rsidP="0062663C">
      <w:pPr>
        <w:spacing w:before="240" w:after="240"/>
        <w:rPr>
          <w:rFonts w:asciiTheme="majorHAnsi" w:eastAsia="Times New Roman" w:hAnsiTheme="majorHAnsi"/>
          <w:lang w:val="en-AU"/>
        </w:rPr>
      </w:pPr>
      <w:r w:rsidRPr="00B918A5">
        <w:rPr>
          <w:rFonts w:asciiTheme="majorHAnsi" w:hAnsiTheme="majorHAnsi"/>
          <w:lang w:val="en-AU"/>
        </w:rPr>
        <w:t xml:space="preserve">The </w:t>
      </w:r>
      <w:r w:rsidR="00BE79AA" w:rsidRPr="00BE79AA">
        <w:rPr>
          <w:rFonts w:asciiTheme="majorHAnsi" w:hAnsiTheme="majorHAnsi"/>
          <w:lang w:val="en-AU"/>
        </w:rPr>
        <w:t xml:space="preserve">NATSIHMS </w:t>
      </w:r>
      <w:r w:rsidR="00BA3963">
        <w:rPr>
          <w:rFonts w:asciiTheme="majorHAnsi" w:hAnsiTheme="majorHAnsi"/>
          <w:lang w:val="en-AU"/>
        </w:rPr>
        <w:t xml:space="preserve">also </w:t>
      </w:r>
      <w:r w:rsidRPr="00B918A5">
        <w:rPr>
          <w:rFonts w:asciiTheme="majorHAnsi" w:hAnsiTheme="majorHAnsi"/>
          <w:lang w:val="en-AU"/>
        </w:rPr>
        <w:t xml:space="preserve">highlighted the compounding nature of chronic disease and risk factors among the Aboriginal and Torres Strait Islander population. </w:t>
      </w:r>
      <w:r w:rsidRPr="00B918A5">
        <w:rPr>
          <w:rFonts w:asciiTheme="majorHAnsi" w:eastAsia="Times New Roman" w:hAnsiTheme="majorHAnsi"/>
          <w:lang w:val="en-AU"/>
        </w:rPr>
        <w:t>It demonstrates that diabetes, cardiovascular disease and chronic kidney disease are all risk factors for each other and that co-morbidity between these conditions is more common for Aboriginal and Torres Strait Islander people than for non-Indigenous people.</w:t>
      </w:r>
      <w:r w:rsidRPr="00B918A5">
        <w:rPr>
          <w:rStyle w:val="EndnoteReference"/>
          <w:rFonts w:eastAsia="Times New Roman"/>
          <w:szCs w:val="20"/>
          <w:lang w:val="en-AU"/>
        </w:rPr>
        <w:endnoteReference w:id="30"/>
      </w:r>
      <w:r w:rsidRPr="00B918A5">
        <w:rPr>
          <w:rFonts w:asciiTheme="majorHAnsi" w:eastAsia="Times New Roman" w:hAnsiTheme="majorHAnsi"/>
          <w:lang w:val="en-AU"/>
        </w:rPr>
        <w:t xml:space="preserve"> For example:</w:t>
      </w:r>
    </w:p>
    <w:p w14:paraId="3AE53DDD" w14:textId="052C8483" w:rsidR="00814869" w:rsidRPr="00B918A5" w:rsidRDefault="009A2D42" w:rsidP="0062663C">
      <w:pPr>
        <w:pStyle w:val="ListParagraph"/>
        <w:widowControl w:val="0"/>
        <w:numPr>
          <w:ilvl w:val="0"/>
          <w:numId w:val="17"/>
        </w:numPr>
        <w:autoSpaceDE w:val="0"/>
        <w:autoSpaceDN w:val="0"/>
        <w:adjustRightInd w:val="0"/>
        <w:spacing w:before="120" w:after="120"/>
        <w:ind w:left="357" w:hanging="357"/>
        <w:contextualSpacing w:val="0"/>
        <w:rPr>
          <w:rFonts w:asciiTheme="majorHAnsi" w:eastAsia="Times New Roman" w:hAnsiTheme="majorHAnsi"/>
          <w:lang w:val="en-AU"/>
        </w:rPr>
      </w:pPr>
      <w:r>
        <w:rPr>
          <w:rFonts w:asciiTheme="majorHAnsi" w:eastAsia="Times New Roman" w:hAnsiTheme="majorHAnsi"/>
          <w:lang w:val="en-AU"/>
        </w:rPr>
        <w:t>Over</w:t>
      </w:r>
      <w:r w:rsidR="00814869" w:rsidRPr="00B918A5">
        <w:rPr>
          <w:rFonts w:asciiTheme="majorHAnsi" w:eastAsia="Times New Roman" w:hAnsiTheme="majorHAnsi"/>
          <w:lang w:val="en-AU"/>
        </w:rPr>
        <w:t xml:space="preserve"> half (53.1 percent) of all participants with diabetes also </w:t>
      </w:r>
      <w:r w:rsidR="008E1346" w:rsidRPr="00B918A5">
        <w:rPr>
          <w:rFonts w:asciiTheme="majorHAnsi" w:eastAsia="Times New Roman" w:hAnsiTheme="majorHAnsi"/>
          <w:lang w:val="en-AU"/>
        </w:rPr>
        <w:t>have</w:t>
      </w:r>
      <w:r w:rsidR="00814869" w:rsidRPr="00B918A5">
        <w:rPr>
          <w:rFonts w:asciiTheme="majorHAnsi" w:eastAsia="Times New Roman" w:hAnsiTheme="majorHAnsi"/>
          <w:lang w:val="en-AU"/>
        </w:rPr>
        <w:t xml:space="preserve"> signs of kidney disease. This was higher than the corresponding rate for non-Indigenous people with diabetes (32.5 percent)</w:t>
      </w:r>
      <w:r w:rsidR="005E74EA">
        <w:rPr>
          <w:rFonts w:asciiTheme="majorHAnsi" w:eastAsia="Times New Roman" w:hAnsiTheme="majorHAnsi"/>
          <w:lang w:val="en-AU"/>
        </w:rPr>
        <w:t>;</w:t>
      </w:r>
      <w:r w:rsidR="00814869" w:rsidRPr="00B918A5">
        <w:rPr>
          <w:rStyle w:val="EndnoteReference"/>
          <w:rFonts w:eastAsia="Times New Roman"/>
          <w:szCs w:val="20"/>
          <w:lang w:val="en-AU"/>
        </w:rPr>
        <w:endnoteReference w:id="31"/>
      </w:r>
      <w:r w:rsidR="00814869" w:rsidRPr="00B918A5">
        <w:rPr>
          <w:rFonts w:asciiTheme="majorHAnsi" w:eastAsia="Times New Roman" w:hAnsiTheme="majorHAnsi"/>
          <w:lang w:val="en-AU"/>
        </w:rPr>
        <w:t xml:space="preserve"> </w:t>
      </w:r>
      <w:r w:rsidR="005E74EA">
        <w:rPr>
          <w:rFonts w:asciiTheme="majorHAnsi" w:eastAsia="Times New Roman" w:hAnsiTheme="majorHAnsi"/>
          <w:lang w:val="en-AU"/>
        </w:rPr>
        <w:t>and</w:t>
      </w:r>
    </w:p>
    <w:p w14:paraId="0783178A" w14:textId="77777777" w:rsidR="00814869" w:rsidRPr="00B918A5" w:rsidRDefault="00814869" w:rsidP="0062663C">
      <w:pPr>
        <w:pStyle w:val="ListParagraph"/>
        <w:widowControl w:val="0"/>
        <w:numPr>
          <w:ilvl w:val="0"/>
          <w:numId w:val="17"/>
        </w:numPr>
        <w:autoSpaceDE w:val="0"/>
        <w:autoSpaceDN w:val="0"/>
        <w:adjustRightInd w:val="0"/>
        <w:spacing w:before="120" w:after="120"/>
        <w:ind w:left="357" w:hanging="357"/>
        <w:contextualSpacing w:val="0"/>
        <w:rPr>
          <w:rFonts w:asciiTheme="majorHAnsi" w:eastAsia="Times New Roman" w:hAnsiTheme="majorHAnsi"/>
          <w:lang w:val="en-AU"/>
        </w:rPr>
      </w:pPr>
      <w:r w:rsidRPr="00B918A5">
        <w:rPr>
          <w:rFonts w:asciiTheme="majorHAnsi" w:eastAsia="Times New Roman" w:hAnsiTheme="majorHAnsi"/>
          <w:lang w:val="en-AU"/>
        </w:rPr>
        <w:t>Participants with diabetes were also more likely than non-Indigenous people with diabetes to have indicators of cardiovascular disease, including high triglycerides (45.1 percent compared with 31.8 percent) and lower than normal levels of HDL ‘good’ cholesterol (60.5 percent compared with 48.8 percent).</w:t>
      </w:r>
      <w:r w:rsidRPr="00B918A5">
        <w:rPr>
          <w:rStyle w:val="EndnoteReference"/>
          <w:rFonts w:eastAsia="Times New Roman"/>
          <w:szCs w:val="20"/>
          <w:lang w:val="en-AU"/>
        </w:rPr>
        <w:endnoteReference w:id="32"/>
      </w:r>
      <w:r w:rsidRPr="00B918A5">
        <w:rPr>
          <w:rFonts w:asciiTheme="majorHAnsi" w:eastAsia="Times New Roman" w:hAnsiTheme="majorHAnsi"/>
          <w:lang w:val="en-AU"/>
        </w:rPr>
        <w:t xml:space="preserve"> </w:t>
      </w:r>
    </w:p>
    <w:p w14:paraId="4B2AAADA" w14:textId="2C2F3B47" w:rsidR="00814869" w:rsidRPr="00B918A5" w:rsidRDefault="00814869" w:rsidP="0062663C">
      <w:pPr>
        <w:widowControl w:val="0"/>
        <w:autoSpaceDE w:val="0"/>
        <w:autoSpaceDN w:val="0"/>
        <w:adjustRightInd w:val="0"/>
        <w:spacing w:before="240" w:after="240"/>
        <w:rPr>
          <w:rFonts w:asciiTheme="majorHAnsi" w:eastAsia="Times New Roman" w:hAnsiTheme="majorHAnsi"/>
          <w:lang w:val="en-AU"/>
        </w:rPr>
      </w:pPr>
      <w:r w:rsidRPr="00B918A5">
        <w:rPr>
          <w:rFonts w:asciiTheme="majorHAnsi" w:hAnsiTheme="majorHAnsi"/>
          <w:lang w:val="en-AU"/>
        </w:rPr>
        <w:lastRenderedPageBreak/>
        <w:t>The NATSIHMS participants also demonstrated the associations between (1) smoking and low levels of ‘good’ HDL cholesterol; and</w:t>
      </w:r>
      <w:r w:rsidRPr="006A24D8">
        <w:rPr>
          <w:rFonts w:ascii="Arial" w:eastAsia="Times New Roman" w:hAnsi="Arial" w:cs="Arial"/>
          <w:sz w:val="20"/>
          <w:szCs w:val="20"/>
          <w:lang w:val="en-AU"/>
        </w:rPr>
        <w:t xml:space="preserve"> (2) </w:t>
      </w:r>
      <w:r w:rsidRPr="00B918A5">
        <w:rPr>
          <w:rFonts w:asciiTheme="majorHAnsi" w:hAnsiTheme="majorHAnsi"/>
          <w:lang w:val="en-AU"/>
        </w:rPr>
        <w:t>obesity and high total cholesterol, low ‘good’ HDL cholesterol, and high rates of ‘bad’ LDL cholesterol and triglycerides. This</w:t>
      </w:r>
      <w:r w:rsidRPr="006A24D8">
        <w:rPr>
          <w:rFonts w:ascii="Arial" w:eastAsia="Times New Roman" w:hAnsi="Arial" w:cs="Arial"/>
          <w:sz w:val="20"/>
          <w:szCs w:val="20"/>
          <w:lang w:val="en-AU"/>
        </w:rPr>
        <w:t xml:space="preserve"> </w:t>
      </w:r>
      <w:r w:rsidRPr="00B918A5">
        <w:rPr>
          <w:rFonts w:asciiTheme="majorHAnsi" w:hAnsiTheme="majorHAnsi"/>
          <w:lang w:val="en-AU"/>
        </w:rPr>
        <w:t>suggests the</w:t>
      </w:r>
      <w:r w:rsidR="002975ED">
        <w:rPr>
          <w:rFonts w:asciiTheme="majorHAnsi" w:hAnsiTheme="majorHAnsi"/>
          <w:lang w:val="en-AU"/>
        </w:rPr>
        <w:t>re are</w:t>
      </w:r>
      <w:r w:rsidRPr="00B918A5">
        <w:rPr>
          <w:rFonts w:asciiTheme="majorHAnsi" w:hAnsiTheme="majorHAnsi"/>
          <w:lang w:val="en-AU"/>
        </w:rPr>
        <w:t xml:space="preserve"> complex inter-relationships between the various risk factors and chronic diseases, and </w:t>
      </w:r>
      <w:r w:rsidR="002975ED">
        <w:rPr>
          <w:rFonts w:asciiTheme="majorHAnsi" w:hAnsiTheme="majorHAnsi"/>
          <w:lang w:val="en-AU"/>
        </w:rPr>
        <w:t xml:space="preserve">a corresponding </w:t>
      </w:r>
      <w:r w:rsidRPr="00B918A5">
        <w:rPr>
          <w:rFonts w:asciiTheme="majorHAnsi" w:hAnsiTheme="majorHAnsi"/>
          <w:lang w:val="en-AU"/>
        </w:rPr>
        <w:t xml:space="preserve">need for a multi-pronged effort that tackles risk factors and chronic disease simultaneously. </w:t>
      </w:r>
    </w:p>
    <w:p w14:paraId="3EE93CFF" w14:textId="77777777" w:rsidR="00814869" w:rsidRPr="00B918A5" w:rsidRDefault="00814869" w:rsidP="0062663C">
      <w:pPr>
        <w:pStyle w:val="Heading3"/>
        <w:rPr>
          <w:rFonts w:eastAsia="Times New Roman"/>
          <w:lang w:val="en-AU"/>
        </w:rPr>
      </w:pPr>
      <w:bookmarkStart w:id="11" w:name="_Toc409788716"/>
      <w:r w:rsidRPr="00B918A5">
        <w:rPr>
          <w:lang w:val="en-AU"/>
        </w:rPr>
        <w:t>High levels of chronic conditions at comparatively young ages</w:t>
      </w:r>
      <w:bookmarkEnd w:id="11"/>
      <w:r w:rsidRPr="00B918A5">
        <w:rPr>
          <w:rFonts w:eastAsia="Times New Roman"/>
          <w:lang w:val="en-AU"/>
        </w:rPr>
        <w:t xml:space="preserve"> </w:t>
      </w:r>
    </w:p>
    <w:p w14:paraId="14D5C746" w14:textId="77777777" w:rsidR="00814869" w:rsidRPr="00B918A5" w:rsidRDefault="00814869" w:rsidP="00882F4C">
      <w:pPr>
        <w:widowControl w:val="0"/>
        <w:autoSpaceDE w:val="0"/>
        <w:autoSpaceDN w:val="0"/>
        <w:adjustRightInd w:val="0"/>
        <w:spacing w:before="240" w:after="240"/>
        <w:rPr>
          <w:rFonts w:asciiTheme="majorHAnsi" w:eastAsia="Times New Roman" w:hAnsiTheme="majorHAnsi"/>
          <w:lang w:val="en-AU"/>
        </w:rPr>
      </w:pPr>
      <w:r w:rsidRPr="00B918A5">
        <w:rPr>
          <w:rFonts w:asciiTheme="majorHAnsi" w:eastAsia="Times New Roman" w:hAnsiTheme="majorHAnsi"/>
          <w:lang w:val="en-AU"/>
        </w:rPr>
        <w:t xml:space="preserve">The </w:t>
      </w:r>
      <w:r w:rsidR="00BE79AA" w:rsidRPr="00BE79AA">
        <w:rPr>
          <w:rFonts w:asciiTheme="majorHAnsi" w:eastAsia="Times New Roman" w:hAnsiTheme="majorHAnsi"/>
          <w:lang w:val="en-AU"/>
        </w:rPr>
        <w:t xml:space="preserve">NATSIHMS </w:t>
      </w:r>
      <w:r w:rsidRPr="00B918A5">
        <w:rPr>
          <w:rFonts w:asciiTheme="majorHAnsi" w:eastAsia="Times New Roman" w:hAnsiTheme="majorHAnsi"/>
          <w:lang w:val="en-AU"/>
        </w:rPr>
        <w:t xml:space="preserve">also confirms that Aboriginal and Torres Strait Islander people tend to develop chronic diseases at younger ages </w:t>
      </w:r>
      <w:r w:rsidR="0049665C" w:rsidRPr="00B918A5">
        <w:rPr>
          <w:rFonts w:asciiTheme="majorHAnsi" w:eastAsia="Times New Roman" w:hAnsiTheme="majorHAnsi"/>
          <w:lang w:val="en-AU"/>
        </w:rPr>
        <w:t>–</w:t>
      </w:r>
      <w:r w:rsidRPr="00B918A5">
        <w:rPr>
          <w:rFonts w:asciiTheme="majorHAnsi" w:eastAsia="Times New Roman" w:hAnsiTheme="majorHAnsi"/>
          <w:lang w:val="en-AU"/>
        </w:rPr>
        <w:t xml:space="preserve"> as</w:t>
      </w:r>
      <w:r w:rsidR="0049665C" w:rsidRPr="00B918A5">
        <w:rPr>
          <w:rFonts w:asciiTheme="majorHAnsi" w:eastAsia="Times New Roman" w:hAnsiTheme="majorHAnsi"/>
          <w:lang w:val="en-AU"/>
        </w:rPr>
        <w:t xml:space="preserve"> </w:t>
      </w:r>
      <w:r w:rsidRPr="00B918A5">
        <w:rPr>
          <w:rFonts w:asciiTheme="majorHAnsi" w:eastAsia="Times New Roman" w:hAnsiTheme="majorHAnsi"/>
          <w:lang w:val="en-AU"/>
        </w:rPr>
        <w:t xml:space="preserve">set out in </w:t>
      </w:r>
      <w:r w:rsidRPr="005E74EA">
        <w:rPr>
          <w:rFonts w:asciiTheme="majorHAnsi" w:eastAsia="Times New Roman" w:hAnsiTheme="majorHAnsi"/>
          <w:lang w:val="en-AU"/>
        </w:rPr>
        <w:t xml:space="preserve">Table </w:t>
      </w:r>
      <w:r w:rsidR="006B4556" w:rsidRPr="005E74EA">
        <w:rPr>
          <w:rFonts w:asciiTheme="majorHAnsi" w:eastAsia="Times New Roman" w:hAnsiTheme="majorHAnsi"/>
          <w:lang w:val="en-AU"/>
        </w:rPr>
        <w:t>2</w:t>
      </w:r>
      <w:r w:rsidRPr="005E74EA">
        <w:rPr>
          <w:rFonts w:asciiTheme="majorHAnsi" w:eastAsia="Times New Roman" w:hAnsiTheme="majorHAnsi"/>
          <w:lang w:val="en-AU"/>
        </w:rPr>
        <w:t xml:space="preserve"> below.</w:t>
      </w:r>
    </w:p>
    <w:p w14:paraId="684A8A97" w14:textId="77777777" w:rsidR="00814869" w:rsidRPr="00B918A5" w:rsidRDefault="00814869" w:rsidP="00882F4C">
      <w:pPr>
        <w:widowControl w:val="0"/>
        <w:autoSpaceDE w:val="0"/>
        <w:autoSpaceDN w:val="0"/>
        <w:adjustRightInd w:val="0"/>
        <w:spacing w:before="240" w:after="240"/>
        <w:jc w:val="center"/>
        <w:rPr>
          <w:rFonts w:asciiTheme="majorHAnsi" w:eastAsia="Times New Roman" w:hAnsiTheme="majorHAnsi"/>
          <w:b/>
          <w:lang w:val="en-AU"/>
        </w:rPr>
      </w:pPr>
      <w:r w:rsidRPr="005E74EA">
        <w:rPr>
          <w:rFonts w:asciiTheme="majorHAnsi" w:eastAsia="Times New Roman" w:hAnsiTheme="majorHAnsi"/>
          <w:b/>
          <w:lang w:val="en-AU"/>
        </w:rPr>
        <w:t xml:space="preserve">Table </w:t>
      </w:r>
      <w:r w:rsidR="006B4556" w:rsidRPr="005E74EA">
        <w:rPr>
          <w:rFonts w:asciiTheme="majorHAnsi" w:eastAsia="Times New Roman" w:hAnsiTheme="majorHAnsi"/>
          <w:b/>
          <w:lang w:val="en-AU"/>
        </w:rPr>
        <w:t>2</w:t>
      </w:r>
      <w:r w:rsidRPr="005E74EA">
        <w:rPr>
          <w:rFonts w:asciiTheme="majorHAnsi" w:eastAsia="Times New Roman" w:hAnsiTheme="majorHAnsi"/>
          <w:b/>
          <w:lang w:val="en-AU"/>
        </w:rPr>
        <w:t>: The</w:t>
      </w:r>
      <w:r w:rsidRPr="00B918A5">
        <w:rPr>
          <w:rFonts w:asciiTheme="majorHAnsi" w:eastAsia="Times New Roman" w:hAnsiTheme="majorHAnsi"/>
          <w:b/>
          <w:lang w:val="en-AU"/>
        </w:rPr>
        <w:t xml:space="preserve"> age gap for the development of chronic disease between Aboriginal and Torres Strait Islander people and non-Indigenous people</w:t>
      </w:r>
    </w:p>
    <w:tbl>
      <w:tblPr>
        <w:tblStyle w:val="TableGrid"/>
        <w:tblW w:w="0" w:type="auto"/>
        <w:tblLook w:val="04A0" w:firstRow="1" w:lastRow="0" w:firstColumn="1" w:lastColumn="0" w:noHBand="0" w:noVBand="1"/>
      </w:tblPr>
      <w:tblGrid>
        <w:gridCol w:w="3095"/>
        <w:gridCol w:w="3095"/>
        <w:gridCol w:w="3096"/>
      </w:tblGrid>
      <w:tr w:rsidR="00814869" w:rsidRPr="006A24D8" w14:paraId="0122B36E" w14:textId="77777777" w:rsidTr="00976FAD">
        <w:tc>
          <w:tcPr>
            <w:tcW w:w="3095" w:type="dxa"/>
            <w:shd w:val="clear" w:color="auto" w:fill="DBE5F1" w:themeFill="accent1" w:themeFillTint="33"/>
          </w:tcPr>
          <w:p w14:paraId="0EB3AB9C" w14:textId="77777777" w:rsidR="00814869" w:rsidRPr="00B918A5" w:rsidRDefault="00814869" w:rsidP="00976FAD">
            <w:pPr>
              <w:widowControl w:val="0"/>
              <w:autoSpaceDE w:val="0"/>
              <w:autoSpaceDN w:val="0"/>
              <w:adjustRightInd w:val="0"/>
              <w:spacing w:after="0"/>
              <w:jc w:val="center"/>
              <w:rPr>
                <w:rFonts w:asciiTheme="majorHAnsi" w:hAnsiTheme="majorHAnsi"/>
                <w:b/>
                <w:sz w:val="20"/>
                <w:szCs w:val="20"/>
                <w:lang w:val="en-AU"/>
              </w:rPr>
            </w:pPr>
          </w:p>
        </w:tc>
        <w:tc>
          <w:tcPr>
            <w:tcW w:w="3095" w:type="dxa"/>
            <w:shd w:val="clear" w:color="auto" w:fill="DBE5F1" w:themeFill="accent1" w:themeFillTint="33"/>
          </w:tcPr>
          <w:p w14:paraId="1DCB309A" w14:textId="77777777" w:rsidR="00814869" w:rsidRPr="00B918A5" w:rsidRDefault="00814869" w:rsidP="00A41305">
            <w:pPr>
              <w:widowControl w:val="0"/>
              <w:autoSpaceDE w:val="0"/>
              <w:autoSpaceDN w:val="0"/>
              <w:adjustRightInd w:val="0"/>
              <w:spacing w:after="0"/>
              <w:jc w:val="center"/>
              <w:rPr>
                <w:rFonts w:asciiTheme="majorHAnsi" w:hAnsiTheme="majorHAnsi"/>
                <w:b/>
                <w:sz w:val="20"/>
                <w:szCs w:val="20"/>
                <w:lang w:val="en-AU"/>
              </w:rPr>
            </w:pPr>
            <w:r w:rsidRPr="00B918A5">
              <w:rPr>
                <w:rFonts w:asciiTheme="majorHAnsi" w:hAnsiTheme="majorHAnsi"/>
                <w:b/>
                <w:sz w:val="20"/>
                <w:szCs w:val="20"/>
                <w:lang w:val="en-AU"/>
              </w:rPr>
              <w:t>Aboriginal and Torres Strait Islander people</w:t>
            </w:r>
          </w:p>
        </w:tc>
        <w:tc>
          <w:tcPr>
            <w:tcW w:w="3096" w:type="dxa"/>
            <w:shd w:val="clear" w:color="auto" w:fill="DBE5F1" w:themeFill="accent1" w:themeFillTint="33"/>
          </w:tcPr>
          <w:p w14:paraId="17144EE0" w14:textId="77777777" w:rsidR="00814869" w:rsidRPr="00B918A5" w:rsidRDefault="00814869" w:rsidP="00A41305">
            <w:pPr>
              <w:widowControl w:val="0"/>
              <w:autoSpaceDE w:val="0"/>
              <w:autoSpaceDN w:val="0"/>
              <w:adjustRightInd w:val="0"/>
              <w:spacing w:after="0"/>
              <w:jc w:val="center"/>
              <w:rPr>
                <w:rFonts w:asciiTheme="majorHAnsi" w:hAnsiTheme="majorHAnsi"/>
                <w:b/>
                <w:sz w:val="20"/>
                <w:szCs w:val="20"/>
                <w:lang w:val="en-AU"/>
              </w:rPr>
            </w:pPr>
            <w:r w:rsidRPr="00B918A5">
              <w:rPr>
                <w:rFonts w:asciiTheme="majorHAnsi" w:hAnsiTheme="majorHAnsi"/>
                <w:b/>
                <w:sz w:val="20"/>
                <w:szCs w:val="20"/>
                <w:lang w:val="en-AU"/>
              </w:rPr>
              <w:t>Non-Indigenous people</w:t>
            </w:r>
          </w:p>
        </w:tc>
      </w:tr>
      <w:tr w:rsidR="00814869" w:rsidRPr="006A24D8" w14:paraId="50863091" w14:textId="77777777" w:rsidTr="00976FAD">
        <w:tc>
          <w:tcPr>
            <w:tcW w:w="3095" w:type="dxa"/>
            <w:shd w:val="clear" w:color="auto" w:fill="DBE5F1" w:themeFill="accent1" w:themeFillTint="33"/>
          </w:tcPr>
          <w:p w14:paraId="2B4A4473" w14:textId="77777777" w:rsidR="00814869" w:rsidRPr="00B918A5" w:rsidRDefault="00814869" w:rsidP="00276098">
            <w:pPr>
              <w:widowControl w:val="0"/>
              <w:autoSpaceDE w:val="0"/>
              <w:autoSpaceDN w:val="0"/>
              <w:adjustRightInd w:val="0"/>
              <w:spacing w:after="0"/>
              <w:jc w:val="center"/>
              <w:rPr>
                <w:rFonts w:asciiTheme="majorHAnsi" w:hAnsiTheme="majorHAnsi"/>
                <w:b/>
                <w:sz w:val="20"/>
                <w:szCs w:val="20"/>
                <w:lang w:val="en-AU"/>
              </w:rPr>
            </w:pPr>
            <w:r w:rsidRPr="00B918A5">
              <w:rPr>
                <w:rFonts w:asciiTheme="majorHAnsi" w:hAnsiTheme="majorHAnsi"/>
                <w:b/>
                <w:sz w:val="20"/>
                <w:szCs w:val="20"/>
                <w:lang w:val="en-AU"/>
              </w:rPr>
              <w:t>Diabetes</w:t>
            </w:r>
          </w:p>
          <w:p w14:paraId="5B30C02D" w14:textId="77777777" w:rsidR="00814869" w:rsidRPr="00B918A5" w:rsidRDefault="00814869" w:rsidP="00A41305">
            <w:pPr>
              <w:widowControl w:val="0"/>
              <w:autoSpaceDE w:val="0"/>
              <w:autoSpaceDN w:val="0"/>
              <w:adjustRightInd w:val="0"/>
              <w:spacing w:after="0"/>
              <w:jc w:val="center"/>
              <w:rPr>
                <w:rFonts w:asciiTheme="majorHAnsi" w:hAnsiTheme="majorHAnsi"/>
                <w:i/>
                <w:sz w:val="20"/>
                <w:szCs w:val="20"/>
                <w:lang w:val="en-AU"/>
              </w:rPr>
            </w:pPr>
            <w:r w:rsidRPr="00B918A5">
              <w:rPr>
                <w:rFonts w:asciiTheme="majorHAnsi" w:hAnsiTheme="majorHAnsi"/>
                <w:i/>
                <w:sz w:val="20"/>
                <w:szCs w:val="20"/>
                <w:lang w:val="en-AU"/>
              </w:rPr>
              <w:t>Gap starts widening by 35-44 years</w:t>
            </w:r>
          </w:p>
        </w:tc>
        <w:tc>
          <w:tcPr>
            <w:tcW w:w="3095" w:type="dxa"/>
          </w:tcPr>
          <w:p w14:paraId="78495FDD" w14:textId="77777777" w:rsidR="00814869" w:rsidRPr="00B918A5" w:rsidRDefault="00814869" w:rsidP="00976FAD">
            <w:pPr>
              <w:widowControl w:val="0"/>
              <w:autoSpaceDE w:val="0"/>
              <w:autoSpaceDN w:val="0"/>
              <w:adjustRightInd w:val="0"/>
              <w:spacing w:after="0"/>
              <w:jc w:val="center"/>
              <w:rPr>
                <w:rFonts w:asciiTheme="majorHAnsi" w:hAnsiTheme="majorHAnsi"/>
                <w:sz w:val="20"/>
                <w:szCs w:val="20"/>
                <w:lang w:val="en-AU"/>
              </w:rPr>
            </w:pPr>
            <w:r w:rsidRPr="00B918A5">
              <w:rPr>
                <w:rFonts w:asciiTheme="majorHAnsi" w:hAnsiTheme="majorHAnsi"/>
                <w:sz w:val="20"/>
                <w:szCs w:val="20"/>
                <w:lang w:val="en-AU"/>
              </w:rPr>
              <w:t>9.0 percent – rate of those aged 35-44 with diabetes.</w:t>
            </w:r>
            <w:r w:rsidRPr="00B918A5">
              <w:rPr>
                <w:rFonts w:asciiTheme="majorHAnsi" w:hAnsiTheme="majorHAnsi"/>
                <w:sz w:val="20"/>
                <w:szCs w:val="20"/>
                <w:vertAlign w:val="superscript"/>
                <w:lang w:val="en-AU"/>
              </w:rPr>
              <w:endnoteReference w:id="33"/>
            </w:r>
          </w:p>
        </w:tc>
        <w:tc>
          <w:tcPr>
            <w:tcW w:w="3096" w:type="dxa"/>
          </w:tcPr>
          <w:p w14:paraId="31EF9DD1" w14:textId="77777777" w:rsidR="00814869" w:rsidRPr="00B918A5" w:rsidRDefault="00814869" w:rsidP="00976FAD">
            <w:pPr>
              <w:widowControl w:val="0"/>
              <w:autoSpaceDE w:val="0"/>
              <w:autoSpaceDN w:val="0"/>
              <w:adjustRightInd w:val="0"/>
              <w:spacing w:after="0"/>
              <w:jc w:val="center"/>
              <w:rPr>
                <w:rFonts w:asciiTheme="majorHAnsi" w:hAnsiTheme="majorHAnsi"/>
                <w:sz w:val="20"/>
                <w:szCs w:val="20"/>
                <w:lang w:val="en-AU"/>
              </w:rPr>
            </w:pPr>
            <w:r w:rsidRPr="00B918A5">
              <w:rPr>
                <w:rFonts w:asciiTheme="majorHAnsi" w:hAnsiTheme="majorHAnsi"/>
                <w:sz w:val="20"/>
                <w:szCs w:val="20"/>
                <w:lang w:val="en-AU"/>
              </w:rPr>
              <w:t>8.2 percent - rate of those aged 55–64 years with diabetes.</w:t>
            </w:r>
            <w:r w:rsidRPr="00B918A5">
              <w:rPr>
                <w:rFonts w:asciiTheme="majorHAnsi" w:hAnsiTheme="majorHAnsi"/>
                <w:sz w:val="20"/>
                <w:szCs w:val="20"/>
                <w:vertAlign w:val="superscript"/>
                <w:lang w:val="en-AU"/>
              </w:rPr>
              <w:endnoteReference w:id="34"/>
            </w:r>
          </w:p>
        </w:tc>
      </w:tr>
      <w:tr w:rsidR="00814869" w:rsidRPr="006A24D8" w14:paraId="411766BD" w14:textId="77777777" w:rsidTr="00976FAD">
        <w:tc>
          <w:tcPr>
            <w:tcW w:w="3095" w:type="dxa"/>
            <w:shd w:val="clear" w:color="auto" w:fill="DBE5F1" w:themeFill="accent1" w:themeFillTint="33"/>
          </w:tcPr>
          <w:p w14:paraId="47021C1E" w14:textId="77777777" w:rsidR="00814869" w:rsidRPr="00B918A5" w:rsidRDefault="00814869" w:rsidP="00976FAD">
            <w:pPr>
              <w:widowControl w:val="0"/>
              <w:autoSpaceDE w:val="0"/>
              <w:autoSpaceDN w:val="0"/>
              <w:adjustRightInd w:val="0"/>
              <w:spacing w:after="0"/>
              <w:jc w:val="center"/>
              <w:rPr>
                <w:rFonts w:asciiTheme="majorHAnsi" w:hAnsiTheme="majorHAnsi"/>
                <w:b/>
                <w:sz w:val="20"/>
                <w:szCs w:val="20"/>
                <w:lang w:val="en-AU"/>
              </w:rPr>
            </w:pPr>
            <w:r w:rsidRPr="00B918A5">
              <w:rPr>
                <w:rFonts w:asciiTheme="majorHAnsi" w:hAnsiTheme="majorHAnsi"/>
                <w:b/>
                <w:sz w:val="20"/>
                <w:szCs w:val="20"/>
                <w:lang w:val="en-AU"/>
              </w:rPr>
              <w:t>Kidney disease</w:t>
            </w:r>
          </w:p>
          <w:p w14:paraId="36FD84E3" w14:textId="77777777" w:rsidR="00814869" w:rsidRPr="00B918A5" w:rsidRDefault="00814869" w:rsidP="00976FAD">
            <w:pPr>
              <w:widowControl w:val="0"/>
              <w:autoSpaceDE w:val="0"/>
              <w:autoSpaceDN w:val="0"/>
              <w:adjustRightInd w:val="0"/>
              <w:spacing w:after="0"/>
              <w:jc w:val="center"/>
              <w:rPr>
                <w:rFonts w:asciiTheme="majorHAnsi" w:hAnsiTheme="majorHAnsi"/>
                <w:b/>
                <w:sz w:val="20"/>
                <w:szCs w:val="20"/>
                <w:lang w:val="en-AU"/>
              </w:rPr>
            </w:pPr>
          </w:p>
          <w:p w14:paraId="36DFD813" w14:textId="77777777" w:rsidR="00814869" w:rsidRPr="00B918A5" w:rsidRDefault="00814869" w:rsidP="00A41305">
            <w:pPr>
              <w:widowControl w:val="0"/>
              <w:autoSpaceDE w:val="0"/>
              <w:autoSpaceDN w:val="0"/>
              <w:adjustRightInd w:val="0"/>
              <w:spacing w:after="0"/>
              <w:jc w:val="center"/>
              <w:rPr>
                <w:rFonts w:asciiTheme="majorHAnsi" w:hAnsiTheme="majorHAnsi"/>
                <w:i/>
                <w:sz w:val="20"/>
                <w:szCs w:val="20"/>
                <w:lang w:val="en-AU"/>
              </w:rPr>
            </w:pPr>
            <w:r w:rsidRPr="00B918A5">
              <w:rPr>
                <w:rFonts w:asciiTheme="majorHAnsi" w:hAnsiTheme="majorHAnsi"/>
                <w:i/>
                <w:sz w:val="20"/>
                <w:szCs w:val="20"/>
                <w:lang w:val="en-AU"/>
              </w:rPr>
              <w:t>Gap starts widening by 45 years</w:t>
            </w:r>
          </w:p>
        </w:tc>
        <w:tc>
          <w:tcPr>
            <w:tcW w:w="3095" w:type="dxa"/>
          </w:tcPr>
          <w:p w14:paraId="4471220D" w14:textId="77777777" w:rsidR="00814869" w:rsidRPr="00B918A5" w:rsidRDefault="00814869" w:rsidP="00976FAD">
            <w:pPr>
              <w:widowControl w:val="0"/>
              <w:autoSpaceDE w:val="0"/>
              <w:autoSpaceDN w:val="0"/>
              <w:adjustRightInd w:val="0"/>
              <w:spacing w:after="0"/>
              <w:jc w:val="center"/>
              <w:rPr>
                <w:rFonts w:asciiTheme="majorHAnsi" w:hAnsiTheme="majorHAnsi"/>
                <w:sz w:val="20"/>
                <w:szCs w:val="20"/>
                <w:lang w:val="en-AU"/>
              </w:rPr>
            </w:pPr>
            <w:r w:rsidRPr="00B918A5">
              <w:rPr>
                <w:rFonts w:asciiTheme="majorHAnsi" w:hAnsiTheme="majorHAnsi"/>
                <w:sz w:val="20"/>
                <w:szCs w:val="20"/>
                <w:lang w:val="en-AU"/>
              </w:rPr>
              <w:t>Rates began to increase from early adulthood and then more noticeably from 45 years onwards.</w:t>
            </w:r>
            <w:r w:rsidRPr="00B918A5">
              <w:rPr>
                <w:rFonts w:asciiTheme="majorHAnsi" w:hAnsiTheme="majorHAnsi"/>
                <w:sz w:val="20"/>
                <w:szCs w:val="20"/>
                <w:vertAlign w:val="superscript"/>
                <w:lang w:val="en-AU"/>
              </w:rPr>
              <w:endnoteReference w:id="35"/>
            </w:r>
          </w:p>
        </w:tc>
        <w:tc>
          <w:tcPr>
            <w:tcW w:w="3096" w:type="dxa"/>
          </w:tcPr>
          <w:p w14:paraId="43341BB2" w14:textId="77777777" w:rsidR="00814869" w:rsidRPr="00B918A5" w:rsidRDefault="00814869" w:rsidP="00976FAD">
            <w:pPr>
              <w:widowControl w:val="0"/>
              <w:autoSpaceDE w:val="0"/>
              <w:autoSpaceDN w:val="0"/>
              <w:adjustRightInd w:val="0"/>
              <w:spacing w:after="0"/>
              <w:jc w:val="center"/>
              <w:rPr>
                <w:rFonts w:asciiTheme="majorHAnsi" w:hAnsiTheme="majorHAnsi"/>
                <w:sz w:val="20"/>
                <w:szCs w:val="20"/>
                <w:lang w:val="en-AU"/>
              </w:rPr>
            </w:pPr>
            <w:r w:rsidRPr="00B918A5">
              <w:rPr>
                <w:rFonts w:asciiTheme="majorHAnsi" w:hAnsiTheme="majorHAnsi"/>
                <w:sz w:val="20"/>
                <w:szCs w:val="20"/>
                <w:lang w:val="en-AU"/>
              </w:rPr>
              <w:t>Rates remain very flat until late adulthood and only began to increase from the age of 65.</w:t>
            </w:r>
            <w:r w:rsidRPr="00B918A5">
              <w:rPr>
                <w:rFonts w:asciiTheme="majorHAnsi" w:hAnsiTheme="majorHAnsi"/>
                <w:sz w:val="20"/>
                <w:szCs w:val="20"/>
                <w:vertAlign w:val="superscript"/>
                <w:lang w:val="en-AU"/>
              </w:rPr>
              <w:t xml:space="preserve"> </w:t>
            </w:r>
            <w:r w:rsidRPr="00B918A5">
              <w:rPr>
                <w:rFonts w:asciiTheme="majorHAnsi" w:hAnsiTheme="majorHAnsi"/>
                <w:sz w:val="20"/>
                <w:szCs w:val="20"/>
                <w:vertAlign w:val="superscript"/>
                <w:lang w:val="en-AU"/>
              </w:rPr>
              <w:endnoteReference w:id="36"/>
            </w:r>
          </w:p>
        </w:tc>
      </w:tr>
      <w:tr w:rsidR="00814869" w:rsidRPr="006A24D8" w14:paraId="2D4EF5EA" w14:textId="77777777" w:rsidTr="00976FAD">
        <w:tc>
          <w:tcPr>
            <w:tcW w:w="3095" w:type="dxa"/>
            <w:vMerge w:val="restart"/>
            <w:shd w:val="clear" w:color="auto" w:fill="DBE5F1" w:themeFill="accent1" w:themeFillTint="33"/>
          </w:tcPr>
          <w:p w14:paraId="39CD29CA" w14:textId="77777777" w:rsidR="00814869" w:rsidRPr="00B918A5" w:rsidRDefault="00814869" w:rsidP="00976FAD">
            <w:pPr>
              <w:widowControl w:val="0"/>
              <w:autoSpaceDE w:val="0"/>
              <w:autoSpaceDN w:val="0"/>
              <w:adjustRightInd w:val="0"/>
              <w:spacing w:after="0"/>
              <w:jc w:val="center"/>
              <w:rPr>
                <w:rFonts w:asciiTheme="majorHAnsi" w:hAnsiTheme="majorHAnsi"/>
                <w:b/>
                <w:sz w:val="20"/>
                <w:szCs w:val="20"/>
                <w:lang w:val="en-AU"/>
              </w:rPr>
            </w:pPr>
            <w:r w:rsidRPr="00B918A5">
              <w:rPr>
                <w:rFonts w:asciiTheme="majorHAnsi" w:hAnsiTheme="majorHAnsi"/>
                <w:b/>
                <w:sz w:val="20"/>
                <w:szCs w:val="20"/>
                <w:lang w:val="en-AU"/>
              </w:rPr>
              <w:t>Cardiovascular disease indicators</w:t>
            </w:r>
          </w:p>
          <w:p w14:paraId="0EC90F04" w14:textId="77777777" w:rsidR="00814869" w:rsidRPr="00B918A5" w:rsidRDefault="00814869" w:rsidP="00976FAD">
            <w:pPr>
              <w:widowControl w:val="0"/>
              <w:autoSpaceDE w:val="0"/>
              <w:autoSpaceDN w:val="0"/>
              <w:adjustRightInd w:val="0"/>
              <w:spacing w:after="0"/>
              <w:jc w:val="center"/>
              <w:rPr>
                <w:rFonts w:asciiTheme="majorHAnsi" w:hAnsiTheme="majorHAnsi"/>
                <w:b/>
                <w:sz w:val="20"/>
                <w:szCs w:val="20"/>
                <w:lang w:val="en-AU"/>
              </w:rPr>
            </w:pPr>
          </w:p>
          <w:p w14:paraId="5251BDC1" w14:textId="77777777" w:rsidR="00814869" w:rsidRPr="00B918A5" w:rsidRDefault="00814869" w:rsidP="00976FAD">
            <w:pPr>
              <w:widowControl w:val="0"/>
              <w:autoSpaceDE w:val="0"/>
              <w:autoSpaceDN w:val="0"/>
              <w:adjustRightInd w:val="0"/>
              <w:spacing w:after="0"/>
              <w:jc w:val="center"/>
              <w:rPr>
                <w:rFonts w:asciiTheme="majorHAnsi" w:hAnsiTheme="majorHAnsi"/>
                <w:i/>
                <w:sz w:val="20"/>
                <w:szCs w:val="20"/>
                <w:lang w:val="en-AU"/>
              </w:rPr>
            </w:pPr>
            <w:r w:rsidRPr="00B918A5">
              <w:rPr>
                <w:rFonts w:asciiTheme="majorHAnsi" w:hAnsiTheme="majorHAnsi"/>
                <w:i/>
                <w:sz w:val="20"/>
                <w:szCs w:val="20"/>
                <w:lang w:val="en-AU"/>
              </w:rPr>
              <w:t>Gap starts widening by 35 - 44 years</w:t>
            </w:r>
          </w:p>
        </w:tc>
        <w:tc>
          <w:tcPr>
            <w:tcW w:w="6191" w:type="dxa"/>
            <w:gridSpan w:val="2"/>
            <w:shd w:val="clear" w:color="auto" w:fill="DBE5F1" w:themeFill="accent1" w:themeFillTint="33"/>
          </w:tcPr>
          <w:p w14:paraId="24E982E3" w14:textId="77777777" w:rsidR="00814869" w:rsidRPr="00B918A5" w:rsidRDefault="00814869" w:rsidP="00976FAD">
            <w:pPr>
              <w:widowControl w:val="0"/>
              <w:autoSpaceDE w:val="0"/>
              <w:autoSpaceDN w:val="0"/>
              <w:adjustRightInd w:val="0"/>
              <w:spacing w:after="0"/>
              <w:jc w:val="center"/>
              <w:rPr>
                <w:rFonts w:asciiTheme="majorHAnsi" w:hAnsiTheme="majorHAnsi"/>
                <w:i/>
                <w:sz w:val="20"/>
                <w:szCs w:val="20"/>
                <w:lang w:val="en-AU"/>
              </w:rPr>
            </w:pPr>
            <w:r w:rsidRPr="00B918A5">
              <w:rPr>
                <w:rFonts w:asciiTheme="majorHAnsi" w:hAnsiTheme="majorHAnsi"/>
                <w:i/>
                <w:sz w:val="20"/>
                <w:szCs w:val="20"/>
                <w:lang w:val="en-AU"/>
              </w:rPr>
              <w:t xml:space="preserve">High triglycerides </w:t>
            </w:r>
          </w:p>
        </w:tc>
      </w:tr>
      <w:tr w:rsidR="00814869" w:rsidRPr="006A24D8" w14:paraId="0F0C6203" w14:textId="77777777" w:rsidTr="00976FAD">
        <w:tc>
          <w:tcPr>
            <w:tcW w:w="3095" w:type="dxa"/>
            <w:vMerge/>
            <w:shd w:val="clear" w:color="auto" w:fill="DBE5F1" w:themeFill="accent1" w:themeFillTint="33"/>
          </w:tcPr>
          <w:p w14:paraId="493CD55E" w14:textId="77777777" w:rsidR="00814869" w:rsidRPr="00B918A5" w:rsidRDefault="00814869" w:rsidP="00976FAD">
            <w:pPr>
              <w:widowControl w:val="0"/>
              <w:autoSpaceDE w:val="0"/>
              <w:autoSpaceDN w:val="0"/>
              <w:adjustRightInd w:val="0"/>
              <w:spacing w:after="0"/>
              <w:jc w:val="center"/>
              <w:rPr>
                <w:rFonts w:asciiTheme="majorHAnsi" w:hAnsiTheme="majorHAnsi"/>
                <w:sz w:val="20"/>
                <w:szCs w:val="20"/>
                <w:lang w:val="en-AU"/>
              </w:rPr>
            </w:pPr>
          </w:p>
        </w:tc>
        <w:tc>
          <w:tcPr>
            <w:tcW w:w="3095" w:type="dxa"/>
          </w:tcPr>
          <w:p w14:paraId="3DD25C4D" w14:textId="77777777" w:rsidR="00814869" w:rsidRPr="00B918A5" w:rsidRDefault="00814869" w:rsidP="00976FAD">
            <w:pPr>
              <w:widowControl w:val="0"/>
              <w:autoSpaceDE w:val="0"/>
              <w:autoSpaceDN w:val="0"/>
              <w:adjustRightInd w:val="0"/>
              <w:spacing w:after="0"/>
              <w:jc w:val="center"/>
              <w:rPr>
                <w:rFonts w:asciiTheme="majorHAnsi" w:hAnsiTheme="majorHAnsi"/>
                <w:sz w:val="20"/>
                <w:szCs w:val="20"/>
                <w:lang w:val="en-AU"/>
              </w:rPr>
            </w:pPr>
            <w:r w:rsidRPr="00B918A5">
              <w:rPr>
                <w:rFonts w:asciiTheme="majorHAnsi" w:hAnsiTheme="majorHAnsi"/>
                <w:sz w:val="20"/>
                <w:szCs w:val="20"/>
                <w:lang w:val="en-AU"/>
              </w:rPr>
              <w:t>32.2 percent of those aged 35–44 years</w:t>
            </w:r>
            <w:r w:rsidR="00B918A5">
              <w:rPr>
                <w:rFonts w:asciiTheme="majorHAnsi" w:hAnsiTheme="majorHAnsi"/>
                <w:sz w:val="20"/>
                <w:szCs w:val="20"/>
                <w:lang w:val="en-AU"/>
              </w:rPr>
              <w:t>.</w:t>
            </w:r>
            <w:r w:rsidRPr="00B918A5">
              <w:rPr>
                <w:rStyle w:val="EndnoteReference"/>
                <w:szCs w:val="20"/>
                <w:lang w:val="en-AU"/>
              </w:rPr>
              <w:endnoteReference w:id="37"/>
            </w:r>
          </w:p>
        </w:tc>
        <w:tc>
          <w:tcPr>
            <w:tcW w:w="3096" w:type="dxa"/>
          </w:tcPr>
          <w:p w14:paraId="4A2BD80E" w14:textId="77777777" w:rsidR="00814869" w:rsidRPr="00B918A5" w:rsidRDefault="00814869" w:rsidP="00976FAD">
            <w:pPr>
              <w:widowControl w:val="0"/>
              <w:autoSpaceDE w:val="0"/>
              <w:autoSpaceDN w:val="0"/>
              <w:adjustRightInd w:val="0"/>
              <w:spacing w:after="0"/>
              <w:jc w:val="center"/>
              <w:rPr>
                <w:rFonts w:asciiTheme="majorHAnsi" w:hAnsiTheme="majorHAnsi"/>
                <w:sz w:val="20"/>
                <w:szCs w:val="20"/>
                <w:lang w:val="en-AU"/>
              </w:rPr>
            </w:pPr>
            <w:r w:rsidRPr="00B918A5">
              <w:rPr>
                <w:rFonts w:asciiTheme="majorHAnsi" w:hAnsiTheme="majorHAnsi"/>
                <w:sz w:val="20"/>
                <w:szCs w:val="20"/>
                <w:lang w:val="en-AU"/>
              </w:rPr>
              <w:t>14.9 percent of those aged 35–44 years</w:t>
            </w:r>
            <w:r w:rsidR="00B918A5">
              <w:rPr>
                <w:rFonts w:asciiTheme="majorHAnsi" w:hAnsiTheme="majorHAnsi"/>
                <w:sz w:val="20"/>
                <w:szCs w:val="20"/>
                <w:lang w:val="en-AU"/>
              </w:rPr>
              <w:t>.</w:t>
            </w:r>
            <w:r w:rsidRPr="00B918A5">
              <w:rPr>
                <w:rStyle w:val="EndnoteReference"/>
                <w:szCs w:val="20"/>
                <w:lang w:val="en-AU"/>
              </w:rPr>
              <w:endnoteReference w:id="38"/>
            </w:r>
          </w:p>
        </w:tc>
      </w:tr>
      <w:tr w:rsidR="00814869" w:rsidRPr="006A24D8" w14:paraId="09D2321A" w14:textId="77777777" w:rsidTr="00976FAD">
        <w:tc>
          <w:tcPr>
            <w:tcW w:w="3095" w:type="dxa"/>
            <w:vMerge/>
            <w:shd w:val="clear" w:color="auto" w:fill="DBE5F1" w:themeFill="accent1" w:themeFillTint="33"/>
          </w:tcPr>
          <w:p w14:paraId="6918C728" w14:textId="77777777" w:rsidR="00814869" w:rsidRPr="00B918A5" w:rsidRDefault="00814869" w:rsidP="004076AC">
            <w:pPr>
              <w:widowControl w:val="0"/>
              <w:autoSpaceDE w:val="0"/>
              <w:autoSpaceDN w:val="0"/>
              <w:adjustRightInd w:val="0"/>
              <w:spacing w:after="0"/>
              <w:rPr>
                <w:rFonts w:asciiTheme="majorHAnsi" w:hAnsiTheme="majorHAnsi"/>
                <w:sz w:val="20"/>
                <w:szCs w:val="20"/>
                <w:lang w:val="en-AU"/>
              </w:rPr>
            </w:pPr>
          </w:p>
        </w:tc>
        <w:tc>
          <w:tcPr>
            <w:tcW w:w="6191" w:type="dxa"/>
            <w:gridSpan w:val="2"/>
            <w:shd w:val="clear" w:color="auto" w:fill="DBE5F1" w:themeFill="accent1" w:themeFillTint="33"/>
          </w:tcPr>
          <w:p w14:paraId="769D40F7" w14:textId="77777777" w:rsidR="00814869" w:rsidRPr="00B918A5" w:rsidRDefault="00814869" w:rsidP="004076AC">
            <w:pPr>
              <w:widowControl w:val="0"/>
              <w:autoSpaceDE w:val="0"/>
              <w:autoSpaceDN w:val="0"/>
              <w:adjustRightInd w:val="0"/>
              <w:spacing w:after="0"/>
              <w:jc w:val="center"/>
              <w:rPr>
                <w:rFonts w:asciiTheme="majorHAnsi" w:hAnsiTheme="majorHAnsi"/>
                <w:i/>
                <w:sz w:val="20"/>
                <w:szCs w:val="20"/>
                <w:lang w:val="en-AU"/>
              </w:rPr>
            </w:pPr>
            <w:r w:rsidRPr="00B918A5">
              <w:rPr>
                <w:rFonts w:asciiTheme="majorHAnsi" w:hAnsiTheme="majorHAnsi"/>
                <w:i/>
                <w:sz w:val="20"/>
                <w:szCs w:val="20"/>
                <w:lang w:val="en-AU"/>
              </w:rPr>
              <w:t>Lower than normal levels of ‘good’ HDL cholesterol</w:t>
            </w:r>
          </w:p>
        </w:tc>
      </w:tr>
      <w:tr w:rsidR="00814869" w:rsidRPr="006A24D8" w14:paraId="75770433" w14:textId="77777777" w:rsidTr="00976FAD">
        <w:tc>
          <w:tcPr>
            <w:tcW w:w="3095" w:type="dxa"/>
            <w:vMerge/>
            <w:shd w:val="clear" w:color="auto" w:fill="DBE5F1" w:themeFill="accent1" w:themeFillTint="33"/>
          </w:tcPr>
          <w:p w14:paraId="5FD8D859" w14:textId="77777777" w:rsidR="00814869" w:rsidRPr="00B918A5" w:rsidRDefault="00814869" w:rsidP="004076AC">
            <w:pPr>
              <w:widowControl w:val="0"/>
              <w:autoSpaceDE w:val="0"/>
              <w:autoSpaceDN w:val="0"/>
              <w:adjustRightInd w:val="0"/>
              <w:spacing w:after="0"/>
              <w:rPr>
                <w:rFonts w:asciiTheme="majorHAnsi" w:hAnsiTheme="majorHAnsi"/>
                <w:sz w:val="20"/>
                <w:szCs w:val="20"/>
                <w:lang w:val="en-AU"/>
              </w:rPr>
            </w:pPr>
          </w:p>
        </w:tc>
        <w:tc>
          <w:tcPr>
            <w:tcW w:w="3095" w:type="dxa"/>
          </w:tcPr>
          <w:p w14:paraId="1CF0C46C" w14:textId="77777777" w:rsidR="00814869" w:rsidRPr="00B918A5" w:rsidRDefault="00814869" w:rsidP="00976FAD">
            <w:pPr>
              <w:widowControl w:val="0"/>
              <w:autoSpaceDE w:val="0"/>
              <w:autoSpaceDN w:val="0"/>
              <w:adjustRightInd w:val="0"/>
              <w:spacing w:after="0"/>
              <w:jc w:val="center"/>
              <w:rPr>
                <w:rFonts w:asciiTheme="majorHAnsi" w:hAnsiTheme="majorHAnsi"/>
                <w:sz w:val="20"/>
                <w:szCs w:val="20"/>
                <w:lang w:val="en-AU"/>
              </w:rPr>
            </w:pPr>
            <w:r w:rsidRPr="00B918A5">
              <w:rPr>
                <w:rFonts w:asciiTheme="majorHAnsi" w:hAnsiTheme="majorHAnsi"/>
                <w:sz w:val="20"/>
                <w:szCs w:val="20"/>
                <w:lang w:val="en-AU"/>
              </w:rPr>
              <w:t>46.8 percent of those aged 35–44 years</w:t>
            </w:r>
            <w:r w:rsidR="00B918A5">
              <w:rPr>
                <w:rFonts w:asciiTheme="majorHAnsi" w:hAnsiTheme="majorHAnsi"/>
                <w:sz w:val="20"/>
                <w:szCs w:val="20"/>
                <w:lang w:val="en-AU"/>
              </w:rPr>
              <w:t>.</w:t>
            </w:r>
            <w:r w:rsidRPr="00B918A5">
              <w:rPr>
                <w:rStyle w:val="EndnoteReference"/>
                <w:szCs w:val="20"/>
                <w:lang w:val="en-AU"/>
              </w:rPr>
              <w:endnoteReference w:id="39"/>
            </w:r>
          </w:p>
        </w:tc>
        <w:tc>
          <w:tcPr>
            <w:tcW w:w="3096" w:type="dxa"/>
          </w:tcPr>
          <w:p w14:paraId="5BAC20E6" w14:textId="77777777" w:rsidR="00814869" w:rsidRPr="00B918A5" w:rsidRDefault="00814869" w:rsidP="00976FAD">
            <w:pPr>
              <w:widowControl w:val="0"/>
              <w:autoSpaceDE w:val="0"/>
              <w:autoSpaceDN w:val="0"/>
              <w:adjustRightInd w:val="0"/>
              <w:spacing w:after="0"/>
              <w:jc w:val="center"/>
              <w:rPr>
                <w:rFonts w:asciiTheme="majorHAnsi" w:hAnsiTheme="majorHAnsi"/>
                <w:sz w:val="20"/>
                <w:szCs w:val="20"/>
                <w:lang w:val="en-AU"/>
              </w:rPr>
            </w:pPr>
            <w:r w:rsidRPr="00B918A5">
              <w:rPr>
                <w:rFonts w:asciiTheme="majorHAnsi" w:hAnsiTheme="majorHAnsi"/>
                <w:sz w:val="20"/>
                <w:szCs w:val="20"/>
                <w:lang w:val="en-AU"/>
              </w:rPr>
              <w:t>24.5 percent of those aged 35–44 years</w:t>
            </w:r>
            <w:r w:rsidR="00B918A5">
              <w:rPr>
                <w:rFonts w:asciiTheme="majorHAnsi" w:hAnsiTheme="majorHAnsi"/>
                <w:sz w:val="20"/>
                <w:szCs w:val="20"/>
                <w:lang w:val="en-AU"/>
              </w:rPr>
              <w:t>.</w:t>
            </w:r>
            <w:r w:rsidRPr="00B918A5">
              <w:rPr>
                <w:rStyle w:val="EndnoteReference"/>
                <w:szCs w:val="20"/>
                <w:lang w:val="en-AU"/>
              </w:rPr>
              <w:endnoteReference w:id="40"/>
            </w:r>
          </w:p>
        </w:tc>
      </w:tr>
    </w:tbl>
    <w:p w14:paraId="71E900E6" w14:textId="77777777" w:rsidR="00814869" w:rsidRPr="00C40AA3" w:rsidRDefault="00814869" w:rsidP="00C40AA3">
      <w:pPr>
        <w:pStyle w:val="Heading3"/>
      </w:pPr>
      <w:bookmarkStart w:id="12" w:name="_Toc409788717"/>
      <w:r w:rsidRPr="00C40AA3">
        <w:t>High levels of undetected and untreated chronic conditions</w:t>
      </w:r>
      <w:bookmarkEnd w:id="12"/>
    </w:p>
    <w:p w14:paraId="12D478CF" w14:textId="1E16FCA8" w:rsidR="00814869" w:rsidRPr="006A24D8" w:rsidRDefault="00814869" w:rsidP="00D74E3D">
      <w:pPr>
        <w:pStyle w:val="NormalWeb"/>
        <w:spacing w:before="240" w:after="240"/>
        <w:rPr>
          <w:rFonts w:ascii="Arial" w:eastAsia="Times New Roman" w:hAnsi="Arial" w:cs="Arial"/>
          <w:sz w:val="20"/>
          <w:szCs w:val="20"/>
          <w:lang w:val="en-AU"/>
        </w:rPr>
      </w:pPr>
      <w:r w:rsidRPr="00B918A5">
        <w:rPr>
          <w:rFonts w:asciiTheme="majorHAnsi" w:hAnsiTheme="majorHAnsi"/>
          <w:lang w:val="en-AU"/>
        </w:rPr>
        <w:t xml:space="preserve">Perhaps the most disturbing results of the </w:t>
      </w:r>
      <w:r w:rsidR="00BA3963" w:rsidRPr="00BA3963">
        <w:rPr>
          <w:rFonts w:asciiTheme="majorHAnsi" w:hAnsiTheme="majorHAnsi"/>
          <w:lang w:val="en-AU"/>
        </w:rPr>
        <w:t xml:space="preserve">NATSIHMS </w:t>
      </w:r>
      <w:r w:rsidRPr="00B918A5">
        <w:rPr>
          <w:rFonts w:asciiTheme="majorHAnsi" w:hAnsiTheme="majorHAnsi"/>
          <w:lang w:val="en-AU"/>
        </w:rPr>
        <w:t>w</w:t>
      </w:r>
      <w:r w:rsidR="002975ED">
        <w:rPr>
          <w:rFonts w:asciiTheme="majorHAnsi" w:hAnsiTheme="majorHAnsi"/>
          <w:lang w:val="en-AU"/>
        </w:rPr>
        <w:t xml:space="preserve">ere </w:t>
      </w:r>
      <w:r w:rsidRPr="00B918A5">
        <w:rPr>
          <w:rFonts w:asciiTheme="majorHAnsi" w:hAnsiTheme="majorHAnsi"/>
          <w:lang w:val="en-AU"/>
        </w:rPr>
        <w:t>the high levels o</w:t>
      </w:r>
      <w:r w:rsidR="009A2D42">
        <w:rPr>
          <w:rFonts w:asciiTheme="majorHAnsi" w:hAnsiTheme="majorHAnsi"/>
          <w:lang w:val="en-AU"/>
        </w:rPr>
        <w:t>f undetected chronic conditions. These finding</w:t>
      </w:r>
      <w:r w:rsidR="00ED0CA0">
        <w:rPr>
          <w:rFonts w:asciiTheme="majorHAnsi" w:hAnsiTheme="majorHAnsi"/>
          <w:lang w:val="en-AU"/>
        </w:rPr>
        <w:t>s</w:t>
      </w:r>
      <w:r w:rsidR="009A2D42">
        <w:rPr>
          <w:rFonts w:asciiTheme="majorHAnsi" w:hAnsiTheme="majorHAnsi"/>
          <w:lang w:val="en-AU"/>
        </w:rPr>
        <w:t xml:space="preserve"> demonstrate the need to increase Aboriginal and Torres Strait Islander access to appropriate health services to prevent, detect and treat these chronic conditions. </w:t>
      </w:r>
    </w:p>
    <w:p w14:paraId="7C2B5D69" w14:textId="77777777" w:rsidR="00814869" w:rsidRPr="00B918A5" w:rsidRDefault="00814869" w:rsidP="00644563">
      <w:pPr>
        <w:numPr>
          <w:ilvl w:val="0"/>
          <w:numId w:val="32"/>
        </w:numPr>
        <w:spacing w:before="120" w:after="120"/>
        <w:rPr>
          <w:rFonts w:cs="Calibri"/>
          <w:lang w:val="en-AU"/>
        </w:rPr>
      </w:pPr>
      <w:r w:rsidRPr="00B918A5">
        <w:rPr>
          <w:rFonts w:cs="Calibri"/>
          <w:lang w:val="en-AU"/>
        </w:rPr>
        <w:t xml:space="preserve">One in five (20.4 percent) participants had high blood pressure (systolic or diastolic blood pressure equal to or greater than 140/90 mmHg). Of these, </w:t>
      </w:r>
      <w:r w:rsidRPr="00B918A5">
        <w:rPr>
          <w:rFonts w:cs="Calibri"/>
          <w:bCs/>
          <w:iCs/>
          <w:lang w:val="en-AU"/>
        </w:rPr>
        <w:t>four in five (79.4 percent) did not report high blood pressure as a long-term health condition</w:t>
      </w:r>
      <w:r w:rsidR="005E74EA">
        <w:rPr>
          <w:rFonts w:cs="Calibri"/>
          <w:lang w:val="en-AU"/>
        </w:rPr>
        <w:t>;</w:t>
      </w:r>
      <w:r w:rsidRPr="00B918A5">
        <w:rPr>
          <w:rStyle w:val="EndnoteReference"/>
          <w:rFonts w:cs="Calibri"/>
          <w:lang w:val="en-AU"/>
        </w:rPr>
        <w:endnoteReference w:id="41"/>
      </w:r>
      <w:r w:rsidRPr="00B918A5">
        <w:rPr>
          <w:rFonts w:cs="Calibri"/>
          <w:lang w:val="en-AU"/>
        </w:rPr>
        <w:t xml:space="preserve">  </w:t>
      </w:r>
    </w:p>
    <w:p w14:paraId="26AB7889" w14:textId="77777777" w:rsidR="00814869" w:rsidRPr="00B918A5" w:rsidRDefault="00814869" w:rsidP="00644563">
      <w:pPr>
        <w:numPr>
          <w:ilvl w:val="0"/>
          <w:numId w:val="32"/>
        </w:numPr>
        <w:spacing w:before="120" w:after="120"/>
        <w:rPr>
          <w:rFonts w:cs="Calibri"/>
          <w:lang w:val="en-AU"/>
        </w:rPr>
      </w:pPr>
      <w:r w:rsidRPr="00B918A5">
        <w:rPr>
          <w:rFonts w:cs="Calibri"/>
          <w:lang w:val="en-AU"/>
        </w:rPr>
        <w:t>Nearly one in five (17.9%) had signs of chronic kidney disease, but of these</w:t>
      </w:r>
      <w:r w:rsidR="0049665C" w:rsidRPr="00B918A5">
        <w:rPr>
          <w:rFonts w:cs="Calibri"/>
          <w:lang w:val="en-AU"/>
        </w:rPr>
        <w:t>,</w:t>
      </w:r>
      <w:r w:rsidRPr="00B918A5">
        <w:rPr>
          <w:rFonts w:cs="Calibri"/>
          <w:lang w:val="en-AU"/>
        </w:rPr>
        <w:t xml:space="preserve"> </w:t>
      </w:r>
      <w:r w:rsidRPr="00B918A5">
        <w:rPr>
          <w:rFonts w:cs="Calibri"/>
          <w:bCs/>
          <w:iCs/>
          <w:lang w:val="en-AU"/>
        </w:rPr>
        <w:t>nine in ten didn’t know they had these signs</w:t>
      </w:r>
      <w:r w:rsidR="005E74EA">
        <w:rPr>
          <w:rFonts w:cs="Calibri"/>
          <w:bCs/>
          <w:iCs/>
          <w:lang w:val="en-AU"/>
        </w:rPr>
        <w:t>;</w:t>
      </w:r>
      <w:r w:rsidRPr="00B918A5">
        <w:rPr>
          <w:rStyle w:val="EndnoteReference"/>
          <w:rFonts w:cs="Calibri"/>
          <w:lang w:val="en-AU"/>
        </w:rPr>
        <w:endnoteReference w:id="42"/>
      </w:r>
    </w:p>
    <w:p w14:paraId="1B3BEF1F" w14:textId="6260F136" w:rsidR="00814869" w:rsidRPr="00B918A5" w:rsidRDefault="00814869" w:rsidP="00644563">
      <w:pPr>
        <w:numPr>
          <w:ilvl w:val="0"/>
          <w:numId w:val="32"/>
        </w:numPr>
        <w:spacing w:before="120" w:after="120"/>
        <w:rPr>
          <w:rFonts w:cs="Calibri"/>
          <w:lang w:val="en-AU"/>
        </w:rPr>
      </w:pPr>
      <w:r w:rsidRPr="00B918A5">
        <w:rPr>
          <w:rFonts w:cs="Calibri"/>
          <w:lang w:val="en-AU"/>
        </w:rPr>
        <w:t xml:space="preserve">One in four adults (25 percent) had abnormal or high total cholesterol levels according to their blood test results. Yet of these, </w:t>
      </w:r>
      <w:r w:rsidRPr="00B918A5">
        <w:rPr>
          <w:rFonts w:cs="Calibri"/>
          <w:bCs/>
          <w:lang w:val="en-AU"/>
        </w:rPr>
        <w:t>only one in ten people (9.1 percent) from this group self-reported having high cholesterol as a current long-term health condition</w:t>
      </w:r>
      <w:r w:rsidRPr="00B918A5">
        <w:rPr>
          <w:rFonts w:cs="Calibri"/>
          <w:lang w:val="en-AU"/>
        </w:rPr>
        <w:t xml:space="preserve">. While this was similar to the rate found in the non-Indigenous population (10.1 percent), it nonetheless suggests that </w:t>
      </w:r>
      <w:r w:rsidRPr="00B918A5">
        <w:rPr>
          <w:rFonts w:cs="Calibri"/>
          <w:bCs/>
          <w:iCs/>
          <w:lang w:val="en-AU"/>
        </w:rPr>
        <w:t>the majority of Aboriginal and Torres Strait Islander people with high total cholesterol results are either unaware that they have the condition or did not consider it to be a long-term or current problem</w:t>
      </w:r>
      <w:r w:rsidR="005E74EA">
        <w:rPr>
          <w:rFonts w:cs="Calibri"/>
          <w:bCs/>
          <w:iCs/>
          <w:lang w:val="en-AU"/>
        </w:rPr>
        <w:t>;</w:t>
      </w:r>
      <w:r w:rsidRPr="00B918A5">
        <w:rPr>
          <w:rStyle w:val="EndnoteReference"/>
          <w:rFonts w:cs="Calibri"/>
          <w:lang w:val="en-AU"/>
        </w:rPr>
        <w:endnoteReference w:id="43"/>
      </w:r>
      <w:r w:rsidR="005E74EA">
        <w:rPr>
          <w:rFonts w:cs="Calibri"/>
          <w:bCs/>
          <w:iCs/>
          <w:lang w:val="en-AU"/>
        </w:rPr>
        <w:t xml:space="preserve"> and</w:t>
      </w:r>
    </w:p>
    <w:p w14:paraId="65513973" w14:textId="77777777" w:rsidR="00814869" w:rsidRPr="00B918A5" w:rsidRDefault="00814869" w:rsidP="00644563">
      <w:pPr>
        <w:numPr>
          <w:ilvl w:val="0"/>
          <w:numId w:val="32"/>
        </w:numPr>
        <w:spacing w:before="120" w:after="120"/>
        <w:rPr>
          <w:rFonts w:asciiTheme="majorHAnsi" w:hAnsiTheme="majorHAnsi"/>
          <w:lang w:val="en-AU"/>
        </w:rPr>
      </w:pPr>
      <w:r w:rsidRPr="00B918A5">
        <w:rPr>
          <w:rFonts w:asciiTheme="majorHAnsi" w:hAnsiTheme="majorHAnsi"/>
          <w:lang w:val="en-AU"/>
        </w:rPr>
        <w:t>Overall, 11 percent of all participants were detected with diabetes.</w:t>
      </w:r>
      <w:r w:rsidRPr="00B918A5">
        <w:rPr>
          <w:rStyle w:val="EndnoteReference"/>
          <w:szCs w:val="20"/>
          <w:lang w:val="en-AU"/>
        </w:rPr>
        <w:endnoteReference w:id="44"/>
      </w:r>
      <w:r w:rsidRPr="00B918A5">
        <w:rPr>
          <w:rFonts w:asciiTheme="majorHAnsi" w:hAnsiTheme="majorHAnsi"/>
          <w:lang w:val="en-AU"/>
        </w:rPr>
        <w:t xml:space="preserve"> While 9.6 percent had a </w:t>
      </w:r>
      <w:r w:rsidR="0049665C" w:rsidRPr="00B918A5">
        <w:rPr>
          <w:rFonts w:asciiTheme="majorHAnsi" w:hAnsiTheme="majorHAnsi"/>
          <w:lang w:val="en-AU"/>
        </w:rPr>
        <w:t>diagnosis, 1.5 percent had not.</w:t>
      </w:r>
      <w:r w:rsidRPr="00B918A5">
        <w:rPr>
          <w:rStyle w:val="EndnoteReference"/>
          <w:szCs w:val="20"/>
          <w:lang w:val="en-AU"/>
        </w:rPr>
        <w:endnoteReference w:id="45"/>
      </w:r>
      <w:r w:rsidRPr="00B918A5">
        <w:rPr>
          <w:rFonts w:asciiTheme="majorHAnsi" w:hAnsiTheme="majorHAnsi"/>
          <w:lang w:val="en-AU"/>
        </w:rPr>
        <w:t xml:space="preserve"> Almost five percent of additional participants were found to be at high risk of diabetes.</w:t>
      </w:r>
      <w:r w:rsidRPr="00B918A5">
        <w:rPr>
          <w:rStyle w:val="EndnoteReference"/>
          <w:szCs w:val="20"/>
          <w:lang w:val="en-AU"/>
        </w:rPr>
        <w:endnoteReference w:id="46"/>
      </w:r>
    </w:p>
    <w:p w14:paraId="7815CBAA" w14:textId="77777777" w:rsidR="00814869" w:rsidRPr="00B918A5" w:rsidRDefault="00814869" w:rsidP="0062663C">
      <w:pPr>
        <w:widowControl w:val="0"/>
        <w:autoSpaceDE w:val="0"/>
        <w:autoSpaceDN w:val="0"/>
        <w:adjustRightInd w:val="0"/>
        <w:spacing w:before="240" w:after="240"/>
        <w:rPr>
          <w:rFonts w:asciiTheme="majorHAnsi" w:hAnsiTheme="majorHAnsi"/>
          <w:lang w:val="en-AU"/>
        </w:rPr>
      </w:pPr>
      <w:r w:rsidRPr="00B918A5">
        <w:rPr>
          <w:rFonts w:asciiTheme="majorHAnsi" w:hAnsiTheme="majorHAnsi"/>
          <w:lang w:val="en-AU"/>
        </w:rPr>
        <w:t xml:space="preserve">The </w:t>
      </w:r>
      <w:r w:rsidR="00BE79AA" w:rsidRPr="00BE79AA">
        <w:rPr>
          <w:rFonts w:asciiTheme="majorHAnsi" w:hAnsiTheme="majorHAnsi"/>
          <w:lang w:val="en-AU"/>
        </w:rPr>
        <w:t xml:space="preserve">NATSIHMS </w:t>
      </w:r>
      <w:r w:rsidRPr="00B918A5">
        <w:rPr>
          <w:rFonts w:asciiTheme="majorHAnsi" w:hAnsiTheme="majorHAnsi"/>
          <w:lang w:val="en-AU"/>
        </w:rPr>
        <w:t xml:space="preserve">also reported that of those who were diagnosed with diabetes, only two in five (38.9 percent) were effectively managing their condition (having </w:t>
      </w:r>
      <w:proofErr w:type="gramStart"/>
      <w:r w:rsidRPr="00B918A5">
        <w:rPr>
          <w:rFonts w:asciiTheme="majorHAnsi" w:hAnsiTheme="majorHAnsi"/>
          <w:lang w:val="en-AU"/>
        </w:rPr>
        <w:t>a</w:t>
      </w:r>
      <w:proofErr w:type="gramEnd"/>
      <w:r w:rsidRPr="00B918A5">
        <w:rPr>
          <w:rFonts w:asciiTheme="majorHAnsi" w:hAnsiTheme="majorHAnsi"/>
          <w:lang w:val="en-AU"/>
        </w:rPr>
        <w:t xml:space="preserve"> HbA1c test result of seven percent or less). </w:t>
      </w:r>
    </w:p>
    <w:p w14:paraId="77331F42" w14:textId="2AE43E4C" w:rsidR="00814869" w:rsidRDefault="00134B54" w:rsidP="00F95CCA">
      <w:pPr>
        <w:pStyle w:val="NormalWeb"/>
        <w:spacing w:before="240" w:after="240"/>
        <w:rPr>
          <w:rFonts w:asciiTheme="majorHAnsi" w:hAnsiTheme="majorHAnsi" w:cs="Calibri"/>
          <w:lang w:val="en-AU"/>
        </w:rPr>
      </w:pPr>
      <w:r>
        <w:rPr>
          <w:rFonts w:asciiTheme="majorHAnsi" w:hAnsiTheme="majorHAnsi" w:cs="Calibri"/>
          <w:lang w:val="en-AU"/>
        </w:rPr>
        <w:lastRenderedPageBreak/>
        <w:t>T</w:t>
      </w:r>
      <w:r w:rsidR="00804E3A" w:rsidRPr="00B918A5">
        <w:rPr>
          <w:rFonts w:asciiTheme="majorHAnsi" w:hAnsiTheme="majorHAnsi" w:cs="Calibri"/>
          <w:lang w:val="en-AU"/>
        </w:rPr>
        <w:t xml:space="preserve">hese results also highlight the very real opportunities for sizeable and rapid health gains through </w:t>
      </w:r>
      <w:r w:rsidR="00BA3963">
        <w:rPr>
          <w:rFonts w:asciiTheme="majorHAnsi" w:hAnsiTheme="majorHAnsi" w:cs="Calibri"/>
          <w:lang w:val="en-AU"/>
        </w:rPr>
        <w:t xml:space="preserve">targeted </w:t>
      </w:r>
      <w:r w:rsidR="00804E3A" w:rsidRPr="00B918A5">
        <w:rPr>
          <w:rFonts w:asciiTheme="majorHAnsi" w:hAnsiTheme="majorHAnsi" w:cs="Calibri"/>
          <w:lang w:val="en-AU"/>
        </w:rPr>
        <w:t>improve</w:t>
      </w:r>
      <w:r w:rsidR="00BA3963">
        <w:rPr>
          <w:rFonts w:asciiTheme="majorHAnsi" w:hAnsiTheme="majorHAnsi" w:cs="Calibri"/>
          <w:lang w:val="en-AU"/>
        </w:rPr>
        <w:t>ments to primary</w:t>
      </w:r>
      <w:r w:rsidR="00804E3A" w:rsidRPr="00B918A5">
        <w:rPr>
          <w:rFonts w:asciiTheme="majorHAnsi" w:hAnsiTheme="majorHAnsi" w:cs="Calibri"/>
          <w:lang w:val="en-AU"/>
        </w:rPr>
        <w:t xml:space="preserve"> </w:t>
      </w:r>
      <w:r w:rsidR="00BA3963">
        <w:rPr>
          <w:rFonts w:asciiTheme="majorHAnsi" w:hAnsiTheme="majorHAnsi" w:cs="Calibri"/>
          <w:lang w:val="en-AU"/>
        </w:rPr>
        <w:t xml:space="preserve">and other </w:t>
      </w:r>
      <w:r w:rsidR="00814869" w:rsidRPr="00B918A5">
        <w:rPr>
          <w:rFonts w:asciiTheme="majorHAnsi" w:hAnsiTheme="majorHAnsi" w:cs="Calibri"/>
          <w:lang w:val="en-AU"/>
        </w:rPr>
        <w:t xml:space="preserve">health services to </w:t>
      </w:r>
      <w:r w:rsidR="00804E3A" w:rsidRPr="00B918A5">
        <w:rPr>
          <w:rFonts w:asciiTheme="majorHAnsi" w:hAnsiTheme="majorHAnsi" w:cs="Calibri"/>
          <w:lang w:val="en-AU"/>
        </w:rPr>
        <w:t xml:space="preserve">prevent, </w:t>
      </w:r>
      <w:r w:rsidR="00814869" w:rsidRPr="00B918A5">
        <w:rPr>
          <w:rFonts w:asciiTheme="majorHAnsi" w:hAnsiTheme="majorHAnsi" w:cs="Calibri"/>
          <w:lang w:val="en-AU"/>
        </w:rPr>
        <w:t>detect</w:t>
      </w:r>
      <w:r w:rsidR="00804E3A" w:rsidRPr="00B918A5">
        <w:rPr>
          <w:rFonts w:asciiTheme="majorHAnsi" w:hAnsiTheme="majorHAnsi" w:cs="Calibri"/>
          <w:lang w:val="en-AU"/>
        </w:rPr>
        <w:t xml:space="preserve"> and treat</w:t>
      </w:r>
      <w:r w:rsidR="00814869" w:rsidRPr="00B918A5">
        <w:rPr>
          <w:rFonts w:asciiTheme="majorHAnsi" w:hAnsiTheme="majorHAnsi" w:cs="Calibri"/>
          <w:lang w:val="en-AU"/>
        </w:rPr>
        <w:t xml:space="preserve"> these conditions</w:t>
      </w:r>
      <w:r w:rsidR="00804E3A" w:rsidRPr="00B918A5">
        <w:rPr>
          <w:rFonts w:asciiTheme="majorHAnsi" w:hAnsiTheme="majorHAnsi" w:cs="Calibri"/>
          <w:lang w:val="en-AU"/>
        </w:rPr>
        <w:t xml:space="preserve">. </w:t>
      </w:r>
      <w:r w:rsidR="002975ED">
        <w:rPr>
          <w:rFonts w:asciiTheme="majorHAnsi" w:hAnsiTheme="majorHAnsi" w:cs="Calibri"/>
          <w:lang w:val="en-AU"/>
        </w:rPr>
        <w:t>In particular, and</w:t>
      </w:r>
      <w:r w:rsidR="00814869" w:rsidRPr="00B918A5">
        <w:rPr>
          <w:rFonts w:asciiTheme="majorHAnsi" w:hAnsiTheme="majorHAnsi" w:cs="Calibri"/>
          <w:lang w:val="en-AU"/>
        </w:rPr>
        <w:t xml:space="preserve"> discussed later, </w:t>
      </w:r>
      <w:r w:rsidR="002975ED">
        <w:rPr>
          <w:rFonts w:asciiTheme="majorHAnsi" w:hAnsiTheme="majorHAnsi" w:cs="Calibri"/>
          <w:lang w:val="en-AU"/>
        </w:rPr>
        <w:t xml:space="preserve">these results underscore </w:t>
      </w:r>
      <w:r w:rsidR="00814869" w:rsidRPr="00B918A5">
        <w:rPr>
          <w:rFonts w:asciiTheme="majorHAnsi" w:hAnsiTheme="majorHAnsi" w:cs="Calibri"/>
          <w:lang w:val="en-AU"/>
        </w:rPr>
        <w:t xml:space="preserve">the big difference that improved and enhanced ACCHS could make </w:t>
      </w:r>
      <w:r w:rsidR="002975ED">
        <w:rPr>
          <w:rFonts w:asciiTheme="majorHAnsi" w:hAnsiTheme="majorHAnsi" w:cs="Calibri"/>
          <w:lang w:val="en-AU"/>
        </w:rPr>
        <w:t>in this area</w:t>
      </w:r>
      <w:r w:rsidR="00814869" w:rsidRPr="00B918A5">
        <w:rPr>
          <w:rFonts w:asciiTheme="majorHAnsi" w:hAnsiTheme="majorHAnsi" w:cs="Calibri"/>
          <w:lang w:val="en-AU"/>
        </w:rPr>
        <w:t xml:space="preserve">. The ACCHS are already </w:t>
      </w:r>
      <w:r w:rsidR="00BD4EA5">
        <w:rPr>
          <w:rFonts w:asciiTheme="majorHAnsi" w:hAnsiTheme="majorHAnsi" w:cs="Calibri"/>
          <w:lang w:val="en-AU"/>
        </w:rPr>
        <w:t>out-</w:t>
      </w:r>
      <w:r w:rsidR="00814869" w:rsidRPr="00B918A5">
        <w:rPr>
          <w:rFonts w:asciiTheme="majorHAnsi" w:hAnsiTheme="majorHAnsi" w:cs="Calibri"/>
          <w:lang w:val="en-AU"/>
        </w:rPr>
        <w:t xml:space="preserve">performing </w:t>
      </w:r>
      <w:r w:rsidR="00BD4EA5">
        <w:rPr>
          <w:rFonts w:asciiTheme="majorHAnsi" w:hAnsiTheme="majorHAnsi" w:cs="Calibri"/>
          <w:lang w:val="en-AU"/>
        </w:rPr>
        <w:t>other services in</w:t>
      </w:r>
      <w:r w:rsidR="00814869" w:rsidRPr="00B918A5">
        <w:rPr>
          <w:rFonts w:asciiTheme="majorHAnsi" w:hAnsiTheme="majorHAnsi" w:cs="Calibri"/>
          <w:lang w:val="en-AU"/>
        </w:rPr>
        <w:t xml:space="preserve"> reduc</w:t>
      </w:r>
      <w:r w:rsidR="00BD4EA5">
        <w:rPr>
          <w:rFonts w:asciiTheme="majorHAnsi" w:hAnsiTheme="majorHAnsi" w:cs="Calibri"/>
          <w:lang w:val="en-AU"/>
        </w:rPr>
        <w:t>ing</w:t>
      </w:r>
      <w:r w:rsidR="00814869" w:rsidRPr="00B918A5">
        <w:rPr>
          <w:rFonts w:asciiTheme="majorHAnsi" w:hAnsiTheme="majorHAnsi" w:cs="Calibri"/>
          <w:lang w:val="en-AU"/>
        </w:rPr>
        <w:t xml:space="preserve"> the impact of chronic disease among Aboriginal an</w:t>
      </w:r>
      <w:r w:rsidR="00BD4EA5">
        <w:rPr>
          <w:rFonts w:asciiTheme="majorHAnsi" w:hAnsiTheme="majorHAnsi" w:cs="Calibri"/>
          <w:lang w:val="en-AU"/>
        </w:rPr>
        <w:t>d Torres Strait Islander people</w:t>
      </w:r>
      <w:r w:rsidR="00B918A5">
        <w:rPr>
          <w:rFonts w:asciiTheme="majorHAnsi" w:hAnsiTheme="majorHAnsi" w:cs="Calibri"/>
          <w:lang w:val="en-AU"/>
        </w:rPr>
        <w:t>,</w:t>
      </w:r>
      <w:r w:rsidR="00161B44" w:rsidRPr="00B918A5">
        <w:rPr>
          <w:rStyle w:val="EndnoteReference"/>
          <w:rFonts w:cs="Calibri"/>
          <w:lang w:val="en-AU"/>
        </w:rPr>
        <w:endnoteReference w:id="47"/>
      </w:r>
      <w:r w:rsidR="00814869" w:rsidRPr="00B918A5">
        <w:rPr>
          <w:rFonts w:asciiTheme="majorHAnsi" w:hAnsiTheme="majorHAnsi" w:cs="Calibri"/>
          <w:lang w:val="en-AU"/>
        </w:rPr>
        <w:t xml:space="preserve"> and that existing strength should be built upon. </w:t>
      </w:r>
    </w:p>
    <w:tbl>
      <w:tblPr>
        <w:tblStyle w:val="TableGrid"/>
        <w:tblW w:w="0" w:type="auto"/>
        <w:shd w:val="pct12" w:color="auto" w:fill="auto"/>
        <w:tblLook w:val="04A0" w:firstRow="1" w:lastRow="0" w:firstColumn="1" w:lastColumn="0" w:noHBand="0" w:noVBand="1"/>
      </w:tblPr>
      <w:tblGrid>
        <w:gridCol w:w="9286"/>
      </w:tblGrid>
      <w:tr w:rsidR="00BA3963" w14:paraId="664E7CAE" w14:textId="77777777" w:rsidTr="00EE0DE5">
        <w:tc>
          <w:tcPr>
            <w:tcW w:w="9286" w:type="dxa"/>
            <w:shd w:val="pct12" w:color="auto" w:fill="auto"/>
          </w:tcPr>
          <w:p w14:paraId="40A3C878" w14:textId="0835890D" w:rsidR="00BA3963" w:rsidRPr="00D1781A" w:rsidRDefault="00BA3963" w:rsidP="00EE0DE5">
            <w:pPr>
              <w:pStyle w:val="NormalWeb"/>
              <w:spacing w:after="0"/>
              <w:rPr>
                <w:rFonts w:cs="Calibri"/>
                <w:bCs/>
                <w:color w:val="000000"/>
                <w:lang w:val="en-AU"/>
              </w:rPr>
            </w:pPr>
            <w:r w:rsidRPr="00D1781A">
              <w:rPr>
                <w:rFonts w:asciiTheme="majorHAnsi" w:hAnsiTheme="majorHAnsi" w:cs="Calibri"/>
                <w:b/>
                <w:lang w:val="en-AU"/>
              </w:rPr>
              <w:t>Recommendation 1</w:t>
            </w:r>
            <w:r w:rsidR="00EE0DE5">
              <w:rPr>
                <w:rFonts w:asciiTheme="majorHAnsi" w:hAnsiTheme="majorHAnsi" w:cs="Calibri"/>
                <w:b/>
                <w:lang w:val="en-AU"/>
              </w:rPr>
              <w:t xml:space="preserve">: </w:t>
            </w:r>
            <w:r w:rsidRPr="00D1781A">
              <w:rPr>
                <w:rFonts w:asciiTheme="majorHAnsi" w:hAnsiTheme="majorHAnsi"/>
                <w:b/>
                <w:lang w:val="en-AU"/>
              </w:rPr>
              <w:t>That the findings of the</w:t>
            </w:r>
            <w:r w:rsidRPr="00D1781A">
              <w:rPr>
                <w:rFonts w:asciiTheme="majorHAnsi" w:eastAsia="Times New Roman" w:hAnsiTheme="majorHAnsi" w:cs="Tahoma"/>
                <w:b/>
              </w:rPr>
              <w:t xml:space="preserve"> </w:t>
            </w:r>
            <w:r w:rsidRPr="00D1781A">
              <w:rPr>
                <w:rFonts w:asciiTheme="majorHAnsi" w:hAnsiTheme="majorHAnsi"/>
                <w:b/>
                <w:i/>
                <w:lang w:val="en-AU"/>
              </w:rPr>
              <w:t>National Aboriginal and Torres Strait Islander Health Measures Survey</w:t>
            </w:r>
            <w:r w:rsidRPr="00D1781A">
              <w:rPr>
                <w:rFonts w:asciiTheme="majorHAnsi" w:hAnsiTheme="majorHAnsi"/>
                <w:b/>
                <w:lang w:val="en-AU"/>
              </w:rPr>
              <w:t xml:space="preserve"> </w:t>
            </w:r>
            <w:r w:rsidR="00FF1EE2">
              <w:rPr>
                <w:rFonts w:asciiTheme="majorHAnsi" w:hAnsiTheme="majorHAnsi"/>
                <w:b/>
                <w:lang w:val="en-AU"/>
              </w:rPr>
              <w:t xml:space="preserve">(NATSIMHS) </w:t>
            </w:r>
            <w:r w:rsidRPr="00D1781A">
              <w:rPr>
                <w:rFonts w:asciiTheme="majorHAnsi" w:hAnsiTheme="majorHAnsi"/>
                <w:b/>
                <w:lang w:val="en-AU"/>
              </w:rPr>
              <w:t>are used to</w:t>
            </w:r>
            <w:r w:rsidRPr="00D1781A">
              <w:rPr>
                <w:rFonts w:asciiTheme="majorHAnsi" w:eastAsia="Times New Roman" w:hAnsiTheme="majorHAnsi" w:cs="Tahoma"/>
                <w:b/>
              </w:rPr>
              <w:t xml:space="preserve"> better target chronic conditions that are undetected in the Aboriginal and Torres Strait Islander population. In particular, </w:t>
            </w:r>
            <w:r w:rsidRPr="00C40AA3">
              <w:rPr>
                <w:rFonts w:asciiTheme="majorHAnsi" w:eastAsia="Times New Roman" w:hAnsiTheme="majorHAnsi" w:cs="Tahoma"/>
                <w:b/>
                <w:bCs/>
              </w:rPr>
              <w:t>access to appropriate primary health care services to detect, treat and manage these conditions should be increased</w:t>
            </w:r>
            <w:r w:rsidRPr="00C40AA3">
              <w:rPr>
                <w:rFonts w:asciiTheme="majorHAnsi" w:eastAsia="Times New Roman" w:hAnsiTheme="majorHAnsi" w:cs="Tahoma"/>
                <w:bCs/>
              </w:rPr>
              <w:t>.</w:t>
            </w:r>
            <w:r w:rsidRPr="00EE0DE5">
              <w:rPr>
                <w:rFonts w:asciiTheme="majorHAnsi" w:eastAsia="Times New Roman" w:hAnsiTheme="majorHAnsi" w:cs="Tahoma"/>
                <w:bCs/>
              </w:rPr>
              <w:t xml:space="preserve"> </w:t>
            </w:r>
            <w:r w:rsidRPr="00D1781A">
              <w:rPr>
                <w:rFonts w:asciiTheme="majorHAnsi" w:eastAsia="Times New Roman" w:hAnsiTheme="majorHAnsi" w:cs="Tahoma"/>
                <w:b/>
              </w:rPr>
              <w:t>Aboriginal Community Controlled Health Services should be the preferred services for this enhanced, targeted response.</w:t>
            </w:r>
            <w:r w:rsidRPr="00D1781A">
              <w:rPr>
                <w:rFonts w:asciiTheme="majorHAnsi" w:eastAsia="Times New Roman" w:hAnsiTheme="majorHAnsi" w:cs="Tahoma"/>
              </w:rPr>
              <w:t xml:space="preserve"> </w:t>
            </w:r>
          </w:p>
        </w:tc>
      </w:tr>
    </w:tbl>
    <w:p w14:paraId="7F431365" w14:textId="77777777" w:rsidR="00814869" w:rsidRPr="00B918A5" w:rsidRDefault="00814869" w:rsidP="004D225B">
      <w:pPr>
        <w:pStyle w:val="Heading2"/>
        <w:rPr>
          <w:lang w:val="en-AU"/>
        </w:rPr>
      </w:pPr>
      <w:r w:rsidRPr="00B918A5">
        <w:rPr>
          <w:lang w:val="en-AU"/>
        </w:rPr>
        <w:t xml:space="preserve"> </w:t>
      </w:r>
      <w:bookmarkStart w:id="13" w:name="_Toc409788718"/>
      <w:r w:rsidRPr="00B918A5">
        <w:rPr>
          <w:lang w:val="en-AU"/>
        </w:rPr>
        <w:t>Risk factors for chronic disease</w:t>
      </w:r>
      <w:bookmarkEnd w:id="13"/>
    </w:p>
    <w:p w14:paraId="4B4C0399" w14:textId="6982CCAE" w:rsidR="00814869" w:rsidRPr="00B918A5" w:rsidRDefault="0049665C" w:rsidP="00F9560B">
      <w:pPr>
        <w:spacing w:before="240" w:after="240"/>
        <w:rPr>
          <w:rFonts w:asciiTheme="majorHAnsi" w:hAnsiTheme="majorHAnsi"/>
          <w:lang w:val="en-AU"/>
        </w:rPr>
      </w:pPr>
      <w:r w:rsidRPr="00B918A5">
        <w:rPr>
          <w:rFonts w:asciiTheme="majorHAnsi" w:hAnsiTheme="majorHAnsi"/>
          <w:lang w:val="en-AU"/>
        </w:rPr>
        <w:t>In this section, the</w:t>
      </w:r>
      <w:r w:rsidR="00814869" w:rsidRPr="00B918A5">
        <w:rPr>
          <w:rFonts w:asciiTheme="majorHAnsi" w:hAnsiTheme="majorHAnsi"/>
          <w:lang w:val="en-AU"/>
        </w:rPr>
        <w:t xml:space="preserve"> Campaign Steering Committee consider</w:t>
      </w:r>
      <w:r w:rsidR="00353E10" w:rsidRPr="00B918A5">
        <w:rPr>
          <w:rFonts w:asciiTheme="majorHAnsi" w:hAnsiTheme="majorHAnsi"/>
          <w:lang w:val="en-AU"/>
        </w:rPr>
        <w:t>s</w:t>
      </w:r>
      <w:r w:rsidR="00814869" w:rsidRPr="00B918A5">
        <w:rPr>
          <w:rFonts w:asciiTheme="majorHAnsi" w:hAnsiTheme="majorHAnsi"/>
          <w:lang w:val="en-AU"/>
        </w:rPr>
        <w:t xml:space="preserve"> the following chronic disease risk factors: mental health </w:t>
      </w:r>
      <w:r w:rsidR="00E6342B">
        <w:rPr>
          <w:rFonts w:asciiTheme="majorHAnsi" w:hAnsiTheme="majorHAnsi"/>
          <w:lang w:val="en-AU"/>
        </w:rPr>
        <w:t>conditions</w:t>
      </w:r>
      <w:r w:rsidR="00814869" w:rsidRPr="00B918A5">
        <w:rPr>
          <w:rFonts w:asciiTheme="majorHAnsi" w:hAnsiTheme="majorHAnsi"/>
          <w:lang w:val="en-AU"/>
        </w:rPr>
        <w:t xml:space="preserve">; smoking; </w:t>
      </w:r>
      <w:r w:rsidR="00E6342B">
        <w:rPr>
          <w:rFonts w:asciiTheme="majorHAnsi" w:hAnsiTheme="majorHAnsi"/>
          <w:lang w:val="en-AU"/>
        </w:rPr>
        <w:t>excess body weighty</w:t>
      </w:r>
      <w:r w:rsidR="00814869" w:rsidRPr="00B918A5">
        <w:rPr>
          <w:rFonts w:asciiTheme="majorHAnsi" w:hAnsiTheme="majorHAnsi"/>
          <w:lang w:val="en-AU"/>
        </w:rPr>
        <w:t xml:space="preserve"> and obesity; and </w:t>
      </w:r>
      <w:r w:rsidR="00353E10" w:rsidRPr="00B918A5">
        <w:rPr>
          <w:rFonts w:asciiTheme="majorHAnsi" w:hAnsiTheme="majorHAnsi"/>
          <w:lang w:val="en-AU"/>
        </w:rPr>
        <w:t>harmful</w:t>
      </w:r>
      <w:r w:rsidR="00814869" w:rsidRPr="00B918A5">
        <w:rPr>
          <w:rFonts w:asciiTheme="majorHAnsi" w:hAnsiTheme="majorHAnsi"/>
          <w:lang w:val="en-AU"/>
        </w:rPr>
        <w:t xml:space="preserve"> alcohol consumption.</w:t>
      </w:r>
    </w:p>
    <w:p w14:paraId="3E32F2CD" w14:textId="5DA612C3" w:rsidR="00814869" w:rsidRPr="00B918A5" w:rsidRDefault="00814869" w:rsidP="00F9560B">
      <w:pPr>
        <w:pStyle w:val="Heading3"/>
        <w:rPr>
          <w:lang w:val="en-AU"/>
        </w:rPr>
      </w:pPr>
      <w:bookmarkStart w:id="14" w:name="_Toc409788719"/>
      <w:r w:rsidRPr="00B918A5">
        <w:rPr>
          <w:lang w:val="en-AU"/>
        </w:rPr>
        <w:t xml:space="preserve">Mental health </w:t>
      </w:r>
      <w:bookmarkEnd w:id="14"/>
      <w:r w:rsidR="00E6342B">
        <w:rPr>
          <w:lang w:val="en-AU"/>
        </w:rPr>
        <w:t>conditions</w:t>
      </w:r>
      <w:r w:rsidRPr="00B918A5">
        <w:rPr>
          <w:lang w:val="en-AU"/>
        </w:rPr>
        <w:t xml:space="preserve"> </w:t>
      </w:r>
    </w:p>
    <w:p w14:paraId="439983BB" w14:textId="1136C27A" w:rsidR="00814869" w:rsidRPr="00C95782" w:rsidRDefault="00814869" w:rsidP="00F9560B">
      <w:pPr>
        <w:widowControl w:val="0"/>
        <w:autoSpaceDE w:val="0"/>
        <w:autoSpaceDN w:val="0"/>
        <w:adjustRightInd w:val="0"/>
        <w:spacing w:before="240" w:after="240"/>
        <w:rPr>
          <w:rFonts w:asciiTheme="majorHAnsi" w:eastAsia="Times New Roman" w:hAnsiTheme="majorHAnsi" w:cs="Times"/>
          <w:lang w:val="en-AU"/>
        </w:rPr>
      </w:pPr>
      <w:r w:rsidRPr="00B918A5">
        <w:rPr>
          <w:rFonts w:asciiTheme="majorHAnsi" w:hAnsiTheme="majorHAnsi" w:cs="Times"/>
          <w:color w:val="1A1718"/>
          <w:lang w:val="en-AU"/>
        </w:rPr>
        <w:t>Research over the past decade suggests a chain of causation may be present between mental health con</w:t>
      </w:r>
      <w:r w:rsidRPr="00C95782">
        <w:rPr>
          <w:rFonts w:asciiTheme="majorHAnsi" w:hAnsiTheme="majorHAnsi" w:cs="Times"/>
          <w:lang w:val="en-AU"/>
        </w:rPr>
        <w:t xml:space="preserve">ditions (in particular, serious psychological distress) and chronic disease. </w:t>
      </w:r>
      <w:r w:rsidR="00CB4A5C">
        <w:rPr>
          <w:rFonts w:asciiTheme="majorHAnsi" w:hAnsiTheme="majorHAnsi"/>
          <w:lang w:val="en-AU"/>
        </w:rPr>
        <w:t xml:space="preserve">A 2014 study by </w:t>
      </w:r>
      <w:r w:rsidRPr="00C95782">
        <w:rPr>
          <w:rFonts w:asciiTheme="majorHAnsi" w:hAnsiTheme="majorHAnsi"/>
          <w:lang w:val="en-AU"/>
        </w:rPr>
        <w:t xml:space="preserve">Reeve </w:t>
      </w:r>
      <w:r w:rsidR="00CB4A5C">
        <w:rPr>
          <w:rFonts w:asciiTheme="majorHAnsi" w:hAnsiTheme="majorHAnsi"/>
          <w:lang w:val="en-AU"/>
        </w:rPr>
        <w:t>and colleagues</w:t>
      </w:r>
      <w:r w:rsidRPr="00C95782">
        <w:rPr>
          <w:rFonts w:asciiTheme="majorHAnsi" w:hAnsiTheme="majorHAnsi"/>
          <w:lang w:val="en-AU"/>
        </w:rPr>
        <w:t xml:space="preserve"> correlated data from the 2004-2005 ABS </w:t>
      </w:r>
      <w:r w:rsidRPr="00C95782">
        <w:rPr>
          <w:rFonts w:asciiTheme="majorHAnsi" w:hAnsiTheme="majorHAnsi"/>
          <w:i/>
          <w:lang w:val="en-AU"/>
        </w:rPr>
        <w:t>National Aboriginal and Torres Strait Islander Health Survey</w:t>
      </w:r>
      <w:r w:rsidRPr="00C95782">
        <w:rPr>
          <w:rFonts w:asciiTheme="majorHAnsi" w:hAnsiTheme="majorHAnsi"/>
          <w:lang w:val="en-AU"/>
        </w:rPr>
        <w:t xml:space="preserve"> and the 2008 ABS </w:t>
      </w:r>
      <w:r w:rsidRPr="00C95782">
        <w:rPr>
          <w:rFonts w:asciiTheme="majorHAnsi" w:hAnsiTheme="majorHAnsi"/>
          <w:i/>
          <w:lang w:val="en-AU"/>
        </w:rPr>
        <w:t>National Aborig</w:t>
      </w:r>
      <w:r w:rsidR="00224EE0" w:rsidRPr="00C95782">
        <w:rPr>
          <w:rFonts w:asciiTheme="majorHAnsi" w:hAnsiTheme="majorHAnsi"/>
          <w:i/>
          <w:lang w:val="en-AU"/>
        </w:rPr>
        <w:t>inal and Torres Strait I</w:t>
      </w:r>
      <w:r w:rsidRPr="00C95782">
        <w:rPr>
          <w:rFonts w:asciiTheme="majorHAnsi" w:hAnsiTheme="majorHAnsi"/>
          <w:i/>
          <w:lang w:val="en-AU"/>
        </w:rPr>
        <w:t>slander Social Survey</w:t>
      </w:r>
      <w:r w:rsidR="00C95782" w:rsidRPr="00C95782">
        <w:rPr>
          <w:rFonts w:asciiTheme="majorHAnsi" w:hAnsiTheme="majorHAnsi"/>
          <w:lang w:val="en-AU"/>
        </w:rPr>
        <w:t xml:space="preserve"> (NATSISS)</w:t>
      </w:r>
      <w:r w:rsidRPr="00C95782">
        <w:rPr>
          <w:rFonts w:asciiTheme="majorHAnsi" w:hAnsiTheme="majorHAnsi"/>
          <w:lang w:val="en-AU"/>
        </w:rPr>
        <w:t>,</w:t>
      </w:r>
      <w:r w:rsidRPr="00C95782">
        <w:rPr>
          <w:rStyle w:val="EndnoteReference"/>
          <w:lang w:val="en-AU"/>
        </w:rPr>
        <w:endnoteReference w:id="48"/>
      </w:r>
      <w:r w:rsidRPr="00C95782">
        <w:rPr>
          <w:rFonts w:asciiTheme="majorHAnsi" w:hAnsiTheme="majorHAnsi"/>
          <w:lang w:val="en-AU"/>
        </w:rPr>
        <w:t xml:space="preserve"> to make</w:t>
      </w:r>
      <w:r w:rsidRPr="00C95782">
        <w:rPr>
          <w:rFonts w:asciiTheme="majorHAnsi" w:eastAsia="Times New Roman" w:hAnsiTheme="majorHAnsi" w:cs="Times"/>
          <w:lang w:val="en-AU"/>
        </w:rPr>
        <w:t xml:space="preserve"> significant findings as to what was required to close the diabetes gap.</w:t>
      </w:r>
    </w:p>
    <w:p w14:paraId="735F6DEE" w14:textId="77777777" w:rsidR="00814869" w:rsidRPr="00B918A5" w:rsidRDefault="00814869" w:rsidP="00F9560B">
      <w:pPr>
        <w:widowControl w:val="0"/>
        <w:autoSpaceDE w:val="0"/>
        <w:autoSpaceDN w:val="0"/>
        <w:adjustRightInd w:val="0"/>
        <w:spacing w:before="240" w:after="240"/>
        <w:rPr>
          <w:rFonts w:asciiTheme="majorHAnsi" w:hAnsiTheme="majorHAnsi" w:cs="Times"/>
          <w:color w:val="1A1718"/>
          <w:lang w:val="en-AU"/>
        </w:rPr>
      </w:pPr>
      <w:r w:rsidRPr="00C95782">
        <w:rPr>
          <w:rFonts w:asciiTheme="majorHAnsi" w:hAnsiTheme="majorHAnsi" w:cs="Times"/>
          <w:lang w:val="en-AU"/>
        </w:rPr>
        <w:t>Among other findings discussed below, it found an association between people who self-reported diabetes and those who reported the forced removal of relatives. It described the finding as ‘consistent with emerging evidence that serious psychological stress contributes t</w:t>
      </w:r>
      <w:r w:rsidRPr="00B918A5">
        <w:rPr>
          <w:rFonts w:asciiTheme="majorHAnsi" w:hAnsiTheme="majorHAnsi" w:cs="Times"/>
          <w:color w:val="1A1718"/>
          <w:lang w:val="en-AU"/>
        </w:rPr>
        <w:t>o a range of health problems and may be involved in the development of risk factors for metabolic syndrome, including raised blood glucose’.</w:t>
      </w:r>
      <w:r w:rsidRPr="00B918A5">
        <w:rPr>
          <w:rStyle w:val="EndnoteReference"/>
          <w:rFonts w:cs="Times"/>
          <w:color w:val="1A1718"/>
          <w:lang w:val="en-AU"/>
        </w:rPr>
        <w:endnoteReference w:id="49"/>
      </w:r>
      <w:r w:rsidRPr="00B918A5">
        <w:rPr>
          <w:rFonts w:asciiTheme="majorHAnsi" w:hAnsiTheme="majorHAnsi" w:cs="Times"/>
          <w:color w:val="1A1718"/>
          <w:lang w:val="en-AU"/>
        </w:rPr>
        <w:t xml:space="preserve"> </w:t>
      </w:r>
    </w:p>
    <w:p w14:paraId="2F092ADD" w14:textId="77777777" w:rsidR="00814869" w:rsidRPr="00B918A5" w:rsidRDefault="00814869" w:rsidP="00271B91">
      <w:pPr>
        <w:pStyle w:val="NormalWeb"/>
        <w:spacing w:before="240" w:after="240"/>
        <w:rPr>
          <w:rFonts w:asciiTheme="majorHAnsi" w:hAnsiTheme="majorHAnsi" w:cs="Times"/>
          <w:color w:val="1A1718"/>
          <w:lang w:val="en-AU"/>
        </w:rPr>
      </w:pPr>
      <w:r w:rsidRPr="00B918A5">
        <w:rPr>
          <w:rFonts w:asciiTheme="majorHAnsi" w:hAnsiTheme="majorHAnsi" w:cs="Times"/>
          <w:color w:val="1A1718"/>
          <w:lang w:val="en-AU"/>
        </w:rPr>
        <w:t xml:space="preserve">Such emerging evidence includes that from a 2006 international review of </w:t>
      </w:r>
      <w:r w:rsidR="00134B54">
        <w:rPr>
          <w:rFonts w:asciiTheme="majorHAnsi" w:hAnsiTheme="majorHAnsi" w:cs="Times"/>
          <w:color w:val="1A1718"/>
          <w:lang w:val="en-AU"/>
        </w:rPr>
        <w:t>evidence</w:t>
      </w:r>
      <w:r w:rsidRPr="00B918A5">
        <w:rPr>
          <w:rFonts w:asciiTheme="majorHAnsi" w:hAnsiTheme="majorHAnsi" w:cs="Times"/>
          <w:color w:val="1A1718"/>
          <w:lang w:val="en-AU"/>
        </w:rPr>
        <w:t xml:space="preserve"> on the association between stress and chronic disease for Indigenous populations and African Americans by Yin Paradies</w:t>
      </w:r>
      <w:r w:rsidRPr="006A24D8">
        <w:rPr>
          <w:rFonts w:ascii="MyriadPro" w:eastAsia="Times New Roman" w:hAnsi="MyriadPro"/>
          <w:sz w:val="20"/>
          <w:szCs w:val="20"/>
          <w:lang w:val="en-AU"/>
        </w:rPr>
        <w:t>.</w:t>
      </w:r>
      <w:r w:rsidRPr="006A24D8">
        <w:rPr>
          <w:rStyle w:val="EndnoteReference"/>
          <w:rFonts w:eastAsia="Times New Roman"/>
          <w:szCs w:val="20"/>
          <w:lang w:val="en-AU"/>
        </w:rPr>
        <w:endnoteReference w:id="50"/>
      </w:r>
      <w:r w:rsidRPr="006A24D8">
        <w:rPr>
          <w:rFonts w:ascii="MyriadPro" w:eastAsia="Times New Roman" w:hAnsi="MyriadPro"/>
          <w:sz w:val="20"/>
          <w:szCs w:val="20"/>
          <w:lang w:val="en-AU"/>
        </w:rPr>
        <w:t xml:space="preserve"> </w:t>
      </w:r>
      <w:r w:rsidRPr="00B918A5">
        <w:rPr>
          <w:rFonts w:asciiTheme="majorHAnsi" w:hAnsiTheme="majorHAnsi" w:cs="Times"/>
          <w:color w:val="1A1718"/>
          <w:lang w:val="en-AU"/>
        </w:rPr>
        <w:t>While the review found the strongest associations between serious psychological distress resulting from racism and mental health conditions,</w:t>
      </w:r>
      <w:r w:rsidRPr="00B918A5">
        <w:rPr>
          <w:rStyle w:val="EndnoteReference"/>
          <w:rFonts w:cs="Times"/>
          <w:color w:val="1A1718"/>
          <w:lang w:val="en-AU"/>
        </w:rPr>
        <w:endnoteReference w:id="51"/>
      </w:r>
      <w:r w:rsidRPr="00B918A5">
        <w:rPr>
          <w:rFonts w:asciiTheme="majorHAnsi" w:hAnsiTheme="majorHAnsi" w:cs="Times"/>
          <w:color w:val="1A1718"/>
          <w:lang w:val="en-AU"/>
        </w:rPr>
        <w:t xml:space="preserve"> it also identified studies that associated such psychological distress with high blood pressure, hypertension, impaired immune function, heart disease, pre-term births, increased heart rate and the thickening of arterial walls.</w:t>
      </w:r>
      <w:r w:rsidRPr="00B918A5">
        <w:rPr>
          <w:rStyle w:val="EndnoteReference"/>
          <w:rFonts w:cs="Times"/>
          <w:color w:val="1A1718"/>
          <w:lang w:val="en-AU"/>
        </w:rPr>
        <w:endnoteReference w:id="52"/>
      </w:r>
      <w:r w:rsidRPr="00B918A5">
        <w:rPr>
          <w:rFonts w:asciiTheme="majorHAnsi" w:hAnsiTheme="majorHAnsi" w:cs="Times"/>
          <w:color w:val="1A1718"/>
          <w:lang w:val="en-AU"/>
        </w:rPr>
        <w:t xml:space="preserve"> There is now a well-established link between racism and poor mental and physical health outcomes, including anxiety, depression, overweight and obesity, smoking, substance misuse and alcohol misuse.</w:t>
      </w:r>
      <w:r w:rsidRPr="00B918A5">
        <w:rPr>
          <w:rStyle w:val="EndnoteReference"/>
          <w:rFonts w:cs="Times"/>
          <w:color w:val="1A1718"/>
          <w:lang w:val="en-AU"/>
        </w:rPr>
        <w:endnoteReference w:id="53"/>
      </w:r>
      <w:r w:rsidRPr="00B918A5">
        <w:rPr>
          <w:rFonts w:asciiTheme="majorHAnsi" w:hAnsiTheme="majorHAnsi" w:cs="Times"/>
          <w:color w:val="1A1718"/>
          <w:lang w:val="en-AU"/>
        </w:rPr>
        <w:t xml:space="preserve"> </w:t>
      </w:r>
    </w:p>
    <w:p w14:paraId="0DBE2D3D" w14:textId="08B9368D" w:rsidR="00814869" w:rsidRPr="00B918A5" w:rsidRDefault="00814869" w:rsidP="00F95CCA">
      <w:pPr>
        <w:pStyle w:val="NormalWeb"/>
        <w:rPr>
          <w:rFonts w:asciiTheme="majorHAnsi" w:hAnsiTheme="majorHAnsi" w:cs="Times"/>
          <w:color w:val="1A1718"/>
          <w:lang w:val="en-AU"/>
        </w:rPr>
      </w:pPr>
      <w:r w:rsidRPr="00B918A5">
        <w:rPr>
          <w:rFonts w:asciiTheme="majorHAnsi" w:hAnsiTheme="majorHAnsi" w:cs="Times"/>
          <w:color w:val="1A1718"/>
          <w:lang w:val="en-AU"/>
        </w:rPr>
        <w:t xml:space="preserve">The Campaign Steering Committee </w:t>
      </w:r>
      <w:r w:rsidR="00BD4EA5">
        <w:rPr>
          <w:rFonts w:asciiTheme="majorHAnsi" w:hAnsiTheme="majorHAnsi" w:cs="Times"/>
          <w:color w:val="1A1718"/>
          <w:lang w:val="en-AU"/>
        </w:rPr>
        <w:t xml:space="preserve">is of the view </w:t>
      </w:r>
      <w:r w:rsidR="00BD4EA5" w:rsidRPr="00BD4EA5">
        <w:rPr>
          <w:rFonts w:asciiTheme="majorHAnsi" w:hAnsiTheme="majorHAnsi" w:cs="Times"/>
          <w:color w:val="1A1718"/>
          <w:lang w:val="en-AU"/>
        </w:rPr>
        <w:t xml:space="preserve">that there is a clear correlation between mental health and chronic disease. The artificial divide that exists between </w:t>
      </w:r>
      <w:r w:rsidR="00BD28E3">
        <w:rPr>
          <w:rFonts w:asciiTheme="majorHAnsi" w:hAnsiTheme="majorHAnsi" w:cs="Times"/>
          <w:color w:val="1A1718"/>
          <w:lang w:val="en-AU"/>
        </w:rPr>
        <w:t xml:space="preserve">the </w:t>
      </w:r>
      <w:proofErr w:type="gramStart"/>
      <w:r w:rsidR="00BD4EA5" w:rsidRPr="00BD4EA5">
        <w:rPr>
          <w:rFonts w:asciiTheme="majorHAnsi" w:hAnsiTheme="majorHAnsi" w:cs="Times"/>
          <w:color w:val="1A1718"/>
          <w:lang w:val="en-AU"/>
        </w:rPr>
        <w:t>consideration</w:t>
      </w:r>
      <w:proofErr w:type="gramEnd"/>
      <w:r w:rsidR="00BD4EA5" w:rsidRPr="00BD4EA5">
        <w:rPr>
          <w:rFonts w:asciiTheme="majorHAnsi" w:hAnsiTheme="majorHAnsi" w:cs="Times"/>
          <w:color w:val="1A1718"/>
          <w:lang w:val="en-AU"/>
        </w:rPr>
        <w:t xml:space="preserve"> of these conditions is unhelpful. </w:t>
      </w:r>
      <w:r w:rsidRPr="00B918A5">
        <w:rPr>
          <w:rFonts w:asciiTheme="majorHAnsi" w:hAnsiTheme="majorHAnsi" w:cs="Times"/>
          <w:color w:val="1A1718"/>
          <w:lang w:val="en-AU"/>
        </w:rPr>
        <w:t xml:space="preserve">Aboriginal and Torres Strait Islander mental health must be addressed not only </w:t>
      </w:r>
      <w:r w:rsidR="009973C4" w:rsidRPr="00B918A5">
        <w:rPr>
          <w:rFonts w:asciiTheme="majorHAnsi" w:hAnsiTheme="majorHAnsi" w:cs="Times"/>
          <w:color w:val="1A1718"/>
          <w:lang w:val="en-AU"/>
        </w:rPr>
        <w:t xml:space="preserve">as </w:t>
      </w:r>
      <w:r w:rsidRPr="00B918A5">
        <w:rPr>
          <w:rFonts w:asciiTheme="majorHAnsi" w:hAnsiTheme="majorHAnsi" w:cs="Times"/>
          <w:color w:val="1A1718"/>
          <w:lang w:val="en-AU"/>
        </w:rPr>
        <w:t xml:space="preserve">a priority in its own right, but also as an important part of addressing chronic disease. </w:t>
      </w:r>
    </w:p>
    <w:p w14:paraId="53DA458A" w14:textId="77777777" w:rsidR="001D473E" w:rsidRPr="00B918A5" w:rsidRDefault="001D473E" w:rsidP="00B918A5">
      <w:pPr>
        <w:pStyle w:val="Heading3"/>
        <w:rPr>
          <w:lang w:val="en-AU"/>
        </w:rPr>
      </w:pPr>
      <w:bookmarkStart w:id="15" w:name="_Toc409788720"/>
      <w:r w:rsidRPr="00B918A5">
        <w:rPr>
          <w:lang w:val="en-AU"/>
        </w:rPr>
        <w:t>Rates of current daily smokers</w:t>
      </w:r>
      <w:bookmarkEnd w:id="15"/>
    </w:p>
    <w:p w14:paraId="77AAAACD" w14:textId="6EA902FB" w:rsidR="001D473E" w:rsidRPr="00B918A5" w:rsidRDefault="00C95782" w:rsidP="001D473E">
      <w:pPr>
        <w:spacing w:before="240" w:after="240"/>
        <w:rPr>
          <w:rFonts w:asciiTheme="majorHAnsi" w:hAnsiTheme="majorHAnsi"/>
          <w:lang w:val="en-AU"/>
        </w:rPr>
      </w:pPr>
      <w:r>
        <w:rPr>
          <w:rFonts w:asciiTheme="majorHAnsi" w:hAnsiTheme="majorHAnsi"/>
          <w:lang w:val="en-AU"/>
        </w:rPr>
        <w:t>T</w:t>
      </w:r>
      <w:r w:rsidR="001D473E" w:rsidRPr="00B918A5">
        <w:rPr>
          <w:rFonts w:asciiTheme="majorHAnsi" w:hAnsiTheme="majorHAnsi"/>
          <w:lang w:val="en-AU"/>
        </w:rPr>
        <w:t xml:space="preserve">obacco smoking </w:t>
      </w:r>
      <w:r>
        <w:rPr>
          <w:rFonts w:asciiTheme="majorHAnsi" w:hAnsiTheme="majorHAnsi"/>
          <w:lang w:val="en-AU"/>
        </w:rPr>
        <w:t>is estimated to be</w:t>
      </w:r>
      <w:r w:rsidR="001D473E" w:rsidRPr="00B918A5">
        <w:rPr>
          <w:rFonts w:asciiTheme="majorHAnsi" w:hAnsiTheme="majorHAnsi"/>
          <w:lang w:val="en-AU"/>
        </w:rPr>
        <w:t xml:space="preserve"> the leading cause of burden of disease for Aboriginal and Torres Strait Islander people: responsible for around 12 percent of the total burden of disease and injury.</w:t>
      </w:r>
      <w:r w:rsidR="001D473E" w:rsidRPr="00B918A5">
        <w:rPr>
          <w:rFonts w:asciiTheme="majorHAnsi" w:hAnsiTheme="majorHAnsi"/>
          <w:vertAlign w:val="superscript"/>
          <w:lang w:val="en-AU"/>
        </w:rPr>
        <w:endnoteReference w:id="54"/>
      </w:r>
      <w:r w:rsidR="001D473E" w:rsidRPr="00B918A5">
        <w:rPr>
          <w:rFonts w:asciiTheme="majorHAnsi" w:hAnsiTheme="majorHAnsi"/>
          <w:lang w:val="en-AU"/>
        </w:rPr>
        <w:t xml:space="preserve"> </w:t>
      </w:r>
    </w:p>
    <w:p w14:paraId="69677B59" w14:textId="77777777" w:rsidR="001D473E" w:rsidRPr="00B918A5" w:rsidRDefault="001D473E" w:rsidP="001D473E">
      <w:pPr>
        <w:spacing w:before="240" w:after="240"/>
        <w:rPr>
          <w:rFonts w:asciiTheme="majorHAnsi" w:hAnsiTheme="majorHAnsi"/>
          <w:lang w:val="en-AU"/>
        </w:rPr>
      </w:pPr>
      <w:r w:rsidRPr="00B918A5">
        <w:rPr>
          <w:rFonts w:asciiTheme="majorHAnsi" w:hAnsiTheme="majorHAnsi"/>
          <w:lang w:val="en-AU"/>
        </w:rPr>
        <w:lastRenderedPageBreak/>
        <w:t>Smoking is a major preventable contributor to the Aboriginal and Torres Strait Islander life expectancy gap due to the high rates of cardiovascular and respiratory diseases associated with it.</w:t>
      </w:r>
      <w:r w:rsidRPr="00B918A5">
        <w:rPr>
          <w:rFonts w:asciiTheme="majorHAnsi" w:hAnsiTheme="majorHAnsi"/>
          <w:vertAlign w:val="superscript"/>
          <w:lang w:val="en-AU"/>
        </w:rPr>
        <w:endnoteReference w:id="55"/>
      </w:r>
      <w:r w:rsidRPr="00B918A5">
        <w:rPr>
          <w:rFonts w:asciiTheme="majorHAnsi" w:hAnsiTheme="majorHAnsi"/>
          <w:lang w:val="en-AU"/>
        </w:rPr>
        <w:t xml:space="preserve"> It also impacts on low birth rate and infant child mortality. As noted, over 2007–2011 cardiovascular disease was the most common cause of Aboriginal and Torres Strait Islander deaths (responsible for 26.1 percent of deaths). Respiratory diseases were the fifth most common cause of deaths accounting for 7.7 percent of the total deaths.</w:t>
      </w:r>
      <w:r w:rsidRPr="00B918A5">
        <w:rPr>
          <w:rFonts w:asciiTheme="majorHAnsi" w:hAnsiTheme="majorHAnsi"/>
          <w:vertAlign w:val="superscript"/>
          <w:lang w:val="en-AU"/>
        </w:rPr>
        <w:endnoteReference w:id="56"/>
      </w:r>
    </w:p>
    <w:p w14:paraId="41F3EF5B" w14:textId="49E06456" w:rsidR="001D473E" w:rsidRPr="00B918A5" w:rsidRDefault="001D473E" w:rsidP="001D473E">
      <w:pPr>
        <w:spacing w:before="240" w:after="240"/>
        <w:rPr>
          <w:rFonts w:asciiTheme="majorHAnsi" w:hAnsiTheme="majorHAnsi"/>
          <w:lang w:val="en-AU"/>
        </w:rPr>
      </w:pPr>
      <w:r w:rsidRPr="00B918A5">
        <w:rPr>
          <w:rFonts w:asciiTheme="majorHAnsi" w:hAnsiTheme="majorHAnsi"/>
          <w:lang w:val="en-AU"/>
        </w:rPr>
        <w:t xml:space="preserve">Comparing the results of the 2002 and 2008 NATSISS results with those of the 2012-2013 ABS </w:t>
      </w:r>
      <w:r w:rsidRPr="00B918A5">
        <w:rPr>
          <w:rFonts w:asciiTheme="majorHAnsi" w:hAnsiTheme="majorHAnsi"/>
          <w:i/>
          <w:lang w:val="en-AU"/>
        </w:rPr>
        <w:t>Australian Aboriginal and Torres Strait Islander Health Survey</w:t>
      </w:r>
      <w:r w:rsidRPr="00B918A5">
        <w:rPr>
          <w:rFonts w:asciiTheme="majorHAnsi" w:hAnsiTheme="majorHAnsi"/>
          <w:lang w:val="en-AU"/>
        </w:rPr>
        <w:t xml:space="preserve"> (AATSIHS) enables the rates of smoking among Aboriginal an</w:t>
      </w:r>
      <w:r w:rsidR="00E6342B">
        <w:rPr>
          <w:rFonts w:asciiTheme="majorHAnsi" w:hAnsiTheme="majorHAnsi"/>
          <w:lang w:val="en-AU"/>
        </w:rPr>
        <w:t>d Torres Strait Islander people</w:t>
      </w:r>
      <w:r w:rsidRPr="00B918A5">
        <w:rPr>
          <w:rFonts w:asciiTheme="majorHAnsi" w:hAnsiTheme="majorHAnsi"/>
          <w:lang w:val="en-AU"/>
        </w:rPr>
        <w:t xml:space="preserve"> to be tracked over time. Similar surveys in the general population enable further comparisons. </w:t>
      </w:r>
    </w:p>
    <w:p w14:paraId="463250B9" w14:textId="283E0741" w:rsidR="001D473E" w:rsidRPr="00B918A5" w:rsidRDefault="001D473E" w:rsidP="001D473E">
      <w:pPr>
        <w:spacing w:before="240" w:after="240"/>
        <w:rPr>
          <w:rFonts w:asciiTheme="majorHAnsi" w:hAnsiTheme="majorHAnsi"/>
          <w:lang w:val="en-AU"/>
        </w:rPr>
      </w:pPr>
      <w:r w:rsidRPr="00B918A5">
        <w:rPr>
          <w:rFonts w:asciiTheme="majorHAnsi" w:hAnsiTheme="majorHAnsi"/>
          <w:lang w:val="en-AU"/>
        </w:rPr>
        <w:t>The surveys show a progressive decrease in daily smoking rates for Aboriginal and Torres Strait Islander people: declining from 51 percent in 2002, to 45 percent in 2008, and then to 41 percent in 2012–13.</w:t>
      </w:r>
      <w:r w:rsidRPr="00B918A5">
        <w:rPr>
          <w:rFonts w:asciiTheme="majorHAnsi" w:hAnsiTheme="majorHAnsi"/>
          <w:vertAlign w:val="superscript"/>
          <w:lang w:val="en-AU"/>
        </w:rPr>
        <w:endnoteReference w:id="57"/>
      </w:r>
      <w:r w:rsidRPr="00B918A5">
        <w:rPr>
          <w:rFonts w:asciiTheme="majorHAnsi" w:hAnsiTheme="majorHAnsi"/>
          <w:lang w:val="en-AU"/>
        </w:rPr>
        <w:t xml:space="preserve"> While the daily smoking rate remains high, such gains are welcome. </w:t>
      </w:r>
    </w:p>
    <w:p w14:paraId="134F9ACF" w14:textId="77777777" w:rsidR="005936C8" w:rsidRPr="00B918A5" w:rsidRDefault="001D473E" w:rsidP="001D473E">
      <w:pPr>
        <w:spacing w:before="240" w:after="240"/>
        <w:rPr>
          <w:rFonts w:asciiTheme="majorHAnsi" w:hAnsiTheme="majorHAnsi"/>
          <w:vertAlign w:val="superscript"/>
          <w:lang w:val="en-AU"/>
        </w:rPr>
      </w:pPr>
      <w:r w:rsidRPr="00B918A5">
        <w:rPr>
          <w:rFonts w:asciiTheme="majorHAnsi" w:hAnsiTheme="majorHAnsi"/>
          <w:lang w:val="en-AU"/>
        </w:rPr>
        <w:t>However, there have been only small relative gains when compared to the rates of smoking among non-Indigenous people over the past 15 years. From 2008 – to 2012-2013, the fall in</w:t>
      </w:r>
      <w:r w:rsidR="00134B54">
        <w:rPr>
          <w:rFonts w:asciiTheme="majorHAnsi" w:hAnsiTheme="majorHAnsi"/>
          <w:lang w:val="en-AU"/>
        </w:rPr>
        <w:t xml:space="preserve"> the</w:t>
      </w:r>
      <w:r w:rsidRPr="00B918A5">
        <w:rPr>
          <w:rFonts w:asciiTheme="majorHAnsi" w:hAnsiTheme="majorHAnsi"/>
          <w:lang w:val="en-AU"/>
        </w:rPr>
        <w:t xml:space="preserve"> </w:t>
      </w:r>
      <w:r w:rsidR="00134B54" w:rsidRPr="00B918A5">
        <w:rPr>
          <w:rFonts w:asciiTheme="majorHAnsi" w:hAnsiTheme="majorHAnsi"/>
          <w:lang w:val="en-AU"/>
        </w:rPr>
        <w:t xml:space="preserve">Aboriginal and Torres Strait Islander </w:t>
      </w:r>
      <w:r w:rsidR="00134B54">
        <w:rPr>
          <w:rFonts w:asciiTheme="majorHAnsi" w:hAnsiTheme="majorHAnsi"/>
          <w:lang w:val="en-AU"/>
        </w:rPr>
        <w:t xml:space="preserve">smoking </w:t>
      </w:r>
      <w:r w:rsidRPr="00B918A5">
        <w:rPr>
          <w:rFonts w:asciiTheme="majorHAnsi" w:hAnsiTheme="majorHAnsi"/>
          <w:lang w:val="en-AU"/>
        </w:rPr>
        <w:t>rate was 3.6 percent. However, among non-Indigenous people the rate of smoking fell by 2.9 percent - and from a much lower baseline.</w:t>
      </w:r>
      <w:r w:rsidRPr="00B918A5">
        <w:rPr>
          <w:rFonts w:asciiTheme="majorHAnsi" w:hAnsiTheme="majorHAnsi"/>
          <w:vertAlign w:val="superscript"/>
          <w:lang w:val="en-AU"/>
        </w:rPr>
        <w:endnoteReference w:id="58"/>
      </w:r>
      <w:r w:rsidRPr="00B918A5">
        <w:rPr>
          <w:rFonts w:asciiTheme="majorHAnsi" w:hAnsiTheme="majorHAnsi"/>
          <w:lang w:val="en-AU"/>
        </w:rPr>
        <w:t xml:space="preserve"> As a result the gap in the rates of smoking has remained unchanged at the 2008 level of 25.2 percent,</w:t>
      </w:r>
      <w:r w:rsidRPr="00B918A5">
        <w:rPr>
          <w:rFonts w:asciiTheme="majorHAnsi" w:hAnsiTheme="majorHAnsi"/>
          <w:vertAlign w:val="superscript"/>
          <w:lang w:val="en-AU"/>
        </w:rPr>
        <w:endnoteReference w:id="59"/>
      </w:r>
      <w:r w:rsidRPr="00B918A5">
        <w:rPr>
          <w:rFonts w:asciiTheme="majorHAnsi" w:hAnsiTheme="majorHAnsi"/>
          <w:vertAlign w:val="superscript"/>
          <w:lang w:val="en-AU"/>
        </w:rPr>
        <w:t xml:space="preserve"> </w:t>
      </w:r>
      <w:r w:rsidRPr="00B918A5">
        <w:rPr>
          <w:rFonts w:asciiTheme="majorHAnsi" w:hAnsiTheme="majorHAnsi"/>
          <w:lang w:val="en-AU"/>
        </w:rPr>
        <w:t>and has decreased by only two percent since 2001 when the gap was 27 percentage points.</w:t>
      </w:r>
      <w:r w:rsidRPr="00B918A5">
        <w:rPr>
          <w:rFonts w:asciiTheme="majorHAnsi" w:hAnsiTheme="majorHAnsi"/>
          <w:vertAlign w:val="superscript"/>
          <w:lang w:val="en-AU"/>
        </w:rPr>
        <w:endnoteReference w:id="60"/>
      </w:r>
      <w:r w:rsidR="00520474">
        <w:rPr>
          <w:rFonts w:asciiTheme="majorHAnsi" w:hAnsiTheme="majorHAnsi"/>
          <w:vertAlign w:val="superscript"/>
          <w:lang w:val="en-AU"/>
        </w:rPr>
        <w:t xml:space="preserve"> </w:t>
      </w:r>
      <w:r w:rsidR="00520474">
        <w:rPr>
          <w:rFonts w:asciiTheme="majorHAnsi" w:hAnsiTheme="majorHAnsi"/>
          <w:lang w:val="en-AU"/>
        </w:rPr>
        <w:t xml:space="preserve"> T</w:t>
      </w:r>
      <w:r w:rsidRPr="00B918A5">
        <w:rPr>
          <w:rFonts w:asciiTheme="majorHAnsi" w:hAnsiTheme="majorHAnsi"/>
          <w:lang w:val="en-AU"/>
        </w:rPr>
        <w:t>he largest gaps are in major cities (22.4 percent gap between the two population groups) and inner regional areas (23.1 percent gap).</w:t>
      </w:r>
      <w:r w:rsidRPr="00B918A5">
        <w:rPr>
          <w:rFonts w:asciiTheme="majorHAnsi" w:hAnsiTheme="majorHAnsi"/>
          <w:vertAlign w:val="superscript"/>
          <w:lang w:val="en-AU"/>
        </w:rPr>
        <w:endnoteReference w:id="61"/>
      </w:r>
      <w:r w:rsidRPr="00B918A5">
        <w:rPr>
          <w:rFonts w:asciiTheme="majorHAnsi" w:hAnsiTheme="majorHAnsi"/>
          <w:vertAlign w:val="superscript"/>
          <w:lang w:val="en-AU"/>
        </w:rPr>
        <w:t xml:space="preserve"> </w:t>
      </w:r>
    </w:p>
    <w:p w14:paraId="6FF2A341" w14:textId="182E2FF6" w:rsidR="00946DB0" w:rsidRPr="0005379F" w:rsidRDefault="00946DB0" w:rsidP="00946DB0">
      <w:pPr>
        <w:spacing w:before="240" w:after="240"/>
        <w:rPr>
          <w:rFonts w:asciiTheme="majorHAnsi" w:hAnsiTheme="majorHAnsi"/>
          <w:lang w:val="en-AU"/>
        </w:rPr>
      </w:pPr>
      <w:r w:rsidRPr="0005379F">
        <w:rPr>
          <w:rFonts w:asciiTheme="majorHAnsi" w:hAnsiTheme="majorHAnsi"/>
          <w:lang w:val="en-AU"/>
        </w:rPr>
        <w:t xml:space="preserve">The evidence of the impact of anti-smoking campaigns among the non-Indigenous population highlights the need for a sustained and properly resourced anti-smoking focus over decades to make significant and consistent population health gains. </w:t>
      </w:r>
    </w:p>
    <w:p w14:paraId="4A6DED53" w14:textId="0A016D3C" w:rsidR="005936C8" w:rsidRDefault="00946DB0" w:rsidP="00766F98">
      <w:pPr>
        <w:spacing w:before="240" w:after="240"/>
        <w:rPr>
          <w:rFonts w:asciiTheme="majorHAnsi" w:hAnsiTheme="majorHAnsi"/>
          <w:lang w:val="en-AU"/>
        </w:rPr>
      </w:pPr>
      <w:r>
        <w:rPr>
          <w:rFonts w:asciiTheme="majorHAnsi" w:hAnsiTheme="majorHAnsi"/>
          <w:lang w:val="en-AU"/>
        </w:rPr>
        <w:t>I</w:t>
      </w:r>
      <w:r w:rsidR="005936C8" w:rsidRPr="0005379F">
        <w:rPr>
          <w:rFonts w:asciiTheme="majorHAnsi" w:hAnsiTheme="majorHAnsi"/>
          <w:lang w:val="en-AU"/>
        </w:rPr>
        <w:t>n 1945, more than three out of every four men and one in every four women in Australia were regular smokers.</w:t>
      </w:r>
      <w:r w:rsidR="005936C8" w:rsidRPr="0005379F">
        <w:rPr>
          <w:rFonts w:asciiTheme="majorHAnsi" w:hAnsiTheme="majorHAnsi"/>
          <w:vertAlign w:val="superscript"/>
          <w:lang w:val="en-AU"/>
        </w:rPr>
        <w:endnoteReference w:id="62"/>
      </w:r>
      <w:r w:rsidR="005936C8" w:rsidRPr="0005379F">
        <w:rPr>
          <w:rFonts w:asciiTheme="majorHAnsi" w:hAnsiTheme="majorHAnsi"/>
          <w:lang w:val="en-AU"/>
        </w:rPr>
        <w:t xml:space="preserve"> In fact, smoking rates remained high until the Quit campaigns became established in each state from 1983 onwards.</w:t>
      </w:r>
      <w:r w:rsidR="005936C8" w:rsidRPr="0005379F">
        <w:rPr>
          <w:rFonts w:asciiTheme="majorHAnsi" w:hAnsiTheme="majorHAnsi"/>
          <w:vertAlign w:val="superscript"/>
          <w:lang w:val="en-AU"/>
        </w:rPr>
        <w:endnoteReference w:id="63"/>
      </w:r>
      <w:r w:rsidR="005936C8" w:rsidRPr="0005379F">
        <w:rPr>
          <w:rFonts w:asciiTheme="majorHAnsi" w:hAnsiTheme="majorHAnsi"/>
          <w:vertAlign w:val="superscript"/>
          <w:lang w:val="en-AU"/>
        </w:rPr>
        <w:t xml:space="preserve"> </w:t>
      </w:r>
      <w:r w:rsidR="005936C8" w:rsidRPr="0005379F">
        <w:rPr>
          <w:rFonts w:asciiTheme="majorHAnsi" w:hAnsiTheme="majorHAnsi"/>
          <w:lang w:val="en-AU"/>
        </w:rPr>
        <w:t>These used social marketing to 'sell' the message that smoking was harmful.</w:t>
      </w:r>
      <w:r w:rsidR="005936C8" w:rsidRPr="0005379F">
        <w:rPr>
          <w:rFonts w:asciiTheme="majorHAnsi" w:hAnsiTheme="majorHAnsi"/>
          <w:vertAlign w:val="superscript"/>
          <w:lang w:val="en-AU"/>
        </w:rPr>
        <w:endnoteReference w:id="64"/>
      </w:r>
      <w:r w:rsidR="005936C8" w:rsidRPr="0005379F">
        <w:rPr>
          <w:rFonts w:asciiTheme="majorHAnsi" w:hAnsiTheme="majorHAnsi"/>
          <w:lang w:val="en-AU"/>
        </w:rPr>
        <w:t xml:space="preserve"> Health education in schools remained a major theme</w:t>
      </w:r>
      <w:r w:rsidR="00517DF0">
        <w:rPr>
          <w:rFonts w:asciiTheme="majorHAnsi" w:hAnsiTheme="majorHAnsi"/>
          <w:lang w:val="en-AU"/>
        </w:rPr>
        <w:t>,</w:t>
      </w:r>
      <w:r w:rsidR="005936C8" w:rsidRPr="0005379F">
        <w:rPr>
          <w:rFonts w:asciiTheme="majorHAnsi" w:hAnsiTheme="majorHAnsi"/>
          <w:lang w:val="en-AU"/>
        </w:rPr>
        <w:t xml:space="preserve"> but</w:t>
      </w:r>
      <w:r w:rsidR="00517DF0">
        <w:rPr>
          <w:rFonts w:asciiTheme="majorHAnsi" w:hAnsiTheme="majorHAnsi"/>
          <w:lang w:val="en-AU"/>
        </w:rPr>
        <w:t xml:space="preserve"> this</w:t>
      </w:r>
      <w:r w:rsidR="005936C8" w:rsidRPr="0005379F">
        <w:rPr>
          <w:rFonts w:asciiTheme="majorHAnsi" w:hAnsiTheme="majorHAnsi"/>
          <w:lang w:val="en-AU"/>
        </w:rPr>
        <w:t xml:space="preserve"> was complemented with more vigorous efforts to stop retailers from selling cigarettes to children.</w:t>
      </w:r>
      <w:r w:rsidR="005936C8" w:rsidRPr="0005379F">
        <w:rPr>
          <w:rFonts w:asciiTheme="majorHAnsi" w:hAnsiTheme="majorHAnsi"/>
          <w:vertAlign w:val="superscript"/>
          <w:lang w:val="en-AU"/>
        </w:rPr>
        <w:endnoteReference w:id="65"/>
      </w:r>
    </w:p>
    <w:p w14:paraId="7636549A" w14:textId="77777777" w:rsidR="005936C8" w:rsidRPr="0005379F" w:rsidRDefault="005936C8" w:rsidP="005936C8">
      <w:pPr>
        <w:spacing w:before="240" w:after="240"/>
        <w:rPr>
          <w:rFonts w:asciiTheme="majorHAnsi" w:hAnsiTheme="majorHAnsi"/>
          <w:vertAlign w:val="superscript"/>
          <w:lang w:val="en-AU"/>
        </w:rPr>
      </w:pPr>
      <w:r w:rsidRPr="0005379F">
        <w:rPr>
          <w:rFonts w:asciiTheme="majorHAnsi" w:hAnsiTheme="majorHAnsi"/>
          <w:lang w:val="en-AU"/>
        </w:rPr>
        <w:t>Since the 1980s, a relatively steady decline in smoking rates has been evident with the exception of a period in the mid-1990s. This is believed to correspond with reduced expenditure on public campaigns, highlighting the need for a sustained and properly resourced anti-smoking focus over decades to make significant and consistent population health gains.</w:t>
      </w:r>
      <w:r w:rsidRPr="0005379F">
        <w:rPr>
          <w:rFonts w:asciiTheme="majorHAnsi" w:hAnsiTheme="majorHAnsi"/>
          <w:vertAlign w:val="superscript"/>
          <w:lang w:val="en-AU"/>
        </w:rPr>
        <w:endnoteReference w:id="66"/>
      </w:r>
      <w:r w:rsidRPr="0005379F">
        <w:rPr>
          <w:rFonts w:asciiTheme="majorHAnsi" w:hAnsiTheme="majorHAnsi"/>
          <w:vertAlign w:val="superscript"/>
          <w:lang w:val="en-AU"/>
        </w:rPr>
        <w:t xml:space="preserve"> </w:t>
      </w:r>
    </w:p>
    <w:p w14:paraId="1D5894C7" w14:textId="3EF2C14A" w:rsidR="001D473E" w:rsidRPr="00B918A5" w:rsidRDefault="00517DF0" w:rsidP="005936C8">
      <w:pPr>
        <w:spacing w:before="240" w:after="240"/>
        <w:rPr>
          <w:lang w:val="en-AU"/>
        </w:rPr>
      </w:pPr>
      <w:r w:rsidRPr="00517DF0">
        <w:rPr>
          <w:rFonts w:asciiTheme="majorHAnsi" w:hAnsiTheme="majorHAnsi"/>
          <w:lang w:val="en-AU"/>
        </w:rPr>
        <w:t xml:space="preserve">This is why more time must be allowed for the Tackling Indigenous Smoking programme, operational only since 2010, to build on the impressive results already apparent in the data. </w:t>
      </w:r>
      <w:r w:rsidR="005936C8" w:rsidRPr="0005379F">
        <w:rPr>
          <w:rFonts w:asciiTheme="majorHAnsi" w:hAnsiTheme="majorHAnsi"/>
          <w:lang w:val="en-AU"/>
        </w:rPr>
        <w:t xml:space="preserve">The </w:t>
      </w:r>
      <w:r w:rsidR="00C95782">
        <w:rPr>
          <w:rFonts w:asciiTheme="majorHAnsi" w:hAnsiTheme="majorHAnsi"/>
          <w:lang w:val="en-AU"/>
        </w:rPr>
        <w:t xml:space="preserve">Campaign Steering </w:t>
      </w:r>
      <w:r w:rsidR="005936C8" w:rsidRPr="0005379F">
        <w:rPr>
          <w:rFonts w:asciiTheme="majorHAnsi" w:hAnsiTheme="majorHAnsi"/>
          <w:lang w:val="en-AU"/>
        </w:rPr>
        <w:t xml:space="preserve">Committee believes that it is reasonable to expect further significant reductions in smoking rates over the next decade if investment in the Tackling Indigenous Smoking programme is sustained. As such it is critical that funding and other support for the programme continues in order for the wider promise of the programme to be realised. </w:t>
      </w:r>
      <w:r w:rsidR="001D473E" w:rsidRPr="00B918A5">
        <w:rPr>
          <w:rFonts w:asciiTheme="majorHAnsi" w:hAnsiTheme="majorHAnsi"/>
          <w:lang w:val="en-AU"/>
        </w:rPr>
        <w:t>As in so many other areas, the Campaign Steering Committee counsels a long-term perspective will be rewarded in this area.</w:t>
      </w:r>
    </w:p>
    <w:p w14:paraId="6A506172" w14:textId="77777777" w:rsidR="00814869" w:rsidRPr="00B918A5" w:rsidRDefault="00814869" w:rsidP="00F95CCA">
      <w:pPr>
        <w:pStyle w:val="Heading3"/>
        <w:rPr>
          <w:lang w:val="en-AU"/>
        </w:rPr>
      </w:pPr>
      <w:bookmarkStart w:id="16" w:name="_Toc409788721"/>
      <w:r w:rsidRPr="00B918A5">
        <w:rPr>
          <w:lang w:val="en-AU"/>
        </w:rPr>
        <w:t>Excess body weight and obesity</w:t>
      </w:r>
      <w:bookmarkEnd w:id="16"/>
    </w:p>
    <w:p w14:paraId="28B7335F" w14:textId="5C1A4E82" w:rsidR="00814869" w:rsidRPr="00B918A5" w:rsidRDefault="00814869" w:rsidP="00F95CCA">
      <w:pPr>
        <w:spacing w:before="240" w:after="240"/>
        <w:rPr>
          <w:rFonts w:asciiTheme="majorHAnsi" w:hAnsiTheme="majorHAnsi"/>
          <w:lang w:val="en-AU"/>
        </w:rPr>
      </w:pPr>
      <w:r w:rsidRPr="00B918A5">
        <w:rPr>
          <w:rFonts w:asciiTheme="majorHAnsi" w:hAnsiTheme="majorHAnsi"/>
          <w:lang w:val="en-AU"/>
        </w:rPr>
        <w:t>In Recommendation 1 of its final report, the COAG Reform Council identifies the ‘higher rates of obesity among Aboriginal and Torres Strait Islander people as an area that requires further attention from COAG as part of its efforts to achieve life expectancy equality’.</w:t>
      </w:r>
      <w:r w:rsidRPr="00B918A5">
        <w:rPr>
          <w:rFonts w:asciiTheme="majorHAnsi" w:hAnsiTheme="majorHAnsi"/>
          <w:vertAlign w:val="superscript"/>
          <w:lang w:val="en-AU"/>
        </w:rPr>
        <w:endnoteReference w:id="67"/>
      </w:r>
      <w:r w:rsidRPr="00B918A5">
        <w:rPr>
          <w:rFonts w:asciiTheme="majorHAnsi" w:hAnsiTheme="majorHAnsi"/>
          <w:vertAlign w:val="superscript"/>
          <w:lang w:val="en-AU"/>
        </w:rPr>
        <w:t xml:space="preserve"> </w:t>
      </w:r>
      <w:r w:rsidRPr="00B918A5">
        <w:rPr>
          <w:rFonts w:asciiTheme="majorHAnsi" w:hAnsiTheme="majorHAnsi"/>
          <w:lang w:val="en-AU"/>
        </w:rPr>
        <w:t xml:space="preserve">The Campaign Steering Committee supports this </w:t>
      </w:r>
      <w:r w:rsidR="00766F98">
        <w:rPr>
          <w:rFonts w:asciiTheme="majorHAnsi" w:hAnsiTheme="majorHAnsi"/>
          <w:lang w:val="en-AU"/>
        </w:rPr>
        <w:t>recommendation</w:t>
      </w:r>
      <w:r w:rsidRPr="00B918A5">
        <w:rPr>
          <w:rFonts w:asciiTheme="majorHAnsi" w:hAnsiTheme="majorHAnsi"/>
          <w:lang w:val="en-AU"/>
        </w:rPr>
        <w:t xml:space="preserve">. Excess body weight, especially obesity, is a risk factor for </w:t>
      </w:r>
      <w:r w:rsidRPr="00B918A5">
        <w:rPr>
          <w:rFonts w:asciiTheme="majorHAnsi" w:hAnsiTheme="majorHAnsi"/>
          <w:lang w:val="en-AU"/>
        </w:rPr>
        <w:lastRenderedPageBreak/>
        <w:t xml:space="preserve">chronic disease including diabetes, cardiovascular disease and cancer. Risks increase </w:t>
      </w:r>
      <w:r w:rsidR="00353E10" w:rsidRPr="00B918A5">
        <w:rPr>
          <w:rFonts w:asciiTheme="majorHAnsi" w:hAnsiTheme="majorHAnsi"/>
          <w:lang w:val="en-AU"/>
        </w:rPr>
        <w:t xml:space="preserve">with </w:t>
      </w:r>
      <w:r w:rsidR="00517DF0">
        <w:rPr>
          <w:rFonts w:asciiTheme="majorHAnsi" w:hAnsiTheme="majorHAnsi"/>
          <w:lang w:val="en-AU"/>
        </w:rPr>
        <w:t>greater</w:t>
      </w:r>
      <w:r w:rsidR="00353E10" w:rsidRPr="00B918A5">
        <w:rPr>
          <w:rFonts w:asciiTheme="majorHAnsi" w:hAnsiTheme="majorHAnsi"/>
          <w:lang w:val="en-AU"/>
        </w:rPr>
        <w:t xml:space="preserve"> weight</w:t>
      </w:r>
      <w:r w:rsidRPr="00B918A5">
        <w:rPr>
          <w:rFonts w:asciiTheme="majorHAnsi" w:hAnsiTheme="majorHAnsi"/>
          <w:lang w:val="en-AU"/>
        </w:rPr>
        <w:t>.</w:t>
      </w:r>
      <w:r w:rsidRPr="00B918A5">
        <w:rPr>
          <w:rFonts w:asciiTheme="majorHAnsi" w:hAnsiTheme="majorHAnsi"/>
          <w:vertAlign w:val="superscript"/>
          <w:lang w:val="en-AU"/>
        </w:rPr>
        <w:endnoteReference w:id="68"/>
      </w:r>
      <w:r w:rsidRPr="00B918A5">
        <w:rPr>
          <w:rFonts w:asciiTheme="majorHAnsi" w:hAnsiTheme="majorHAnsi"/>
          <w:lang w:val="en-AU"/>
        </w:rPr>
        <w:t xml:space="preserve"> </w:t>
      </w:r>
    </w:p>
    <w:p w14:paraId="173A9F01" w14:textId="318F7281" w:rsidR="00814869" w:rsidRPr="00B918A5" w:rsidRDefault="00814869" w:rsidP="00596434">
      <w:pPr>
        <w:spacing w:before="240" w:after="240"/>
        <w:rPr>
          <w:rFonts w:asciiTheme="majorHAnsi" w:hAnsiTheme="majorHAnsi"/>
          <w:lang w:val="en-AU"/>
        </w:rPr>
      </w:pPr>
      <w:r w:rsidRPr="00B918A5">
        <w:rPr>
          <w:rFonts w:asciiTheme="majorHAnsi" w:hAnsiTheme="majorHAnsi"/>
          <w:lang w:val="en-AU"/>
        </w:rPr>
        <w:t>Among Aboriginal and Torres Strait Islander people in 2011-13, 41.7 percent were obese compared with 27.2 percent of non-Indigenous people.</w:t>
      </w:r>
      <w:r w:rsidRPr="00B918A5">
        <w:rPr>
          <w:rFonts w:asciiTheme="majorHAnsi" w:hAnsiTheme="majorHAnsi"/>
          <w:vertAlign w:val="superscript"/>
          <w:lang w:val="en-AU"/>
        </w:rPr>
        <w:endnoteReference w:id="69"/>
      </w:r>
      <w:r w:rsidRPr="00B918A5">
        <w:rPr>
          <w:rFonts w:asciiTheme="majorHAnsi" w:hAnsiTheme="majorHAnsi"/>
          <w:lang w:val="en-AU"/>
        </w:rPr>
        <w:t xml:space="preserve"> Even more concerning is that </w:t>
      </w:r>
      <w:r w:rsidR="00517DF0">
        <w:rPr>
          <w:rFonts w:asciiTheme="majorHAnsi" w:hAnsiTheme="majorHAnsi"/>
          <w:lang w:val="en-AU"/>
        </w:rPr>
        <w:t>w</w:t>
      </w:r>
      <w:r w:rsidRPr="00B918A5">
        <w:rPr>
          <w:rFonts w:asciiTheme="majorHAnsi" w:hAnsiTheme="majorHAnsi"/>
          <w:lang w:val="en-AU"/>
        </w:rPr>
        <w:t>hile the non-Indigenous rate of overweight and obesity was almost twice that of normal weight, the Indigenous rate of overweight and obesity was almost three times the normal weight rate.</w:t>
      </w:r>
      <w:r w:rsidRPr="00B918A5">
        <w:rPr>
          <w:rFonts w:asciiTheme="majorHAnsi" w:hAnsiTheme="majorHAnsi"/>
          <w:vertAlign w:val="superscript"/>
          <w:lang w:val="en-AU"/>
        </w:rPr>
        <w:endnoteReference w:id="70"/>
      </w:r>
    </w:p>
    <w:p w14:paraId="3EF29486" w14:textId="77777777" w:rsidR="009973C4" w:rsidRPr="00B918A5" w:rsidRDefault="00814869" w:rsidP="009973C4">
      <w:pPr>
        <w:spacing w:before="240" w:after="240"/>
        <w:rPr>
          <w:rFonts w:asciiTheme="majorHAnsi" w:hAnsiTheme="majorHAnsi"/>
          <w:lang w:val="en-AU"/>
        </w:rPr>
      </w:pPr>
      <w:r w:rsidRPr="00B918A5">
        <w:rPr>
          <w:rFonts w:asciiTheme="majorHAnsi" w:hAnsiTheme="majorHAnsi"/>
          <w:lang w:val="en-AU"/>
        </w:rPr>
        <w:t>Nationally in 2011–13, there was a significant gap of 8.8 percent between the proportion of Aboriginal and Torres Strait Islander and non-Indigenous people with excess body weight.</w:t>
      </w:r>
      <w:r w:rsidRPr="00B918A5">
        <w:rPr>
          <w:rFonts w:asciiTheme="majorHAnsi" w:hAnsiTheme="majorHAnsi"/>
          <w:vertAlign w:val="superscript"/>
          <w:lang w:val="en-AU"/>
        </w:rPr>
        <w:endnoteReference w:id="71"/>
      </w:r>
      <w:r w:rsidRPr="00B918A5">
        <w:rPr>
          <w:rFonts w:asciiTheme="majorHAnsi" w:hAnsiTheme="majorHAnsi"/>
          <w:lang w:val="en-AU"/>
        </w:rPr>
        <w:t xml:space="preserve"> That is, 71.4 percent of the former were overweight or obese, compared with 62.6 percent of the latter.</w:t>
      </w:r>
      <w:r w:rsidRPr="00B918A5">
        <w:rPr>
          <w:rFonts w:asciiTheme="majorHAnsi" w:hAnsiTheme="majorHAnsi"/>
          <w:vertAlign w:val="superscript"/>
          <w:lang w:val="en-AU"/>
        </w:rPr>
        <w:endnoteReference w:id="72"/>
      </w:r>
      <w:r w:rsidRPr="00B918A5">
        <w:rPr>
          <w:rFonts w:asciiTheme="majorHAnsi" w:hAnsiTheme="majorHAnsi"/>
          <w:vertAlign w:val="superscript"/>
          <w:lang w:val="en-AU"/>
        </w:rPr>
        <w:t xml:space="preserve"> </w:t>
      </w:r>
      <w:r w:rsidRPr="00B918A5">
        <w:rPr>
          <w:rFonts w:asciiTheme="majorHAnsi" w:hAnsiTheme="majorHAnsi"/>
          <w:lang w:val="en-AU"/>
        </w:rPr>
        <w:t>Only the Northern Territory had a significantly lower proportion of Aboriginal and Torres Strait Islander people with excess body weight (59.8 percent) than the national non-Indigenous rate.</w:t>
      </w:r>
      <w:r w:rsidRPr="00B918A5">
        <w:rPr>
          <w:rFonts w:asciiTheme="majorHAnsi" w:hAnsiTheme="majorHAnsi"/>
          <w:vertAlign w:val="superscript"/>
          <w:lang w:val="en-AU"/>
        </w:rPr>
        <w:endnoteReference w:id="73"/>
      </w:r>
    </w:p>
    <w:p w14:paraId="7B38A421" w14:textId="4D7FDAF2" w:rsidR="009973C4" w:rsidRPr="00B918A5" w:rsidRDefault="009973C4" w:rsidP="009973C4">
      <w:pPr>
        <w:spacing w:before="240" w:after="240"/>
        <w:rPr>
          <w:rFonts w:asciiTheme="majorHAnsi" w:hAnsiTheme="majorHAnsi"/>
          <w:lang w:val="en-AU"/>
        </w:rPr>
      </w:pPr>
      <w:r w:rsidRPr="00B918A5">
        <w:rPr>
          <w:rFonts w:asciiTheme="majorHAnsi" w:hAnsiTheme="majorHAnsi"/>
          <w:lang w:val="en-AU"/>
        </w:rPr>
        <w:t xml:space="preserve">The Campaign Steering Committee recognises the efforts and positive outcomes achieved by the Tackling Smoking </w:t>
      </w:r>
      <w:r w:rsidR="00EE7C14">
        <w:rPr>
          <w:rFonts w:asciiTheme="majorHAnsi" w:hAnsiTheme="majorHAnsi"/>
          <w:lang w:val="en-AU"/>
        </w:rPr>
        <w:t>and Healthy Lifestyle W</w:t>
      </w:r>
      <w:r w:rsidRPr="00B918A5">
        <w:rPr>
          <w:rFonts w:asciiTheme="majorHAnsi" w:hAnsiTheme="majorHAnsi"/>
          <w:lang w:val="en-AU"/>
        </w:rPr>
        <w:t>orkers</w:t>
      </w:r>
      <w:r w:rsidR="00EE7C14">
        <w:rPr>
          <w:rFonts w:asciiTheme="majorHAnsi" w:hAnsiTheme="majorHAnsi"/>
          <w:lang w:val="en-AU"/>
        </w:rPr>
        <w:t xml:space="preserve">. These workers </w:t>
      </w:r>
      <w:r w:rsidRPr="00B918A5">
        <w:rPr>
          <w:rFonts w:asciiTheme="majorHAnsi" w:hAnsiTheme="majorHAnsi"/>
          <w:lang w:val="en-AU"/>
        </w:rPr>
        <w:t>raise awareness</w:t>
      </w:r>
      <w:r w:rsidR="00EE7C14">
        <w:rPr>
          <w:rFonts w:asciiTheme="majorHAnsi" w:hAnsiTheme="majorHAnsi"/>
          <w:lang w:val="en-AU"/>
        </w:rPr>
        <w:t xml:space="preserve"> in Aboriginal and Torres Strait Islander communities of the health benefits</w:t>
      </w:r>
      <w:r w:rsidRPr="00B918A5">
        <w:rPr>
          <w:rFonts w:asciiTheme="majorHAnsi" w:hAnsiTheme="majorHAnsi"/>
          <w:lang w:val="en-AU"/>
        </w:rPr>
        <w:t xml:space="preserve"> of keeping active, making informed decisio</w:t>
      </w:r>
      <w:r w:rsidR="00E6342B">
        <w:rPr>
          <w:rFonts w:asciiTheme="majorHAnsi" w:hAnsiTheme="majorHAnsi"/>
          <w:lang w:val="en-AU"/>
        </w:rPr>
        <w:t>ns on food and carbonated drink</w:t>
      </w:r>
      <w:r w:rsidRPr="00B918A5">
        <w:rPr>
          <w:rFonts w:asciiTheme="majorHAnsi" w:hAnsiTheme="majorHAnsi"/>
          <w:lang w:val="en-AU"/>
        </w:rPr>
        <w:t xml:space="preserve"> intake</w:t>
      </w:r>
      <w:r w:rsidR="00FF1EE2">
        <w:rPr>
          <w:rFonts w:asciiTheme="majorHAnsi" w:hAnsiTheme="majorHAnsi"/>
          <w:lang w:val="en-AU"/>
        </w:rPr>
        <w:t>,</w:t>
      </w:r>
      <w:r w:rsidRPr="00B918A5">
        <w:rPr>
          <w:rFonts w:asciiTheme="majorHAnsi" w:hAnsiTheme="majorHAnsi"/>
          <w:lang w:val="en-AU"/>
        </w:rPr>
        <w:t xml:space="preserve"> and </w:t>
      </w:r>
      <w:r w:rsidR="00B75921">
        <w:rPr>
          <w:rFonts w:asciiTheme="majorHAnsi" w:hAnsiTheme="majorHAnsi"/>
          <w:lang w:val="en-AU"/>
        </w:rPr>
        <w:t>stopping</w:t>
      </w:r>
      <w:r w:rsidRPr="00B918A5">
        <w:rPr>
          <w:rFonts w:asciiTheme="majorHAnsi" w:hAnsiTheme="majorHAnsi"/>
          <w:lang w:val="en-AU"/>
        </w:rPr>
        <w:t xml:space="preserve"> smoking</w:t>
      </w:r>
      <w:r w:rsidR="00B75921">
        <w:rPr>
          <w:rFonts w:asciiTheme="majorHAnsi" w:hAnsiTheme="majorHAnsi"/>
          <w:lang w:val="en-AU"/>
        </w:rPr>
        <w:t>.</w:t>
      </w:r>
      <w:r w:rsidRPr="00B918A5">
        <w:rPr>
          <w:rFonts w:asciiTheme="majorHAnsi" w:hAnsiTheme="majorHAnsi"/>
          <w:lang w:val="en-AU"/>
        </w:rPr>
        <w:t xml:space="preserve"> Consequently, we recommend that</w:t>
      </w:r>
      <w:r w:rsidR="00E6342B">
        <w:rPr>
          <w:rFonts w:asciiTheme="majorHAnsi" w:hAnsiTheme="majorHAnsi"/>
          <w:lang w:val="en-AU"/>
        </w:rPr>
        <w:t xml:space="preserve"> the</w:t>
      </w:r>
      <w:r w:rsidR="00B75921">
        <w:rPr>
          <w:rFonts w:asciiTheme="majorHAnsi" w:hAnsiTheme="majorHAnsi"/>
          <w:lang w:val="en-AU"/>
        </w:rPr>
        <w:t xml:space="preserve"> Tackling Indigenous Smoking Programme and</w:t>
      </w:r>
      <w:r w:rsidRPr="00B918A5">
        <w:rPr>
          <w:rFonts w:asciiTheme="majorHAnsi" w:hAnsiTheme="majorHAnsi"/>
          <w:lang w:val="en-AU"/>
        </w:rPr>
        <w:t xml:space="preserve"> funding for </w:t>
      </w:r>
      <w:r w:rsidR="00B75921">
        <w:rPr>
          <w:rFonts w:asciiTheme="majorHAnsi" w:hAnsiTheme="majorHAnsi"/>
          <w:lang w:val="en-AU"/>
        </w:rPr>
        <w:t>Tackling Smoking and Healthy Lifestyle W</w:t>
      </w:r>
      <w:r w:rsidRPr="00B918A5">
        <w:rPr>
          <w:rFonts w:asciiTheme="majorHAnsi" w:hAnsiTheme="majorHAnsi"/>
          <w:lang w:val="en-AU"/>
        </w:rPr>
        <w:t>orkers be at minimum maintained and</w:t>
      </w:r>
      <w:r w:rsidR="00FF1EE2">
        <w:rPr>
          <w:rFonts w:asciiTheme="majorHAnsi" w:hAnsiTheme="majorHAnsi"/>
          <w:lang w:val="en-AU"/>
        </w:rPr>
        <w:t>,</w:t>
      </w:r>
      <w:r w:rsidRPr="00B918A5">
        <w:rPr>
          <w:rFonts w:asciiTheme="majorHAnsi" w:hAnsiTheme="majorHAnsi"/>
          <w:lang w:val="en-AU"/>
        </w:rPr>
        <w:t xml:space="preserve"> in the immediate future, increased.</w:t>
      </w:r>
    </w:p>
    <w:p w14:paraId="46FD82D2" w14:textId="77777777" w:rsidR="00814869" w:rsidRPr="00B918A5" w:rsidRDefault="00814869" w:rsidP="00352055">
      <w:pPr>
        <w:pStyle w:val="Heading3"/>
        <w:rPr>
          <w:lang w:val="en-AU"/>
        </w:rPr>
      </w:pPr>
      <w:bookmarkStart w:id="17" w:name="_Toc409788722"/>
      <w:r w:rsidRPr="00B918A5">
        <w:rPr>
          <w:lang w:val="en-AU"/>
        </w:rPr>
        <w:t>Alcohol consumption and at-risk drinking</w:t>
      </w:r>
      <w:bookmarkEnd w:id="17"/>
      <w:r w:rsidRPr="00B918A5">
        <w:rPr>
          <w:lang w:val="en-AU"/>
        </w:rPr>
        <w:t xml:space="preserve"> </w:t>
      </w:r>
    </w:p>
    <w:p w14:paraId="06907D72" w14:textId="77777777" w:rsidR="00814869" w:rsidRPr="00B918A5" w:rsidRDefault="00814869" w:rsidP="00352055">
      <w:pPr>
        <w:spacing w:before="240" w:after="240"/>
        <w:rPr>
          <w:rFonts w:asciiTheme="majorHAnsi" w:hAnsiTheme="majorHAnsi"/>
          <w:lang w:val="en-AU"/>
        </w:rPr>
      </w:pPr>
      <w:r w:rsidRPr="00B918A5">
        <w:rPr>
          <w:rFonts w:asciiTheme="majorHAnsi" w:hAnsiTheme="majorHAnsi"/>
          <w:lang w:val="en-AU"/>
        </w:rPr>
        <w:t>Nationally in 2011–13, Aboriginal and Torres Strait Islander people abstained from drinking alcohol at almost twice the rate of non-Indigenous people (26.1 percent and 16.3 percent respectively).</w:t>
      </w:r>
      <w:r w:rsidRPr="00B918A5">
        <w:rPr>
          <w:rFonts w:asciiTheme="majorHAnsi" w:hAnsiTheme="majorHAnsi"/>
          <w:vertAlign w:val="superscript"/>
          <w:lang w:val="en-AU"/>
        </w:rPr>
        <w:endnoteReference w:id="74"/>
      </w:r>
      <w:r w:rsidRPr="00B918A5">
        <w:rPr>
          <w:rFonts w:asciiTheme="majorHAnsi" w:hAnsiTheme="majorHAnsi"/>
          <w:lang w:val="en-AU"/>
        </w:rPr>
        <w:t xml:space="preserve"> Yet high alcohol consumption and at-risk drinking remain challenges to closing the life expectancy and health gap. </w:t>
      </w:r>
    </w:p>
    <w:p w14:paraId="70293901" w14:textId="77777777" w:rsidR="00814869" w:rsidRPr="00B918A5" w:rsidRDefault="00814869" w:rsidP="00352055">
      <w:pPr>
        <w:spacing w:before="240" w:after="240"/>
        <w:rPr>
          <w:rFonts w:asciiTheme="majorHAnsi" w:hAnsiTheme="majorHAnsi"/>
          <w:lang w:val="en-AU"/>
        </w:rPr>
      </w:pPr>
      <w:r w:rsidRPr="00B918A5">
        <w:rPr>
          <w:rFonts w:asciiTheme="majorHAnsi" w:hAnsiTheme="majorHAnsi"/>
          <w:lang w:val="en-AU"/>
        </w:rPr>
        <w:t xml:space="preserve">High alcohol consumption can have harmful short and long term effects on a person’s physical, social and mental health and safety. Ongoing </w:t>
      </w:r>
      <w:r w:rsidR="00353E10" w:rsidRPr="00B918A5">
        <w:rPr>
          <w:rFonts w:asciiTheme="majorHAnsi" w:hAnsiTheme="majorHAnsi"/>
          <w:lang w:val="en-AU"/>
        </w:rPr>
        <w:t>harmful use</w:t>
      </w:r>
      <w:r w:rsidRPr="00B918A5">
        <w:rPr>
          <w:rFonts w:asciiTheme="majorHAnsi" w:hAnsiTheme="majorHAnsi"/>
          <w:lang w:val="en-AU"/>
        </w:rPr>
        <w:t xml:space="preserve"> of alcohol is associated with several diseases that may cause disability or death including cancer, diabetes and cardiovascular disease.</w:t>
      </w:r>
      <w:r w:rsidRPr="00B918A5">
        <w:rPr>
          <w:rFonts w:asciiTheme="majorHAnsi" w:hAnsiTheme="majorHAnsi"/>
          <w:vertAlign w:val="superscript"/>
          <w:lang w:val="en-AU"/>
        </w:rPr>
        <w:endnoteReference w:id="75"/>
      </w:r>
      <w:r w:rsidRPr="00B918A5">
        <w:rPr>
          <w:rFonts w:asciiTheme="majorHAnsi" w:hAnsiTheme="majorHAnsi"/>
          <w:vertAlign w:val="superscript"/>
          <w:lang w:val="en-AU"/>
        </w:rPr>
        <w:t xml:space="preserve">  </w:t>
      </w:r>
    </w:p>
    <w:p w14:paraId="787CDD36" w14:textId="77777777" w:rsidR="00814869" w:rsidRPr="00B918A5" w:rsidRDefault="00814869" w:rsidP="00352055">
      <w:pPr>
        <w:spacing w:before="240" w:after="240"/>
        <w:rPr>
          <w:rFonts w:asciiTheme="majorHAnsi" w:hAnsiTheme="majorHAnsi"/>
          <w:lang w:val="en-AU"/>
        </w:rPr>
      </w:pPr>
      <w:r w:rsidRPr="00B918A5">
        <w:rPr>
          <w:rFonts w:asciiTheme="majorHAnsi" w:hAnsiTheme="majorHAnsi"/>
          <w:lang w:val="en-AU"/>
        </w:rPr>
        <w:t xml:space="preserve">The COAG Reform Council refers to the following as </w:t>
      </w:r>
      <w:r w:rsidR="007C4BB1" w:rsidRPr="00B918A5">
        <w:rPr>
          <w:rFonts w:asciiTheme="majorHAnsi" w:hAnsiTheme="majorHAnsi"/>
          <w:lang w:val="en-AU"/>
        </w:rPr>
        <w:t>harmful</w:t>
      </w:r>
      <w:r w:rsidRPr="00B918A5">
        <w:rPr>
          <w:rFonts w:asciiTheme="majorHAnsi" w:hAnsiTheme="majorHAnsi"/>
          <w:lang w:val="en-AU"/>
        </w:rPr>
        <w:t xml:space="preserve"> patterns of alcohol consumption:</w:t>
      </w:r>
    </w:p>
    <w:p w14:paraId="693F5893" w14:textId="77777777" w:rsidR="00814869" w:rsidRPr="00B918A5" w:rsidRDefault="00814869" w:rsidP="00644563">
      <w:pPr>
        <w:pStyle w:val="ListParagraph"/>
        <w:numPr>
          <w:ilvl w:val="0"/>
          <w:numId w:val="29"/>
        </w:numPr>
        <w:spacing w:before="120" w:after="120"/>
        <w:ind w:left="357" w:hanging="357"/>
        <w:contextualSpacing w:val="0"/>
        <w:rPr>
          <w:rFonts w:asciiTheme="majorHAnsi" w:hAnsiTheme="majorHAnsi"/>
          <w:lang w:val="en-AU"/>
        </w:rPr>
      </w:pPr>
      <w:r w:rsidRPr="00B918A5">
        <w:rPr>
          <w:rFonts w:asciiTheme="majorHAnsi" w:hAnsiTheme="majorHAnsi"/>
          <w:lang w:val="en-AU"/>
        </w:rPr>
        <w:t xml:space="preserve">Lifetime risky drinking </w:t>
      </w:r>
      <w:r w:rsidR="007C4BB1" w:rsidRPr="00B918A5">
        <w:rPr>
          <w:rFonts w:asciiTheme="majorHAnsi" w:hAnsiTheme="majorHAnsi"/>
          <w:lang w:val="en-AU"/>
        </w:rPr>
        <w:t>–</w:t>
      </w:r>
      <w:r w:rsidRPr="00B918A5">
        <w:rPr>
          <w:rFonts w:asciiTheme="majorHAnsi" w:hAnsiTheme="majorHAnsi"/>
          <w:lang w:val="en-AU"/>
        </w:rPr>
        <w:t xml:space="preserve"> consuming</w:t>
      </w:r>
      <w:r w:rsidR="007C4BB1" w:rsidRPr="00B918A5">
        <w:rPr>
          <w:rFonts w:asciiTheme="majorHAnsi" w:hAnsiTheme="majorHAnsi"/>
          <w:lang w:val="en-AU"/>
        </w:rPr>
        <w:t xml:space="preserve"> </w:t>
      </w:r>
      <w:r w:rsidRPr="00B918A5">
        <w:rPr>
          <w:rFonts w:asciiTheme="majorHAnsi" w:hAnsiTheme="majorHAnsi"/>
          <w:lang w:val="en-AU"/>
        </w:rPr>
        <w:t>an average of two standard drinks or more per day, on average, in a week.</w:t>
      </w:r>
      <w:r w:rsidRPr="00B918A5">
        <w:rPr>
          <w:vertAlign w:val="superscript"/>
          <w:lang w:val="en-AU"/>
        </w:rPr>
        <w:endnoteReference w:id="76"/>
      </w:r>
      <w:r w:rsidRPr="00B918A5">
        <w:rPr>
          <w:rFonts w:asciiTheme="majorHAnsi" w:hAnsiTheme="majorHAnsi"/>
          <w:vertAlign w:val="superscript"/>
          <w:lang w:val="en-AU"/>
        </w:rPr>
        <w:t xml:space="preserve"> </w:t>
      </w:r>
      <w:r w:rsidRPr="00B918A5">
        <w:rPr>
          <w:rFonts w:asciiTheme="majorHAnsi" w:hAnsiTheme="majorHAnsi"/>
          <w:lang w:val="en-AU"/>
        </w:rPr>
        <w:t>In 2011-2013, approximately 19 percent of both Aboriginal and Torres Strait Islander and non-Indigenous people drank at levels that put them at lifetime risk of harm from alcohol.</w:t>
      </w:r>
      <w:r w:rsidRPr="00B918A5">
        <w:rPr>
          <w:vertAlign w:val="superscript"/>
          <w:lang w:val="en-AU"/>
        </w:rPr>
        <w:endnoteReference w:id="77"/>
      </w:r>
      <w:r w:rsidRPr="00B918A5">
        <w:rPr>
          <w:rFonts w:asciiTheme="majorHAnsi" w:hAnsiTheme="majorHAnsi"/>
          <w:lang w:val="en-AU"/>
        </w:rPr>
        <w:t xml:space="preserve"> Both population groups also report small but significant declines since 2004-2005: the former from 20.3 to 19.2 percent; and the latter from 21.9 to 19.5 percent.</w:t>
      </w:r>
      <w:r w:rsidRPr="00B918A5">
        <w:rPr>
          <w:vertAlign w:val="superscript"/>
          <w:lang w:val="en-AU"/>
        </w:rPr>
        <w:endnoteReference w:id="78"/>
      </w:r>
      <w:r w:rsidRPr="00B918A5">
        <w:rPr>
          <w:rFonts w:asciiTheme="majorHAnsi" w:hAnsiTheme="majorHAnsi"/>
          <w:vertAlign w:val="superscript"/>
          <w:lang w:val="en-AU"/>
        </w:rPr>
        <w:t xml:space="preserve"> </w:t>
      </w:r>
    </w:p>
    <w:p w14:paraId="3E35F843" w14:textId="77777777" w:rsidR="00814869" w:rsidRPr="00B918A5" w:rsidRDefault="00814869" w:rsidP="00644563">
      <w:pPr>
        <w:pStyle w:val="ListParagraph"/>
        <w:numPr>
          <w:ilvl w:val="0"/>
          <w:numId w:val="29"/>
        </w:numPr>
        <w:spacing w:before="120" w:after="120"/>
        <w:ind w:left="357" w:hanging="357"/>
        <w:contextualSpacing w:val="0"/>
        <w:rPr>
          <w:rFonts w:asciiTheme="majorHAnsi" w:hAnsiTheme="majorHAnsi"/>
          <w:lang w:val="en-AU"/>
        </w:rPr>
      </w:pPr>
      <w:r w:rsidRPr="00B918A5">
        <w:rPr>
          <w:rFonts w:asciiTheme="majorHAnsi" w:hAnsiTheme="majorHAnsi"/>
          <w:lang w:val="en-AU"/>
        </w:rPr>
        <w:t xml:space="preserve">Binge drinking </w:t>
      </w:r>
      <w:r w:rsidR="007C4BB1" w:rsidRPr="00B918A5">
        <w:rPr>
          <w:rFonts w:asciiTheme="majorHAnsi" w:hAnsiTheme="majorHAnsi"/>
          <w:lang w:val="en-AU"/>
        </w:rPr>
        <w:t>–</w:t>
      </w:r>
      <w:r w:rsidRPr="00B918A5">
        <w:rPr>
          <w:rFonts w:asciiTheme="majorHAnsi" w:hAnsiTheme="majorHAnsi"/>
          <w:lang w:val="en-AU"/>
        </w:rPr>
        <w:t xml:space="preserve"> consuming</w:t>
      </w:r>
      <w:r w:rsidR="007C4BB1" w:rsidRPr="00B918A5">
        <w:rPr>
          <w:rFonts w:asciiTheme="majorHAnsi" w:hAnsiTheme="majorHAnsi"/>
          <w:lang w:val="en-AU"/>
        </w:rPr>
        <w:t xml:space="preserve"> </w:t>
      </w:r>
      <w:r w:rsidRPr="00B918A5">
        <w:rPr>
          <w:rFonts w:asciiTheme="majorHAnsi" w:hAnsiTheme="majorHAnsi"/>
          <w:lang w:val="en-AU"/>
        </w:rPr>
        <w:t>more than four standard drinks in a single session.</w:t>
      </w:r>
      <w:r w:rsidRPr="00B918A5">
        <w:rPr>
          <w:vertAlign w:val="superscript"/>
          <w:lang w:val="en-AU"/>
        </w:rPr>
        <w:endnoteReference w:id="79"/>
      </w:r>
      <w:r w:rsidRPr="00B918A5">
        <w:rPr>
          <w:rFonts w:asciiTheme="majorHAnsi" w:hAnsiTheme="majorHAnsi"/>
          <w:lang w:val="en-AU"/>
        </w:rPr>
        <w:t xml:space="preserve"> In 2011-2013, Aboriginal and Torres Strait Islander people reported binge drinking in the previous year at higher rates than non-Indigenous people (51.8 percent compared to 45.3 percent of respondents respectively),</w:t>
      </w:r>
      <w:r w:rsidRPr="00B918A5">
        <w:rPr>
          <w:vertAlign w:val="superscript"/>
          <w:lang w:val="en-AU"/>
        </w:rPr>
        <w:endnoteReference w:id="80"/>
      </w:r>
      <w:r w:rsidRPr="00B918A5">
        <w:rPr>
          <w:rFonts w:asciiTheme="majorHAnsi" w:hAnsiTheme="majorHAnsi"/>
          <w:lang w:val="en-AU"/>
        </w:rPr>
        <w:t xml:space="preserve"> but reported binge drinking less often (13.1 per cent, compared to 33 percent of non-Indigenous people reported binge drinking on a weekly basis).</w:t>
      </w:r>
      <w:r w:rsidRPr="00B918A5">
        <w:rPr>
          <w:vertAlign w:val="superscript"/>
          <w:lang w:val="en-AU"/>
        </w:rPr>
        <w:endnoteReference w:id="81"/>
      </w:r>
      <w:r w:rsidRPr="00B918A5">
        <w:rPr>
          <w:rFonts w:asciiTheme="majorHAnsi" w:hAnsiTheme="majorHAnsi"/>
          <w:lang w:val="en-AU"/>
        </w:rPr>
        <w:t xml:space="preserve"> </w:t>
      </w:r>
    </w:p>
    <w:p w14:paraId="3781FBA8" w14:textId="77777777" w:rsidR="00814869" w:rsidRPr="00B918A5" w:rsidRDefault="00814869" w:rsidP="00644563">
      <w:pPr>
        <w:pStyle w:val="ListParagraph"/>
        <w:numPr>
          <w:ilvl w:val="0"/>
          <w:numId w:val="29"/>
        </w:numPr>
        <w:spacing w:before="120" w:after="120"/>
        <w:ind w:left="357" w:hanging="357"/>
        <w:contextualSpacing w:val="0"/>
        <w:rPr>
          <w:rFonts w:asciiTheme="majorHAnsi" w:hAnsiTheme="majorHAnsi"/>
          <w:lang w:val="en-AU"/>
        </w:rPr>
      </w:pPr>
      <w:r w:rsidRPr="00B918A5">
        <w:rPr>
          <w:rFonts w:asciiTheme="majorHAnsi" w:hAnsiTheme="majorHAnsi"/>
          <w:lang w:val="en-AU"/>
        </w:rPr>
        <w:t>Among people who drank at least once in the past 12 months, a significantly higher proportion of Aboriginal and Torres Strait Islander people drank higher volumes in a single session than non-Indigenous people. Among Aboriginal and Torres Strait Islander men, 42 percent reported drinking 11 or more standard drinks on a single occasion compared with 32.7 percent of non-Indigenous men; and 29.7 percent of Aboriginal and Torres Strait Islander women reported drinking seven or more standard drinks on a single occasion, compared with 20.4 percent of non-Indigenous women.</w:t>
      </w:r>
      <w:r w:rsidRPr="00B918A5">
        <w:rPr>
          <w:vertAlign w:val="superscript"/>
          <w:lang w:val="en-AU"/>
        </w:rPr>
        <w:endnoteReference w:id="82"/>
      </w:r>
      <w:r w:rsidRPr="00B918A5">
        <w:rPr>
          <w:rFonts w:asciiTheme="majorHAnsi" w:hAnsiTheme="majorHAnsi"/>
          <w:vertAlign w:val="superscript"/>
          <w:lang w:val="en-AU"/>
        </w:rPr>
        <w:t xml:space="preserve"> </w:t>
      </w:r>
    </w:p>
    <w:p w14:paraId="10A0234B" w14:textId="77777777" w:rsidR="00814869" w:rsidRPr="00B918A5" w:rsidRDefault="00814869" w:rsidP="00B918A5">
      <w:pPr>
        <w:tabs>
          <w:tab w:val="left" w:pos="2835"/>
        </w:tabs>
        <w:rPr>
          <w:rFonts w:asciiTheme="majorHAnsi" w:hAnsiTheme="majorHAnsi"/>
          <w:lang w:val="en-AU"/>
        </w:rPr>
      </w:pPr>
      <w:r w:rsidRPr="00B918A5">
        <w:rPr>
          <w:rFonts w:asciiTheme="majorHAnsi" w:hAnsiTheme="majorHAnsi"/>
          <w:lang w:val="en-AU"/>
        </w:rPr>
        <w:t xml:space="preserve">Perhaps what is of greatest concern is what could be referred to as ‘daily binge drinking’. The COAG Reform Council report approximately 14 percent of Aboriginal and Torres Strait Islander men and </w:t>
      </w:r>
      <w:r w:rsidRPr="00B918A5">
        <w:rPr>
          <w:rFonts w:asciiTheme="majorHAnsi" w:hAnsiTheme="majorHAnsi"/>
          <w:lang w:val="en-AU"/>
        </w:rPr>
        <w:lastRenderedPageBreak/>
        <w:t>12.7 percent of non-Indigenous men aged 15 and over were drinking an average of over five standard drinks per day.</w:t>
      </w:r>
      <w:r w:rsidRPr="00B918A5">
        <w:rPr>
          <w:rFonts w:asciiTheme="majorHAnsi" w:hAnsiTheme="majorHAnsi"/>
          <w:vertAlign w:val="superscript"/>
          <w:lang w:val="en-AU"/>
        </w:rPr>
        <w:endnoteReference w:id="83"/>
      </w:r>
      <w:r w:rsidRPr="00B918A5">
        <w:rPr>
          <w:rFonts w:asciiTheme="majorHAnsi" w:hAnsiTheme="majorHAnsi"/>
          <w:lang w:val="en-AU"/>
        </w:rPr>
        <w:t xml:space="preserve"> A significantly larger proportion of Aboriginal and Torres Strait Islander men (8.1 percent) than non-Indigenous men (6.1 percent) were drinking more than seven standard drinks per day.</w:t>
      </w:r>
      <w:r w:rsidRPr="00B918A5">
        <w:rPr>
          <w:rFonts w:asciiTheme="majorHAnsi" w:hAnsiTheme="majorHAnsi"/>
          <w:vertAlign w:val="superscript"/>
          <w:lang w:val="en-AU"/>
        </w:rPr>
        <w:endnoteReference w:id="84"/>
      </w:r>
      <w:r w:rsidR="006B4556" w:rsidRPr="00B918A5">
        <w:rPr>
          <w:rFonts w:asciiTheme="majorHAnsi" w:hAnsiTheme="majorHAnsi"/>
          <w:lang w:val="en-AU"/>
        </w:rPr>
        <w:t xml:space="preserve"> </w:t>
      </w:r>
      <w:r w:rsidR="00897AC2">
        <w:rPr>
          <w:rFonts w:asciiTheme="majorHAnsi" w:hAnsiTheme="majorHAnsi"/>
          <w:lang w:val="en-AU"/>
        </w:rPr>
        <w:t>Similarly more</w:t>
      </w:r>
      <w:r w:rsidR="006B4556" w:rsidRPr="00B918A5">
        <w:rPr>
          <w:rFonts w:asciiTheme="majorHAnsi" w:hAnsiTheme="majorHAnsi"/>
          <w:lang w:val="en-AU"/>
        </w:rPr>
        <w:t xml:space="preserve"> Aboriginal and Torres Strait Islander women (4 percent) than non-Indigenous women (2.8 percent) were drinking more than five standard drinks per day.</w:t>
      </w:r>
      <w:r w:rsidR="006B4556" w:rsidRPr="00B918A5">
        <w:rPr>
          <w:rStyle w:val="EndnoteReference"/>
          <w:lang w:val="en-AU"/>
        </w:rPr>
        <w:endnoteReference w:id="85"/>
      </w:r>
    </w:p>
    <w:p w14:paraId="6A769DC1" w14:textId="6111D74B" w:rsidR="00814869" w:rsidRPr="00B918A5" w:rsidRDefault="00CB2A97" w:rsidP="00F95CCA">
      <w:pPr>
        <w:spacing w:before="240" w:after="240"/>
        <w:rPr>
          <w:rFonts w:asciiTheme="majorHAnsi" w:hAnsiTheme="majorHAnsi"/>
          <w:lang w:val="en-AU"/>
        </w:rPr>
      </w:pPr>
      <w:r>
        <w:rPr>
          <w:rFonts w:asciiTheme="majorHAnsi" w:hAnsiTheme="majorHAnsi"/>
          <w:lang w:val="en-AU"/>
        </w:rPr>
        <w:t xml:space="preserve">The </w:t>
      </w:r>
      <w:r w:rsidR="0089182A" w:rsidRPr="0089182A">
        <w:rPr>
          <w:rFonts w:asciiTheme="majorHAnsi" w:hAnsiTheme="majorHAnsi"/>
          <w:lang w:val="en-AU"/>
        </w:rPr>
        <w:t>OID</w:t>
      </w:r>
      <w:r w:rsidR="00814869" w:rsidRPr="0089182A">
        <w:rPr>
          <w:rFonts w:asciiTheme="majorHAnsi" w:hAnsiTheme="majorHAnsi"/>
          <w:lang w:val="en-AU"/>
        </w:rPr>
        <w:t xml:space="preserve"> 2014</w:t>
      </w:r>
      <w:r w:rsidR="00814869" w:rsidRPr="00B918A5">
        <w:rPr>
          <w:rFonts w:asciiTheme="majorHAnsi" w:hAnsiTheme="majorHAnsi"/>
          <w:i/>
          <w:lang w:val="en-AU"/>
        </w:rPr>
        <w:t xml:space="preserve"> </w:t>
      </w:r>
      <w:r w:rsidR="00875E79">
        <w:rPr>
          <w:rFonts w:asciiTheme="majorHAnsi" w:hAnsiTheme="majorHAnsi"/>
          <w:lang w:val="en-AU"/>
        </w:rPr>
        <w:t>R</w:t>
      </w:r>
      <w:r>
        <w:rPr>
          <w:rFonts w:asciiTheme="majorHAnsi" w:hAnsiTheme="majorHAnsi"/>
          <w:lang w:val="en-AU"/>
        </w:rPr>
        <w:t>eport finds</w:t>
      </w:r>
      <w:r w:rsidR="00814869" w:rsidRPr="00B918A5">
        <w:rPr>
          <w:rFonts w:asciiTheme="majorHAnsi" w:hAnsiTheme="majorHAnsi"/>
          <w:lang w:val="en-AU"/>
        </w:rPr>
        <w:t xml:space="preserve"> that in 2012-13, Aboriginal and Torres Strait Islander people were admitted to hospital for acute intoxication at around 12.1 times the rate for non-</w:t>
      </w:r>
      <w:r w:rsidR="00517DF0">
        <w:rPr>
          <w:rFonts w:asciiTheme="majorHAnsi" w:hAnsiTheme="majorHAnsi"/>
          <w:lang w:val="en-AU"/>
        </w:rPr>
        <w:t>Indigenous people –</w:t>
      </w:r>
      <w:r w:rsidR="00814869" w:rsidRPr="00B918A5">
        <w:rPr>
          <w:rFonts w:asciiTheme="majorHAnsi" w:hAnsiTheme="majorHAnsi"/>
          <w:lang w:val="en-AU"/>
        </w:rPr>
        <w:t xml:space="preserve"> the</w:t>
      </w:r>
      <w:r w:rsidR="00517DF0">
        <w:rPr>
          <w:rFonts w:asciiTheme="majorHAnsi" w:hAnsiTheme="majorHAnsi"/>
          <w:lang w:val="en-AU"/>
        </w:rPr>
        <w:t xml:space="preserve"> </w:t>
      </w:r>
      <w:r w:rsidR="00814869" w:rsidRPr="00B918A5">
        <w:rPr>
          <w:rFonts w:asciiTheme="majorHAnsi" w:hAnsiTheme="majorHAnsi"/>
          <w:lang w:val="en-AU"/>
        </w:rPr>
        <w:t>rate in remote and very remote areas was double the rate in major cities.</w:t>
      </w:r>
      <w:r w:rsidR="00814869" w:rsidRPr="00B918A5">
        <w:rPr>
          <w:rStyle w:val="EndnoteReference"/>
          <w:lang w:val="en-AU"/>
        </w:rPr>
        <w:endnoteReference w:id="86"/>
      </w:r>
      <w:r w:rsidR="00814869" w:rsidRPr="00B918A5">
        <w:rPr>
          <w:rFonts w:asciiTheme="majorHAnsi" w:hAnsiTheme="majorHAnsi"/>
          <w:lang w:val="en-AU"/>
        </w:rPr>
        <w:t xml:space="preserve"> The gap increased from 5.7 to 12.1 times</w:t>
      </w:r>
      <w:r w:rsidR="00517DF0">
        <w:rPr>
          <w:rFonts w:asciiTheme="majorHAnsi" w:hAnsiTheme="majorHAnsi"/>
          <w:lang w:val="en-AU"/>
        </w:rPr>
        <w:t xml:space="preserve"> the rate of admission from</w:t>
      </w:r>
      <w:r w:rsidR="00814869" w:rsidRPr="00B918A5">
        <w:rPr>
          <w:rFonts w:asciiTheme="majorHAnsi" w:hAnsiTheme="majorHAnsi"/>
          <w:lang w:val="en-AU"/>
        </w:rPr>
        <w:t xml:space="preserve"> 2004-05 </w:t>
      </w:r>
      <w:r w:rsidR="00517DF0">
        <w:rPr>
          <w:rFonts w:asciiTheme="majorHAnsi" w:hAnsiTheme="majorHAnsi"/>
          <w:lang w:val="en-AU"/>
        </w:rPr>
        <w:t>to</w:t>
      </w:r>
      <w:r w:rsidR="00814869" w:rsidRPr="00B918A5">
        <w:rPr>
          <w:rFonts w:asciiTheme="majorHAnsi" w:hAnsiTheme="majorHAnsi"/>
          <w:lang w:val="en-AU"/>
        </w:rPr>
        <w:t xml:space="preserve"> 2012-13.</w:t>
      </w:r>
      <w:r w:rsidR="00814869" w:rsidRPr="00B918A5">
        <w:rPr>
          <w:rStyle w:val="EndnoteReference"/>
          <w:lang w:val="en-AU"/>
        </w:rPr>
        <w:endnoteReference w:id="87"/>
      </w:r>
    </w:p>
    <w:p w14:paraId="638EE714" w14:textId="77777777" w:rsidR="00814869" w:rsidRPr="00B918A5" w:rsidRDefault="00814869" w:rsidP="00F95CCA">
      <w:pPr>
        <w:rPr>
          <w:rFonts w:asciiTheme="majorHAnsi" w:hAnsiTheme="majorHAnsi"/>
          <w:lang w:val="en-AU"/>
        </w:rPr>
      </w:pPr>
      <w:r w:rsidRPr="00B918A5">
        <w:rPr>
          <w:rFonts w:asciiTheme="majorHAnsi" w:hAnsiTheme="majorHAnsi"/>
          <w:lang w:val="en-AU"/>
        </w:rPr>
        <w:t>At-risk drinking is also linked with</w:t>
      </w:r>
      <w:r w:rsidR="0090294F" w:rsidRPr="00B918A5">
        <w:rPr>
          <w:rFonts w:asciiTheme="majorHAnsi" w:hAnsiTheme="majorHAnsi"/>
          <w:lang w:val="en-AU"/>
        </w:rPr>
        <w:t xml:space="preserve"> injury,</w:t>
      </w:r>
      <w:r w:rsidRPr="00B918A5">
        <w:rPr>
          <w:rFonts w:asciiTheme="majorHAnsi" w:hAnsiTheme="majorHAnsi"/>
          <w:lang w:val="en-AU"/>
        </w:rPr>
        <w:t xml:space="preserve"> disability and death through accidents, violence and suicide:</w:t>
      </w:r>
      <w:r w:rsidRPr="00B918A5">
        <w:rPr>
          <w:rStyle w:val="EndnoteReference"/>
          <w:lang w:val="en-AU"/>
        </w:rPr>
        <w:endnoteReference w:id="88"/>
      </w:r>
    </w:p>
    <w:p w14:paraId="7C43CEAB" w14:textId="5D1BE439" w:rsidR="00814869" w:rsidRPr="00B918A5" w:rsidRDefault="00814869" w:rsidP="00644563">
      <w:pPr>
        <w:pStyle w:val="ListParagraph"/>
        <w:numPr>
          <w:ilvl w:val="0"/>
          <w:numId w:val="33"/>
        </w:numPr>
        <w:spacing w:before="120" w:after="120"/>
        <w:ind w:left="357" w:hanging="357"/>
        <w:contextualSpacing w:val="0"/>
        <w:rPr>
          <w:rFonts w:asciiTheme="majorHAnsi" w:hAnsiTheme="majorHAnsi"/>
          <w:lang w:val="en-AU"/>
        </w:rPr>
      </w:pPr>
      <w:r w:rsidRPr="00B918A5">
        <w:rPr>
          <w:rFonts w:asciiTheme="majorHAnsi" w:hAnsiTheme="majorHAnsi"/>
          <w:lang w:val="en-AU"/>
        </w:rPr>
        <w:t>From 2003–2007 to 2008–2012, the alcohol induced death rate for Aboriginal and Torres Strait Islander people in jurisdictions w</w:t>
      </w:r>
      <w:r w:rsidR="00227ED7">
        <w:rPr>
          <w:rFonts w:asciiTheme="majorHAnsi" w:hAnsiTheme="majorHAnsi"/>
          <w:lang w:val="en-AU"/>
        </w:rPr>
        <w:t>h</w:t>
      </w:r>
      <w:r w:rsidRPr="00B918A5">
        <w:rPr>
          <w:rFonts w:asciiTheme="majorHAnsi" w:hAnsiTheme="majorHAnsi"/>
          <w:lang w:val="en-AU"/>
        </w:rPr>
        <w:t xml:space="preserve">ere data is deemed reliable was around </w:t>
      </w:r>
      <w:r w:rsidR="00BD28E3">
        <w:rPr>
          <w:rFonts w:asciiTheme="majorHAnsi" w:hAnsiTheme="majorHAnsi"/>
          <w:lang w:val="en-AU"/>
        </w:rPr>
        <w:t>five</w:t>
      </w:r>
      <w:r w:rsidRPr="00B918A5">
        <w:rPr>
          <w:rFonts w:asciiTheme="majorHAnsi" w:hAnsiTheme="majorHAnsi"/>
          <w:lang w:val="en-AU"/>
        </w:rPr>
        <w:t xml:space="preserve"> times the rate for non-Indigenous people</w:t>
      </w:r>
      <w:r w:rsidR="002418E8">
        <w:rPr>
          <w:rFonts w:asciiTheme="majorHAnsi" w:hAnsiTheme="majorHAnsi"/>
          <w:lang w:val="en-AU"/>
        </w:rPr>
        <w:t>;</w:t>
      </w:r>
      <w:r w:rsidRPr="00B918A5">
        <w:rPr>
          <w:rStyle w:val="EndnoteReference"/>
          <w:lang w:val="en-AU"/>
        </w:rPr>
        <w:endnoteReference w:id="89"/>
      </w:r>
    </w:p>
    <w:p w14:paraId="505C5F3F" w14:textId="77777777" w:rsidR="00814869" w:rsidRPr="00B918A5" w:rsidRDefault="00814869" w:rsidP="00644563">
      <w:pPr>
        <w:pStyle w:val="ListParagraph"/>
        <w:numPr>
          <w:ilvl w:val="0"/>
          <w:numId w:val="33"/>
        </w:numPr>
        <w:spacing w:before="120" w:after="120"/>
        <w:ind w:left="357" w:hanging="357"/>
        <w:contextualSpacing w:val="0"/>
        <w:rPr>
          <w:rFonts w:asciiTheme="majorHAnsi" w:hAnsiTheme="majorHAnsi"/>
          <w:lang w:val="en-AU"/>
        </w:rPr>
      </w:pPr>
      <w:r w:rsidRPr="00B918A5">
        <w:rPr>
          <w:rFonts w:asciiTheme="majorHAnsi" w:hAnsiTheme="majorHAnsi"/>
          <w:lang w:val="en-AU"/>
        </w:rPr>
        <w:t>The majority of Aboriginal and Torres Strait Islander homicides each year involved alcohol consumption</w:t>
      </w:r>
      <w:r w:rsidR="002418E8">
        <w:rPr>
          <w:rFonts w:asciiTheme="majorHAnsi" w:hAnsiTheme="majorHAnsi"/>
          <w:lang w:val="en-AU"/>
        </w:rPr>
        <w:t>;</w:t>
      </w:r>
      <w:r w:rsidRPr="00B918A5">
        <w:rPr>
          <w:rStyle w:val="EndnoteReference"/>
          <w:lang w:val="en-AU"/>
        </w:rPr>
        <w:endnoteReference w:id="90"/>
      </w:r>
      <w:r w:rsidRPr="00B918A5">
        <w:rPr>
          <w:rFonts w:asciiTheme="majorHAnsi" w:hAnsiTheme="majorHAnsi"/>
          <w:lang w:val="en-AU"/>
        </w:rPr>
        <w:t xml:space="preserve"> </w:t>
      </w:r>
    </w:p>
    <w:p w14:paraId="02BEC7BC" w14:textId="77777777" w:rsidR="0014590E" w:rsidRPr="00A57F0D" w:rsidRDefault="004D359A" w:rsidP="00644563">
      <w:pPr>
        <w:pStyle w:val="ListParagraph"/>
        <w:numPr>
          <w:ilvl w:val="0"/>
          <w:numId w:val="33"/>
        </w:numPr>
        <w:spacing w:before="120" w:after="120"/>
        <w:ind w:left="357" w:hanging="357"/>
        <w:contextualSpacing w:val="0"/>
        <w:rPr>
          <w:rFonts w:asciiTheme="majorHAnsi" w:hAnsiTheme="majorHAnsi"/>
          <w:lang w:val="en-AU"/>
        </w:rPr>
      </w:pPr>
      <w:r>
        <w:rPr>
          <w:rFonts w:asciiTheme="majorHAnsi" w:hAnsiTheme="majorHAnsi"/>
          <w:lang w:val="en-AU"/>
        </w:rPr>
        <w:t xml:space="preserve">It is estimated that the prevalence of </w:t>
      </w:r>
      <w:proofErr w:type="spellStart"/>
      <w:r>
        <w:rPr>
          <w:rFonts w:asciiTheme="majorHAnsi" w:hAnsiTheme="majorHAnsi"/>
          <w:lang w:val="en-AU"/>
        </w:rPr>
        <w:t>Fetal</w:t>
      </w:r>
      <w:proofErr w:type="spellEnd"/>
      <w:r>
        <w:rPr>
          <w:rFonts w:asciiTheme="majorHAnsi" w:hAnsiTheme="majorHAnsi"/>
          <w:lang w:val="en-AU"/>
        </w:rPr>
        <w:t xml:space="preserve"> Alcohol Spectrum Disorders (FASD) for </w:t>
      </w:r>
      <w:r w:rsidRPr="00A57F0D">
        <w:rPr>
          <w:rFonts w:asciiTheme="majorHAnsi" w:hAnsiTheme="majorHAnsi"/>
          <w:lang w:val="en-AU"/>
        </w:rPr>
        <w:t xml:space="preserve">Aboriginal and Torres Strait Islander </w:t>
      </w:r>
      <w:r>
        <w:rPr>
          <w:rFonts w:asciiTheme="majorHAnsi" w:hAnsiTheme="majorHAnsi"/>
          <w:lang w:val="en-AU"/>
        </w:rPr>
        <w:t>people is</w:t>
      </w:r>
      <w:r w:rsidRPr="00A57F0D">
        <w:rPr>
          <w:rFonts w:asciiTheme="majorHAnsi" w:hAnsiTheme="majorHAnsi"/>
          <w:lang w:val="en-AU"/>
        </w:rPr>
        <w:t xml:space="preserve"> between 2.76 and 4.7 per 1</w:t>
      </w:r>
      <w:r w:rsidR="002418E8">
        <w:rPr>
          <w:rFonts w:asciiTheme="majorHAnsi" w:hAnsiTheme="majorHAnsi"/>
          <w:lang w:val="en-AU"/>
        </w:rPr>
        <w:t>,</w:t>
      </w:r>
      <w:r w:rsidRPr="00A57F0D">
        <w:rPr>
          <w:rFonts w:asciiTheme="majorHAnsi" w:hAnsiTheme="majorHAnsi"/>
          <w:lang w:val="en-AU"/>
        </w:rPr>
        <w:t>000 births</w:t>
      </w:r>
      <w:r w:rsidRPr="00B918A5">
        <w:rPr>
          <w:rFonts w:asciiTheme="majorHAnsi" w:hAnsiTheme="majorHAnsi"/>
          <w:lang w:val="en-AU"/>
        </w:rPr>
        <w:t xml:space="preserve"> </w:t>
      </w:r>
      <w:r>
        <w:rPr>
          <w:rFonts w:asciiTheme="majorHAnsi" w:hAnsiTheme="majorHAnsi"/>
          <w:lang w:val="en-AU"/>
        </w:rPr>
        <w:t xml:space="preserve">compared to </w:t>
      </w:r>
      <w:r w:rsidR="002C4C51" w:rsidRPr="00A57F0D">
        <w:rPr>
          <w:rFonts w:asciiTheme="majorHAnsi" w:hAnsiTheme="majorHAnsi"/>
          <w:lang w:val="en-AU"/>
        </w:rPr>
        <w:t>between 0.06 and 0.68 per 1</w:t>
      </w:r>
      <w:r w:rsidR="002418E8">
        <w:rPr>
          <w:rFonts w:asciiTheme="majorHAnsi" w:hAnsiTheme="majorHAnsi"/>
          <w:lang w:val="en-AU"/>
        </w:rPr>
        <w:t>,</w:t>
      </w:r>
      <w:r w:rsidR="002C4C51" w:rsidRPr="00A57F0D">
        <w:rPr>
          <w:rFonts w:asciiTheme="majorHAnsi" w:hAnsiTheme="majorHAnsi"/>
          <w:lang w:val="en-AU"/>
        </w:rPr>
        <w:t>000</w:t>
      </w:r>
      <w:r>
        <w:rPr>
          <w:rFonts w:asciiTheme="majorHAnsi" w:hAnsiTheme="majorHAnsi"/>
          <w:lang w:val="en-AU"/>
        </w:rPr>
        <w:t xml:space="preserve"> birth</w:t>
      </w:r>
      <w:r w:rsidR="002418E8">
        <w:rPr>
          <w:rFonts w:asciiTheme="majorHAnsi" w:hAnsiTheme="majorHAnsi"/>
          <w:lang w:val="en-AU"/>
        </w:rPr>
        <w:t>s</w:t>
      </w:r>
      <w:r>
        <w:rPr>
          <w:rFonts w:asciiTheme="majorHAnsi" w:hAnsiTheme="majorHAnsi"/>
          <w:lang w:val="en-AU"/>
        </w:rPr>
        <w:t xml:space="preserve"> for all Australians</w:t>
      </w:r>
      <w:r w:rsidR="002418E8">
        <w:rPr>
          <w:rFonts w:asciiTheme="majorHAnsi" w:hAnsiTheme="majorHAnsi"/>
          <w:lang w:val="en-AU"/>
        </w:rPr>
        <w:t>;</w:t>
      </w:r>
      <w:r w:rsidR="002C4C51" w:rsidRPr="00A57F0D">
        <w:rPr>
          <w:rStyle w:val="EndnoteReference"/>
          <w:rFonts w:asciiTheme="majorHAnsi" w:hAnsiTheme="majorHAnsi"/>
          <w:sz w:val="22"/>
          <w:lang w:val="en-AU"/>
        </w:rPr>
        <w:endnoteReference w:id="91"/>
      </w:r>
      <w:r w:rsidR="0014590E" w:rsidRPr="00A57F0D">
        <w:rPr>
          <w:rFonts w:asciiTheme="majorHAnsi" w:eastAsia="Times New Roman" w:hAnsiTheme="majorHAnsi" w:cs="Arial"/>
          <w:color w:val="000000"/>
          <w:lang w:val="en-AU"/>
        </w:rPr>
        <w:t xml:space="preserve"> </w:t>
      </w:r>
      <w:r w:rsidR="002418E8">
        <w:rPr>
          <w:rFonts w:asciiTheme="majorHAnsi" w:eastAsia="Times New Roman" w:hAnsiTheme="majorHAnsi" w:cs="Arial"/>
          <w:color w:val="000000"/>
          <w:lang w:val="en-AU"/>
        </w:rPr>
        <w:t>and</w:t>
      </w:r>
    </w:p>
    <w:p w14:paraId="6C013496" w14:textId="77777777" w:rsidR="00854E6B" w:rsidRPr="001E149E" w:rsidRDefault="000404BD" w:rsidP="00644563">
      <w:pPr>
        <w:pStyle w:val="ListParagraph"/>
        <w:numPr>
          <w:ilvl w:val="0"/>
          <w:numId w:val="33"/>
        </w:numPr>
        <w:spacing w:before="120" w:after="120"/>
        <w:ind w:left="357" w:hanging="357"/>
        <w:contextualSpacing w:val="0"/>
        <w:rPr>
          <w:rFonts w:asciiTheme="majorHAnsi" w:hAnsiTheme="majorHAnsi"/>
          <w:sz w:val="24"/>
          <w:szCs w:val="24"/>
          <w:lang w:val="en-AU"/>
        </w:rPr>
      </w:pPr>
      <w:r>
        <w:rPr>
          <w:lang w:val="en-AU"/>
        </w:rPr>
        <w:t xml:space="preserve">Evidence demonstrates that </w:t>
      </w:r>
      <w:proofErr w:type="gramStart"/>
      <w:r>
        <w:rPr>
          <w:lang w:val="en-AU"/>
        </w:rPr>
        <w:t>high levels of alcohol misuse is</w:t>
      </w:r>
      <w:proofErr w:type="gramEnd"/>
      <w:r>
        <w:rPr>
          <w:lang w:val="en-AU"/>
        </w:rPr>
        <w:t xml:space="preserve"> associated with family violence in Aboriginal and Torres Strait Islander communities</w:t>
      </w:r>
      <w:r w:rsidR="002418E8">
        <w:rPr>
          <w:lang w:val="en-AU"/>
        </w:rPr>
        <w:t>.</w:t>
      </w:r>
      <w:r w:rsidR="005C54BF" w:rsidRPr="00DD63E7">
        <w:rPr>
          <w:rStyle w:val="EndnoteReference"/>
          <w:sz w:val="22"/>
          <w:lang w:val="en-AU"/>
        </w:rPr>
        <w:endnoteReference w:id="92"/>
      </w:r>
    </w:p>
    <w:p w14:paraId="054B4EAB" w14:textId="5DB2FA13" w:rsidR="001E149E" w:rsidRPr="001E149E" w:rsidRDefault="001E149E" w:rsidP="001E149E">
      <w:pPr>
        <w:spacing w:before="240" w:after="240"/>
        <w:rPr>
          <w:rFonts w:asciiTheme="majorHAnsi" w:hAnsiTheme="majorHAnsi"/>
          <w:lang w:val="en-AU"/>
        </w:rPr>
      </w:pPr>
      <w:r w:rsidRPr="001E149E">
        <w:rPr>
          <w:rFonts w:asciiTheme="majorHAnsi" w:hAnsiTheme="majorHAnsi"/>
          <w:lang w:val="en-AU"/>
        </w:rPr>
        <w:t>Tackling harmful drinking among Aboriginal and Torres Strait Islander people is an important part of closing the health and life expectancy gap</w:t>
      </w:r>
      <w:r w:rsidR="00A01EF7">
        <w:rPr>
          <w:rFonts w:asciiTheme="majorHAnsi" w:hAnsiTheme="majorHAnsi"/>
          <w:lang w:val="en-AU"/>
        </w:rPr>
        <w:t>. As such,</w:t>
      </w:r>
      <w:r w:rsidRPr="001E149E">
        <w:rPr>
          <w:rFonts w:asciiTheme="majorHAnsi" w:hAnsiTheme="majorHAnsi"/>
          <w:lang w:val="en-AU"/>
        </w:rPr>
        <w:t xml:space="preserve"> the Campaign Steering Committee welcomes the ongoing development of a </w:t>
      </w:r>
      <w:r w:rsidR="00A01EF7">
        <w:rPr>
          <w:rFonts w:asciiTheme="majorHAnsi" w:hAnsiTheme="majorHAnsi"/>
          <w:lang w:val="en-AU"/>
        </w:rPr>
        <w:t xml:space="preserve">dedicated </w:t>
      </w:r>
      <w:r w:rsidRPr="001E149E">
        <w:rPr>
          <w:rFonts w:asciiTheme="majorHAnsi" w:hAnsiTheme="majorHAnsi"/>
          <w:i/>
          <w:lang w:val="en-AU"/>
        </w:rPr>
        <w:t>National Aboriginal and Torres Strait Islander Peoples’ Drug Strategy</w:t>
      </w:r>
      <w:r w:rsidRPr="001E149E">
        <w:rPr>
          <w:rFonts w:asciiTheme="majorHAnsi" w:hAnsiTheme="majorHAnsi"/>
          <w:lang w:val="en-AU"/>
        </w:rPr>
        <w:t xml:space="preserve"> (Drug Strategy). The Drug Strategy will address problem alcohol and other drug consumption and replace the </w:t>
      </w:r>
      <w:r w:rsidRPr="001E149E">
        <w:rPr>
          <w:rFonts w:asciiTheme="majorHAnsi" w:hAnsiTheme="majorHAnsi"/>
          <w:i/>
          <w:lang w:val="en-AU"/>
        </w:rPr>
        <w:t>National Drug Strategy Aboriginal and Torres Strait Islander Peoples Complementary Action Plan 2003-2009</w:t>
      </w:r>
      <w:r w:rsidRPr="001E149E">
        <w:rPr>
          <w:rFonts w:asciiTheme="majorHAnsi" w:hAnsiTheme="majorHAnsi"/>
          <w:lang w:val="en-AU"/>
        </w:rPr>
        <w:t>.</w:t>
      </w:r>
      <w:r w:rsidRPr="0005379F">
        <w:rPr>
          <w:rStyle w:val="EndnoteReference"/>
          <w:lang w:val="en-AU"/>
        </w:rPr>
        <w:endnoteReference w:id="93"/>
      </w:r>
    </w:p>
    <w:p w14:paraId="35159704" w14:textId="1B130373" w:rsidR="001E149E" w:rsidRPr="005936C8" w:rsidRDefault="001E149E" w:rsidP="001E149E">
      <w:pPr>
        <w:spacing w:before="240" w:after="240"/>
        <w:rPr>
          <w:rFonts w:asciiTheme="majorHAnsi" w:hAnsiTheme="majorHAnsi"/>
          <w:lang w:val="en-AU"/>
        </w:rPr>
      </w:pPr>
      <w:r w:rsidRPr="001E149E">
        <w:rPr>
          <w:rFonts w:asciiTheme="majorHAnsi" w:hAnsiTheme="majorHAnsi"/>
          <w:lang w:val="en-AU"/>
        </w:rPr>
        <w:t xml:space="preserve">Implementing the Drug Strategy in a coordinated way with the implementation of the Health Plan, the </w:t>
      </w:r>
      <w:r w:rsidRPr="001E149E">
        <w:rPr>
          <w:rFonts w:asciiTheme="majorHAnsi" w:hAnsiTheme="majorHAnsi"/>
          <w:i/>
          <w:lang w:val="en-AU"/>
        </w:rPr>
        <w:t xml:space="preserve">National Strategic Framework for Aboriginal and Torres Strait Islander Peoples’ Mental Health and Social and Emotional Wellbeing </w:t>
      </w:r>
      <w:r w:rsidRPr="005936C8">
        <w:rPr>
          <w:rFonts w:asciiTheme="majorHAnsi" w:hAnsiTheme="majorHAnsi"/>
          <w:lang w:val="en-AU"/>
        </w:rPr>
        <w:t>(in development at the time of writing)</w:t>
      </w:r>
      <w:r w:rsidRPr="004E104E">
        <w:rPr>
          <w:rStyle w:val="EndnoteReference"/>
          <w:lang w:val="en-AU"/>
        </w:rPr>
        <w:endnoteReference w:id="94"/>
      </w:r>
      <w:r w:rsidRPr="005936C8">
        <w:rPr>
          <w:rFonts w:asciiTheme="majorHAnsi" w:hAnsiTheme="majorHAnsi"/>
          <w:lang w:val="en-AU"/>
        </w:rPr>
        <w:t xml:space="preserve"> and the 2013 </w:t>
      </w:r>
      <w:r w:rsidRPr="005936C8">
        <w:rPr>
          <w:rFonts w:asciiTheme="majorHAnsi" w:hAnsiTheme="majorHAnsi"/>
          <w:i/>
          <w:lang w:val="en-AU"/>
        </w:rPr>
        <w:t>National Aboriginal and Torres Strait Islander Suicide Prevention Strategy</w:t>
      </w:r>
      <w:r w:rsidRPr="004E104E">
        <w:rPr>
          <w:vertAlign w:val="superscript"/>
          <w:lang w:val="en-AU"/>
        </w:rPr>
        <w:endnoteReference w:id="95"/>
      </w:r>
      <w:r w:rsidRPr="005936C8">
        <w:rPr>
          <w:rFonts w:asciiTheme="majorHAnsi" w:hAnsiTheme="majorHAnsi"/>
          <w:lang w:val="en-AU"/>
        </w:rPr>
        <w:t xml:space="preserve"> remains a key challenge for 2015 as discussed later. The Drug Strategy is discussed further in the text box below.</w:t>
      </w:r>
    </w:p>
    <w:tbl>
      <w:tblPr>
        <w:tblStyle w:val="TableGrid"/>
        <w:tblW w:w="0" w:type="auto"/>
        <w:tblLook w:val="04A0" w:firstRow="1" w:lastRow="0" w:firstColumn="1" w:lastColumn="0" w:noHBand="0" w:noVBand="1"/>
      </w:tblPr>
      <w:tblGrid>
        <w:gridCol w:w="9286"/>
      </w:tblGrid>
      <w:tr w:rsidR="001E149E" w:rsidRPr="006A24D8" w14:paraId="7AF5E7C8" w14:textId="77777777" w:rsidTr="001E149E">
        <w:trPr>
          <w:trHeight w:val="1027"/>
        </w:trPr>
        <w:tc>
          <w:tcPr>
            <w:tcW w:w="9286" w:type="dxa"/>
            <w:shd w:val="clear" w:color="auto" w:fill="DBE5F1" w:themeFill="accent1" w:themeFillTint="33"/>
          </w:tcPr>
          <w:p w14:paraId="184F4454" w14:textId="77777777" w:rsidR="001E149E" w:rsidRPr="0005379F" w:rsidRDefault="001E149E" w:rsidP="001E149E">
            <w:pPr>
              <w:spacing w:before="120" w:after="120"/>
              <w:rPr>
                <w:rFonts w:asciiTheme="majorHAnsi" w:hAnsiTheme="majorHAnsi"/>
                <w:b/>
                <w:i/>
                <w:lang w:val="en-AU"/>
              </w:rPr>
            </w:pPr>
            <w:r w:rsidRPr="004E104E">
              <w:rPr>
                <w:rFonts w:asciiTheme="majorHAnsi" w:hAnsiTheme="majorHAnsi"/>
                <w:b/>
                <w:lang w:val="en-AU"/>
              </w:rPr>
              <w:t>Text Box</w:t>
            </w:r>
            <w:r w:rsidRPr="004E104E">
              <w:rPr>
                <w:rFonts w:asciiTheme="majorHAnsi" w:hAnsiTheme="majorHAnsi"/>
                <w:b/>
                <w:i/>
                <w:lang w:val="en-AU"/>
              </w:rPr>
              <w:t>:</w:t>
            </w:r>
            <w:r w:rsidRPr="0005379F">
              <w:rPr>
                <w:rFonts w:asciiTheme="majorHAnsi" w:hAnsiTheme="majorHAnsi"/>
                <w:b/>
                <w:i/>
                <w:lang w:val="en-AU"/>
              </w:rPr>
              <w:t xml:space="preserve"> National Aboriginal and Torres Strait Islander Peoples’ Drug Strategy</w:t>
            </w:r>
          </w:p>
          <w:p w14:paraId="33FD161F" w14:textId="77777777" w:rsidR="001E149E" w:rsidRPr="0005379F" w:rsidRDefault="001E149E" w:rsidP="001E149E">
            <w:pPr>
              <w:spacing w:before="120" w:after="120"/>
              <w:rPr>
                <w:rFonts w:asciiTheme="majorHAnsi" w:hAnsiTheme="majorHAnsi"/>
                <w:lang w:val="en-AU"/>
              </w:rPr>
            </w:pPr>
            <w:r w:rsidRPr="0005379F">
              <w:rPr>
                <w:rFonts w:asciiTheme="majorHAnsi" w:hAnsiTheme="majorHAnsi"/>
                <w:lang w:val="en-AU"/>
              </w:rPr>
              <w:t xml:space="preserve">The </w:t>
            </w:r>
            <w:r w:rsidRPr="0005379F">
              <w:rPr>
                <w:rFonts w:asciiTheme="majorHAnsi" w:hAnsiTheme="majorHAnsi"/>
                <w:i/>
                <w:lang w:val="en-AU"/>
              </w:rPr>
              <w:t>National Drug Strategy 2010-2015</w:t>
            </w:r>
            <w:r w:rsidRPr="0005379F">
              <w:rPr>
                <w:rFonts w:asciiTheme="majorHAnsi" w:hAnsiTheme="majorHAnsi"/>
                <w:lang w:val="en-AU"/>
              </w:rPr>
              <w:t xml:space="preserve"> committed to the development of seven sub-strategies to be developed, one of which is the </w:t>
            </w:r>
            <w:r w:rsidRPr="00436ED4">
              <w:rPr>
                <w:rFonts w:asciiTheme="majorHAnsi" w:hAnsiTheme="majorHAnsi"/>
                <w:i/>
                <w:lang w:val="en-AU"/>
              </w:rPr>
              <w:t>National Aboriginal and Torres Strait Islander Peoples’ Drug Strategy</w:t>
            </w:r>
            <w:r w:rsidRPr="0005379F">
              <w:rPr>
                <w:rFonts w:asciiTheme="majorHAnsi" w:hAnsiTheme="majorHAnsi"/>
                <w:lang w:val="en-AU"/>
              </w:rPr>
              <w:t xml:space="preserve"> (Drug Strategy).</w:t>
            </w:r>
            <w:r w:rsidRPr="0005379F">
              <w:rPr>
                <w:rFonts w:asciiTheme="majorHAnsi" w:hAnsiTheme="majorHAnsi"/>
                <w:vertAlign w:val="superscript"/>
                <w:lang w:val="en-AU"/>
              </w:rPr>
              <w:endnoteReference w:id="96"/>
            </w:r>
            <w:r w:rsidRPr="0005379F">
              <w:rPr>
                <w:rFonts w:asciiTheme="majorHAnsi" w:hAnsiTheme="majorHAnsi"/>
                <w:vertAlign w:val="superscript"/>
                <w:lang w:val="en-AU"/>
              </w:rPr>
              <w:t xml:space="preserve"> </w:t>
            </w:r>
            <w:r w:rsidRPr="0005379F">
              <w:rPr>
                <w:rFonts w:asciiTheme="majorHAnsi" w:hAnsiTheme="majorHAnsi"/>
                <w:lang w:val="en-AU"/>
              </w:rPr>
              <w:t>In 2013, the Working Group for the Drug Strategy released a background paper that provides insight into the purpose and some of the main areas for consideration to be discussed in the final document.</w:t>
            </w:r>
            <w:r w:rsidRPr="0005379F">
              <w:rPr>
                <w:rFonts w:asciiTheme="majorHAnsi" w:hAnsiTheme="majorHAnsi"/>
                <w:vertAlign w:val="superscript"/>
                <w:lang w:val="en-AU"/>
              </w:rPr>
              <w:endnoteReference w:id="97"/>
            </w:r>
            <w:r w:rsidRPr="0005379F">
              <w:rPr>
                <w:rFonts w:asciiTheme="majorHAnsi" w:hAnsiTheme="majorHAnsi"/>
                <w:vertAlign w:val="superscript"/>
                <w:lang w:val="en-AU"/>
              </w:rPr>
              <w:t xml:space="preserve"> </w:t>
            </w:r>
          </w:p>
          <w:p w14:paraId="0F46614E" w14:textId="3CFF56B9" w:rsidR="001E149E" w:rsidRPr="0005379F" w:rsidRDefault="001E149E" w:rsidP="001E149E">
            <w:pPr>
              <w:spacing w:before="120" w:after="120"/>
              <w:rPr>
                <w:rFonts w:asciiTheme="majorHAnsi" w:hAnsiTheme="majorHAnsi"/>
                <w:lang w:val="en-AU"/>
              </w:rPr>
            </w:pPr>
            <w:r w:rsidRPr="0005379F">
              <w:rPr>
                <w:rFonts w:asciiTheme="majorHAnsi" w:hAnsiTheme="majorHAnsi"/>
                <w:lang w:val="en-AU"/>
              </w:rPr>
              <w:t>The Drug Strategy is intended to act as a guide for governments, Aboriginal and Torres Strait Islander communities, service providers and individuals by identifying some of the key issues and areas for action relating to the harmful use of tobacco, alcohol and other drugs. It should consider the types of actions that could help to reduce the impact of these things on Aboriginal and Torres Strait Islander people</w:t>
            </w:r>
            <w:r w:rsidR="00AB7F82">
              <w:rPr>
                <w:rFonts w:asciiTheme="majorHAnsi" w:hAnsiTheme="majorHAnsi"/>
                <w:lang w:val="en-AU"/>
              </w:rPr>
              <w:t>s</w:t>
            </w:r>
            <w:r w:rsidRPr="0005379F">
              <w:rPr>
                <w:rFonts w:asciiTheme="majorHAnsi" w:hAnsiTheme="majorHAnsi"/>
                <w:lang w:val="en-AU"/>
              </w:rPr>
              <w:t xml:space="preserve"> and communities</w:t>
            </w:r>
            <w:r w:rsidR="00FF1EE2">
              <w:rPr>
                <w:rFonts w:asciiTheme="majorHAnsi" w:hAnsiTheme="majorHAnsi"/>
                <w:lang w:val="en-AU"/>
              </w:rPr>
              <w:t>,</w:t>
            </w:r>
            <w:r w:rsidRPr="0005379F">
              <w:rPr>
                <w:rFonts w:asciiTheme="majorHAnsi" w:hAnsiTheme="majorHAnsi"/>
                <w:lang w:val="en-AU"/>
              </w:rPr>
              <w:t xml:space="preserve"> and contribute to improved health and social outcomes.</w:t>
            </w:r>
            <w:r w:rsidRPr="0005379F">
              <w:rPr>
                <w:rFonts w:asciiTheme="majorHAnsi" w:hAnsiTheme="majorHAnsi"/>
                <w:vertAlign w:val="superscript"/>
                <w:lang w:val="en-AU"/>
              </w:rPr>
              <w:endnoteReference w:id="98"/>
            </w:r>
            <w:r w:rsidRPr="0005379F">
              <w:rPr>
                <w:rFonts w:asciiTheme="majorHAnsi" w:hAnsiTheme="majorHAnsi"/>
                <w:vertAlign w:val="superscript"/>
                <w:lang w:val="en-AU"/>
              </w:rPr>
              <w:t xml:space="preserve"> </w:t>
            </w:r>
          </w:p>
          <w:p w14:paraId="1A0FB01A" w14:textId="2AAEC4C2" w:rsidR="001E149E" w:rsidRPr="0005379F" w:rsidRDefault="001E149E" w:rsidP="001E149E">
            <w:pPr>
              <w:spacing w:before="120" w:after="120"/>
              <w:rPr>
                <w:rFonts w:asciiTheme="majorHAnsi" w:hAnsiTheme="majorHAnsi"/>
                <w:lang w:val="en-AU"/>
              </w:rPr>
            </w:pPr>
            <w:r w:rsidRPr="0005379F">
              <w:rPr>
                <w:rFonts w:asciiTheme="majorHAnsi" w:hAnsiTheme="majorHAnsi"/>
                <w:lang w:val="en-AU"/>
              </w:rPr>
              <w:t>In delivering on this purpose, it is expected the Drug Strategy will consider the three pillars that underpin the National Drug Strategy: demand reduction; supply reduction and harm reduction</w:t>
            </w:r>
            <w:r w:rsidR="00FF1EE2">
              <w:rPr>
                <w:rFonts w:asciiTheme="majorHAnsi" w:hAnsiTheme="majorHAnsi"/>
                <w:lang w:val="en-AU"/>
              </w:rPr>
              <w:t>.</w:t>
            </w:r>
            <w:r w:rsidRPr="0005379F">
              <w:rPr>
                <w:rFonts w:asciiTheme="majorHAnsi" w:hAnsiTheme="majorHAnsi"/>
                <w:vertAlign w:val="superscript"/>
                <w:lang w:val="en-AU"/>
              </w:rPr>
              <w:endnoteReference w:id="99"/>
            </w:r>
          </w:p>
          <w:p w14:paraId="66E382DA" w14:textId="5C9EB67D" w:rsidR="001E149E" w:rsidRPr="0005379F" w:rsidRDefault="001E149E" w:rsidP="001E149E">
            <w:pPr>
              <w:spacing w:before="120" w:after="120"/>
              <w:rPr>
                <w:rFonts w:asciiTheme="majorHAnsi" w:hAnsiTheme="majorHAnsi"/>
                <w:lang w:val="en-AU"/>
              </w:rPr>
            </w:pPr>
            <w:r w:rsidRPr="0005379F">
              <w:rPr>
                <w:rFonts w:asciiTheme="majorHAnsi" w:hAnsiTheme="majorHAnsi"/>
                <w:lang w:val="en-AU"/>
              </w:rPr>
              <w:lastRenderedPageBreak/>
              <w:t>The Drug Strategy should recognise that problem tobacco, alcohol or other drug use in any context should not be considered in isolation, as there are many contributing factors that can underpin problem usage. It should also recognise that Aboriginal and Torres Strait Islander people</w:t>
            </w:r>
            <w:r w:rsidR="00AB7F82">
              <w:rPr>
                <w:rFonts w:asciiTheme="majorHAnsi" w:hAnsiTheme="majorHAnsi"/>
                <w:lang w:val="en-AU"/>
              </w:rPr>
              <w:t>s</w:t>
            </w:r>
            <w:r w:rsidRPr="0005379F">
              <w:rPr>
                <w:rFonts w:asciiTheme="majorHAnsi" w:hAnsiTheme="majorHAnsi"/>
                <w:lang w:val="en-AU"/>
              </w:rPr>
              <w:t xml:space="preserve"> draw strength from social and emotional wellbeing: this includes connectedness to family, culture and identity.</w:t>
            </w:r>
            <w:r w:rsidRPr="0005379F">
              <w:rPr>
                <w:rFonts w:asciiTheme="majorHAnsi" w:hAnsiTheme="majorHAnsi"/>
                <w:vertAlign w:val="superscript"/>
                <w:lang w:val="en-AU"/>
              </w:rPr>
              <w:endnoteReference w:id="100"/>
            </w:r>
            <w:r w:rsidRPr="0005379F">
              <w:rPr>
                <w:rFonts w:asciiTheme="majorHAnsi" w:hAnsiTheme="majorHAnsi"/>
                <w:vertAlign w:val="superscript"/>
                <w:lang w:val="en-AU"/>
              </w:rPr>
              <w:t xml:space="preserve"> </w:t>
            </w:r>
          </w:p>
          <w:p w14:paraId="411FC1E2" w14:textId="77777777" w:rsidR="001E149E" w:rsidRPr="0005379F" w:rsidRDefault="001E149E" w:rsidP="001E149E">
            <w:pPr>
              <w:spacing w:before="120" w:after="120"/>
              <w:rPr>
                <w:rFonts w:asciiTheme="majorHAnsi" w:hAnsiTheme="majorHAnsi"/>
                <w:lang w:val="en-AU"/>
              </w:rPr>
            </w:pPr>
            <w:r w:rsidRPr="0005379F">
              <w:rPr>
                <w:rFonts w:asciiTheme="majorHAnsi" w:hAnsiTheme="majorHAnsi"/>
                <w:lang w:val="en-AU"/>
              </w:rPr>
              <w:t>The Drug Strategy should acknowledge that ‘Aboriginal and Torres Strait Islander populations are diverse, as are their experiences of health and social problems and in acknowledgement of this diversity seek to promote a shared responsibility and ownership of the issues and solutions that are identified by working in active partnership with Aboriginal and Torres Strait Islander peoples’.</w:t>
            </w:r>
            <w:r w:rsidRPr="0005379F">
              <w:rPr>
                <w:rFonts w:asciiTheme="majorHAnsi" w:hAnsiTheme="majorHAnsi"/>
                <w:vertAlign w:val="superscript"/>
                <w:lang w:val="en-AU"/>
              </w:rPr>
              <w:endnoteReference w:id="101"/>
            </w:r>
          </w:p>
          <w:p w14:paraId="7A5DC906" w14:textId="77777777" w:rsidR="001E149E" w:rsidRPr="0005379F" w:rsidRDefault="001E149E" w:rsidP="001E149E">
            <w:pPr>
              <w:pStyle w:val="CommentText"/>
              <w:spacing w:before="120" w:after="120"/>
              <w:rPr>
                <w:rFonts w:asciiTheme="majorHAnsi" w:hAnsiTheme="majorHAnsi"/>
                <w:lang w:val="en-AU"/>
              </w:rPr>
            </w:pPr>
            <w:r w:rsidRPr="0005379F">
              <w:rPr>
                <w:rFonts w:asciiTheme="majorHAnsi" w:hAnsiTheme="majorHAnsi"/>
                <w:sz w:val="22"/>
                <w:szCs w:val="22"/>
                <w:lang w:val="en-AU"/>
              </w:rPr>
              <w:t xml:space="preserve">In October 2014, the Australian Medical Association’s National Alcohol Summit issued a Communique calling for Australian Government leadership in developing and implementing a dedicated national alcohol strategy, independently from the </w:t>
            </w:r>
            <w:r w:rsidRPr="0005379F">
              <w:rPr>
                <w:rFonts w:asciiTheme="majorHAnsi" w:hAnsiTheme="majorHAnsi"/>
                <w:i/>
                <w:sz w:val="22"/>
                <w:szCs w:val="22"/>
                <w:lang w:val="en-AU"/>
              </w:rPr>
              <w:t>National Drug Strategy</w:t>
            </w:r>
            <w:r w:rsidRPr="0005379F">
              <w:rPr>
                <w:rFonts w:asciiTheme="majorHAnsi" w:hAnsiTheme="majorHAnsi"/>
                <w:sz w:val="22"/>
                <w:szCs w:val="22"/>
                <w:lang w:val="en-AU"/>
              </w:rPr>
              <w:t>. A National Alcohol Strategy would include a specific focus on the needs of Aboriginal and Torres Strait Islander peoples, but connect these to general population alcohol policy to enable coordinated responses to both Aboriginal and Torres Strait Islander and non-Indigenous problem drinking at regional and national levels. The strategy would address pricing, availability, promotion and treatment for alcohol problems.</w:t>
            </w:r>
            <w:r w:rsidRPr="0005379F">
              <w:rPr>
                <w:rStyle w:val="EndnoteReference"/>
                <w:szCs w:val="22"/>
                <w:lang w:val="en-AU"/>
              </w:rPr>
              <w:endnoteReference w:id="102"/>
            </w:r>
            <w:r w:rsidRPr="0005379F">
              <w:rPr>
                <w:rFonts w:asciiTheme="majorHAnsi" w:hAnsiTheme="majorHAnsi"/>
                <w:sz w:val="22"/>
                <w:szCs w:val="22"/>
                <w:lang w:val="en-AU"/>
              </w:rPr>
              <w:t xml:space="preserve"> </w:t>
            </w:r>
          </w:p>
        </w:tc>
      </w:tr>
    </w:tbl>
    <w:p w14:paraId="46C9E68E" w14:textId="77777777" w:rsidR="00814869" w:rsidRPr="00A57F0D" w:rsidRDefault="00814869" w:rsidP="00835E5C">
      <w:pPr>
        <w:pStyle w:val="Heading2"/>
        <w:rPr>
          <w:lang w:val="en-AU"/>
        </w:rPr>
      </w:pPr>
      <w:bookmarkStart w:id="18" w:name="_Toc409788723"/>
      <w:r w:rsidRPr="00A57F0D">
        <w:rPr>
          <w:lang w:val="en-AU"/>
        </w:rPr>
        <w:lastRenderedPageBreak/>
        <w:t>Progress towards achieving the child (under-five) mortality target</w:t>
      </w:r>
      <w:bookmarkEnd w:id="18"/>
      <w:r w:rsidRPr="00A57F0D">
        <w:rPr>
          <w:lang w:val="en-AU"/>
        </w:rPr>
        <w:t xml:space="preserve"> </w:t>
      </w:r>
    </w:p>
    <w:p w14:paraId="4A9EBC03" w14:textId="77777777" w:rsidR="00814869" w:rsidRPr="00A57F0D" w:rsidRDefault="00814869" w:rsidP="00835E5C">
      <w:pPr>
        <w:widowControl w:val="0"/>
        <w:autoSpaceDE w:val="0"/>
        <w:autoSpaceDN w:val="0"/>
        <w:adjustRightInd w:val="0"/>
        <w:spacing w:before="240" w:after="240"/>
        <w:rPr>
          <w:rFonts w:asciiTheme="majorHAnsi" w:hAnsiTheme="majorHAnsi"/>
          <w:lang w:val="en-AU"/>
        </w:rPr>
      </w:pPr>
      <w:r w:rsidRPr="00A57F0D">
        <w:rPr>
          <w:rFonts w:asciiTheme="majorHAnsi" w:hAnsiTheme="majorHAnsi"/>
          <w:lang w:val="en-AU"/>
        </w:rPr>
        <w:t>The COAG Reform Council reports that Australian governments are on track to meet COAG’s target to halve the gap in child death rates by 2018. However, the death rate for Aboriginal and Torres Strait Islander children is still more than double the rate for non-Indigenous children</w:t>
      </w:r>
      <w:r w:rsidR="00C3549F" w:rsidRPr="00A57F0D">
        <w:rPr>
          <w:rFonts w:asciiTheme="majorHAnsi" w:hAnsiTheme="majorHAnsi"/>
          <w:lang w:val="en-AU"/>
        </w:rPr>
        <w:t>.</w:t>
      </w:r>
      <w:r w:rsidRPr="00A57F0D">
        <w:rPr>
          <w:rStyle w:val="EndnoteReference"/>
          <w:lang w:val="en-AU"/>
        </w:rPr>
        <w:endnoteReference w:id="103"/>
      </w:r>
      <w:r w:rsidRPr="00A57F0D">
        <w:rPr>
          <w:rFonts w:asciiTheme="majorHAnsi" w:hAnsiTheme="majorHAnsi"/>
          <w:lang w:val="en-AU"/>
        </w:rPr>
        <w:t xml:space="preserve"> </w:t>
      </w:r>
    </w:p>
    <w:p w14:paraId="469FA48B" w14:textId="0DBF203E" w:rsidR="00814869" w:rsidRPr="00A57F0D" w:rsidRDefault="00814869" w:rsidP="00835E5C">
      <w:pPr>
        <w:widowControl w:val="0"/>
        <w:autoSpaceDE w:val="0"/>
        <w:autoSpaceDN w:val="0"/>
        <w:adjustRightInd w:val="0"/>
        <w:spacing w:before="240" w:after="240"/>
        <w:rPr>
          <w:rFonts w:asciiTheme="majorHAnsi" w:hAnsiTheme="majorHAnsi"/>
          <w:lang w:val="en-AU"/>
        </w:rPr>
      </w:pPr>
      <w:r w:rsidRPr="00A57F0D">
        <w:rPr>
          <w:rFonts w:asciiTheme="majorHAnsi" w:hAnsiTheme="majorHAnsi"/>
          <w:lang w:val="en-AU"/>
        </w:rPr>
        <w:t>There are five jurisdictions with good quality data for this indicator: New South Wales, Queensland, Western Australia, South Australia</w:t>
      </w:r>
      <w:r w:rsidR="00FF1EE2">
        <w:rPr>
          <w:rFonts w:asciiTheme="majorHAnsi" w:hAnsiTheme="majorHAnsi"/>
          <w:lang w:val="en-AU"/>
        </w:rPr>
        <w:t>,</w:t>
      </w:r>
      <w:r w:rsidRPr="00A57F0D">
        <w:rPr>
          <w:rFonts w:asciiTheme="majorHAnsi" w:hAnsiTheme="majorHAnsi"/>
          <w:lang w:val="en-AU"/>
        </w:rPr>
        <w:t xml:space="preserve"> and the Northern Territory.</w:t>
      </w:r>
      <w:r w:rsidRPr="00A57F0D">
        <w:rPr>
          <w:rStyle w:val="EndnoteReference"/>
          <w:lang w:val="en-AU"/>
        </w:rPr>
        <w:endnoteReference w:id="104"/>
      </w:r>
      <w:r w:rsidRPr="00A57F0D">
        <w:rPr>
          <w:rFonts w:asciiTheme="majorHAnsi" w:hAnsiTheme="majorHAnsi"/>
          <w:lang w:val="en-AU"/>
        </w:rPr>
        <w:t xml:space="preserve"> Even across these jurisdictions, however, the numbers of child deaths are relatively small and five years’ data (i.e. data that includes years in which the COAG Closing the Gap reform agenda was operating – effectively from July 2009 on) are not enough to reliably show change.</w:t>
      </w:r>
      <w:r w:rsidRPr="00A57F0D">
        <w:rPr>
          <w:rStyle w:val="EndnoteReference"/>
          <w:lang w:val="en-AU"/>
        </w:rPr>
        <w:endnoteReference w:id="105"/>
      </w:r>
      <w:r w:rsidRPr="00A57F0D">
        <w:rPr>
          <w:rFonts w:asciiTheme="majorHAnsi" w:hAnsiTheme="majorHAnsi"/>
          <w:lang w:val="en-AU"/>
        </w:rPr>
        <w:t xml:space="preserve"> Because of this, the Council adopts a 1998 baseline to allow for up to fifteen years of data to be assessed and better identify trends.</w:t>
      </w:r>
      <w:r w:rsidRPr="00A57F0D">
        <w:rPr>
          <w:rStyle w:val="EndnoteReference"/>
          <w:lang w:val="en-AU"/>
        </w:rPr>
        <w:endnoteReference w:id="106"/>
      </w:r>
    </w:p>
    <w:p w14:paraId="75784016" w14:textId="77777777" w:rsidR="00814869" w:rsidRPr="00A57F0D" w:rsidRDefault="00814869" w:rsidP="00835E5C">
      <w:pPr>
        <w:widowControl w:val="0"/>
        <w:autoSpaceDE w:val="0"/>
        <w:autoSpaceDN w:val="0"/>
        <w:adjustRightInd w:val="0"/>
        <w:spacing w:before="240" w:after="240"/>
        <w:rPr>
          <w:rFonts w:asciiTheme="majorHAnsi" w:hAnsiTheme="majorHAnsi"/>
          <w:lang w:val="en-AU"/>
        </w:rPr>
      </w:pPr>
      <w:r w:rsidRPr="00A57F0D">
        <w:rPr>
          <w:rFonts w:asciiTheme="majorHAnsi" w:hAnsiTheme="majorHAnsi"/>
          <w:lang w:val="en-AU"/>
        </w:rPr>
        <w:t>This shows that deaths of both Aboriginal and Torres Strait Islander and non-Indigenous children fell significantly from 1998 to 2012:</w:t>
      </w:r>
    </w:p>
    <w:p w14:paraId="213F72CC" w14:textId="77777777" w:rsidR="00814869" w:rsidRPr="00A57F0D" w:rsidRDefault="00814869" w:rsidP="00644563">
      <w:pPr>
        <w:pStyle w:val="ListParagraph"/>
        <w:widowControl w:val="0"/>
        <w:numPr>
          <w:ilvl w:val="0"/>
          <w:numId w:val="18"/>
        </w:numPr>
        <w:autoSpaceDE w:val="0"/>
        <w:autoSpaceDN w:val="0"/>
        <w:adjustRightInd w:val="0"/>
        <w:spacing w:before="120" w:after="120"/>
        <w:ind w:left="357" w:hanging="357"/>
        <w:contextualSpacing w:val="0"/>
        <w:rPr>
          <w:rFonts w:asciiTheme="majorHAnsi" w:hAnsiTheme="majorHAnsi"/>
          <w:lang w:val="en-AU"/>
        </w:rPr>
      </w:pPr>
      <w:r w:rsidRPr="00A57F0D">
        <w:rPr>
          <w:rFonts w:asciiTheme="majorHAnsi" w:hAnsiTheme="majorHAnsi"/>
          <w:lang w:val="en-AU"/>
        </w:rPr>
        <w:t>The death rate for Aboriginal and Torres Strait Islander children decreased by an average of 6.5 deaths per 100,000 per year</w:t>
      </w:r>
      <w:r w:rsidR="00DC1695">
        <w:rPr>
          <w:rFonts w:asciiTheme="majorHAnsi" w:hAnsiTheme="majorHAnsi"/>
          <w:lang w:val="en-AU"/>
        </w:rPr>
        <w:t>;</w:t>
      </w:r>
      <w:r w:rsidRPr="00A57F0D">
        <w:rPr>
          <w:rStyle w:val="EndnoteReference"/>
          <w:lang w:val="en-AU"/>
        </w:rPr>
        <w:endnoteReference w:id="107"/>
      </w:r>
      <w:r w:rsidR="00DC1695">
        <w:rPr>
          <w:rFonts w:asciiTheme="majorHAnsi" w:hAnsiTheme="majorHAnsi"/>
          <w:lang w:val="en-AU"/>
        </w:rPr>
        <w:t xml:space="preserve"> and</w:t>
      </w:r>
    </w:p>
    <w:p w14:paraId="1A23B7AE" w14:textId="77777777" w:rsidR="00814869" w:rsidRPr="00A57F0D" w:rsidRDefault="00814869" w:rsidP="00644563">
      <w:pPr>
        <w:pStyle w:val="ListParagraph"/>
        <w:widowControl w:val="0"/>
        <w:numPr>
          <w:ilvl w:val="0"/>
          <w:numId w:val="18"/>
        </w:numPr>
        <w:autoSpaceDE w:val="0"/>
        <w:autoSpaceDN w:val="0"/>
        <w:adjustRightInd w:val="0"/>
        <w:spacing w:before="120" w:after="120"/>
        <w:ind w:left="357" w:hanging="357"/>
        <w:contextualSpacing w:val="0"/>
        <w:rPr>
          <w:rFonts w:asciiTheme="majorHAnsi" w:hAnsiTheme="majorHAnsi"/>
          <w:lang w:val="en-AU"/>
        </w:rPr>
      </w:pPr>
      <w:r w:rsidRPr="00A57F0D">
        <w:rPr>
          <w:rFonts w:asciiTheme="majorHAnsi" w:hAnsiTheme="majorHAnsi"/>
          <w:lang w:val="en-AU"/>
        </w:rPr>
        <w:t>The death rate for non-Indigenous children decreased by 2.0 deaths per 100,000 per year.</w:t>
      </w:r>
      <w:r w:rsidRPr="00A57F0D">
        <w:rPr>
          <w:rStyle w:val="EndnoteReference"/>
          <w:lang w:val="en-AU"/>
        </w:rPr>
        <w:endnoteReference w:id="108"/>
      </w:r>
      <w:r w:rsidRPr="00A57F0D">
        <w:rPr>
          <w:rFonts w:asciiTheme="majorHAnsi" w:hAnsiTheme="majorHAnsi"/>
          <w:lang w:val="en-AU"/>
        </w:rPr>
        <w:t xml:space="preserve"> </w:t>
      </w:r>
    </w:p>
    <w:p w14:paraId="674A5132" w14:textId="77777777" w:rsidR="00814869" w:rsidRPr="00A57F0D" w:rsidRDefault="00814869" w:rsidP="00835E5C">
      <w:pPr>
        <w:widowControl w:val="0"/>
        <w:autoSpaceDE w:val="0"/>
        <w:autoSpaceDN w:val="0"/>
        <w:adjustRightInd w:val="0"/>
        <w:spacing w:before="240" w:after="240"/>
        <w:rPr>
          <w:rFonts w:asciiTheme="majorHAnsi" w:hAnsiTheme="majorHAnsi"/>
          <w:lang w:val="en-AU"/>
        </w:rPr>
      </w:pPr>
      <w:r w:rsidRPr="00A57F0D">
        <w:rPr>
          <w:rFonts w:asciiTheme="majorHAnsi" w:hAnsiTheme="majorHAnsi"/>
          <w:lang w:val="en-AU"/>
        </w:rPr>
        <w:t xml:space="preserve">This reduced the Aboriginal and Torres Strait Islander child death gap from 139.0 deaths per 100,000 in 1998 to 87.6 per 100,000 in 2012 and </w:t>
      </w:r>
      <w:r w:rsidR="00364818">
        <w:rPr>
          <w:rFonts w:asciiTheme="majorHAnsi" w:hAnsiTheme="majorHAnsi"/>
          <w:lang w:val="en-AU"/>
        </w:rPr>
        <w:t xml:space="preserve">has been interpreted to </w:t>
      </w:r>
      <w:r w:rsidRPr="00A57F0D">
        <w:rPr>
          <w:rFonts w:asciiTheme="majorHAnsi" w:hAnsiTheme="majorHAnsi"/>
          <w:lang w:val="en-AU"/>
        </w:rPr>
        <w:t>mean that the nation is on track to meet the COAG target and halve the gap by 2018.</w:t>
      </w:r>
      <w:r w:rsidRPr="00A57F0D">
        <w:rPr>
          <w:rStyle w:val="EndnoteReference"/>
          <w:lang w:val="en-AU"/>
        </w:rPr>
        <w:endnoteReference w:id="109"/>
      </w:r>
      <w:r w:rsidR="00364818">
        <w:rPr>
          <w:rFonts w:asciiTheme="majorHAnsi" w:hAnsiTheme="majorHAnsi"/>
          <w:lang w:val="en-AU"/>
        </w:rPr>
        <w:t xml:space="preserve"> However, as noted by the </w:t>
      </w:r>
      <w:r w:rsidR="00DF2349">
        <w:rPr>
          <w:rFonts w:asciiTheme="majorHAnsi" w:hAnsiTheme="majorHAnsi"/>
          <w:lang w:val="en-AU"/>
        </w:rPr>
        <w:t xml:space="preserve">COAG </w:t>
      </w:r>
      <w:r w:rsidR="00364818">
        <w:rPr>
          <w:rFonts w:asciiTheme="majorHAnsi" w:hAnsiTheme="majorHAnsi"/>
          <w:lang w:val="en-AU"/>
        </w:rPr>
        <w:t>Reform Council,</w:t>
      </w:r>
      <w:r w:rsidR="00E5460F">
        <w:rPr>
          <w:rFonts w:asciiTheme="majorHAnsi" w:hAnsiTheme="majorHAnsi"/>
          <w:lang w:val="en-AU"/>
        </w:rPr>
        <w:t xml:space="preserve"> </w:t>
      </w:r>
      <w:r w:rsidR="00364818">
        <w:rPr>
          <w:rFonts w:asciiTheme="majorHAnsi" w:hAnsiTheme="majorHAnsi"/>
          <w:lang w:val="en-AU"/>
        </w:rPr>
        <w:t>child mortality for the non</w:t>
      </w:r>
      <w:r w:rsidR="00E5460F">
        <w:rPr>
          <w:rFonts w:asciiTheme="majorHAnsi" w:hAnsiTheme="majorHAnsi"/>
          <w:lang w:val="en-AU"/>
        </w:rPr>
        <w:t>-</w:t>
      </w:r>
      <w:r w:rsidR="00364818">
        <w:rPr>
          <w:rFonts w:asciiTheme="majorHAnsi" w:hAnsiTheme="majorHAnsi"/>
          <w:lang w:val="en-AU"/>
        </w:rPr>
        <w:t xml:space="preserve">Indigenous population is also improving and the ratio of the </w:t>
      </w:r>
      <w:r w:rsidR="00DF2349">
        <w:rPr>
          <w:rFonts w:asciiTheme="majorHAnsi" w:hAnsiTheme="majorHAnsi"/>
          <w:lang w:val="en-AU"/>
        </w:rPr>
        <w:t>Aboriginal and Torres Strait Islander</w:t>
      </w:r>
      <w:r w:rsidR="00364818">
        <w:rPr>
          <w:rFonts w:asciiTheme="majorHAnsi" w:hAnsiTheme="majorHAnsi"/>
          <w:lang w:val="en-AU"/>
        </w:rPr>
        <w:t xml:space="preserve"> child mortality rate to the </w:t>
      </w:r>
      <w:r w:rsidR="00E5460F">
        <w:rPr>
          <w:rFonts w:asciiTheme="majorHAnsi" w:hAnsiTheme="majorHAnsi"/>
          <w:lang w:val="en-AU"/>
        </w:rPr>
        <w:t>non-I</w:t>
      </w:r>
      <w:r w:rsidR="00364818">
        <w:rPr>
          <w:rFonts w:asciiTheme="majorHAnsi" w:hAnsiTheme="majorHAnsi"/>
          <w:lang w:val="en-AU"/>
        </w:rPr>
        <w:t xml:space="preserve">ndigenous rate has not changed over the last 10 years and remains almost twice as high (1.9 times). The gap </w:t>
      </w:r>
      <w:r w:rsidR="00DF2349">
        <w:rPr>
          <w:rFonts w:asciiTheme="majorHAnsi" w:hAnsiTheme="majorHAnsi"/>
          <w:lang w:val="en-AU"/>
        </w:rPr>
        <w:t>cannot</w:t>
      </w:r>
      <w:r w:rsidR="00364818">
        <w:rPr>
          <w:rFonts w:asciiTheme="majorHAnsi" w:hAnsiTheme="majorHAnsi"/>
          <w:lang w:val="en-AU"/>
        </w:rPr>
        <w:t xml:space="preserve"> close until this ratio declines.</w:t>
      </w:r>
    </w:p>
    <w:p w14:paraId="2919D3D7" w14:textId="120F4390" w:rsidR="00F3277A" w:rsidRPr="00A57F0D" w:rsidRDefault="009861F3" w:rsidP="00D8364C">
      <w:pPr>
        <w:pStyle w:val="Default"/>
        <w:spacing w:before="240" w:after="240"/>
        <w:rPr>
          <w:rFonts w:asciiTheme="majorHAnsi" w:eastAsia="Calibri" w:hAnsiTheme="majorHAnsi"/>
          <w:color w:val="auto"/>
          <w:sz w:val="22"/>
          <w:szCs w:val="22"/>
          <w:lang w:eastAsia="en-US"/>
        </w:rPr>
      </w:pPr>
      <w:r w:rsidRPr="00A57F0D">
        <w:rPr>
          <w:rFonts w:asciiTheme="majorHAnsi" w:eastAsia="Calibri" w:hAnsiTheme="majorHAnsi"/>
          <w:color w:val="auto"/>
          <w:sz w:val="22"/>
          <w:szCs w:val="22"/>
          <w:lang w:eastAsia="en-US"/>
        </w:rPr>
        <w:t xml:space="preserve">The child (under-five) rate for Aboriginal and Torres Strait Islander children is 165 deaths per 100,00 while the rate for non-indigenous children is 77 </w:t>
      </w:r>
      <w:r w:rsidR="00F3277A" w:rsidRPr="00A57F0D">
        <w:rPr>
          <w:rFonts w:asciiTheme="majorHAnsi" w:eastAsia="Calibri" w:hAnsiTheme="majorHAnsi"/>
          <w:color w:val="auto"/>
          <w:sz w:val="22"/>
          <w:szCs w:val="22"/>
          <w:lang w:eastAsia="en-US"/>
        </w:rPr>
        <w:t>deaths per 100,00</w:t>
      </w:r>
      <w:r w:rsidR="00BD28E3">
        <w:rPr>
          <w:rFonts w:asciiTheme="majorHAnsi" w:eastAsia="Calibri" w:hAnsiTheme="majorHAnsi"/>
          <w:color w:val="auto"/>
          <w:sz w:val="22"/>
          <w:szCs w:val="22"/>
          <w:lang w:eastAsia="en-US"/>
        </w:rPr>
        <w:t>0</w:t>
      </w:r>
      <w:r w:rsidR="00F3277A" w:rsidRPr="00A57F0D">
        <w:rPr>
          <w:rFonts w:asciiTheme="majorHAnsi" w:eastAsia="Calibri" w:hAnsiTheme="majorHAnsi"/>
          <w:color w:val="auto"/>
          <w:sz w:val="22"/>
          <w:szCs w:val="22"/>
          <w:lang w:eastAsia="en-US"/>
        </w:rPr>
        <w:t>.</w:t>
      </w:r>
      <w:r w:rsidR="00F3277A" w:rsidRPr="00A57F0D">
        <w:rPr>
          <w:rStyle w:val="EndnoteReference"/>
          <w:rFonts w:eastAsia="Calibri"/>
          <w:color w:val="auto"/>
          <w:szCs w:val="22"/>
          <w:lang w:eastAsia="en-US"/>
        </w:rPr>
        <w:endnoteReference w:id="110"/>
      </w:r>
      <w:r w:rsidR="00F3277A" w:rsidRPr="00A57F0D">
        <w:rPr>
          <w:rFonts w:asciiTheme="majorHAnsi" w:eastAsia="Calibri" w:hAnsiTheme="majorHAnsi"/>
          <w:color w:val="auto"/>
          <w:sz w:val="22"/>
          <w:szCs w:val="22"/>
          <w:lang w:eastAsia="en-US"/>
        </w:rPr>
        <w:t xml:space="preserve"> This is still unacceptable.</w:t>
      </w:r>
    </w:p>
    <w:p w14:paraId="5EE0AF6D" w14:textId="6E9FB185" w:rsidR="00814869" w:rsidRPr="00A57F0D" w:rsidRDefault="00814869" w:rsidP="00D8364C">
      <w:pPr>
        <w:pStyle w:val="Default"/>
        <w:spacing w:before="240" w:after="240"/>
        <w:rPr>
          <w:rFonts w:asciiTheme="majorHAnsi" w:eastAsia="Calibri" w:hAnsiTheme="majorHAnsi"/>
          <w:color w:val="auto"/>
          <w:sz w:val="22"/>
          <w:szCs w:val="22"/>
          <w:lang w:eastAsia="en-US"/>
        </w:rPr>
      </w:pPr>
      <w:r w:rsidRPr="00A57F0D">
        <w:rPr>
          <w:rFonts w:asciiTheme="majorHAnsi" w:eastAsia="Calibri" w:hAnsiTheme="majorHAnsi"/>
          <w:color w:val="auto"/>
          <w:sz w:val="22"/>
          <w:szCs w:val="22"/>
          <w:lang w:eastAsia="en-US"/>
        </w:rPr>
        <w:t>The COAG Reform Council</w:t>
      </w:r>
      <w:r w:rsidR="00436ED4">
        <w:rPr>
          <w:rFonts w:asciiTheme="majorHAnsi" w:eastAsia="Calibri" w:hAnsiTheme="majorHAnsi"/>
          <w:color w:val="auto"/>
          <w:sz w:val="22"/>
          <w:szCs w:val="22"/>
          <w:lang w:eastAsia="en-US"/>
        </w:rPr>
        <w:t xml:space="preserve"> </w:t>
      </w:r>
      <w:r w:rsidRPr="00A57F0D">
        <w:rPr>
          <w:rFonts w:asciiTheme="majorHAnsi" w:eastAsia="Calibri" w:hAnsiTheme="majorHAnsi"/>
          <w:color w:val="auto"/>
          <w:sz w:val="22"/>
          <w:szCs w:val="22"/>
          <w:lang w:eastAsia="en-US"/>
        </w:rPr>
        <w:t xml:space="preserve">is critical of the continuing use of the trajectory that Australian governments agreed for closing the child death gap in 2009, found in the </w:t>
      </w:r>
      <w:r w:rsidRPr="00A57F0D">
        <w:rPr>
          <w:rFonts w:asciiTheme="majorHAnsi" w:eastAsia="Calibri" w:hAnsiTheme="majorHAnsi"/>
          <w:i/>
          <w:color w:val="auto"/>
          <w:sz w:val="22"/>
          <w:szCs w:val="22"/>
          <w:lang w:eastAsia="en-US"/>
        </w:rPr>
        <w:t>National Indigenous Reform Agreement</w:t>
      </w:r>
      <w:r w:rsidRPr="00A57F0D">
        <w:rPr>
          <w:rFonts w:asciiTheme="majorHAnsi" w:eastAsia="Calibri" w:hAnsiTheme="majorHAnsi"/>
          <w:color w:val="auto"/>
          <w:sz w:val="22"/>
          <w:szCs w:val="22"/>
          <w:lang w:eastAsia="en-US"/>
        </w:rPr>
        <w:t>.</w:t>
      </w:r>
      <w:r w:rsidRPr="00A57F0D">
        <w:rPr>
          <w:rStyle w:val="EndnoteReference"/>
          <w:rFonts w:eastAsia="Calibri"/>
          <w:color w:val="auto"/>
          <w:szCs w:val="22"/>
          <w:lang w:eastAsia="en-US"/>
        </w:rPr>
        <w:endnoteReference w:id="111"/>
      </w:r>
      <w:r w:rsidRPr="00A57F0D">
        <w:rPr>
          <w:rFonts w:asciiTheme="majorHAnsi" w:eastAsia="Calibri" w:hAnsiTheme="majorHAnsi"/>
          <w:color w:val="auto"/>
          <w:sz w:val="22"/>
          <w:szCs w:val="22"/>
          <w:lang w:eastAsia="en-US"/>
        </w:rPr>
        <w:t xml:space="preserve"> This is because it is based on a projected non-Indigenous rate based on the 1998 to </w:t>
      </w:r>
      <w:r w:rsidRPr="00A57F0D">
        <w:rPr>
          <w:rFonts w:asciiTheme="majorHAnsi" w:eastAsia="Calibri" w:hAnsiTheme="majorHAnsi"/>
          <w:color w:val="auto"/>
          <w:sz w:val="22"/>
          <w:szCs w:val="22"/>
          <w:lang w:eastAsia="en-US"/>
        </w:rPr>
        <w:lastRenderedPageBreak/>
        <w:t>2008 rate of decline</w:t>
      </w:r>
      <w:r w:rsidR="00A01EF7">
        <w:rPr>
          <w:rFonts w:asciiTheme="majorHAnsi" w:eastAsia="Calibri" w:hAnsiTheme="majorHAnsi"/>
          <w:color w:val="auto"/>
          <w:sz w:val="22"/>
          <w:szCs w:val="22"/>
          <w:lang w:eastAsia="en-US"/>
        </w:rPr>
        <w:t xml:space="preserve"> and yet the rate of decline has significantly increased since that time</w:t>
      </w:r>
      <w:r w:rsidRPr="00A57F0D">
        <w:rPr>
          <w:rFonts w:asciiTheme="majorHAnsi" w:eastAsia="Calibri" w:hAnsiTheme="majorHAnsi"/>
          <w:color w:val="auto"/>
          <w:sz w:val="22"/>
          <w:szCs w:val="22"/>
          <w:lang w:eastAsia="en-US"/>
        </w:rPr>
        <w:t>.</w:t>
      </w:r>
      <w:r w:rsidRPr="00A57F0D">
        <w:rPr>
          <w:rStyle w:val="EndnoteReference"/>
          <w:rFonts w:asciiTheme="majorHAnsi" w:eastAsia="Calibri" w:hAnsiTheme="majorHAnsi"/>
          <w:color w:val="auto"/>
          <w:sz w:val="22"/>
          <w:szCs w:val="22"/>
          <w:lang w:eastAsia="en-US"/>
        </w:rPr>
        <w:endnoteReference w:id="112"/>
      </w:r>
      <w:r w:rsidR="00A01EF7">
        <w:rPr>
          <w:rFonts w:asciiTheme="majorHAnsi" w:eastAsia="Calibri" w:hAnsiTheme="majorHAnsi"/>
          <w:color w:val="auto"/>
          <w:sz w:val="22"/>
          <w:szCs w:val="22"/>
          <w:lang w:eastAsia="en-US"/>
        </w:rPr>
        <w:t xml:space="preserve"> As such, what it means to achieve equality has also significantly changed. </w:t>
      </w:r>
    </w:p>
    <w:p w14:paraId="6CB6DE02" w14:textId="77777777" w:rsidR="00814869" w:rsidRPr="00A57F0D" w:rsidRDefault="00814869" w:rsidP="00644563">
      <w:pPr>
        <w:pStyle w:val="Heading3"/>
        <w:numPr>
          <w:ilvl w:val="2"/>
          <w:numId w:val="30"/>
        </w:numPr>
        <w:spacing w:before="0"/>
        <w:rPr>
          <w:lang w:val="en-AU"/>
        </w:rPr>
      </w:pPr>
      <w:bookmarkStart w:id="19" w:name="_Toc409788724"/>
      <w:r w:rsidRPr="00A57F0D">
        <w:rPr>
          <w:lang w:val="en-AU"/>
        </w:rPr>
        <w:t>Low birth weight babies</w:t>
      </w:r>
      <w:bookmarkEnd w:id="19"/>
      <w:r w:rsidRPr="00A57F0D">
        <w:rPr>
          <w:lang w:val="en-AU"/>
        </w:rPr>
        <w:t xml:space="preserve"> </w:t>
      </w:r>
    </w:p>
    <w:p w14:paraId="3E6FE4C5" w14:textId="445D7850" w:rsidR="00814869" w:rsidRPr="00A57F0D" w:rsidRDefault="00814869" w:rsidP="00D8364C">
      <w:pPr>
        <w:widowControl w:val="0"/>
        <w:autoSpaceDE w:val="0"/>
        <w:autoSpaceDN w:val="0"/>
        <w:adjustRightInd w:val="0"/>
        <w:spacing w:before="240" w:after="240"/>
        <w:rPr>
          <w:rFonts w:asciiTheme="majorHAnsi" w:hAnsiTheme="majorHAnsi"/>
          <w:lang w:val="en-AU"/>
        </w:rPr>
      </w:pPr>
      <w:r w:rsidRPr="00A57F0D">
        <w:rPr>
          <w:rFonts w:asciiTheme="majorHAnsi" w:hAnsiTheme="majorHAnsi"/>
          <w:lang w:val="en-AU"/>
        </w:rPr>
        <w:t xml:space="preserve">Birth weight is a key indicator of infant health and a </w:t>
      </w:r>
      <w:r w:rsidR="00A01EF7">
        <w:rPr>
          <w:rFonts w:asciiTheme="majorHAnsi" w:hAnsiTheme="majorHAnsi"/>
          <w:lang w:val="en-AU"/>
        </w:rPr>
        <w:t>major</w:t>
      </w:r>
      <w:r w:rsidRPr="00A57F0D">
        <w:rPr>
          <w:rFonts w:asciiTheme="majorHAnsi" w:hAnsiTheme="majorHAnsi"/>
          <w:lang w:val="en-AU"/>
        </w:rPr>
        <w:t xml:space="preserve"> determinant of a baby’s chance of survival and good health. Low birth weight is of particular concern.</w:t>
      </w:r>
      <w:r w:rsidRPr="00A57F0D">
        <w:rPr>
          <w:rFonts w:asciiTheme="majorHAnsi" w:hAnsiTheme="majorHAnsi"/>
          <w:vertAlign w:val="superscript"/>
          <w:lang w:val="en-AU"/>
        </w:rPr>
        <w:endnoteReference w:id="113"/>
      </w:r>
      <w:r w:rsidRPr="00A57F0D">
        <w:rPr>
          <w:rFonts w:asciiTheme="majorHAnsi" w:hAnsiTheme="majorHAnsi"/>
          <w:vertAlign w:val="superscript"/>
          <w:lang w:val="en-AU"/>
        </w:rPr>
        <w:t xml:space="preserve"> </w:t>
      </w:r>
      <w:r w:rsidRPr="00A57F0D">
        <w:rPr>
          <w:rFonts w:asciiTheme="majorHAnsi" w:hAnsiTheme="majorHAnsi"/>
          <w:lang w:val="en-AU"/>
        </w:rPr>
        <w:t xml:space="preserve">AIHW defines a low birth weight baby as one with a weight of less than 2,500 grams. Research that indicates that babies weighing less than 2,500 grams at birth are at least 20 times </w:t>
      </w:r>
      <w:proofErr w:type="gramStart"/>
      <w:r w:rsidRPr="00A57F0D">
        <w:rPr>
          <w:rFonts w:asciiTheme="majorHAnsi" w:hAnsiTheme="majorHAnsi"/>
          <w:lang w:val="en-AU"/>
        </w:rPr>
        <w:t>as likely to die within their first year of life t</w:t>
      </w:r>
      <w:r w:rsidR="00BD28E3">
        <w:rPr>
          <w:rFonts w:asciiTheme="majorHAnsi" w:hAnsiTheme="majorHAnsi"/>
          <w:lang w:val="en-AU"/>
        </w:rPr>
        <w:t>han</w:t>
      </w:r>
      <w:proofErr w:type="gramEnd"/>
      <w:r w:rsidR="00BD28E3">
        <w:rPr>
          <w:rFonts w:asciiTheme="majorHAnsi" w:hAnsiTheme="majorHAnsi"/>
          <w:lang w:val="en-AU"/>
        </w:rPr>
        <w:t xml:space="preserve"> those who weighed at least that amount</w:t>
      </w:r>
      <w:r w:rsidRPr="00A57F0D">
        <w:rPr>
          <w:rFonts w:asciiTheme="majorHAnsi" w:hAnsiTheme="majorHAnsi"/>
          <w:lang w:val="en-AU"/>
        </w:rPr>
        <w:t>.</w:t>
      </w:r>
      <w:r w:rsidRPr="00A57F0D">
        <w:rPr>
          <w:rFonts w:asciiTheme="majorHAnsi" w:hAnsiTheme="majorHAnsi"/>
          <w:vertAlign w:val="superscript"/>
          <w:lang w:val="en-AU"/>
        </w:rPr>
        <w:endnoteReference w:id="114"/>
      </w:r>
    </w:p>
    <w:p w14:paraId="65A81EB9" w14:textId="5AE5A8B1" w:rsidR="00814869" w:rsidRPr="00A57F0D" w:rsidRDefault="00814869" w:rsidP="00835E5C">
      <w:pPr>
        <w:widowControl w:val="0"/>
        <w:autoSpaceDE w:val="0"/>
        <w:autoSpaceDN w:val="0"/>
        <w:adjustRightInd w:val="0"/>
        <w:spacing w:before="240" w:after="240"/>
        <w:rPr>
          <w:rFonts w:asciiTheme="majorHAnsi" w:hAnsiTheme="majorHAnsi"/>
          <w:lang w:val="en-AU"/>
        </w:rPr>
      </w:pPr>
      <w:r w:rsidRPr="00A57F0D">
        <w:rPr>
          <w:rFonts w:asciiTheme="majorHAnsi" w:hAnsiTheme="majorHAnsi"/>
          <w:lang w:val="en-AU"/>
        </w:rPr>
        <w:t>In 2011, babies born to Aboriginal and Torres Strait Islander mothers were twice as likely as those born to non-Indigenous mothers to be of low birth weigh</w:t>
      </w:r>
      <w:r w:rsidR="00A01EF7">
        <w:rPr>
          <w:rFonts w:asciiTheme="majorHAnsi" w:hAnsiTheme="majorHAnsi"/>
          <w:lang w:val="en-AU"/>
        </w:rPr>
        <w:t>t: 12.6</w:t>
      </w:r>
      <w:r w:rsidRPr="00A57F0D">
        <w:rPr>
          <w:rFonts w:asciiTheme="majorHAnsi" w:hAnsiTheme="majorHAnsi"/>
          <w:lang w:val="en-AU"/>
        </w:rPr>
        <w:t xml:space="preserve"> percent of babies born to Aboriginal and Torres Strait Islander mothers weighed less than 2,500 grams compared with </w:t>
      </w:r>
      <w:r w:rsidR="003D0F38">
        <w:rPr>
          <w:rFonts w:asciiTheme="majorHAnsi" w:hAnsiTheme="majorHAnsi"/>
          <w:lang w:val="en-AU"/>
        </w:rPr>
        <w:t>6</w:t>
      </w:r>
      <w:r w:rsidR="003D0F38" w:rsidRPr="00A57F0D">
        <w:rPr>
          <w:rFonts w:asciiTheme="majorHAnsi" w:hAnsiTheme="majorHAnsi"/>
          <w:lang w:val="en-AU"/>
        </w:rPr>
        <w:t xml:space="preserve"> </w:t>
      </w:r>
      <w:r w:rsidRPr="00A57F0D">
        <w:rPr>
          <w:rFonts w:asciiTheme="majorHAnsi" w:hAnsiTheme="majorHAnsi"/>
          <w:lang w:val="en-AU"/>
        </w:rPr>
        <w:t>percent of babies born to non-Indigenous mothers.</w:t>
      </w:r>
      <w:r w:rsidRPr="00A57F0D">
        <w:rPr>
          <w:rFonts w:asciiTheme="majorHAnsi" w:hAnsiTheme="majorHAnsi"/>
          <w:vertAlign w:val="superscript"/>
          <w:lang w:val="en-AU"/>
        </w:rPr>
        <w:endnoteReference w:id="115"/>
      </w:r>
    </w:p>
    <w:p w14:paraId="7DAF9225" w14:textId="6F8C8438" w:rsidR="00814869" w:rsidRPr="00A57F0D" w:rsidRDefault="00814869" w:rsidP="00835E5C">
      <w:pPr>
        <w:widowControl w:val="0"/>
        <w:autoSpaceDE w:val="0"/>
        <w:autoSpaceDN w:val="0"/>
        <w:adjustRightInd w:val="0"/>
        <w:spacing w:before="240" w:after="240"/>
        <w:rPr>
          <w:rFonts w:asciiTheme="majorHAnsi" w:hAnsiTheme="majorHAnsi"/>
          <w:lang w:val="en-AU"/>
        </w:rPr>
      </w:pPr>
      <w:r w:rsidRPr="00A57F0D">
        <w:rPr>
          <w:rFonts w:asciiTheme="majorHAnsi" w:hAnsiTheme="majorHAnsi"/>
          <w:lang w:val="en-AU"/>
        </w:rPr>
        <w:t xml:space="preserve">Between 2000 and 2011, AIHW reported a statistically significant decrease in the low birth weight rate among live born singleton babies of Aboriginal and Torres Strait Islander mothers, with the rate declining by </w:t>
      </w:r>
      <w:r w:rsidR="00E6342B">
        <w:rPr>
          <w:rFonts w:asciiTheme="majorHAnsi" w:hAnsiTheme="majorHAnsi"/>
          <w:lang w:val="en-AU"/>
        </w:rPr>
        <w:t>9</w:t>
      </w:r>
      <w:r w:rsidRPr="00A57F0D">
        <w:rPr>
          <w:rFonts w:asciiTheme="majorHAnsi" w:hAnsiTheme="majorHAnsi"/>
          <w:lang w:val="en-AU"/>
        </w:rPr>
        <w:t xml:space="preserve"> percent over the period. In contrast, there was no significant change in the corresponding rate for non-Indigenous mothers.</w:t>
      </w:r>
      <w:r w:rsidRPr="00A57F0D">
        <w:rPr>
          <w:rStyle w:val="EndnoteReference"/>
          <w:lang w:val="en-AU"/>
        </w:rPr>
        <w:endnoteReference w:id="116"/>
      </w:r>
      <w:r w:rsidRPr="00A57F0D">
        <w:rPr>
          <w:rFonts w:asciiTheme="majorHAnsi" w:hAnsiTheme="majorHAnsi"/>
          <w:lang w:val="en-AU"/>
        </w:rPr>
        <w:t xml:space="preserve"> </w:t>
      </w:r>
    </w:p>
    <w:p w14:paraId="538687B5" w14:textId="50DD69BB" w:rsidR="00814869" w:rsidRPr="00A57F0D" w:rsidRDefault="00814869" w:rsidP="00835E5C">
      <w:pPr>
        <w:widowControl w:val="0"/>
        <w:autoSpaceDE w:val="0"/>
        <w:autoSpaceDN w:val="0"/>
        <w:adjustRightInd w:val="0"/>
        <w:spacing w:before="240" w:after="240"/>
        <w:rPr>
          <w:rFonts w:asciiTheme="majorHAnsi" w:hAnsiTheme="majorHAnsi"/>
          <w:lang w:val="en-AU"/>
        </w:rPr>
      </w:pPr>
      <w:r w:rsidRPr="00A57F0D">
        <w:rPr>
          <w:rFonts w:asciiTheme="majorHAnsi" w:hAnsiTheme="majorHAnsi"/>
          <w:lang w:val="en-AU"/>
        </w:rPr>
        <w:t xml:space="preserve">As such, over the period 2000 to 2011, there was a small but statistically significant narrowing of the </w:t>
      </w:r>
      <w:r w:rsidR="00BD28E3">
        <w:rPr>
          <w:rFonts w:asciiTheme="majorHAnsi" w:hAnsiTheme="majorHAnsi"/>
          <w:lang w:val="en-AU"/>
        </w:rPr>
        <w:t xml:space="preserve">birth weight </w:t>
      </w:r>
      <w:r w:rsidRPr="00A57F0D">
        <w:rPr>
          <w:rFonts w:asciiTheme="majorHAnsi" w:hAnsiTheme="majorHAnsi"/>
          <w:lang w:val="en-AU"/>
        </w:rPr>
        <w:t xml:space="preserve">gap in this period as set out </w:t>
      </w:r>
      <w:r w:rsidRPr="003D0F38">
        <w:rPr>
          <w:rFonts w:asciiTheme="majorHAnsi" w:hAnsiTheme="majorHAnsi"/>
          <w:lang w:val="en-AU"/>
        </w:rPr>
        <w:t xml:space="preserve">in Table </w:t>
      </w:r>
      <w:r w:rsidR="00601DB4" w:rsidRPr="003D0F38">
        <w:rPr>
          <w:rFonts w:asciiTheme="majorHAnsi" w:hAnsiTheme="majorHAnsi"/>
          <w:lang w:val="en-AU"/>
        </w:rPr>
        <w:t>3</w:t>
      </w:r>
      <w:r w:rsidRPr="003D0F38">
        <w:rPr>
          <w:rFonts w:asciiTheme="majorHAnsi" w:hAnsiTheme="majorHAnsi"/>
          <w:lang w:val="en-AU"/>
        </w:rPr>
        <w:t>.</w:t>
      </w:r>
    </w:p>
    <w:p w14:paraId="6B1104BE" w14:textId="77777777" w:rsidR="00814869" w:rsidRPr="00A57F0D" w:rsidRDefault="00814869" w:rsidP="006B44D8">
      <w:pPr>
        <w:widowControl w:val="0"/>
        <w:autoSpaceDE w:val="0"/>
        <w:autoSpaceDN w:val="0"/>
        <w:adjustRightInd w:val="0"/>
        <w:jc w:val="center"/>
        <w:rPr>
          <w:rFonts w:asciiTheme="majorHAnsi" w:hAnsiTheme="majorHAnsi"/>
          <w:b/>
          <w:lang w:val="en-AU"/>
        </w:rPr>
      </w:pPr>
      <w:r w:rsidRPr="003D0F38">
        <w:rPr>
          <w:rFonts w:asciiTheme="majorHAnsi" w:hAnsiTheme="majorHAnsi"/>
          <w:b/>
          <w:lang w:val="en-AU"/>
        </w:rPr>
        <w:t xml:space="preserve">Table </w:t>
      </w:r>
      <w:r w:rsidR="00601DB4" w:rsidRPr="003D0F38">
        <w:rPr>
          <w:rFonts w:asciiTheme="majorHAnsi" w:hAnsiTheme="majorHAnsi"/>
          <w:b/>
          <w:lang w:val="en-AU"/>
        </w:rPr>
        <w:t>3</w:t>
      </w:r>
      <w:r w:rsidRPr="003D0F38">
        <w:rPr>
          <w:rFonts w:asciiTheme="majorHAnsi" w:hAnsiTheme="majorHAnsi"/>
          <w:b/>
          <w:lang w:val="en-AU"/>
        </w:rPr>
        <w:t>: Narrowing</w:t>
      </w:r>
      <w:r w:rsidRPr="00A57F0D">
        <w:rPr>
          <w:rFonts w:asciiTheme="majorHAnsi" w:hAnsiTheme="majorHAnsi"/>
          <w:b/>
          <w:lang w:val="en-AU"/>
        </w:rPr>
        <w:t xml:space="preserve"> of the gap in Aboriginal and Torres Strait Islander and non-Indigenous low birth weight births, 2001-2011</w:t>
      </w:r>
      <w:r w:rsidRPr="00A57F0D">
        <w:rPr>
          <w:rStyle w:val="EndnoteReference"/>
          <w:b/>
          <w:lang w:val="en-AU"/>
        </w:rPr>
        <w:endnoteReference w:id="117"/>
      </w:r>
    </w:p>
    <w:p w14:paraId="06EFCCA3" w14:textId="77777777" w:rsidR="00814869" w:rsidRPr="00A57F0D" w:rsidRDefault="00814869" w:rsidP="002D2F7A">
      <w:pPr>
        <w:widowControl w:val="0"/>
        <w:autoSpaceDE w:val="0"/>
        <w:autoSpaceDN w:val="0"/>
        <w:adjustRightInd w:val="0"/>
        <w:rPr>
          <w:rFonts w:asciiTheme="majorHAnsi" w:hAnsiTheme="majorHAnsi"/>
          <w:lang w:val="en-AU"/>
        </w:rPr>
      </w:pPr>
    </w:p>
    <w:tbl>
      <w:tblPr>
        <w:tblStyle w:val="TableGrid"/>
        <w:tblW w:w="9180" w:type="dxa"/>
        <w:tblLook w:val="04A0" w:firstRow="1" w:lastRow="0" w:firstColumn="1" w:lastColumn="0" w:noHBand="0" w:noVBand="1"/>
      </w:tblPr>
      <w:tblGrid>
        <w:gridCol w:w="5637"/>
        <w:gridCol w:w="1134"/>
        <w:gridCol w:w="1275"/>
        <w:gridCol w:w="1134"/>
      </w:tblGrid>
      <w:tr w:rsidR="00814869" w:rsidRPr="006A24D8" w14:paraId="43995B89" w14:textId="77777777" w:rsidTr="006B44D8">
        <w:tc>
          <w:tcPr>
            <w:tcW w:w="5637" w:type="dxa"/>
            <w:vMerge w:val="restart"/>
            <w:shd w:val="clear" w:color="auto" w:fill="DBE5F1" w:themeFill="accent1" w:themeFillTint="33"/>
          </w:tcPr>
          <w:p w14:paraId="388A3400" w14:textId="77777777" w:rsidR="00814869" w:rsidRPr="00A57F0D" w:rsidRDefault="00814869" w:rsidP="006B44D8">
            <w:pPr>
              <w:widowControl w:val="0"/>
              <w:autoSpaceDE w:val="0"/>
              <w:autoSpaceDN w:val="0"/>
              <w:adjustRightInd w:val="0"/>
              <w:spacing w:after="0"/>
              <w:rPr>
                <w:rFonts w:asciiTheme="majorHAnsi" w:hAnsiTheme="majorHAnsi"/>
                <w:sz w:val="20"/>
                <w:szCs w:val="20"/>
                <w:lang w:val="en-AU"/>
              </w:rPr>
            </w:pPr>
          </w:p>
        </w:tc>
        <w:tc>
          <w:tcPr>
            <w:tcW w:w="2409" w:type="dxa"/>
            <w:gridSpan w:val="2"/>
            <w:shd w:val="clear" w:color="auto" w:fill="DBE5F1" w:themeFill="accent1" w:themeFillTint="33"/>
          </w:tcPr>
          <w:p w14:paraId="28F9B2FA" w14:textId="77777777" w:rsidR="00814869" w:rsidRPr="00A57F0D" w:rsidRDefault="00814869" w:rsidP="003D0F38">
            <w:pPr>
              <w:widowControl w:val="0"/>
              <w:autoSpaceDE w:val="0"/>
              <w:autoSpaceDN w:val="0"/>
              <w:adjustRightInd w:val="0"/>
              <w:spacing w:after="0"/>
              <w:jc w:val="center"/>
              <w:rPr>
                <w:rFonts w:asciiTheme="majorHAnsi" w:hAnsiTheme="majorHAnsi"/>
                <w:b/>
                <w:sz w:val="20"/>
                <w:szCs w:val="20"/>
                <w:lang w:val="en-AU"/>
              </w:rPr>
            </w:pPr>
            <w:r w:rsidRPr="00A57F0D">
              <w:rPr>
                <w:rFonts w:asciiTheme="majorHAnsi" w:hAnsiTheme="majorHAnsi"/>
                <w:b/>
                <w:sz w:val="20"/>
                <w:szCs w:val="20"/>
                <w:lang w:val="en-AU"/>
              </w:rPr>
              <w:t>Low birth weight births, per 100 births</w:t>
            </w:r>
          </w:p>
        </w:tc>
        <w:tc>
          <w:tcPr>
            <w:tcW w:w="1134" w:type="dxa"/>
            <w:vMerge w:val="restart"/>
            <w:shd w:val="clear" w:color="auto" w:fill="DBE5F1" w:themeFill="accent1" w:themeFillTint="33"/>
          </w:tcPr>
          <w:p w14:paraId="0E53E588" w14:textId="77777777" w:rsidR="00814869" w:rsidRPr="00A57F0D" w:rsidRDefault="00814869" w:rsidP="006B44D8">
            <w:pPr>
              <w:widowControl w:val="0"/>
              <w:autoSpaceDE w:val="0"/>
              <w:autoSpaceDN w:val="0"/>
              <w:adjustRightInd w:val="0"/>
              <w:spacing w:after="0"/>
              <w:jc w:val="center"/>
              <w:rPr>
                <w:rFonts w:asciiTheme="majorHAnsi" w:hAnsiTheme="majorHAnsi"/>
                <w:b/>
                <w:sz w:val="20"/>
                <w:szCs w:val="20"/>
                <w:lang w:val="en-AU"/>
              </w:rPr>
            </w:pPr>
            <w:r w:rsidRPr="00A57F0D">
              <w:rPr>
                <w:rFonts w:asciiTheme="majorHAnsi" w:hAnsiTheme="majorHAnsi"/>
                <w:b/>
                <w:sz w:val="20"/>
                <w:szCs w:val="20"/>
                <w:lang w:val="en-AU"/>
              </w:rPr>
              <w:t>Narrowing of the gap</w:t>
            </w:r>
          </w:p>
        </w:tc>
      </w:tr>
      <w:tr w:rsidR="00814869" w:rsidRPr="006A24D8" w14:paraId="7B2DFAF8" w14:textId="77777777" w:rsidTr="006B44D8">
        <w:tc>
          <w:tcPr>
            <w:tcW w:w="5637" w:type="dxa"/>
            <w:vMerge/>
            <w:shd w:val="clear" w:color="auto" w:fill="DBE5F1" w:themeFill="accent1" w:themeFillTint="33"/>
          </w:tcPr>
          <w:p w14:paraId="6D597B65" w14:textId="77777777" w:rsidR="00814869" w:rsidRPr="00D014CF" w:rsidRDefault="00814869" w:rsidP="006B44D8">
            <w:pPr>
              <w:widowControl w:val="0"/>
              <w:autoSpaceDE w:val="0"/>
              <w:autoSpaceDN w:val="0"/>
              <w:adjustRightInd w:val="0"/>
              <w:spacing w:after="0"/>
              <w:rPr>
                <w:rFonts w:asciiTheme="majorHAnsi" w:hAnsiTheme="majorHAnsi"/>
                <w:sz w:val="20"/>
                <w:szCs w:val="20"/>
                <w:lang w:val="en-AU"/>
              </w:rPr>
            </w:pPr>
          </w:p>
        </w:tc>
        <w:tc>
          <w:tcPr>
            <w:tcW w:w="1134" w:type="dxa"/>
            <w:shd w:val="clear" w:color="auto" w:fill="DBE5F1" w:themeFill="accent1" w:themeFillTint="33"/>
          </w:tcPr>
          <w:p w14:paraId="1CDFCFB9" w14:textId="77777777" w:rsidR="00814869" w:rsidRPr="005936C8" w:rsidRDefault="00814869" w:rsidP="003D0F38">
            <w:pPr>
              <w:widowControl w:val="0"/>
              <w:autoSpaceDE w:val="0"/>
              <w:autoSpaceDN w:val="0"/>
              <w:adjustRightInd w:val="0"/>
              <w:spacing w:after="0"/>
              <w:ind w:left="1132" w:hanging="1240"/>
              <w:jc w:val="center"/>
              <w:rPr>
                <w:rFonts w:asciiTheme="majorHAnsi" w:hAnsiTheme="majorHAnsi"/>
                <w:b/>
                <w:sz w:val="20"/>
                <w:szCs w:val="20"/>
                <w:lang w:val="en-AU"/>
              </w:rPr>
            </w:pPr>
            <w:r w:rsidRPr="005936C8">
              <w:rPr>
                <w:rFonts w:asciiTheme="majorHAnsi" w:hAnsiTheme="majorHAnsi"/>
                <w:b/>
                <w:sz w:val="20"/>
                <w:szCs w:val="20"/>
                <w:lang w:val="en-AU"/>
              </w:rPr>
              <w:t>2001</w:t>
            </w:r>
          </w:p>
        </w:tc>
        <w:tc>
          <w:tcPr>
            <w:tcW w:w="1275" w:type="dxa"/>
            <w:shd w:val="clear" w:color="auto" w:fill="DBE5F1" w:themeFill="accent1" w:themeFillTint="33"/>
          </w:tcPr>
          <w:p w14:paraId="5130B3C3" w14:textId="77777777" w:rsidR="00814869" w:rsidRPr="005936C8" w:rsidRDefault="00814869" w:rsidP="003D0F38">
            <w:pPr>
              <w:widowControl w:val="0"/>
              <w:autoSpaceDE w:val="0"/>
              <w:autoSpaceDN w:val="0"/>
              <w:adjustRightInd w:val="0"/>
              <w:spacing w:after="0"/>
              <w:ind w:left="1132" w:hanging="1240"/>
              <w:jc w:val="center"/>
              <w:rPr>
                <w:rFonts w:asciiTheme="majorHAnsi" w:hAnsiTheme="majorHAnsi"/>
                <w:b/>
                <w:sz w:val="20"/>
                <w:szCs w:val="20"/>
                <w:lang w:val="en-AU"/>
              </w:rPr>
            </w:pPr>
            <w:r w:rsidRPr="005936C8">
              <w:rPr>
                <w:rFonts w:asciiTheme="majorHAnsi" w:hAnsiTheme="majorHAnsi"/>
                <w:b/>
                <w:sz w:val="20"/>
                <w:szCs w:val="20"/>
                <w:lang w:val="en-AU"/>
              </w:rPr>
              <w:t>2011</w:t>
            </w:r>
          </w:p>
        </w:tc>
        <w:tc>
          <w:tcPr>
            <w:tcW w:w="1134" w:type="dxa"/>
            <w:vMerge/>
            <w:shd w:val="clear" w:color="auto" w:fill="DBE5F1" w:themeFill="accent1" w:themeFillTint="33"/>
          </w:tcPr>
          <w:p w14:paraId="546D2B96" w14:textId="77777777" w:rsidR="00814869" w:rsidRPr="005936C8" w:rsidRDefault="00814869" w:rsidP="006B44D8">
            <w:pPr>
              <w:widowControl w:val="0"/>
              <w:autoSpaceDE w:val="0"/>
              <w:autoSpaceDN w:val="0"/>
              <w:adjustRightInd w:val="0"/>
              <w:spacing w:after="0"/>
              <w:rPr>
                <w:rFonts w:asciiTheme="majorHAnsi" w:hAnsiTheme="majorHAnsi"/>
                <w:sz w:val="20"/>
                <w:szCs w:val="20"/>
                <w:lang w:val="en-AU"/>
              </w:rPr>
            </w:pPr>
          </w:p>
        </w:tc>
      </w:tr>
      <w:tr w:rsidR="00814869" w:rsidRPr="006A24D8" w14:paraId="771D4F3A" w14:textId="77777777" w:rsidTr="006B44D8">
        <w:tc>
          <w:tcPr>
            <w:tcW w:w="5637" w:type="dxa"/>
            <w:shd w:val="clear" w:color="auto" w:fill="DBE5F1" w:themeFill="accent1" w:themeFillTint="33"/>
          </w:tcPr>
          <w:p w14:paraId="2E02085C" w14:textId="77777777" w:rsidR="00814869" w:rsidRPr="00A57F0D" w:rsidRDefault="00814869" w:rsidP="006B44D8">
            <w:pPr>
              <w:widowControl w:val="0"/>
              <w:autoSpaceDE w:val="0"/>
              <w:autoSpaceDN w:val="0"/>
              <w:adjustRightInd w:val="0"/>
              <w:spacing w:after="0"/>
              <w:rPr>
                <w:rFonts w:asciiTheme="majorHAnsi" w:hAnsiTheme="majorHAnsi"/>
                <w:b/>
                <w:sz w:val="20"/>
                <w:szCs w:val="20"/>
                <w:lang w:val="en-AU"/>
              </w:rPr>
            </w:pPr>
            <w:r w:rsidRPr="00A57F0D">
              <w:rPr>
                <w:rFonts w:asciiTheme="majorHAnsi" w:hAnsiTheme="majorHAnsi"/>
                <w:b/>
                <w:sz w:val="20"/>
                <w:szCs w:val="20"/>
                <w:lang w:val="en-AU"/>
              </w:rPr>
              <w:t>Aboriginal and Torres Strait Islander</w:t>
            </w:r>
          </w:p>
        </w:tc>
        <w:tc>
          <w:tcPr>
            <w:tcW w:w="1134" w:type="dxa"/>
          </w:tcPr>
          <w:p w14:paraId="1F078C76" w14:textId="77777777" w:rsidR="00814869" w:rsidRPr="00A57F0D" w:rsidRDefault="00814869" w:rsidP="003D0F38">
            <w:pPr>
              <w:widowControl w:val="0"/>
              <w:autoSpaceDE w:val="0"/>
              <w:autoSpaceDN w:val="0"/>
              <w:adjustRightInd w:val="0"/>
              <w:spacing w:after="0"/>
              <w:jc w:val="center"/>
              <w:rPr>
                <w:rFonts w:asciiTheme="majorHAnsi" w:hAnsiTheme="majorHAnsi"/>
                <w:sz w:val="20"/>
                <w:szCs w:val="20"/>
                <w:lang w:val="en-AU"/>
              </w:rPr>
            </w:pPr>
            <w:r w:rsidRPr="00A57F0D">
              <w:rPr>
                <w:rFonts w:asciiTheme="majorHAnsi" w:hAnsiTheme="majorHAnsi"/>
                <w:sz w:val="20"/>
                <w:szCs w:val="20"/>
                <w:lang w:val="en-AU"/>
              </w:rPr>
              <w:t>11.7</w:t>
            </w:r>
          </w:p>
        </w:tc>
        <w:tc>
          <w:tcPr>
            <w:tcW w:w="1275" w:type="dxa"/>
          </w:tcPr>
          <w:p w14:paraId="7FA458F0" w14:textId="77777777" w:rsidR="00814869" w:rsidRPr="00A57F0D" w:rsidRDefault="00814869" w:rsidP="003D0F38">
            <w:pPr>
              <w:widowControl w:val="0"/>
              <w:autoSpaceDE w:val="0"/>
              <w:autoSpaceDN w:val="0"/>
              <w:adjustRightInd w:val="0"/>
              <w:spacing w:after="0"/>
              <w:jc w:val="center"/>
              <w:rPr>
                <w:rFonts w:asciiTheme="majorHAnsi" w:hAnsiTheme="majorHAnsi"/>
                <w:sz w:val="20"/>
                <w:szCs w:val="20"/>
                <w:lang w:val="en-AU"/>
              </w:rPr>
            </w:pPr>
            <w:r w:rsidRPr="00A57F0D">
              <w:rPr>
                <w:rFonts w:asciiTheme="majorHAnsi" w:hAnsiTheme="majorHAnsi"/>
                <w:sz w:val="20"/>
                <w:szCs w:val="20"/>
                <w:lang w:val="en-AU"/>
              </w:rPr>
              <w:t>11.1</w:t>
            </w:r>
          </w:p>
        </w:tc>
        <w:tc>
          <w:tcPr>
            <w:tcW w:w="1134" w:type="dxa"/>
            <w:vMerge/>
            <w:shd w:val="clear" w:color="auto" w:fill="DBE5F1" w:themeFill="accent1" w:themeFillTint="33"/>
          </w:tcPr>
          <w:p w14:paraId="5EF4F9BA" w14:textId="77777777" w:rsidR="00814869" w:rsidRPr="00A57F0D" w:rsidRDefault="00814869" w:rsidP="006B44D8">
            <w:pPr>
              <w:widowControl w:val="0"/>
              <w:autoSpaceDE w:val="0"/>
              <w:autoSpaceDN w:val="0"/>
              <w:adjustRightInd w:val="0"/>
              <w:spacing w:after="0"/>
              <w:rPr>
                <w:rFonts w:asciiTheme="majorHAnsi" w:hAnsiTheme="majorHAnsi"/>
                <w:sz w:val="20"/>
                <w:szCs w:val="20"/>
                <w:lang w:val="en-AU"/>
              </w:rPr>
            </w:pPr>
          </w:p>
        </w:tc>
      </w:tr>
      <w:tr w:rsidR="00814869" w:rsidRPr="006A24D8" w14:paraId="24C9813C" w14:textId="77777777" w:rsidTr="006B44D8">
        <w:tc>
          <w:tcPr>
            <w:tcW w:w="5637" w:type="dxa"/>
            <w:shd w:val="clear" w:color="auto" w:fill="DBE5F1" w:themeFill="accent1" w:themeFillTint="33"/>
          </w:tcPr>
          <w:p w14:paraId="3A754B2C" w14:textId="77777777" w:rsidR="00814869" w:rsidRPr="00A57F0D" w:rsidRDefault="00814869" w:rsidP="006B44D8">
            <w:pPr>
              <w:widowControl w:val="0"/>
              <w:autoSpaceDE w:val="0"/>
              <w:autoSpaceDN w:val="0"/>
              <w:adjustRightInd w:val="0"/>
              <w:spacing w:after="0"/>
              <w:rPr>
                <w:rFonts w:asciiTheme="majorHAnsi" w:hAnsiTheme="majorHAnsi"/>
                <w:b/>
                <w:sz w:val="20"/>
                <w:szCs w:val="20"/>
                <w:lang w:val="en-AU"/>
              </w:rPr>
            </w:pPr>
            <w:r w:rsidRPr="00A57F0D">
              <w:rPr>
                <w:rFonts w:asciiTheme="majorHAnsi" w:hAnsiTheme="majorHAnsi"/>
                <w:b/>
                <w:sz w:val="20"/>
                <w:szCs w:val="20"/>
                <w:lang w:val="en-AU"/>
              </w:rPr>
              <w:t>Non-Indigenous</w:t>
            </w:r>
          </w:p>
        </w:tc>
        <w:tc>
          <w:tcPr>
            <w:tcW w:w="1134" w:type="dxa"/>
          </w:tcPr>
          <w:p w14:paraId="40D1AE6D" w14:textId="77777777" w:rsidR="00814869" w:rsidRPr="00A57F0D" w:rsidRDefault="00814869" w:rsidP="003D0F38">
            <w:pPr>
              <w:widowControl w:val="0"/>
              <w:autoSpaceDE w:val="0"/>
              <w:autoSpaceDN w:val="0"/>
              <w:adjustRightInd w:val="0"/>
              <w:spacing w:after="0"/>
              <w:jc w:val="center"/>
              <w:rPr>
                <w:rFonts w:asciiTheme="majorHAnsi" w:hAnsiTheme="majorHAnsi"/>
                <w:sz w:val="20"/>
                <w:szCs w:val="20"/>
                <w:lang w:val="en-AU"/>
              </w:rPr>
            </w:pPr>
            <w:r w:rsidRPr="00A57F0D">
              <w:rPr>
                <w:rFonts w:asciiTheme="majorHAnsi" w:hAnsiTheme="majorHAnsi"/>
                <w:sz w:val="20"/>
                <w:szCs w:val="20"/>
                <w:lang w:val="en-AU"/>
              </w:rPr>
              <w:t>4.5</w:t>
            </w:r>
          </w:p>
        </w:tc>
        <w:tc>
          <w:tcPr>
            <w:tcW w:w="1275" w:type="dxa"/>
          </w:tcPr>
          <w:p w14:paraId="471D6476" w14:textId="77777777" w:rsidR="00814869" w:rsidRPr="00A57F0D" w:rsidRDefault="00814869" w:rsidP="003D0F38">
            <w:pPr>
              <w:widowControl w:val="0"/>
              <w:autoSpaceDE w:val="0"/>
              <w:autoSpaceDN w:val="0"/>
              <w:adjustRightInd w:val="0"/>
              <w:spacing w:after="0"/>
              <w:jc w:val="center"/>
              <w:rPr>
                <w:rFonts w:asciiTheme="majorHAnsi" w:hAnsiTheme="majorHAnsi"/>
                <w:sz w:val="20"/>
                <w:szCs w:val="20"/>
                <w:lang w:val="en-AU"/>
              </w:rPr>
            </w:pPr>
            <w:r w:rsidRPr="00A57F0D">
              <w:rPr>
                <w:rFonts w:asciiTheme="majorHAnsi" w:hAnsiTheme="majorHAnsi"/>
                <w:sz w:val="20"/>
                <w:szCs w:val="20"/>
                <w:lang w:val="en-AU"/>
              </w:rPr>
              <w:t>4.5</w:t>
            </w:r>
          </w:p>
        </w:tc>
        <w:tc>
          <w:tcPr>
            <w:tcW w:w="1134" w:type="dxa"/>
            <w:vMerge/>
            <w:shd w:val="clear" w:color="auto" w:fill="DBE5F1" w:themeFill="accent1" w:themeFillTint="33"/>
          </w:tcPr>
          <w:p w14:paraId="4DA3ED0A" w14:textId="77777777" w:rsidR="00814869" w:rsidRPr="00A57F0D" w:rsidRDefault="00814869" w:rsidP="006B44D8">
            <w:pPr>
              <w:widowControl w:val="0"/>
              <w:autoSpaceDE w:val="0"/>
              <w:autoSpaceDN w:val="0"/>
              <w:adjustRightInd w:val="0"/>
              <w:spacing w:after="0"/>
              <w:rPr>
                <w:rFonts w:asciiTheme="majorHAnsi" w:hAnsiTheme="majorHAnsi"/>
                <w:sz w:val="20"/>
                <w:szCs w:val="20"/>
                <w:lang w:val="en-AU"/>
              </w:rPr>
            </w:pPr>
          </w:p>
        </w:tc>
      </w:tr>
      <w:tr w:rsidR="00814869" w:rsidRPr="006A24D8" w14:paraId="19DB4798" w14:textId="77777777" w:rsidTr="006B44D8">
        <w:tc>
          <w:tcPr>
            <w:tcW w:w="5637" w:type="dxa"/>
            <w:shd w:val="clear" w:color="auto" w:fill="DBE5F1" w:themeFill="accent1" w:themeFillTint="33"/>
          </w:tcPr>
          <w:p w14:paraId="616FA426" w14:textId="77777777" w:rsidR="00814869" w:rsidRPr="00A57F0D" w:rsidRDefault="00814869" w:rsidP="006B44D8">
            <w:pPr>
              <w:widowControl w:val="0"/>
              <w:autoSpaceDE w:val="0"/>
              <w:autoSpaceDN w:val="0"/>
              <w:adjustRightInd w:val="0"/>
              <w:spacing w:after="0"/>
              <w:rPr>
                <w:rFonts w:asciiTheme="majorHAnsi" w:hAnsiTheme="majorHAnsi"/>
                <w:sz w:val="20"/>
                <w:szCs w:val="20"/>
                <w:lang w:val="en-AU"/>
              </w:rPr>
            </w:pPr>
            <w:r w:rsidRPr="00A57F0D">
              <w:rPr>
                <w:rFonts w:asciiTheme="majorHAnsi" w:hAnsiTheme="majorHAnsi"/>
                <w:b/>
                <w:sz w:val="20"/>
                <w:szCs w:val="20"/>
                <w:lang w:val="en-AU"/>
              </w:rPr>
              <w:t>Rate difference</w:t>
            </w:r>
            <w:r w:rsidRPr="00A57F0D">
              <w:rPr>
                <w:rFonts w:asciiTheme="majorHAnsi" w:hAnsiTheme="majorHAnsi"/>
                <w:sz w:val="20"/>
                <w:szCs w:val="20"/>
                <w:lang w:val="en-AU"/>
              </w:rPr>
              <w:t xml:space="preserve"> (Aboriginal and Torres Strait Islander rate minus the non-Indigenous rate, per 100 births)</w:t>
            </w:r>
          </w:p>
        </w:tc>
        <w:tc>
          <w:tcPr>
            <w:tcW w:w="1134" w:type="dxa"/>
          </w:tcPr>
          <w:p w14:paraId="12F93F57" w14:textId="77777777" w:rsidR="00814869" w:rsidRPr="00A57F0D" w:rsidRDefault="00814869" w:rsidP="003D0F38">
            <w:pPr>
              <w:widowControl w:val="0"/>
              <w:autoSpaceDE w:val="0"/>
              <w:autoSpaceDN w:val="0"/>
              <w:adjustRightInd w:val="0"/>
              <w:spacing w:after="0"/>
              <w:jc w:val="center"/>
              <w:rPr>
                <w:rFonts w:asciiTheme="majorHAnsi" w:hAnsiTheme="majorHAnsi"/>
                <w:sz w:val="20"/>
                <w:szCs w:val="20"/>
                <w:lang w:val="en-AU"/>
              </w:rPr>
            </w:pPr>
            <w:r w:rsidRPr="00A57F0D">
              <w:rPr>
                <w:rFonts w:asciiTheme="majorHAnsi" w:hAnsiTheme="majorHAnsi"/>
                <w:sz w:val="20"/>
                <w:szCs w:val="20"/>
                <w:lang w:val="en-AU"/>
              </w:rPr>
              <w:t>7.2</w:t>
            </w:r>
          </w:p>
        </w:tc>
        <w:tc>
          <w:tcPr>
            <w:tcW w:w="1275" w:type="dxa"/>
          </w:tcPr>
          <w:p w14:paraId="7EFFB7E8" w14:textId="77777777" w:rsidR="00814869" w:rsidRPr="00A57F0D" w:rsidRDefault="00814869" w:rsidP="003D0F38">
            <w:pPr>
              <w:widowControl w:val="0"/>
              <w:autoSpaceDE w:val="0"/>
              <w:autoSpaceDN w:val="0"/>
              <w:adjustRightInd w:val="0"/>
              <w:spacing w:after="0"/>
              <w:jc w:val="center"/>
              <w:rPr>
                <w:rFonts w:asciiTheme="majorHAnsi" w:hAnsiTheme="majorHAnsi"/>
                <w:sz w:val="20"/>
                <w:szCs w:val="20"/>
                <w:lang w:val="en-AU"/>
              </w:rPr>
            </w:pPr>
            <w:r w:rsidRPr="00A57F0D">
              <w:rPr>
                <w:rFonts w:asciiTheme="majorHAnsi" w:hAnsiTheme="majorHAnsi"/>
                <w:sz w:val="20"/>
                <w:szCs w:val="20"/>
                <w:lang w:val="en-AU"/>
              </w:rPr>
              <w:t>6.6</w:t>
            </w:r>
          </w:p>
        </w:tc>
        <w:tc>
          <w:tcPr>
            <w:tcW w:w="1134" w:type="dxa"/>
          </w:tcPr>
          <w:p w14:paraId="333F2E2D" w14:textId="77777777" w:rsidR="00814869" w:rsidRPr="00A57F0D" w:rsidRDefault="00814869" w:rsidP="006B44D8">
            <w:pPr>
              <w:widowControl w:val="0"/>
              <w:autoSpaceDE w:val="0"/>
              <w:autoSpaceDN w:val="0"/>
              <w:adjustRightInd w:val="0"/>
              <w:spacing w:after="0"/>
              <w:rPr>
                <w:rFonts w:asciiTheme="majorHAnsi" w:hAnsiTheme="majorHAnsi"/>
                <w:sz w:val="20"/>
                <w:szCs w:val="20"/>
                <w:lang w:val="en-AU"/>
              </w:rPr>
            </w:pPr>
            <w:r w:rsidRPr="00A57F0D">
              <w:rPr>
                <w:rFonts w:asciiTheme="majorHAnsi" w:hAnsiTheme="majorHAnsi"/>
                <w:sz w:val="20"/>
                <w:szCs w:val="20"/>
                <w:lang w:val="en-AU"/>
              </w:rPr>
              <w:t>13 percent</w:t>
            </w:r>
          </w:p>
        </w:tc>
      </w:tr>
      <w:tr w:rsidR="00814869" w:rsidRPr="006A24D8" w14:paraId="4C4797AD" w14:textId="77777777" w:rsidTr="006B44D8">
        <w:tc>
          <w:tcPr>
            <w:tcW w:w="5637" w:type="dxa"/>
            <w:shd w:val="clear" w:color="auto" w:fill="DBE5F1" w:themeFill="accent1" w:themeFillTint="33"/>
          </w:tcPr>
          <w:p w14:paraId="0C56647E" w14:textId="77777777" w:rsidR="00814869" w:rsidRPr="00A57F0D" w:rsidRDefault="00814869" w:rsidP="006B44D8">
            <w:pPr>
              <w:widowControl w:val="0"/>
              <w:autoSpaceDE w:val="0"/>
              <w:autoSpaceDN w:val="0"/>
              <w:adjustRightInd w:val="0"/>
              <w:spacing w:after="0"/>
              <w:rPr>
                <w:rFonts w:asciiTheme="majorHAnsi" w:hAnsiTheme="majorHAnsi"/>
                <w:sz w:val="20"/>
                <w:szCs w:val="20"/>
                <w:lang w:val="en-AU"/>
              </w:rPr>
            </w:pPr>
            <w:r w:rsidRPr="00A57F0D">
              <w:rPr>
                <w:rFonts w:asciiTheme="majorHAnsi" w:hAnsiTheme="majorHAnsi"/>
                <w:b/>
                <w:sz w:val="20"/>
                <w:szCs w:val="20"/>
                <w:lang w:val="en-AU"/>
              </w:rPr>
              <w:t>Rate ratio</w:t>
            </w:r>
            <w:r w:rsidRPr="00A57F0D">
              <w:rPr>
                <w:rFonts w:asciiTheme="majorHAnsi" w:hAnsiTheme="majorHAnsi"/>
                <w:sz w:val="20"/>
                <w:szCs w:val="20"/>
                <w:lang w:val="en-AU"/>
              </w:rPr>
              <w:t xml:space="preserve"> (Aboriginal and Torres Strait Islander rate divided by the non-Indigenous rate)</w:t>
            </w:r>
          </w:p>
        </w:tc>
        <w:tc>
          <w:tcPr>
            <w:tcW w:w="1134" w:type="dxa"/>
          </w:tcPr>
          <w:p w14:paraId="6959FA2E" w14:textId="77777777" w:rsidR="00814869" w:rsidRPr="00A57F0D" w:rsidRDefault="00814869" w:rsidP="003D0F38">
            <w:pPr>
              <w:widowControl w:val="0"/>
              <w:autoSpaceDE w:val="0"/>
              <w:autoSpaceDN w:val="0"/>
              <w:adjustRightInd w:val="0"/>
              <w:spacing w:after="0"/>
              <w:jc w:val="center"/>
              <w:rPr>
                <w:rFonts w:asciiTheme="majorHAnsi" w:hAnsiTheme="majorHAnsi"/>
                <w:sz w:val="20"/>
                <w:szCs w:val="20"/>
                <w:lang w:val="en-AU"/>
              </w:rPr>
            </w:pPr>
            <w:r w:rsidRPr="00A57F0D">
              <w:rPr>
                <w:rFonts w:asciiTheme="majorHAnsi" w:hAnsiTheme="majorHAnsi"/>
                <w:sz w:val="20"/>
                <w:szCs w:val="20"/>
                <w:lang w:val="en-AU"/>
              </w:rPr>
              <w:t>2.6</w:t>
            </w:r>
          </w:p>
        </w:tc>
        <w:tc>
          <w:tcPr>
            <w:tcW w:w="1275" w:type="dxa"/>
          </w:tcPr>
          <w:p w14:paraId="3BDFB0B2" w14:textId="77777777" w:rsidR="00814869" w:rsidRPr="00A57F0D" w:rsidRDefault="00814869" w:rsidP="003D0F38">
            <w:pPr>
              <w:widowControl w:val="0"/>
              <w:autoSpaceDE w:val="0"/>
              <w:autoSpaceDN w:val="0"/>
              <w:adjustRightInd w:val="0"/>
              <w:spacing w:after="0"/>
              <w:jc w:val="center"/>
              <w:rPr>
                <w:rFonts w:asciiTheme="majorHAnsi" w:hAnsiTheme="majorHAnsi"/>
                <w:sz w:val="20"/>
                <w:szCs w:val="20"/>
                <w:lang w:val="en-AU"/>
              </w:rPr>
            </w:pPr>
            <w:r w:rsidRPr="00A57F0D">
              <w:rPr>
                <w:rFonts w:asciiTheme="majorHAnsi" w:hAnsiTheme="majorHAnsi"/>
                <w:sz w:val="20"/>
                <w:szCs w:val="20"/>
                <w:lang w:val="en-AU"/>
              </w:rPr>
              <w:t>2.5</w:t>
            </w:r>
          </w:p>
        </w:tc>
        <w:tc>
          <w:tcPr>
            <w:tcW w:w="1134" w:type="dxa"/>
          </w:tcPr>
          <w:p w14:paraId="0F8A6B6B" w14:textId="77777777" w:rsidR="00814869" w:rsidRPr="00A57F0D" w:rsidRDefault="00814869" w:rsidP="006B44D8">
            <w:pPr>
              <w:widowControl w:val="0"/>
              <w:autoSpaceDE w:val="0"/>
              <w:autoSpaceDN w:val="0"/>
              <w:adjustRightInd w:val="0"/>
              <w:spacing w:after="0"/>
              <w:rPr>
                <w:rFonts w:asciiTheme="majorHAnsi" w:hAnsiTheme="majorHAnsi"/>
                <w:sz w:val="20"/>
                <w:szCs w:val="20"/>
                <w:lang w:val="en-AU"/>
              </w:rPr>
            </w:pPr>
            <w:r w:rsidRPr="00A57F0D">
              <w:rPr>
                <w:rFonts w:asciiTheme="majorHAnsi" w:hAnsiTheme="majorHAnsi"/>
                <w:sz w:val="20"/>
                <w:szCs w:val="20"/>
                <w:lang w:val="en-AU"/>
              </w:rPr>
              <w:t>7 percent</w:t>
            </w:r>
          </w:p>
        </w:tc>
      </w:tr>
    </w:tbl>
    <w:p w14:paraId="71929D57" w14:textId="77777777" w:rsidR="00814869" w:rsidRPr="00A57F0D" w:rsidRDefault="00814869" w:rsidP="00835E5C">
      <w:pPr>
        <w:widowControl w:val="0"/>
        <w:autoSpaceDE w:val="0"/>
        <w:autoSpaceDN w:val="0"/>
        <w:adjustRightInd w:val="0"/>
        <w:spacing w:before="240" w:after="240"/>
        <w:rPr>
          <w:rFonts w:asciiTheme="majorHAnsi" w:eastAsia="Times New Roman" w:hAnsiTheme="majorHAnsi"/>
          <w:lang w:val="en-AU"/>
        </w:rPr>
      </w:pPr>
      <w:r w:rsidRPr="00A57F0D">
        <w:rPr>
          <w:rFonts w:asciiTheme="majorHAnsi" w:eastAsia="Times New Roman" w:hAnsiTheme="majorHAnsi"/>
          <w:lang w:val="en-AU"/>
        </w:rPr>
        <w:t>Some of the key determinants for low birth weight babies are:</w:t>
      </w:r>
    </w:p>
    <w:p w14:paraId="20AAF61D" w14:textId="592E0E83" w:rsidR="00C3549F" w:rsidRPr="00A57F0D" w:rsidRDefault="003D0F38" w:rsidP="00644563">
      <w:pPr>
        <w:pStyle w:val="ListParagraph"/>
        <w:widowControl w:val="0"/>
        <w:numPr>
          <w:ilvl w:val="0"/>
          <w:numId w:val="19"/>
        </w:numPr>
        <w:autoSpaceDE w:val="0"/>
        <w:autoSpaceDN w:val="0"/>
        <w:adjustRightInd w:val="0"/>
        <w:spacing w:before="120" w:after="120"/>
        <w:ind w:left="357"/>
        <w:contextualSpacing w:val="0"/>
        <w:rPr>
          <w:rFonts w:asciiTheme="majorHAnsi" w:eastAsia="Times New Roman" w:hAnsiTheme="majorHAnsi"/>
          <w:lang w:val="en-AU"/>
        </w:rPr>
      </w:pPr>
      <w:r>
        <w:rPr>
          <w:rFonts w:asciiTheme="majorHAnsi" w:eastAsia="Times New Roman" w:hAnsiTheme="majorHAnsi"/>
          <w:lang w:val="en-AU"/>
        </w:rPr>
        <w:t>A</w:t>
      </w:r>
      <w:r w:rsidR="00BD28E3">
        <w:rPr>
          <w:rFonts w:asciiTheme="majorHAnsi" w:eastAsia="Times New Roman" w:hAnsiTheme="majorHAnsi"/>
          <w:lang w:val="en-AU"/>
        </w:rPr>
        <w:t>ccess to a</w:t>
      </w:r>
      <w:r w:rsidR="00C3549F" w:rsidRPr="00A57F0D">
        <w:rPr>
          <w:rFonts w:asciiTheme="majorHAnsi" w:eastAsia="Times New Roman" w:hAnsiTheme="majorHAnsi"/>
          <w:lang w:val="en-AU"/>
        </w:rPr>
        <w:t>ntenatal care</w:t>
      </w:r>
      <w:r>
        <w:rPr>
          <w:rFonts w:asciiTheme="majorHAnsi" w:eastAsia="Times New Roman" w:hAnsiTheme="majorHAnsi"/>
          <w:lang w:val="en-AU"/>
        </w:rPr>
        <w:t xml:space="preserve"> –</w:t>
      </w:r>
      <w:r w:rsidR="00C3549F" w:rsidRPr="00A57F0D">
        <w:rPr>
          <w:rFonts w:asciiTheme="majorHAnsi" w:eastAsia="Times New Roman" w:hAnsiTheme="majorHAnsi"/>
          <w:lang w:val="en-AU"/>
        </w:rPr>
        <w:t xml:space="preserve"> such care can reduce the chance of low birth weight due to early diagnosis and treatment of pregnancy complications, with the World Health Organization recommending that women receive antenatal care at least four times during pregnancy;</w:t>
      </w:r>
    </w:p>
    <w:p w14:paraId="59B07267" w14:textId="77777777" w:rsidR="00C3549F" w:rsidRPr="00A57F0D" w:rsidRDefault="003D0F38" w:rsidP="00644563">
      <w:pPr>
        <w:pStyle w:val="ListParagraph"/>
        <w:widowControl w:val="0"/>
        <w:numPr>
          <w:ilvl w:val="0"/>
          <w:numId w:val="19"/>
        </w:numPr>
        <w:autoSpaceDE w:val="0"/>
        <w:autoSpaceDN w:val="0"/>
        <w:adjustRightInd w:val="0"/>
        <w:spacing w:before="120" w:after="120"/>
        <w:ind w:left="357"/>
        <w:contextualSpacing w:val="0"/>
        <w:rPr>
          <w:rFonts w:asciiTheme="majorHAnsi" w:eastAsia="Times New Roman" w:hAnsiTheme="majorHAnsi"/>
          <w:lang w:val="en-AU"/>
        </w:rPr>
      </w:pPr>
      <w:r>
        <w:rPr>
          <w:rFonts w:asciiTheme="majorHAnsi" w:eastAsia="Times New Roman" w:hAnsiTheme="majorHAnsi"/>
          <w:lang w:val="en-AU"/>
        </w:rPr>
        <w:t>Smoking –</w:t>
      </w:r>
      <w:r w:rsidR="00C3549F" w:rsidRPr="00A57F0D">
        <w:rPr>
          <w:rFonts w:asciiTheme="majorHAnsi" w:eastAsia="Times New Roman" w:hAnsiTheme="majorHAnsi"/>
          <w:lang w:val="en-AU"/>
        </w:rPr>
        <w:t xml:space="preserve"> babies born to mothers who smoke are more likely to be of low birth weight than other babies. Passive exposure to smoke is also associated with lower birth </w:t>
      </w:r>
      <w:r w:rsidR="00DF059D" w:rsidRPr="00A57F0D">
        <w:rPr>
          <w:rFonts w:asciiTheme="majorHAnsi" w:eastAsia="Times New Roman" w:hAnsiTheme="majorHAnsi"/>
          <w:lang w:val="en-AU"/>
        </w:rPr>
        <w:t>weight</w:t>
      </w:r>
      <w:r w:rsidR="00C3549F" w:rsidRPr="00A57F0D">
        <w:rPr>
          <w:rFonts w:asciiTheme="majorHAnsi" w:eastAsia="Times New Roman" w:hAnsiTheme="majorHAnsi"/>
          <w:lang w:val="en-AU"/>
        </w:rPr>
        <w:t>;</w:t>
      </w:r>
    </w:p>
    <w:p w14:paraId="6121B847" w14:textId="77777777" w:rsidR="00814869" w:rsidRPr="00A57F0D" w:rsidRDefault="003D0F38" w:rsidP="00644563">
      <w:pPr>
        <w:pStyle w:val="ListParagraph"/>
        <w:widowControl w:val="0"/>
        <w:numPr>
          <w:ilvl w:val="0"/>
          <w:numId w:val="19"/>
        </w:numPr>
        <w:autoSpaceDE w:val="0"/>
        <w:autoSpaceDN w:val="0"/>
        <w:adjustRightInd w:val="0"/>
        <w:spacing w:before="120" w:after="120"/>
        <w:ind w:left="357"/>
        <w:contextualSpacing w:val="0"/>
        <w:rPr>
          <w:rFonts w:asciiTheme="majorHAnsi" w:eastAsia="Times New Roman" w:hAnsiTheme="majorHAnsi"/>
          <w:lang w:val="en-AU"/>
        </w:rPr>
      </w:pPr>
      <w:r>
        <w:rPr>
          <w:rFonts w:asciiTheme="majorHAnsi" w:hAnsiTheme="majorHAnsi"/>
          <w:lang w:val="en-AU"/>
        </w:rPr>
        <w:t>P</w:t>
      </w:r>
      <w:r w:rsidR="00814869" w:rsidRPr="00A57F0D">
        <w:rPr>
          <w:rFonts w:asciiTheme="majorHAnsi" w:hAnsiTheme="majorHAnsi"/>
          <w:lang w:val="en-AU"/>
        </w:rPr>
        <w:t xml:space="preserve">re-term births (defined as before 37 weeks of gestation) </w:t>
      </w:r>
      <w:r>
        <w:rPr>
          <w:rFonts w:asciiTheme="majorHAnsi" w:hAnsiTheme="majorHAnsi"/>
          <w:lang w:val="en-AU"/>
        </w:rPr>
        <w:t>–</w:t>
      </w:r>
      <w:r w:rsidR="00814869" w:rsidRPr="00A57F0D">
        <w:rPr>
          <w:rFonts w:asciiTheme="majorHAnsi" w:hAnsiTheme="majorHAnsi"/>
          <w:lang w:val="en-AU"/>
        </w:rPr>
        <w:t xml:space="preserve"> factors</w:t>
      </w:r>
      <w:r>
        <w:rPr>
          <w:rFonts w:asciiTheme="majorHAnsi" w:hAnsiTheme="majorHAnsi"/>
          <w:lang w:val="en-AU"/>
        </w:rPr>
        <w:t xml:space="preserve"> </w:t>
      </w:r>
      <w:r w:rsidR="00814869" w:rsidRPr="00A57F0D">
        <w:rPr>
          <w:rFonts w:asciiTheme="majorHAnsi" w:hAnsiTheme="majorHAnsi"/>
          <w:lang w:val="en-AU"/>
        </w:rPr>
        <w:t>associated with pre-term births include chronic conditions like diabetes and high blood pressure;</w:t>
      </w:r>
    </w:p>
    <w:p w14:paraId="65A753FB" w14:textId="77777777" w:rsidR="00F3277A" w:rsidRPr="00A57F0D" w:rsidRDefault="003D0F38" w:rsidP="00644563">
      <w:pPr>
        <w:pStyle w:val="ListParagraph"/>
        <w:widowControl w:val="0"/>
        <w:numPr>
          <w:ilvl w:val="0"/>
          <w:numId w:val="19"/>
        </w:numPr>
        <w:autoSpaceDE w:val="0"/>
        <w:autoSpaceDN w:val="0"/>
        <w:adjustRightInd w:val="0"/>
        <w:spacing w:before="120" w:after="120"/>
        <w:ind w:left="357"/>
        <w:contextualSpacing w:val="0"/>
        <w:rPr>
          <w:rFonts w:asciiTheme="majorHAnsi" w:eastAsia="Times New Roman" w:hAnsiTheme="majorHAnsi"/>
          <w:lang w:val="en-AU"/>
        </w:rPr>
      </w:pPr>
      <w:r>
        <w:rPr>
          <w:rFonts w:asciiTheme="majorHAnsi" w:eastAsia="Times New Roman" w:hAnsiTheme="majorHAnsi"/>
          <w:lang w:val="en-AU"/>
        </w:rPr>
        <w:t>T</w:t>
      </w:r>
      <w:r w:rsidR="00814869" w:rsidRPr="00A57F0D">
        <w:rPr>
          <w:rFonts w:asciiTheme="majorHAnsi" w:eastAsia="Times New Roman" w:hAnsiTheme="majorHAnsi"/>
          <w:lang w:val="en-AU"/>
        </w:rPr>
        <w:t xml:space="preserve">he mother’s diet and </w:t>
      </w:r>
      <w:r w:rsidR="00814869" w:rsidRPr="00EA14AD">
        <w:rPr>
          <w:rFonts w:asciiTheme="majorHAnsi" w:eastAsia="Times New Roman" w:hAnsiTheme="majorHAnsi"/>
          <w:lang w:val="en-AU"/>
        </w:rPr>
        <w:t>nutritional</w:t>
      </w:r>
      <w:r w:rsidR="00814869" w:rsidRPr="00A57F0D">
        <w:rPr>
          <w:rFonts w:asciiTheme="majorHAnsi" w:eastAsia="Times New Roman" w:hAnsiTheme="majorHAnsi"/>
          <w:lang w:val="en-AU"/>
        </w:rPr>
        <w:t xml:space="preserve"> status at conception and during the pregnancy;</w:t>
      </w:r>
      <w:r w:rsidR="00C3549F" w:rsidRPr="00A57F0D">
        <w:rPr>
          <w:rFonts w:eastAsia="Times New Roman"/>
          <w:lang w:val="en-AU"/>
        </w:rPr>
        <w:t xml:space="preserve"> </w:t>
      </w:r>
    </w:p>
    <w:p w14:paraId="5F4DBC5E" w14:textId="69BB3051" w:rsidR="00814869" w:rsidRPr="00A57F0D" w:rsidRDefault="003D0F38" w:rsidP="00644563">
      <w:pPr>
        <w:pStyle w:val="ListParagraph"/>
        <w:widowControl w:val="0"/>
        <w:numPr>
          <w:ilvl w:val="0"/>
          <w:numId w:val="19"/>
        </w:numPr>
        <w:autoSpaceDE w:val="0"/>
        <w:autoSpaceDN w:val="0"/>
        <w:adjustRightInd w:val="0"/>
        <w:spacing w:before="120" w:after="120"/>
        <w:ind w:left="357"/>
        <w:contextualSpacing w:val="0"/>
        <w:rPr>
          <w:rStyle w:val="EndnoteReference"/>
          <w:rFonts w:asciiTheme="majorHAnsi" w:eastAsia="Times New Roman" w:hAnsiTheme="majorHAnsi"/>
          <w:sz w:val="22"/>
          <w:vertAlign w:val="baseline"/>
          <w:lang w:val="en-AU"/>
        </w:rPr>
      </w:pPr>
      <w:r>
        <w:rPr>
          <w:rFonts w:eastAsia="Times New Roman"/>
          <w:lang w:val="en-AU"/>
        </w:rPr>
        <w:t xml:space="preserve">Drug </w:t>
      </w:r>
      <w:r w:rsidR="00F3277A" w:rsidRPr="00A57F0D">
        <w:rPr>
          <w:rFonts w:eastAsia="Times New Roman"/>
          <w:lang w:val="en-AU"/>
        </w:rPr>
        <w:t>and alcohol consump</w:t>
      </w:r>
      <w:r w:rsidR="00206FA0" w:rsidRPr="00A57F0D">
        <w:rPr>
          <w:rFonts w:eastAsia="Times New Roman"/>
          <w:lang w:val="en-AU"/>
        </w:rPr>
        <w:t xml:space="preserve">tion during pregnancy – </w:t>
      </w:r>
      <w:r w:rsidR="00F3277A" w:rsidRPr="00A57F0D">
        <w:rPr>
          <w:rFonts w:eastAsia="Times New Roman"/>
          <w:lang w:val="en-AU"/>
        </w:rPr>
        <w:t xml:space="preserve">particularly </w:t>
      </w:r>
      <w:r w:rsidR="00206FA0" w:rsidRPr="00A57F0D">
        <w:rPr>
          <w:rFonts w:eastAsia="Times New Roman"/>
          <w:lang w:val="en-AU"/>
        </w:rPr>
        <w:t xml:space="preserve">alcohol consumption that leads to </w:t>
      </w:r>
      <w:r w:rsidR="00E6342B">
        <w:rPr>
          <w:rFonts w:eastAsia="Times New Roman"/>
          <w:lang w:val="en-AU"/>
        </w:rPr>
        <w:t>FASD</w:t>
      </w:r>
      <w:r w:rsidR="00DF059D">
        <w:rPr>
          <w:rFonts w:eastAsia="Times New Roman"/>
          <w:lang w:val="en-AU"/>
        </w:rPr>
        <w:t>;</w:t>
      </w:r>
      <w:r w:rsidR="00F3277A" w:rsidRPr="00A57F0D">
        <w:rPr>
          <w:rFonts w:eastAsia="Times New Roman"/>
          <w:lang w:val="en-AU"/>
        </w:rPr>
        <w:t xml:space="preserve"> </w:t>
      </w:r>
      <w:r w:rsidR="00C3549F" w:rsidRPr="00A57F0D">
        <w:rPr>
          <w:rFonts w:eastAsia="Times New Roman"/>
          <w:lang w:val="en-AU"/>
        </w:rPr>
        <w:t>and</w:t>
      </w:r>
    </w:p>
    <w:p w14:paraId="4440497A" w14:textId="77777777" w:rsidR="00814869" w:rsidRPr="00A57F0D" w:rsidRDefault="003D0F38" w:rsidP="00644563">
      <w:pPr>
        <w:pStyle w:val="ListParagraph"/>
        <w:widowControl w:val="0"/>
        <w:numPr>
          <w:ilvl w:val="0"/>
          <w:numId w:val="19"/>
        </w:numPr>
        <w:autoSpaceDE w:val="0"/>
        <w:autoSpaceDN w:val="0"/>
        <w:adjustRightInd w:val="0"/>
        <w:spacing w:before="120" w:after="120"/>
        <w:ind w:left="357"/>
        <w:contextualSpacing w:val="0"/>
        <w:rPr>
          <w:rFonts w:asciiTheme="majorHAnsi" w:eastAsia="Times New Roman" w:hAnsiTheme="majorHAnsi"/>
          <w:lang w:val="en-AU"/>
        </w:rPr>
      </w:pPr>
      <w:r>
        <w:rPr>
          <w:rFonts w:asciiTheme="majorHAnsi" w:eastAsia="Times New Roman" w:hAnsiTheme="majorHAnsi"/>
          <w:lang w:val="en-AU"/>
        </w:rPr>
        <w:t>T</w:t>
      </w:r>
      <w:r w:rsidR="00814869" w:rsidRPr="00A57F0D">
        <w:rPr>
          <w:rFonts w:asciiTheme="majorHAnsi" w:eastAsia="Times New Roman" w:hAnsiTheme="majorHAnsi"/>
          <w:lang w:val="en-AU"/>
        </w:rPr>
        <w:t xml:space="preserve">he age of mothers </w:t>
      </w:r>
      <w:r>
        <w:rPr>
          <w:rFonts w:asciiTheme="majorHAnsi" w:eastAsia="Times New Roman" w:hAnsiTheme="majorHAnsi"/>
          <w:lang w:val="en-AU"/>
        </w:rPr>
        <w:t>–</w:t>
      </w:r>
      <w:r w:rsidR="00814869" w:rsidRPr="00A57F0D">
        <w:rPr>
          <w:rFonts w:asciiTheme="majorHAnsi" w:eastAsia="Times New Roman" w:hAnsiTheme="majorHAnsi"/>
          <w:lang w:val="en-AU"/>
        </w:rPr>
        <w:t xml:space="preserve"> low birth weight is more common among younger mothers (aged less than 20) and older mothers (aged 35 and over)</w:t>
      </w:r>
      <w:r w:rsidR="00C3549F" w:rsidRPr="00A57F0D">
        <w:rPr>
          <w:rFonts w:asciiTheme="majorHAnsi" w:eastAsia="Times New Roman" w:hAnsiTheme="majorHAnsi"/>
          <w:lang w:val="en-AU"/>
        </w:rPr>
        <w:t>.</w:t>
      </w:r>
      <w:r w:rsidR="00814869" w:rsidRPr="00A57F0D">
        <w:rPr>
          <w:rStyle w:val="EndnoteReference"/>
          <w:rFonts w:eastAsia="Times New Roman"/>
          <w:lang w:val="en-AU"/>
        </w:rPr>
        <w:endnoteReference w:id="118"/>
      </w:r>
    </w:p>
    <w:p w14:paraId="714F934D" w14:textId="31C86049" w:rsidR="00814869" w:rsidRPr="00A57F0D" w:rsidRDefault="00814869" w:rsidP="00835E5C">
      <w:pPr>
        <w:widowControl w:val="0"/>
        <w:autoSpaceDE w:val="0"/>
        <w:autoSpaceDN w:val="0"/>
        <w:adjustRightInd w:val="0"/>
        <w:spacing w:before="240" w:after="240"/>
        <w:rPr>
          <w:rFonts w:asciiTheme="majorHAnsi" w:eastAsia="Times New Roman" w:hAnsiTheme="majorHAnsi"/>
          <w:lang w:val="en-AU"/>
        </w:rPr>
      </w:pPr>
      <w:r w:rsidRPr="00A57F0D">
        <w:rPr>
          <w:rFonts w:asciiTheme="majorHAnsi" w:eastAsia="Times New Roman" w:hAnsiTheme="majorHAnsi"/>
          <w:lang w:val="en-AU"/>
        </w:rPr>
        <w:t xml:space="preserve">These determinants are often underpinned by social determinants. Mothers living in relative poverty </w:t>
      </w:r>
      <w:r w:rsidRPr="00A57F0D">
        <w:rPr>
          <w:rFonts w:asciiTheme="majorHAnsi" w:eastAsia="Times New Roman" w:hAnsiTheme="majorHAnsi"/>
          <w:lang w:val="en-AU"/>
        </w:rPr>
        <w:lastRenderedPageBreak/>
        <w:t>are more likely to have low birth weight babies (with this potentially related to factors such as nutrition, maternal health and behavioural characteristics such as smoking).</w:t>
      </w:r>
      <w:r w:rsidRPr="00A57F0D">
        <w:rPr>
          <w:rStyle w:val="EndnoteReference"/>
          <w:rFonts w:eastAsia="Times New Roman"/>
          <w:lang w:val="en-AU"/>
        </w:rPr>
        <w:endnoteReference w:id="119"/>
      </w:r>
    </w:p>
    <w:p w14:paraId="14D2E3D7" w14:textId="72AAF29D" w:rsidR="00814869" w:rsidRPr="00A57F0D" w:rsidRDefault="00BD28E3" w:rsidP="00835E5C">
      <w:pPr>
        <w:widowControl w:val="0"/>
        <w:autoSpaceDE w:val="0"/>
        <w:autoSpaceDN w:val="0"/>
        <w:adjustRightInd w:val="0"/>
        <w:spacing w:before="240" w:after="240"/>
        <w:rPr>
          <w:rFonts w:asciiTheme="majorHAnsi" w:hAnsiTheme="majorHAnsi"/>
          <w:lang w:val="en-AU"/>
        </w:rPr>
      </w:pPr>
      <w:r>
        <w:rPr>
          <w:rFonts w:asciiTheme="majorHAnsi" w:hAnsiTheme="majorHAnsi"/>
          <w:lang w:val="en-AU"/>
        </w:rPr>
        <w:t xml:space="preserve">In Table 4 below, the gaps between </w:t>
      </w:r>
      <w:r w:rsidRPr="00A57F0D">
        <w:rPr>
          <w:rFonts w:asciiTheme="majorHAnsi" w:hAnsiTheme="majorHAnsi"/>
          <w:lang w:val="en-AU"/>
        </w:rPr>
        <w:t xml:space="preserve">Aboriginal and Torres Strait Islander people and non-Indigenous people </w:t>
      </w:r>
      <w:r>
        <w:rPr>
          <w:rFonts w:asciiTheme="majorHAnsi" w:hAnsiTheme="majorHAnsi"/>
          <w:lang w:val="en-AU"/>
        </w:rPr>
        <w:t>for t</w:t>
      </w:r>
      <w:r w:rsidR="00814869" w:rsidRPr="00A57F0D">
        <w:rPr>
          <w:rFonts w:asciiTheme="majorHAnsi" w:hAnsiTheme="majorHAnsi"/>
          <w:lang w:val="en-AU"/>
        </w:rPr>
        <w:t xml:space="preserve">hree of the above determinants for low birth weight are </w:t>
      </w:r>
      <w:r>
        <w:rPr>
          <w:rFonts w:asciiTheme="majorHAnsi" w:hAnsiTheme="majorHAnsi"/>
          <w:lang w:val="en-AU"/>
        </w:rPr>
        <w:t>considered.</w:t>
      </w:r>
    </w:p>
    <w:p w14:paraId="797B741C" w14:textId="77777777" w:rsidR="00814869" w:rsidRPr="00A57F0D" w:rsidRDefault="00814869" w:rsidP="00835E5C">
      <w:pPr>
        <w:widowControl w:val="0"/>
        <w:autoSpaceDE w:val="0"/>
        <w:autoSpaceDN w:val="0"/>
        <w:adjustRightInd w:val="0"/>
        <w:spacing w:before="240" w:after="240"/>
        <w:jc w:val="center"/>
        <w:rPr>
          <w:rFonts w:asciiTheme="majorHAnsi" w:hAnsiTheme="majorHAnsi"/>
          <w:b/>
          <w:lang w:val="en-AU"/>
        </w:rPr>
      </w:pPr>
      <w:r w:rsidRPr="00A57F0D">
        <w:rPr>
          <w:rFonts w:asciiTheme="majorHAnsi" w:hAnsiTheme="majorHAnsi"/>
          <w:b/>
          <w:lang w:val="en-AU"/>
        </w:rPr>
        <w:t xml:space="preserve">Table </w:t>
      </w:r>
      <w:r w:rsidR="00601DB4">
        <w:rPr>
          <w:rFonts w:asciiTheme="majorHAnsi" w:hAnsiTheme="majorHAnsi"/>
          <w:b/>
          <w:lang w:val="en-AU"/>
        </w:rPr>
        <w:t>4</w:t>
      </w:r>
      <w:r w:rsidRPr="00A57F0D">
        <w:rPr>
          <w:rFonts w:asciiTheme="majorHAnsi" w:hAnsiTheme="majorHAnsi"/>
          <w:b/>
          <w:lang w:val="en-AU"/>
        </w:rPr>
        <w:t>: Selected determinants of low birth weight babies 2011, with changes in the gap between Aboriginal and Torres Strait Islander people and non-Indigenous people for these determinants</w:t>
      </w:r>
      <w:r w:rsidR="00D5017B" w:rsidRPr="00A57F0D">
        <w:rPr>
          <w:rStyle w:val="EndnoteReference"/>
          <w:rFonts w:asciiTheme="majorHAnsi" w:eastAsia="Times New Roman" w:hAnsiTheme="majorHAnsi"/>
          <w:szCs w:val="20"/>
          <w:lang w:val="en-AU"/>
        </w:rPr>
        <w:endnoteReference w:id="120"/>
      </w:r>
    </w:p>
    <w:tbl>
      <w:tblPr>
        <w:tblStyle w:val="TableGrid"/>
        <w:tblW w:w="0" w:type="auto"/>
        <w:tblLayout w:type="fixed"/>
        <w:tblLook w:val="04A0" w:firstRow="1" w:lastRow="0" w:firstColumn="1" w:lastColumn="0" w:noHBand="0" w:noVBand="1"/>
      </w:tblPr>
      <w:tblGrid>
        <w:gridCol w:w="1101"/>
        <w:gridCol w:w="2835"/>
        <w:gridCol w:w="2409"/>
        <w:gridCol w:w="2941"/>
      </w:tblGrid>
      <w:tr w:rsidR="00814869" w:rsidRPr="006A24D8" w14:paraId="16DE99B1" w14:textId="77777777" w:rsidTr="00D5017B">
        <w:tc>
          <w:tcPr>
            <w:tcW w:w="1101" w:type="dxa"/>
            <w:vMerge w:val="restart"/>
            <w:shd w:val="clear" w:color="auto" w:fill="DBE5F1" w:themeFill="accent1" w:themeFillTint="33"/>
          </w:tcPr>
          <w:p w14:paraId="1022618B" w14:textId="77777777" w:rsidR="00814869" w:rsidRPr="00A57F0D" w:rsidRDefault="00814869" w:rsidP="002416DF">
            <w:pPr>
              <w:widowControl w:val="0"/>
              <w:autoSpaceDE w:val="0"/>
              <w:autoSpaceDN w:val="0"/>
              <w:adjustRightInd w:val="0"/>
              <w:spacing w:after="0"/>
              <w:rPr>
                <w:rFonts w:asciiTheme="majorHAnsi" w:hAnsiTheme="majorHAnsi"/>
                <w:sz w:val="20"/>
                <w:szCs w:val="20"/>
                <w:lang w:val="en-AU"/>
              </w:rPr>
            </w:pPr>
          </w:p>
        </w:tc>
        <w:tc>
          <w:tcPr>
            <w:tcW w:w="5244" w:type="dxa"/>
            <w:gridSpan w:val="2"/>
            <w:shd w:val="clear" w:color="auto" w:fill="DBE5F1" w:themeFill="accent1" w:themeFillTint="33"/>
          </w:tcPr>
          <w:p w14:paraId="1204BF48" w14:textId="77777777" w:rsidR="00814869" w:rsidRPr="00A57F0D" w:rsidRDefault="00814869" w:rsidP="002416DF">
            <w:pPr>
              <w:widowControl w:val="0"/>
              <w:autoSpaceDE w:val="0"/>
              <w:autoSpaceDN w:val="0"/>
              <w:adjustRightInd w:val="0"/>
              <w:spacing w:after="0"/>
              <w:jc w:val="center"/>
              <w:rPr>
                <w:rFonts w:asciiTheme="majorHAnsi" w:hAnsiTheme="majorHAnsi"/>
                <w:b/>
                <w:sz w:val="20"/>
                <w:szCs w:val="20"/>
                <w:lang w:val="en-AU"/>
              </w:rPr>
            </w:pPr>
            <w:r w:rsidRPr="00A57F0D">
              <w:rPr>
                <w:rFonts w:asciiTheme="majorHAnsi" w:hAnsiTheme="majorHAnsi"/>
                <w:b/>
                <w:sz w:val="20"/>
                <w:szCs w:val="20"/>
                <w:lang w:val="en-AU"/>
              </w:rPr>
              <w:t>2011</w:t>
            </w:r>
          </w:p>
        </w:tc>
        <w:tc>
          <w:tcPr>
            <w:tcW w:w="2941" w:type="dxa"/>
            <w:vMerge w:val="restart"/>
            <w:shd w:val="clear" w:color="auto" w:fill="DBE5F1" w:themeFill="accent1" w:themeFillTint="33"/>
          </w:tcPr>
          <w:p w14:paraId="5B2ADFF5" w14:textId="77777777" w:rsidR="00814869" w:rsidRPr="00A57F0D" w:rsidRDefault="00814869" w:rsidP="00236D00">
            <w:pPr>
              <w:widowControl w:val="0"/>
              <w:autoSpaceDE w:val="0"/>
              <w:autoSpaceDN w:val="0"/>
              <w:adjustRightInd w:val="0"/>
              <w:spacing w:after="0"/>
              <w:jc w:val="center"/>
              <w:rPr>
                <w:rFonts w:asciiTheme="majorHAnsi" w:hAnsiTheme="majorHAnsi"/>
                <w:b/>
                <w:sz w:val="20"/>
                <w:szCs w:val="20"/>
                <w:lang w:val="en-AU"/>
              </w:rPr>
            </w:pPr>
            <w:r w:rsidRPr="00A57F0D">
              <w:rPr>
                <w:rFonts w:asciiTheme="majorHAnsi" w:hAnsiTheme="majorHAnsi"/>
                <w:b/>
                <w:sz w:val="20"/>
                <w:szCs w:val="20"/>
                <w:lang w:val="en-AU"/>
              </w:rPr>
              <w:t>Gap – changes over 2001-2011</w:t>
            </w:r>
          </w:p>
        </w:tc>
      </w:tr>
      <w:tr w:rsidR="00814869" w:rsidRPr="006A24D8" w14:paraId="503C4091" w14:textId="77777777" w:rsidTr="00D5017B">
        <w:tc>
          <w:tcPr>
            <w:tcW w:w="1101" w:type="dxa"/>
            <w:vMerge/>
            <w:shd w:val="clear" w:color="auto" w:fill="DBE5F1" w:themeFill="accent1" w:themeFillTint="33"/>
          </w:tcPr>
          <w:p w14:paraId="74BACD0D" w14:textId="77777777" w:rsidR="00814869" w:rsidRPr="00D014CF" w:rsidRDefault="00814869" w:rsidP="002416DF">
            <w:pPr>
              <w:widowControl w:val="0"/>
              <w:autoSpaceDE w:val="0"/>
              <w:autoSpaceDN w:val="0"/>
              <w:adjustRightInd w:val="0"/>
              <w:spacing w:after="0"/>
              <w:rPr>
                <w:rFonts w:asciiTheme="majorHAnsi" w:hAnsiTheme="majorHAnsi"/>
                <w:sz w:val="20"/>
                <w:szCs w:val="20"/>
                <w:lang w:val="en-AU"/>
              </w:rPr>
            </w:pPr>
          </w:p>
        </w:tc>
        <w:tc>
          <w:tcPr>
            <w:tcW w:w="2835" w:type="dxa"/>
            <w:shd w:val="clear" w:color="auto" w:fill="DBE5F1" w:themeFill="accent1" w:themeFillTint="33"/>
          </w:tcPr>
          <w:p w14:paraId="3D595CF1" w14:textId="77777777" w:rsidR="00814869" w:rsidRPr="00D014CF" w:rsidRDefault="00814869" w:rsidP="00D014CF">
            <w:pPr>
              <w:widowControl w:val="0"/>
              <w:autoSpaceDE w:val="0"/>
              <w:autoSpaceDN w:val="0"/>
              <w:adjustRightInd w:val="0"/>
              <w:spacing w:after="0"/>
              <w:ind w:left="99"/>
              <w:jc w:val="center"/>
              <w:rPr>
                <w:rFonts w:asciiTheme="majorHAnsi" w:hAnsiTheme="majorHAnsi"/>
                <w:b/>
                <w:sz w:val="20"/>
                <w:szCs w:val="20"/>
                <w:lang w:val="en-AU"/>
              </w:rPr>
            </w:pPr>
            <w:r w:rsidRPr="00D014CF">
              <w:rPr>
                <w:rFonts w:asciiTheme="majorHAnsi" w:hAnsiTheme="majorHAnsi"/>
                <w:b/>
                <w:sz w:val="20"/>
                <w:szCs w:val="20"/>
                <w:lang w:val="en-AU"/>
              </w:rPr>
              <w:t>Aboriginal and Torres Strait Islander</w:t>
            </w:r>
          </w:p>
        </w:tc>
        <w:tc>
          <w:tcPr>
            <w:tcW w:w="2409" w:type="dxa"/>
            <w:shd w:val="clear" w:color="auto" w:fill="DBE5F1" w:themeFill="accent1" w:themeFillTint="33"/>
          </w:tcPr>
          <w:p w14:paraId="284F4EB6" w14:textId="77777777" w:rsidR="00814869" w:rsidRPr="00D014CF" w:rsidRDefault="00814869" w:rsidP="00D014CF">
            <w:pPr>
              <w:widowControl w:val="0"/>
              <w:autoSpaceDE w:val="0"/>
              <w:autoSpaceDN w:val="0"/>
              <w:adjustRightInd w:val="0"/>
              <w:spacing w:after="0"/>
              <w:ind w:left="99"/>
              <w:jc w:val="center"/>
              <w:rPr>
                <w:rFonts w:asciiTheme="majorHAnsi" w:hAnsiTheme="majorHAnsi"/>
                <w:b/>
                <w:sz w:val="20"/>
                <w:szCs w:val="20"/>
                <w:lang w:val="en-AU"/>
              </w:rPr>
            </w:pPr>
            <w:r w:rsidRPr="00D014CF">
              <w:rPr>
                <w:rFonts w:asciiTheme="majorHAnsi" w:hAnsiTheme="majorHAnsi"/>
                <w:b/>
                <w:sz w:val="20"/>
                <w:szCs w:val="20"/>
                <w:lang w:val="en-AU"/>
              </w:rPr>
              <w:t>Non-Indigenous</w:t>
            </w:r>
          </w:p>
        </w:tc>
        <w:tc>
          <w:tcPr>
            <w:tcW w:w="2941" w:type="dxa"/>
            <w:vMerge/>
            <w:shd w:val="clear" w:color="auto" w:fill="DBE5F1" w:themeFill="accent1" w:themeFillTint="33"/>
          </w:tcPr>
          <w:p w14:paraId="058B68B3" w14:textId="77777777" w:rsidR="00814869" w:rsidRPr="00D014CF" w:rsidRDefault="00814869" w:rsidP="002416DF">
            <w:pPr>
              <w:widowControl w:val="0"/>
              <w:autoSpaceDE w:val="0"/>
              <w:autoSpaceDN w:val="0"/>
              <w:adjustRightInd w:val="0"/>
              <w:spacing w:after="0"/>
              <w:rPr>
                <w:rFonts w:asciiTheme="majorHAnsi" w:hAnsiTheme="majorHAnsi"/>
                <w:b/>
                <w:sz w:val="20"/>
                <w:szCs w:val="20"/>
                <w:lang w:val="en-AU"/>
              </w:rPr>
            </w:pPr>
          </w:p>
        </w:tc>
      </w:tr>
      <w:tr w:rsidR="00814869" w:rsidRPr="006A24D8" w14:paraId="7138C1D4" w14:textId="77777777" w:rsidTr="00D5017B">
        <w:tc>
          <w:tcPr>
            <w:tcW w:w="1101" w:type="dxa"/>
            <w:shd w:val="clear" w:color="auto" w:fill="DBE5F1" w:themeFill="accent1" w:themeFillTint="33"/>
          </w:tcPr>
          <w:p w14:paraId="3285D497" w14:textId="77777777" w:rsidR="00814869" w:rsidRPr="00A57F0D" w:rsidRDefault="00814869" w:rsidP="002416DF">
            <w:pPr>
              <w:widowControl w:val="0"/>
              <w:autoSpaceDE w:val="0"/>
              <w:autoSpaceDN w:val="0"/>
              <w:adjustRightInd w:val="0"/>
              <w:spacing w:after="0"/>
              <w:rPr>
                <w:rFonts w:asciiTheme="majorHAnsi" w:hAnsiTheme="majorHAnsi"/>
                <w:sz w:val="20"/>
                <w:szCs w:val="20"/>
                <w:lang w:val="en-AU"/>
              </w:rPr>
            </w:pPr>
            <w:r w:rsidRPr="00A57F0D">
              <w:rPr>
                <w:rFonts w:asciiTheme="majorHAnsi" w:hAnsiTheme="majorHAnsi"/>
                <w:b/>
                <w:sz w:val="20"/>
                <w:szCs w:val="20"/>
                <w:lang w:val="en-AU"/>
              </w:rPr>
              <w:t>Antenatal care</w:t>
            </w:r>
          </w:p>
        </w:tc>
        <w:tc>
          <w:tcPr>
            <w:tcW w:w="2835" w:type="dxa"/>
          </w:tcPr>
          <w:p w14:paraId="53397D7F" w14:textId="77777777" w:rsidR="00814869" w:rsidRPr="00A57F0D" w:rsidRDefault="00814869" w:rsidP="000255B4">
            <w:pPr>
              <w:widowControl w:val="0"/>
              <w:autoSpaceDE w:val="0"/>
              <w:autoSpaceDN w:val="0"/>
              <w:adjustRightInd w:val="0"/>
              <w:spacing w:after="0"/>
              <w:rPr>
                <w:rFonts w:asciiTheme="majorHAnsi" w:eastAsia="Times New Roman" w:hAnsiTheme="majorHAnsi"/>
                <w:sz w:val="20"/>
                <w:szCs w:val="20"/>
                <w:lang w:val="en-AU"/>
              </w:rPr>
            </w:pPr>
            <w:r w:rsidRPr="00A57F0D">
              <w:rPr>
                <w:rFonts w:asciiTheme="majorHAnsi" w:eastAsia="Times New Roman" w:hAnsiTheme="majorHAnsi"/>
                <w:sz w:val="20"/>
                <w:szCs w:val="20"/>
                <w:lang w:val="en-AU"/>
              </w:rPr>
              <w:t>99 percent of mothers had at least one antenatal session, and 83 percent had five or more.</w:t>
            </w:r>
          </w:p>
        </w:tc>
        <w:tc>
          <w:tcPr>
            <w:tcW w:w="2409" w:type="dxa"/>
          </w:tcPr>
          <w:p w14:paraId="5F904667" w14:textId="77777777" w:rsidR="00814869" w:rsidRPr="00A57F0D" w:rsidRDefault="00D5017B" w:rsidP="00D5017B">
            <w:pPr>
              <w:widowControl w:val="0"/>
              <w:autoSpaceDE w:val="0"/>
              <w:autoSpaceDN w:val="0"/>
              <w:adjustRightInd w:val="0"/>
              <w:spacing w:after="0"/>
              <w:rPr>
                <w:rFonts w:asciiTheme="majorHAnsi" w:eastAsia="Times New Roman" w:hAnsiTheme="majorHAnsi"/>
                <w:sz w:val="20"/>
                <w:szCs w:val="20"/>
                <w:lang w:val="en-AU"/>
              </w:rPr>
            </w:pPr>
            <w:r>
              <w:rPr>
                <w:rFonts w:asciiTheme="majorHAnsi" w:eastAsia="Times New Roman" w:hAnsiTheme="majorHAnsi"/>
                <w:sz w:val="20"/>
                <w:szCs w:val="20"/>
                <w:lang w:val="en-AU"/>
              </w:rPr>
              <w:t>N</w:t>
            </w:r>
            <w:r w:rsidR="00814869" w:rsidRPr="00A57F0D">
              <w:rPr>
                <w:rFonts w:asciiTheme="majorHAnsi" w:eastAsia="Times New Roman" w:hAnsiTheme="majorHAnsi"/>
                <w:sz w:val="20"/>
                <w:szCs w:val="20"/>
                <w:lang w:val="en-AU"/>
              </w:rPr>
              <w:t>early all (99.9 percent) of mothers had at least one antenatal session, and 95 percent had five or more.</w:t>
            </w:r>
          </w:p>
        </w:tc>
        <w:tc>
          <w:tcPr>
            <w:tcW w:w="2941" w:type="dxa"/>
          </w:tcPr>
          <w:p w14:paraId="3CE9D262" w14:textId="77777777" w:rsidR="00814869" w:rsidRPr="00A57F0D" w:rsidRDefault="0078742B" w:rsidP="00D5017B">
            <w:pPr>
              <w:widowControl w:val="0"/>
              <w:autoSpaceDE w:val="0"/>
              <w:autoSpaceDN w:val="0"/>
              <w:adjustRightInd w:val="0"/>
              <w:spacing w:after="0"/>
              <w:rPr>
                <w:rFonts w:asciiTheme="majorHAnsi" w:eastAsia="Times New Roman" w:hAnsiTheme="majorHAnsi"/>
                <w:sz w:val="20"/>
                <w:szCs w:val="20"/>
                <w:lang w:val="en-AU"/>
              </w:rPr>
            </w:pPr>
            <w:r w:rsidRPr="00A57F0D">
              <w:rPr>
                <w:rFonts w:asciiTheme="majorHAnsi" w:eastAsia="Times New Roman" w:hAnsiTheme="majorHAnsi"/>
                <w:sz w:val="20"/>
                <w:szCs w:val="20"/>
                <w:lang w:val="en-AU"/>
              </w:rPr>
              <w:t>In 2001-20</w:t>
            </w:r>
            <w:r w:rsidR="00814869" w:rsidRPr="00A57F0D">
              <w:rPr>
                <w:rFonts w:asciiTheme="majorHAnsi" w:eastAsia="Times New Roman" w:hAnsiTheme="majorHAnsi"/>
                <w:sz w:val="20"/>
                <w:szCs w:val="20"/>
                <w:lang w:val="en-AU"/>
              </w:rPr>
              <w:t xml:space="preserve">11, in NSW, South Australia and Queensland, there was a statistically significant increase in the rate of </w:t>
            </w:r>
            <w:r w:rsidR="00814869" w:rsidRPr="00A57F0D">
              <w:rPr>
                <w:rFonts w:asciiTheme="majorHAnsi" w:hAnsiTheme="majorHAnsi"/>
                <w:sz w:val="20"/>
                <w:szCs w:val="20"/>
                <w:lang w:val="en-AU"/>
              </w:rPr>
              <w:t>Aboriginal and Torres Strait Islander</w:t>
            </w:r>
            <w:r w:rsidR="00814869" w:rsidRPr="00A57F0D">
              <w:rPr>
                <w:rFonts w:asciiTheme="majorHAnsi" w:eastAsia="Times New Roman" w:hAnsiTheme="majorHAnsi"/>
                <w:sz w:val="20"/>
                <w:szCs w:val="20"/>
                <w:lang w:val="en-AU"/>
              </w:rPr>
              <w:t xml:space="preserve"> mothers attending at least one antenatal care session during pregnancy, but no significant change among non-Indigenous women. This resulted in a narrowing of the gap in these three jurisdictions.</w:t>
            </w:r>
          </w:p>
        </w:tc>
      </w:tr>
      <w:tr w:rsidR="00814869" w:rsidRPr="006A24D8" w14:paraId="5F7F559F" w14:textId="77777777" w:rsidTr="00D5017B">
        <w:tc>
          <w:tcPr>
            <w:tcW w:w="1101" w:type="dxa"/>
            <w:shd w:val="clear" w:color="auto" w:fill="DBE5F1" w:themeFill="accent1" w:themeFillTint="33"/>
          </w:tcPr>
          <w:p w14:paraId="2970E61E" w14:textId="77777777" w:rsidR="00814869" w:rsidRPr="00A57F0D" w:rsidRDefault="00814869" w:rsidP="009F17E0">
            <w:pPr>
              <w:widowControl w:val="0"/>
              <w:autoSpaceDE w:val="0"/>
              <w:autoSpaceDN w:val="0"/>
              <w:adjustRightInd w:val="0"/>
              <w:spacing w:after="0"/>
              <w:rPr>
                <w:rFonts w:asciiTheme="majorHAnsi" w:eastAsia="Times New Roman" w:hAnsiTheme="majorHAnsi"/>
                <w:sz w:val="20"/>
                <w:szCs w:val="20"/>
                <w:lang w:val="en-AU"/>
              </w:rPr>
            </w:pPr>
            <w:r w:rsidRPr="00A57F0D">
              <w:rPr>
                <w:rFonts w:asciiTheme="majorHAnsi" w:hAnsiTheme="majorHAnsi"/>
                <w:b/>
                <w:sz w:val="20"/>
                <w:szCs w:val="20"/>
                <w:lang w:val="en-AU"/>
              </w:rPr>
              <w:t>Smoking</w:t>
            </w:r>
          </w:p>
        </w:tc>
        <w:tc>
          <w:tcPr>
            <w:tcW w:w="2835" w:type="dxa"/>
          </w:tcPr>
          <w:p w14:paraId="6B38C95D" w14:textId="77777777" w:rsidR="00814869" w:rsidRPr="00A57F0D" w:rsidRDefault="00814869" w:rsidP="00D5017B">
            <w:pPr>
              <w:widowControl w:val="0"/>
              <w:autoSpaceDE w:val="0"/>
              <w:autoSpaceDN w:val="0"/>
              <w:adjustRightInd w:val="0"/>
              <w:spacing w:after="0"/>
              <w:rPr>
                <w:rFonts w:asciiTheme="majorHAnsi" w:eastAsia="Times New Roman" w:hAnsiTheme="majorHAnsi"/>
                <w:sz w:val="20"/>
                <w:szCs w:val="20"/>
                <w:lang w:val="en-AU"/>
              </w:rPr>
            </w:pPr>
            <w:r w:rsidRPr="00A57F0D">
              <w:rPr>
                <w:rFonts w:asciiTheme="majorHAnsi" w:eastAsia="Times New Roman" w:hAnsiTheme="majorHAnsi"/>
                <w:sz w:val="20"/>
                <w:szCs w:val="20"/>
                <w:lang w:val="en-AU"/>
              </w:rPr>
              <w:t>Half (50 percent) of mothers reported smoking during pregnancy</w:t>
            </w:r>
            <w:r w:rsidR="003D0F38">
              <w:rPr>
                <w:rFonts w:asciiTheme="majorHAnsi" w:eastAsia="Times New Roman" w:hAnsiTheme="majorHAnsi"/>
                <w:sz w:val="20"/>
                <w:szCs w:val="20"/>
                <w:lang w:val="en-AU"/>
              </w:rPr>
              <w:t>.</w:t>
            </w:r>
          </w:p>
        </w:tc>
        <w:tc>
          <w:tcPr>
            <w:tcW w:w="2409" w:type="dxa"/>
          </w:tcPr>
          <w:p w14:paraId="7C91E506" w14:textId="77777777" w:rsidR="00814869" w:rsidRPr="00A57F0D" w:rsidRDefault="00814869" w:rsidP="00D5017B">
            <w:pPr>
              <w:widowControl w:val="0"/>
              <w:autoSpaceDE w:val="0"/>
              <w:autoSpaceDN w:val="0"/>
              <w:adjustRightInd w:val="0"/>
              <w:spacing w:after="0"/>
              <w:rPr>
                <w:rFonts w:asciiTheme="majorHAnsi" w:hAnsiTheme="majorHAnsi"/>
                <w:sz w:val="20"/>
                <w:szCs w:val="20"/>
                <w:lang w:val="en-AU"/>
              </w:rPr>
            </w:pPr>
            <w:r w:rsidRPr="00A57F0D">
              <w:rPr>
                <w:rFonts w:asciiTheme="majorHAnsi" w:eastAsia="Times New Roman" w:hAnsiTheme="majorHAnsi"/>
                <w:sz w:val="20"/>
                <w:szCs w:val="20"/>
                <w:lang w:val="en-AU"/>
              </w:rPr>
              <w:t>12.1 percent of mothers reported smoking during pregnancy</w:t>
            </w:r>
            <w:r w:rsidR="003D0F38">
              <w:rPr>
                <w:rFonts w:asciiTheme="majorHAnsi" w:eastAsia="Times New Roman" w:hAnsiTheme="majorHAnsi"/>
                <w:sz w:val="20"/>
                <w:szCs w:val="20"/>
                <w:lang w:val="en-AU"/>
              </w:rPr>
              <w:t>.</w:t>
            </w:r>
          </w:p>
        </w:tc>
        <w:tc>
          <w:tcPr>
            <w:tcW w:w="2941" w:type="dxa"/>
          </w:tcPr>
          <w:p w14:paraId="040C1B48" w14:textId="77777777" w:rsidR="00814869" w:rsidRPr="00A57F0D" w:rsidRDefault="00814869" w:rsidP="00D5017B">
            <w:pPr>
              <w:widowControl w:val="0"/>
              <w:autoSpaceDE w:val="0"/>
              <w:autoSpaceDN w:val="0"/>
              <w:adjustRightInd w:val="0"/>
              <w:spacing w:after="0"/>
              <w:rPr>
                <w:rFonts w:asciiTheme="majorHAnsi" w:eastAsia="Times New Roman" w:hAnsiTheme="majorHAnsi"/>
                <w:sz w:val="20"/>
                <w:szCs w:val="20"/>
                <w:lang w:val="en-AU"/>
              </w:rPr>
            </w:pPr>
            <w:r w:rsidRPr="00A57F0D">
              <w:rPr>
                <w:rFonts w:asciiTheme="majorHAnsi" w:eastAsia="Times New Roman" w:hAnsiTheme="majorHAnsi"/>
                <w:sz w:val="20"/>
                <w:szCs w:val="20"/>
                <w:lang w:val="en-AU"/>
              </w:rPr>
              <w:t xml:space="preserve">Between 2005 and 2011, there was a statistically significant six percent decline in </w:t>
            </w:r>
            <w:r w:rsidRPr="00A57F0D">
              <w:rPr>
                <w:rFonts w:asciiTheme="majorHAnsi" w:hAnsiTheme="majorHAnsi"/>
                <w:sz w:val="20"/>
                <w:szCs w:val="20"/>
                <w:lang w:val="en-AU"/>
              </w:rPr>
              <w:t xml:space="preserve">Aboriginal and Torres Strait Islander </w:t>
            </w:r>
            <w:r w:rsidRPr="00A57F0D">
              <w:rPr>
                <w:rFonts w:asciiTheme="majorHAnsi" w:eastAsia="Times New Roman" w:hAnsiTheme="majorHAnsi"/>
                <w:sz w:val="20"/>
                <w:szCs w:val="20"/>
                <w:lang w:val="en-AU"/>
              </w:rPr>
              <w:t xml:space="preserve">mothers who smoked during pregnancy, but a much greater drop of 25 percent among non-Indigenous mothers. </w:t>
            </w:r>
            <w:r w:rsidRPr="00A57F0D">
              <w:rPr>
                <w:rFonts w:asciiTheme="majorHAnsi" w:eastAsia="Times New Roman" w:hAnsiTheme="majorHAnsi"/>
                <w:b/>
                <w:i/>
                <w:sz w:val="20"/>
                <w:szCs w:val="20"/>
                <w:lang w:val="en-AU"/>
              </w:rPr>
              <w:t>The gap thus increased significantly.</w:t>
            </w:r>
          </w:p>
        </w:tc>
      </w:tr>
      <w:tr w:rsidR="00B13DE2" w:rsidRPr="006A24D8" w14:paraId="6A883BD4" w14:textId="77777777" w:rsidTr="00D5017B">
        <w:tc>
          <w:tcPr>
            <w:tcW w:w="1101" w:type="dxa"/>
            <w:shd w:val="clear" w:color="auto" w:fill="DBE5F1" w:themeFill="accent1" w:themeFillTint="33"/>
          </w:tcPr>
          <w:p w14:paraId="3304A501" w14:textId="77777777" w:rsidR="00B13DE2" w:rsidRPr="003D0F38" w:rsidRDefault="00B13DE2" w:rsidP="003D0F38">
            <w:pPr>
              <w:rPr>
                <w:b/>
                <w:lang w:val="en-AU"/>
              </w:rPr>
            </w:pPr>
            <w:r w:rsidRPr="003D0F38">
              <w:rPr>
                <w:b/>
                <w:lang w:val="en-AU"/>
              </w:rPr>
              <w:t xml:space="preserve">Pre-term births </w:t>
            </w:r>
          </w:p>
        </w:tc>
        <w:tc>
          <w:tcPr>
            <w:tcW w:w="2835" w:type="dxa"/>
          </w:tcPr>
          <w:p w14:paraId="543AF4F3" w14:textId="77777777" w:rsidR="00B13DE2" w:rsidRPr="00A57F0D" w:rsidRDefault="00B13DE2" w:rsidP="00D5017B">
            <w:pPr>
              <w:keepNext/>
              <w:keepLines/>
              <w:widowControl w:val="0"/>
              <w:autoSpaceDE w:val="0"/>
              <w:autoSpaceDN w:val="0"/>
              <w:adjustRightInd w:val="0"/>
              <w:spacing w:before="200" w:after="0"/>
              <w:outlineLvl w:val="6"/>
              <w:rPr>
                <w:rFonts w:asciiTheme="majorHAnsi" w:eastAsia="Times New Roman" w:hAnsiTheme="majorHAnsi"/>
                <w:sz w:val="20"/>
                <w:szCs w:val="20"/>
                <w:lang w:val="en-AU"/>
              </w:rPr>
            </w:pPr>
            <w:r w:rsidRPr="00A57F0D">
              <w:rPr>
                <w:rFonts w:asciiTheme="majorHAnsi" w:eastAsia="Times New Roman" w:hAnsiTheme="majorHAnsi"/>
                <w:sz w:val="20"/>
                <w:szCs w:val="20"/>
                <w:lang w:val="en-AU"/>
              </w:rPr>
              <w:t>12.5 percent of all live births</w:t>
            </w:r>
            <w:r w:rsidR="003D0F38">
              <w:rPr>
                <w:rFonts w:asciiTheme="majorHAnsi" w:eastAsia="Times New Roman" w:hAnsiTheme="majorHAnsi"/>
                <w:sz w:val="20"/>
                <w:szCs w:val="20"/>
                <w:lang w:val="en-AU"/>
              </w:rPr>
              <w:t>.</w:t>
            </w:r>
          </w:p>
        </w:tc>
        <w:tc>
          <w:tcPr>
            <w:tcW w:w="2409" w:type="dxa"/>
          </w:tcPr>
          <w:p w14:paraId="74D3E318" w14:textId="77777777" w:rsidR="00B13DE2" w:rsidRPr="00A57F0D" w:rsidRDefault="00B13DE2" w:rsidP="00D5017B">
            <w:pPr>
              <w:keepNext/>
              <w:keepLines/>
              <w:widowControl w:val="0"/>
              <w:autoSpaceDE w:val="0"/>
              <w:autoSpaceDN w:val="0"/>
              <w:adjustRightInd w:val="0"/>
              <w:spacing w:before="200" w:after="0"/>
              <w:outlineLvl w:val="6"/>
              <w:rPr>
                <w:rFonts w:asciiTheme="majorHAnsi" w:eastAsia="Times New Roman" w:hAnsiTheme="majorHAnsi"/>
                <w:sz w:val="20"/>
                <w:szCs w:val="20"/>
                <w:lang w:val="en-AU"/>
              </w:rPr>
            </w:pPr>
            <w:r w:rsidRPr="00A57F0D">
              <w:rPr>
                <w:rFonts w:asciiTheme="majorHAnsi" w:hAnsiTheme="majorHAnsi"/>
                <w:sz w:val="20"/>
                <w:szCs w:val="20"/>
                <w:lang w:val="en-AU"/>
              </w:rPr>
              <w:t>7.5 percent of all live births</w:t>
            </w:r>
            <w:r w:rsidR="003D0F38">
              <w:rPr>
                <w:rFonts w:asciiTheme="majorHAnsi" w:hAnsiTheme="majorHAnsi"/>
                <w:sz w:val="20"/>
                <w:szCs w:val="20"/>
                <w:lang w:val="en-AU"/>
              </w:rPr>
              <w:t>.</w:t>
            </w:r>
          </w:p>
        </w:tc>
        <w:tc>
          <w:tcPr>
            <w:tcW w:w="2941" w:type="dxa"/>
          </w:tcPr>
          <w:p w14:paraId="7FBC013B" w14:textId="77777777" w:rsidR="00B13DE2" w:rsidRPr="00A57F0D" w:rsidRDefault="00B13DE2" w:rsidP="00D5017B">
            <w:pPr>
              <w:keepNext/>
              <w:keepLines/>
              <w:widowControl w:val="0"/>
              <w:autoSpaceDE w:val="0"/>
              <w:autoSpaceDN w:val="0"/>
              <w:adjustRightInd w:val="0"/>
              <w:spacing w:before="200" w:after="0"/>
              <w:outlineLvl w:val="6"/>
              <w:rPr>
                <w:rFonts w:asciiTheme="majorHAnsi" w:eastAsia="Times New Roman" w:hAnsiTheme="majorHAnsi"/>
                <w:sz w:val="20"/>
                <w:szCs w:val="20"/>
                <w:lang w:val="en-AU"/>
              </w:rPr>
            </w:pPr>
            <w:r w:rsidRPr="00A57F0D">
              <w:rPr>
                <w:rFonts w:asciiTheme="majorHAnsi" w:eastAsia="Times New Roman" w:hAnsiTheme="majorHAnsi"/>
                <w:sz w:val="20"/>
                <w:szCs w:val="20"/>
                <w:lang w:val="en-AU"/>
              </w:rPr>
              <w:t xml:space="preserve">Decline of 14 percent in the rate ratio; and 19 percent in the rate difference in </w:t>
            </w:r>
            <w:r w:rsidRPr="00A57F0D">
              <w:rPr>
                <w:rFonts w:asciiTheme="majorHAnsi" w:hAnsiTheme="majorHAnsi"/>
                <w:sz w:val="20"/>
                <w:szCs w:val="20"/>
                <w:lang w:val="en-AU"/>
              </w:rPr>
              <w:t>2001-2011.</w:t>
            </w:r>
          </w:p>
        </w:tc>
      </w:tr>
    </w:tbl>
    <w:p w14:paraId="076C168D" w14:textId="4D397FB2" w:rsidR="00814869" w:rsidRPr="00A57F0D" w:rsidRDefault="00814869" w:rsidP="00D8364C">
      <w:pPr>
        <w:widowControl w:val="0"/>
        <w:autoSpaceDE w:val="0"/>
        <w:autoSpaceDN w:val="0"/>
        <w:adjustRightInd w:val="0"/>
        <w:spacing w:before="240" w:after="240"/>
        <w:rPr>
          <w:rFonts w:asciiTheme="majorHAnsi" w:hAnsiTheme="majorHAnsi"/>
          <w:lang w:val="en-AU"/>
        </w:rPr>
      </w:pPr>
      <w:r w:rsidRPr="00A57F0D">
        <w:rPr>
          <w:rFonts w:asciiTheme="majorHAnsi" w:hAnsiTheme="majorHAnsi"/>
          <w:lang w:val="en-AU"/>
        </w:rPr>
        <w:t xml:space="preserve">Looking forward, the Campaign Steering Committee believe that increased focus must be maintained in relation to reducing smoking during pregnancy and to increasing access to antenatal care. Once again, the </w:t>
      </w:r>
      <w:r w:rsidR="00BD28E3">
        <w:rPr>
          <w:rFonts w:asciiTheme="majorHAnsi" w:hAnsiTheme="majorHAnsi"/>
          <w:lang w:val="en-AU"/>
        </w:rPr>
        <w:t xml:space="preserve">demonstrated </w:t>
      </w:r>
      <w:r w:rsidRPr="00A57F0D">
        <w:rPr>
          <w:rFonts w:asciiTheme="majorHAnsi" w:hAnsiTheme="majorHAnsi"/>
          <w:lang w:val="en-AU"/>
        </w:rPr>
        <w:t xml:space="preserve">strengths </w:t>
      </w:r>
      <w:r w:rsidR="00BD28E3">
        <w:rPr>
          <w:rFonts w:asciiTheme="majorHAnsi" w:hAnsiTheme="majorHAnsi"/>
          <w:lang w:val="en-AU"/>
        </w:rPr>
        <w:t xml:space="preserve">of ACCHS </w:t>
      </w:r>
      <w:r w:rsidRPr="00A57F0D">
        <w:rPr>
          <w:rFonts w:asciiTheme="majorHAnsi" w:hAnsiTheme="majorHAnsi"/>
          <w:lang w:val="en-AU"/>
        </w:rPr>
        <w:t xml:space="preserve">in </w:t>
      </w:r>
      <w:r w:rsidR="00BD28E3">
        <w:rPr>
          <w:rFonts w:asciiTheme="majorHAnsi" w:hAnsiTheme="majorHAnsi"/>
          <w:lang w:val="en-AU"/>
        </w:rPr>
        <w:t xml:space="preserve">providing </w:t>
      </w:r>
      <w:r w:rsidRPr="00A57F0D">
        <w:rPr>
          <w:rFonts w:asciiTheme="majorHAnsi" w:hAnsiTheme="majorHAnsi"/>
          <w:lang w:val="en-AU"/>
        </w:rPr>
        <w:t xml:space="preserve">maternal and infant care already demonstrated by the </w:t>
      </w:r>
      <w:r w:rsidR="00D5017B">
        <w:rPr>
          <w:rFonts w:asciiTheme="majorHAnsi" w:hAnsiTheme="majorHAnsi"/>
          <w:lang w:val="en-AU"/>
        </w:rPr>
        <w:t>ACCHS</w:t>
      </w:r>
      <w:r w:rsidRPr="00A57F0D">
        <w:rPr>
          <w:rFonts w:asciiTheme="majorHAnsi" w:hAnsiTheme="majorHAnsi"/>
          <w:lang w:val="en-AU"/>
        </w:rPr>
        <w:t xml:space="preserve"> should be </w:t>
      </w:r>
      <w:r w:rsidR="00BD28E3">
        <w:rPr>
          <w:rFonts w:asciiTheme="majorHAnsi" w:hAnsiTheme="majorHAnsi"/>
          <w:lang w:val="en-AU"/>
        </w:rPr>
        <w:t>utilised</w:t>
      </w:r>
      <w:r w:rsidRPr="00A57F0D">
        <w:rPr>
          <w:rFonts w:asciiTheme="majorHAnsi" w:hAnsiTheme="majorHAnsi"/>
          <w:lang w:val="en-AU"/>
        </w:rPr>
        <w:t>.</w:t>
      </w:r>
    </w:p>
    <w:p w14:paraId="24029984" w14:textId="5A447AE8" w:rsidR="00A01EF7" w:rsidRDefault="00814869" w:rsidP="00D5017B">
      <w:pPr>
        <w:widowControl w:val="0"/>
        <w:autoSpaceDE w:val="0"/>
        <w:autoSpaceDN w:val="0"/>
        <w:adjustRightInd w:val="0"/>
        <w:spacing w:before="240" w:after="240"/>
        <w:rPr>
          <w:rFonts w:asciiTheme="majorHAnsi" w:eastAsia="Times New Roman" w:hAnsiTheme="majorHAnsi" w:cs="Myriad-Roman"/>
          <w:lang w:val="en-AU"/>
        </w:rPr>
      </w:pPr>
      <w:proofErr w:type="gramStart"/>
      <w:r w:rsidRPr="002D47EF">
        <w:rPr>
          <w:rFonts w:asciiTheme="majorHAnsi" w:hAnsiTheme="majorHAnsi"/>
          <w:lang w:val="en-AU"/>
        </w:rPr>
        <w:t>ACCHS’ ‘mums and bubs’ program</w:t>
      </w:r>
      <w:r w:rsidR="00EB1FA3">
        <w:rPr>
          <w:rFonts w:asciiTheme="majorHAnsi" w:hAnsiTheme="majorHAnsi"/>
          <w:lang w:val="en-AU"/>
        </w:rPr>
        <w:t>me</w:t>
      </w:r>
      <w:r w:rsidRPr="002D47EF">
        <w:rPr>
          <w:rFonts w:asciiTheme="majorHAnsi" w:hAnsiTheme="majorHAnsi"/>
          <w:lang w:val="en-AU"/>
        </w:rPr>
        <w:t>s have long been established and have a track record in improving mother and child health outcomes.</w:t>
      </w:r>
      <w:proofErr w:type="gramEnd"/>
      <w:r w:rsidRPr="002D47EF">
        <w:rPr>
          <w:rFonts w:asciiTheme="majorHAnsi" w:hAnsiTheme="majorHAnsi"/>
          <w:lang w:val="en-AU"/>
        </w:rPr>
        <w:t xml:space="preserve"> For example, </w:t>
      </w:r>
      <w:r w:rsidR="00D5017B">
        <w:rPr>
          <w:rFonts w:asciiTheme="majorHAnsi" w:hAnsiTheme="majorHAnsi"/>
          <w:lang w:val="en-AU"/>
        </w:rPr>
        <w:t>t</w:t>
      </w:r>
      <w:r w:rsidR="003E69FB" w:rsidRPr="002D47EF">
        <w:rPr>
          <w:rFonts w:asciiTheme="majorHAnsi" w:eastAsia="Times New Roman" w:hAnsiTheme="majorHAnsi" w:cs="MyriadPro-Semibold"/>
          <w:lang w:val="en-AU"/>
        </w:rPr>
        <w:t>he Baby Basket program</w:t>
      </w:r>
      <w:r w:rsidR="002D47EF">
        <w:rPr>
          <w:rFonts w:asciiTheme="majorHAnsi" w:eastAsia="Times New Roman" w:hAnsiTheme="majorHAnsi" w:cs="MyriadPro-Semibold"/>
          <w:lang w:val="en-AU"/>
        </w:rPr>
        <w:t>me</w:t>
      </w:r>
      <w:r w:rsidR="003E69FB" w:rsidRPr="002D47EF">
        <w:rPr>
          <w:rFonts w:asciiTheme="majorHAnsi" w:eastAsia="Times New Roman" w:hAnsiTheme="majorHAnsi" w:cs="MyriadPro-Semibold"/>
          <w:lang w:val="en-AU"/>
        </w:rPr>
        <w:t xml:space="preserve"> developed </w:t>
      </w:r>
      <w:r w:rsidR="000835DE" w:rsidRPr="002D47EF">
        <w:rPr>
          <w:rFonts w:asciiTheme="majorHAnsi" w:eastAsia="Times New Roman" w:hAnsiTheme="majorHAnsi" w:cs="MyriadPro-Semibold"/>
          <w:lang w:val="en-AU"/>
        </w:rPr>
        <w:t xml:space="preserve">in 2009 </w:t>
      </w:r>
      <w:r w:rsidR="003E69FB" w:rsidRPr="002D47EF">
        <w:rPr>
          <w:rFonts w:asciiTheme="majorHAnsi" w:eastAsia="Times New Roman" w:hAnsiTheme="majorHAnsi" w:cs="MyriadPro-Semibold"/>
          <w:lang w:val="en-AU"/>
        </w:rPr>
        <w:t xml:space="preserve">by the </w:t>
      </w:r>
      <w:proofErr w:type="spellStart"/>
      <w:r w:rsidR="003E69FB" w:rsidRPr="002D47EF">
        <w:rPr>
          <w:rFonts w:asciiTheme="majorHAnsi" w:eastAsia="Times New Roman" w:hAnsiTheme="majorHAnsi" w:cs="MyriadPro-Semibold"/>
          <w:lang w:val="en-AU"/>
        </w:rPr>
        <w:t>Apunipima</w:t>
      </w:r>
      <w:proofErr w:type="spellEnd"/>
      <w:r w:rsidR="003E69FB" w:rsidRPr="002D47EF">
        <w:rPr>
          <w:rFonts w:asciiTheme="majorHAnsi" w:eastAsia="Times New Roman" w:hAnsiTheme="majorHAnsi" w:cs="MyriadPro-Semibold"/>
          <w:lang w:val="en-AU"/>
        </w:rPr>
        <w:t xml:space="preserve"> Cape York Health Council</w:t>
      </w:r>
      <w:r w:rsidR="00A01EF7">
        <w:rPr>
          <w:rFonts w:asciiTheme="majorHAnsi" w:eastAsia="Times New Roman" w:hAnsiTheme="majorHAnsi" w:cs="MyriadPro-Semibold"/>
          <w:lang w:val="en-AU"/>
        </w:rPr>
        <w:t xml:space="preserve">. This </w:t>
      </w:r>
      <w:r w:rsidR="003E69FB" w:rsidRPr="002D47EF">
        <w:rPr>
          <w:rFonts w:asciiTheme="majorHAnsi" w:eastAsia="Times New Roman" w:hAnsiTheme="majorHAnsi" w:cs="MyriadPro-Semibold"/>
          <w:lang w:val="en-AU"/>
        </w:rPr>
        <w:t>encourage</w:t>
      </w:r>
      <w:r w:rsidR="00A01EF7">
        <w:rPr>
          <w:rFonts w:asciiTheme="majorHAnsi" w:eastAsia="Times New Roman" w:hAnsiTheme="majorHAnsi" w:cs="MyriadPro-Semibold"/>
          <w:lang w:val="en-AU"/>
        </w:rPr>
        <w:t>s</w:t>
      </w:r>
      <w:r w:rsidR="003E69FB" w:rsidRPr="002D47EF">
        <w:rPr>
          <w:rFonts w:asciiTheme="majorHAnsi" w:eastAsia="Times New Roman" w:hAnsiTheme="majorHAnsi" w:cs="MyriadPro-Semibold"/>
          <w:lang w:val="en-AU"/>
        </w:rPr>
        <w:t xml:space="preserve"> </w:t>
      </w:r>
      <w:r w:rsidR="00BD28E3">
        <w:rPr>
          <w:rFonts w:asciiTheme="majorHAnsi" w:eastAsia="Times New Roman" w:hAnsiTheme="majorHAnsi" w:cs="MyriadPro-Semibold"/>
          <w:lang w:val="en-AU"/>
        </w:rPr>
        <w:t xml:space="preserve">expecting </w:t>
      </w:r>
      <w:r w:rsidR="003E69FB" w:rsidRPr="002D47EF">
        <w:rPr>
          <w:rFonts w:asciiTheme="majorHAnsi" w:eastAsia="Times New Roman" w:hAnsiTheme="majorHAnsi" w:cs="MyriadPro-Semibold"/>
          <w:lang w:val="en-AU"/>
        </w:rPr>
        <w:t xml:space="preserve">Aboriginal and Torres Strait Islander </w:t>
      </w:r>
      <w:r w:rsidR="000835DE" w:rsidRPr="002D47EF">
        <w:rPr>
          <w:rFonts w:asciiTheme="majorHAnsi" w:eastAsia="Times New Roman" w:hAnsiTheme="majorHAnsi" w:cs="MyriadPro-Semibold"/>
          <w:lang w:val="en-AU"/>
        </w:rPr>
        <w:t>mothers</w:t>
      </w:r>
      <w:r w:rsidR="003E69FB" w:rsidRPr="002D47EF">
        <w:rPr>
          <w:rFonts w:asciiTheme="majorHAnsi" w:eastAsia="Times New Roman" w:hAnsiTheme="majorHAnsi" w:cs="MyriadPro-Semibold"/>
          <w:lang w:val="en-AU"/>
        </w:rPr>
        <w:t xml:space="preserve"> to have earlier and more frequent engagement with antenatal and</w:t>
      </w:r>
      <w:r w:rsidR="007E1769" w:rsidRPr="002D47EF">
        <w:rPr>
          <w:rFonts w:asciiTheme="majorHAnsi" w:eastAsia="Times New Roman" w:hAnsiTheme="majorHAnsi" w:cs="MyriadPro-Semibold"/>
          <w:lang w:val="en-AU"/>
        </w:rPr>
        <w:t xml:space="preserve"> </w:t>
      </w:r>
      <w:r w:rsidR="003E69FB" w:rsidRPr="002D47EF">
        <w:rPr>
          <w:rFonts w:asciiTheme="majorHAnsi" w:eastAsia="Times New Roman" w:hAnsiTheme="majorHAnsi" w:cs="MyriadPro-Semibold"/>
          <w:lang w:val="en-AU"/>
        </w:rPr>
        <w:t>postnatal health services.</w:t>
      </w:r>
      <w:r w:rsidR="000835DE" w:rsidRPr="002D47EF">
        <w:rPr>
          <w:rFonts w:asciiTheme="majorHAnsi" w:eastAsia="Times New Roman" w:hAnsiTheme="majorHAnsi" w:cs="MyriadPro-Semibold"/>
          <w:lang w:val="en-AU"/>
        </w:rPr>
        <w:t xml:space="preserve"> </w:t>
      </w:r>
      <w:r w:rsidR="003E69FB" w:rsidRPr="002D47EF">
        <w:rPr>
          <w:rFonts w:asciiTheme="majorHAnsi" w:eastAsia="Times New Roman" w:hAnsiTheme="majorHAnsi" w:cs="MyriadPro-Semibold"/>
          <w:lang w:val="en-AU"/>
        </w:rPr>
        <w:t>The program</w:t>
      </w:r>
      <w:r w:rsidR="002D47EF">
        <w:rPr>
          <w:rFonts w:asciiTheme="majorHAnsi" w:eastAsia="Times New Roman" w:hAnsiTheme="majorHAnsi" w:cs="MyriadPro-Semibold"/>
          <w:lang w:val="en-AU"/>
        </w:rPr>
        <w:t>me</w:t>
      </w:r>
      <w:r w:rsidR="00A01EF7">
        <w:rPr>
          <w:rFonts w:asciiTheme="majorHAnsi" w:eastAsia="Times New Roman" w:hAnsiTheme="majorHAnsi" w:cs="MyriadPro-Semibold"/>
          <w:lang w:val="en-AU"/>
        </w:rPr>
        <w:t xml:space="preserve"> also</w:t>
      </w:r>
      <w:r w:rsidR="003E69FB" w:rsidRPr="002D47EF">
        <w:rPr>
          <w:rFonts w:asciiTheme="majorHAnsi" w:eastAsia="Times New Roman" w:hAnsiTheme="majorHAnsi" w:cs="MyriadPro-Semibold"/>
          <w:lang w:val="en-AU"/>
        </w:rPr>
        <w:t xml:space="preserve"> </w:t>
      </w:r>
      <w:r w:rsidR="000835DE" w:rsidRPr="002D47EF">
        <w:rPr>
          <w:rFonts w:asciiTheme="majorHAnsi" w:eastAsia="Times New Roman" w:hAnsiTheme="majorHAnsi" w:cs="MyriadPro-Semibold"/>
          <w:lang w:val="en-AU"/>
        </w:rPr>
        <w:t xml:space="preserve">provides </w:t>
      </w:r>
      <w:r w:rsidR="003E69FB" w:rsidRPr="002D47EF">
        <w:rPr>
          <w:rFonts w:asciiTheme="majorHAnsi" w:eastAsia="Times New Roman" w:hAnsiTheme="majorHAnsi" w:cs="Myriad-Roman"/>
          <w:lang w:val="en-AU"/>
        </w:rPr>
        <w:t>Baby Baskets, with</w:t>
      </w:r>
      <w:r w:rsidR="000835DE" w:rsidRPr="002D47EF">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practical gifts for mum and baby, health education material and food</w:t>
      </w:r>
      <w:r w:rsidR="000835DE" w:rsidRPr="002D47EF">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vouchers to</w:t>
      </w:r>
      <w:r w:rsidR="000835DE" w:rsidRPr="002D47EF">
        <w:rPr>
          <w:rFonts w:asciiTheme="majorHAnsi" w:eastAsia="Times New Roman" w:hAnsiTheme="majorHAnsi" w:cs="Myriad-Roman"/>
          <w:lang w:val="en-AU"/>
        </w:rPr>
        <w:t xml:space="preserve"> purchase fruit and vegetables </w:t>
      </w:r>
      <w:r w:rsidR="00A01EF7">
        <w:rPr>
          <w:rFonts w:asciiTheme="majorHAnsi" w:eastAsia="Times New Roman" w:hAnsiTheme="majorHAnsi" w:cs="Myriad-Roman"/>
          <w:lang w:val="en-AU"/>
        </w:rPr>
        <w:t>at</w:t>
      </w:r>
      <w:r w:rsidR="000835DE" w:rsidRPr="002D47EF">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the</w:t>
      </w:r>
      <w:r w:rsidR="000835DE" w:rsidRPr="002D47EF">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 xml:space="preserve">first trimester, immediately prior to birth and six months post birth. </w:t>
      </w:r>
    </w:p>
    <w:p w14:paraId="58A9CD3A" w14:textId="579ED4FA" w:rsidR="003E69FB" w:rsidRDefault="00A01EF7" w:rsidP="00D5017B">
      <w:pPr>
        <w:widowControl w:val="0"/>
        <w:autoSpaceDE w:val="0"/>
        <w:autoSpaceDN w:val="0"/>
        <w:adjustRightInd w:val="0"/>
        <w:spacing w:before="240" w:after="240"/>
        <w:rPr>
          <w:rFonts w:asciiTheme="majorHAnsi" w:eastAsia="Times New Roman" w:hAnsiTheme="majorHAnsi" w:cs="Myriad-Roman"/>
          <w:lang w:val="en-AU"/>
        </w:rPr>
      </w:pPr>
      <w:r>
        <w:rPr>
          <w:rFonts w:asciiTheme="majorHAnsi" w:eastAsia="Times New Roman" w:hAnsiTheme="majorHAnsi" w:cs="Myriad-Roman"/>
          <w:lang w:val="en-AU"/>
        </w:rPr>
        <w:t xml:space="preserve">The programme also provides </w:t>
      </w:r>
      <w:r w:rsidR="007E1769" w:rsidRPr="002D47EF">
        <w:rPr>
          <w:rFonts w:asciiTheme="majorHAnsi" w:eastAsia="Times New Roman" w:hAnsiTheme="majorHAnsi" w:cs="Myriad-Roman"/>
          <w:lang w:val="en-AU"/>
        </w:rPr>
        <w:t xml:space="preserve">Health Workers or clinicians </w:t>
      </w:r>
      <w:r w:rsidR="00E5303A">
        <w:rPr>
          <w:rFonts w:asciiTheme="majorHAnsi" w:eastAsia="Times New Roman" w:hAnsiTheme="majorHAnsi" w:cs="Myriad-Roman"/>
          <w:lang w:val="en-AU"/>
        </w:rPr>
        <w:t xml:space="preserve">with </w:t>
      </w:r>
      <w:r w:rsidR="003E69FB" w:rsidRPr="002D47EF">
        <w:rPr>
          <w:rFonts w:asciiTheme="majorHAnsi" w:eastAsia="Times New Roman" w:hAnsiTheme="majorHAnsi" w:cs="Myriad-Roman"/>
          <w:lang w:val="en-AU"/>
        </w:rPr>
        <w:t>opportunit</w:t>
      </w:r>
      <w:r w:rsidR="00E5303A">
        <w:rPr>
          <w:rFonts w:asciiTheme="majorHAnsi" w:eastAsia="Times New Roman" w:hAnsiTheme="majorHAnsi" w:cs="Myriad-Roman"/>
          <w:lang w:val="en-AU"/>
        </w:rPr>
        <w:t>ies</w:t>
      </w:r>
      <w:r w:rsidR="007E1769" w:rsidRPr="002D47EF">
        <w:rPr>
          <w:rFonts w:asciiTheme="majorHAnsi" w:eastAsia="Times New Roman" w:hAnsiTheme="majorHAnsi" w:cs="MyriadPro-Semibold"/>
          <w:lang w:val="en-AU"/>
        </w:rPr>
        <w:t xml:space="preserve"> </w:t>
      </w:r>
      <w:r w:rsidR="003E69FB" w:rsidRPr="002D47EF">
        <w:rPr>
          <w:rFonts w:asciiTheme="majorHAnsi" w:eastAsia="Times New Roman" w:hAnsiTheme="majorHAnsi" w:cs="Myriad-Roman"/>
          <w:lang w:val="en-AU"/>
        </w:rPr>
        <w:t xml:space="preserve">to engage with </w:t>
      </w:r>
      <w:r w:rsidR="00E5303A">
        <w:rPr>
          <w:rFonts w:asciiTheme="majorHAnsi" w:eastAsia="Times New Roman" w:hAnsiTheme="majorHAnsi" w:cs="Myriad-Roman"/>
          <w:lang w:val="en-AU"/>
        </w:rPr>
        <w:t>mothers</w:t>
      </w:r>
      <w:r w:rsidR="003E69FB" w:rsidRPr="002D47EF">
        <w:rPr>
          <w:rFonts w:asciiTheme="majorHAnsi" w:eastAsia="Times New Roman" w:hAnsiTheme="majorHAnsi" w:cs="Myriad-Roman"/>
          <w:lang w:val="en-AU"/>
        </w:rPr>
        <w:t>, their partners and families about issues affect</w:t>
      </w:r>
      <w:r w:rsidR="00437EE8">
        <w:rPr>
          <w:rFonts w:asciiTheme="majorHAnsi" w:eastAsia="Times New Roman" w:hAnsiTheme="majorHAnsi" w:cs="Myriad-Roman"/>
          <w:lang w:val="en-AU"/>
        </w:rPr>
        <w:t>ing</w:t>
      </w:r>
      <w:r w:rsidR="007E1769" w:rsidRPr="002D47EF">
        <w:rPr>
          <w:rFonts w:asciiTheme="majorHAnsi" w:eastAsia="Times New Roman" w:hAnsiTheme="majorHAnsi" w:cs="MyriadPro-Semibold"/>
          <w:lang w:val="en-AU"/>
        </w:rPr>
        <w:t xml:space="preserve"> </w:t>
      </w:r>
      <w:r w:rsidR="003E69FB" w:rsidRPr="002D47EF">
        <w:rPr>
          <w:rFonts w:asciiTheme="majorHAnsi" w:eastAsia="Times New Roman" w:hAnsiTheme="majorHAnsi" w:cs="Myriad-Roman"/>
          <w:lang w:val="en-AU"/>
        </w:rPr>
        <w:t>the</w:t>
      </w:r>
      <w:r w:rsidR="00E5303A">
        <w:rPr>
          <w:rFonts w:asciiTheme="majorHAnsi" w:eastAsia="Times New Roman" w:hAnsiTheme="majorHAnsi" w:cs="Myriad-Roman"/>
          <w:lang w:val="en-AU"/>
        </w:rPr>
        <w:t>ir</w:t>
      </w:r>
      <w:r w:rsidR="003E69FB" w:rsidRPr="002D47EF">
        <w:rPr>
          <w:rFonts w:asciiTheme="majorHAnsi" w:eastAsia="Times New Roman" w:hAnsiTheme="majorHAnsi" w:cs="Myriad-Roman"/>
          <w:lang w:val="en-AU"/>
        </w:rPr>
        <w:t xml:space="preserve"> growing baby </w:t>
      </w:r>
      <w:r w:rsidR="00E5303A">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such</w:t>
      </w:r>
      <w:r w:rsidR="00E5303A">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as healthy choices around smoking, alcohol and</w:t>
      </w:r>
      <w:r w:rsidR="007E1769" w:rsidRPr="002D47EF">
        <w:rPr>
          <w:rFonts w:asciiTheme="majorHAnsi" w:eastAsia="Times New Roman" w:hAnsiTheme="majorHAnsi" w:cs="MyriadPro-Semibold"/>
          <w:lang w:val="en-AU"/>
        </w:rPr>
        <w:t xml:space="preserve"> </w:t>
      </w:r>
      <w:r w:rsidR="003E69FB" w:rsidRPr="002D47EF">
        <w:rPr>
          <w:rFonts w:asciiTheme="majorHAnsi" w:eastAsia="Times New Roman" w:hAnsiTheme="majorHAnsi" w:cs="Myriad-Roman"/>
          <w:lang w:val="en-AU"/>
        </w:rPr>
        <w:t>diet. A</w:t>
      </w:r>
      <w:r w:rsidR="00E5303A">
        <w:rPr>
          <w:rFonts w:asciiTheme="majorHAnsi" w:eastAsia="Times New Roman" w:hAnsiTheme="majorHAnsi" w:cs="Myriad-Roman"/>
          <w:lang w:val="en-AU"/>
        </w:rPr>
        <w:t xml:space="preserve"> 2014</w:t>
      </w:r>
      <w:r w:rsidR="007E1769" w:rsidRPr="002D47EF">
        <w:rPr>
          <w:rFonts w:asciiTheme="majorHAnsi" w:eastAsia="Times New Roman" w:hAnsiTheme="majorHAnsi" w:cs="Myriad-Roman"/>
          <w:lang w:val="en-AU"/>
        </w:rPr>
        <w:t xml:space="preserve"> evaluation of the program</w:t>
      </w:r>
      <w:r w:rsidR="00E5303A">
        <w:rPr>
          <w:rFonts w:asciiTheme="majorHAnsi" w:eastAsia="Times New Roman" w:hAnsiTheme="majorHAnsi" w:cs="Myriad-Roman"/>
          <w:lang w:val="en-AU"/>
        </w:rPr>
        <w:t>me</w:t>
      </w:r>
      <w:r w:rsidR="007E1769" w:rsidRPr="002D47EF">
        <w:rPr>
          <w:rFonts w:asciiTheme="majorHAnsi" w:eastAsia="Times New Roman" w:hAnsiTheme="majorHAnsi" w:cs="Myriad-Roman"/>
          <w:lang w:val="en-AU"/>
        </w:rPr>
        <w:t xml:space="preserve"> noted that at</w:t>
      </w:r>
      <w:r w:rsidR="003E69FB" w:rsidRPr="002D47EF">
        <w:rPr>
          <w:rFonts w:asciiTheme="majorHAnsi" w:eastAsia="Times New Roman" w:hAnsiTheme="majorHAnsi" w:cs="Myriad-Roman"/>
          <w:lang w:val="en-AU"/>
        </w:rPr>
        <w:t xml:space="preserve"> a </w:t>
      </w:r>
      <w:r w:rsidR="00E5303A">
        <w:rPr>
          <w:rFonts w:asciiTheme="majorHAnsi" w:eastAsia="Times New Roman" w:hAnsiTheme="majorHAnsi" w:cs="Myriad-Roman"/>
          <w:lang w:val="en-AU"/>
        </w:rPr>
        <w:t xml:space="preserve">relatively small </w:t>
      </w:r>
      <w:r w:rsidR="003E69FB" w:rsidRPr="002D47EF">
        <w:rPr>
          <w:rFonts w:asciiTheme="majorHAnsi" w:eastAsia="Times New Roman" w:hAnsiTheme="majorHAnsi" w:cs="Myriad-Roman"/>
          <w:lang w:val="en-AU"/>
        </w:rPr>
        <w:t>cost</w:t>
      </w:r>
      <w:r w:rsidR="00E5303A">
        <w:rPr>
          <w:rFonts w:asciiTheme="majorHAnsi" w:eastAsia="Times New Roman" w:hAnsiTheme="majorHAnsi" w:cs="Myriad-Roman"/>
          <w:lang w:val="en-AU"/>
        </w:rPr>
        <w:t xml:space="preserve"> o</w:t>
      </w:r>
      <w:r w:rsidR="003E69FB" w:rsidRPr="002D47EF">
        <w:rPr>
          <w:rFonts w:asciiTheme="majorHAnsi" w:eastAsia="Times New Roman" w:hAnsiTheme="majorHAnsi" w:cs="Myriad-Roman"/>
          <w:lang w:val="en-AU"/>
        </w:rPr>
        <w:t>f $874 per participant, the program</w:t>
      </w:r>
      <w:r w:rsidR="00E5303A">
        <w:rPr>
          <w:rFonts w:asciiTheme="majorHAnsi" w:eastAsia="Times New Roman" w:hAnsiTheme="majorHAnsi" w:cs="Myriad-Roman"/>
          <w:lang w:val="en-AU"/>
        </w:rPr>
        <w:t>me was resulting in</w:t>
      </w:r>
      <w:r w:rsidR="003E69FB" w:rsidRPr="002D47EF">
        <w:rPr>
          <w:rFonts w:asciiTheme="majorHAnsi" w:eastAsia="Times New Roman" w:hAnsiTheme="majorHAnsi" w:cs="Myriad-Roman"/>
          <w:lang w:val="en-AU"/>
        </w:rPr>
        <w:t xml:space="preserve"> a higher proportion of </w:t>
      </w:r>
      <w:r w:rsidR="00E5303A">
        <w:rPr>
          <w:rFonts w:asciiTheme="majorHAnsi" w:eastAsia="Times New Roman" w:hAnsiTheme="majorHAnsi" w:cs="Myriad-Roman"/>
          <w:lang w:val="en-AU"/>
        </w:rPr>
        <w:t xml:space="preserve">women making </w:t>
      </w:r>
      <w:r w:rsidR="003E69FB" w:rsidRPr="002D47EF">
        <w:rPr>
          <w:rFonts w:asciiTheme="majorHAnsi" w:eastAsia="Times New Roman" w:hAnsiTheme="majorHAnsi" w:cs="Myriad-Roman"/>
          <w:lang w:val="en-AU"/>
        </w:rPr>
        <w:t>antenatal</w:t>
      </w:r>
      <w:r w:rsidR="000835DE" w:rsidRPr="002D47EF">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visits</w:t>
      </w:r>
      <w:r w:rsidR="007E1769" w:rsidRPr="002D47EF">
        <w:rPr>
          <w:rFonts w:asciiTheme="majorHAnsi" w:eastAsia="Times New Roman" w:hAnsiTheme="majorHAnsi" w:cs="Myriad-Roman"/>
          <w:lang w:val="en-AU"/>
        </w:rPr>
        <w:t>,</w:t>
      </w:r>
      <w:r w:rsidR="003E69FB" w:rsidRPr="002D47EF">
        <w:rPr>
          <w:rFonts w:asciiTheme="majorHAnsi" w:eastAsia="Times New Roman" w:hAnsiTheme="majorHAnsi" w:cs="Myriad-Roman"/>
          <w:lang w:val="en-AU"/>
        </w:rPr>
        <w:t xml:space="preserve"> </w:t>
      </w:r>
      <w:r w:rsidR="00E5303A">
        <w:rPr>
          <w:rFonts w:asciiTheme="majorHAnsi" w:eastAsia="Times New Roman" w:hAnsiTheme="majorHAnsi" w:cs="Myriad-Roman"/>
          <w:lang w:val="en-AU"/>
        </w:rPr>
        <w:t>that the</w:t>
      </w:r>
      <w:r w:rsidR="007E1769" w:rsidRPr="002D47EF">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women</w:t>
      </w:r>
      <w:r w:rsidR="000835DE" w:rsidRPr="002D47EF">
        <w:rPr>
          <w:rFonts w:asciiTheme="majorHAnsi" w:eastAsia="Times New Roman" w:hAnsiTheme="majorHAnsi" w:cs="Myriad-Roman"/>
          <w:lang w:val="en-AU"/>
        </w:rPr>
        <w:t xml:space="preserve"> </w:t>
      </w:r>
      <w:r w:rsidR="00E5303A">
        <w:rPr>
          <w:rFonts w:asciiTheme="majorHAnsi" w:eastAsia="Times New Roman" w:hAnsiTheme="majorHAnsi" w:cs="Myriad-Roman"/>
          <w:lang w:val="en-AU"/>
        </w:rPr>
        <w:t xml:space="preserve">involved </w:t>
      </w:r>
      <w:r w:rsidR="003E69FB" w:rsidRPr="002D47EF">
        <w:rPr>
          <w:rFonts w:asciiTheme="majorHAnsi" w:eastAsia="Times New Roman" w:hAnsiTheme="majorHAnsi" w:cs="Myriad-Roman"/>
          <w:lang w:val="en-AU"/>
        </w:rPr>
        <w:t xml:space="preserve">were less likely to be iron deficient, </w:t>
      </w:r>
      <w:r w:rsidR="00E5303A">
        <w:rPr>
          <w:rFonts w:asciiTheme="majorHAnsi" w:eastAsia="Times New Roman" w:hAnsiTheme="majorHAnsi" w:cs="Myriad-Roman"/>
          <w:lang w:val="en-AU"/>
        </w:rPr>
        <w:t xml:space="preserve">and they </w:t>
      </w:r>
      <w:r w:rsidR="003E69FB" w:rsidRPr="002D47EF">
        <w:rPr>
          <w:rFonts w:asciiTheme="majorHAnsi" w:eastAsia="Times New Roman" w:hAnsiTheme="majorHAnsi" w:cs="Myriad-Roman"/>
          <w:lang w:val="en-AU"/>
        </w:rPr>
        <w:t>were</w:t>
      </w:r>
      <w:r w:rsidR="000835DE" w:rsidRPr="002D47EF">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more likely to</w:t>
      </w:r>
      <w:r w:rsidR="00E5303A">
        <w:rPr>
          <w:rFonts w:asciiTheme="majorHAnsi" w:eastAsia="Times New Roman" w:hAnsiTheme="majorHAnsi" w:cs="Myriad-Roman"/>
          <w:lang w:val="en-AU"/>
        </w:rPr>
        <w:t xml:space="preserve"> be</w:t>
      </w:r>
      <w:r w:rsidR="003E69FB" w:rsidRPr="002D47EF">
        <w:rPr>
          <w:rFonts w:asciiTheme="majorHAnsi" w:eastAsia="Times New Roman" w:hAnsiTheme="majorHAnsi" w:cs="Myriad-Roman"/>
          <w:lang w:val="en-AU"/>
        </w:rPr>
        <w:t xml:space="preserve"> </w:t>
      </w:r>
      <w:r w:rsidR="007E1769" w:rsidRPr="002D47EF">
        <w:rPr>
          <w:rFonts w:asciiTheme="majorHAnsi" w:eastAsia="Times New Roman" w:hAnsiTheme="majorHAnsi" w:cs="Myriad-Roman"/>
          <w:lang w:val="en-AU"/>
        </w:rPr>
        <w:t>mak</w:t>
      </w:r>
      <w:r w:rsidR="00E5303A">
        <w:rPr>
          <w:rFonts w:asciiTheme="majorHAnsi" w:eastAsia="Times New Roman" w:hAnsiTheme="majorHAnsi" w:cs="Myriad-Roman"/>
          <w:lang w:val="en-AU"/>
        </w:rPr>
        <w:t>ing</w:t>
      </w:r>
      <w:r w:rsidR="003E69FB" w:rsidRPr="002D47EF">
        <w:rPr>
          <w:rFonts w:asciiTheme="majorHAnsi" w:eastAsia="Times New Roman" w:hAnsiTheme="majorHAnsi" w:cs="Myriad-Roman"/>
          <w:lang w:val="en-AU"/>
        </w:rPr>
        <w:t xml:space="preserve"> healthy choices such as eating fruit and</w:t>
      </w:r>
      <w:r w:rsidR="007E1769" w:rsidRPr="002D47EF">
        <w:rPr>
          <w:rFonts w:asciiTheme="majorHAnsi" w:eastAsia="Times New Roman" w:hAnsiTheme="majorHAnsi" w:cs="Myriad-Roman"/>
          <w:lang w:val="en-AU"/>
        </w:rPr>
        <w:t xml:space="preserve"> </w:t>
      </w:r>
      <w:r w:rsidR="003E69FB" w:rsidRPr="002D47EF">
        <w:rPr>
          <w:rFonts w:asciiTheme="majorHAnsi" w:eastAsia="Times New Roman" w:hAnsiTheme="majorHAnsi" w:cs="Myriad-Roman"/>
          <w:lang w:val="en-AU"/>
        </w:rPr>
        <w:t xml:space="preserve">vegetables and quitting </w:t>
      </w:r>
      <w:r w:rsidR="003E69FB" w:rsidRPr="002D47EF">
        <w:rPr>
          <w:rFonts w:asciiTheme="majorHAnsi" w:eastAsia="Times New Roman" w:hAnsiTheme="majorHAnsi" w:cs="Myriad-Roman"/>
          <w:lang w:val="en-AU"/>
        </w:rPr>
        <w:lastRenderedPageBreak/>
        <w:t>smoking</w:t>
      </w:r>
      <w:r w:rsidR="0090669A" w:rsidRPr="002D47EF">
        <w:rPr>
          <w:rFonts w:asciiTheme="majorHAnsi" w:eastAsia="Times New Roman" w:hAnsiTheme="majorHAnsi" w:cs="Myriad-Roman"/>
          <w:lang w:val="en-AU"/>
        </w:rPr>
        <w:t>.</w:t>
      </w:r>
      <w:r w:rsidR="0090669A" w:rsidRPr="002D47EF">
        <w:rPr>
          <w:rStyle w:val="EndnoteReference"/>
          <w:rFonts w:eastAsia="Times New Roman" w:cs="Myriad-Roman"/>
          <w:lang w:val="en-AU"/>
        </w:rPr>
        <w:endnoteReference w:id="121"/>
      </w:r>
    </w:p>
    <w:p w14:paraId="05331825" w14:textId="77777777" w:rsidR="00814869" w:rsidRPr="00A57F0D" w:rsidRDefault="00814869" w:rsidP="003E69FB">
      <w:pPr>
        <w:rPr>
          <w:rFonts w:asciiTheme="majorHAnsi" w:hAnsiTheme="majorHAnsi"/>
          <w:lang w:val="en-AU"/>
        </w:rPr>
      </w:pPr>
      <w:r w:rsidRPr="00A57F0D">
        <w:rPr>
          <w:rFonts w:asciiTheme="majorHAnsi" w:hAnsiTheme="majorHAnsi"/>
          <w:lang w:val="en-AU"/>
        </w:rPr>
        <w:br w:type="page"/>
      </w:r>
    </w:p>
    <w:p w14:paraId="1431F067" w14:textId="77777777" w:rsidR="00814869" w:rsidRPr="00A57F0D" w:rsidRDefault="00814869" w:rsidP="00835E5C">
      <w:pPr>
        <w:pStyle w:val="Heading1"/>
        <w:rPr>
          <w:lang w:val="en-AU"/>
        </w:rPr>
      </w:pPr>
      <w:bookmarkStart w:id="20" w:name="_Toc409788725"/>
      <w:r w:rsidRPr="00A57F0D">
        <w:rPr>
          <w:lang w:val="en-AU"/>
        </w:rPr>
        <w:lastRenderedPageBreak/>
        <w:t>Developments in policy</w:t>
      </w:r>
      <w:bookmarkEnd w:id="20"/>
      <w:r w:rsidRPr="00A57F0D">
        <w:rPr>
          <w:lang w:val="en-AU"/>
        </w:rPr>
        <w:t xml:space="preserve"> </w:t>
      </w:r>
    </w:p>
    <w:p w14:paraId="5AE0524B" w14:textId="77777777" w:rsidR="00814869" w:rsidRPr="00A57F0D" w:rsidRDefault="00814869" w:rsidP="00EF2F0D">
      <w:pPr>
        <w:rPr>
          <w:lang w:val="en-AU"/>
        </w:rPr>
      </w:pPr>
    </w:p>
    <w:p w14:paraId="6AC1EDE5" w14:textId="77777777" w:rsidR="00814869" w:rsidRPr="00A57F0D" w:rsidRDefault="00814869" w:rsidP="00CA138D">
      <w:pPr>
        <w:widowControl w:val="0"/>
        <w:autoSpaceDE w:val="0"/>
        <w:autoSpaceDN w:val="0"/>
        <w:adjustRightInd w:val="0"/>
        <w:ind w:left="720"/>
        <w:rPr>
          <w:rFonts w:asciiTheme="majorHAnsi" w:eastAsia="Times New Roman" w:hAnsiTheme="majorHAnsi" w:cs="Lucida Grande"/>
          <w:i/>
          <w:lang w:val="en-AU"/>
        </w:rPr>
      </w:pPr>
      <w:r w:rsidRPr="00A57F0D">
        <w:rPr>
          <w:rFonts w:asciiTheme="majorHAnsi" w:eastAsia="Times New Roman" w:hAnsiTheme="majorHAnsi" w:cs="Lucida Grande"/>
          <w:i/>
          <w:lang w:val="en-AU"/>
        </w:rPr>
        <w:t>If there is one message I want Governments to hear from this report it is:  Do not press the reset button! … If we continue to start over again the foundations previously laid will be pulled up time and again, never allowing enough time or energy to build the structure required to close the gap on Indigenous disadvantage.</w:t>
      </w:r>
      <w:r w:rsidRPr="00A57F0D">
        <w:rPr>
          <w:rStyle w:val="EndnoteReference"/>
          <w:rFonts w:eastAsia="Times New Roman" w:cs="Lucida Grande"/>
          <w:lang w:val="en-AU"/>
        </w:rPr>
        <w:endnoteReference w:id="122"/>
      </w:r>
    </w:p>
    <w:p w14:paraId="2CD0648D" w14:textId="77777777" w:rsidR="00814869" w:rsidRPr="00A57F0D" w:rsidRDefault="00814869" w:rsidP="00CA138D">
      <w:pPr>
        <w:widowControl w:val="0"/>
        <w:autoSpaceDE w:val="0"/>
        <w:autoSpaceDN w:val="0"/>
        <w:adjustRightInd w:val="0"/>
        <w:ind w:left="720"/>
        <w:rPr>
          <w:rFonts w:asciiTheme="majorHAnsi" w:eastAsia="Times New Roman" w:hAnsiTheme="majorHAnsi" w:cs="Lucida Grande"/>
          <w:i/>
          <w:sz w:val="16"/>
          <w:szCs w:val="16"/>
          <w:lang w:val="en-AU"/>
        </w:rPr>
      </w:pPr>
    </w:p>
    <w:p w14:paraId="51AE4073" w14:textId="67D027DF" w:rsidR="00814869" w:rsidRPr="00A57F0D" w:rsidRDefault="00814869" w:rsidP="00CA138D">
      <w:pPr>
        <w:widowControl w:val="0"/>
        <w:autoSpaceDE w:val="0"/>
        <w:autoSpaceDN w:val="0"/>
        <w:adjustRightInd w:val="0"/>
        <w:ind w:left="720"/>
        <w:jc w:val="center"/>
        <w:rPr>
          <w:rFonts w:asciiTheme="majorHAnsi" w:eastAsia="Times New Roman" w:hAnsiTheme="majorHAnsi" w:cs="Arial"/>
          <w:b/>
          <w:i/>
          <w:color w:val="000000"/>
          <w:sz w:val="16"/>
          <w:szCs w:val="16"/>
          <w:lang w:val="en-AU"/>
        </w:rPr>
      </w:pPr>
      <w:r w:rsidRPr="00A57F0D">
        <w:rPr>
          <w:rFonts w:asciiTheme="majorHAnsi" w:eastAsia="Times New Roman" w:hAnsiTheme="majorHAnsi" w:cs="Lucida Grande"/>
          <w:i/>
          <w:sz w:val="16"/>
          <w:szCs w:val="16"/>
          <w:lang w:val="en-AU"/>
        </w:rPr>
        <w:t>Brian Gleeson, the Coordinator General for Remote Indigenous Services</w:t>
      </w:r>
    </w:p>
    <w:p w14:paraId="24EB63B4" w14:textId="77777777" w:rsidR="00814869" w:rsidRPr="00A57F0D" w:rsidRDefault="00814869" w:rsidP="007E4214">
      <w:pPr>
        <w:pStyle w:val="Heading2"/>
        <w:spacing w:after="120"/>
        <w:rPr>
          <w:lang w:val="en-AU"/>
        </w:rPr>
      </w:pPr>
      <w:bookmarkStart w:id="21" w:name="_Toc409788726"/>
      <w:r w:rsidRPr="00A57F0D">
        <w:rPr>
          <w:lang w:val="en-AU"/>
        </w:rPr>
        <w:t>Proposed changes in Commonwealth-State relations and th</w:t>
      </w:r>
      <w:r w:rsidR="001D350C">
        <w:rPr>
          <w:lang w:val="en-AU"/>
        </w:rPr>
        <w:t>eir i</w:t>
      </w:r>
      <w:r w:rsidRPr="00A57F0D">
        <w:rPr>
          <w:lang w:val="en-AU"/>
        </w:rPr>
        <w:t>mpact on the Closing the Gap Strategy</w:t>
      </w:r>
      <w:bookmarkEnd w:id="21"/>
    </w:p>
    <w:p w14:paraId="755CC7C1" w14:textId="40C46DDA" w:rsidR="00814869" w:rsidRPr="00A57F0D" w:rsidRDefault="00814869" w:rsidP="007E4214">
      <w:pPr>
        <w:pStyle w:val="NormalWeb"/>
        <w:spacing w:before="240" w:after="240"/>
        <w:rPr>
          <w:rFonts w:asciiTheme="majorHAnsi" w:hAnsiTheme="majorHAnsi" w:cs="Arial"/>
          <w:lang w:val="en-AU"/>
        </w:rPr>
      </w:pPr>
      <w:r w:rsidRPr="00A57F0D">
        <w:rPr>
          <w:rFonts w:asciiTheme="majorHAnsi" w:hAnsiTheme="majorHAnsi" w:cs="Arial"/>
          <w:lang w:val="en-AU"/>
        </w:rPr>
        <w:t>The Closing the Gap Strategy aims to address Aboriginal and Torres Strait Islander disadvantage by achieving outcomes and equality across seven ‘building blocks’ or areas of life (early childhood, schooling, health, economic participation, healthy homes, safe communities, governance and leadership).</w:t>
      </w:r>
      <w:r w:rsidRPr="00A57F0D">
        <w:rPr>
          <w:rStyle w:val="EndnoteReference"/>
          <w:rFonts w:cs="Arial"/>
          <w:lang w:val="en-AU"/>
        </w:rPr>
        <w:endnoteReference w:id="123"/>
      </w:r>
      <w:r w:rsidRPr="00A57F0D">
        <w:rPr>
          <w:rFonts w:asciiTheme="majorHAnsi" w:hAnsiTheme="majorHAnsi" w:cs="Arial"/>
          <w:lang w:val="en-AU"/>
        </w:rPr>
        <w:t xml:space="preserve"> </w:t>
      </w:r>
      <w:r w:rsidRPr="00A57F0D">
        <w:rPr>
          <w:rFonts w:asciiTheme="majorHAnsi" w:hAnsiTheme="majorHAnsi"/>
          <w:lang w:val="en-AU"/>
        </w:rPr>
        <w:t xml:space="preserve">This </w:t>
      </w:r>
      <w:r w:rsidR="00E5303A">
        <w:rPr>
          <w:rFonts w:asciiTheme="majorHAnsi" w:hAnsiTheme="majorHAnsi"/>
          <w:lang w:val="en-AU"/>
        </w:rPr>
        <w:t xml:space="preserve">coherent and integrated </w:t>
      </w:r>
      <w:r w:rsidRPr="00A57F0D">
        <w:rPr>
          <w:rFonts w:asciiTheme="majorHAnsi" w:hAnsiTheme="majorHAnsi"/>
          <w:lang w:val="en-AU"/>
        </w:rPr>
        <w:t>approach</w:t>
      </w:r>
      <w:r w:rsidR="00E5303A">
        <w:rPr>
          <w:rFonts w:asciiTheme="majorHAnsi" w:hAnsiTheme="majorHAnsi"/>
          <w:lang w:val="en-AU"/>
        </w:rPr>
        <w:t xml:space="preserve"> is</w:t>
      </w:r>
      <w:r w:rsidRPr="00A57F0D">
        <w:rPr>
          <w:rFonts w:asciiTheme="majorHAnsi" w:hAnsiTheme="majorHAnsi"/>
          <w:lang w:val="en-AU"/>
        </w:rPr>
        <w:t xml:space="preserve"> aligned with the holistic idea of health supported by Aboriginal and Torres Strait Islander peoples,</w:t>
      </w:r>
      <w:r w:rsidRPr="00A57F0D">
        <w:rPr>
          <w:rStyle w:val="EndnoteReference"/>
          <w:lang w:val="en-AU"/>
        </w:rPr>
        <w:endnoteReference w:id="124"/>
      </w:r>
      <w:r w:rsidRPr="00A57F0D">
        <w:rPr>
          <w:rFonts w:asciiTheme="majorHAnsi" w:hAnsiTheme="majorHAnsi"/>
          <w:lang w:val="en-AU"/>
        </w:rPr>
        <w:t xml:space="preserve"> and with social determinants of health theory.</w:t>
      </w:r>
      <w:r w:rsidRPr="00A57F0D">
        <w:rPr>
          <w:rStyle w:val="EndnoteReference"/>
          <w:lang w:val="en-AU"/>
        </w:rPr>
        <w:endnoteReference w:id="125"/>
      </w:r>
      <w:r w:rsidRPr="00A57F0D">
        <w:rPr>
          <w:rFonts w:asciiTheme="majorHAnsi" w:hAnsiTheme="majorHAnsi"/>
          <w:lang w:val="en-AU"/>
        </w:rPr>
        <w:t xml:space="preserve"> </w:t>
      </w:r>
    </w:p>
    <w:p w14:paraId="03682F61" w14:textId="5B719EFB" w:rsidR="00814869" w:rsidRPr="00A57F0D" w:rsidRDefault="00814869" w:rsidP="007E4214">
      <w:pPr>
        <w:autoSpaceDE w:val="0"/>
        <w:autoSpaceDN w:val="0"/>
        <w:adjustRightInd w:val="0"/>
        <w:spacing w:before="240" w:after="240"/>
        <w:rPr>
          <w:rFonts w:cs="Calibri"/>
          <w:bCs/>
          <w:color w:val="000000"/>
          <w:lang w:val="en-AU"/>
        </w:rPr>
      </w:pPr>
      <w:r w:rsidRPr="00A57F0D">
        <w:rPr>
          <w:rFonts w:asciiTheme="majorHAnsi" w:hAnsiTheme="majorHAnsi"/>
          <w:lang w:val="en-AU"/>
        </w:rPr>
        <w:t xml:space="preserve">The Closing the Gap Strategy </w:t>
      </w:r>
      <w:r w:rsidR="008E05AD">
        <w:rPr>
          <w:rFonts w:asciiTheme="majorHAnsi" w:hAnsiTheme="majorHAnsi"/>
          <w:lang w:val="en-AU"/>
        </w:rPr>
        <w:t>is led by the Australian Government and involves the commitment of all the states and territories. As such, it</w:t>
      </w:r>
      <w:r w:rsidR="008E05AD" w:rsidRPr="00A57F0D">
        <w:rPr>
          <w:rFonts w:asciiTheme="majorHAnsi" w:hAnsiTheme="majorHAnsi"/>
          <w:lang w:val="en-AU"/>
        </w:rPr>
        <w:t xml:space="preserve"> </w:t>
      </w:r>
      <w:r w:rsidR="008E05AD">
        <w:rPr>
          <w:rFonts w:asciiTheme="majorHAnsi" w:hAnsiTheme="majorHAnsi"/>
          <w:lang w:val="en-AU"/>
        </w:rPr>
        <w:t xml:space="preserve">also </w:t>
      </w:r>
      <w:r w:rsidRPr="00A57F0D">
        <w:rPr>
          <w:rFonts w:asciiTheme="majorHAnsi" w:hAnsiTheme="majorHAnsi"/>
          <w:lang w:val="en-AU"/>
        </w:rPr>
        <w:t>provides a national</w:t>
      </w:r>
      <w:r w:rsidR="008E05AD">
        <w:rPr>
          <w:rFonts w:asciiTheme="majorHAnsi" w:hAnsiTheme="majorHAnsi"/>
          <w:lang w:val="en-AU"/>
        </w:rPr>
        <w:t xml:space="preserve"> and</w:t>
      </w:r>
      <w:r w:rsidRPr="00A57F0D">
        <w:rPr>
          <w:rFonts w:asciiTheme="majorHAnsi" w:hAnsiTheme="majorHAnsi"/>
          <w:lang w:val="en-AU"/>
        </w:rPr>
        <w:t xml:space="preserve"> consistent approach to closing the gap </w:t>
      </w:r>
      <w:r w:rsidR="008E05AD">
        <w:rPr>
          <w:rFonts w:asciiTheme="majorHAnsi" w:hAnsiTheme="majorHAnsi"/>
          <w:lang w:val="en-AU"/>
        </w:rPr>
        <w:t>that can be sustained over the long term – until 2030</w:t>
      </w:r>
      <w:r w:rsidRPr="00A57F0D">
        <w:rPr>
          <w:rFonts w:asciiTheme="majorHAnsi" w:hAnsiTheme="majorHAnsi"/>
          <w:lang w:val="en-AU"/>
        </w:rPr>
        <w:t>.</w:t>
      </w:r>
      <w:r w:rsidRPr="00A57F0D">
        <w:rPr>
          <w:rFonts w:cs="Calibri"/>
          <w:bCs/>
          <w:color w:val="000000"/>
          <w:lang w:val="en-AU"/>
        </w:rPr>
        <w:t xml:space="preserve"> </w:t>
      </w:r>
      <w:r w:rsidR="008E05AD">
        <w:rPr>
          <w:rFonts w:cs="Calibri"/>
          <w:bCs/>
          <w:color w:val="000000"/>
          <w:lang w:val="en-AU"/>
        </w:rPr>
        <w:t>As the</w:t>
      </w:r>
      <w:r w:rsidRPr="00A57F0D">
        <w:rPr>
          <w:rFonts w:cs="Calibri"/>
          <w:bCs/>
          <w:color w:val="000000"/>
          <w:lang w:val="en-AU"/>
        </w:rPr>
        <w:t xml:space="preserve"> Department of Finance’s 2009 </w:t>
      </w:r>
      <w:r w:rsidRPr="00A57F0D">
        <w:rPr>
          <w:rFonts w:cs="Calibri"/>
          <w:bCs/>
          <w:i/>
          <w:color w:val="000000"/>
          <w:lang w:val="en-AU"/>
        </w:rPr>
        <w:t>Strategic Review of Indigenous Expenditure</w:t>
      </w:r>
      <w:r w:rsidR="008E05AD">
        <w:rPr>
          <w:rFonts w:cs="Calibri"/>
          <w:bCs/>
          <w:i/>
          <w:color w:val="000000"/>
          <w:lang w:val="en-AU"/>
        </w:rPr>
        <w:t xml:space="preserve"> </w:t>
      </w:r>
      <w:r w:rsidR="008E05AD">
        <w:rPr>
          <w:rFonts w:cs="Calibri"/>
          <w:bCs/>
          <w:color w:val="000000"/>
          <w:lang w:val="en-AU"/>
        </w:rPr>
        <w:t>noted</w:t>
      </w:r>
      <w:r w:rsidRPr="00A57F0D">
        <w:rPr>
          <w:rFonts w:cs="Calibri"/>
          <w:bCs/>
          <w:color w:val="000000"/>
          <w:lang w:val="en-AU"/>
        </w:rPr>
        <w:t xml:space="preserve">, </w:t>
      </w:r>
      <w:r w:rsidR="008E05AD" w:rsidRPr="008E05AD">
        <w:rPr>
          <w:rFonts w:cs="Calibri"/>
          <w:bCs/>
          <w:color w:val="000000"/>
          <w:lang w:val="en-AU"/>
        </w:rPr>
        <w:t xml:space="preserve">with these strong foundations in place </w:t>
      </w:r>
      <w:r w:rsidRPr="00A57F0D">
        <w:rPr>
          <w:rFonts w:cs="Calibri"/>
          <w:bCs/>
          <w:color w:val="000000"/>
          <w:lang w:val="en-AU"/>
        </w:rPr>
        <w:t>the</w:t>
      </w:r>
      <w:r w:rsidRPr="006A24D8">
        <w:rPr>
          <w:rFonts w:cs="Calibri"/>
          <w:b/>
          <w:bCs/>
          <w:color w:val="000000"/>
          <w:lang w:val="en-AU"/>
        </w:rPr>
        <w:t xml:space="preserve"> ‘</w:t>
      </w:r>
      <w:r w:rsidRPr="006A24D8">
        <w:rPr>
          <w:rFonts w:cs="Calibri"/>
          <w:bCs/>
          <w:color w:val="000000"/>
          <w:lang w:val="en-AU"/>
        </w:rPr>
        <w:t>key challenge from this point lies not so much in further policy development as in effective implementation and delivery’.</w:t>
      </w:r>
      <w:r w:rsidRPr="006A24D8">
        <w:rPr>
          <w:rStyle w:val="EndnoteReference"/>
          <w:rFonts w:cs="Calibri"/>
          <w:bCs/>
          <w:color w:val="000000"/>
          <w:lang w:val="en-AU"/>
        </w:rPr>
        <w:endnoteReference w:id="126"/>
      </w:r>
    </w:p>
    <w:p w14:paraId="4EEE3DE1" w14:textId="29E2549F" w:rsidR="00814869" w:rsidRPr="00A57F0D" w:rsidRDefault="008E05AD" w:rsidP="00DE6A27">
      <w:pPr>
        <w:autoSpaceDE w:val="0"/>
        <w:autoSpaceDN w:val="0"/>
        <w:adjustRightInd w:val="0"/>
        <w:spacing w:before="240" w:after="240"/>
        <w:rPr>
          <w:rFonts w:cs="Calibri"/>
          <w:bCs/>
          <w:color w:val="000000"/>
          <w:lang w:val="en-AU"/>
        </w:rPr>
      </w:pPr>
      <w:r>
        <w:rPr>
          <w:rFonts w:cs="Calibri"/>
          <w:bCs/>
          <w:color w:val="000000"/>
          <w:lang w:val="en-AU"/>
        </w:rPr>
        <w:t>However, the</w:t>
      </w:r>
      <w:r w:rsidR="00814869" w:rsidRPr="00A57F0D">
        <w:rPr>
          <w:rFonts w:cs="Calibri"/>
          <w:bCs/>
          <w:color w:val="000000"/>
          <w:lang w:val="en-AU"/>
        </w:rPr>
        <w:t xml:space="preserve"> Campaign Steering Committee </w:t>
      </w:r>
      <w:r w:rsidR="001D350C">
        <w:rPr>
          <w:rFonts w:cs="Calibri"/>
          <w:bCs/>
          <w:color w:val="000000"/>
          <w:lang w:val="en-AU"/>
        </w:rPr>
        <w:t>is concerned that</w:t>
      </w:r>
      <w:r w:rsidR="00814869" w:rsidRPr="00A57F0D">
        <w:rPr>
          <w:rFonts w:cs="Calibri"/>
          <w:bCs/>
          <w:color w:val="000000"/>
          <w:lang w:val="en-AU"/>
        </w:rPr>
        <w:t xml:space="preserve"> </w:t>
      </w:r>
      <w:r>
        <w:rPr>
          <w:rFonts w:cs="Calibri"/>
          <w:bCs/>
          <w:color w:val="000000"/>
          <w:lang w:val="en-AU"/>
        </w:rPr>
        <w:t xml:space="preserve">despite continued Australian Government commitment to </w:t>
      </w:r>
      <w:r w:rsidR="004A14BE">
        <w:rPr>
          <w:rFonts w:cs="Calibri"/>
          <w:bCs/>
          <w:color w:val="000000"/>
          <w:lang w:val="en-AU"/>
        </w:rPr>
        <w:t>closing the gap</w:t>
      </w:r>
      <w:r>
        <w:rPr>
          <w:rFonts w:cs="Calibri"/>
          <w:bCs/>
          <w:color w:val="000000"/>
          <w:lang w:val="en-AU"/>
        </w:rPr>
        <w:t xml:space="preserve">, </w:t>
      </w:r>
      <w:r w:rsidR="00814869" w:rsidRPr="00A57F0D">
        <w:rPr>
          <w:rFonts w:cs="Calibri"/>
          <w:bCs/>
          <w:color w:val="000000"/>
          <w:lang w:val="en-AU"/>
        </w:rPr>
        <w:t xml:space="preserve">broader structural reform to the federal system </w:t>
      </w:r>
      <w:r w:rsidR="004A14BE">
        <w:rPr>
          <w:rFonts w:cs="Calibri"/>
          <w:bCs/>
          <w:color w:val="000000"/>
          <w:lang w:val="en-AU"/>
        </w:rPr>
        <w:t xml:space="preserve">of the type </w:t>
      </w:r>
      <w:r w:rsidR="00814869" w:rsidRPr="00A57F0D">
        <w:rPr>
          <w:rFonts w:cs="Calibri"/>
          <w:bCs/>
          <w:color w:val="000000"/>
          <w:lang w:val="en-AU"/>
        </w:rPr>
        <w:t xml:space="preserve">that is currently being discussed </w:t>
      </w:r>
      <w:r w:rsidR="001D350C">
        <w:rPr>
          <w:rFonts w:cs="Calibri"/>
          <w:bCs/>
          <w:color w:val="000000"/>
          <w:lang w:val="en-AU"/>
        </w:rPr>
        <w:t>could potentially</w:t>
      </w:r>
      <w:r w:rsidR="00436ED4">
        <w:rPr>
          <w:rFonts w:cs="Calibri"/>
          <w:bCs/>
          <w:color w:val="000000"/>
          <w:lang w:val="en-AU"/>
        </w:rPr>
        <w:t xml:space="preserve"> have an</w:t>
      </w:r>
      <w:r w:rsidR="00364818">
        <w:rPr>
          <w:rFonts w:cs="Calibri"/>
          <w:bCs/>
          <w:color w:val="000000"/>
          <w:lang w:val="en-AU"/>
        </w:rPr>
        <w:t xml:space="preserve"> adverse impact on</w:t>
      </w:r>
      <w:r w:rsidR="00814869" w:rsidRPr="00A57F0D">
        <w:rPr>
          <w:rFonts w:cs="Calibri"/>
          <w:bCs/>
          <w:color w:val="000000"/>
          <w:lang w:val="en-AU"/>
        </w:rPr>
        <w:t xml:space="preserve"> the Closing the Gap Strategy. </w:t>
      </w:r>
    </w:p>
    <w:p w14:paraId="24C8CFEF" w14:textId="77777777" w:rsidR="00814869" w:rsidRPr="00A57F0D" w:rsidRDefault="00814869" w:rsidP="00DE6A27">
      <w:pPr>
        <w:pStyle w:val="Heading3"/>
        <w:rPr>
          <w:lang w:val="en-AU"/>
        </w:rPr>
      </w:pPr>
      <w:bookmarkStart w:id="22" w:name="_Toc409788727"/>
      <w:r w:rsidRPr="00A57F0D">
        <w:rPr>
          <w:lang w:val="en-AU"/>
        </w:rPr>
        <w:t>Reforms to the federal system</w:t>
      </w:r>
      <w:bookmarkEnd w:id="22"/>
    </w:p>
    <w:p w14:paraId="46DDCC94" w14:textId="77777777" w:rsidR="00814869" w:rsidRPr="00A57F0D" w:rsidRDefault="00814869" w:rsidP="007E4214">
      <w:pPr>
        <w:spacing w:before="240" w:after="240"/>
        <w:rPr>
          <w:lang w:val="en-AU"/>
        </w:rPr>
      </w:pPr>
      <w:r w:rsidRPr="00A57F0D">
        <w:rPr>
          <w:rFonts w:asciiTheme="majorHAnsi" w:hAnsiTheme="majorHAnsi" w:cs="Calibri"/>
          <w:bCs/>
          <w:lang w:val="en-AU"/>
        </w:rPr>
        <w:t xml:space="preserve">The Australian Government’s National Commission of Audit flagged structural reform to the federal system in its March 2014 report. It </w:t>
      </w:r>
      <w:r w:rsidRPr="00A57F0D">
        <w:rPr>
          <w:lang w:val="en-AU"/>
        </w:rPr>
        <w:t xml:space="preserve">recommended clear delineation of respective roles and responsibilities and reform of the Commonwealth’s financial relations with the states and territories. </w:t>
      </w:r>
    </w:p>
    <w:p w14:paraId="45FE31EA" w14:textId="77777777" w:rsidR="00814869" w:rsidRPr="00A57F0D" w:rsidRDefault="001D350C" w:rsidP="00DE6A27">
      <w:pPr>
        <w:spacing w:before="240" w:after="240"/>
        <w:rPr>
          <w:rFonts w:cs="Calibri"/>
          <w:bCs/>
          <w:i/>
          <w:color w:val="000000"/>
          <w:lang w:val="en-AU"/>
        </w:rPr>
      </w:pPr>
      <w:r>
        <w:rPr>
          <w:lang w:val="en-AU"/>
        </w:rPr>
        <w:t>The Australian Government</w:t>
      </w:r>
      <w:r w:rsidR="00814869" w:rsidRPr="00A57F0D">
        <w:rPr>
          <w:lang w:val="en-AU"/>
        </w:rPr>
        <w:t xml:space="preserve"> supports ensuring ‘that, as far as possible, the states are sovereign in their own sphere’.</w:t>
      </w:r>
      <w:r w:rsidR="00814869" w:rsidRPr="00A57F0D">
        <w:rPr>
          <w:rStyle w:val="EndnoteReference"/>
          <w:rFonts w:asciiTheme="majorHAnsi" w:hAnsiTheme="majorHAnsi" w:cs="Calibri"/>
          <w:bCs/>
          <w:sz w:val="22"/>
          <w:lang w:val="en-AU"/>
        </w:rPr>
        <w:endnoteReference w:id="127"/>
      </w:r>
      <w:r w:rsidR="00814869" w:rsidRPr="00A57F0D">
        <w:rPr>
          <w:lang w:val="en-AU"/>
        </w:rPr>
        <w:t xml:space="preserve"> To that end, the Terms of Reference for the development of a </w:t>
      </w:r>
      <w:r w:rsidR="00814869" w:rsidRPr="00A57F0D">
        <w:rPr>
          <w:i/>
          <w:lang w:val="en-AU"/>
        </w:rPr>
        <w:t>White Paper on the Reform of the Federation</w:t>
      </w:r>
      <w:r w:rsidR="00814869" w:rsidRPr="00A57F0D">
        <w:rPr>
          <w:lang w:val="en-AU"/>
        </w:rPr>
        <w:t xml:space="preserve"> (White Paper) were released on 28 June 2014.</w:t>
      </w:r>
      <w:r w:rsidR="00814869" w:rsidRPr="00A57F0D">
        <w:rPr>
          <w:vertAlign w:val="superscript"/>
          <w:lang w:val="en-AU"/>
        </w:rPr>
        <w:endnoteReference w:id="128"/>
      </w:r>
      <w:r w:rsidR="00814869" w:rsidRPr="00A57F0D">
        <w:rPr>
          <w:lang w:val="en-AU"/>
        </w:rPr>
        <w:t xml:space="preserve"> </w:t>
      </w:r>
    </w:p>
    <w:p w14:paraId="43CDCA47" w14:textId="100D906C" w:rsidR="00814869" w:rsidRPr="00A57F0D" w:rsidRDefault="004A14BE" w:rsidP="00B030D9">
      <w:pPr>
        <w:spacing w:before="240" w:after="240"/>
        <w:rPr>
          <w:lang w:val="en-AU"/>
        </w:rPr>
      </w:pPr>
      <w:r>
        <w:rPr>
          <w:lang w:val="en-AU"/>
        </w:rPr>
        <w:t>This</w:t>
      </w:r>
      <w:r w:rsidR="00814869" w:rsidRPr="00A57F0D">
        <w:rPr>
          <w:lang w:val="en-AU"/>
        </w:rPr>
        <w:t xml:space="preserve"> is intended to set out the Australian Government’s position on the practical application of what ‘the states being sovereign in their own spheres’ might mean</w:t>
      </w:r>
      <w:r w:rsidR="003E69FB" w:rsidRPr="00A57F0D">
        <w:rPr>
          <w:lang w:val="en-AU"/>
        </w:rPr>
        <w:t xml:space="preserve"> for program</w:t>
      </w:r>
      <w:r w:rsidR="00A57F0D">
        <w:rPr>
          <w:lang w:val="en-AU"/>
        </w:rPr>
        <w:t>me</w:t>
      </w:r>
      <w:r w:rsidR="003E69FB" w:rsidRPr="00A57F0D">
        <w:rPr>
          <w:lang w:val="en-AU"/>
        </w:rPr>
        <w:t xml:space="preserve"> and service delivery</w:t>
      </w:r>
      <w:r w:rsidR="00814869" w:rsidRPr="00A57F0D">
        <w:rPr>
          <w:lang w:val="en-AU"/>
        </w:rPr>
        <w:t>, including</w:t>
      </w:r>
      <w:r w:rsidR="003E69FB" w:rsidRPr="00A57F0D">
        <w:rPr>
          <w:lang w:val="en-AU"/>
        </w:rPr>
        <w:t xml:space="preserve"> in</w:t>
      </w:r>
      <w:r w:rsidR="00814869" w:rsidRPr="00A57F0D">
        <w:rPr>
          <w:lang w:val="en-AU"/>
        </w:rPr>
        <w:t xml:space="preserve"> Indigenous Affairs.</w:t>
      </w:r>
      <w:r w:rsidR="00814869" w:rsidRPr="00A57F0D">
        <w:rPr>
          <w:rStyle w:val="EndnoteReference"/>
          <w:lang w:val="en-AU"/>
        </w:rPr>
        <w:endnoteReference w:id="129"/>
      </w:r>
    </w:p>
    <w:p w14:paraId="48D5F1B1" w14:textId="77777777" w:rsidR="00814869" w:rsidRPr="00A57F0D" w:rsidRDefault="00814869" w:rsidP="00B030D9">
      <w:pPr>
        <w:autoSpaceDE w:val="0"/>
        <w:autoSpaceDN w:val="0"/>
        <w:adjustRightInd w:val="0"/>
        <w:spacing w:before="240" w:after="240"/>
        <w:rPr>
          <w:lang w:val="en-AU"/>
        </w:rPr>
      </w:pPr>
      <w:r w:rsidRPr="00A57F0D">
        <w:rPr>
          <w:lang w:val="en-AU"/>
        </w:rPr>
        <w:t>Issue</w:t>
      </w:r>
      <w:r w:rsidR="002375C4" w:rsidRPr="00A57F0D">
        <w:rPr>
          <w:lang w:val="en-AU"/>
        </w:rPr>
        <w:t>s</w:t>
      </w:r>
      <w:r w:rsidR="001D350C">
        <w:rPr>
          <w:lang w:val="en-AU"/>
        </w:rPr>
        <w:t xml:space="preserve"> Paper 1 </w:t>
      </w:r>
      <w:proofErr w:type="gramStart"/>
      <w:r w:rsidRPr="00A57F0D">
        <w:rPr>
          <w:i/>
          <w:lang w:val="en-AU"/>
        </w:rPr>
        <w:t>A</w:t>
      </w:r>
      <w:proofErr w:type="gramEnd"/>
      <w:r w:rsidRPr="00A57F0D">
        <w:rPr>
          <w:i/>
          <w:lang w:val="en-AU"/>
        </w:rPr>
        <w:t xml:space="preserve"> Federation for Our Future</w:t>
      </w:r>
      <w:r w:rsidRPr="00A57F0D">
        <w:rPr>
          <w:lang w:val="en-AU"/>
        </w:rPr>
        <w:t xml:space="preserve"> was released in September 2014.</w:t>
      </w:r>
      <w:r w:rsidRPr="00A57F0D">
        <w:rPr>
          <w:vertAlign w:val="superscript"/>
          <w:lang w:val="en-AU"/>
        </w:rPr>
        <w:endnoteReference w:id="130"/>
      </w:r>
      <w:r w:rsidRPr="00A57F0D">
        <w:rPr>
          <w:lang w:val="en-AU"/>
        </w:rPr>
        <w:t xml:space="preserve"> This states that:</w:t>
      </w:r>
    </w:p>
    <w:p w14:paraId="52A5DC5B" w14:textId="77777777" w:rsidR="00814869" w:rsidRPr="00A57F0D" w:rsidRDefault="00814869" w:rsidP="00B030D9">
      <w:pPr>
        <w:autoSpaceDE w:val="0"/>
        <w:autoSpaceDN w:val="0"/>
        <w:adjustRightInd w:val="0"/>
        <w:spacing w:before="240" w:after="240"/>
        <w:ind w:left="720"/>
        <w:rPr>
          <w:rFonts w:asciiTheme="majorHAnsi" w:hAnsiTheme="majorHAnsi"/>
          <w:lang w:val="en-AU"/>
        </w:rPr>
      </w:pPr>
      <w:r w:rsidRPr="00A57F0D">
        <w:rPr>
          <w:rFonts w:asciiTheme="majorHAnsi" w:eastAsia="Times New Roman" w:hAnsiTheme="majorHAnsi" w:cs="Cambria"/>
          <w:i/>
          <w:lang w:val="en-AU"/>
        </w:rPr>
        <w:t>A major part of the [current] problem [with the federation] is that over time, the Commonwealth has become, for various reasons, increasingly involved in matters which have traditionally been the responsibility of the States and Territories.</w:t>
      </w:r>
      <w:r w:rsidRPr="00A57F0D">
        <w:rPr>
          <w:vertAlign w:val="superscript"/>
          <w:lang w:val="en-AU"/>
        </w:rPr>
        <w:endnoteReference w:id="131"/>
      </w:r>
      <w:r w:rsidRPr="00A57F0D">
        <w:rPr>
          <w:lang w:val="en-AU"/>
        </w:rPr>
        <w:t xml:space="preserve"> </w:t>
      </w:r>
    </w:p>
    <w:p w14:paraId="40036CB8" w14:textId="77777777" w:rsidR="00814869" w:rsidRPr="00A57F0D" w:rsidRDefault="00814869" w:rsidP="00B030D9">
      <w:pPr>
        <w:autoSpaceDE w:val="0"/>
        <w:autoSpaceDN w:val="0"/>
        <w:adjustRightInd w:val="0"/>
        <w:spacing w:before="240" w:after="240"/>
        <w:rPr>
          <w:rFonts w:cs="Calibri"/>
          <w:bCs/>
          <w:color w:val="000000"/>
          <w:lang w:val="en-AU"/>
        </w:rPr>
      </w:pPr>
      <w:r w:rsidRPr="00A57F0D">
        <w:rPr>
          <w:lang w:val="en-AU"/>
        </w:rPr>
        <w:t xml:space="preserve">This, of course, could include </w:t>
      </w:r>
      <w:r w:rsidR="008F3ED9" w:rsidRPr="00A57F0D">
        <w:rPr>
          <w:lang w:val="en-AU"/>
        </w:rPr>
        <w:t xml:space="preserve">aspects of </w:t>
      </w:r>
      <w:r w:rsidRPr="00A57F0D">
        <w:rPr>
          <w:lang w:val="en-AU"/>
        </w:rPr>
        <w:t xml:space="preserve">Indigenous Affairs. Reform along these lines then </w:t>
      </w:r>
      <w:r w:rsidRPr="00A57F0D">
        <w:rPr>
          <w:rFonts w:cs="Calibri"/>
          <w:bCs/>
          <w:color w:val="000000"/>
          <w:lang w:val="en-AU"/>
        </w:rPr>
        <w:t>could potentially signal a break with the spirit of the 1967 referendum. In this,</w:t>
      </w:r>
      <w:r w:rsidR="0078742B" w:rsidRPr="00A57F0D">
        <w:rPr>
          <w:rFonts w:cs="Calibri"/>
          <w:bCs/>
          <w:color w:val="000000"/>
          <w:lang w:val="en-AU"/>
        </w:rPr>
        <w:t xml:space="preserve"> over</w:t>
      </w:r>
      <w:r w:rsidRPr="00A57F0D">
        <w:rPr>
          <w:rFonts w:cs="Calibri"/>
          <w:bCs/>
          <w:color w:val="000000"/>
          <w:lang w:val="en-AU"/>
        </w:rPr>
        <w:t xml:space="preserve"> 90 percent of Australians supported the potential for </w:t>
      </w:r>
      <w:r w:rsidR="001D350C">
        <w:rPr>
          <w:rFonts w:cs="Calibri"/>
          <w:bCs/>
          <w:color w:val="000000"/>
          <w:lang w:val="en-AU"/>
        </w:rPr>
        <w:t>Australian Government</w:t>
      </w:r>
      <w:r w:rsidRPr="00A57F0D">
        <w:rPr>
          <w:rFonts w:cs="Calibri"/>
          <w:bCs/>
          <w:color w:val="000000"/>
          <w:lang w:val="en-AU"/>
        </w:rPr>
        <w:t xml:space="preserve"> involvement (and the Campaign Steering Committee believes leadership) in Indigenous Affairs. This was, at least in part, because of </w:t>
      </w:r>
      <w:r w:rsidRPr="00A57F0D">
        <w:rPr>
          <w:rFonts w:cs="Calibri"/>
          <w:bCs/>
          <w:color w:val="000000"/>
          <w:lang w:val="en-AU"/>
        </w:rPr>
        <w:lastRenderedPageBreak/>
        <w:t>the failure of the states and territories to effectively address Aboriginal and Torres Strait Islander disadvantage and protect basic human rights since at least federation.</w:t>
      </w:r>
      <w:r w:rsidR="00200E38" w:rsidRPr="00A57F0D">
        <w:rPr>
          <w:rStyle w:val="EndnoteReference"/>
          <w:rFonts w:cs="Calibri"/>
          <w:bCs/>
          <w:color w:val="000000"/>
          <w:lang w:val="en-AU"/>
        </w:rPr>
        <w:endnoteReference w:id="132"/>
      </w:r>
    </w:p>
    <w:p w14:paraId="5E6EAAA1" w14:textId="736A3900" w:rsidR="00814869" w:rsidRPr="00A57F0D" w:rsidRDefault="0050183D" w:rsidP="00B030D9">
      <w:pPr>
        <w:autoSpaceDE w:val="0"/>
        <w:autoSpaceDN w:val="0"/>
        <w:adjustRightInd w:val="0"/>
        <w:spacing w:before="240" w:after="240"/>
        <w:rPr>
          <w:rFonts w:cs="Calibri"/>
          <w:bCs/>
          <w:color w:val="000000"/>
          <w:lang w:val="en-AU"/>
        </w:rPr>
      </w:pPr>
      <w:r>
        <w:rPr>
          <w:rFonts w:cs="Calibri"/>
          <w:bCs/>
          <w:color w:val="000000"/>
          <w:lang w:val="en-AU"/>
        </w:rPr>
        <w:t xml:space="preserve">In relation to </w:t>
      </w:r>
      <w:r w:rsidR="00814869" w:rsidRPr="00A57F0D">
        <w:rPr>
          <w:rFonts w:cs="Calibri"/>
          <w:bCs/>
          <w:color w:val="000000"/>
          <w:lang w:val="en-AU"/>
        </w:rPr>
        <w:t>the Closing the Gap Strategy</w:t>
      </w:r>
      <w:r w:rsidR="004A14BE">
        <w:rPr>
          <w:rFonts w:cs="Calibri"/>
          <w:bCs/>
          <w:color w:val="000000"/>
          <w:lang w:val="en-AU"/>
        </w:rPr>
        <w:t>,</w:t>
      </w:r>
      <w:r>
        <w:rPr>
          <w:rFonts w:cs="Calibri"/>
          <w:bCs/>
          <w:color w:val="000000"/>
          <w:lang w:val="en-AU"/>
        </w:rPr>
        <w:t xml:space="preserve"> the Issues Paper </w:t>
      </w:r>
      <w:r w:rsidR="00814869" w:rsidRPr="00A57F0D">
        <w:rPr>
          <w:rFonts w:cs="Calibri"/>
          <w:bCs/>
          <w:color w:val="000000"/>
          <w:lang w:val="en-AU"/>
        </w:rPr>
        <w:t xml:space="preserve">suggests: </w:t>
      </w:r>
    </w:p>
    <w:p w14:paraId="5694CFE2" w14:textId="77777777" w:rsidR="00814869" w:rsidRPr="00A57F0D" w:rsidRDefault="00814869" w:rsidP="00B030D9">
      <w:pPr>
        <w:autoSpaceDE w:val="0"/>
        <w:autoSpaceDN w:val="0"/>
        <w:adjustRightInd w:val="0"/>
        <w:spacing w:before="240" w:after="240"/>
        <w:ind w:left="720"/>
        <w:rPr>
          <w:rFonts w:asciiTheme="majorHAnsi" w:hAnsiTheme="majorHAnsi" w:cs="Calibri"/>
          <w:bCs/>
          <w:i/>
          <w:color w:val="000000"/>
          <w:lang w:val="en-AU"/>
        </w:rPr>
      </w:pPr>
      <w:r w:rsidRPr="00A57F0D">
        <w:rPr>
          <w:rFonts w:asciiTheme="majorHAnsi" w:eastAsia="Times New Roman" w:hAnsiTheme="majorHAnsi" w:cs="Cambria"/>
          <w:i/>
          <w:lang w:val="en-AU"/>
        </w:rPr>
        <w:t>In Australia, we should be particularly mindful of the difference in life chances that exist as a result of socio-economic disadvantage, especially in respect of Aboriginal and Torres Strait Islander peoples, and make it a priority to achieve governments’ commitment to Close the Gap in Indigenous life expectancy, child mortality, education and employment.</w:t>
      </w:r>
      <w:r w:rsidRPr="00A57F0D">
        <w:rPr>
          <w:vertAlign w:val="superscript"/>
          <w:lang w:val="en-AU"/>
        </w:rPr>
        <w:endnoteReference w:id="133"/>
      </w:r>
    </w:p>
    <w:p w14:paraId="25F7F26F" w14:textId="035D7089" w:rsidR="00814869" w:rsidRPr="00951E41" w:rsidRDefault="00814869" w:rsidP="00DE6A27">
      <w:pPr>
        <w:autoSpaceDE w:val="0"/>
        <w:autoSpaceDN w:val="0"/>
        <w:adjustRightInd w:val="0"/>
        <w:spacing w:before="240" w:after="240"/>
        <w:rPr>
          <w:vertAlign w:val="superscript"/>
          <w:lang w:val="en-AU"/>
        </w:rPr>
      </w:pPr>
      <w:r w:rsidRPr="0005379F">
        <w:rPr>
          <w:rFonts w:cs="Calibri"/>
          <w:bCs/>
          <w:color w:val="000000"/>
          <w:lang w:val="en-AU"/>
        </w:rPr>
        <w:t>Later the Issues Paper acknowledges that ‘sometimes a national approach is more appropriate than pursuing different approaches across the States and Territories’</w:t>
      </w:r>
      <w:r w:rsidR="00D31FE6">
        <w:rPr>
          <w:rFonts w:cs="Calibri"/>
          <w:bCs/>
          <w:color w:val="000000"/>
          <w:lang w:val="en-AU"/>
        </w:rPr>
        <w:t xml:space="preserve"> </w:t>
      </w:r>
      <w:r w:rsidRPr="0005379F">
        <w:rPr>
          <w:rFonts w:cs="Calibri"/>
          <w:bCs/>
          <w:color w:val="000000"/>
          <w:lang w:val="en-AU"/>
        </w:rPr>
        <w:t>and cites addressing Aboriginal and Torres Strait Islander disadvantage as an example of such a national objective.</w:t>
      </w:r>
      <w:r w:rsidR="00D31FE6" w:rsidRPr="0005379F">
        <w:rPr>
          <w:vertAlign w:val="superscript"/>
          <w:lang w:val="en-AU"/>
        </w:rPr>
        <w:endnoteReference w:id="134"/>
      </w:r>
      <w:r w:rsidR="00D31FE6" w:rsidRPr="0005379F">
        <w:rPr>
          <w:rFonts w:cs="Calibri"/>
          <w:bCs/>
          <w:color w:val="000000"/>
          <w:lang w:val="en-AU"/>
        </w:rPr>
        <w:t xml:space="preserve"> </w:t>
      </w:r>
      <w:r w:rsidRPr="0005379F">
        <w:rPr>
          <w:rFonts w:cs="Calibri"/>
          <w:bCs/>
          <w:color w:val="000000"/>
          <w:lang w:val="en-AU"/>
        </w:rPr>
        <w:t>However</w:t>
      </w:r>
      <w:r w:rsidR="00437EE8">
        <w:rPr>
          <w:rFonts w:cs="Calibri"/>
          <w:bCs/>
          <w:color w:val="000000"/>
          <w:lang w:val="en-AU"/>
        </w:rPr>
        <w:t>,</w:t>
      </w:r>
      <w:r w:rsidRPr="0005379F">
        <w:rPr>
          <w:rFonts w:cs="Calibri"/>
          <w:bCs/>
          <w:color w:val="000000"/>
          <w:lang w:val="en-AU"/>
        </w:rPr>
        <w:t xml:space="preserve"> other than this reference it does not significantly address the issue</w:t>
      </w:r>
      <w:r w:rsidR="00970095" w:rsidRPr="0005379F">
        <w:rPr>
          <w:rFonts w:cs="Calibri"/>
          <w:bCs/>
          <w:color w:val="000000"/>
          <w:lang w:val="en-AU"/>
        </w:rPr>
        <w:t xml:space="preserve"> of what ‘</w:t>
      </w:r>
      <w:r w:rsidR="00970095" w:rsidRPr="006A24D8">
        <w:rPr>
          <w:lang w:val="en-AU"/>
        </w:rPr>
        <w:t>clear delineation of responsibilities for different levels of government’ will mean for Aboriginal and Torres Strait Islander Affairs</w:t>
      </w:r>
      <w:r w:rsidR="00F82D84" w:rsidRPr="0005379F">
        <w:rPr>
          <w:rFonts w:cs="Calibri"/>
          <w:bCs/>
          <w:color w:val="000000"/>
          <w:lang w:val="en-AU"/>
        </w:rPr>
        <w:t>.</w:t>
      </w:r>
      <w:r w:rsidRPr="0005379F">
        <w:rPr>
          <w:vertAlign w:val="superscript"/>
          <w:lang w:val="en-AU"/>
        </w:rPr>
        <w:endnoteReference w:id="135"/>
      </w:r>
      <w:r w:rsidR="00F82D84" w:rsidRPr="00951E41">
        <w:rPr>
          <w:rFonts w:cs="Calibri"/>
          <w:bCs/>
          <w:color w:val="000000"/>
          <w:lang w:val="en-AU"/>
        </w:rPr>
        <w:t xml:space="preserve"> </w:t>
      </w:r>
      <w:r w:rsidR="00944B4B">
        <w:rPr>
          <w:rFonts w:cs="Calibri"/>
          <w:bCs/>
          <w:color w:val="000000"/>
          <w:lang w:val="en-AU"/>
        </w:rPr>
        <w:t>Critically for the Campaign Steering Committee, all governments must ensure that actions are taken</w:t>
      </w:r>
      <w:r w:rsidR="0050183D">
        <w:rPr>
          <w:rFonts w:cs="Calibri"/>
          <w:bCs/>
          <w:color w:val="000000"/>
          <w:lang w:val="en-AU"/>
        </w:rPr>
        <w:t xml:space="preserve"> with clearly articulated responsibilities</w:t>
      </w:r>
      <w:r w:rsidR="00944B4B">
        <w:rPr>
          <w:rFonts w:cs="Calibri"/>
          <w:bCs/>
          <w:color w:val="000000"/>
          <w:lang w:val="en-AU"/>
        </w:rPr>
        <w:t xml:space="preserve"> to address disadvantage.</w:t>
      </w:r>
      <w:r w:rsidR="00970095" w:rsidRPr="00951E41">
        <w:rPr>
          <w:rFonts w:cs="Calibri"/>
          <w:bCs/>
          <w:color w:val="000000"/>
          <w:lang w:val="en-AU"/>
        </w:rPr>
        <w:t xml:space="preserve"> </w:t>
      </w:r>
    </w:p>
    <w:p w14:paraId="341C644B" w14:textId="2EA770A1" w:rsidR="00814869" w:rsidRPr="00951E41" w:rsidRDefault="00814869" w:rsidP="00DE6A27">
      <w:pPr>
        <w:pStyle w:val="NormalWeb"/>
        <w:spacing w:before="240" w:after="240"/>
        <w:rPr>
          <w:rFonts w:ascii="Calibri" w:hAnsi="Calibri" w:cs="Calibri"/>
          <w:bCs/>
          <w:color w:val="000000"/>
          <w:lang w:val="en-AU"/>
        </w:rPr>
      </w:pPr>
      <w:r w:rsidRPr="00951E41">
        <w:rPr>
          <w:rFonts w:ascii="Calibri" w:hAnsi="Calibri" w:cs="Calibri"/>
          <w:bCs/>
          <w:color w:val="000000"/>
          <w:lang w:val="en-AU"/>
        </w:rPr>
        <w:t xml:space="preserve">Issues Paper 3 </w:t>
      </w:r>
      <w:r w:rsidRPr="00951E41">
        <w:rPr>
          <w:rFonts w:ascii="Calibri" w:hAnsi="Calibri" w:cs="Calibri"/>
          <w:bCs/>
          <w:i/>
          <w:color w:val="000000"/>
          <w:lang w:val="en-AU"/>
        </w:rPr>
        <w:t>Roles and Responsibilities in Health</w:t>
      </w:r>
      <w:r w:rsidRPr="00951E41">
        <w:rPr>
          <w:rFonts w:ascii="Calibri" w:hAnsi="Calibri" w:cs="Calibri"/>
          <w:bCs/>
          <w:color w:val="000000"/>
          <w:lang w:val="en-AU"/>
        </w:rPr>
        <w:t>, discusses Aboriginal and Torres Strait Islander health and health services at some length</w:t>
      </w:r>
      <w:r w:rsidR="001D350C">
        <w:rPr>
          <w:rFonts w:ascii="Calibri" w:hAnsi="Calibri" w:cs="Calibri"/>
          <w:bCs/>
          <w:color w:val="000000"/>
          <w:lang w:val="en-AU"/>
        </w:rPr>
        <w:t>. It</w:t>
      </w:r>
      <w:r w:rsidRPr="00951E41">
        <w:rPr>
          <w:rFonts w:ascii="Calibri" w:hAnsi="Calibri" w:cs="Calibri"/>
          <w:bCs/>
          <w:color w:val="000000"/>
          <w:lang w:val="en-AU"/>
        </w:rPr>
        <w:t xml:space="preserve"> notes that there is a high degree of overlap between the Commonwealth and </w:t>
      </w:r>
      <w:r w:rsidR="00590D34">
        <w:rPr>
          <w:rFonts w:ascii="Calibri" w:hAnsi="Calibri" w:cs="Calibri"/>
          <w:bCs/>
          <w:color w:val="000000"/>
          <w:lang w:val="en-AU"/>
        </w:rPr>
        <w:t>state and t</w:t>
      </w:r>
      <w:r w:rsidRPr="00951E41">
        <w:rPr>
          <w:rFonts w:ascii="Calibri" w:hAnsi="Calibri" w:cs="Calibri"/>
          <w:bCs/>
          <w:color w:val="000000"/>
          <w:lang w:val="en-AU"/>
        </w:rPr>
        <w:t>erritory</w:t>
      </w:r>
      <w:r w:rsidR="00590D34">
        <w:rPr>
          <w:rFonts w:ascii="Calibri" w:hAnsi="Calibri" w:cs="Calibri"/>
          <w:bCs/>
          <w:color w:val="000000"/>
          <w:lang w:val="en-AU"/>
        </w:rPr>
        <w:t>-level</w:t>
      </w:r>
      <w:r w:rsidRPr="00951E41">
        <w:rPr>
          <w:rFonts w:ascii="Calibri" w:hAnsi="Calibri" w:cs="Calibri"/>
          <w:bCs/>
          <w:color w:val="000000"/>
          <w:lang w:val="en-AU"/>
        </w:rPr>
        <w:t xml:space="preserve"> i</w:t>
      </w:r>
      <w:r w:rsidR="001D350C">
        <w:rPr>
          <w:rFonts w:ascii="Calibri" w:hAnsi="Calibri" w:cs="Calibri"/>
          <w:bCs/>
          <w:color w:val="000000"/>
          <w:lang w:val="en-AU"/>
        </w:rPr>
        <w:t>nvolvement in Indigenous health</w:t>
      </w:r>
      <w:r w:rsidRPr="00951E41">
        <w:rPr>
          <w:rFonts w:ascii="Calibri" w:hAnsi="Calibri" w:cs="Calibri"/>
          <w:bCs/>
          <w:color w:val="000000"/>
          <w:lang w:val="en-AU"/>
        </w:rPr>
        <w:t xml:space="preserve"> ‘but that the effect of this overlap on Indigenous health is uncl</w:t>
      </w:r>
      <w:r w:rsidR="0050183D">
        <w:rPr>
          <w:rFonts w:ascii="Calibri" w:hAnsi="Calibri" w:cs="Calibri"/>
          <w:bCs/>
          <w:color w:val="000000"/>
          <w:lang w:val="en-AU"/>
        </w:rPr>
        <w:t>ear’.</w:t>
      </w:r>
      <w:r w:rsidRPr="00951E41">
        <w:rPr>
          <w:rStyle w:val="EndnoteReference"/>
          <w:rFonts w:cs="Calibri"/>
          <w:bCs/>
          <w:color w:val="000000"/>
          <w:lang w:val="en-AU"/>
        </w:rPr>
        <w:endnoteReference w:id="136"/>
      </w:r>
    </w:p>
    <w:p w14:paraId="40404E2A" w14:textId="77777777" w:rsidR="00814869" w:rsidRPr="00951E41" w:rsidRDefault="00814869" w:rsidP="00DE6A27">
      <w:pPr>
        <w:pStyle w:val="NormalWeb"/>
        <w:spacing w:before="240" w:after="240"/>
        <w:rPr>
          <w:rFonts w:ascii="Calibri" w:hAnsi="Calibri" w:cs="Calibri"/>
          <w:bCs/>
          <w:color w:val="000000"/>
          <w:lang w:val="en-AU"/>
        </w:rPr>
      </w:pPr>
      <w:r w:rsidRPr="00951E41">
        <w:rPr>
          <w:rFonts w:ascii="Calibri" w:hAnsi="Calibri" w:cs="Calibri"/>
          <w:bCs/>
          <w:color w:val="000000"/>
          <w:lang w:val="en-AU"/>
        </w:rPr>
        <w:t xml:space="preserve">Further, it discusses the role of the </w:t>
      </w:r>
      <w:r w:rsidR="00394ECF">
        <w:rPr>
          <w:rFonts w:ascii="Calibri" w:hAnsi="Calibri" w:cs="Calibri"/>
          <w:bCs/>
          <w:color w:val="000000"/>
          <w:lang w:val="en-AU"/>
        </w:rPr>
        <w:t>Australian Government</w:t>
      </w:r>
      <w:r w:rsidRPr="00951E41">
        <w:rPr>
          <w:rFonts w:ascii="Calibri" w:hAnsi="Calibri" w:cs="Calibri"/>
          <w:bCs/>
          <w:color w:val="000000"/>
          <w:lang w:val="en-AU"/>
        </w:rPr>
        <w:t xml:space="preserve"> </w:t>
      </w:r>
      <w:r w:rsidR="00394ECF">
        <w:rPr>
          <w:rFonts w:ascii="Calibri" w:hAnsi="Calibri" w:cs="Calibri"/>
          <w:bCs/>
          <w:color w:val="000000"/>
          <w:lang w:val="en-AU"/>
        </w:rPr>
        <w:t>in addressing health inequities:</w:t>
      </w:r>
      <w:r w:rsidRPr="00951E41">
        <w:rPr>
          <w:rFonts w:ascii="Calibri" w:hAnsi="Calibri" w:cs="Calibri"/>
          <w:bCs/>
          <w:color w:val="000000"/>
          <w:lang w:val="en-AU"/>
        </w:rPr>
        <w:t xml:space="preserve"> </w:t>
      </w:r>
    </w:p>
    <w:p w14:paraId="7E036E95" w14:textId="200A8FD0" w:rsidR="00814869" w:rsidRPr="00951E41" w:rsidRDefault="00814869" w:rsidP="00DE6A27">
      <w:pPr>
        <w:pStyle w:val="NormalWeb"/>
        <w:spacing w:before="240" w:after="240"/>
        <w:ind w:left="720"/>
        <w:rPr>
          <w:rFonts w:cs="Calibri"/>
          <w:color w:val="000000"/>
          <w:lang w:val="en-AU"/>
        </w:rPr>
      </w:pPr>
      <w:r w:rsidRPr="00951E41">
        <w:rPr>
          <w:rFonts w:ascii="Calibri" w:hAnsi="Calibri" w:cs="Calibri"/>
          <w:bCs/>
          <w:i/>
          <w:color w:val="000000"/>
          <w:lang w:val="en-AU"/>
        </w:rPr>
        <w:t xml:space="preserve">Commonwealth involvement in a policy area is sometimes argued on equity grounds. While the Commonwealth may be best placed to address equity concerns in some circumstances, the States and Territories also work to improve and ensure equity for their communities. The States and Territories </w:t>
      </w:r>
      <w:r w:rsidR="00E42EFB">
        <w:rPr>
          <w:rFonts w:ascii="Calibri" w:hAnsi="Calibri" w:cs="Calibri"/>
          <w:bCs/>
          <w:i/>
          <w:color w:val="000000"/>
          <w:lang w:val="en-AU"/>
        </w:rPr>
        <w:t xml:space="preserve">are </w:t>
      </w:r>
      <w:r w:rsidRPr="00951E41">
        <w:rPr>
          <w:rFonts w:ascii="Calibri" w:hAnsi="Calibri" w:cs="Calibri"/>
          <w:bCs/>
          <w:i/>
          <w:color w:val="000000"/>
          <w:lang w:val="en-AU"/>
        </w:rPr>
        <w:t>closer to where services are being delivered and are often best placed to know how equity concerns can be addressed.</w:t>
      </w:r>
      <w:r w:rsidRPr="00951E41">
        <w:rPr>
          <w:rStyle w:val="EndnoteReference"/>
          <w:rFonts w:cs="Calibri"/>
          <w:bCs/>
          <w:i/>
          <w:color w:val="000000"/>
          <w:lang w:val="en-AU"/>
        </w:rPr>
        <w:endnoteReference w:id="137"/>
      </w:r>
      <w:r w:rsidRPr="00951E41">
        <w:rPr>
          <w:rFonts w:ascii="Calibri" w:hAnsi="Calibri" w:cs="Calibri"/>
          <w:bCs/>
          <w:i/>
          <w:color w:val="000000"/>
          <w:lang w:val="en-AU"/>
        </w:rPr>
        <w:t xml:space="preserve"> </w:t>
      </w:r>
    </w:p>
    <w:p w14:paraId="64B63559" w14:textId="77777777" w:rsidR="00814869" w:rsidRPr="00951E41" w:rsidRDefault="00814869" w:rsidP="00DE6A27">
      <w:pPr>
        <w:pStyle w:val="NormalWeb"/>
        <w:spacing w:before="240" w:after="240"/>
        <w:rPr>
          <w:rFonts w:cs="Calibri"/>
          <w:color w:val="000000"/>
          <w:lang w:val="en-AU"/>
        </w:rPr>
      </w:pPr>
      <w:r w:rsidRPr="00951E41">
        <w:rPr>
          <w:rFonts w:ascii="Calibri" w:hAnsi="Calibri" w:cs="Calibri"/>
          <w:bCs/>
          <w:color w:val="000000"/>
          <w:lang w:val="en-AU"/>
        </w:rPr>
        <w:t xml:space="preserve">The Campaign Steering Committee supports the need for the clarification of roles and responsibilities among </w:t>
      </w:r>
      <w:r w:rsidR="00394ECF">
        <w:rPr>
          <w:rFonts w:ascii="Calibri" w:hAnsi="Calibri" w:cs="Calibri"/>
          <w:bCs/>
          <w:color w:val="000000"/>
          <w:lang w:val="en-AU"/>
        </w:rPr>
        <w:t>Australian governments</w:t>
      </w:r>
      <w:r w:rsidRPr="00951E41">
        <w:rPr>
          <w:rFonts w:ascii="Calibri" w:hAnsi="Calibri" w:cs="Calibri"/>
          <w:bCs/>
          <w:color w:val="000000"/>
          <w:lang w:val="en-AU"/>
        </w:rPr>
        <w:t xml:space="preserve"> to ensure the best health outcomes can be achieved for Aboriginal and Torres Strait Islander peoples. </w:t>
      </w:r>
    </w:p>
    <w:p w14:paraId="3D2994D6" w14:textId="4CDF9A52" w:rsidR="00814869" w:rsidRPr="0050183D" w:rsidRDefault="00814869" w:rsidP="00DE6A27">
      <w:pPr>
        <w:pStyle w:val="NormalWeb"/>
        <w:spacing w:before="240" w:after="240"/>
        <w:rPr>
          <w:rFonts w:cs="Calibri"/>
          <w:color w:val="000000"/>
          <w:lang w:val="en-AU"/>
        </w:rPr>
      </w:pPr>
      <w:r w:rsidRPr="00951E41">
        <w:rPr>
          <w:rFonts w:ascii="Calibri" w:hAnsi="Calibri" w:cs="Calibri"/>
          <w:bCs/>
          <w:color w:val="000000"/>
          <w:lang w:val="en-AU"/>
        </w:rPr>
        <w:t xml:space="preserve">The Campaign Steering Committee firmly believes that the </w:t>
      </w:r>
      <w:r w:rsidR="00394ECF">
        <w:rPr>
          <w:rFonts w:ascii="Calibri" w:hAnsi="Calibri" w:cs="Calibri"/>
          <w:bCs/>
          <w:color w:val="000000"/>
          <w:lang w:val="en-AU"/>
        </w:rPr>
        <w:t>Australian Government</w:t>
      </w:r>
      <w:r w:rsidRPr="00951E41">
        <w:rPr>
          <w:rFonts w:ascii="Calibri" w:hAnsi="Calibri" w:cs="Calibri"/>
          <w:bCs/>
          <w:color w:val="000000"/>
          <w:lang w:val="en-AU"/>
        </w:rPr>
        <w:t xml:space="preserve"> has the responsibility to lead the national approach</w:t>
      </w:r>
      <w:r w:rsidR="00D31FE6">
        <w:rPr>
          <w:rFonts w:ascii="Calibri" w:hAnsi="Calibri" w:cs="Calibri"/>
          <w:bCs/>
          <w:color w:val="000000"/>
          <w:lang w:val="en-AU"/>
        </w:rPr>
        <w:t xml:space="preserve"> to the Closing the Gap Strategy</w:t>
      </w:r>
      <w:r w:rsidRPr="00951E41">
        <w:rPr>
          <w:rFonts w:ascii="Calibri" w:hAnsi="Calibri" w:cs="Calibri"/>
          <w:bCs/>
          <w:color w:val="000000"/>
          <w:lang w:val="en-AU"/>
        </w:rPr>
        <w:t xml:space="preserve">. Reform to the federal system should not </w:t>
      </w:r>
      <w:r w:rsidR="002531CA">
        <w:rPr>
          <w:rFonts w:ascii="Calibri" w:hAnsi="Calibri" w:cs="Calibri"/>
          <w:bCs/>
          <w:color w:val="000000"/>
          <w:lang w:val="en-AU"/>
        </w:rPr>
        <w:t xml:space="preserve">adversely affect </w:t>
      </w:r>
      <w:r w:rsidR="00D31FE6">
        <w:rPr>
          <w:rFonts w:ascii="Calibri" w:hAnsi="Calibri" w:cs="Calibri"/>
          <w:bCs/>
          <w:color w:val="000000"/>
          <w:lang w:val="en-AU"/>
        </w:rPr>
        <w:t>this</w:t>
      </w:r>
      <w:r w:rsidRPr="0050183D">
        <w:rPr>
          <w:rFonts w:ascii="Calibri" w:hAnsi="Calibri" w:cs="Calibri"/>
          <w:bCs/>
          <w:color w:val="000000"/>
          <w:lang w:val="en-AU"/>
        </w:rPr>
        <w:t xml:space="preserve">. </w:t>
      </w:r>
    </w:p>
    <w:p w14:paraId="7F3FB918" w14:textId="77777777" w:rsidR="00814869" w:rsidRPr="0050183D" w:rsidRDefault="005C672E" w:rsidP="00DE6A27">
      <w:pPr>
        <w:pStyle w:val="Heading3"/>
        <w:rPr>
          <w:lang w:val="en-AU"/>
        </w:rPr>
      </w:pPr>
      <w:bookmarkStart w:id="23" w:name="_Toc409788728"/>
      <w:r>
        <w:rPr>
          <w:lang w:val="en-AU"/>
        </w:rPr>
        <w:t>Continued national leadership</w:t>
      </w:r>
      <w:r w:rsidR="00814869" w:rsidRPr="0050183D">
        <w:rPr>
          <w:lang w:val="en-AU"/>
        </w:rPr>
        <w:t xml:space="preserve"> of the Closing the Gap Strategy</w:t>
      </w:r>
      <w:bookmarkEnd w:id="23"/>
    </w:p>
    <w:p w14:paraId="4AACC860" w14:textId="49F0C9C3" w:rsidR="00814869" w:rsidRPr="0005379F" w:rsidRDefault="00814869" w:rsidP="00820646">
      <w:pPr>
        <w:autoSpaceDE w:val="0"/>
        <w:autoSpaceDN w:val="0"/>
        <w:adjustRightInd w:val="0"/>
        <w:spacing w:before="240" w:after="240"/>
        <w:rPr>
          <w:rFonts w:cs="Calibri"/>
          <w:bCs/>
          <w:color w:val="000000"/>
          <w:lang w:val="en-AU"/>
        </w:rPr>
      </w:pPr>
      <w:r w:rsidRPr="0050183D">
        <w:rPr>
          <w:rFonts w:cs="Calibri"/>
          <w:bCs/>
          <w:color w:val="000000"/>
          <w:lang w:val="en-AU"/>
        </w:rPr>
        <w:t>In December 2013</w:t>
      </w:r>
      <w:r w:rsidR="00110561" w:rsidRPr="0050183D">
        <w:rPr>
          <w:rFonts w:cs="Calibri"/>
          <w:bCs/>
          <w:color w:val="000000"/>
          <w:lang w:val="en-AU"/>
        </w:rPr>
        <w:t>,</w:t>
      </w:r>
      <w:r w:rsidRPr="0050183D">
        <w:rPr>
          <w:rFonts w:cs="Calibri"/>
          <w:bCs/>
          <w:color w:val="000000"/>
          <w:lang w:val="en-AU"/>
        </w:rPr>
        <w:t xml:space="preserve"> COAG </w:t>
      </w:r>
      <w:r w:rsidR="0050183D">
        <w:rPr>
          <w:rFonts w:cs="Calibri"/>
          <w:bCs/>
          <w:color w:val="000000"/>
          <w:lang w:val="en-AU"/>
        </w:rPr>
        <w:t xml:space="preserve">decided not </w:t>
      </w:r>
      <w:r w:rsidRPr="0005379F">
        <w:rPr>
          <w:rFonts w:cs="Calibri"/>
          <w:bCs/>
          <w:color w:val="000000"/>
          <w:lang w:val="en-AU"/>
        </w:rPr>
        <w:t xml:space="preserve">to renew the </w:t>
      </w:r>
      <w:r w:rsidRPr="0005379F">
        <w:rPr>
          <w:rFonts w:cs="Calibri"/>
          <w:bCs/>
          <w:i/>
          <w:color w:val="000000"/>
          <w:lang w:val="en-AU"/>
        </w:rPr>
        <w:t>National Partnership Agreement on Closing the Gap in Indigenous Health Outcomes</w:t>
      </w:r>
      <w:r w:rsidRPr="0005379F">
        <w:rPr>
          <w:rFonts w:cs="Calibri"/>
          <w:bCs/>
          <w:color w:val="000000"/>
          <w:lang w:val="en-AU"/>
        </w:rPr>
        <w:t>.</w:t>
      </w:r>
      <w:r w:rsidRPr="0005379F">
        <w:rPr>
          <w:rStyle w:val="EndnoteReference"/>
          <w:rFonts w:cs="Calibri"/>
          <w:bCs/>
          <w:color w:val="000000"/>
          <w:lang w:val="en-AU"/>
        </w:rPr>
        <w:endnoteReference w:id="138"/>
      </w:r>
      <w:r w:rsidRPr="0005379F">
        <w:rPr>
          <w:rFonts w:cs="Calibri"/>
          <w:bCs/>
          <w:color w:val="000000"/>
          <w:lang w:val="en-AU"/>
        </w:rPr>
        <w:t xml:space="preserve"> The Campaign Steering Committee is not wedded to a national partnership agreement to further the Closing the Gap Strategy as it pertains to health. It is, however, concerned</w:t>
      </w:r>
      <w:r w:rsidR="008F3ED9" w:rsidRPr="0005379F">
        <w:rPr>
          <w:rFonts w:cs="Calibri"/>
          <w:bCs/>
          <w:color w:val="000000"/>
          <w:lang w:val="en-AU"/>
        </w:rPr>
        <w:t xml:space="preserve"> to ensure</w:t>
      </w:r>
      <w:r w:rsidRPr="0005379F">
        <w:rPr>
          <w:rFonts w:cs="Calibri"/>
          <w:bCs/>
          <w:color w:val="000000"/>
          <w:lang w:val="en-AU"/>
        </w:rPr>
        <w:t xml:space="preserve"> that the substitution of a national partnership agreement with tri-lateral </w:t>
      </w:r>
      <w:r w:rsidR="00394ECF">
        <w:rPr>
          <w:rFonts w:cs="Calibri"/>
          <w:bCs/>
          <w:color w:val="000000"/>
          <w:lang w:val="en-AU"/>
        </w:rPr>
        <w:t>Australian Government</w:t>
      </w:r>
      <w:r w:rsidRPr="0005379F">
        <w:rPr>
          <w:rFonts w:cs="Calibri"/>
          <w:bCs/>
          <w:color w:val="000000"/>
          <w:lang w:val="en-AU"/>
        </w:rPr>
        <w:t xml:space="preserve"> agreements with the</w:t>
      </w:r>
      <w:r w:rsidR="00D31FE6">
        <w:rPr>
          <w:lang w:val="en-AU"/>
        </w:rPr>
        <w:t xml:space="preserve"> states and t</w:t>
      </w:r>
      <w:r w:rsidRPr="0005379F">
        <w:rPr>
          <w:lang w:val="en-AU"/>
        </w:rPr>
        <w:t xml:space="preserve">erritories and jurisdictional representatives of the Aboriginal and Torres Strait Islander health </w:t>
      </w:r>
      <w:proofErr w:type="gramStart"/>
      <w:r w:rsidRPr="0005379F">
        <w:rPr>
          <w:lang w:val="en-AU"/>
        </w:rPr>
        <w:t>services</w:t>
      </w:r>
      <w:r w:rsidR="00E50A05">
        <w:rPr>
          <w:lang w:val="en-AU"/>
        </w:rPr>
        <w:t>,</w:t>
      </w:r>
      <w:proofErr w:type="gramEnd"/>
      <w:r w:rsidRPr="0005379F">
        <w:rPr>
          <w:lang w:val="en-AU"/>
        </w:rPr>
        <w:t xml:space="preserve"> </w:t>
      </w:r>
      <w:r w:rsidR="008F3ED9" w:rsidRPr="0005379F">
        <w:rPr>
          <w:lang w:val="en-AU"/>
        </w:rPr>
        <w:t>does not weaken or</w:t>
      </w:r>
      <w:r w:rsidRPr="0005379F">
        <w:rPr>
          <w:lang w:val="en-AU"/>
        </w:rPr>
        <w:t xml:space="preserve"> fragment the Closing the Gap Strategy. The tri-lateral agreements are </w:t>
      </w:r>
      <w:r w:rsidR="00E50A05">
        <w:rPr>
          <w:lang w:val="en-AU"/>
        </w:rPr>
        <w:t xml:space="preserve">being </w:t>
      </w:r>
      <w:r w:rsidRPr="0005379F">
        <w:rPr>
          <w:lang w:val="en-AU"/>
        </w:rPr>
        <w:t>developed through AHMAC and existing Indigenous Health Partnership Forums.</w:t>
      </w:r>
      <w:r w:rsidRPr="0005379F">
        <w:rPr>
          <w:rStyle w:val="EndnoteReference"/>
          <w:rFonts w:cs="Calibri"/>
          <w:bCs/>
          <w:color w:val="000000"/>
          <w:lang w:val="en-AU"/>
        </w:rPr>
        <w:endnoteReference w:id="139"/>
      </w:r>
      <w:r w:rsidRPr="0005379F">
        <w:rPr>
          <w:rFonts w:cs="Calibri"/>
          <w:bCs/>
          <w:color w:val="000000"/>
          <w:lang w:val="en-AU"/>
        </w:rPr>
        <w:t xml:space="preserve">  </w:t>
      </w:r>
    </w:p>
    <w:p w14:paraId="618FF20D" w14:textId="35791AE7" w:rsidR="00814869" w:rsidRPr="0005379F" w:rsidRDefault="00814869" w:rsidP="00820646">
      <w:pPr>
        <w:spacing w:after="240"/>
        <w:rPr>
          <w:rFonts w:cs="Arial"/>
          <w:lang w:val="en-AU"/>
        </w:rPr>
      </w:pPr>
      <w:r w:rsidRPr="0005379F">
        <w:rPr>
          <w:rFonts w:cs="Calibri"/>
          <w:bCs/>
          <w:color w:val="000000"/>
          <w:lang w:val="en-AU"/>
        </w:rPr>
        <w:t>As highlighted in the Campaign Steering Committee’s two previous reports</w:t>
      </w:r>
      <w:r w:rsidR="00712DFB" w:rsidRPr="0005379F">
        <w:rPr>
          <w:rFonts w:cs="Calibri"/>
          <w:bCs/>
          <w:color w:val="000000"/>
          <w:lang w:val="en-AU"/>
        </w:rPr>
        <w:t>,</w:t>
      </w:r>
      <w:r w:rsidRPr="0005379F">
        <w:rPr>
          <w:rStyle w:val="EndnoteReference"/>
          <w:rFonts w:cs="Calibri"/>
          <w:bCs/>
          <w:color w:val="000000"/>
          <w:lang w:val="en-AU"/>
        </w:rPr>
        <w:endnoteReference w:id="140"/>
      </w:r>
      <w:r w:rsidRPr="0005379F" w:rsidDel="00CC5181">
        <w:rPr>
          <w:lang w:val="en-AU"/>
        </w:rPr>
        <w:t xml:space="preserve"> </w:t>
      </w:r>
      <w:r w:rsidRPr="0005379F">
        <w:rPr>
          <w:rFonts w:cs="Calibri"/>
          <w:bCs/>
          <w:color w:val="000000"/>
          <w:lang w:val="en-AU"/>
        </w:rPr>
        <w:t xml:space="preserve">there have been significant cuts to mainstream health expenditure in </w:t>
      </w:r>
      <w:r w:rsidRPr="0005379F">
        <w:rPr>
          <w:lang w:val="en-AU"/>
        </w:rPr>
        <w:t>Queensland,</w:t>
      </w:r>
      <w:r w:rsidRPr="0005379F">
        <w:rPr>
          <w:rStyle w:val="EndnoteReference"/>
          <w:rFonts w:cs="Arial"/>
          <w:sz w:val="22"/>
          <w:lang w:val="en-AU"/>
        </w:rPr>
        <w:endnoteReference w:id="141"/>
      </w:r>
      <w:r w:rsidRPr="0005379F">
        <w:rPr>
          <w:lang w:val="en-AU"/>
        </w:rPr>
        <w:t xml:space="preserve"> New South Wales</w:t>
      </w:r>
      <w:r w:rsidRPr="0005379F">
        <w:rPr>
          <w:rStyle w:val="EndnoteReference"/>
          <w:szCs w:val="20"/>
          <w:lang w:val="en-AU"/>
        </w:rPr>
        <w:endnoteReference w:id="142"/>
      </w:r>
      <w:r w:rsidRPr="0005379F">
        <w:rPr>
          <w:sz w:val="20"/>
          <w:szCs w:val="20"/>
          <w:lang w:val="en-AU"/>
        </w:rPr>
        <w:t xml:space="preserve"> and </w:t>
      </w:r>
      <w:r w:rsidRPr="0005379F">
        <w:rPr>
          <w:lang w:val="en-AU"/>
        </w:rPr>
        <w:t>South Australia in recent years – particularly to preventative health program</w:t>
      </w:r>
      <w:r w:rsidR="00E50A05">
        <w:rPr>
          <w:lang w:val="en-AU"/>
        </w:rPr>
        <w:t>me</w:t>
      </w:r>
      <w:r w:rsidRPr="0005379F">
        <w:rPr>
          <w:lang w:val="en-AU"/>
        </w:rPr>
        <w:t>s.</w:t>
      </w:r>
      <w:r w:rsidRPr="0005379F">
        <w:rPr>
          <w:rStyle w:val="EndnoteReference"/>
          <w:rFonts w:ascii="Calibri" w:hAnsi="Calibri" w:cs="Arial"/>
          <w:sz w:val="22"/>
          <w:lang w:val="en-AU"/>
        </w:rPr>
        <w:endnoteReference w:id="143"/>
      </w:r>
      <w:r w:rsidRPr="0005379F">
        <w:rPr>
          <w:rFonts w:cs="Arial"/>
          <w:lang w:val="en-AU"/>
        </w:rPr>
        <w:t xml:space="preserve">  </w:t>
      </w:r>
    </w:p>
    <w:p w14:paraId="6A45BB21" w14:textId="77777777" w:rsidR="00814869" w:rsidRPr="0005379F" w:rsidRDefault="00814869" w:rsidP="00820646">
      <w:pPr>
        <w:spacing w:after="240"/>
        <w:rPr>
          <w:rFonts w:cs="Arial"/>
          <w:lang w:val="en-AU"/>
        </w:rPr>
      </w:pPr>
      <w:r w:rsidRPr="0005379F">
        <w:rPr>
          <w:lang w:val="en-AU"/>
        </w:rPr>
        <w:lastRenderedPageBreak/>
        <w:t xml:space="preserve">While not aimed at Aboriginal and Torres Strait Islander people, services or programmes, </w:t>
      </w:r>
      <w:r w:rsidRPr="0005379F">
        <w:rPr>
          <w:rFonts w:cs="Arial"/>
          <w:lang w:val="en-AU"/>
        </w:rPr>
        <w:t xml:space="preserve">these cuts are </w:t>
      </w:r>
      <w:r w:rsidRPr="0005379F">
        <w:rPr>
          <w:lang w:val="en-AU"/>
        </w:rPr>
        <w:t>likely to have disproportionate and detrimental impacts on preventative health efforts in these jurisdictions among Aboriginal and Torres Strait Islander peoples.</w:t>
      </w:r>
      <w:r w:rsidRPr="0005379F">
        <w:rPr>
          <w:vertAlign w:val="superscript"/>
          <w:lang w:val="en-AU"/>
        </w:rPr>
        <w:endnoteReference w:id="144"/>
      </w:r>
      <w:r w:rsidRPr="0005379F">
        <w:rPr>
          <w:lang w:val="en-AU"/>
        </w:rPr>
        <w:t xml:space="preserve"> One critic has highlighted the likelihood for increases in cardiovascular diseases, diabetes and mental health conditions over time.</w:t>
      </w:r>
      <w:r w:rsidRPr="0005379F">
        <w:rPr>
          <w:vertAlign w:val="superscript"/>
          <w:lang w:val="en-AU"/>
        </w:rPr>
        <w:endnoteReference w:id="145"/>
      </w:r>
      <w:r w:rsidRPr="0005379F">
        <w:rPr>
          <w:lang w:val="en-AU"/>
        </w:rPr>
        <w:t xml:space="preserve"> </w:t>
      </w:r>
    </w:p>
    <w:p w14:paraId="1028DC19" w14:textId="0209DA53" w:rsidR="00814869" w:rsidRPr="0005379F" w:rsidRDefault="00814869" w:rsidP="00820646">
      <w:pPr>
        <w:spacing w:after="240"/>
        <w:rPr>
          <w:rFonts w:cs="Arial"/>
          <w:lang w:val="en-AU"/>
        </w:rPr>
      </w:pPr>
      <w:r w:rsidRPr="0005379F">
        <w:rPr>
          <w:rFonts w:cs="Arial"/>
          <w:lang w:val="en-AU"/>
        </w:rPr>
        <w:t xml:space="preserve">As argued in last year’s report, the Campaign Steering Committee believe such jurisdictional health cuts demonstrate the need for </w:t>
      </w:r>
      <w:r w:rsidRPr="00DD5423">
        <w:rPr>
          <w:rFonts w:cs="Arial"/>
          <w:b/>
          <w:i/>
          <w:lang w:val="en-AU"/>
        </w:rPr>
        <w:t>greater</w:t>
      </w:r>
      <w:r w:rsidRPr="0005379F">
        <w:rPr>
          <w:rFonts w:cs="Arial"/>
          <w:lang w:val="en-AU"/>
        </w:rPr>
        <w:t xml:space="preserve"> Australian Government leadership </w:t>
      </w:r>
      <w:r w:rsidR="00394ECF">
        <w:rPr>
          <w:rFonts w:cs="Arial"/>
          <w:lang w:val="en-AU"/>
        </w:rPr>
        <w:t>to ensure a</w:t>
      </w:r>
      <w:r w:rsidRPr="0005379F">
        <w:rPr>
          <w:rFonts w:cs="Arial"/>
          <w:lang w:val="en-AU"/>
        </w:rPr>
        <w:t xml:space="preserve"> consistent national approach in </w:t>
      </w:r>
      <w:r w:rsidR="00394ECF">
        <w:rPr>
          <w:rFonts w:cs="Arial"/>
          <w:lang w:val="en-AU"/>
        </w:rPr>
        <w:t>the</w:t>
      </w:r>
      <w:r w:rsidRPr="0005379F">
        <w:rPr>
          <w:rFonts w:cs="Arial"/>
          <w:lang w:val="en-AU"/>
        </w:rPr>
        <w:t xml:space="preserve"> implementation of the Closing the Gap Strategy. They demonstrate the need for </w:t>
      </w:r>
      <w:r w:rsidRPr="00DD5423">
        <w:rPr>
          <w:rFonts w:cs="Arial"/>
          <w:b/>
          <w:i/>
          <w:lang w:val="en-AU"/>
        </w:rPr>
        <w:t>stronger</w:t>
      </w:r>
      <w:r w:rsidRPr="0005379F">
        <w:rPr>
          <w:rFonts w:cs="Arial"/>
          <w:lang w:val="en-AU"/>
        </w:rPr>
        <w:t xml:space="preserve"> and nationally consistent agreements (whether struck nationally or otherwise) to continue the Closing the Gap Strategy. </w:t>
      </w:r>
    </w:p>
    <w:p w14:paraId="0A906F45" w14:textId="77777777" w:rsidR="00814869" w:rsidRPr="0005379F" w:rsidRDefault="00814869" w:rsidP="00DE6A27">
      <w:pPr>
        <w:spacing w:after="240"/>
        <w:rPr>
          <w:rFonts w:cs="Arial"/>
          <w:lang w:val="en-AU"/>
        </w:rPr>
      </w:pPr>
      <w:r w:rsidRPr="0005379F">
        <w:rPr>
          <w:rFonts w:cs="Arial"/>
          <w:lang w:val="en-AU"/>
        </w:rPr>
        <w:t>Maintaining a national and consistent effort under Australian Government leadership cou</w:t>
      </w:r>
      <w:r w:rsidR="00110561" w:rsidRPr="0005379F">
        <w:rPr>
          <w:rFonts w:cs="Arial"/>
          <w:lang w:val="en-AU"/>
        </w:rPr>
        <w:t>ld, to some degree, help immunis</w:t>
      </w:r>
      <w:r w:rsidRPr="0005379F">
        <w:rPr>
          <w:rFonts w:cs="Arial"/>
          <w:lang w:val="en-AU"/>
        </w:rPr>
        <w:t>e the effort to close the health gap from the ever-turning wheels of state and territory-level political fortune.</w:t>
      </w:r>
    </w:p>
    <w:tbl>
      <w:tblPr>
        <w:tblStyle w:val="TableGrid"/>
        <w:tblW w:w="0" w:type="auto"/>
        <w:tblLook w:val="04A0" w:firstRow="1" w:lastRow="0" w:firstColumn="1" w:lastColumn="0" w:noHBand="0" w:noVBand="1"/>
      </w:tblPr>
      <w:tblGrid>
        <w:gridCol w:w="9286"/>
      </w:tblGrid>
      <w:tr w:rsidR="00814869" w:rsidRPr="006A24D8" w14:paraId="1E059BC5" w14:textId="77777777" w:rsidTr="009B7505">
        <w:tc>
          <w:tcPr>
            <w:tcW w:w="9286" w:type="dxa"/>
            <w:shd w:val="clear" w:color="auto" w:fill="EEECE1" w:themeFill="background2"/>
          </w:tcPr>
          <w:p w14:paraId="620968C8" w14:textId="21CED2BA" w:rsidR="00814869" w:rsidRPr="005C672E" w:rsidRDefault="00814869" w:rsidP="00590D34">
            <w:pPr>
              <w:spacing w:after="0"/>
              <w:rPr>
                <w:rFonts w:cs="Calibri"/>
                <w:b/>
                <w:bCs/>
                <w:color w:val="000000"/>
                <w:lang w:val="en-AU"/>
              </w:rPr>
            </w:pPr>
            <w:r w:rsidRPr="005C672E">
              <w:rPr>
                <w:rFonts w:cs="Calibri"/>
                <w:b/>
                <w:bCs/>
                <w:color w:val="000000"/>
                <w:lang w:val="en-AU"/>
              </w:rPr>
              <w:t xml:space="preserve">Recommendation </w:t>
            </w:r>
            <w:r w:rsidR="00590D34">
              <w:rPr>
                <w:rFonts w:cs="Calibri"/>
                <w:b/>
                <w:bCs/>
                <w:color w:val="000000"/>
                <w:lang w:val="en-AU"/>
              </w:rPr>
              <w:t>2</w:t>
            </w:r>
            <w:r w:rsidRPr="005C672E">
              <w:rPr>
                <w:rFonts w:cs="Calibri"/>
                <w:b/>
                <w:bCs/>
                <w:color w:val="000000"/>
                <w:lang w:val="en-AU"/>
              </w:rPr>
              <w:t xml:space="preserve">: </w:t>
            </w:r>
            <w:r w:rsidR="00B92712" w:rsidRPr="00B92712">
              <w:rPr>
                <w:rFonts w:cs="Calibri"/>
                <w:b/>
                <w:bCs/>
                <w:color w:val="000000"/>
                <w:lang w:val="en-AU"/>
              </w:rPr>
              <w:t>That the Australian Government should continue to lead the COAG Closing the Gap Strategy.</w:t>
            </w:r>
          </w:p>
        </w:tc>
      </w:tr>
    </w:tbl>
    <w:p w14:paraId="5835A99C" w14:textId="77777777" w:rsidR="00814869" w:rsidRDefault="00814869" w:rsidP="006A7E17">
      <w:pPr>
        <w:rPr>
          <w:rFonts w:cs="Arial"/>
          <w:lang w:val="en-AU"/>
        </w:rPr>
      </w:pPr>
    </w:p>
    <w:tbl>
      <w:tblPr>
        <w:tblStyle w:val="TableGrid"/>
        <w:tblW w:w="0" w:type="auto"/>
        <w:tblLook w:val="04A0" w:firstRow="1" w:lastRow="0" w:firstColumn="1" w:lastColumn="0" w:noHBand="0" w:noVBand="1"/>
      </w:tblPr>
      <w:tblGrid>
        <w:gridCol w:w="9286"/>
      </w:tblGrid>
      <w:tr w:rsidR="006A7E17" w:rsidRPr="006A24D8" w14:paraId="15E6BE1E" w14:textId="77777777" w:rsidTr="00407F2F">
        <w:tc>
          <w:tcPr>
            <w:tcW w:w="9286" w:type="dxa"/>
            <w:shd w:val="clear" w:color="auto" w:fill="DBE5F1" w:themeFill="accent1" w:themeFillTint="33"/>
          </w:tcPr>
          <w:p w14:paraId="49CB7359" w14:textId="503BD3FC" w:rsidR="006A7E17" w:rsidRPr="0005379F" w:rsidRDefault="006A7E17" w:rsidP="00407F2F">
            <w:pPr>
              <w:spacing w:before="120" w:after="120"/>
              <w:rPr>
                <w:rFonts w:cs="Calibri"/>
                <w:b/>
                <w:bCs/>
                <w:color w:val="000000"/>
                <w:lang w:val="en-AU"/>
              </w:rPr>
            </w:pPr>
            <w:r>
              <w:rPr>
                <w:rFonts w:cs="Calibri"/>
                <w:b/>
                <w:bCs/>
                <w:color w:val="000000"/>
                <w:lang w:val="en-AU"/>
              </w:rPr>
              <w:t>E</w:t>
            </w:r>
            <w:r w:rsidRPr="0005379F">
              <w:rPr>
                <w:rFonts w:cs="Calibri"/>
                <w:b/>
                <w:bCs/>
                <w:color w:val="000000"/>
                <w:lang w:val="en-AU"/>
              </w:rPr>
              <w:t>lements of the Closing the Gap Strategy that have been discontinued in the past year</w:t>
            </w:r>
          </w:p>
          <w:p w14:paraId="1D1503B0" w14:textId="32B2F8F5" w:rsidR="006A7E17" w:rsidRPr="0005379F" w:rsidRDefault="006A7E17" w:rsidP="00407F2F">
            <w:pPr>
              <w:widowControl w:val="0"/>
              <w:autoSpaceDE w:val="0"/>
              <w:autoSpaceDN w:val="0"/>
              <w:adjustRightInd w:val="0"/>
              <w:spacing w:before="120" w:after="120"/>
              <w:rPr>
                <w:rFonts w:cs="Calibri"/>
                <w:bCs/>
                <w:color w:val="000000"/>
                <w:lang w:val="en-AU"/>
              </w:rPr>
            </w:pPr>
            <w:r w:rsidRPr="0005379F">
              <w:rPr>
                <w:rFonts w:cs="Calibri"/>
                <w:bCs/>
                <w:color w:val="000000"/>
                <w:lang w:val="en-AU"/>
              </w:rPr>
              <w:t>The Campaign Steering Committee is also concerned about the de-commissioning of the COAG Reform Council in the Budget measures for 2014-2015.</w:t>
            </w:r>
            <w:r w:rsidR="007B3EBD">
              <w:rPr>
                <w:rStyle w:val="EndnoteReference"/>
                <w:rFonts w:cs="Calibri"/>
                <w:bCs/>
                <w:color w:val="000000"/>
                <w:lang w:val="en-AU"/>
              </w:rPr>
              <w:endnoteReference w:id="146"/>
            </w:r>
            <w:r w:rsidRPr="0005379F">
              <w:rPr>
                <w:rFonts w:cs="Calibri"/>
                <w:bCs/>
                <w:color w:val="000000"/>
                <w:lang w:val="en-AU"/>
              </w:rPr>
              <w:t xml:space="preserve"> This </w:t>
            </w:r>
            <w:r>
              <w:rPr>
                <w:rFonts w:cs="Calibri"/>
                <w:bCs/>
                <w:color w:val="000000"/>
                <w:lang w:val="en-AU"/>
              </w:rPr>
              <w:t xml:space="preserve">independent </w:t>
            </w:r>
            <w:r w:rsidRPr="0005379F">
              <w:rPr>
                <w:rFonts w:cs="Calibri"/>
                <w:bCs/>
                <w:color w:val="000000"/>
                <w:lang w:val="en-AU"/>
              </w:rPr>
              <w:t>body has provided an authoritative annual report across many areas of COAG activity and</w:t>
            </w:r>
            <w:r w:rsidR="00437EE8">
              <w:rPr>
                <w:rFonts w:cs="Calibri"/>
                <w:bCs/>
                <w:color w:val="000000"/>
                <w:lang w:val="en-AU"/>
              </w:rPr>
              <w:t>,</w:t>
            </w:r>
            <w:r w:rsidRPr="0005379F">
              <w:rPr>
                <w:rFonts w:cs="Calibri"/>
                <w:bCs/>
                <w:color w:val="000000"/>
                <w:lang w:val="en-AU"/>
              </w:rPr>
              <w:t xml:space="preserve"> in particular, the Closing the Gap Strategy. </w:t>
            </w:r>
          </w:p>
          <w:p w14:paraId="4A3B2F0F" w14:textId="396F34CD" w:rsidR="006A7E17" w:rsidRPr="0005379F" w:rsidRDefault="006A7E17" w:rsidP="00407F2F">
            <w:pPr>
              <w:widowControl w:val="0"/>
              <w:autoSpaceDE w:val="0"/>
              <w:autoSpaceDN w:val="0"/>
              <w:adjustRightInd w:val="0"/>
              <w:spacing w:before="120" w:after="120"/>
              <w:rPr>
                <w:rFonts w:cs="Calibri"/>
                <w:bCs/>
                <w:color w:val="000000"/>
                <w:lang w:val="en-AU"/>
              </w:rPr>
            </w:pPr>
            <w:r w:rsidRPr="0005379F">
              <w:rPr>
                <w:rFonts w:cs="Calibri"/>
                <w:bCs/>
                <w:color w:val="000000"/>
                <w:lang w:val="en-AU"/>
              </w:rPr>
              <w:t>In relation to the Closing the Gap Strategy</w:t>
            </w:r>
            <w:r w:rsidR="00E42EFB">
              <w:rPr>
                <w:rFonts w:cs="Calibri"/>
                <w:bCs/>
                <w:color w:val="000000"/>
                <w:lang w:val="en-AU"/>
              </w:rPr>
              <w:t>,</w:t>
            </w:r>
            <w:r w:rsidRPr="0005379F">
              <w:rPr>
                <w:rFonts w:cs="Calibri"/>
                <w:bCs/>
                <w:color w:val="000000"/>
                <w:lang w:val="en-AU"/>
              </w:rPr>
              <w:t xml:space="preserve"> the COAG Reform Council was the only body that provided an independent and national assessment of progress against the Closing the Gap Targets – it independently monitored the perform</w:t>
            </w:r>
            <w:r w:rsidR="00E42EFB">
              <w:rPr>
                <w:rFonts w:cs="Calibri"/>
                <w:bCs/>
                <w:color w:val="000000"/>
                <w:lang w:val="en-AU"/>
              </w:rPr>
              <w:t>ance of the Australian and the s</w:t>
            </w:r>
            <w:r>
              <w:rPr>
                <w:rFonts w:cs="Calibri"/>
                <w:bCs/>
                <w:color w:val="000000"/>
                <w:lang w:val="en-AU"/>
              </w:rPr>
              <w:t xml:space="preserve">tate and </w:t>
            </w:r>
            <w:r w:rsidR="00E42EFB">
              <w:rPr>
                <w:rFonts w:cs="Calibri"/>
                <w:bCs/>
                <w:color w:val="000000"/>
                <w:lang w:val="en-AU"/>
              </w:rPr>
              <w:t>t</w:t>
            </w:r>
            <w:r w:rsidRPr="0005379F">
              <w:rPr>
                <w:rFonts w:cs="Calibri"/>
                <w:bCs/>
                <w:color w:val="000000"/>
                <w:lang w:val="en-AU"/>
              </w:rPr>
              <w:t xml:space="preserve">erritory governments. In this way it complemented </w:t>
            </w:r>
            <w:r w:rsidR="00437EE8">
              <w:rPr>
                <w:rFonts w:cs="Calibri"/>
                <w:bCs/>
                <w:color w:val="000000"/>
                <w:lang w:val="en-AU"/>
              </w:rPr>
              <w:t xml:space="preserve">– </w:t>
            </w:r>
            <w:r w:rsidRPr="0005379F">
              <w:rPr>
                <w:rFonts w:cs="Calibri"/>
                <w:bCs/>
                <w:color w:val="000000"/>
                <w:lang w:val="en-AU"/>
              </w:rPr>
              <w:t xml:space="preserve">not duplicated </w:t>
            </w:r>
            <w:r w:rsidR="00437EE8">
              <w:rPr>
                <w:rFonts w:cs="Calibri"/>
                <w:bCs/>
                <w:color w:val="000000"/>
                <w:lang w:val="en-AU"/>
              </w:rPr>
              <w:t xml:space="preserve">– </w:t>
            </w:r>
            <w:r w:rsidRPr="0005379F">
              <w:rPr>
                <w:rFonts w:cs="Calibri"/>
                <w:bCs/>
                <w:color w:val="000000"/>
                <w:lang w:val="en-AU"/>
              </w:rPr>
              <w:t>the</w:t>
            </w:r>
            <w:r w:rsidR="00437EE8">
              <w:rPr>
                <w:rFonts w:cs="Calibri"/>
                <w:bCs/>
                <w:color w:val="000000"/>
                <w:lang w:val="en-AU"/>
              </w:rPr>
              <w:t xml:space="preserve"> </w:t>
            </w:r>
            <w:r w:rsidRPr="0005379F">
              <w:rPr>
                <w:rFonts w:cs="Calibri"/>
                <w:bCs/>
                <w:color w:val="000000"/>
                <w:lang w:val="en-AU"/>
              </w:rPr>
              <w:t xml:space="preserve">Prime Minister’s annual progress report. The Department of the Prime Minister and Cabinet’s Portfolio Budget Statement indicated, that with the abolition of the COAG Reform Council, it would continue </w:t>
            </w:r>
            <w:r>
              <w:rPr>
                <w:rFonts w:cs="Calibri"/>
                <w:bCs/>
                <w:color w:val="000000"/>
                <w:lang w:val="en-AU"/>
              </w:rPr>
              <w:t xml:space="preserve">to </w:t>
            </w:r>
            <w:r w:rsidR="00F11A02">
              <w:rPr>
                <w:rFonts w:cs="Calibri"/>
                <w:bCs/>
                <w:color w:val="000000"/>
                <w:lang w:val="en-AU"/>
              </w:rPr>
              <w:t>monitor state and t</w:t>
            </w:r>
            <w:r w:rsidRPr="0005379F">
              <w:rPr>
                <w:rFonts w:cs="Calibri"/>
                <w:bCs/>
                <w:color w:val="000000"/>
                <w:lang w:val="en-AU"/>
              </w:rPr>
              <w:t>erritory performance.</w:t>
            </w:r>
            <w:r w:rsidRPr="0005379F">
              <w:rPr>
                <w:rStyle w:val="EndnoteReference"/>
                <w:rFonts w:cs="Calibri"/>
                <w:bCs/>
                <w:color w:val="000000"/>
                <w:lang w:val="en-AU"/>
              </w:rPr>
              <w:endnoteReference w:id="147"/>
            </w:r>
            <w:r w:rsidRPr="0005379F">
              <w:rPr>
                <w:rFonts w:cs="Calibri"/>
                <w:bCs/>
                <w:color w:val="000000"/>
                <w:lang w:val="en-AU"/>
              </w:rPr>
              <w:t xml:space="preserve"> The Campaign Steering Committee is concerned that this does not clarify how independent and national</w:t>
            </w:r>
            <w:r w:rsidR="00F11A02">
              <w:rPr>
                <w:rFonts w:cs="Calibri"/>
                <w:bCs/>
                <w:color w:val="000000"/>
                <w:lang w:val="en-AU"/>
              </w:rPr>
              <w:t>-level</w:t>
            </w:r>
            <w:r w:rsidRPr="0005379F">
              <w:rPr>
                <w:rFonts w:cs="Calibri"/>
                <w:bCs/>
                <w:color w:val="000000"/>
                <w:lang w:val="en-AU"/>
              </w:rPr>
              <w:t xml:space="preserve"> annual public reporting on progress against the Closing the Gap Targets will occur. </w:t>
            </w:r>
          </w:p>
          <w:p w14:paraId="5B892E29" w14:textId="3544D904" w:rsidR="006A7E17" w:rsidRPr="0005379F" w:rsidRDefault="006A7E17" w:rsidP="00407F2F">
            <w:pPr>
              <w:widowControl w:val="0"/>
              <w:autoSpaceDE w:val="0"/>
              <w:autoSpaceDN w:val="0"/>
              <w:adjustRightInd w:val="0"/>
              <w:spacing w:before="120" w:after="120"/>
              <w:rPr>
                <w:rFonts w:cs="Calibri"/>
                <w:bCs/>
                <w:color w:val="000000"/>
                <w:lang w:val="en-AU"/>
              </w:rPr>
            </w:pPr>
            <w:r w:rsidRPr="0005379F">
              <w:rPr>
                <w:rFonts w:cs="Calibri"/>
                <w:bCs/>
                <w:color w:val="000000"/>
                <w:lang w:val="en-AU"/>
              </w:rPr>
              <w:t xml:space="preserve">Given the importance of strengthening efforts to close the Aboriginal and Torres Strait Islander health gap and disadvantage more broadly, the lack of clarity around who will report in future on </w:t>
            </w:r>
            <w:hyperlink r:id="rId11" w:history="1">
              <w:r w:rsidRPr="0005379F">
                <w:rPr>
                  <w:rFonts w:cs="Calibri"/>
                  <w:bCs/>
                  <w:color w:val="000000"/>
                  <w:lang w:val="en-AU"/>
                </w:rPr>
                <w:t>the Closing the Gap Strategy</w:t>
              </w:r>
            </w:hyperlink>
            <w:r w:rsidR="00425D5C">
              <w:rPr>
                <w:rFonts w:cs="Calibri"/>
                <w:bCs/>
                <w:color w:val="000000"/>
                <w:lang w:val="en-AU"/>
              </w:rPr>
              <w:t xml:space="preserve"> is of great concern. The</w:t>
            </w:r>
            <w:r w:rsidRPr="0005379F">
              <w:rPr>
                <w:rFonts w:cs="Calibri"/>
                <w:bCs/>
                <w:color w:val="000000"/>
                <w:lang w:val="en-AU"/>
              </w:rPr>
              <w:t xml:space="preserve"> ongoing need for this important monitoring role </w:t>
            </w:r>
            <w:r>
              <w:rPr>
                <w:rFonts w:cs="Calibri"/>
                <w:bCs/>
                <w:color w:val="000000"/>
                <w:lang w:val="en-AU"/>
              </w:rPr>
              <w:t xml:space="preserve">should </w:t>
            </w:r>
            <w:r w:rsidRPr="0005379F">
              <w:rPr>
                <w:rFonts w:cs="Calibri"/>
                <w:bCs/>
                <w:color w:val="000000"/>
                <w:lang w:val="en-AU"/>
              </w:rPr>
              <w:t>be addressed by the Australian Government as a priority.</w:t>
            </w:r>
          </w:p>
          <w:p w14:paraId="38BCC153" w14:textId="77777777" w:rsidR="006A7E17" w:rsidRPr="0005379F" w:rsidRDefault="006A7E17" w:rsidP="00407F2F">
            <w:pPr>
              <w:spacing w:before="120" w:after="120"/>
              <w:rPr>
                <w:rFonts w:cs="Calibri"/>
                <w:bCs/>
                <w:color w:val="000000"/>
                <w:lang w:val="en-AU"/>
              </w:rPr>
            </w:pPr>
            <w:r w:rsidRPr="0005379F">
              <w:rPr>
                <w:rFonts w:cs="Calibri"/>
                <w:bCs/>
                <w:color w:val="000000"/>
                <w:lang w:val="en-AU"/>
              </w:rPr>
              <w:t xml:space="preserve">Further, the Campaign Steering Committee also emphasises its concern that the Australian Government will provide no further funds to the Closing the Gap Clearinghouse. </w:t>
            </w:r>
            <w:r>
              <w:rPr>
                <w:rFonts w:cs="Calibri"/>
                <w:bCs/>
                <w:color w:val="000000"/>
                <w:lang w:val="en-AU"/>
              </w:rPr>
              <w:t>Since its establishment in 2007 t</w:t>
            </w:r>
            <w:r w:rsidRPr="0005379F">
              <w:rPr>
                <w:rFonts w:cs="Calibri"/>
                <w:bCs/>
                <w:color w:val="000000"/>
                <w:lang w:val="en-AU"/>
              </w:rPr>
              <w:t>he Clearinghouse has played an important role in establishing and setting out the evidence base for the Closing the Gap Strategy.</w:t>
            </w:r>
            <w:r w:rsidRPr="0005379F">
              <w:rPr>
                <w:rStyle w:val="EndnoteReference"/>
                <w:rFonts w:cs="Calibri"/>
                <w:bCs/>
                <w:color w:val="000000"/>
                <w:lang w:val="en-AU"/>
              </w:rPr>
              <w:endnoteReference w:id="148"/>
            </w:r>
            <w:r w:rsidRPr="0005379F">
              <w:rPr>
                <w:rFonts w:cs="Calibri"/>
                <w:bCs/>
                <w:color w:val="000000"/>
                <w:lang w:val="en-AU"/>
              </w:rPr>
              <w:t xml:space="preserve"> </w:t>
            </w:r>
          </w:p>
          <w:p w14:paraId="3C514C3E" w14:textId="0DCC3243" w:rsidR="006A7E17" w:rsidRPr="0005379F" w:rsidRDefault="006A7E17" w:rsidP="00407F2F">
            <w:pPr>
              <w:keepNext/>
              <w:keepLines/>
              <w:spacing w:before="120" w:after="120"/>
              <w:outlineLvl w:val="6"/>
              <w:rPr>
                <w:rFonts w:cs="Calibri"/>
                <w:bCs/>
                <w:color w:val="000000"/>
                <w:lang w:val="en-AU"/>
              </w:rPr>
            </w:pPr>
            <w:r w:rsidRPr="0005379F">
              <w:rPr>
                <w:rFonts w:cs="Calibri"/>
                <w:bCs/>
                <w:color w:val="000000"/>
                <w:lang w:val="en-AU"/>
              </w:rPr>
              <w:t xml:space="preserve">The </w:t>
            </w:r>
            <w:r>
              <w:rPr>
                <w:rFonts w:cs="Calibri"/>
                <w:bCs/>
                <w:color w:val="000000"/>
                <w:lang w:val="en-AU"/>
              </w:rPr>
              <w:t>Australian</w:t>
            </w:r>
            <w:r w:rsidRPr="0005379F">
              <w:rPr>
                <w:rFonts w:cs="Calibri"/>
                <w:bCs/>
                <w:color w:val="000000"/>
                <w:lang w:val="en-AU"/>
              </w:rPr>
              <w:t xml:space="preserve"> Government has also discontinued the </w:t>
            </w:r>
            <w:r w:rsidRPr="00DD5423">
              <w:rPr>
                <w:rFonts w:cs="Calibri"/>
                <w:bCs/>
                <w:color w:val="000000"/>
                <w:lang w:val="en-AU"/>
              </w:rPr>
              <w:t>National Indigenous Drug and Alcohol Committee, with its functions to be absorbed within the Austr</w:t>
            </w:r>
            <w:r>
              <w:rPr>
                <w:rFonts w:cs="Calibri"/>
                <w:bCs/>
                <w:color w:val="000000"/>
                <w:lang w:val="en-AU"/>
              </w:rPr>
              <w:t>alian National Council on Drugs.</w:t>
            </w:r>
            <w:r w:rsidR="00425D5C">
              <w:rPr>
                <w:rStyle w:val="EndnoteReference"/>
                <w:rFonts w:cs="Calibri"/>
                <w:bCs/>
                <w:color w:val="000000"/>
                <w:lang w:val="en-AU"/>
              </w:rPr>
              <w:endnoteReference w:id="149"/>
            </w:r>
            <w:r>
              <w:rPr>
                <w:rFonts w:cs="Calibri"/>
                <w:bCs/>
                <w:color w:val="000000"/>
                <w:lang w:val="en-AU"/>
              </w:rPr>
              <w:t xml:space="preserve"> This will further limit the G</w:t>
            </w:r>
            <w:r w:rsidRPr="0005379F">
              <w:rPr>
                <w:rFonts w:cs="Calibri"/>
                <w:bCs/>
                <w:color w:val="000000"/>
                <w:lang w:val="en-AU"/>
              </w:rPr>
              <w:t xml:space="preserve">overnment’s access to Aboriginal and Torres Strait Islander specialist advice and leadership. </w:t>
            </w:r>
            <w:r>
              <w:rPr>
                <w:rFonts w:cs="Calibri"/>
                <w:bCs/>
                <w:color w:val="000000"/>
              </w:rPr>
              <w:t>Regrettably the decision</w:t>
            </w:r>
            <w:r w:rsidRPr="0091393D">
              <w:rPr>
                <w:rFonts w:cs="Calibri"/>
                <w:bCs/>
                <w:color w:val="000000"/>
              </w:rPr>
              <w:t xml:space="preserve"> means </w:t>
            </w:r>
            <w:r>
              <w:rPr>
                <w:rFonts w:cs="Calibri"/>
                <w:bCs/>
                <w:color w:val="000000"/>
              </w:rPr>
              <w:t xml:space="preserve">there is now no national voice or </w:t>
            </w:r>
            <w:r w:rsidRPr="0091393D">
              <w:rPr>
                <w:rFonts w:cs="Calibri"/>
                <w:bCs/>
                <w:color w:val="000000"/>
              </w:rPr>
              <w:t xml:space="preserve">committee on </w:t>
            </w:r>
            <w:r>
              <w:rPr>
                <w:rFonts w:cs="Calibri"/>
                <w:bCs/>
                <w:color w:val="000000"/>
              </w:rPr>
              <w:t>alcohol and other drugs</w:t>
            </w:r>
            <w:r w:rsidRPr="0091393D">
              <w:rPr>
                <w:rFonts w:cs="Calibri"/>
                <w:bCs/>
                <w:color w:val="000000"/>
              </w:rPr>
              <w:t xml:space="preserve"> for </w:t>
            </w:r>
            <w:r>
              <w:rPr>
                <w:rFonts w:cs="Calibri"/>
                <w:bCs/>
                <w:color w:val="000000"/>
              </w:rPr>
              <w:t>Aboriginal and Torres Strait Islander</w:t>
            </w:r>
            <w:r w:rsidRPr="0091393D">
              <w:rPr>
                <w:rFonts w:cs="Calibri"/>
                <w:bCs/>
                <w:color w:val="000000"/>
              </w:rPr>
              <w:t xml:space="preserve"> people</w:t>
            </w:r>
            <w:r w:rsidR="00CB54DE">
              <w:rPr>
                <w:rFonts w:cs="Calibri"/>
                <w:bCs/>
                <w:color w:val="000000"/>
              </w:rPr>
              <w:t>s</w:t>
            </w:r>
            <w:r>
              <w:rPr>
                <w:rFonts w:cs="Calibri"/>
                <w:bCs/>
                <w:color w:val="000000"/>
              </w:rPr>
              <w:t>.</w:t>
            </w:r>
          </w:p>
        </w:tc>
      </w:tr>
    </w:tbl>
    <w:p w14:paraId="61352668" w14:textId="77777777" w:rsidR="006A7E17" w:rsidRDefault="006A7E17" w:rsidP="006A7E17">
      <w:pPr>
        <w:rPr>
          <w:rFonts w:cs="Arial"/>
          <w:lang w:val="en-AU"/>
        </w:rPr>
      </w:pPr>
    </w:p>
    <w:tbl>
      <w:tblPr>
        <w:tblStyle w:val="TableGrid"/>
        <w:tblW w:w="0" w:type="auto"/>
        <w:tblLook w:val="04A0" w:firstRow="1" w:lastRow="0" w:firstColumn="1" w:lastColumn="0" w:noHBand="0" w:noVBand="1"/>
      </w:tblPr>
      <w:tblGrid>
        <w:gridCol w:w="9286"/>
      </w:tblGrid>
      <w:tr w:rsidR="006A7E17" w:rsidRPr="006A24D8" w14:paraId="5F266763" w14:textId="77777777" w:rsidTr="00407F2F">
        <w:tc>
          <w:tcPr>
            <w:tcW w:w="9286" w:type="dxa"/>
            <w:shd w:val="clear" w:color="auto" w:fill="EEECE1" w:themeFill="background2"/>
          </w:tcPr>
          <w:p w14:paraId="54B5D7D8" w14:textId="067EE3CC" w:rsidR="006A7E17" w:rsidRPr="005C672E" w:rsidRDefault="006A7E17" w:rsidP="006A7E17">
            <w:pPr>
              <w:spacing w:after="0"/>
              <w:rPr>
                <w:rFonts w:cs="Calibri"/>
                <w:b/>
                <w:bCs/>
                <w:color w:val="000000"/>
                <w:lang w:val="en-AU"/>
              </w:rPr>
            </w:pPr>
            <w:r w:rsidRPr="005C672E">
              <w:rPr>
                <w:rFonts w:cs="Calibri"/>
                <w:b/>
                <w:bCs/>
                <w:color w:val="000000"/>
                <w:lang w:val="en-AU"/>
              </w:rPr>
              <w:t xml:space="preserve">Recommendation </w:t>
            </w:r>
            <w:r>
              <w:rPr>
                <w:rFonts w:cs="Calibri"/>
                <w:b/>
                <w:bCs/>
                <w:color w:val="000000"/>
                <w:lang w:val="en-AU"/>
              </w:rPr>
              <w:t>3</w:t>
            </w:r>
            <w:r w:rsidRPr="005C672E">
              <w:rPr>
                <w:rFonts w:cs="Calibri"/>
                <w:b/>
                <w:bCs/>
                <w:color w:val="000000"/>
                <w:lang w:val="en-AU"/>
              </w:rPr>
              <w:t xml:space="preserve">: </w:t>
            </w:r>
            <w:r w:rsidRPr="00B92712">
              <w:rPr>
                <w:rFonts w:cs="Calibri"/>
                <w:b/>
                <w:bCs/>
                <w:color w:val="000000"/>
                <w:lang w:val="en-AU"/>
              </w:rPr>
              <w:t xml:space="preserve">That the Australian Government </w:t>
            </w:r>
            <w:r>
              <w:rPr>
                <w:rFonts w:cs="Calibri"/>
                <w:b/>
                <w:bCs/>
                <w:color w:val="000000"/>
                <w:lang w:val="en-AU"/>
              </w:rPr>
              <w:t>revisit its decision to discontinue the National Indigenous Drug and Alcohol Committee</w:t>
            </w:r>
            <w:r w:rsidRPr="00B92712">
              <w:rPr>
                <w:rFonts w:cs="Calibri"/>
                <w:b/>
                <w:bCs/>
                <w:color w:val="000000"/>
                <w:lang w:val="en-AU"/>
              </w:rPr>
              <w:t>.</w:t>
            </w:r>
          </w:p>
        </w:tc>
      </w:tr>
    </w:tbl>
    <w:p w14:paraId="5F0395C2" w14:textId="77777777" w:rsidR="00814869" w:rsidRPr="0005379F" w:rsidRDefault="00814869" w:rsidP="00C73B7D">
      <w:pPr>
        <w:pStyle w:val="Heading2"/>
        <w:rPr>
          <w:lang w:val="en-AU"/>
        </w:rPr>
      </w:pPr>
      <w:bookmarkStart w:id="24" w:name="_Toc409788729"/>
      <w:r w:rsidRPr="0005379F">
        <w:rPr>
          <w:lang w:val="en-AU"/>
        </w:rPr>
        <w:lastRenderedPageBreak/>
        <w:t>The Indigenous Advancement Strategy and the Closing the Gap Strategy</w:t>
      </w:r>
      <w:bookmarkEnd w:id="24"/>
    </w:p>
    <w:p w14:paraId="279519C1" w14:textId="77777777" w:rsidR="00814869" w:rsidRPr="0005379F" w:rsidRDefault="00814869" w:rsidP="009961B4">
      <w:pPr>
        <w:autoSpaceDE w:val="0"/>
        <w:autoSpaceDN w:val="0"/>
        <w:adjustRightInd w:val="0"/>
        <w:spacing w:before="240" w:after="240"/>
        <w:ind w:left="720"/>
        <w:jc w:val="center"/>
        <w:rPr>
          <w:rFonts w:asciiTheme="majorHAnsi" w:hAnsiTheme="majorHAnsi" w:cs="Calibri"/>
          <w:bCs/>
          <w:color w:val="000000"/>
          <w:lang w:val="en-AU"/>
        </w:rPr>
      </w:pPr>
      <w:r w:rsidRPr="0005379F">
        <w:rPr>
          <w:rFonts w:asciiTheme="majorHAnsi" w:hAnsiTheme="majorHAnsi" w:cs="Calibri"/>
          <w:bCs/>
          <w:i/>
          <w:color w:val="000000"/>
          <w:lang w:val="en-AU"/>
        </w:rPr>
        <w:t xml:space="preserve">The new policy framework developed by COAG (as reflected in the National Indigenous Reform Agreement and the Closing the Gap strategy) represents a comprehensive, coherent and ambitious agenda for reform. The key challenge from this point </w:t>
      </w:r>
      <w:proofErr w:type="gramStart"/>
      <w:r w:rsidRPr="0005379F">
        <w:rPr>
          <w:rFonts w:asciiTheme="majorHAnsi" w:hAnsiTheme="majorHAnsi" w:cs="Calibri"/>
          <w:bCs/>
          <w:i/>
          <w:color w:val="000000"/>
          <w:lang w:val="en-AU"/>
        </w:rPr>
        <w:t>lies</w:t>
      </w:r>
      <w:proofErr w:type="gramEnd"/>
      <w:r w:rsidRPr="0005379F">
        <w:rPr>
          <w:rFonts w:asciiTheme="majorHAnsi" w:hAnsiTheme="majorHAnsi" w:cs="Calibri"/>
          <w:bCs/>
          <w:i/>
          <w:color w:val="000000"/>
          <w:lang w:val="en-AU"/>
        </w:rPr>
        <w:t xml:space="preserve"> not so much in further policy development as in effective implementation and delivery</w:t>
      </w:r>
      <w:r w:rsidR="0071401E" w:rsidRPr="0005379F">
        <w:rPr>
          <w:rFonts w:asciiTheme="majorHAnsi" w:hAnsiTheme="majorHAnsi" w:cs="Calibri"/>
          <w:bCs/>
          <w:i/>
          <w:color w:val="000000"/>
          <w:lang w:val="en-AU"/>
        </w:rPr>
        <w:t>.</w:t>
      </w:r>
      <w:r w:rsidR="0071401E" w:rsidRPr="0005379F">
        <w:rPr>
          <w:rStyle w:val="EndnoteReference"/>
          <w:rFonts w:cs="Calibri"/>
          <w:bCs/>
          <w:color w:val="000000"/>
          <w:szCs w:val="16"/>
          <w:lang w:val="en-AU"/>
        </w:rPr>
        <w:endnoteReference w:id="150"/>
      </w:r>
    </w:p>
    <w:p w14:paraId="1E09D8A2" w14:textId="77777777" w:rsidR="00814869" w:rsidRPr="0005379F" w:rsidRDefault="00814869" w:rsidP="009961B4">
      <w:pPr>
        <w:autoSpaceDE w:val="0"/>
        <w:autoSpaceDN w:val="0"/>
        <w:adjustRightInd w:val="0"/>
        <w:spacing w:before="240" w:after="240"/>
        <w:ind w:left="720"/>
        <w:jc w:val="center"/>
        <w:rPr>
          <w:rFonts w:asciiTheme="majorHAnsi" w:hAnsiTheme="majorHAnsi" w:cs="Calibri"/>
          <w:bCs/>
          <w:i/>
          <w:color w:val="000000"/>
          <w:sz w:val="16"/>
          <w:szCs w:val="16"/>
          <w:lang w:val="en-AU"/>
        </w:rPr>
      </w:pPr>
      <w:r w:rsidRPr="0005379F">
        <w:rPr>
          <w:rFonts w:asciiTheme="majorHAnsi" w:hAnsiTheme="majorHAnsi" w:cs="Calibri"/>
          <w:bCs/>
          <w:color w:val="000000"/>
          <w:sz w:val="16"/>
          <w:szCs w:val="16"/>
          <w:lang w:val="en-AU"/>
        </w:rPr>
        <w:t>Strategic Review of Indigenous Expenditure</w:t>
      </w:r>
    </w:p>
    <w:p w14:paraId="7AC87851" w14:textId="77777777" w:rsidR="00814869" w:rsidRPr="0005379F" w:rsidRDefault="00814869" w:rsidP="00C73B7D">
      <w:pPr>
        <w:widowControl w:val="0"/>
        <w:autoSpaceDE w:val="0"/>
        <w:autoSpaceDN w:val="0"/>
        <w:adjustRightInd w:val="0"/>
        <w:spacing w:before="240" w:after="240"/>
        <w:rPr>
          <w:rFonts w:asciiTheme="majorHAnsi" w:hAnsiTheme="majorHAnsi" w:cs="Calibri"/>
          <w:bCs/>
          <w:lang w:val="en-AU"/>
        </w:rPr>
      </w:pPr>
      <w:r w:rsidRPr="0005379F">
        <w:rPr>
          <w:rFonts w:asciiTheme="majorHAnsi" w:hAnsiTheme="majorHAnsi" w:cs="Calibri"/>
          <w:bCs/>
          <w:lang w:val="en-AU"/>
        </w:rPr>
        <w:t xml:space="preserve">The Indigenous Affairs priorities of the </w:t>
      </w:r>
      <w:r w:rsidR="008A4A42" w:rsidRPr="0005379F">
        <w:rPr>
          <w:rFonts w:asciiTheme="majorHAnsi" w:hAnsiTheme="majorHAnsi" w:cs="Calibri"/>
          <w:bCs/>
          <w:lang w:val="en-AU"/>
        </w:rPr>
        <w:t>Australian</w:t>
      </w:r>
      <w:r w:rsidRPr="0005379F">
        <w:rPr>
          <w:rFonts w:asciiTheme="majorHAnsi" w:hAnsiTheme="majorHAnsi" w:cs="Calibri"/>
          <w:bCs/>
          <w:lang w:val="en-AU"/>
        </w:rPr>
        <w:t xml:space="preserve"> Government are:</w:t>
      </w:r>
    </w:p>
    <w:p w14:paraId="77BCC7D7" w14:textId="77777777" w:rsidR="00814869" w:rsidRPr="0005379F" w:rsidRDefault="00814869" w:rsidP="00644563">
      <w:pPr>
        <w:pStyle w:val="ListParagraph"/>
        <w:widowControl w:val="0"/>
        <w:numPr>
          <w:ilvl w:val="0"/>
          <w:numId w:val="24"/>
        </w:numPr>
        <w:autoSpaceDE w:val="0"/>
        <w:autoSpaceDN w:val="0"/>
        <w:adjustRightInd w:val="0"/>
        <w:spacing w:before="120" w:after="120"/>
        <w:ind w:left="357" w:hanging="357"/>
        <w:contextualSpacing w:val="0"/>
        <w:rPr>
          <w:rFonts w:asciiTheme="majorHAnsi" w:hAnsiTheme="majorHAnsi" w:cs="Calibri"/>
          <w:bCs/>
          <w:lang w:val="en-AU"/>
        </w:rPr>
      </w:pPr>
      <w:r w:rsidRPr="0005379F">
        <w:rPr>
          <w:rFonts w:asciiTheme="majorHAnsi" w:hAnsiTheme="majorHAnsi" w:cs="Calibri"/>
          <w:bCs/>
          <w:lang w:val="en-AU"/>
        </w:rPr>
        <w:t>Getting children to school;</w:t>
      </w:r>
    </w:p>
    <w:p w14:paraId="204B6C3B" w14:textId="77777777" w:rsidR="00814869" w:rsidRPr="0005379F" w:rsidRDefault="00814869" w:rsidP="00644563">
      <w:pPr>
        <w:pStyle w:val="ListParagraph"/>
        <w:widowControl w:val="0"/>
        <w:numPr>
          <w:ilvl w:val="0"/>
          <w:numId w:val="24"/>
        </w:numPr>
        <w:autoSpaceDE w:val="0"/>
        <w:autoSpaceDN w:val="0"/>
        <w:adjustRightInd w:val="0"/>
        <w:spacing w:before="120" w:after="120"/>
        <w:ind w:left="357" w:hanging="357"/>
        <w:contextualSpacing w:val="0"/>
        <w:rPr>
          <w:rFonts w:asciiTheme="majorHAnsi" w:hAnsiTheme="majorHAnsi" w:cs="Calibri"/>
          <w:bCs/>
          <w:lang w:val="en-AU"/>
        </w:rPr>
      </w:pPr>
      <w:r w:rsidRPr="0005379F">
        <w:rPr>
          <w:rFonts w:asciiTheme="majorHAnsi" w:hAnsiTheme="majorHAnsi" w:cs="Calibri"/>
          <w:bCs/>
          <w:lang w:val="en-AU"/>
        </w:rPr>
        <w:t xml:space="preserve">Getting adults to work; and </w:t>
      </w:r>
    </w:p>
    <w:p w14:paraId="0883E748" w14:textId="77777777" w:rsidR="00814869" w:rsidRPr="0005379F" w:rsidRDefault="00814869" w:rsidP="00644563">
      <w:pPr>
        <w:pStyle w:val="Pa3"/>
        <w:numPr>
          <w:ilvl w:val="0"/>
          <w:numId w:val="24"/>
        </w:numPr>
        <w:spacing w:before="120" w:after="120" w:line="240" w:lineRule="auto"/>
        <w:ind w:left="357" w:hanging="357"/>
        <w:rPr>
          <w:rFonts w:asciiTheme="majorHAnsi" w:eastAsia="Calibri" w:hAnsiTheme="majorHAnsi" w:cs="Calibri"/>
          <w:bCs/>
          <w:sz w:val="22"/>
          <w:szCs w:val="22"/>
          <w:lang w:val="en-AU"/>
        </w:rPr>
      </w:pPr>
      <w:r w:rsidRPr="0005379F">
        <w:rPr>
          <w:rFonts w:asciiTheme="majorHAnsi" w:eastAsia="Calibri" w:hAnsiTheme="majorHAnsi" w:cs="Calibri"/>
          <w:bCs/>
          <w:sz w:val="22"/>
          <w:szCs w:val="22"/>
          <w:lang w:val="en-AU"/>
        </w:rPr>
        <w:t>Building safer Indigenous communities.</w:t>
      </w:r>
      <w:r w:rsidRPr="0005379F">
        <w:rPr>
          <w:rStyle w:val="EndnoteReference"/>
          <w:rFonts w:eastAsia="Calibri" w:cs="Calibri"/>
          <w:bCs/>
          <w:szCs w:val="22"/>
          <w:lang w:val="en-AU"/>
        </w:rPr>
        <w:endnoteReference w:id="151"/>
      </w:r>
    </w:p>
    <w:p w14:paraId="474C7273" w14:textId="63E42C26" w:rsidR="00814869" w:rsidRPr="0005379F" w:rsidRDefault="00814869" w:rsidP="00C73B7D">
      <w:pPr>
        <w:widowControl w:val="0"/>
        <w:autoSpaceDE w:val="0"/>
        <w:autoSpaceDN w:val="0"/>
        <w:adjustRightInd w:val="0"/>
        <w:spacing w:before="240" w:after="240"/>
        <w:rPr>
          <w:rFonts w:asciiTheme="majorHAnsi" w:hAnsiTheme="majorHAnsi" w:cs="Calibri"/>
          <w:bCs/>
          <w:lang w:val="en-AU"/>
        </w:rPr>
      </w:pPr>
      <w:r w:rsidRPr="0005379F">
        <w:rPr>
          <w:rFonts w:asciiTheme="majorHAnsi" w:hAnsiTheme="majorHAnsi" w:cs="Calibri"/>
          <w:bCs/>
          <w:lang w:val="en-AU"/>
        </w:rPr>
        <w:t xml:space="preserve">The Indigenous Advancement Strategy (IAS) is the vehicle for delivering these three priority objectives. </w:t>
      </w:r>
      <w:r w:rsidR="009A737A">
        <w:rPr>
          <w:rFonts w:asciiTheme="majorHAnsi" w:hAnsiTheme="majorHAnsi" w:cs="Calibri"/>
          <w:bCs/>
          <w:lang w:val="en-AU"/>
        </w:rPr>
        <w:t>The IAS commenced</w:t>
      </w:r>
      <w:r w:rsidRPr="0005379F">
        <w:rPr>
          <w:rFonts w:asciiTheme="majorHAnsi" w:hAnsiTheme="majorHAnsi" w:cs="Calibri"/>
          <w:bCs/>
          <w:lang w:val="en-AU"/>
        </w:rPr>
        <w:t xml:space="preserve"> on 1 July 2014 and consolidated more than 150 individual programmes and activities into five broad-based programme streams that are being coordinated from the Department of the Prime Minister and Cabinet (PM&amp;C). It does not include the bulk of health and mental health programmes that remain locat</w:t>
      </w:r>
      <w:r w:rsidR="00DD5423">
        <w:rPr>
          <w:rFonts w:asciiTheme="majorHAnsi" w:hAnsiTheme="majorHAnsi" w:cs="Calibri"/>
          <w:bCs/>
          <w:lang w:val="en-AU"/>
        </w:rPr>
        <w:t xml:space="preserve">ed in the Department of Health. The primary </w:t>
      </w:r>
      <w:r w:rsidRPr="0005379F">
        <w:rPr>
          <w:rFonts w:asciiTheme="majorHAnsi" w:hAnsiTheme="majorHAnsi" w:cs="Calibri"/>
          <w:bCs/>
          <w:lang w:val="en-AU"/>
        </w:rPr>
        <w:t xml:space="preserve">exception </w:t>
      </w:r>
      <w:r w:rsidR="00DD5423">
        <w:rPr>
          <w:rFonts w:asciiTheme="majorHAnsi" w:hAnsiTheme="majorHAnsi" w:cs="Calibri"/>
          <w:bCs/>
          <w:lang w:val="en-AU"/>
        </w:rPr>
        <w:t>is</w:t>
      </w:r>
      <w:r w:rsidRPr="0005379F">
        <w:rPr>
          <w:rFonts w:asciiTheme="majorHAnsi" w:hAnsiTheme="majorHAnsi" w:cs="Calibri"/>
          <w:bCs/>
          <w:lang w:val="en-AU"/>
        </w:rPr>
        <w:t xml:space="preserve"> the ‘Social and Emotional Wellbeing Programme’ which was transferred to PM&amp;C.</w:t>
      </w:r>
      <w:r w:rsidR="009A737A">
        <w:rPr>
          <w:rStyle w:val="EndnoteReference"/>
          <w:rFonts w:cs="Calibri"/>
          <w:bCs/>
          <w:lang w:val="en-AU"/>
        </w:rPr>
        <w:endnoteReference w:id="152"/>
      </w:r>
      <w:r w:rsidRPr="0005379F">
        <w:rPr>
          <w:rFonts w:asciiTheme="majorHAnsi" w:hAnsiTheme="majorHAnsi" w:cs="Calibri"/>
          <w:bCs/>
          <w:lang w:val="en-AU"/>
        </w:rPr>
        <w:t xml:space="preserve">  </w:t>
      </w:r>
    </w:p>
    <w:p w14:paraId="5ACF6F95" w14:textId="77777777" w:rsidR="00814869" w:rsidRPr="0005379F" w:rsidRDefault="00814869" w:rsidP="00C73B7D">
      <w:pPr>
        <w:widowControl w:val="0"/>
        <w:autoSpaceDE w:val="0"/>
        <w:autoSpaceDN w:val="0"/>
        <w:adjustRightInd w:val="0"/>
        <w:spacing w:before="240" w:after="240"/>
        <w:rPr>
          <w:rFonts w:asciiTheme="majorHAnsi" w:hAnsiTheme="majorHAnsi" w:cs="Calibri"/>
          <w:bCs/>
          <w:color w:val="000000"/>
          <w:lang w:val="en-AU"/>
        </w:rPr>
      </w:pPr>
      <w:r w:rsidRPr="0005379F">
        <w:rPr>
          <w:rFonts w:asciiTheme="majorHAnsi" w:hAnsiTheme="majorHAnsi" w:cs="Calibri"/>
          <w:bCs/>
          <w:lang w:val="en-AU"/>
        </w:rPr>
        <w:t xml:space="preserve">The </w:t>
      </w:r>
      <w:r w:rsidR="009C1E23">
        <w:rPr>
          <w:rFonts w:asciiTheme="majorHAnsi" w:hAnsiTheme="majorHAnsi" w:cs="Calibri"/>
          <w:bCs/>
          <w:lang w:val="en-AU"/>
        </w:rPr>
        <w:t xml:space="preserve">2014-15 </w:t>
      </w:r>
      <w:r w:rsidRPr="0005379F">
        <w:rPr>
          <w:rFonts w:asciiTheme="majorHAnsi" w:hAnsiTheme="majorHAnsi" w:cs="Calibri"/>
          <w:bCs/>
          <w:lang w:val="en-AU"/>
        </w:rPr>
        <w:t>Budget</w:t>
      </w:r>
      <w:r w:rsidR="008A4A42" w:rsidRPr="0005379F">
        <w:rPr>
          <w:rFonts w:asciiTheme="majorHAnsi" w:hAnsiTheme="majorHAnsi" w:cs="Calibri"/>
          <w:bCs/>
          <w:lang w:val="en-AU"/>
        </w:rPr>
        <w:t>, delivered in May 2014,</w:t>
      </w:r>
      <w:r w:rsidRPr="0005379F">
        <w:rPr>
          <w:rFonts w:asciiTheme="majorHAnsi" w:hAnsiTheme="majorHAnsi" w:cs="Calibri"/>
          <w:bCs/>
          <w:lang w:val="en-AU"/>
        </w:rPr>
        <w:t xml:space="preserve"> detailed that </w:t>
      </w:r>
      <w:r w:rsidRPr="0005379F">
        <w:rPr>
          <w:rFonts w:asciiTheme="majorHAnsi" w:hAnsiTheme="majorHAnsi" w:cs="Calibri"/>
          <w:bCs/>
          <w:color w:val="000000"/>
          <w:lang w:val="en-AU"/>
        </w:rPr>
        <w:t xml:space="preserve">the IAS consolidation will save the </w:t>
      </w:r>
      <w:r w:rsidR="008A4A42" w:rsidRPr="0005379F">
        <w:rPr>
          <w:rFonts w:asciiTheme="majorHAnsi" w:hAnsiTheme="majorHAnsi" w:cs="Calibri"/>
          <w:bCs/>
          <w:color w:val="000000"/>
          <w:lang w:val="en-AU"/>
        </w:rPr>
        <w:t>Australian</w:t>
      </w:r>
      <w:r w:rsidRPr="0005379F">
        <w:rPr>
          <w:rFonts w:asciiTheme="majorHAnsi" w:hAnsiTheme="majorHAnsi" w:cs="Calibri"/>
          <w:bCs/>
          <w:color w:val="000000"/>
          <w:lang w:val="en-AU"/>
        </w:rPr>
        <w:t xml:space="preserve"> Government $534.4 million over five years through programme rationalisation.</w:t>
      </w:r>
      <w:r w:rsidRPr="0005379F">
        <w:rPr>
          <w:rStyle w:val="EndnoteReference"/>
          <w:rFonts w:cs="Calibri"/>
          <w:bCs/>
          <w:color w:val="000000"/>
          <w:lang w:val="en-AU"/>
        </w:rPr>
        <w:endnoteReference w:id="153"/>
      </w:r>
      <w:r w:rsidRPr="0005379F">
        <w:rPr>
          <w:rFonts w:asciiTheme="majorHAnsi" w:hAnsiTheme="majorHAnsi" w:cs="Calibri"/>
          <w:bCs/>
          <w:color w:val="000000"/>
          <w:lang w:val="en-AU"/>
        </w:rPr>
        <w:t xml:space="preserve"> The Campaign Steering Committee support</w:t>
      </w:r>
      <w:r w:rsidR="005F1ED7" w:rsidRPr="0005379F">
        <w:rPr>
          <w:rFonts w:asciiTheme="majorHAnsi" w:hAnsiTheme="majorHAnsi" w:cs="Calibri"/>
          <w:bCs/>
          <w:color w:val="000000"/>
          <w:lang w:val="en-AU"/>
        </w:rPr>
        <w:t>s</w:t>
      </w:r>
      <w:r w:rsidRPr="0005379F">
        <w:rPr>
          <w:rFonts w:asciiTheme="majorHAnsi" w:hAnsiTheme="majorHAnsi" w:cs="Calibri"/>
          <w:bCs/>
          <w:color w:val="000000"/>
          <w:lang w:val="en-AU"/>
        </w:rPr>
        <w:t xml:space="preserve"> the reduction of red tape and duplication. However, the lack of detail on how these </w:t>
      </w:r>
      <w:r w:rsidR="00DD5423">
        <w:rPr>
          <w:rFonts w:asciiTheme="majorHAnsi" w:hAnsiTheme="majorHAnsi" w:cs="Calibri"/>
          <w:bCs/>
          <w:color w:val="000000"/>
          <w:lang w:val="en-AU"/>
        </w:rPr>
        <w:t xml:space="preserve">savings or </w:t>
      </w:r>
      <w:r w:rsidRPr="0005379F">
        <w:rPr>
          <w:rFonts w:asciiTheme="majorHAnsi" w:hAnsiTheme="majorHAnsi" w:cs="Calibri"/>
          <w:bCs/>
          <w:color w:val="000000"/>
          <w:lang w:val="en-AU"/>
        </w:rPr>
        <w:t>cuts will apply and the</w:t>
      </w:r>
      <w:r w:rsidR="00DD5423">
        <w:rPr>
          <w:rFonts w:asciiTheme="majorHAnsi" w:hAnsiTheme="majorHAnsi" w:cs="Calibri"/>
          <w:bCs/>
          <w:color w:val="000000"/>
          <w:lang w:val="en-AU"/>
        </w:rPr>
        <w:t>ir</w:t>
      </w:r>
      <w:r w:rsidRPr="0005379F">
        <w:rPr>
          <w:rFonts w:asciiTheme="majorHAnsi" w:hAnsiTheme="majorHAnsi" w:cs="Calibri"/>
          <w:bCs/>
          <w:color w:val="000000"/>
          <w:lang w:val="en-AU"/>
        </w:rPr>
        <w:t xml:space="preserve"> impact on services and health outcomes is an ongoing concern. </w:t>
      </w:r>
    </w:p>
    <w:p w14:paraId="62F87DBF" w14:textId="6DB0F8F9" w:rsidR="00814869" w:rsidRPr="0005379F" w:rsidRDefault="00814869" w:rsidP="00C73B7D">
      <w:pPr>
        <w:autoSpaceDE w:val="0"/>
        <w:autoSpaceDN w:val="0"/>
        <w:adjustRightInd w:val="0"/>
        <w:spacing w:before="240" w:after="240"/>
        <w:rPr>
          <w:rFonts w:cs="Calibri"/>
          <w:bCs/>
          <w:color w:val="000000"/>
          <w:lang w:val="en-AU"/>
        </w:rPr>
      </w:pPr>
      <w:r w:rsidRPr="0005379F">
        <w:rPr>
          <w:rFonts w:cs="Calibri"/>
          <w:bCs/>
          <w:color w:val="000000"/>
          <w:lang w:val="en-AU"/>
        </w:rPr>
        <w:t>The Campaign Steering Committee also note</w:t>
      </w:r>
      <w:r w:rsidR="00D95362" w:rsidRPr="0005379F">
        <w:rPr>
          <w:rFonts w:cs="Calibri"/>
          <w:bCs/>
          <w:color w:val="000000"/>
          <w:lang w:val="en-AU"/>
        </w:rPr>
        <w:t>s</w:t>
      </w:r>
      <w:r w:rsidRPr="0005379F">
        <w:rPr>
          <w:rFonts w:cs="Calibri"/>
          <w:bCs/>
          <w:color w:val="000000"/>
          <w:lang w:val="en-AU"/>
        </w:rPr>
        <w:t xml:space="preserve"> that the IAS has been developed with minimal input from Aboriginal and Torres Strait Islander peoples and their representative </w:t>
      </w:r>
      <w:r w:rsidR="006F273C" w:rsidRPr="0005379F">
        <w:rPr>
          <w:rFonts w:cs="Calibri"/>
          <w:bCs/>
          <w:color w:val="000000"/>
          <w:lang w:val="en-AU"/>
        </w:rPr>
        <w:t>organisat</w:t>
      </w:r>
      <w:r w:rsidR="00A23871" w:rsidRPr="0005379F">
        <w:rPr>
          <w:rFonts w:cs="Calibri"/>
          <w:bCs/>
          <w:color w:val="000000"/>
          <w:lang w:val="en-AU"/>
        </w:rPr>
        <w:t xml:space="preserve">ions, apart from the </w:t>
      </w:r>
      <w:r w:rsidR="006F273C" w:rsidRPr="0005379F">
        <w:rPr>
          <w:rFonts w:cs="Calibri"/>
          <w:bCs/>
          <w:color w:val="000000"/>
          <w:lang w:val="en-AU"/>
        </w:rPr>
        <w:t xml:space="preserve">Indigenous Advisory </w:t>
      </w:r>
      <w:r w:rsidR="00A23871" w:rsidRPr="0005379F">
        <w:rPr>
          <w:rFonts w:cs="Calibri"/>
          <w:bCs/>
          <w:color w:val="000000"/>
          <w:lang w:val="en-AU"/>
        </w:rPr>
        <w:t>Council</w:t>
      </w:r>
      <w:r w:rsidRPr="0005379F">
        <w:rPr>
          <w:rFonts w:cs="Calibri"/>
          <w:bCs/>
          <w:color w:val="000000"/>
          <w:lang w:val="en-AU"/>
        </w:rPr>
        <w:t xml:space="preserve">. This is despite the </w:t>
      </w:r>
      <w:r w:rsidR="005C672E">
        <w:rPr>
          <w:rFonts w:cs="Calibri"/>
          <w:bCs/>
          <w:color w:val="000000"/>
          <w:lang w:val="en-AU"/>
        </w:rPr>
        <w:t>Australian</w:t>
      </w:r>
      <w:r w:rsidR="0038759E">
        <w:rPr>
          <w:rFonts w:cs="Calibri"/>
          <w:bCs/>
          <w:color w:val="000000"/>
          <w:lang w:val="en-AU"/>
        </w:rPr>
        <w:t xml:space="preserve"> </w:t>
      </w:r>
      <w:r w:rsidRPr="0005379F">
        <w:rPr>
          <w:rFonts w:cs="Calibri"/>
          <w:bCs/>
          <w:color w:val="000000"/>
          <w:lang w:val="en-AU"/>
        </w:rPr>
        <w:t>Government seeking greater levels of engagement with Aboriginal and Torres Strait Islander people</w:t>
      </w:r>
      <w:r w:rsidR="00CB54DE">
        <w:rPr>
          <w:rFonts w:cs="Calibri"/>
          <w:bCs/>
          <w:color w:val="000000"/>
          <w:lang w:val="en-AU"/>
        </w:rPr>
        <w:t>s</w:t>
      </w:r>
      <w:r w:rsidRPr="0005379F">
        <w:rPr>
          <w:rFonts w:cs="Calibri"/>
          <w:bCs/>
          <w:color w:val="000000"/>
          <w:lang w:val="en-AU"/>
        </w:rPr>
        <w:t xml:space="preserve"> within the IAS itself. As noted by the Aboriginal and Torres Strait Islander Social Justice Commissioner:</w:t>
      </w:r>
    </w:p>
    <w:p w14:paraId="71FCE153" w14:textId="77777777" w:rsidR="00814869" w:rsidRPr="0005379F" w:rsidRDefault="00814869" w:rsidP="00C73B7D">
      <w:pPr>
        <w:widowControl w:val="0"/>
        <w:autoSpaceDE w:val="0"/>
        <w:autoSpaceDN w:val="0"/>
        <w:adjustRightInd w:val="0"/>
        <w:spacing w:before="240" w:after="240"/>
        <w:ind w:left="720"/>
        <w:rPr>
          <w:rFonts w:asciiTheme="majorHAnsi" w:eastAsia="Times New Roman" w:hAnsiTheme="majorHAnsi" w:cs="Arial"/>
          <w:color w:val="0E0E0E"/>
          <w:lang w:val="en-AU"/>
        </w:rPr>
      </w:pPr>
      <w:r w:rsidRPr="0005379F">
        <w:rPr>
          <w:rFonts w:asciiTheme="majorHAnsi" w:eastAsia="Times New Roman" w:hAnsiTheme="majorHAnsi" w:cs="Arial"/>
          <w:i/>
          <w:color w:val="0E0E0E"/>
          <w:lang w:val="en-AU"/>
        </w:rPr>
        <w:t>The Federal Government has outlined its intention for a new engagement with Aboriginal and Torres Strait Islander people. To achieve this goal, surely it must at least have a discussion with us before proceeding with a radical re-shaping of government policy that so profoundly affects us? The Aboriginal and Torres Strait Islander leadership stands ready for this conversation with Government. All it takes is an assurance that we will be heard.</w:t>
      </w:r>
      <w:r w:rsidRPr="0005379F">
        <w:rPr>
          <w:rStyle w:val="EndnoteReference"/>
          <w:rFonts w:eastAsia="Times New Roman" w:cs="Arial"/>
          <w:color w:val="0E0E0E"/>
          <w:lang w:val="en-AU"/>
        </w:rPr>
        <w:endnoteReference w:id="154"/>
      </w:r>
    </w:p>
    <w:p w14:paraId="0D5D1E4C" w14:textId="7A497183" w:rsidR="00814869" w:rsidRPr="0005379F" w:rsidRDefault="00814869">
      <w:pPr>
        <w:widowControl w:val="0"/>
        <w:autoSpaceDE w:val="0"/>
        <w:autoSpaceDN w:val="0"/>
        <w:adjustRightInd w:val="0"/>
        <w:spacing w:before="240" w:after="240"/>
        <w:rPr>
          <w:rFonts w:asciiTheme="majorHAnsi" w:hAnsiTheme="majorHAnsi" w:cs="Calibri"/>
          <w:bCs/>
          <w:color w:val="000000"/>
          <w:lang w:val="en-AU"/>
        </w:rPr>
      </w:pPr>
      <w:r w:rsidRPr="0005379F">
        <w:rPr>
          <w:rFonts w:asciiTheme="majorHAnsi" w:hAnsiTheme="majorHAnsi" w:cs="Calibri"/>
          <w:bCs/>
          <w:color w:val="000000"/>
          <w:lang w:val="en-AU"/>
        </w:rPr>
        <w:t>Without such engagement</w:t>
      </w:r>
      <w:r w:rsidR="00437EE8">
        <w:rPr>
          <w:rFonts w:asciiTheme="majorHAnsi" w:hAnsiTheme="majorHAnsi" w:cs="Calibri"/>
          <w:bCs/>
          <w:color w:val="000000"/>
          <w:lang w:val="en-AU"/>
        </w:rPr>
        <w:t>,</w:t>
      </w:r>
      <w:r w:rsidRPr="0005379F">
        <w:rPr>
          <w:rFonts w:asciiTheme="majorHAnsi" w:hAnsiTheme="majorHAnsi" w:cs="Calibri"/>
          <w:bCs/>
          <w:color w:val="000000"/>
          <w:lang w:val="en-AU"/>
        </w:rPr>
        <w:t xml:space="preserve"> these sweeping changes to programme funding have and continue to cause anxiety within Aboriginal and Torres Strait Islander organisations across the country. As further noted by </w:t>
      </w:r>
      <w:r w:rsidRPr="0005379F">
        <w:rPr>
          <w:rFonts w:cs="Calibri"/>
          <w:bCs/>
          <w:color w:val="000000"/>
          <w:lang w:val="en-AU"/>
        </w:rPr>
        <w:t>the Aboriginal and Torres Strait Islander Social Justice Commissioner:</w:t>
      </w:r>
    </w:p>
    <w:p w14:paraId="486007E0" w14:textId="77777777" w:rsidR="00814869" w:rsidRPr="00D424E9" w:rsidRDefault="00814869" w:rsidP="00DE6A27">
      <w:pPr>
        <w:widowControl w:val="0"/>
        <w:autoSpaceDE w:val="0"/>
        <w:autoSpaceDN w:val="0"/>
        <w:adjustRightInd w:val="0"/>
        <w:spacing w:before="240" w:after="240"/>
        <w:ind w:left="720"/>
        <w:rPr>
          <w:rFonts w:asciiTheme="majorHAnsi" w:hAnsiTheme="majorHAnsi" w:cs="Calibri"/>
          <w:bCs/>
          <w:lang w:val="en-AU"/>
        </w:rPr>
      </w:pPr>
      <w:r w:rsidRPr="0005379F">
        <w:rPr>
          <w:rFonts w:asciiTheme="majorHAnsi" w:eastAsia="Times New Roman" w:hAnsiTheme="majorHAnsi" w:cs="Arial"/>
          <w:i/>
          <w:color w:val="0E0E0E"/>
          <w:lang w:val="en-AU"/>
        </w:rPr>
        <w:t xml:space="preserve">To give some idea of the magnitude of the changes confronting the Department of </w:t>
      </w:r>
      <w:r w:rsidR="008A4A42" w:rsidRPr="0005379F">
        <w:rPr>
          <w:rFonts w:asciiTheme="majorHAnsi" w:eastAsia="Times New Roman" w:hAnsiTheme="majorHAnsi" w:cs="Arial"/>
          <w:i/>
          <w:color w:val="0E0E0E"/>
          <w:lang w:val="en-AU"/>
        </w:rPr>
        <w:t xml:space="preserve">the </w:t>
      </w:r>
      <w:r w:rsidRPr="0005379F">
        <w:rPr>
          <w:rFonts w:asciiTheme="majorHAnsi" w:eastAsia="Times New Roman" w:hAnsiTheme="majorHAnsi" w:cs="Arial"/>
          <w:i/>
          <w:color w:val="0E0E0E"/>
          <w:lang w:val="en-AU"/>
        </w:rPr>
        <w:t>Prime Minister and Cabinet is the rationalisation of approximately 150 programs and activities down to five. This affects about 1,440 organisations with just over 3,000 funding contracts. On top of this, the Department will have to manage a budget cut in the vicinity of $400 million over the next four years</w:t>
      </w:r>
      <w:r w:rsidRPr="0005379F">
        <w:rPr>
          <w:rFonts w:ascii="Arial" w:eastAsia="Times New Roman" w:hAnsi="Arial" w:cs="Arial"/>
          <w:i/>
          <w:lang w:val="en-AU"/>
        </w:rPr>
        <w:t>.</w:t>
      </w:r>
      <w:r w:rsidRPr="00801DCD">
        <w:rPr>
          <w:rStyle w:val="EndnoteReference"/>
          <w:rFonts w:eastAsia="Times New Roman" w:cs="Arial"/>
          <w:lang w:val="en-AU"/>
        </w:rPr>
        <w:endnoteReference w:id="155"/>
      </w:r>
    </w:p>
    <w:p w14:paraId="271AF40B" w14:textId="11CBA376" w:rsidR="00F16DC8" w:rsidRPr="00D424E9" w:rsidRDefault="00D424E9" w:rsidP="00C73B7D">
      <w:pPr>
        <w:widowControl w:val="0"/>
        <w:autoSpaceDE w:val="0"/>
        <w:autoSpaceDN w:val="0"/>
        <w:adjustRightInd w:val="0"/>
        <w:spacing w:before="240" w:after="240"/>
        <w:rPr>
          <w:rFonts w:asciiTheme="majorHAnsi" w:hAnsiTheme="majorHAnsi" w:cs="Calibri"/>
          <w:bCs/>
          <w:color w:val="000000"/>
          <w:lang w:val="en-AU"/>
        </w:rPr>
      </w:pPr>
      <w:r>
        <w:rPr>
          <w:rFonts w:asciiTheme="majorHAnsi" w:hAnsiTheme="majorHAnsi" w:cs="Calibri"/>
          <w:bCs/>
          <w:lang w:val="en-AU"/>
        </w:rPr>
        <w:t>In November 2014</w:t>
      </w:r>
      <w:r w:rsidR="00E42EFB">
        <w:rPr>
          <w:rFonts w:asciiTheme="majorHAnsi" w:hAnsiTheme="majorHAnsi" w:cs="Calibri"/>
          <w:bCs/>
          <w:lang w:val="en-AU"/>
        </w:rPr>
        <w:t>,</w:t>
      </w:r>
      <w:r>
        <w:rPr>
          <w:rFonts w:asciiTheme="majorHAnsi" w:hAnsiTheme="majorHAnsi" w:cs="Calibri"/>
          <w:bCs/>
          <w:lang w:val="en-AU"/>
        </w:rPr>
        <w:t xml:space="preserve"> the Australian Government </w:t>
      </w:r>
      <w:r w:rsidR="00DD5423">
        <w:rPr>
          <w:rFonts w:asciiTheme="majorHAnsi" w:hAnsiTheme="majorHAnsi" w:cs="Calibri"/>
          <w:bCs/>
          <w:lang w:val="en-AU"/>
        </w:rPr>
        <w:t>stated</w:t>
      </w:r>
      <w:r>
        <w:rPr>
          <w:rFonts w:asciiTheme="majorHAnsi" w:hAnsiTheme="majorHAnsi" w:cs="Calibri"/>
          <w:bCs/>
          <w:lang w:val="en-AU"/>
        </w:rPr>
        <w:t xml:space="preserve"> it would</w:t>
      </w:r>
      <w:r w:rsidR="000E4B9A" w:rsidRPr="00D424E9">
        <w:rPr>
          <w:rFonts w:asciiTheme="majorHAnsi" w:hAnsiTheme="majorHAnsi" w:cs="Calibri"/>
          <w:bCs/>
          <w:lang w:val="en-AU"/>
        </w:rPr>
        <w:t xml:space="preserve"> delay </w:t>
      </w:r>
      <w:r>
        <w:rPr>
          <w:rFonts w:asciiTheme="majorHAnsi" w:hAnsiTheme="majorHAnsi" w:cs="Calibri"/>
          <w:bCs/>
          <w:lang w:val="en-AU"/>
        </w:rPr>
        <w:t xml:space="preserve">announcing </w:t>
      </w:r>
      <w:r w:rsidR="00801DCD">
        <w:rPr>
          <w:rFonts w:asciiTheme="majorHAnsi" w:hAnsiTheme="majorHAnsi" w:cs="Calibri"/>
          <w:bCs/>
          <w:lang w:val="en-AU"/>
        </w:rPr>
        <w:t>the assessment of</w:t>
      </w:r>
      <w:r w:rsidR="000E4B9A" w:rsidRPr="00D424E9">
        <w:rPr>
          <w:rFonts w:asciiTheme="majorHAnsi" w:hAnsiTheme="majorHAnsi" w:cs="Calibri"/>
          <w:bCs/>
          <w:lang w:val="en-AU"/>
        </w:rPr>
        <w:t xml:space="preserve"> IAS applications</w:t>
      </w:r>
      <w:r w:rsidR="00801DCD">
        <w:rPr>
          <w:rFonts w:asciiTheme="majorHAnsi" w:hAnsiTheme="majorHAnsi" w:cs="Calibri"/>
          <w:bCs/>
          <w:lang w:val="en-AU"/>
        </w:rPr>
        <w:t xml:space="preserve"> until March 2015.</w:t>
      </w:r>
      <w:r w:rsidR="00801DCD">
        <w:rPr>
          <w:rStyle w:val="EndnoteReference"/>
          <w:rFonts w:cs="Calibri"/>
          <w:bCs/>
          <w:lang w:val="en-AU"/>
        </w:rPr>
        <w:endnoteReference w:id="156"/>
      </w:r>
      <w:r w:rsidR="00801DCD">
        <w:rPr>
          <w:rFonts w:asciiTheme="majorHAnsi" w:hAnsiTheme="majorHAnsi" w:cs="Calibri"/>
          <w:bCs/>
          <w:lang w:val="en-AU"/>
        </w:rPr>
        <w:t xml:space="preserve"> This delay</w:t>
      </w:r>
      <w:r w:rsidR="000E4B9A" w:rsidRPr="00D424E9">
        <w:rPr>
          <w:rFonts w:asciiTheme="majorHAnsi" w:hAnsiTheme="majorHAnsi" w:cs="Calibri"/>
          <w:bCs/>
          <w:lang w:val="en-AU"/>
        </w:rPr>
        <w:t xml:space="preserve"> underlines the difficulties of the process and </w:t>
      </w:r>
      <w:r w:rsidR="00F16DC8" w:rsidRPr="00D424E9">
        <w:rPr>
          <w:rFonts w:asciiTheme="majorHAnsi" w:hAnsiTheme="majorHAnsi" w:cs="Calibri"/>
          <w:bCs/>
          <w:lang w:val="en-AU"/>
        </w:rPr>
        <w:t xml:space="preserve">is a further cause of anxiety for </w:t>
      </w:r>
      <w:r w:rsidR="00F16DC8" w:rsidRPr="00D424E9">
        <w:rPr>
          <w:rFonts w:asciiTheme="majorHAnsi" w:hAnsiTheme="majorHAnsi" w:cs="Calibri"/>
          <w:bCs/>
          <w:color w:val="000000"/>
          <w:lang w:val="en-AU"/>
        </w:rPr>
        <w:t>Aboriginal and Torres Strait Islander organi</w:t>
      </w:r>
      <w:r>
        <w:rPr>
          <w:rFonts w:asciiTheme="majorHAnsi" w:hAnsiTheme="majorHAnsi" w:cs="Calibri"/>
          <w:bCs/>
          <w:color w:val="000000"/>
          <w:lang w:val="en-AU"/>
        </w:rPr>
        <w:t>s</w:t>
      </w:r>
      <w:r w:rsidR="00F16DC8" w:rsidRPr="00D424E9">
        <w:rPr>
          <w:rFonts w:asciiTheme="majorHAnsi" w:hAnsiTheme="majorHAnsi" w:cs="Calibri"/>
          <w:bCs/>
          <w:color w:val="000000"/>
          <w:lang w:val="en-AU"/>
        </w:rPr>
        <w:t xml:space="preserve">ations. </w:t>
      </w:r>
    </w:p>
    <w:p w14:paraId="50111167" w14:textId="77777777" w:rsidR="00814869" w:rsidRPr="0005379F" w:rsidRDefault="00814869" w:rsidP="00C73B7D">
      <w:pPr>
        <w:widowControl w:val="0"/>
        <w:autoSpaceDE w:val="0"/>
        <w:autoSpaceDN w:val="0"/>
        <w:adjustRightInd w:val="0"/>
        <w:spacing w:before="240" w:after="240"/>
        <w:rPr>
          <w:rFonts w:asciiTheme="majorHAnsi" w:hAnsiTheme="majorHAnsi" w:cs="Calibri"/>
          <w:bCs/>
          <w:lang w:val="en-AU"/>
        </w:rPr>
      </w:pPr>
      <w:r w:rsidRPr="00D424E9">
        <w:rPr>
          <w:rFonts w:asciiTheme="majorHAnsi" w:hAnsiTheme="majorHAnsi" w:cs="Calibri"/>
          <w:bCs/>
          <w:lang w:val="en-AU"/>
        </w:rPr>
        <w:lastRenderedPageBreak/>
        <w:t xml:space="preserve">The five IAS programme streams are set out in </w:t>
      </w:r>
      <w:r w:rsidR="00DD5423" w:rsidRPr="00DD5423">
        <w:rPr>
          <w:rFonts w:asciiTheme="majorHAnsi" w:hAnsiTheme="majorHAnsi" w:cs="Calibri"/>
          <w:bCs/>
          <w:lang w:val="en-AU"/>
        </w:rPr>
        <w:t>the text box</w:t>
      </w:r>
      <w:r w:rsidRPr="00DD5423">
        <w:rPr>
          <w:rFonts w:asciiTheme="majorHAnsi" w:hAnsiTheme="majorHAnsi" w:cs="Calibri"/>
          <w:bCs/>
          <w:lang w:val="en-AU"/>
        </w:rPr>
        <w:t xml:space="preserve"> below</w:t>
      </w:r>
      <w:r w:rsidRPr="0005379F">
        <w:rPr>
          <w:rFonts w:asciiTheme="majorHAnsi" w:hAnsiTheme="majorHAnsi" w:cs="Calibri"/>
          <w:bCs/>
          <w:lang w:val="en-AU"/>
        </w:rPr>
        <w:t>.</w:t>
      </w:r>
    </w:p>
    <w:tbl>
      <w:tblPr>
        <w:tblStyle w:val="TableGrid"/>
        <w:tblW w:w="8897" w:type="dxa"/>
        <w:tblLayout w:type="fixed"/>
        <w:tblLook w:val="04A0" w:firstRow="1" w:lastRow="0" w:firstColumn="1" w:lastColumn="0" w:noHBand="0" w:noVBand="1"/>
      </w:tblPr>
      <w:tblGrid>
        <w:gridCol w:w="8897"/>
      </w:tblGrid>
      <w:tr w:rsidR="00814869" w:rsidRPr="006A24D8" w14:paraId="4556FCE1" w14:textId="77777777" w:rsidTr="009B3B7A">
        <w:trPr>
          <w:trHeight w:val="415"/>
        </w:trPr>
        <w:tc>
          <w:tcPr>
            <w:tcW w:w="8897" w:type="dxa"/>
            <w:shd w:val="clear" w:color="auto" w:fill="DBE5F1" w:themeFill="accent1" w:themeFillTint="33"/>
          </w:tcPr>
          <w:p w14:paraId="39D57A3B" w14:textId="3DED9550" w:rsidR="00814869" w:rsidRPr="0005379F" w:rsidRDefault="00437EE8" w:rsidP="006F623E">
            <w:pPr>
              <w:widowControl w:val="0"/>
              <w:tabs>
                <w:tab w:val="left" w:pos="220"/>
                <w:tab w:val="left" w:pos="720"/>
              </w:tabs>
              <w:autoSpaceDE w:val="0"/>
              <w:autoSpaceDN w:val="0"/>
              <w:adjustRightInd w:val="0"/>
              <w:spacing w:before="240" w:after="0"/>
              <w:rPr>
                <w:rFonts w:asciiTheme="majorHAnsi" w:hAnsiTheme="majorHAnsi" w:cs="Calibri"/>
                <w:b/>
                <w:bCs/>
                <w:lang w:val="en-AU"/>
              </w:rPr>
            </w:pPr>
            <w:r>
              <w:rPr>
                <w:rFonts w:asciiTheme="majorHAnsi" w:hAnsiTheme="majorHAnsi" w:cs="Calibri"/>
                <w:b/>
                <w:bCs/>
                <w:lang w:val="en-AU"/>
              </w:rPr>
              <w:t>The five programme s</w:t>
            </w:r>
            <w:r w:rsidR="00814869" w:rsidRPr="0005379F">
              <w:rPr>
                <w:rFonts w:asciiTheme="majorHAnsi" w:hAnsiTheme="majorHAnsi" w:cs="Calibri"/>
                <w:b/>
                <w:bCs/>
                <w:lang w:val="en-AU"/>
              </w:rPr>
              <w:t>treams of the Indigenous Advancement Strategy</w:t>
            </w:r>
            <w:r w:rsidR="00814869" w:rsidRPr="0005379F">
              <w:rPr>
                <w:rStyle w:val="EndnoteReference"/>
                <w:rFonts w:cs="Calibri"/>
                <w:bCs/>
                <w:sz w:val="22"/>
                <w:lang w:val="en-AU"/>
              </w:rPr>
              <w:endnoteReference w:id="157"/>
            </w:r>
          </w:p>
          <w:p w14:paraId="4DBEECCB" w14:textId="410B0F0C" w:rsidR="00814869" w:rsidRPr="0005379F" w:rsidRDefault="00814869" w:rsidP="00644563">
            <w:pPr>
              <w:pStyle w:val="ListParagraph"/>
              <w:numPr>
                <w:ilvl w:val="0"/>
                <w:numId w:val="25"/>
              </w:numPr>
              <w:spacing w:before="120" w:after="120"/>
              <w:ind w:left="357" w:hanging="357"/>
              <w:contextualSpacing w:val="0"/>
              <w:rPr>
                <w:rFonts w:asciiTheme="majorHAnsi" w:hAnsiTheme="majorHAnsi"/>
                <w:lang w:val="en-AU"/>
              </w:rPr>
            </w:pPr>
            <w:r w:rsidRPr="0005379F">
              <w:rPr>
                <w:rFonts w:asciiTheme="majorHAnsi" w:hAnsiTheme="majorHAnsi"/>
                <w:lang w:val="en-AU"/>
              </w:rPr>
              <w:t xml:space="preserve">Jobs, Land and Economy – </w:t>
            </w:r>
            <w:r w:rsidR="00E42EFB" w:rsidRPr="00E42EFB">
              <w:rPr>
                <w:rFonts w:asciiTheme="majorHAnsi" w:hAnsiTheme="majorHAnsi"/>
                <w:lang w:val="en-AU"/>
              </w:rPr>
              <w:t>This programme aims to get adults into work, foster viable Indigenous business and assist Indigenous people to generate economic and social benefits from land and sea use and native title rights, particularly in remote areas.</w:t>
            </w:r>
          </w:p>
          <w:p w14:paraId="308F0CE7" w14:textId="3E0F01C8" w:rsidR="00814869" w:rsidRPr="0005379F" w:rsidRDefault="00814869" w:rsidP="00644563">
            <w:pPr>
              <w:pStyle w:val="ListParagraph"/>
              <w:numPr>
                <w:ilvl w:val="0"/>
                <w:numId w:val="25"/>
              </w:numPr>
              <w:spacing w:before="120" w:after="120"/>
              <w:ind w:left="357" w:hanging="357"/>
              <w:contextualSpacing w:val="0"/>
              <w:rPr>
                <w:rFonts w:asciiTheme="majorHAnsi" w:hAnsiTheme="majorHAnsi"/>
                <w:lang w:val="en-AU"/>
              </w:rPr>
            </w:pPr>
            <w:r w:rsidRPr="0005379F">
              <w:rPr>
                <w:rFonts w:asciiTheme="majorHAnsi" w:hAnsiTheme="majorHAnsi"/>
                <w:lang w:val="en-AU"/>
              </w:rPr>
              <w:t xml:space="preserve">Children and Schooling – </w:t>
            </w:r>
            <w:r w:rsidR="00E42EFB" w:rsidRPr="00E42EFB">
              <w:rPr>
                <w:rFonts w:asciiTheme="majorHAnsi" w:hAnsiTheme="majorHAnsi"/>
                <w:lang w:val="en-AU"/>
              </w:rPr>
              <w:t>This programme focuses on getting children to school, improving education outcomes including Year 12 attainment, improving youth transition to vocational and higher education and work, as well as, supporting families to give children a good start in life through improved early childhood development, care, education and school readiness.</w:t>
            </w:r>
          </w:p>
          <w:p w14:paraId="7AEEB5A2" w14:textId="144F42AC" w:rsidR="00814869" w:rsidRPr="0005379F" w:rsidRDefault="00814869" w:rsidP="00644563">
            <w:pPr>
              <w:pStyle w:val="ListParagraph"/>
              <w:numPr>
                <w:ilvl w:val="0"/>
                <w:numId w:val="25"/>
              </w:numPr>
              <w:spacing w:before="120" w:after="120"/>
              <w:ind w:left="357" w:hanging="357"/>
              <w:contextualSpacing w:val="0"/>
              <w:rPr>
                <w:rFonts w:asciiTheme="majorHAnsi" w:hAnsiTheme="majorHAnsi"/>
                <w:lang w:val="en-AU"/>
              </w:rPr>
            </w:pPr>
            <w:r w:rsidRPr="0005379F">
              <w:rPr>
                <w:rFonts w:asciiTheme="majorHAnsi" w:hAnsiTheme="majorHAnsi"/>
                <w:lang w:val="en-AU"/>
              </w:rPr>
              <w:t xml:space="preserve">Safety and Wellbeing – </w:t>
            </w:r>
            <w:r w:rsidR="00E42EFB" w:rsidRPr="00E42EFB">
              <w:rPr>
                <w:rFonts w:asciiTheme="majorHAnsi" w:hAnsiTheme="majorHAnsi"/>
                <w:lang w:val="en-AU"/>
              </w:rPr>
              <w:t>This programme is about ensuring the ordinary law of the land applies in Indigenous communities, and that Indigenous people enjoy similar levels of physical, emotional and social wellbeing enjoyed by other Australians.</w:t>
            </w:r>
          </w:p>
          <w:p w14:paraId="32BAFF23" w14:textId="2F4E274C" w:rsidR="00814869" w:rsidRPr="0005379F" w:rsidRDefault="00814869" w:rsidP="00644563">
            <w:pPr>
              <w:pStyle w:val="ListParagraph"/>
              <w:numPr>
                <w:ilvl w:val="0"/>
                <w:numId w:val="25"/>
              </w:numPr>
              <w:spacing w:before="120" w:after="120"/>
              <w:ind w:left="357" w:hanging="357"/>
              <w:contextualSpacing w:val="0"/>
              <w:rPr>
                <w:rFonts w:asciiTheme="majorHAnsi" w:hAnsiTheme="majorHAnsi"/>
                <w:lang w:val="en-AU"/>
              </w:rPr>
            </w:pPr>
            <w:r w:rsidRPr="0005379F">
              <w:rPr>
                <w:rFonts w:asciiTheme="majorHAnsi" w:hAnsiTheme="majorHAnsi"/>
                <w:lang w:val="en-AU"/>
              </w:rPr>
              <w:t xml:space="preserve">Culture and Capability – </w:t>
            </w:r>
            <w:r w:rsidR="00E42EFB" w:rsidRPr="00E42EFB">
              <w:rPr>
                <w:rFonts w:asciiTheme="majorHAnsi" w:hAnsiTheme="majorHAnsi"/>
                <w:lang w:val="en-AU"/>
              </w:rPr>
              <w:t>This programme will support Indigenous Australians to maintain their culture, participate equally in the economic and social life of the nation and ensure that Indigenous organisations are capable of delivering quality services to their clients.</w:t>
            </w:r>
          </w:p>
          <w:p w14:paraId="4ADAC226" w14:textId="7E23E39B" w:rsidR="00814869" w:rsidRPr="0005379F" w:rsidRDefault="00814869" w:rsidP="00644563">
            <w:pPr>
              <w:pStyle w:val="ListParagraph"/>
              <w:numPr>
                <w:ilvl w:val="0"/>
                <w:numId w:val="25"/>
              </w:numPr>
              <w:spacing w:before="120" w:after="120"/>
              <w:ind w:left="357" w:hanging="357"/>
              <w:contextualSpacing w:val="0"/>
              <w:rPr>
                <w:rFonts w:asciiTheme="majorHAnsi" w:hAnsiTheme="majorHAnsi"/>
                <w:lang w:val="en-AU"/>
              </w:rPr>
            </w:pPr>
            <w:r w:rsidRPr="0005379F">
              <w:rPr>
                <w:rFonts w:asciiTheme="majorHAnsi" w:hAnsiTheme="majorHAnsi"/>
                <w:lang w:val="en-AU"/>
              </w:rPr>
              <w:t xml:space="preserve">Remote Australia Strategies – </w:t>
            </w:r>
            <w:r w:rsidR="00E42EFB" w:rsidRPr="00E42EFB">
              <w:rPr>
                <w:rFonts w:asciiTheme="majorHAnsi" w:hAnsiTheme="majorHAnsi"/>
                <w:lang w:val="en-AU"/>
              </w:rPr>
              <w:t>This programme will address social and economic disadvantage in remote Australia and support flexible solutions based on community and government priorities.</w:t>
            </w:r>
          </w:p>
        </w:tc>
      </w:tr>
    </w:tbl>
    <w:p w14:paraId="35300BBF" w14:textId="38EBEB5B" w:rsidR="00814869" w:rsidRPr="0005379F" w:rsidRDefault="00814869" w:rsidP="002178E8">
      <w:pPr>
        <w:pStyle w:val="PlainText"/>
        <w:spacing w:before="240" w:after="240"/>
        <w:rPr>
          <w:rFonts w:asciiTheme="majorHAnsi" w:hAnsiTheme="majorHAnsi"/>
          <w:sz w:val="22"/>
          <w:szCs w:val="22"/>
          <w:lang w:val="en-AU"/>
        </w:rPr>
      </w:pPr>
      <w:r w:rsidRPr="0005379F">
        <w:rPr>
          <w:rFonts w:asciiTheme="majorHAnsi" w:hAnsiTheme="majorHAnsi"/>
          <w:sz w:val="22"/>
          <w:szCs w:val="22"/>
          <w:lang w:val="en-AU"/>
        </w:rPr>
        <w:t>Generational change ta</w:t>
      </w:r>
      <w:r w:rsidR="005F1ED7" w:rsidRPr="0005379F">
        <w:rPr>
          <w:rFonts w:asciiTheme="majorHAnsi" w:hAnsiTheme="majorHAnsi"/>
          <w:sz w:val="22"/>
          <w:szCs w:val="22"/>
          <w:lang w:val="en-AU"/>
        </w:rPr>
        <w:t>kes time, commitment and a long-</w:t>
      </w:r>
      <w:r w:rsidRPr="0005379F">
        <w:rPr>
          <w:rFonts w:asciiTheme="majorHAnsi" w:hAnsiTheme="majorHAnsi"/>
          <w:sz w:val="22"/>
          <w:szCs w:val="22"/>
          <w:lang w:val="en-AU"/>
        </w:rPr>
        <w:t xml:space="preserve">term strategic approach to ensure success. While we welcome the </w:t>
      </w:r>
      <w:r w:rsidR="005F1ED7" w:rsidRPr="0005379F">
        <w:rPr>
          <w:rFonts w:asciiTheme="majorHAnsi" w:hAnsiTheme="majorHAnsi"/>
          <w:sz w:val="22"/>
          <w:szCs w:val="22"/>
          <w:lang w:val="en-AU"/>
        </w:rPr>
        <w:t>Australian</w:t>
      </w:r>
      <w:r w:rsidRPr="0005379F">
        <w:rPr>
          <w:rFonts w:asciiTheme="majorHAnsi" w:hAnsiTheme="majorHAnsi"/>
          <w:sz w:val="22"/>
          <w:szCs w:val="22"/>
          <w:lang w:val="en-AU"/>
        </w:rPr>
        <w:t xml:space="preserve"> Government’s IAS focus on improving employment, education outcomes and community safety, the Campaign Steering Committee believes the IAS </w:t>
      </w:r>
      <w:r w:rsidR="00893220" w:rsidRPr="0005379F">
        <w:rPr>
          <w:rFonts w:asciiTheme="majorHAnsi" w:hAnsiTheme="majorHAnsi"/>
          <w:sz w:val="22"/>
          <w:szCs w:val="22"/>
          <w:lang w:val="en-AU"/>
        </w:rPr>
        <w:t>needs to</w:t>
      </w:r>
      <w:r w:rsidRPr="0005379F">
        <w:rPr>
          <w:rFonts w:asciiTheme="majorHAnsi" w:hAnsiTheme="majorHAnsi"/>
          <w:sz w:val="22"/>
          <w:szCs w:val="22"/>
          <w:lang w:val="en-AU"/>
        </w:rPr>
        <w:t xml:space="preserve"> be </w:t>
      </w:r>
      <w:r w:rsidR="004279E1">
        <w:rPr>
          <w:rFonts w:asciiTheme="majorHAnsi" w:hAnsiTheme="majorHAnsi"/>
          <w:sz w:val="22"/>
          <w:szCs w:val="22"/>
          <w:lang w:val="en-AU"/>
        </w:rPr>
        <w:t>coordinated within</w:t>
      </w:r>
      <w:r w:rsidR="00394314" w:rsidRPr="0005379F">
        <w:rPr>
          <w:rFonts w:asciiTheme="majorHAnsi" w:hAnsiTheme="majorHAnsi"/>
          <w:sz w:val="22"/>
          <w:szCs w:val="22"/>
          <w:lang w:val="en-AU"/>
        </w:rPr>
        <w:t xml:space="preserve"> the national</w:t>
      </w:r>
      <w:r w:rsidRPr="0005379F">
        <w:rPr>
          <w:rFonts w:asciiTheme="majorHAnsi" w:hAnsiTheme="majorHAnsi"/>
          <w:sz w:val="22"/>
          <w:szCs w:val="22"/>
          <w:lang w:val="en-AU"/>
        </w:rPr>
        <w:t xml:space="preserve"> COAG Closing the Gap Strategy. Without such a national, coordinated approach, Indigenous</w:t>
      </w:r>
      <w:r w:rsidR="004279E1">
        <w:rPr>
          <w:rFonts w:asciiTheme="majorHAnsi" w:hAnsiTheme="majorHAnsi"/>
          <w:sz w:val="22"/>
          <w:szCs w:val="22"/>
          <w:lang w:val="en-AU"/>
        </w:rPr>
        <w:t xml:space="preserve"> </w:t>
      </w:r>
      <w:r w:rsidRPr="0005379F">
        <w:rPr>
          <w:rFonts w:asciiTheme="majorHAnsi" w:hAnsiTheme="majorHAnsi"/>
          <w:sz w:val="22"/>
          <w:szCs w:val="22"/>
          <w:lang w:val="en-AU"/>
        </w:rPr>
        <w:t xml:space="preserve">Affairs is at risk of </w:t>
      </w:r>
      <w:r w:rsidR="00B92712">
        <w:rPr>
          <w:rFonts w:asciiTheme="majorHAnsi" w:hAnsiTheme="majorHAnsi"/>
          <w:sz w:val="22"/>
          <w:szCs w:val="22"/>
          <w:lang w:val="en-AU"/>
        </w:rPr>
        <w:t>splitting along</w:t>
      </w:r>
      <w:r w:rsidRPr="0005379F">
        <w:rPr>
          <w:rFonts w:asciiTheme="majorHAnsi" w:hAnsiTheme="majorHAnsi"/>
          <w:sz w:val="22"/>
          <w:szCs w:val="22"/>
          <w:lang w:val="en-AU"/>
        </w:rPr>
        <w:t xml:space="preserve"> departmental and jurisdictional </w:t>
      </w:r>
      <w:r w:rsidR="00B92712">
        <w:rPr>
          <w:rFonts w:asciiTheme="majorHAnsi" w:hAnsiTheme="majorHAnsi"/>
          <w:sz w:val="22"/>
          <w:szCs w:val="22"/>
          <w:lang w:val="en-AU"/>
        </w:rPr>
        <w:t>lines and becoming less effective and efficient</w:t>
      </w:r>
      <w:r w:rsidRPr="0005379F">
        <w:rPr>
          <w:rFonts w:asciiTheme="majorHAnsi" w:hAnsiTheme="majorHAnsi"/>
          <w:sz w:val="22"/>
          <w:szCs w:val="22"/>
          <w:lang w:val="en-AU"/>
        </w:rPr>
        <w:t>.</w:t>
      </w:r>
    </w:p>
    <w:p w14:paraId="0F3F6738" w14:textId="77777777" w:rsidR="00814869" w:rsidRPr="0005379F" w:rsidRDefault="00814869" w:rsidP="002178E8">
      <w:pPr>
        <w:pStyle w:val="PlainText"/>
        <w:spacing w:before="240" w:after="240"/>
        <w:rPr>
          <w:rFonts w:asciiTheme="majorHAnsi" w:hAnsiTheme="majorHAnsi"/>
          <w:sz w:val="22"/>
          <w:szCs w:val="22"/>
          <w:lang w:val="en-AU"/>
        </w:rPr>
      </w:pPr>
      <w:r w:rsidRPr="0005379F">
        <w:rPr>
          <w:rFonts w:asciiTheme="majorHAnsi" w:hAnsiTheme="majorHAnsi"/>
          <w:sz w:val="22"/>
          <w:szCs w:val="22"/>
          <w:lang w:val="en-AU"/>
        </w:rPr>
        <w:t xml:space="preserve">Articulating and strengthening links between the IAS and the Closing the Gap Strategy </w:t>
      </w:r>
      <w:r w:rsidR="005F1ED7" w:rsidRPr="0005379F">
        <w:rPr>
          <w:rFonts w:asciiTheme="majorHAnsi" w:hAnsiTheme="majorHAnsi"/>
          <w:sz w:val="22"/>
          <w:szCs w:val="22"/>
          <w:lang w:val="en-AU"/>
        </w:rPr>
        <w:t>will</w:t>
      </w:r>
      <w:r w:rsidRPr="0005379F">
        <w:rPr>
          <w:rFonts w:asciiTheme="majorHAnsi" w:hAnsiTheme="majorHAnsi"/>
          <w:sz w:val="22"/>
          <w:szCs w:val="22"/>
          <w:lang w:val="en-AU"/>
        </w:rPr>
        <w:t xml:space="preserve"> ensure that the IAS would achieve its goals</w:t>
      </w:r>
      <w:r w:rsidR="00C33D8A">
        <w:rPr>
          <w:rFonts w:asciiTheme="majorHAnsi" w:hAnsiTheme="majorHAnsi"/>
          <w:sz w:val="22"/>
          <w:szCs w:val="22"/>
          <w:lang w:val="en-AU"/>
        </w:rPr>
        <w:t xml:space="preserve">. This is because </w:t>
      </w:r>
      <w:r w:rsidRPr="0005379F">
        <w:rPr>
          <w:rFonts w:asciiTheme="majorHAnsi" w:hAnsiTheme="majorHAnsi"/>
          <w:sz w:val="22"/>
          <w:szCs w:val="22"/>
          <w:lang w:val="en-AU"/>
        </w:rPr>
        <w:t xml:space="preserve">a focus on health and wellbeing is fundamental to achieving improvements in school attendance, employment and safer communities. </w:t>
      </w:r>
    </w:p>
    <w:p w14:paraId="0E67981A" w14:textId="59EF2EE4" w:rsidR="00814869" w:rsidRPr="0005379F" w:rsidRDefault="00814869" w:rsidP="00A95ED0">
      <w:pPr>
        <w:autoSpaceDE w:val="0"/>
        <w:autoSpaceDN w:val="0"/>
        <w:adjustRightInd w:val="0"/>
        <w:spacing w:before="240" w:after="240"/>
        <w:rPr>
          <w:rFonts w:cs="Calibri"/>
          <w:bCs/>
          <w:color w:val="000000"/>
          <w:lang w:val="en-AU"/>
        </w:rPr>
      </w:pPr>
      <w:r w:rsidRPr="0005379F">
        <w:rPr>
          <w:rFonts w:cs="Calibri"/>
          <w:bCs/>
          <w:color w:val="000000"/>
          <w:lang w:val="en-AU"/>
        </w:rPr>
        <w:t xml:space="preserve">As set out in the report of </w:t>
      </w:r>
      <w:r w:rsidR="009A737A">
        <w:rPr>
          <w:rFonts w:cs="Calibri"/>
          <w:bCs/>
          <w:color w:val="000000"/>
          <w:lang w:val="en-AU"/>
        </w:rPr>
        <w:t xml:space="preserve">Mr Andrew Forrest, </w:t>
      </w:r>
      <w:r w:rsidRPr="009A737A">
        <w:rPr>
          <w:rFonts w:cs="Calibri"/>
          <w:bCs/>
          <w:i/>
          <w:color w:val="000000"/>
          <w:lang w:val="en-AU"/>
        </w:rPr>
        <w:t>Forrest Review</w:t>
      </w:r>
      <w:r w:rsidR="009A737A" w:rsidRPr="009A737A">
        <w:rPr>
          <w:rFonts w:cs="Calibri"/>
          <w:bCs/>
          <w:i/>
          <w:color w:val="000000"/>
          <w:lang w:val="en-AU"/>
        </w:rPr>
        <w:t xml:space="preserve"> – Creating Parity</w:t>
      </w:r>
      <w:r w:rsidRPr="0005379F">
        <w:rPr>
          <w:rFonts w:cs="Calibri"/>
          <w:bCs/>
          <w:color w:val="000000"/>
          <w:lang w:val="en-AU"/>
        </w:rPr>
        <w:t>, employment cannot be addressed in isolation</w:t>
      </w:r>
      <w:r w:rsidR="009A737A">
        <w:rPr>
          <w:rFonts w:cs="Calibri"/>
          <w:bCs/>
          <w:color w:val="000000"/>
          <w:lang w:val="en-AU"/>
        </w:rPr>
        <w:t>,</w:t>
      </w:r>
      <w:r w:rsidRPr="0005379F">
        <w:rPr>
          <w:rFonts w:cs="Calibri"/>
          <w:bCs/>
          <w:color w:val="000000"/>
          <w:lang w:val="en-AU"/>
        </w:rPr>
        <w:t xml:space="preserve"> as: </w:t>
      </w:r>
    </w:p>
    <w:p w14:paraId="3742DF3C" w14:textId="77777777" w:rsidR="00814869" w:rsidRPr="0005379F" w:rsidRDefault="00814869" w:rsidP="00A95ED0">
      <w:pPr>
        <w:autoSpaceDE w:val="0"/>
        <w:autoSpaceDN w:val="0"/>
        <w:adjustRightInd w:val="0"/>
        <w:spacing w:before="240" w:after="240"/>
        <w:ind w:left="720"/>
        <w:rPr>
          <w:rFonts w:cs="Calibri"/>
          <w:bCs/>
          <w:color w:val="000000"/>
          <w:lang w:val="en-AU"/>
        </w:rPr>
      </w:pPr>
      <w:r w:rsidRPr="0005379F">
        <w:rPr>
          <w:rFonts w:cs="Calibri"/>
          <w:bCs/>
          <w:i/>
          <w:color w:val="000000"/>
          <w:lang w:val="en-AU"/>
        </w:rPr>
        <w:t>A significant proportion of these [unemployed Aboriginal and Torres Strait Islander] individuals suffer from lifestyle and health conditions that pose considerable obstacles to employment...</w:t>
      </w:r>
      <w:r w:rsidRPr="0005379F">
        <w:rPr>
          <w:rStyle w:val="EndnoteReference"/>
          <w:rFonts w:cs="Calibri"/>
          <w:bCs/>
          <w:color w:val="000000"/>
          <w:lang w:val="en-AU"/>
        </w:rPr>
        <w:endnoteReference w:id="158"/>
      </w:r>
    </w:p>
    <w:p w14:paraId="1B7AC6B5" w14:textId="77777777" w:rsidR="00814869" w:rsidRPr="0005379F" w:rsidRDefault="00814869" w:rsidP="00A95ED0">
      <w:pPr>
        <w:autoSpaceDE w:val="0"/>
        <w:autoSpaceDN w:val="0"/>
        <w:adjustRightInd w:val="0"/>
        <w:spacing w:before="240" w:after="240"/>
        <w:rPr>
          <w:rFonts w:cs="Calibri"/>
          <w:bCs/>
          <w:color w:val="000000"/>
          <w:lang w:val="en-AU"/>
        </w:rPr>
      </w:pPr>
      <w:r w:rsidRPr="0005379F">
        <w:rPr>
          <w:rFonts w:cs="Calibri"/>
          <w:bCs/>
          <w:color w:val="000000"/>
          <w:lang w:val="en-AU"/>
        </w:rPr>
        <w:t>The report of the Forrest Review also stresses the importance of maternal and early childhood health as key determinants of employment later in life.</w:t>
      </w:r>
      <w:r w:rsidRPr="0005379F">
        <w:rPr>
          <w:rStyle w:val="EndnoteReference"/>
          <w:rFonts w:cs="Calibri"/>
          <w:bCs/>
          <w:color w:val="000000"/>
          <w:lang w:val="en-AU"/>
        </w:rPr>
        <w:endnoteReference w:id="159"/>
      </w:r>
    </w:p>
    <w:p w14:paraId="5025D349" w14:textId="7BD8E5D7" w:rsidR="00814869" w:rsidRPr="0005379F" w:rsidRDefault="00814869" w:rsidP="007F64E7">
      <w:pPr>
        <w:widowControl w:val="0"/>
        <w:autoSpaceDE w:val="0"/>
        <w:autoSpaceDN w:val="0"/>
        <w:adjustRightInd w:val="0"/>
        <w:spacing w:before="240" w:after="240"/>
        <w:rPr>
          <w:lang w:val="en-AU"/>
        </w:rPr>
      </w:pPr>
      <w:r w:rsidRPr="0005379F">
        <w:rPr>
          <w:lang w:val="en-AU"/>
        </w:rPr>
        <w:t xml:space="preserve">The IAS could also be used to support </w:t>
      </w:r>
      <w:r w:rsidR="001C29B3">
        <w:rPr>
          <w:lang w:val="en-AU"/>
        </w:rPr>
        <w:t>the</w:t>
      </w:r>
      <w:r w:rsidRPr="0005379F">
        <w:rPr>
          <w:lang w:val="en-AU"/>
        </w:rPr>
        <w:t xml:space="preserve"> recruitment and employment of </w:t>
      </w:r>
      <w:r w:rsidR="001C29B3">
        <w:rPr>
          <w:lang w:val="en-AU"/>
        </w:rPr>
        <w:t xml:space="preserve">Aboriginal and Torres Strait Islander </w:t>
      </w:r>
      <w:r w:rsidRPr="0005379F">
        <w:rPr>
          <w:lang w:val="en-AU"/>
        </w:rPr>
        <w:t>staff</w:t>
      </w:r>
      <w:r w:rsidR="001C29B3">
        <w:rPr>
          <w:lang w:val="en-AU"/>
        </w:rPr>
        <w:t xml:space="preserve"> in health services</w:t>
      </w:r>
      <w:r w:rsidRPr="0005379F">
        <w:rPr>
          <w:lang w:val="en-AU"/>
        </w:rPr>
        <w:t xml:space="preserve">. As discussed </w:t>
      </w:r>
      <w:r w:rsidR="000839BD">
        <w:rPr>
          <w:lang w:val="en-AU"/>
        </w:rPr>
        <w:t xml:space="preserve">in the Campaign Steering Committee’s </w:t>
      </w:r>
      <w:r w:rsidR="000839BD" w:rsidRPr="000839BD">
        <w:rPr>
          <w:i/>
          <w:lang w:val="en-AU"/>
        </w:rPr>
        <w:t>Progress and priorities Report 2014</w:t>
      </w:r>
      <w:r w:rsidRPr="0005379F">
        <w:rPr>
          <w:lang w:val="en-AU"/>
        </w:rPr>
        <w:t>, the 2011 Census results show that health services (including, but not limited to, ACCHS) employ 14.6 percent of employed Aboriginal and Torres Strait Islander people. Health services are thus the single biggest ‘industry’ source of employment, which has expanded by almost 4,000 places since 2006.</w:t>
      </w:r>
      <w:r w:rsidRPr="0005379F" w:rsidDel="00BF4973">
        <w:rPr>
          <w:rStyle w:val="EndnoteReference"/>
          <w:lang w:val="en-AU"/>
        </w:rPr>
        <w:endnoteReference w:id="160"/>
      </w:r>
      <w:r w:rsidRPr="0005379F">
        <w:rPr>
          <w:lang w:val="en-AU"/>
        </w:rPr>
        <w:t xml:space="preserve"> </w:t>
      </w:r>
    </w:p>
    <w:p w14:paraId="562786F0" w14:textId="381ADCD2" w:rsidR="00814869" w:rsidRPr="0005379F" w:rsidRDefault="00814869" w:rsidP="007F64E7">
      <w:pPr>
        <w:widowControl w:val="0"/>
        <w:autoSpaceDE w:val="0"/>
        <w:autoSpaceDN w:val="0"/>
        <w:adjustRightInd w:val="0"/>
        <w:spacing w:before="240" w:after="240"/>
        <w:rPr>
          <w:lang w:val="en-AU"/>
        </w:rPr>
      </w:pPr>
      <w:r w:rsidRPr="0005379F">
        <w:rPr>
          <w:lang w:val="en-AU"/>
        </w:rPr>
        <w:t>Health services</w:t>
      </w:r>
      <w:r w:rsidR="00575B73">
        <w:rPr>
          <w:lang w:val="en-AU"/>
        </w:rPr>
        <w:t xml:space="preserve"> </w:t>
      </w:r>
      <w:r w:rsidRPr="0005379F">
        <w:rPr>
          <w:lang w:val="en-AU"/>
        </w:rPr>
        <w:t>also provide pathways to employment for community members through internships and ‘in-house’ training.</w:t>
      </w:r>
      <w:r w:rsidRPr="0005379F" w:rsidDel="00BF4973">
        <w:rPr>
          <w:lang w:val="en-AU"/>
        </w:rPr>
        <w:t xml:space="preserve"> Th</w:t>
      </w:r>
      <w:r w:rsidRPr="0005379F">
        <w:rPr>
          <w:lang w:val="en-AU"/>
        </w:rPr>
        <w:t>is</w:t>
      </w:r>
      <w:r w:rsidRPr="0005379F" w:rsidDel="00BF4973">
        <w:rPr>
          <w:lang w:val="en-AU"/>
        </w:rPr>
        <w:t xml:space="preserve"> reduce</w:t>
      </w:r>
      <w:r w:rsidRPr="0005379F">
        <w:rPr>
          <w:lang w:val="en-AU"/>
        </w:rPr>
        <w:t>s</w:t>
      </w:r>
      <w:r w:rsidRPr="0005379F" w:rsidDel="00BF4973">
        <w:rPr>
          <w:lang w:val="en-AU"/>
        </w:rPr>
        <w:t xml:space="preserve"> welfare dependency and connect</w:t>
      </w:r>
      <w:r w:rsidRPr="0005379F">
        <w:rPr>
          <w:lang w:val="en-AU"/>
        </w:rPr>
        <w:t>s</w:t>
      </w:r>
      <w:r w:rsidRPr="0005379F" w:rsidDel="00BF4973">
        <w:rPr>
          <w:lang w:val="en-AU"/>
        </w:rPr>
        <w:t xml:space="preserve"> individuals, families and communities to the wider economy. Flow-on benefits include the enabling of healthy norms and </w:t>
      </w:r>
      <w:r w:rsidRPr="0005379F" w:rsidDel="00BF4973">
        <w:rPr>
          <w:lang w:val="en-AU"/>
        </w:rPr>
        <w:lastRenderedPageBreak/>
        <w:t xml:space="preserve">routines for community members and their families. </w:t>
      </w:r>
      <w:r w:rsidRPr="0005379F">
        <w:rPr>
          <w:lang w:val="en-AU"/>
        </w:rPr>
        <w:t xml:space="preserve">Investment in </w:t>
      </w:r>
      <w:r w:rsidR="00575B73">
        <w:rPr>
          <w:lang w:val="en-AU"/>
        </w:rPr>
        <w:t>health</w:t>
      </w:r>
      <w:r w:rsidRPr="0005379F">
        <w:rPr>
          <w:lang w:val="en-AU"/>
        </w:rPr>
        <w:t xml:space="preserve"> has a multiplier effect in communities beyond the critical improvements in health that they deliver.</w:t>
      </w:r>
    </w:p>
    <w:p w14:paraId="457082D9" w14:textId="77777777" w:rsidR="00814869" w:rsidRPr="0005379F" w:rsidRDefault="00814869" w:rsidP="006220E0">
      <w:pPr>
        <w:autoSpaceDE w:val="0"/>
        <w:autoSpaceDN w:val="0"/>
        <w:adjustRightInd w:val="0"/>
        <w:spacing w:before="240" w:after="240"/>
        <w:rPr>
          <w:rFonts w:asciiTheme="majorHAnsi" w:hAnsiTheme="majorHAnsi" w:cs="Calibri"/>
          <w:bCs/>
          <w:color w:val="000000"/>
          <w:lang w:val="en-AU"/>
        </w:rPr>
      </w:pPr>
      <w:r w:rsidRPr="006A24D8">
        <w:rPr>
          <w:lang w:val="en-AU"/>
        </w:rPr>
        <w:t>The Campaign Steering Committee believes that connecting the IAS to the existing Close the Gap Strategy will bring advantages to both, contributing to</w:t>
      </w:r>
      <w:r w:rsidRPr="0005379F">
        <w:rPr>
          <w:rFonts w:asciiTheme="majorHAnsi" w:hAnsiTheme="majorHAnsi" w:cs="Calibri"/>
          <w:bCs/>
          <w:color w:val="000000"/>
          <w:lang w:val="en-AU"/>
        </w:rPr>
        <w:t xml:space="preserve"> a broader, holistic approach that includes health at the national level. </w:t>
      </w:r>
    </w:p>
    <w:p w14:paraId="08589A9F" w14:textId="7DA774D8" w:rsidR="00814869" w:rsidRPr="001C29B3" w:rsidRDefault="00814869" w:rsidP="006220E0">
      <w:pPr>
        <w:autoSpaceDE w:val="0"/>
        <w:autoSpaceDN w:val="0"/>
        <w:adjustRightInd w:val="0"/>
        <w:spacing w:before="240" w:after="240"/>
        <w:rPr>
          <w:rFonts w:asciiTheme="majorHAnsi" w:hAnsiTheme="majorHAnsi" w:cs="Times"/>
          <w:lang w:val="en-AU"/>
        </w:rPr>
      </w:pPr>
      <w:r w:rsidRPr="001C29B3">
        <w:rPr>
          <w:rFonts w:asciiTheme="majorHAnsi" w:hAnsiTheme="majorHAnsi"/>
          <w:lang w:val="en-AU"/>
        </w:rPr>
        <w:t xml:space="preserve">Another important finding of the </w:t>
      </w:r>
      <w:r w:rsidRPr="001C29B3">
        <w:rPr>
          <w:rFonts w:asciiTheme="majorHAnsi" w:eastAsia="Times New Roman" w:hAnsiTheme="majorHAnsi" w:cs="Times"/>
          <w:lang w:val="en-AU"/>
        </w:rPr>
        <w:t xml:space="preserve">Reeve study </w:t>
      </w:r>
      <w:r w:rsidR="009A737A">
        <w:rPr>
          <w:rFonts w:asciiTheme="majorHAnsi" w:eastAsia="Times New Roman" w:hAnsiTheme="majorHAnsi" w:cs="Times"/>
          <w:lang w:val="en-AU"/>
        </w:rPr>
        <w:t xml:space="preserve">(discussed above) </w:t>
      </w:r>
      <w:r w:rsidRPr="001C29B3">
        <w:rPr>
          <w:rFonts w:asciiTheme="majorHAnsi" w:eastAsia="Times New Roman" w:hAnsiTheme="majorHAnsi" w:cs="Times"/>
          <w:lang w:val="en-AU"/>
        </w:rPr>
        <w:t>into the ‘diabetes gap’ was</w:t>
      </w:r>
      <w:r w:rsidRPr="001C29B3">
        <w:rPr>
          <w:rFonts w:asciiTheme="majorHAnsi" w:hAnsiTheme="majorHAnsi" w:cs="Times"/>
          <w:lang w:val="en-AU"/>
        </w:rPr>
        <w:t xml:space="preserve"> an association between lower levels of school education and higher prevalence of diabetes, possibly due to reduced capacity to access, interpret and act upon information.</w:t>
      </w:r>
      <w:r w:rsidRPr="001C29B3">
        <w:rPr>
          <w:rStyle w:val="EndnoteReference"/>
          <w:rFonts w:cs="Times"/>
          <w:lang w:val="en-AU"/>
        </w:rPr>
        <w:endnoteReference w:id="161"/>
      </w:r>
      <w:r w:rsidRPr="001C29B3">
        <w:rPr>
          <w:rFonts w:asciiTheme="majorHAnsi" w:hAnsiTheme="majorHAnsi" w:cs="Times"/>
          <w:lang w:val="en-AU"/>
        </w:rPr>
        <w:t xml:space="preserve"> The study concludes:</w:t>
      </w:r>
    </w:p>
    <w:p w14:paraId="4A308CCB" w14:textId="77777777" w:rsidR="00814869" w:rsidRPr="0005379F" w:rsidRDefault="00814869" w:rsidP="0097460C">
      <w:pPr>
        <w:widowControl w:val="0"/>
        <w:autoSpaceDE w:val="0"/>
        <w:autoSpaceDN w:val="0"/>
        <w:adjustRightInd w:val="0"/>
        <w:spacing w:before="240" w:after="240"/>
        <w:ind w:left="720"/>
        <w:rPr>
          <w:rFonts w:asciiTheme="majorHAnsi" w:hAnsiTheme="majorHAnsi" w:cs="Times"/>
          <w:i/>
          <w:color w:val="1A1718"/>
          <w:lang w:val="en-AU"/>
        </w:rPr>
      </w:pPr>
      <w:r w:rsidRPr="0005379F">
        <w:rPr>
          <w:rFonts w:asciiTheme="majorHAnsi" w:hAnsiTheme="majorHAnsi" w:cs="Times"/>
          <w:i/>
          <w:color w:val="1A1718"/>
          <w:lang w:val="en-AU"/>
        </w:rPr>
        <w:t>If the significance of education is indicative of the capacity to access and act on health information, health promotion initiatives that provide information about healthy lifestyles and encourage increased engagement with primary care services should aid in prevention through earlier detection of pre-diabetes.</w:t>
      </w:r>
      <w:r w:rsidRPr="0005379F">
        <w:rPr>
          <w:rStyle w:val="EndnoteReference"/>
          <w:rFonts w:cs="Times"/>
          <w:i/>
          <w:color w:val="1A1718"/>
          <w:lang w:val="en-AU"/>
        </w:rPr>
        <w:endnoteReference w:id="162"/>
      </w:r>
    </w:p>
    <w:p w14:paraId="43962914" w14:textId="77777777" w:rsidR="00814869" w:rsidRPr="0005379F" w:rsidRDefault="00814869" w:rsidP="006220E0">
      <w:pPr>
        <w:widowControl w:val="0"/>
        <w:autoSpaceDE w:val="0"/>
        <w:autoSpaceDN w:val="0"/>
        <w:adjustRightInd w:val="0"/>
        <w:spacing w:before="240" w:after="240"/>
        <w:rPr>
          <w:rFonts w:asciiTheme="majorHAnsi" w:hAnsiTheme="majorHAnsi" w:cs="Times"/>
          <w:color w:val="1A1718"/>
          <w:lang w:val="en-AU"/>
        </w:rPr>
      </w:pPr>
      <w:r w:rsidRPr="0005379F">
        <w:rPr>
          <w:rFonts w:asciiTheme="majorHAnsi" w:hAnsiTheme="majorHAnsi" w:cs="Times"/>
          <w:color w:val="1A1718"/>
          <w:lang w:val="en-AU"/>
        </w:rPr>
        <w:t>This again underscores the connectedness of education (an IAS priority) and health and the need to develop and expand the linkages between the IAS and the Closing the Gap Strategy for the enhancement of both.</w:t>
      </w:r>
    </w:p>
    <w:tbl>
      <w:tblPr>
        <w:tblStyle w:val="TableGrid"/>
        <w:tblW w:w="0" w:type="auto"/>
        <w:tblLook w:val="04A0" w:firstRow="1" w:lastRow="0" w:firstColumn="1" w:lastColumn="0" w:noHBand="0" w:noVBand="1"/>
      </w:tblPr>
      <w:tblGrid>
        <w:gridCol w:w="9286"/>
      </w:tblGrid>
      <w:tr w:rsidR="00814869" w:rsidRPr="006A24D8" w14:paraId="4DEC06B7" w14:textId="77777777" w:rsidTr="006220E0">
        <w:tc>
          <w:tcPr>
            <w:tcW w:w="9286" w:type="dxa"/>
            <w:shd w:val="clear" w:color="auto" w:fill="EEECE1" w:themeFill="background2"/>
          </w:tcPr>
          <w:p w14:paraId="72B2BC3B" w14:textId="54022529" w:rsidR="00814869" w:rsidRPr="0005379F" w:rsidRDefault="006A7E17" w:rsidP="006220E0">
            <w:pPr>
              <w:widowControl w:val="0"/>
              <w:autoSpaceDE w:val="0"/>
              <w:autoSpaceDN w:val="0"/>
              <w:adjustRightInd w:val="0"/>
              <w:spacing w:after="0"/>
              <w:rPr>
                <w:rFonts w:cs="Calibri"/>
                <w:b/>
                <w:bCs/>
                <w:color w:val="000000"/>
                <w:lang w:val="en-AU"/>
              </w:rPr>
            </w:pPr>
            <w:r>
              <w:rPr>
                <w:rFonts w:cs="Calibri"/>
                <w:b/>
                <w:bCs/>
                <w:color w:val="000000"/>
                <w:lang w:val="en-AU"/>
              </w:rPr>
              <w:t>Recommendation 4</w:t>
            </w:r>
            <w:r w:rsidR="00814869" w:rsidRPr="0005379F">
              <w:rPr>
                <w:rFonts w:cs="Calibri"/>
                <w:b/>
                <w:bCs/>
                <w:color w:val="000000"/>
                <w:lang w:val="en-AU"/>
              </w:rPr>
              <w:t xml:space="preserve">: </w:t>
            </w:r>
            <w:proofErr w:type="gramStart"/>
            <w:r w:rsidR="00814869" w:rsidRPr="0005379F">
              <w:rPr>
                <w:rFonts w:cs="Calibri"/>
                <w:b/>
                <w:bCs/>
                <w:color w:val="000000"/>
                <w:lang w:val="en-AU"/>
              </w:rPr>
              <w:t>That connections</w:t>
            </w:r>
            <w:proofErr w:type="gramEnd"/>
            <w:r w:rsidR="00814869" w:rsidRPr="0005379F">
              <w:rPr>
                <w:rFonts w:cs="Calibri"/>
                <w:b/>
                <w:bCs/>
                <w:color w:val="000000"/>
                <w:lang w:val="en-AU"/>
              </w:rPr>
              <w:t xml:space="preserve"> between the Indigenous Advancement Strategy and the Closing the Gap Strategy are</w:t>
            </w:r>
            <w:r w:rsidR="00394314" w:rsidRPr="0005379F">
              <w:rPr>
                <w:rFonts w:cs="Calibri"/>
                <w:b/>
                <w:bCs/>
                <w:color w:val="000000"/>
                <w:lang w:val="en-AU"/>
              </w:rPr>
              <w:t xml:space="preserve"> clearly</w:t>
            </w:r>
            <w:r w:rsidR="00814869" w:rsidRPr="0005379F">
              <w:rPr>
                <w:rFonts w:cs="Calibri"/>
                <w:b/>
                <w:bCs/>
                <w:color w:val="000000"/>
                <w:lang w:val="en-AU"/>
              </w:rPr>
              <w:t xml:space="preserve"> articulated and developed in recognition of their capacity to mutually support the other</w:t>
            </w:r>
            <w:r w:rsidR="006D1616">
              <w:rPr>
                <w:rFonts w:cs="Calibri"/>
                <w:b/>
                <w:bCs/>
                <w:color w:val="000000"/>
                <w:lang w:val="en-AU"/>
              </w:rPr>
              <w:t>’</w:t>
            </w:r>
            <w:r w:rsidR="00814869" w:rsidRPr="0005379F">
              <w:rPr>
                <w:rFonts w:cs="Calibri"/>
                <w:b/>
                <w:bCs/>
                <w:color w:val="000000"/>
                <w:lang w:val="en-AU"/>
              </w:rPr>
              <w:t>s priorities, including closing the health and life expectancy gap</w:t>
            </w:r>
            <w:r w:rsidR="005F1ED7" w:rsidRPr="0005379F">
              <w:rPr>
                <w:rFonts w:cs="Calibri"/>
                <w:b/>
                <w:bCs/>
                <w:color w:val="000000"/>
                <w:lang w:val="en-AU"/>
              </w:rPr>
              <w:t>s</w:t>
            </w:r>
            <w:r w:rsidR="00814869" w:rsidRPr="0005379F">
              <w:rPr>
                <w:rFonts w:cs="Calibri"/>
                <w:b/>
                <w:bCs/>
                <w:color w:val="000000"/>
                <w:lang w:val="en-AU"/>
              </w:rPr>
              <w:t>.</w:t>
            </w:r>
          </w:p>
        </w:tc>
      </w:tr>
    </w:tbl>
    <w:p w14:paraId="72CA67E1" w14:textId="77777777" w:rsidR="00814869" w:rsidRPr="0005379F" w:rsidRDefault="00814869" w:rsidP="006220E0">
      <w:pPr>
        <w:pStyle w:val="Heading2"/>
        <w:rPr>
          <w:lang w:val="en-AU"/>
        </w:rPr>
      </w:pPr>
      <w:bookmarkStart w:id="25" w:name="_Toc409788730"/>
      <w:r w:rsidRPr="0005379F">
        <w:rPr>
          <w:lang w:val="en-AU"/>
        </w:rPr>
        <w:t>Potential negative impact of proposed Budget measures</w:t>
      </w:r>
      <w:bookmarkEnd w:id="25"/>
    </w:p>
    <w:p w14:paraId="5A0014ED" w14:textId="77777777" w:rsidR="00814869" w:rsidRPr="0005379F" w:rsidRDefault="00814869" w:rsidP="006220E0">
      <w:pPr>
        <w:widowControl w:val="0"/>
        <w:autoSpaceDE w:val="0"/>
        <w:autoSpaceDN w:val="0"/>
        <w:adjustRightInd w:val="0"/>
        <w:spacing w:before="240" w:after="240"/>
        <w:rPr>
          <w:lang w:val="en-AU"/>
        </w:rPr>
      </w:pPr>
      <w:r w:rsidRPr="0005379F">
        <w:rPr>
          <w:lang w:val="en-AU"/>
        </w:rPr>
        <w:t xml:space="preserve">The Campaign Steering Committee is concerned about the potential negative impact of proposed measures </w:t>
      </w:r>
      <w:r w:rsidR="009C1E23">
        <w:rPr>
          <w:lang w:val="en-AU"/>
        </w:rPr>
        <w:t>contained in the 2014-15 Budget.</w:t>
      </w:r>
    </w:p>
    <w:p w14:paraId="502FC168" w14:textId="5E85F9C6" w:rsidR="00814869" w:rsidRPr="0005379F" w:rsidRDefault="00814869" w:rsidP="006220E0">
      <w:pPr>
        <w:widowControl w:val="0"/>
        <w:autoSpaceDE w:val="0"/>
        <w:autoSpaceDN w:val="0"/>
        <w:adjustRightInd w:val="0"/>
        <w:spacing w:before="240" w:after="240"/>
        <w:rPr>
          <w:lang w:val="en-AU"/>
        </w:rPr>
      </w:pPr>
      <w:r w:rsidRPr="0005379F">
        <w:rPr>
          <w:lang w:val="en-AU"/>
        </w:rPr>
        <w:t>Reported cuts of up to $130 million over five years from the Tackling Indigenous Smoking program</w:t>
      </w:r>
      <w:r w:rsidR="005F1ED7" w:rsidRPr="0005379F">
        <w:rPr>
          <w:lang w:val="en-AU"/>
        </w:rPr>
        <w:t>me</w:t>
      </w:r>
      <w:r w:rsidRPr="0005379F">
        <w:rPr>
          <w:lang w:val="en-AU"/>
        </w:rPr>
        <w:t xml:space="preserve"> are of particular concern. While this is now being explained in terms of a ‘freeze’ on recruitment of staff to the Tackling Smokin</w:t>
      </w:r>
      <w:r w:rsidR="000839BD">
        <w:rPr>
          <w:lang w:val="en-AU"/>
        </w:rPr>
        <w:t>g and Healthy Lifestyle T</w:t>
      </w:r>
      <w:r w:rsidRPr="0005379F">
        <w:rPr>
          <w:lang w:val="en-AU"/>
        </w:rPr>
        <w:t>eams, which are central to delivery of the program</w:t>
      </w:r>
      <w:r w:rsidR="00957843" w:rsidRPr="0005379F">
        <w:rPr>
          <w:lang w:val="en-AU"/>
        </w:rPr>
        <w:t>me</w:t>
      </w:r>
      <w:r w:rsidR="00437EE8">
        <w:rPr>
          <w:lang w:val="en-AU"/>
        </w:rPr>
        <w:t>,</w:t>
      </w:r>
      <w:r w:rsidR="00575B73">
        <w:rPr>
          <w:lang w:val="en-AU"/>
        </w:rPr>
        <w:t xml:space="preserve"> </w:t>
      </w:r>
      <w:r w:rsidRPr="0005379F">
        <w:rPr>
          <w:lang w:val="en-AU"/>
        </w:rPr>
        <w:t>it is still not clear what the long-term prospect for the program</w:t>
      </w:r>
      <w:r w:rsidR="00957843" w:rsidRPr="0005379F">
        <w:rPr>
          <w:lang w:val="en-AU"/>
        </w:rPr>
        <w:t>me</w:t>
      </w:r>
      <w:r w:rsidRPr="0005379F">
        <w:rPr>
          <w:lang w:val="en-AU"/>
        </w:rPr>
        <w:t xml:space="preserve"> is. </w:t>
      </w:r>
      <w:r w:rsidR="00E35666">
        <w:rPr>
          <w:lang w:val="en-AU"/>
        </w:rPr>
        <w:t>Following a review</w:t>
      </w:r>
      <w:r w:rsidR="003A0BAB">
        <w:rPr>
          <w:lang w:val="en-AU"/>
        </w:rPr>
        <w:t>,</w:t>
      </w:r>
      <w:r w:rsidR="00E35666">
        <w:rPr>
          <w:lang w:val="en-AU"/>
        </w:rPr>
        <w:t xml:space="preserve"> t</w:t>
      </w:r>
      <w:r w:rsidRPr="0005379F">
        <w:rPr>
          <w:lang w:val="en-AU"/>
        </w:rPr>
        <w:t>he future shape of the program</w:t>
      </w:r>
      <w:r w:rsidR="00957843" w:rsidRPr="0005379F">
        <w:rPr>
          <w:lang w:val="en-AU"/>
        </w:rPr>
        <w:t>me</w:t>
      </w:r>
      <w:r w:rsidRPr="0005379F">
        <w:rPr>
          <w:lang w:val="en-AU"/>
        </w:rPr>
        <w:t xml:space="preserve"> </w:t>
      </w:r>
      <w:r w:rsidR="00E35666">
        <w:rPr>
          <w:lang w:val="en-AU"/>
        </w:rPr>
        <w:t xml:space="preserve">is due </w:t>
      </w:r>
      <w:r w:rsidRPr="0005379F">
        <w:rPr>
          <w:lang w:val="en-AU"/>
        </w:rPr>
        <w:t>to be announced in early 2015.  The freeze on recruitment reduces the reach of the program</w:t>
      </w:r>
      <w:r w:rsidR="00957843" w:rsidRPr="0005379F">
        <w:rPr>
          <w:lang w:val="en-AU"/>
        </w:rPr>
        <w:t>me</w:t>
      </w:r>
      <w:r w:rsidRPr="0005379F">
        <w:rPr>
          <w:lang w:val="en-AU"/>
        </w:rPr>
        <w:t>, undermines the momentum built to date, and erodes the program</w:t>
      </w:r>
      <w:r w:rsidR="00957843" w:rsidRPr="0005379F">
        <w:rPr>
          <w:lang w:val="en-AU"/>
        </w:rPr>
        <w:t>me</w:t>
      </w:r>
      <w:r w:rsidRPr="0005379F">
        <w:rPr>
          <w:lang w:val="en-AU"/>
        </w:rPr>
        <w:t>’s goodwill developed with Aboriginal and Torres Strait Islander communities.</w:t>
      </w:r>
    </w:p>
    <w:p w14:paraId="531B8F8B" w14:textId="686D14D9" w:rsidR="00814869" w:rsidRPr="0005379F" w:rsidRDefault="00814869" w:rsidP="006220E0">
      <w:pPr>
        <w:widowControl w:val="0"/>
        <w:autoSpaceDE w:val="0"/>
        <w:autoSpaceDN w:val="0"/>
        <w:adjustRightInd w:val="0"/>
        <w:spacing w:before="240" w:after="240"/>
        <w:rPr>
          <w:lang w:val="en-AU"/>
        </w:rPr>
      </w:pPr>
      <w:r w:rsidRPr="0005379F">
        <w:rPr>
          <w:lang w:val="en-AU"/>
        </w:rPr>
        <w:t xml:space="preserve">The reduction in Aboriginal and Torres Strait Islander smoking rates by </w:t>
      </w:r>
      <w:r w:rsidR="006D1616">
        <w:rPr>
          <w:lang w:val="en-AU"/>
        </w:rPr>
        <w:t>10</w:t>
      </w:r>
      <w:r w:rsidRPr="0005379F">
        <w:rPr>
          <w:lang w:val="en-AU"/>
        </w:rPr>
        <w:t xml:space="preserve"> percent over the last decade, as well as the marked increase in the number of Aboriginal and Torres Strait Islander people not taking up smoking, demonstrates that efforts to cut smoking rates are working and that further gains are possible. </w:t>
      </w:r>
      <w:r w:rsidR="00830462" w:rsidRPr="0005379F">
        <w:rPr>
          <w:lang w:val="en-AU"/>
        </w:rPr>
        <w:t xml:space="preserve">As explored in </w:t>
      </w:r>
      <w:r w:rsidR="003A0BAB">
        <w:rPr>
          <w:lang w:val="en-AU"/>
        </w:rPr>
        <w:t>Chapter 1</w:t>
      </w:r>
      <w:r w:rsidR="00830462" w:rsidRPr="0005379F">
        <w:rPr>
          <w:lang w:val="en-AU"/>
        </w:rPr>
        <w:t xml:space="preserve">, there is a clear link between smoking and poor outcomes in </w:t>
      </w:r>
      <w:r w:rsidR="00830462" w:rsidRPr="006A24D8">
        <w:rPr>
          <w:lang w:val="en-AU"/>
        </w:rPr>
        <w:t>child mortality and life expectancy.</w:t>
      </w:r>
    </w:p>
    <w:tbl>
      <w:tblPr>
        <w:tblStyle w:val="TableGrid"/>
        <w:tblW w:w="0" w:type="auto"/>
        <w:tblLook w:val="04A0" w:firstRow="1" w:lastRow="0" w:firstColumn="1" w:lastColumn="0" w:noHBand="0" w:noVBand="1"/>
      </w:tblPr>
      <w:tblGrid>
        <w:gridCol w:w="9286"/>
      </w:tblGrid>
      <w:tr w:rsidR="00814869" w:rsidRPr="006A24D8" w14:paraId="3FA27A73" w14:textId="77777777" w:rsidTr="006220E0">
        <w:tc>
          <w:tcPr>
            <w:tcW w:w="9286" w:type="dxa"/>
            <w:shd w:val="clear" w:color="auto" w:fill="EEECE1" w:themeFill="background2"/>
          </w:tcPr>
          <w:p w14:paraId="635E9C63" w14:textId="0E9FAEB8" w:rsidR="00814869" w:rsidRPr="0005379F" w:rsidRDefault="006A7E17" w:rsidP="006220E0">
            <w:pPr>
              <w:widowControl w:val="0"/>
              <w:autoSpaceDE w:val="0"/>
              <w:autoSpaceDN w:val="0"/>
              <w:adjustRightInd w:val="0"/>
              <w:spacing w:after="0"/>
              <w:rPr>
                <w:rFonts w:cs="Calibri"/>
                <w:b/>
                <w:bCs/>
                <w:color w:val="000000"/>
                <w:lang w:val="en-AU"/>
              </w:rPr>
            </w:pPr>
            <w:r>
              <w:rPr>
                <w:b/>
                <w:lang w:val="en-AU"/>
              </w:rPr>
              <w:t>Recommendation 5</w:t>
            </w:r>
            <w:r w:rsidR="00814869" w:rsidRPr="0005379F">
              <w:rPr>
                <w:b/>
                <w:lang w:val="en-AU"/>
              </w:rPr>
              <w:t xml:space="preserve">: </w:t>
            </w:r>
            <w:r w:rsidR="00957843" w:rsidRPr="0005379F">
              <w:rPr>
                <w:b/>
                <w:lang w:val="en-AU"/>
              </w:rPr>
              <w:t>That the Tackling Indigenous Smoking programme is retained and funding is increased above current levels to enable consolidation, improvement and expansion of activities until the gap in the rates of smoking between Aboriginal and Torres Strait Islander and non-Indigenous people closes</w:t>
            </w:r>
            <w:r w:rsidR="00814869" w:rsidRPr="0005379F">
              <w:rPr>
                <w:b/>
                <w:lang w:val="en-AU"/>
              </w:rPr>
              <w:t>.</w:t>
            </w:r>
          </w:p>
        </w:tc>
      </w:tr>
    </w:tbl>
    <w:p w14:paraId="57406A9D" w14:textId="5D2433C9" w:rsidR="00814869" w:rsidRPr="0005379F" w:rsidRDefault="00814869" w:rsidP="006220E0">
      <w:pPr>
        <w:widowControl w:val="0"/>
        <w:autoSpaceDE w:val="0"/>
        <w:autoSpaceDN w:val="0"/>
        <w:adjustRightInd w:val="0"/>
        <w:spacing w:before="240" w:after="240"/>
        <w:rPr>
          <w:lang w:val="en-AU"/>
        </w:rPr>
      </w:pPr>
      <w:r w:rsidRPr="0005379F">
        <w:rPr>
          <w:lang w:val="en-AU"/>
        </w:rPr>
        <w:t xml:space="preserve">This recommendation requires not only maintaining current levels of funding, but increasing funding as the </w:t>
      </w:r>
      <w:r w:rsidR="000839BD" w:rsidRPr="000839BD">
        <w:rPr>
          <w:lang w:val="en-AU"/>
        </w:rPr>
        <w:t xml:space="preserve">Tackling Smoking and Healthy Lifestyle Teams </w:t>
      </w:r>
      <w:r w:rsidRPr="0005379F">
        <w:rPr>
          <w:lang w:val="en-AU"/>
        </w:rPr>
        <w:t>are fully established and start to consolidate and expand their activities.  Reducing smoking among Aboriginal and Torres Strait Islander mothers while pregnant should remain a particular focus, along with prevention of take-up by Aboriginal and Torres Strait Islander children and youth, through a population health campaign approach.</w:t>
      </w:r>
    </w:p>
    <w:p w14:paraId="5D46E4E5" w14:textId="77777777" w:rsidR="00814869" w:rsidRPr="0005379F" w:rsidRDefault="00814869" w:rsidP="006220E0">
      <w:pPr>
        <w:spacing w:before="240" w:after="240"/>
        <w:rPr>
          <w:lang w:val="en-AU"/>
        </w:rPr>
      </w:pPr>
      <w:r w:rsidRPr="0005379F">
        <w:rPr>
          <w:lang w:val="en-AU"/>
        </w:rPr>
        <w:lastRenderedPageBreak/>
        <w:t xml:space="preserve">The Campaign Steering Committee is also concerned that the $89 million will be saved by slowing investments in primary health care funding prior to the implementation of the new funding approach and that funding in relation to activities under the expiring </w:t>
      </w:r>
      <w:r w:rsidRPr="0005379F">
        <w:rPr>
          <w:i/>
          <w:lang w:val="en-AU"/>
        </w:rPr>
        <w:t>National Partnership Agreement on Indigenous Early Childhood Development</w:t>
      </w:r>
      <w:r w:rsidRPr="0005379F">
        <w:rPr>
          <w:lang w:val="en-AU"/>
        </w:rPr>
        <w:t xml:space="preserve"> will not be replaced.</w:t>
      </w:r>
      <w:r w:rsidRPr="0005379F">
        <w:rPr>
          <w:rStyle w:val="EndnoteReference"/>
          <w:lang w:val="en-AU"/>
        </w:rPr>
        <w:endnoteReference w:id="163"/>
      </w:r>
    </w:p>
    <w:p w14:paraId="03C8198F" w14:textId="5E4512C6" w:rsidR="00814869" w:rsidRPr="0005379F" w:rsidRDefault="00814869" w:rsidP="006220E0">
      <w:pPr>
        <w:spacing w:before="240" w:after="240"/>
        <w:rPr>
          <w:lang w:val="en-AU"/>
        </w:rPr>
      </w:pPr>
      <w:r w:rsidRPr="0005379F">
        <w:rPr>
          <w:lang w:val="en-AU"/>
        </w:rPr>
        <w:t>As noted i</w:t>
      </w:r>
      <w:r w:rsidR="003A0BAB">
        <w:rPr>
          <w:lang w:val="en-AU"/>
        </w:rPr>
        <w:t xml:space="preserve">n the Forrest Review, reducing </w:t>
      </w:r>
      <w:r w:rsidRPr="0005379F">
        <w:rPr>
          <w:lang w:val="en-AU"/>
        </w:rPr>
        <w:t>funding for early childhood program</w:t>
      </w:r>
      <w:r w:rsidR="001C29B3">
        <w:rPr>
          <w:lang w:val="en-AU"/>
        </w:rPr>
        <w:t>me</w:t>
      </w:r>
      <w:r w:rsidRPr="0005379F">
        <w:rPr>
          <w:lang w:val="en-AU"/>
        </w:rPr>
        <w:t xml:space="preserve">s is short-sighted in terms of health outcomes among the resulting adult population. It is also an incredibly inefficient way of making cuts – a dollar saved in the early childhood years may result in many more dollars being spent </w:t>
      </w:r>
      <w:r w:rsidR="003A0BAB">
        <w:rPr>
          <w:lang w:val="en-AU"/>
        </w:rPr>
        <w:t>later on</w:t>
      </w:r>
      <w:r w:rsidRPr="0005379F">
        <w:rPr>
          <w:lang w:val="en-AU"/>
        </w:rPr>
        <w:t>:</w:t>
      </w:r>
    </w:p>
    <w:p w14:paraId="2E8939CC" w14:textId="77777777" w:rsidR="00814869" w:rsidRPr="0005379F" w:rsidRDefault="00814869" w:rsidP="00BD2F72">
      <w:pPr>
        <w:spacing w:before="240" w:after="240"/>
        <w:ind w:left="720"/>
        <w:rPr>
          <w:i/>
          <w:lang w:val="en-AU"/>
        </w:rPr>
      </w:pPr>
      <w:r w:rsidRPr="0005379F">
        <w:rPr>
          <w:i/>
          <w:lang w:val="en-AU"/>
        </w:rPr>
        <w:t>If we get early childhood development and school education right, we don’t need to invest in or waste money by the billions in other areas as we do now. Measures relating to early childhood and school education are a long-term fix.</w:t>
      </w:r>
      <w:r w:rsidRPr="0005379F">
        <w:rPr>
          <w:rStyle w:val="EndnoteReference"/>
          <w:i/>
          <w:lang w:val="en-AU"/>
        </w:rPr>
        <w:endnoteReference w:id="164"/>
      </w:r>
      <w:r w:rsidRPr="0005379F">
        <w:rPr>
          <w:i/>
          <w:lang w:val="en-AU"/>
        </w:rPr>
        <w:t xml:space="preserve"> </w:t>
      </w:r>
    </w:p>
    <w:p w14:paraId="617B1F73" w14:textId="77777777" w:rsidR="00814869" w:rsidRPr="0005379F" w:rsidRDefault="00814869" w:rsidP="00BD2F72">
      <w:pPr>
        <w:spacing w:before="240" w:after="240"/>
        <w:rPr>
          <w:lang w:val="en-AU"/>
        </w:rPr>
      </w:pPr>
      <w:r w:rsidRPr="0005379F">
        <w:rPr>
          <w:lang w:val="en-AU"/>
        </w:rPr>
        <w:t xml:space="preserve">Recommendation </w:t>
      </w:r>
      <w:r w:rsidR="001C29B3">
        <w:rPr>
          <w:lang w:val="en-AU"/>
        </w:rPr>
        <w:t xml:space="preserve">1 of the Forrest Review is for </w:t>
      </w:r>
      <w:r w:rsidRPr="0005379F">
        <w:rPr>
          <w:lang w:val="en-AU"/>
        </w:rPr>
        <w:t>all governments to prioritise investment in early childhood, from conception to three years of age.</w:t>
      </w:r>
      <w:r w:rsidRPr="0005379F">
        <w:rPr>
          <w:rStyle w:val="EndnoteReference"/>
          <w:lang w:val="en-AU"/>
        </w:rPr>
        <w:endnoteReference w:id="165"/>
      </w:r>
      <w:r w:rsidRPr="0005379F">
        <w:rPr>
          <w:lang w:val="en-AU"/>
        </w:rPr>
        <w:t xml:space="preserve"> While the Campaign Steering Committee has concerns with the Forrest Review including the breadth of its recommendations,</w:t>
      </w:r>
      <w:r w:rsidRPr="0005379F">
        <w:rPr>
          <w:rStyle w:val="EndnoteReference"/>
          <w:lang w:val="en-AU"/>
        </w:rPr>
        <w:endnoteReference w:id="166"/>
      </w:r>
      <w:r w:rsidRPr="0005379F">
        <w:rPr>
          <w:lang w:val="en-AU"/>
        </w:rPr>
        <w:t xml:space="preserve"> nonetheless it wholeheartedly supports the recognition of the importance of early childhood development. </w:t>
      </w:r>
      <w:r w:rsidR="00F23F02" w:rsidRPr="0005379F">
        <w:rPr>
          <w:lang w:val="en-AU"/>
        </w:rPr>
        <w:t xml:space="preserve">At the time of writing this report the </w:t>
      </w:r>
      <w:r w:rsidR="004279E1">
        <w:rPr>
          <w:lang w:val="en-AU"/>
        </w:rPr>
        <w:t>Australian</w:t>
      </w:r>
      <w:r w:rsidR="00F23F02" w:rsidRPr="0005379F">
        <w:rPr>
          <w:lang w:val="en-AU"/>
        </w:rPr>
        <w:t xml:space="preserve"> Government was yet to respond to the Forrest Review.</w:t>
      </w:r>
    </w:p>
    <w:p w14:paraId="4B725E89" w14:textId="3BC5AAC4" w:rsidR="00814869" w:rsidRPr="0005379F" w:rsidRDefault="00814869" w:rsidP="00BD2F72">
      <w:pPr>
        <w:spacing w:before="240" w:after="240"/>
        <w:rPr>
          <w:lang w:val="en-AU"/>
        </w:rPr>
      </w:pPr>
      <w:r w:rsidRPr="0005379F">
        <w:rPr>
          <w:lang w:val="en-AU"/>
        </w:rPr>
        <w:t xml:space="preserve">The Campaign Steering Committee also notes the creation of the </w:t>
      </w:r>
      <w:r w:rsidRPr="0005379F">
        <w:rPr>
          <w:i/>
          <w:lang w:val="en-AU"/>
        </w:rPr>
        <w:t>Indigenous Australians’ Health Programme</w:t>
      </w:r>
      <w:r w:rsidRPr="0005379F">
        <w:rPr>
          <w:lang w:val="en-AU"/>
        </w:rPr>
        <w:t xml:space="preserve"> and the new funding allocation methodology for Indigenous health grant</w:t>
      </w:r>
      <w:r w:rsidR="006D1616">
        <w:rPr>
          <w:lang w:val="en-AU"/>
        </w:rPr>
        <w:t>s</w:t>
      </w:r>
      <w:r w:rsidRPr="0005379F">
        <w:rPr>
          <w:lang w:val="en-AU"/>
        </w:rPr>
        <w:t>.</w:t>
      </w:r>
      <w:r w:rsidRPr="0005379F">
        <w:rPr>
          <w:rStyle w:val="EndnoteReference"/>
          <w:lang w:val="en-AU"/>
        </w:rPr>
        <w:endnoteReference w:id="167"/>
      </w:r>
      <w:r w:rsidRPr="0005379F">
        <w:rPr>
          <w:lang w:val="en-AU"/>
        </w:rPr>
        <w:t xml:space="preserve"> The Campaign Steering Committee supports a new funding formula for Aboriginal and Torres Strait Islander health services</w:t>
      </w:r>
      <w:r w:rsidR="00893220" w:rsidRPr="0005379F">
        <w:rPr>
          <w:lang w:val="en-AU"/>
        </w:rPr>
        <w:t xml:space="preserve"> that is developed </w:t>
      </w:r>
      <w:r w:rsidRPr="0005379F">
        <w:rPr>
          <w:lang w:val="en-AU"/>
        </w:rPr>
        <w:t>with</w:t>
      </w:r>
      <w:r w:rsidR="00893220" w:rsidRPr="0005379F">
        <w:rPr>
          <w:lang w:val="en-AU"/>
        </w:rPr>
        <w:t xml:space="preserve"> the full and effective participation of</w:t>
      </w:r>
      <w:r w:rsidRPr="0005379F">
        <w:rPr>
          <w:lang w:val="en-AU"/>
        </w:rPr>
        <w:t xml:space="preserve"> Aboriginal and Torres Strait Islander peoples and their representative organisations. </w:t>
      </w:r>
    </w:p>
    <w:p w14:paraId="7DA18CDA" w14:textId="2934E431" w:rsidR="00814869" w:rsidRPr="0005379F" w:rsidRDefault="00814869" w:rsidP="009E4279">
      <w:pPr>
        <w:spacing w:before="240" w:after="240"/>
        <w:rPr>
          <w:lang w:val="en-AU"/>
        </w:rPr>
      </w:pPr>
      <w:r w:rsidRPr="0005379F">
        <w:rPr>
          <w:b/>
          <w:i/>
          <w:lang w:val="en-AU"/>
        </w:rPr>
        <w:t>The formula must be indexed for population growth and inflation, be geographically equitable and focus on areas with poor health outcomes and inadequate health services</w:t>
      </w:r>
      <w:r w:rsidRPr="0005379F">
        <w:rPr>
          <w:lang w:val="en-AU"/>
        </w:rPr>
        <w:t xml:space="preserve">. </w:t>
      </w:r>
      <w:r w:rsidR="000839BD">
        <w:rPr>
          <w:lang w:val="en-AU"/>
        </w:rPr>
        <w:t>Further, the</w:t>
      </w:r>
      <w:r w:rsidRPr="0005379F">
        <w:rPr>
          <w:lang w:val="en-AU"/>
        </w:rPr>
        <w:t xml:space="preserve"> evidence which demonstrates that ACCHS have inherent advantages as the provider of choice in terms of both better access and higher quality of service is to be utilised in developing this funding allocation.</w:t>
      </w:r>
      <w:r w:rsidRPr="0005379F">
        <w:rPr>
          <w:rStyle w:val="EndnoteReference"/>
          <w:lang w:val="en-AU"/>
        </w:rPr>
        <w:endnoteReference w:id="168"/>
      </w:r>
    </w:p>
    <w:p w14:paraId="39A5744B" w14:textId="77777777" w:rsidR="00814869" w:rsidRPr="0005379F" w:rsidRDefault="00814869" w:rsidP="009E4279">
      <w:pPr>
        <w:autoSpaceDE w:val="0"/>
        <w:autoSpaceDN w:val="0"/>
        <w:adjustRightInd w:val="0"/>
        <w:spacing w:before="240" w:after="240"/>
        <w:rPr>
          <w:rFonts w:cs="Calibri"/>
          <w:bCs/>
          <w:color w:val="000000"/>
          <w:lang w:val="en-AU"/>
        </w:rPr>
      </w:pPr>
      <w:r w:rsidRPr="0005379F">
        <w:rPr>
          <w:rFonts w:cs="Calibri"/>
          <w:bCs/>
          <w:color w:val="000000"/>
          <w:lang w:val="en-AU"/>
        </w:rPr>
        <w:t>The 2014-15 Budget and subsequent related developments also contains a number of proposed ‘mainstream’ measures that, if passed into law, will likely have a disproportionate impact on Aboriginal and Torres Strait Islan</w:t>
      </w:r>
      <w:r w:rsidR="00A33459" w:rsidRPr="0005379F">
        <w:rPr>
          <w:rFonts w:cs="Calibri"/>
          <w:bCs/>
          <w:color w:val="000000"/>
          <w:lang w:val="en-AU"/>
        </w:rPr>
        <w:t>der health. The</w:t>
      </w:r>
      <w:r w:rsidRPr="0005379F">
        <w:rPr>
          <w:rFonts w:cs="Calibri"/>
          <w:bCs/>
          <w:color w:val="000000"/>
          <w:lang w:val="en-AU"/>
        </w:rPr>
        <w:t>s</w:t>
      </w:r>
      <w:r w:rsidR="00A33459" w:rsidRPr="0005379F">
        <w:rPr>
          <w:rFonts w:cs="Calibri"/>
          <w:bCs/>
          <w:color w:val="000000"/>
          <w:lang w:val="en-AU"/>
        </w:rPr>
        <w:t>e include</w:t>
      </w:r>
      <w:r w:rsidRPr="0005379F">
        <w:rPr>
          <w:rFonts w:cs="Calibri"/>
          <w:bCs/>
          <w:color w:val="000000"/>
          <w:lang w:val="en-AU"/>
        </w:rPr>
        <w:t>:</w:t>
      </w:r>
    </w:p>
    <w:p w14:paraId="1B6B26B5" w14:textId="7086AB83" w:rsidR="00814869" w:rsidRPr="0005379F" w:rsidRDefault="00814869" w:rsidP="00644563">
      <w:pPr>
        <w:pStyle w:val="ListParagraph"/>
        <w:numPr>
          <w:ilvl w:val="0"/>
          <w:numId w:val="25"/>
        </w:numPr>
        <w:spacing w:before="120" w:after="120"/>
        <w:ind w:left="357" w:hanging="357"/>
        <w:contextualSpacing w:val="0"/>
        <w:rPr>
          <w:rFonts w:asciiTheme="majorHAnsi" w:hAnsiTheme="majorHAnsi"/>
          <w:lang w:val="en-AU"/>
        </w:rPr>
      </w:pPr>
      <w:r w:rsidRPr="0005379F">
        <w:rPr>
          <w:rFonts w:asciiTheme="majorHAnsi" w:hAnsiTheme="majorHAnsi"/>
          <w:lang w:val="en-AU"/>
        </w:rPr>
        <w:t xml:space="preserve">The </w:t>
      </w:r>
      <w:r w:rsidR="00E35666">
        <w:rPr>
          <w:rFonts w:asciiTheme="majorHAnsi" w:hAnsiTheme="majorHAnsi"/>
          <w:lang w:val="en-AU"/>
        </w:rPr>
        <w:t xml:space="preserve">various </w:t>
      </w:r>
      <w:r w:rsidR="003A0BAB">
        <w:rPr>
          <w:rFonts w:asciiTheme="majorHAnsi" w:hAnsiTheme="majorHAnsi"/>
          <w:lang w:val="en-AU"/>
        </w:rPr>
        <w:t xml:space="preserve">proposed changes </w:t>
      </w:r>
      <w:r w:rsidR="006D1616">
        <w:rPr>
          <w:rFonts w:asciiTheme="majorHAnsi" w:hAnsiTheme="majorHAnsi"/>
          <w:lang w:val="en-AU"/>
        </w:rPr>
        <w:t>by</w:t>
      </w:r>
      <w:r w:rsidR="003A0BAB">
        <w:rPr>
          <w:rFonts w:asciiTheme="majorHAnsi" w:hAnsiTheme="majorHAnsi"/>
          <w:lang w:val="en-AU"/>
        </w:rPr>
        <w:t xml:space="preserve"> </w:t>
      </w:r>
      <w:r w:rsidR="00575B73">
        <w:rPr>
          <w:rFonts w:asciiTheme="majorHAnsi" w:hAnsiTheme="majorHAnsi"/>
          <w:lang w:val="en-AU"/>
        </w:rPr>
        <w:t>the Australian G</w:t>
      </w:r>
      <w:r w:rsidR="00E35666">
        <w:rPr>
          <w:rFonts w:asciiTheme="majorHAnsi" w:hAnsiTheme="majorHAnsi"/>
          <w:lang w:val="en-AU"/>
        </w:rPr>
        <w:t xml:space="preserve">overnment regarding </w:t>
      </w:r>
      <w:r w:rsidR="00CB3242">
        <w:rPr>
          <w:rFonts w:asciiTheme="majorHAnsi" w:hAnsiTheme="majorHAnsi"/>
          <w:lang w:val="en-AU"/>
        </w:rPr>
        <w:t>a</w:t>
      </w:r>
      <w:r w:rsidRPr="0005379F">
        <w:rPr>
          <w:rFonts w:asciiTheme="majorHAnsi" w:hAnsiTheme="majorHAnsi"/>
          <w:lang w:val="en-AU"/>
        </w:rPr>
        <w:t xml:space="preserve"> co-payment for the Medicare Benefits Scheme (MBS) and the proposed increase to co-payments to the Pharmaceutical Benefits Scheme (PBS).</w:t>
      </w:r>
      <w:r w:rsidRPr="0005379F">
        <w:rPr>
          <w:rFonts w:asciiTheme="majorHAnsi" w:hAnsiTheme="majorHAnsi"/>
          <w:vertAlign w:val="superscript"/>
          <w:lang w:val="en-AU"/>
        </w:rPr>
        <w:endnoteReference w:id="169"/>
      </w:r>
      <w:r w:rsidRPr="0005379F">
        <w:rPr>
          <w:rFonts w:asciiTheme="majorHAnsi" w:hAnsiTheme="majorHAnsi"/>
          <w:lang w:val="en-AU"/>
        </w:rPr>
        <w:t xml:space="preserve"> The Campaign is firmly of the view that increasing out</w:t>
      </w:r>
      <w:r w:rsidR="006D1616">
        <w:rPr>
          <w:rFonts w:asciiTheme="majorHAnsi" w:hAnsiTheme="majorHAnsi"/>
          <w:lang w:val="en-AU"/>
        </w:rPr>
        <w:t>-</w:t>
      </w:r>
      <w:r w:rsidRPr="0005379F">
        <w:rPr>
          <w:rFonts w:asciiTheme="majorHAnsi" w:hAnsiTheme="majorHAnsi"/>
          <w:lang w:val="en-AU"/>
        </w:rPr>
        <w:t>of</w:t>
      </w:r>
      <w:r w:rsidR="006D1616">
        <w:rPr>
          <w:rFonts w:asciiTheme="majorHAnsi" w:hAnsiTheme="majorHAnsi"/>
          <w:lang w:val="en-AU"/>
        </w:rPr>
        <w:t>-</w:t>
      </w:r>
      <w:r w:rsidRPr="0005379F">
        <w:rPr>
          <w:rFonts w:asciiTheme="majorHAnsi" w:hAnsiTheme="majorHAnsi"/>
          <w:lang w:val="en-AU"/>
        </w:rPr>
        <w:t>pocket expenses for health care will further entrench existing barriers to equitable healthcare access for Aboriginal and Torres Strait Islander people</w:t>
      </w:r>
      <w:r w:rsidR="00CB54DE">
        <w:rPr>
          <w:rFonts w:asciiTheme="majorHAnsi" w:hAnsiTheme="majorHAnsi"/>
          <w:lang w:val="en-AU"/>
        </w:rPr>
        <w:t>s</w:t>
      </w:r>
      <w:r w:rsidRPr="0005379F">
        <w:rPr>
          <w:rFonts w:asciiTheme="majorHAnsi" w:hAnsiTheme="majorHAnsi"/>
          <w:lang w:val="en-AU"/>
        </w:rPr>
        <w:t xml:space="preserve">. </w:t>
      </w:r>
    </w:p>
    <w:p w14:paraId="78B8AFD6" w14:textId="3FCB9602" w:rsidR="00814869" w:rsidRPr="0005379F" w:rsidRDefault="003A0BAB" w:rsidP="00644563">
      <w:pPr>
        <w:pStyle w:val="ListParagraph"/>
        <w:numPr>
          <w:ilvl w:val="0"/>
          <w:numId w:val="25"/>
        </w:numPr>
        <w:spacing w:before="120" w:after="120"/>
        <w:ind w:left="357" w:hanging="357"/>
        <w:contextualSpacing w:val="0"/>
        <w:rPr>
          <w:rFonts w:asciiTheme="majorHAnsi" w:hAnsiTheme="majorHAnsi"/>
          <w:lang w:val="en-AU"/>
        </w:rPr>
      </w:pPr>
      <w:r>
        <w:rPr>
          <w:rFonts w:asciiTheme="majorHAnsi" w:hAnsiTheme="majorHAnsi"/>
          <w:lang w:val="en-AU"/>
        </w:rPr>
        <w:t>The c</w:t>
      </w:r>
      <w:r w:rsidR="00814869" w:rsidRPr="0005379F">
        <w:rPr>
          <w:rFonts w:asciiTheme="majorHAnsi" w:hAnsiTheme="majorHAnsi"/>
          <w:lang w:val="en-AU"/>
        </w:rPr>
        <w:t>uts to preventative health program</w:t>
      </w:r>
      <w:r w:rsidR="00EB1FA3">
        <w:rPr>
          <w:rFonts w:asciiTheme="majorHAnsi" w:hAnsiTheme="majorHAnsi"/>
          <w:lang w:val="en-AU"/>
        </w:rPr>
        <w:t>me</w:t>
      </w:r>
      <w:r w:rsidR="00814869" w:rsidRPr="0005379F">
        <w:rPr>
          <w:rFonts w:asciiTheme="majorHAnsi" w:hAnsiTheme="majorHAnsi"/>
          <w:lang w:val="en-AU"/>
        </w:rPr>
        <w:t>s in the budget.</w:t>
      </w:r>
      <w:r w:rsidR="00814869" w:rsidRPr="0005379F">
        <w:rPr>
          <w:rFonts w:asciiTheme="majorHAnsi" w:hAnsiTheme="majorHAnsi"/>
          <w:vertAlign w:val="superscript"/>
          <w:lang w:val="en-AU"/>
        </w:rPr>
        <w:endnoteReference w:id="170"/>
      </w:r>
      <w:r w:rsidR="00814869" w:rsidRPr="0005379F">
        <w:rPr>
          <w:rFonts w:asciiTheme="majorHAnsi" w:hAnsiTheme="majorHAnsi"/>
          <w:lang w:val="en-AU"/>
        </w:rPr>
        <w:t xml:space="preserve"> Preventative health initiatives could also have significant impact</w:t>
      </w:r>
      <w:r w:rsidR="005246A3" w:rsidRPr="0005379F">
        <w:rPr>
          <w:rFonts w:asciiTheme="majorHAnsi" w:hAnsiTheme="majorHAnsi"/>
          <w:lang w:val="en-AU"/>
        </w:rPr>
        <w:t>s</w:t>
      </w:r>
      <w:r w:rsidR="00814869" w:rsidRPr="0005379F">
        <w:rPr>
          <w:rFonts w:asciiTheme="majorHAnsi" w:hAnsiTheme="majorHAnsi"/>
          <w:lang w:val="en-AU"/>
        </w:rPr>
        <w:t xml:space="preserve"> on Aboriginal and Torres Strait Islander people</w:t>
      </w:r>
      <w:r w:rsidR="00CB54DE">
        <w:rPr>
          <w:rFonts w:asciiTheme="majorHAnsi" w:hAnsiTheme="majorHAnsi"/>
          <w:lang w:val="en-AU"/>
        </w:rPr>
        <w:t>s</w:t>
      </w:r>
      <w:r w:rsidR="00814869" w:rsidRPr="0005379F">
        <w:rPr>
          <w:rFonts w:asciiTheme="majorHAnsi" w:hAnsiTheme="majorHAnsi"/>
          <w:lang w:val="en-AU"/>
        </w:rPr>
        <w:t xml:space="preserve"> because of the negative </w:t>
      </w:r>
      <w:r w:rsidR="005246A3" w:rsidRPr="0005379F">
        <w:rPr>
          <w:rFonts w:asciiTheme="majorHAnsi" w:hAnsiTheme="majorHAnsi"/>
          <w:lang w:val="en-AU"/>
        </w:rPr>
        <w:t>effect</w:t>
      </w:r>
      <w:r w:rsidR="00814869" w:rsidRPr="0005379F">
        <w:rPr>
          <w:rFonts w:asciiTheme="majorHAnsi" w:hAnsiTheme="majorHAnsi"/>
          <w:lang w:val="en-AU"/>
        </w:rPr>
        <w:t xml:space="preserve"> this will have on addressing chronic disease. As outlined in Chapter 1 of this report chronic disease is a significant contributor to the health equality gap. </w:t>
      </w:r>
    </w:p>
    <w:p w14:paraId="603EACE3" w14:textId="7BFF164E" w:rsidR="009C1E23" w:rsidRDefault="00814869" w:rsidP="00644563">
      <w:pPr>
        <w:pStyle w:val="ListParagraph"/>
        <w:numPr>
          <w:ilvl w:val="0"/>
          <w:numId w:val="25"/>
        </w:numPr>
        <w:spacing w:before="120" w:after="120"/>
        <w:ind w:left="357" w:hanging="357"/>
        <w:contextualSpacing w:val="0"/>
        <w:rPr>
          <w:rFonts w:asciiTheme="majorHAnsi" w:hAnsiTheme="majorHAnsi"/>
          <w:lang w:val="en-AU"/>
        </w:rPr>
      </w:pPr>
      <w:r w:rsidRPr="0005379F">
        <w:rPr>
          <w:rFonts w:asciiTheme="majorHAnsi" w:hAnsiTheme="majorHAnsi"/>
          <w:lang w:val="en-AU"/>
        </w:rPr>
        <w:t xml:space="preserve">The </w:t>
      </w:r>
      <w:r w:rsidR="003A0BAB">
        <w:rPr>
          <w:rFonts w:asciiTheme="majorHAnsi" w:hAnsiTheme="majorHAnsi"/>
          <w:lang w:val="en-AU"/>
        </w:rPr>
        <w:t>proposal to</w:t>
      </w:r>
      <w:r w:rsidRPr="0005379F">
        <w:rPr>
          <w:rFonts w:asciiTheme="majorHAnsi" w:hAnsiTheme="majorHAnsi"/>
          <w:lang w:val="en-AU"/>
        </w:rPr>
        <w:t xml:space="preserve"> </w:t>
      </w:r>
      <w:r w:rsidR="00CB3242">
        <w:rPr>
          <w:rFonts w:asciiTheme="majorHAnsi" w:hAnsiTheme="majorHAnsi"/>
          <w:lang w:val="en-AU"/>
        </w:rPr>
        <w:t xml:space="preserve">withdraw </w:t>
      </w:r>
      <w:r w:rsidRPr="0005379F">
        <w:rPr>
          <w:rFonts w:asciiTheme="majorHAnsi" w:hAnsiTheme="majorHAnsi"/>
          <w:lang w:val="en-AU"/>
        </w:rPr>
        <w:t>funding from hospitals.</w:t>
      </w:r>
      <w:r w:rsidRPr="0005379F">
        <w:rPr>
          <w:rFonts w:asciiTheme="majorHAnsi" w:hAnsiTheme="majorHAnsi"/>
          <w:vertAlign w:val="superscript"/>
          <w:lang w:val="en-AU"/>
        </w:rPr>
        <w:endnoteReference w:id="171"/>
      </w:r>
      <w:r w:rsidRPr="0005379F">
        <w:rPr>
          <w:rFonts w:asciiTheme="majorHAnsi" w:hAnsiTheme="majorHAnsi"/>
          <w:vertAlign w:val="superscript"/>
          <w:lang w:val="en-AU"/>
        </w:rPr>
        <w:t xml:space="preserve"> </w:t>
      </w:r>
    </w:p>
    <w:p w14:paraId="5F7B5BF3" w14:textId="77777777" w:rsidR="009C1E23" w:rsidRPr="009C1E23" w:rsidRDefault="009C1E23" w:rsidP="009C1E23">
      <w:pPr>
        <w:spacing w:before="120" w:after="120"/>
        <w:rPr>
          <w:rFonts w:asciiTheme="majorHAnsi" w:hAnsiTheme="majorHAnsi"/>
          <w:lang w:val="en-AU"/>
        </w:rPr>
      </w:pPr>
      <w:r>
        <w:rPr>
          <w:rFonts w:asciiTheme="majorHAnsi" w:hAnsiTheme="majorHAnsi"/>
          <w:lang w:val="en-AU"/>
        </w:rPr>
        <w:t>In Chapter 3 the Campaign Steering Committee briefly co</w:t>
      </w:r>
      <w:r w:rsidR="00011FDF">
        <w:rPr>
          <w:rFonts w:asciiTheme="majorHAnsi" w:hAnsiTheme="majorHAnsi"/>
          <w:lang w:val="en-AU"/>
        </w:rPr>
        <w:t xml:space="preserve">nsiders the impact of proposed welfare reforms on Aboriginal and Torres Strait Islander youth. </w:t>
      </w:r>
    </w:p>
    <w:p w14:paraId="1A83712A" w14:textId="77777777" w:rsidR="00814869" w:rsidRPr="0005379F" w:rsidRDefault="00814869">
      <w:pPr>
        <w:rPr>
          <w:rFonts w:asciiTheme="majorHAnsi" w:eastAsia="Times New Roman" w:hAnsiTheme="majorHAnsi" w:cs="Arial"/>
          <w:b/>
          <w:bCs/>
          <w:color w:val="000000"/>
          <w:sz w:val="28"/>
          <w:szCs w:val="28"/>
          <w:lang w:val="en-AU"/>
        </w:rPr>
      </w:pPr>
      <w:r w:rsidRPr="0005379F">
        <w:rPr>
          <w:rFonts w:asciiTheme="majorHAnsi" w:eastAsia="Times New Roman" w:hAnsiTheme="majorHAnsi" w:cs="Arial"/>
          <w:color w:val="000000"/>
          <w:lang w:val="en-AU"/>
        </w:rPr>
        <w:br w:type="page"/>
      </w:r>
    </w:p>
    <w:p w14:paraId="3F9923B6" w14:textId="77777777" w:rsidR="00814869" w:rsidRPr="0005379F" w:rsidRDefault="00814869" w:rsidP="00714665">
      <w:pPr>
        <w:pStyle w:val="Heading1"/>
        <w:rPr>
          <w:lang w:val="en-AU"/>
        </w:rPr>
      </w:pPr>
      <w:bookmarkStart w:id="26" w:name="_Toc409788731"/>
      <w:r w:rsidRPr="0005379F">
        <w:rPr>
          <w:lang w:val="en-AU"/>
        </w:rPr>
        <w:lastRenderedPageBreak/>
        <w:t>Establishing effective pathways for positive change – an analysis by the Campaign Steering Committee</w:t>
      </w:r>
      <w:bookmarkEnd w:id="26"/>
    </w:p>
    <w:p w14:paraId="70FBD395" w14:textId="77777777" w:rsidR="00814869" w:rsidRPr="0005379F" w:rsidRDefault="00814869" w:rsidP="006220E0">
      <w:pPr>
        <w:spacing w:before="240" w:after="240"/>
        <w:ind w:left="720"/>
        <w:rPr>
          <w:rFonts w:asciiTheme="majorHAnsi" w:eastAsia="Times New Roman" w:hAnsiTheme="majorHAnsi"/>
          <w:i/>
          <w:sz w:val="16"/>
          <w:szCs w:val="16"/>
          <w:highlight w:val="yellow"/>
          <w:lang w:val="en-AU"/>
        </w:rPr>
      </w:pPr>
      <w:r w:rsidRPr="0005379F">
        <w:rPr>
          <w:rFonts w:cs="Calibri"/>
          <w:bCs/>
          <w:i/>
          <w:color w:val="000000"/>
          <w:lang w:val="en-AU"/>
        </w:rPr>
        <w:t>The need for a long-term approach and bipartisan support across the political divide [for addressing Aboriginal and Torres Strait Islander disadvantage] was stressed by those attending consultations across Australia and in the hundreds of written submissions to the review. First Australians and those working with them are rightly cynical about new government reform and how long it will last. The fundamentals of the… Closing the Gap strategy have bipartisan support and give us solid ground to build on.</w:t>
      </w:r>
      <w:r w:rsidRPr="0005379F">
        <w:rPr>
          <w:rStyle w:val="EndnoteReference"/>
          <w:rFonts w:cs="Calibri"/>
          <w:bCs/>
          <w:color w:val="000000"/>
          <w:lang w:val="en-AU"/>
        </w:rPr>
        <w:endnoteReference w:id="172"/>
      </w:r>
    </w:p>
    <w:p w14:paraId="07F0EC80" w14:textId="77777777" w:rsidR="00814869" w:rsidRPr="0005379F" w:rsidRDefault="00814869" w:rsidP="005E3F74">
      <w:pPr>
        <w:widowControl w:val="0"/>
        <w:autoSpaceDE w:val="0"/>
        <w:autoSpaceDN w:val="0"/>
        <w:adjustRightInd w:val="0"/>
        <w:jc w:val="center"/>
        <w:rPr>
          <w:rFonts w:asciiTheme="majorHAnsi" w:eastAsia="Times New Roman" w:hAnsiTheme="majorHAnsi" w:cs="Arial"/>
          <w:b/>
          <w:color w:val="000000"/>
          <w:sz w:val="28"/>
          <w:szCs w:val="28"/>
          <w:lang w:val="en-AU"/>
        </w:rPr>
      </w:pPr>
      <w:r w:rsidRPr="0005379F">
        <w:rPr>
          <w:rFonts w:asciiTheme="majorHAnsi" w:eastAsia="Times New Roman" w:hAnsiTheme="majorHAnsi"/>
          <w:sz w:val="16"/>
          <w:szCs w:val="16"/>
          <w:lang w:val="en-AU"/>
        </w:rPr>
        <w:t xml:space="preserve">The Forrest Review </w:t>
      </w:r>
    </w:p>
    <w:p w14:paraId="40AD973C" w14:textId="77777777" w:rsidR="00814869" w:rsidRPr="0005379F" w:rsidRDefault="00814869" w:rsidP="00714665">
      <w:pPr>
        <w:pStyle w:val="Heading2"/>
        <w:rPr>
          <w:lang w:val="en-AU"/>
        </w:rPr>
      </w:pPr>
      <w:bookmarkStart w:id="27" w:name="_Toc409788732"/>
      <w:r w:rsidRPr="0005379F">
        <w:rPr>
          <w:lang w:val="en-AU"/>
        </w:rPr>
        <w:t>Staying to the path</w:t>
      </w:r>
      <w:bookmarkEnd w:id="27"/>
    </w:p>
    <w:p w14:paraId="5E8F9D21" w14:textId="7B044C54" w:rsidR="00814869" w:rsidRPr="0005379F" w:rsidRDefault="00814869" w:rsidP="00714665">
      <w:pPr>
        <w:spacing w:before="240" w:after="240"/>
        <w:rPr>
          <w:rFonts w:asciiTheme="majorHAnsi" w:hAnsiTheme="majorHAnsi"/>
          <w:lang w:val="en-AU"/>
        </w:rPr>
      </w:pPr>
      <w:r w:rsidRPr="0005379F">
        <w:rPr>
          <w:rFonts w:asciiTheme="majorHAnsi" w:hAnsiTheme="majorHAnsi"/>
          <w:lang w:val="en-AU"/>
        </w:rPr>
        <w:t>The Campaign Steering Committee, while sobered by the size of the task remaining</w:t>
      </w:r>
      <w:r w:rsidR="009076D6">
        <w:rPr>
          <w:rFonts w:asciiTheme="majorHAnsi" w:hAnsiTheme="majorHAnsi"/>
          <w:lang w:val="en-AU"/>
        </w:rPr>
        <w:t>,</w:t>
      </w:r>
      <w:r w:rsidRPr="0005379F">
        <w:rPr>
          <w:rFonts w:asciiTheme="majorHAnsi" w:hAnsiTheme="majorHAnsi"/>
          <w:lang w:val="en-AU"/>
        </w:rPr>
        <w:t xml:space="preserve"> is heartened by small but significant absolute </w:t>
      </w:r>
      <w:r w:rsidR="000839BD">
        <w:rPr>
          <w:rFonts w:asciiTheme="majorHAnsi" w:hAnsiTheme="majorHAnsi"/>
          <w:lang w:val="en-AU"/>
        </w:rPr>
        <w:t xml:space="preserve">life expectancy </w:t>
      </w:r>
      <w:r w:rsidRPr="0005379F">
        <w:rPr>
          <w:rFonts w:asciiTheme="majorHAnsi" w:hAnsiTheme="majorHAnsi"/>
          <w:lang w:val="en-AU"/>
        </w:rPr>
        <w:t>gains</w:t>
      </w:r>
      <w:r w:rsidR="00632870">
        <w:rPr>
          <w:rFonts w:asciiTheme="majorHAnsi" w:hAnsiTheme="majorHAnsi"/>
          <w:lang w:val="en-AU"/>
        </w:rPr>
        <w:t xml:space="preserve"> reported in 2010-2012</w:t>
      </w:r>
      <w:r w:rsidRPr="0005379F">
        <w:rPr>
          <w:rFonts w:asciiTheme="majorHAnsi" w:hAnsiTheme="majorHAnsi"/>
          <w:lang w:val="en-AU"/>
        </w:rPr>
        <w:t>. Further, it is more convinced than ever of the imperative for patience and that a focus is kept on the long-term, generational impact of the Closing the Gap Strategy.</w:t>
      </w:r>
      <w:r w:rsidR="00575B73">
        <w:rPr>
          <w:rFonts w:asciiTheme="majorHAnsi" w:hAnsiTheme="majorHAnsi"/>
          <w:lang w:val="en-AU"/>
        </w:rPr>
        <w:t xml:space="preserve"> Further a sustained and targeted focus improving access to appropriate services is required. </w:t>
      </w:r>
    </w:p>
    <w:p w14:paraId="468BEE01" w14:textId="0407A7F3" w:rsidR="00814869" w:rsidRPr="0005379F" w:rsidRDefault="00814869" w:rsidP="00714665">
      <w:pPr>
        <w:spacing w:before="240" w:after="240"/>
        <w:rPr>
          <w:rFonts w:asciiTheme="majorHAnsi" w:hAnsiTheme="majorHAnsi"/>
          <w:lang w:val="en-AU"/>
        </w:rPr>
      </w:pPr>
      <w:r w:rsidRPr="0005379F">
        <w:rPr>
          <w:rFonts w:asciiTheme="majorHAnsi" w:hAnsiTheme="majorHAnsi"/>
          <w:lang w:val="en-AU"/>
        </w:rPr>
        <w:t xml:space="preserve">As </w:t>
      </w:r>
      <w:r w:rsidR="000B6D6F">
        <w:rPr>
          <w:rFonts w:asciiTheme="majorHAnsi" w:hAnsiTheme="majorHAnsi"/>
          <w:lang w:val="en-AU"/>
        </w:rPr>
        <w:t xml:space="preserve">discussed </w:t>
      </w:r>
      <w:r w:rsidRPr="0005379F">
        <w:rPr>
          <w:rFonts w:asciiTheme="majorHAnsi" w:hAnsiTheme="majorHAnsi"/>
          <w:lang w:val="en-AU"/>
        </w:rPr>
        <w:t xml:space="preserve">in our </w:t>
      </w:r>
      <w:r w:rsidR="006D1616">
        <w:rPr>
          <w:rFonts w:asciiTheme="majorHAnsi" w:hAnsiTheme="majorHAnsi"/>
          <w:i/>
          <w:lang w:val="en-AU"/>
        </w:rPr>
        <w:t>Progress and priorities r</w:t>
      </w:r>
      <w:r w:rsidRPr="0005379F">
        <w:rPr>
          <w:rFonts w:asciiTheme="majorHAnsi" w:hAnsiTheme="majorHAnsi"/>
          <w:i/>
          <w:lang w:val="en-AU"/>
        </w:rPr>
        <w:t>eport</w:t>
      </w:r>
      <w:r w:rsidR="006D1616">
        <w:rPr>
          <w:rFonts w:asciiTheme="majorHAnsi" w:hAnsiTheme="majorHAnsi"/>
          <w:i/>
          <w:lang w:val="en-AU"/>
        </w:rPr>
        <w:t xml:space="preserve"> 2014</w:t>
      </w:r>
      <w:r w:rsidRPr="0005379F">
        <w:rPr>
          <w:rFonts w:asciiTheme="majorHAnsi" w:hAnsiTheme="majorHAnsi"/>
          <w:lang w:val="en-AU"/>
        </w:rPr>
        <w:t xml:space="preserve">, the life expectancy estimate for 2010-2012 is the first new estimate published within the lifetime of </w:t>
      </w:r>
      <w:r w:rsidR="00B518EC">
        <w:rPr>
          <w:rFonts w:asciiTheme="majorHAnsi" w:hAnsiTheme="majorHAnsi"/>
          <w:lang w:val="en-AU"/>
        </w:rPr>
        <w:t>the Closing the Gap Strategy – just</w:t>
      </w:r>
      <w:r w:rsidRPr="0005379F">
        <w:rPr>
          <w:rFonts w:asciiTheme="majorHAnsi" w:hAnsiTheme="majorHAnsi"/>
          <w:lang w:val="en-AU"/>
        </w:rPr>
        <w:t xml:space="preserve"> two and a half years after the July 2009 commencement of the </w:t>
      </w:r>
      <w:r w:rsidRPr="0005379F">
        <w:rPr>
          <w:rFonts w:asciiTheme="majorHAnsi" w:hAnsiTheme="majorHAnsi"/>
          <w:i/>
          <w:lang w:val="en-AU"/>
        </w:rPr>
        <w:t>National Partnership Agreement on Closing the Gap in Indigenous Health Outcomes</w:t>
      </w:r>
      <w:r w:rsidRPr="0005379F">
        <w:rPr>
          <w:rFonts w:asciiTheme="majorHAnsi" w:hAnsiTheme="majorHAnsi"/>
          <w:lang w:val="en-AU"/>
        </w:rPr>
        <w:t xml:space="preserve"> and the Indigenous Chronic Disease Package. As </w:t>
      </w:r>
      <w:r w:rsidR="00632870">
        <w:rPr>
          <w:rFonts w:asciiTheme="majorHAnsi" w:hAnsiTheme="majorHAnsi"/>
          <w:lang w:val="en-AU"/>
        </w:rPr>
        <w:t>we have noted</w:t>
      </w:r>
      <w:r w:rsidR="00CB3242">
        <w:rPr>
          <w:rFonts w:asciiTheme="majorHAnsi" w:hAnsiTheme="majorHAnsi"/>
          <w:lang w:val="en-AU"/>
        </w:rPr>
        <w:t>,</w:t>
      </w:r>
      <w:r w:rsidRPr="0005379F">
        <w:rPr>
          <w:rFonts w:asciiTheme="majorHAnsi" w:hAnsiTheme="majorHAnsi"/>
          <w:lang w:val="en-AU"/>
        </w:rPr>
        <w:t xml:space="preserve"> the 2010-2012 life expectancy estimate </w:t>
      </w:r>
      <w:r w:rsidR="00632870">
        <w:rPr>
          <w:rFonts w:asciiTheme="majorHAnsi" w:hAnsiTheme="majorHAnsi"/>
          <w:lang w:val="en-AU"/>
        </w:rPr>
        <w:t xml:space="preserve">therefore </w:t>
      </w:r>
      <w:r w:rsidRPr="0005379F">
        <w:rPr>
          <w:rFonts w:asciiTheme="majorHAnsi" w:hAnsiTheme="majorHAnsi"/>
          <w:lang w:val="en-AU"/>
        </w:rPr>
        <w:t>should be considered as akin to a baseline life expectancy estimate against which to measure progress until 2030 and beyond.</w:t>
      </w:r>
    </w:p>
    <w:p w14:paraId="01366F3D" w14:textId="3C343746" w:rsidR="00814869" w:rsidRPr="0005379F" w:rsidRDefault="00814869" w:rsidP="00714665">
      <w:pPr>
        <w:spacing w:before="240" w:after="240"/>
        <w:rPr>
          <w:rFonts w:asciiTheme="majorHAnsi" w:hAnsiTheme="majorHAnsi"/>
          <w:lang w:val="en-AU"/>
        </w:rPr>
      </w:pPr>
      <w:r w:rsidRPr="0005379F">
        <w:rPr>
          <w:rFonts w:asciiTheme="majorHAnsi" w:hAnsiTheme="majorHAnsi"/>
          <w:lang w:val="en-AU"/>
        </w:rPr>
        <w:t xml:space="preserve">As </w:t>
      </w:r>
      <w:r w:rsidR="000B6D6F">
        <w:rPr>
          <w:rFonts w:asciiTheme="majorHAnsi" w:hAnsiTheme="majorHAnsi"/>
          <w:lang w:val="en-AU"/>
        </w:rPr>
        <w:t>outlined</w:t>
      </w:r>
      <w:r w:rsidRPr="0005379F">
        <w:rPr>
          <w:rFonts w:asciiTheme="majorHAnsi" w:hAnsiTheme="majorHAnsi"/>
          <w:lang w:val="en-AU"/>
        </w:rPr>
        <w:t xml:space="preserve"> in Chapter 1, New Zealand Maori life expectancy over the past two decades can be usefully compared to the gains made by Aboriginal and Torres Strait Islander people</w:t>
      </w:r>
      <w:r w:rsidR="004631CD">
        <w:rPr>
          <w:rFonts w:asciiTheme="majorHAnsi" w:hAnsiTheme="majorHAnsi"/>
          <w:lang w:val="en-AU"/>
        </w:rPr>
        <w:t>s</w:t>
      </w:r>
      <w:r w:rsidRPr="0005379F">
        <w:rPr>
          <w:rFonts w:asciiTheme="majorHAnsi" w:hAnsiTheme="majorHAnsi"/>
          <w:lang w:val="en-AU"/>
        </w:rPr>
        <w:t xml:space="preserve"> to assess the latter’s</w:t>
      </w:r>
      <w:r w:rsidR="009076D6">
        <w:rPr>
          <w:rFonts w:asciiTheme="majorHAnsi" w:hAnsiTheme="majorHAnsi"/>
          <w:lang w:val="en-AU"/>
        </w:rPr>
        <w:t xml:space="preserve"> progress, as set out in Table 5</w:t>
      </w:r>
      <w:r w:rsidRPr="0005379F">
        <w:rPr>
          <w:rFonts w:asciiTheme="majorHAnsi" w:hAnsiTheme="majorHAnsi"/>
          <w:lang w:val="en-AU"/>
        </w:rPr>
        <w:t xml:space="preserve">. The table includes </w:t>
      </w:r>
      <w:r w:rsidR="009076D6">
        <w:rPr>
          <w:rFonts w:asciiTheme="majorHAnsi" w:hAnsiTheme="majorHAnsi"/>
          <w:lang w:val="en-AU"/>
        </w:rPr>
        <w:t>life expectancy estimates for Ma</w:t>
      </w:r>
      <w:r w:rsidRPr="0005379F">
        <w:rPr>
          <w:rFonts w:asciiTheme="majorHAnsi" w:hAnsiTheme="majorHAnsi"/>
          <w:lang w:val="en-AU"/>
        </w:rPr>
        <w:t xml:space="preserve">ori men and women in 2000-2002, 2005-2007 and 2010-2012. </w:t>
      </w:r>
    </w:p>
    <w:p w14:paraId="20562698" w14:textId="3A3944C8" w:rsidR="00814869" w:rsidRPr="0005379F" w:rsidRDefault="00814869" w:rsidP="00714665">
      <w:pPr>
        <w:spacing w:before="240" w:after="240"/>
        <w:rPr>
          <w:rFonts w:asciiTheme="majorHAnsi" w:hAnsiTheme="majorHAnsi"/>
          <w:lang w:val="en-AU"/>
        </w:rPr>
      </w:pPr>
      <w:r w:rsidRPr="0005379F">
        <w:rPr>
          <w:rFonts w:asciiTheme="majorHAnsi" w:hAnsiTheme="majorHAnsi"/>
          <w:lang w:val="en-AU"/>
        </w:rPr>
        <w:t xml:space="preserve">Life expectancy comparisons between Australia and New Zealand should be approached with caution because of different methodologies to </w:t>
      </w:r>
      <w:r w:rsidR="00632870">
        <w:rPr>
          <w:rFonts w:asciiTheme="majorHAnsi" w:hAnsiTheme="majorHAnsi"/>
          <w:lang w:val="en-AU"/>
        </w:rPr>
        <w:t xml:space="preserve">make </w:t>
      </w:r>
      <w:r w:rsidRPr="0005379F">
        <w:rPr>
          <w:rFonts w:asciiTheme="majorHAnsi" w:hAnsiTheme="majorHAnsi"/>
          <w:lang w:val="en-AU"/>
        </w:rPr>
        <w:t>estimate</w:t>
      </w:r>
      <w:r w:rsidR="00632870">
        <w:rPr>
          <w:rFonts w:asciiTheme="majorHAnsi" w:hAnsiTheme="majorHAnsi"/>
          <w:lang w:val="en-AU"/>
        </w:rPr>
        <w:t>s</w:t>
      </w:r>
      <w:r w:rsidRPr="0005379F">
        <w:rPr>
          <w:rFonts w:asciiTheme="majorHAnsi" w:hAnsiTheme="majorHAnsi"/>
          <w:lang w:val="en-AU"/>
        </w:rPr>
        <w:t>. Nevertheless the comparison is a useful indicator and suggests that the life expectancy of Aboriginal and Torres Strait Islander people</w:t>
      </w:r>
      <w:r w:rsidR="004631CD">
        <w:rPr>
          <w:rFonts w:asciiTheme="majorHAnsi" w:hAnsiTheme="majorHAnsi"/>
          <w:lang w:val="en-AU"/>
        </w:rPr>
        <w:t>s</w:t>
      </w:r>
      <w:r w:rsidRPr="0005379F">
        <w:rPr>
          <w:rFonts w:asciiTheme="majorHAnsi" w:hAnsiTheme="majorHAnsi"/>
          <w:lang w:val="en-AU"/>
        </w:rPr>
        <w:t xml:space="preserve"> today is about a decade behind that of the Maori. </w:t>
      </w:r>
    </w:p>
    <w:p w14:paraId="241347E0" w14:textId="56311982" w:rsidR="00814869" w:rsidRPr="0005379F" w:rsidRDefault="00814869" w:rsidP="00714665">
      <w:pPr>
        <w:spacing w:before="240" w:after="240"/>
        <w:jc w:val="center"/>
        <w:rPr>
          <w:rFonts w:asciiTheme="majorHAnsi" w:hAnsiTheme="majorHAnsi"/>
          <w:b/>
          <w:lang w:val="en-AU"/>
        </w:rPr>
      </w:pPr>
      <w:r w:rsidRPr="00DD5423">
        <w:rPr>
          <w:rFonts w:asciiTheme="majorHAnsi" w:hAnsiTheme="majorHAnsi"/>
          <w:b/>
          <w:lang w:val="en-AU"/>
        </w:rPr>
        <w:t xml:space="preserve">Table </w:t>
      </w:r>
      <w:r w:rsidR="00324499" w:rsidRPr="00DD5423">
        <w:rPr>
          <w:rFonts w:asciiTheme="majorHAnsi" w:hAnsiTheme="majorHAnsi"/>
          <w:b/>
          <w:lang w:val="en-AU"/>
        </w:rPr>
        <w:t>5</w:t>
      </w:r>
      <w:r w:rsidRPr="00DD5423">
        <w:rPr>
          <w:rFonts w:asciiTheme="majorHAnsi" w:hAnsiTheme="majorHAnsi"/>
          <w:b/>
          <w:lang w:val="en-AU"/>
        </w:rPr>
        <w:t>: A</w:t>
      </w:r>
      <w:r w:rsidRPr="0005379F">
        <w:rPr>
          <w:rFonts w:asciiTheme="majorHAnsi" w:hAnsiTheme="majorHAnsi"/>
          <w:b/>
          <w:lang w:val="en-AU"/>
        </w:rPr>
        <w:t xml:space="preserve"> comparison of Maori and Aboriginal and Torres Strait Islander life expectancy in 2010-</w:t>
      </w:r>
      <w:r w:rsidR="00B518EC">
        <w:rPr>
          <w:rFonts w:asciiTheme="majorHAnsi" w:hAnsiTheme="majorHAnsi"/>
          <w:b/>
          <w:lang w:val="en-AU"/>
        </w:rPr>
        <w:t>20</w:t>
      </w:r>
      <w:r w:rsidRPr="0005379F">
        <w:rPr>
          <w:rFonts w:asciiTheme="majorHAnsi" w:hAnsiTheme="majorHAnsi"/>
          <w:b/>
          <w:lang w:val="en-AU"/>
        </w:rPr>
        <w:t>12, by gender</w:t>
      </w:r>
      <w:r w:rsidR="00B518EC" w:rsidRPr="0005379F">
        <w:rPr>
          <w:rFonts w:asciiTheme="majorHAnsi" w:hAnsiTheme="majorHAnsi"/>
          <w:vertAlign w:val="superscript"/>
          <w:lang w:val="en-AU"/>
        </w:rPr>
        <w:endnoteReference w:id="173"/>
      </w:r>
    </w:p>
    <w:tbl>
      <w:tblPr>
        <w:tblStyle w:val="TableGrid"/>
        <w:tblW w:w="0" w:type="auto"/>
        <w:tblLook w:val="04A0" w:firstRow="1" w:lastRow="0" w:firstColumn="1" w:lastColumn="0" w:noHBand="0" w:noVBand="1"/>
      </w:tblPr>
      <w:tblGrid>
        <w:gridCol w:w="3431"/>
        <w:gridCol w:w="1418"/>
        <w:gridCol w:w="1922"/>
        <w:gridCol w:w="2126"/>
      </w:tblGrid>
      <w:tr w:rsidR="00814869" w:rsidRPr="006A24D8" w14:paraId="64A2ACE6" w14:textId="77777777" w:rsidTr="006F69FD">
        <w:tc>
          <w:tcPr>
            <w:tcW w:w="0" w:type="auto"/>
            <w:shd w:val="clear" w:color="auto" w:fill="DBE5F1" w:themeFill="accent1" w:themeFillTint="33"/>
          </w:tcPr>
          <w:p w14:paraId="12B91343" w14:textId="77777777" w:rsidR="00814869" w:rsidRPr="0005379F" w:rsidRDefault="00814869" w:rsidP="006F69FD">
            <w:pPr>
              <w:spacing w:after="40"/>
              <w:jc w:val="center"/>
              <w:rPr>
                <w:rFonts w:asciiTheme="majorHAnsi" w:hAnsiTheme="majorHAnsi"/>
                <w:lang w:val="en-AU"/>
              </w:rPr>
            </w:pPr>
            <w:r w:rsidRPr="0005379F">
              <w:rPr>
                <w:rFonts w:asciiTheme="majorHAnsi" w:hAnsiTheme="majorHAnsi"/>
                <w:lang w:val="en-AU"/>
              </w:rPr>
              <w:t>Indigenous peoples</w:t>
            </w:r>
          </w:p>
        </w:tc>
        <w:tc>
          <w:tcPr>
            <w:tcW w:w="1418" w:type="dxa"/>
            <w:shd w:val="clear" w:color="auto" w:fill="DBE5F1" w:themeFill="accent1" w:themeFillTint="33"/>
          </w:tcPr>
          <w:p w14:paraId="6124B9FB" w14:textId="77777777" w:rsidR="00814869" w:rsidRPr="0005379F" w:rsidRDefault="00814869" w:rsidP="006F69FD">
            <w:pPr>
              <w:spacing w:after="40"/>
              <w:jc w:val="center"/>
              <w:rPr>
                <w:rFonts w:asciiTheme="majorHAnsi" w:hAnsiTheme="majorHAnsi"/>
                <w:lang w:val="en-AU"/>
              </w:rPr>
            </w:pPr>
            <w:r w:rsidRPr="0005379F">
              <w:rPr>
                <w:rFonts w:asciiTheme="majorHAnsi" w:hAnsiTheme="majorHAnsi"/>
                <w:lang w:val="en-AU"/>
              </w:rPr>
              <w:t>Years</w:t>
            </w:r>
          </w:p>
        </w:tc>
        <w:tc>
          <w:tcPr>
            <w:tcW w:w="1922" w:type="dxa"/>
            <w:shd w:val="clear" w:color="auto" w:fill="DBE5F1" w:themeFill="accent1" w:themeFillTint="33"/>
          </w:tcPr>
          <w:p w14:paraId="58FFC310" w14:textId="77777777" w:rsidR="00814869" w:rsidRPr="0005379F" w:rsidRDefault="00814869" w:rsidP="006F69FD">
            <w:pPr>
              <w:spacing w:after="40"/>
              <w:jc w:val="center"/>
              <w:rPr>
                <w:rFonts w:asciiTheme="majorHAnsi" w:hAnsiTheme="majorHAnsi"/>
                <w:lang w:val="en-AU"/>
              </w:rPr>
            </w:pPr>
            <w:r w:rsidRPr="0005379F">
              <w:rPr>
                <w:rFonts w:asciiTheme="majorHAnsi" w:hAnsiTheme="majorHAnsi"/>
                <w:lang w:val="en-AU"/>
              </w:rPr>
              <w:t>Male</w:t>
            </w:r>
          </w:p>
        </w:tc>
        <w:tc>
          <w:tcPr>
            <w:tcW w:w="2126" w:type="dxa"/>
            <w:shd w:val="clear" w:color="auto" w:fill="DBE5F1" w:themeFill="accent1" w:themeFillTint="33"/>
          </w:tcPr>
          <w:p w14:paraId="66EB1C1F" w14:textId="77777777" w:rsidR="00814869" w:rsidRPr="0005379F" w:rsidRDefault="00814869" w:rsidP="006F69FD">
            <w:pPr>
              <w:spacing w:after="40"/>
              <w:jc w:val="center"/>
              <w:rPr>
                <w:rFonts w:asciiTheme="majorHAnsi" w:hAnsiTheme="majorHAnsi"/>
                <w:lang w:val="en-AU"/>
              </w:rPr>
            </w:pPr>
            <w:r w:rsidRPr="0005379F">
              <w:rPr>
                <w:rFonts w:asciiTheme="majorHAnsi" w:hAnsiTheme="majorHAnsi"/>
                <w:lang w:val="en-AU"/>
              </w:rPr>
              <w:t>Female</w:t>
            </w:r>
          </w:p>
        </w:tc>
      </w:tr>
      <w:tr w:rsidR="00814869" w:rsidRPr="006A24D8" w14:paraId="2CDDB9E8" w14:textId="77777777" w:rsidTr="006F69FD">
        <w:tc>
          <w:tcPr>
            <w:tcW w:w="0" w:type="auto"/>
            <w:vMerge w:val="restart"/>
            <w:shd w:val="clear" w:color="auto" w:fill="DBE5F1" w:themeFill="accent1" w:themeFillTint="33"/>
            <w:vAlign w:val="center"/>
          </w:tcPr>
          <w:p w14:paraId="4FCFD303" w14:textId="77777777" w:rsidR="00814869" w:rsidRPr="0005379F" w:rsidRDefault="00814869" w:rsidP="006F69FD">
            <w:pPr>
              <w:spacing w:after="40"/>
              <w:jc w:val="center"/>
              <w:rPr>
                <w:rFonts w:asciiTheme="majorHAnsi" w:hAnsiTheme="majorHAnsi"/>
                <w:lang w:val="en-AU"/>
              </w:rPr>
            </w:pPr>
            <w:r w:rsidRPr="0005379F">
              <w:rPr>
                <w:rFonts w:asciiTheme="majorHAnsi" w:hAnsiTheme="majorHAnsi"/>
                <w:lang w:val="en-AU"/>
              </w:rPr>
              <w:t>Maori</w:t>
            </w:r>
          </w:p>
        </w:tc>
        <w:tc>
          <w:tcPr>
            <w:tcW w:w="1418" w:type="dxa"/>
            <w:vAlign w:val="center"/>
          </w:tcPr>
          <w:p w14:paraId="72DF03A9" w14:textId="77777777" w:rsidR="00814869" w:rsidRPr="0005379F" w:rsidRDefault="00814869" w:rsidP="00433363">
            <w:pPr>
              <w:spacing w:after="40"/>
              <w:jc w:val="center"/>
              <w:rPr>
                <w:rFonts w:asciiTheme="majorHAnsi" w:hAnsiTheme="majorHAnsi"/>
                <w:lang w:val="en-AU"/>
              </w:rPr>
            </w:pPr>
            <w:r w:rsidRPr="0005379F">
              <w:rPr>
                <w:rFonts w:asciiTheme="majorHAnsi" w:hAnsiTheme="majorHAnsi"/>
                <w:lang w:val="en-AU"/>
              </w:rPr>
              <w:t>2010–2012</w:t>
            </w:r>
          </w:p>
        </w:tc>
        <w:tc>
          <w:tcPr>
            <w:tcW w:w="1922" w:type="dxa"/>
            <w:vAlign w:val="center"/>
          </w:tcPr>
          <w:p w14:paraId="709C67F9" w14:textId="77777777" w:rsidR="00814869" w:rsidRPr="0005379F" w:rsidRDefault="00814869" w:rsidP="00433363">
            <w:pPr>
              <w:spacing w:after="40"/>
              <w:jc w:val="center"/>
              <w:rPr>
                <w:rFonts w:asciiTheme="majorHAnsi" w:hAnsiTheme="majorHAnsi"/>
                <w:lang w:val="en-AU"/>
              </w:rPr>
            </w:pPr>
            <w:r w:rsidRPr="0005379F">
              <w:rPr>
                <w:rFonts w:asciiTheme="majorHAnsi" w:hAnsiTheme="majorHAnsi"/>
                <w:lang w:val="en-AU"/>
              </w:rPr>
              <w:t>72.8 years</w:t>
            </w:r>
          </w:p>
        </w:tc>
        <w:tc>
          <w:tcPr>
            <w:tcW w:w="2126" w:type="dxa"/>
            <w:vAlign w:val="center"/>
          </w:tcPr>
          <w:p w14:paraId="3B4DA5C8" w14:textId="70D27DCD" w:rsidR="00814869" w:rsidRPr="0005379F" w:rsidRDefault="00814869" w:rsidP="00B518EC">
            <w:pPr>
              <w:spacing w:after="40"/>
              <w:jc w:val="center"/>
              <w:rPr>
                <w:rFonts w:asciiTheme="majorHAnsi" w:hAnsiTheme="majorHAnsi"/>
                <w:lang w:val="en-AU"/>
              </w:rPr>
            </w:pPr>
            <w:r w:rsidRPr="0005379F">
              <w:rPr>
                <w:rFonts w:asciiTheme="majorHAnsi" w:hAnsiTheme="majorHAnsi"/>
                <w:lang w:val="en-AU"/>
              </w:rPr>
              <w:t>76.5 years</w:t>
            </w:r>
          </w:p>
        </w:tc>
      </w:tr>
      <w:tr w:rsidR="00814869" w:rsidRPr="006A24D8" w14:paraId="2E6BC18E" w14:textId="77777777" w:rsidTr="006F69FD">
        <w:tc>
          <w:tcPr>
            <w:tcW w:w="0" w:type="auto"/>
            <w:vMerge/>
            <w:shd w:val="clear" w:color="auto" w:fill="DBE5F1" w:themeFill="accent1" w:themeFillTint="33"/>
            <w:vAlign w:val="center"/>
          </w:tcPr>
          <w:p w14:paraId="5131C15D" w14:textId="77777777" w:rsidR="00814869" w:rsidRPr="000D198F" w:rsidRDefault="00814869" w:rsidP="006F69FD">
            <w:pPr>
              <w:spacing w:after="40"/>
              <w:jc w:val="center"/>
              <w:rPr>
                <w:rFonts w:asciiTheme="majorHAnsi" w:hAnsiTheme="majorHAnsi"/>
                <w:lang w:val="en-AU"/>
              </w:rPr>
            </w:pPr>
          </w:p>
        </w:tc>
        <w:tc>
          <w:tcPr>
            <w:tcW w:w="1418" w:type="dxa"/>
            <w:vAlign w:val="center"/>
          </w:tcPr>
          <w:p w14:paraId="7CD3DC95" w14:textId="77777777" w:rsidR="00814869" w:rsidRPr="000D198F" w:rsidRDefault="00814869" w:rsidP="00433363">
            <w:pPr>
              <w:spacing w:after="40"/>
              <w:jc w:val="center"/>
              <w:rPr>
                <w:rFonts w:asciiTheme="majorHAnsi" w:hAnsiTheme="majorHAnsi"/>
                <w:lang w:val="en-AU"/>
              </w:rPr>
            </w:pPr>
            <w:r w:rsidRPr="000D198F">
              <w:rPr>
                <w:rFonts w:asciiTheme="majorHAnsi" w:hAnsiTheme="majorHAnsi"/>
                <w:lang w:val="en-AU"/>
              </w:rPr>
              <w:t>2005-2007</w:t>
            </w:r>
          </w:p>
        </w:tc>
        <w:tc>
          <w:tcPr>
            <w:tcW w:w="1922" w:type="dxa"/>
            <w:vAlign w:val="center"/>
          </w:tcPr>
          <w:p w14:paraId="66C22B20" w14:textId="77777777" w:rsidR="00814869" w:rsidRPr="000D198F" w:rsidRDefault="00814869" w:rsidP="009076D6">
            <w:pPr>
              <w:spacing w:after="40"/>
              <w:jc w:val="center"/>
              <w:rPr>
                <w:rFonts w:asciiTheme="majorHAnsi" w:hAnsiTheme="majorHAnsi"/>
                <w:lang w:val="en-AU"/>
              </w:rPr>
            </w:pPr>
            <w:r w:rsidRPr="000D198F">
              <w:rPr>
                <w:rFonts w:asciiTheme="majorHAnsi" w:hAnsiTheme="majorHAnsi"/>
                <w:lang w:val="en-AU"/>
              </w:rPr>
              <w:t>70.4 years</w:t>
            </w:r>
          </w:p>
        </w:tc>
        <w:tc>
          <w:tcPr>
            <w:tcW w:w="2126" w:type="dxa"/>
            <w:vAlign w:val="center"/>
          </w:tcPr>
          <w:p w14:paraId="41FD5326" w14:textId="1747B29C" w:rsidR="00814869" w:rsidRPr="0005379F" w:rsidRDefault="00814869" w:rsidP="0079419E">
            <w:pPr>
              <w:spacing w:after="40"/>
              <w:jc w:val="center"/>
              <w:rPr>
                <w:rFonts w:asciiTheme="majorHAnsi" w:hAnsiTheme="majorHAnsi"/>
                <w:lang w:val="en-AU"/>
              </w:rPr>
            </w:pPr>
            <w:r w:rsidRPr="000D198F">
              <w:rPr>
                <w:rFonts w:asciiTheme="majorHAnsi" w:hAnsiTheme="majorHAnsi"/>
                <w:lang w:val="en-AU"/>
              </w:rPr>
              <w:t>75.1 years</w:t>
            </w:r>
          </w:p>
        </w:tc>
      </w:tr>
      <w:tr w:rsidR="00814869" w:rsidRPr="006A24D8" w14:paraId="06E5864B" w14:textId="77777777" w:rsidTr="006F69FD">
        <w:tc>
          <w:tcPr>
            <w:tcW w:w="0" w:type="auto"/>
            <w:shd w:val="clear" w:color="auto" w:fill="FBD4B4" w:themeFill="accent6" w:themeFillTint="66"/>
            <w:vAlign w:val="center"/>
          </w:tcPr>
          <w:p w14:paraId="76ED3BE0" w14:textId="77777777" w:rsidR="00814869" w:rsidRPr="0005379F" w:rsidRDefault="00814869" w:rsidP="006F69FD">
            <w:pPr>
              <w:spacing w:after="40"/>
              <w:jc w:val="center"/>
              <w:rPr>
                <w:rFonts w:asciiTheme="majorHAnsi" w:hAnsiTheme="majorHAnsi"/>
                <w:lang w:val="en-AU"/>
              </w:rPr>
            </w:pPr>
            <w:r w:rsidRPr="0005379F">
              <w:rPr>
                <w:rFonts w:asciiTheme="majorHAnsi" w:hAnsiTheme="majorHAnsi"/>
                <w:lang w:val="en-AU"/>
              </w:rPr>
              <w:t>Aboriginal and Torres Strait Islander</w:t>
            </w:r>
          </w:p>
        </w:tc>
        <w:tc>
          <w:tcPr>
            <w:tcW w:w="1418" w:type="dxa"/>
            <w:shd w:val="clear" w:color="auto" w:fill="FBD4B4" w:themeFill="accent6" w:themeFillTint="66"/>
            <w:vAlign w:val="center"/>
          </w:tcPr>
          <w:p w14:paraId="061EF1AC" w14:textId="77777777" w:rsidR="00814869" w:rsidRPr="0005379F" w:rsidRDefault="00814869" w:rsidP="00433363">
            <w:pPr>
              <w:spacing w:after="40"/>
              <w:jc w:val="center"/>
              <w:rPr>
                <w:rFonts w:asciiTheme="majorHAnsi" w:hAnsiTheme="majorHAnsi"/>
                <w:lang w:val="en-AU"/>
              </w:rPr>
            </w:pPr>
            <w:r w:rsidRPr="0005379F">
              <w:rPr>
                <w:rFonts w:asciiTheme="majorHAnsi" w:hAnsiTheme="majorHAnsi"/>
                <w:lang w:val="en-AU"/>
              </w:rPr>
              <w:t>2010-2012</w:t>
            </w:r>
          </w:p>
        </w:tc>
        <w:tc>
          <w:tcPr>
            <w:tcW w:w="1922" w:type="dxa"/>
            <w:shd w:val="clear" w:color="auto" w:fill="FBD4B4" w:themeFill="accent6" w:themeFillTint="66"/>
            <w:vAlign w:val="center"/>
          </w:tcPr>
          <w:p w14:paraId="6C29F92C" w14:textId="77777777" w:rsidR="00814869" w:rsidRPr="0005379F" w:rsidRDefault="00814869" w:rsidP="00433363">
            <w:pPr>
              <w:spacing w:after="40"/>
              <w:jc w:val="center"/>
              <w:rPr>
                <w:rFonts w:asciiTheme="majorHAnsi" w:hAnsiTheme="majorHAnsi"/>
                <w:lang w:val="en-AU"/>
              </w:rPr>
            </w:pPr>
            <w:r w:rsidRPr="0005379F">
              <w:rPr>
                <w:rFonts w:asciiTheme="majorHAnsi" w:hAnsiTheme="majorHAnsi"/>
                <w:lang w:val="en-AU"/>
              </w:rPr>
              <w:t>69.1 years</w:t>
            </w:r>
          </w:p>
        </w:tc>
        <w:tc>
          <w:tcPr>
            <w:tcW w:w="2126" w:type="dxa"/>
            <w:shd w:val="clear" w:color="auto" w:fill="FBD4B4" w:themeFill="accent6" w:themeFillTint="66"/>
            <w:vAlign w:val="center"/>
          </w:tcPr>
          <w:p w14:paraId="2148F4D6" w14:textId="77777777" w:rsidR="00814869" w:rsidRPr="0005379F" w:rsidRDefault="00814869" w:rsidP="006F69FD">
            <w:pPr>
              <w:spacing w:after="40"/>
              <w:jc w:val="center"/>
              <w:rPr>
                <w:rFonts w:asciiTheme="majorHAnsi" w:hAnsiTheme="majorHAnsi"/>
                <w:lang w:val="en-AU"/>
              </w:rPr>
            </w:pPr>
            <w:r w:rsidRPr="0005379F">
              <w:rPr>
                <w:rFonts w:asciiTheme="majorHAnsi" w:hAnsiTheme="majorHAnsi"/>
                <w:lang w:val="en-AU"/>
              </w:rPr>
              <w:t>73.7 years</w:t>
            </w:r>
          </w:p>
        </w:tc>
      </w:tr>
      <w:tr w:rsidR="00814869" w:rsidRPr="006A24D8" w14:paraId="3010E58C" w14:textId="77777777" w:rsidTr="006F69FD">
        <w:tc>
          <w:tcPr>
            <w:tcW w:w="0" w:type="auto"/>
            <w:shd w:val="clear" w:color="auto" w:fill="DBE5F1" w:themeFill="accent1" w:themeFillTint="33"/>
            <w:vAlign w:val="center"/>
          </w:tcPr>
          <w:p w14:paraId="2E5DA8D7" w14:textId="77777777" w:rsidR="00814869" w:rsidRPr="0005379F" w:rsidRDefault="00814869" w:rsidP="006F69FD">
            <w:pPr>
              <w:spacing w:after="40"/>
              <w:jc w:val="center"/>
              <w:rPr>
                <w:rFonts w:asciiTheme="majorHAnsi" w:hAnsiTheme="majorHAnsi"/>
                <w:lang w:val="en-AU"/>
              </w:rPr>
            </w:pPr>
            <w:r w:rsidRPr="0005379F">
              <w:rPr>
                <w:rFonts w:asciiTheme="majorHAnsi" w:hAnsiTheme="majorHAnsi"/>
                <w:lang w:val="en-AU"/>
              </w:rPr>
              <w:t>Maori</w:t>
            </w:r>
          </w:p>
        </w:tc>
        <w:tc>
          <w:tcPr>
            <w:tcW w:w="1418" w:type="dxa"/>
            <w:vAlign w:val="center"/>
          </w:tcPr>
          <w:p w14:paraId="5A22FF6B" w14:textId="77777777" w:rsidR="00814869" w:rsidRPr="0005379F" w:rsidRDefault="00814869" w:rsidP="00433363">
            <w:pPr>
              <w:spacing w:after="40"/>
              <w:jc w:val="center"/>
              <w:rPr>
                <w:rFonts w:asciiTheme="majorHAnsi" w:hAnsiTheme="majorHAnsi"/>
                <w:lang w:val="en-AU"/>
              </w:rPr>
            </w:pPr>
            <w:r w:rsidRPr="0005379F">
              <w:rPr>
                <w:rFonts w:asciiTheme="majorHAnsi" w:hAnsiTheme="majorHAnsi"/>
                <w:lang w:val="en-AU"/>
              </w:rPr>
              <w:t>2000-2002</w:t>
            </w:r>
          </w:p>
        </w:tc>
        <w:tc>
          <w:tcPr>
            <w:tcW w:w="1922" w:type="dxa"/>
            <w:vAlign w:val="center"/>
          </w:tcPr>
          <w:p w14:paraId="0BAD985F" w14:textId="77777777" w:rsidR="00814869" w:rsidRPr="0005379F" w:rsidRDefault="00814869" w:rsidP="00433363">
            <w:pPr>
              <w:spacing w:after="40"/>
              <w:jc w:val="center"/>
              <w:rPr>
                <w:rFonts w:asciiTheme="majorHAnsi" w:hAnsiTheme="majorHAnsi"/>
                <w:lang w:val="en-AU"/>
              </w:rPr>
            </w:pPr>
            <w:r w:rsidRPr="0005379F">
              <w:rPr>
                <w:rFonts w:asciiTheme="majorHAnsi" w:hAnsiTheme="majorHAnsi"/>
                <w:lang w:val="en-AU"/>
              </w:rPr>
              <w:t>69.0 years</w:t>
            </w:r>
          </w:p>
        </w:tc>
        <w:tc>
          <w:tcPr>
            <w:tcW w:w="2126" w:type="dxa"/>
            <w:vAlign w:val="center"/>
          </w:tcPr>
          <w:p w14:paraId="1DBB2897" w14:textId="349BBCCD" w:rsidR="00814869" w:rsidRPr="0005379F" w:rsidRDefault="00814869" w:rsidP="0079419E">
            <w:pPr>
              <w:spacing w:after="40"/>
              <w:jc w:val="center"/>
              <w:rPr>
                <w:rFonts w:asciiTheme="majorHAnsi" w:hAnsiTheme="majorHAnsi"/>
                <w:lang w:val="en-AU"/>
              </w:rPr>
            </w:pPr>
            <w:r w:rsidRPr="0005379F">
              <w:rPr>
                <w:rFonts w:asciiTheme="majorHAnsi" w:hAnsiTheme="majorHAnsi"/>
                <w:lang w:val="en-AU"/>
              </w:rPr>
              <w:t>73.2 years</w:t>
            </w:r>
          </w:p>
        </w:tc>
      </w:tr>
    </w:tbl>
    <w:p w14:paraId="13430AA6" w14:textId="0BEBBA5E" w:rsidR="00814869" w:rsidRPr="0005379F" w:rsidRDefault="00814869" w:rsidP="00714665">
      <w:pPr>
        <w:spacing w:before="240" w:after="240"/>
        <w:rPr>
          <w:rFonts w:asciiTheme="majorHAnsi" w:hAnsiTheme="majorHAnsi"/>
          <w:lang w:val="en-AU"/>
        </w:rPr>
      </w:pPr>
      <w:r w:rsidRPr="0005379F">
        <w:rPr>
          <w:rFonts w:asciiTheme="majorHAnsi" w:hAnsiTheme="majorHAnsi"/>
          <w:lang w:val="en-AU"/>
        </w:rPr>
        <w:t xml:space="preserve">As </w:t>
      </w:r>
      <w:r w:rsidR="0079419E">
        <w:rPr>
          <w:rFonts w:asciiTheme="majorHAnsi" w:hAnsiTheme="majorHAnsi"/>
          <w:lang w:val="en-AU"/>
        </w:rPr>
        <w:t>can be seen</w:t>
      </w:r>
      <w:r w:rsidRPr="0005379F">
        <w:rPr>
          <w:rFonts w:asciiTheme="majorHAnsi" w:hAnsiTheme="majorHAnsi"/>
          <w:lang w:val="en-AU"/>
        </w:rPr>
        <w:t xml:space="preserve"> in </w:t>
      </w:r>
      <w:r w:rsidR="00DD5423">
        <w:rPr>
          <w:rFonts w:asciiTheme="majorHAnsi" w:hAnsiTheme="majorHAnsi"/>
          <w:lang w:val="en-AU"/>
        </w:rPr>
        <w:t>Table</w:t>
      </w:r>
      <w:r w:rsidR="0005379F">
        <w:rPr>
          <w:rFonts w:asciiTheme="majorHAnsi" w:hAnsiTheme="majorHAnsi"/>
          <w:lang w:val="en-AU"/>
        </w:rPr>
        <w:t xml:space="preserve"> </w:t>
      </w:r>
      <w:r w:rsidR="00324499">
        <w:rPr>
          <w:rFonts w:asciiTheme="majorHAnsi" w:hAnsiTheme="majorHAnsi"/>
          <w:lang w:val="en-AU"/>
        </w:rPr>
        <w:t>5 above</w:t>
      </w:r>
      <w:r w:rsidRPr="0005379F">
        <w:rPr>
          <w:rFonts w:asciiTheme="majorHAnsi" w:hAnsiTheme="majorHAnsi"/>
          <w:lang w:val="en-AU"/>
        </w:rPr>
        <w:t xml:space="preserve">, the comparison suggests </w:t>
      </w:r>
      <w:r w:rsidR="000B6D6F">
        <w:rPr>
          <w:rFonts w:asciiTheme="majorHAnsi" w:hAnsiTheme="majorHAnsi"/>
          <w:lang w:val="en-AU"/>
        </w:rPr>
        <w:t>what</w:t>
      </w:r>
      <w:r w:rsidRPr="0005379F">
        <w:rPr>
          <w:rFonts w:asciiTheme="majorHAnsi" w:hAnsiTheme="majorHAnsi"/>
          <w:lang w:val="en-AU"/>
        </w:rPr>
        <w:t xml:space="preserve"> </w:t>
      </w:r>
      <w:r w:rsidR="00893220" w:rsidRPr="0005379F">
        <w:rPr>
          <w:rFonts w:asciiTheme="majorHAnsi" w:hAnsiTheme="majorHAnsi"/>
          <w:lang w:val="en-AU"/>
        </w:rPr>
        <w:t>long term</w:t>
      </w:r>
      <w:r w:rsidRPr="0005379F">
        <w:rPr>
          <w:rFonts w:asciiTheme="majorHAnsi" w:hAnsiTheme="majorHAnsi"/>
          <w:lang w:val="en-AU"/>
        </w:rPr>
        <w:t xml:space="preserve"> focused action towards achieving health equality for Aboriginal and Torres Strait Islander people</w:t>
      </w:r>
      <w:r w:rsidR="004631CD">
        <w:rPr>
          <w:rFonts w:asciiTheme="majorHAnsi" w:hAnsiTheme="majorHAnsi"/>
          <w:lang w:val="en-AU"/>
        </w:rPr>
        <w:t>s</w:t>
      </w:r>
      <w:r w:rsidRPr="0005379F">
        <w:rPr>
          <w:rFonts w:asciiTheme="majorHAnsi" w:hAnsiTheme="majorHAnsi"/>
          <w:lang w:val="en-AU"/>
        </w:rPr>
        <w:t xml:space="preserve"> </w:t>
      </w:r>
      <w:r w:rsidR="00893220" w:rsidRPr="0005379F">
        <w:rPr>
          <w:rFonts w:asciiTheme="majorHAnsi" w:hAnsiTheme="majorHAnsi"/>
          <w:lang w:val="en-AU"/>
        </w:rPr>
        <w:t>can</w:t>
      </w:r>
      <w:r w:rsidRPr="0005379F">
        <w:rPr>
          <w:rFonts w:asciiTheme="majorHAnsi" w:hAnsiTheme="majorHAnsi"/>
          <w:lang w:val="en-AU"/>
        </w:rPr>
        <w:t xml:space="preserve"> </w:t>
      </w:r>
      <w:r w:rsidR="00CB3242">
        <w:rPr>
          <w:rFonts w:asciiTheme="majorHAnsi" w:hAnsiTheme="majorHAnsi"/>
          <w:lang w:val="en-AU"/>
        </w:rPr>
        <w:t>yield valuable results</w:t>
      </w:r>
      <w:r w:rsidRPr="0005379F">
        <w:rPr>
          <w:rFonts w:asciiTheme="majorHAnsi" w:hAnsiTheme="majorHAnsi"/>
          <w:lang w:val="en-AU"/>
        </w:rPr>
        <w:t xml:space="preserve">. In 2010-2012 the Closing the Gap health reforms </w:t>
      </w:r>
      <w:r w:rsidR="00713B2B">
        <w:rPr>
          <w:rFonts w:asciiTheme="majorHAnsi" w:hAnsiTheme="majorHAnsi"/>
          <w:lang w:val="en-AU"/>
        </w:rPr>
        <w:t xml:space="preserve">associated with the Closing the Gap Strategy </w:t>
      </w:r>
      <w:proofErr w:type="gramStart"/>
      <w:r w:rsidRPr="0005379F">
        <w:rPr>
          <w:rFonts w:asciiTheme="majorHAnsi" w:hAnsiTheme="majorHAnsi"/>
          <w:lang w:val="en-AU"/>
        </w:rPr>
        <w:t>were</w:t>
      </w:r>
      <w:proofErr w:type="gramEnd"/>
      <w:r w:rsidRPr="0005379F">
        <w:rPr>
          <w:rFonts w:asciiTheme="majorHAnsi" w:hAnsiTheme="majorHAnsi"/>
          <w:lang w:val="en-AU"/>
        </w:rPr>
        <w:t xml:space="preserve"> just getting started.</w:t>
      </w:r>
      <w:r w:rsidRPr="0005379F">
        <w:rPr>
          <w:rFonts w:asciiTheme="majorHAnsi" w:hAnsiTheme="majorHAnsi"/>
          <w:vertAlign w:val="superscript"/>
          <w:lang w:val="en-AU"/>
        </w:rPr>
        <w:t xml:space="preserve"> </w:t>
      </w:r>
      <w:r w:rsidRPr="0005379F">
        <w:rPr>
          <w:rFonts w:asciiTheme="majorHAnsi" w:hAnsiTheme="majorHAnsi"/>
          <w:lang w:val="en-AU"/>
        </w:rPr>
        <w:t xml:space="preserve">Because of this time lag, the Campaign Steering Committee believe that significant increases in life expectancy, like those seen among the Maori, should be expected </w:t>
      </w:r>
      <w:r w:rsidR="00893220" w:rsidRPr="0005379F">
        <w:rPr>
          <w:rFonts w:asciiTheme="majorHAnsi" w:hAnsiTheme="majorHAnsi"/>
          <w:lang w:val="en-AU"/>
        </w:rPr>
        <w:t>before</w:t>
      </w:r>
      <w:r w:rsidRPr="0005379F">
        <w:rPr>
          <w:rFonts w:asciiTheme="majorHAnsi" w:hAnsiTheme="majorHAnsi"/>
          <w:lang w:val="en-AU"/>
        </w:rPr>
        <w:t xml:space="preserve"> the early 2020s if the national effort to close the gap is maintained.</w:t>
      </w:r>
    </w:p>
    <w:tbl>
      <w:tblPr>
        <w:tblStyle w:val="TableGrid"/>
        <w:tblW w:w="0" w:type="auto"/>
        <w:tblLook w:val="04A0" w:firstRow="1" w:lastRow="0" w:firstColumn="1" w:lastColumn="0" w:noHBand="0" w:noVBand="1"/>
      </w:tblPr>
      <w:tblGrid>
        <w:gridCol w:w="9286"/>
      </w:tblGrid>
      <w:tr w:rsidR="00814869" w:rsidRPr="006A24D8" w14:paraId="5758A7EC" w14:textId="77777777" w:rsidTr="00CD31D3">
        <w:tc>
          <w:tcPr>
            <w:tcW w:w="9286" w:type="dxa"/>
            <w:shd w:val="clear" w:color="auto" w:fill="DBE5F1" w:themeFill="accent1" w:themeFillTint="33"/>
          </w:tcPr>
          <w:p w14:paraId="0DFC2D2B" w14:textId="109E1955" w:rsidR="00814869" w:rsidRPr="0005379F" w:rsidRDefault="00814869" w:rsidP="00714665">
            <w:pPr>
              <w:spacing w:before="240" w:after="0"/>
              <w:rPr>
                <w:rFonts w:asciiTheme="majorHAnsi" w:hAnsiTheme="majorHAnsi"/>
                <w:b/>
                <w:lang w:val="en-AU"/>
              </w:rPr>
            </w:pPr>
            <w:r w:rsidRPr="000D198F">
              <w:rPr>
                <w:rFonts w:asciiTheme="majorHAnsi" w:hAnsiTheme="majorHAnsi"/>
                <w:b/>
                <w:lang w:val="en-AU"/>
              </w:rPr>
              <w:lastRenderedPageBreak/>
              <w:t xml:space="preserve">Text Box: New Zealand </w:t>
            </w:r>
            <w:r w:rsidR="000B6D6F">
              <w:rPr>
                <w:rFonts w:asciiTheme="majorHAnsi" w:hAnsiTheme="majorHAnsi"/>
                <w:b/>
                <w:lang w:val="en-AU"/>
              </w:rPr>
              <w:t>efforts to close the Maori health equality g</w:t>
            </w:r>
            <w:r w:rsidRPr="000D198F">
              <w:rPr>
                <w:rFonts w:asciiTheme="majorHAnsi" w:hAnsiTheme="majorHAnsi"/>
                <w:b/>
                <w:lang w:val="en-AU"/>
              </w:rPr>
              <w:t>ap</w:t>
            </w:r>
          </w:p>
          <w:p w14:paraId="1E5D7A34" w14:textId="205CCAF6" w:rsidR="00814869" w:rsidRPr="0005379F" w:rsidRDefault="00814869" w:rsidP="00714665">
            <w:pPr>
              <w:spacing w:before="240" w:after="0"/>
              <w:rPr>
                <w:rFonts w:asciiTheme="majorHAnsi" w:hAnsiTheme="majorHAnsi"/>
                <w:lang w:val="en-AU"/>
              </w:rPr>
            </w:pPr>
            <w:r w:rsidRPr="0005379F">
              <w:rPr>
                <w:rFonts w:asciiTheme="majorHAnsi" w:hAnsiTheme="majorHAnsi"/>
                <w:lang w:val="en-AU"/>
              </w:rPr>
              <w:t>Since 1992, the New Zealand Government’s Maori health policy objectives have required regional health authorities and the Public Health Commission to be guided by an objective ‘to improve Maori health status so that in the future Maori will have the same opportunity to enjoy t</w:t>
            </w:r>
            <w:r w:rsidR="0079419E">
              <w:rPr>
                <w:rFonts w:asciiTheme="majorHAnsi" w:hAnsiTheme="majorHAnsi"/>
                <w:lang w:val="en-AU"/>
              </w:rPr>
              <w:t>he same level of health as non-</w:t>
            </w:r>
            <w:r w:rsidRPr="0005379F">
              <w:rPr>
                <w:rFonts w:asciiTheme="majorHAnsi" w:hAnsiTheme="majorHAnsi"/>
                <w:lang w:val="en-AU"/>
              </w:rPr>
              <w:t>Maori’. By this, services must recognise the special needs and cultural values of Maori.</w:t>
            </w:r>
            <w:r w:rsidRPr="0005379F">
              <w:rPr>
                <w:rFonts w:asciiTheme="majorHAnsi" w:hAnsiTheme="majorHAnsi"/>
                <w:vertAlign w:val="superscript"/>
                <w:lang w:val="en-AU"/>
              </w:rPr>
              <w:endnoteReference w:id="174"/>
            </w:r>
            <w:r w:rsidRPr="0005379F">
              <w:rPr>
                <w:rFonts w:asciiTheme="majorHAnsi" w:hAnsiTheme="majorHAnsi"/>
                <w:vertAlign w:val="superscript"/>
                <w:lang w:val="en-AU"/>
              </w:rPr>
              <w:t xml:space="preserve"> </w:t>
            </w:r>
            <w:r w:rsidRPr="0005379F">
              <w:rPr>
                <w:rFonts w:asciiTheme="majorHAnsi" w:hAnsiTheme="majorHAnsi"/>
                <w:lang w:val="en-AU"/>
              </w:rPr>
              <w:t xml:space="preserve"> </w:t>
            </w:r>
          </w:p>
          <w:p w14:paraId="0325DD7C" w14:textId="77777777" w:rsidR="00814869" w:rsidRPr="0005379F" w:rsidRDefault="00814869" w:rsidP="00714665">
            <w:pPr>
              <w:spacing w:before="240" w:after="0"/>
              <w:rPr>
                <w:rFonts w:asciiTheme="majorHAnsi" w:hAnsiTheme="majorHAnsi"/>
                <w:lang w:val="en-AU"/>
              </w:rPr>
            </w:pPr>
            <w:r w:rsidRPr="0005379F">
              <w:rPr>
                <w:rFonts w:asciiTheme="majorHAnsi" w:hAnsiTheme="majorHAnsi"/>
                <w:lang w:val="en-AU"/>
              </w:rPr>
              <w:t>This objective was to form the basis of much of the growth and development of Maori health initiatives throughout the 1990s.</w:t>
            </w:r>
            <w:r w:rsidRPr="0005379F">
              <w:rPr>
                <w:rFonts w:asciiTheme="majorHAnsi" w:hAnsiTheme="majorHAnsi"/>
                <w:vertAlign w:val="superscript"/>
                <w:lang w:val="en-AU"/>
              </w:rPr>
              <w:endnoteReference w:id="175"/>
            </w:r>
            <w:r w:rsidRPr="0005379F">
              <w:rPr>
                <w:rFonts w:asciiTheme="majorHAnsi" w:hAnsiTheme="majorHAnsi"/>
                <w:vertAlign w:val="superscript"/>
                <w:lang w:val="en-AU"/>
              </w:rPr>
              <w:t xml:space="preserve"> </w:t>
            </w:r>
            <w:r w:rsidRPr="0005379F">
              <w:rPr>
                <w:rFonts w:asciiTheme="majorHAnsi" w:hAnsiTheme="majorHAnsi"/>
                <w:lang w:val="en-AU"/>
              </w:rPr>
              <w:t>A Maori health branch of the New Zealand Ministry of Health was established in 1993. In 2000, it became a directorate.</w:t>
            </w:r>
            <w:r w:rsidRPr="0005379F">
              <w:rPr>
                <w:rFonts w:asciiTheme="majorHAnsi" w:hAnsiTheme="majorHAnsi"/>
                <w:vertAlign w:val="superscript"/>
                <w:lang w:val="en-AU"/>
              </w:rPr>
              <w:endnoteReference w:id="176"/>
            </w:r>
            <w:r w:rsidRPr="0005379F">
              <w:rPr>
                <w:rFonts w:asciiTheme="majorHAnsi" w:hAnsiTheme="majorHAnsi"/>
                <w:lang w:val="en-AU"/>
              </w:rPr>
              <w:t xml:space="preserve"> A Maori Capacity and Capability Plan </w:t>
            </w:r>
            <w:proofErr w:type="gramStart"/>
            <w:r w:rsidRPr="0005379F">
              <w:rPr>
                <w:rFonts w:asciiTheme="majorHAnsi" w:hAnsiTheme="majorHAnsi"/>
                <w:lang w:val="en-AU"/>
              </w:rPr>
              <w:t>was</w:t>
            </w:r>
            <w:proofErr w:type="gramEnd"/>
            <w:r w:rsidRPr="0005379F">
              <w:rPr>
                <w:rFonts w:asciiTheme="majorHAnsi" w:hAnsiTheme="majorHAnsi"/>
                <w:lang w:val="en-AU"/>
              </w:rPr>
              <w:t xml:space="preserve"> released in 2001. The Plan sought to build Maori management and workforce capacity, and to strengthen the knowledge and awareness of Maori health issues across the entire health system, including within the Ministry of Health and Maori health directorate. Consultation on the </w:t>
            </w:r>
            <w:r w:rsidRPr="0005379F">
              <w:rPr>
                <w:rFonts w:asciiTheme="majorHAnsi" w:hAnsiTheme="majorHAnsi"/>
                <w:i/>
                <w:lang w:val="en-AU"/>
              </w:rPr>
              <w:t xml:space="preserve">He Korowai </w:t>
            </w:r>
            <w:proofErr w:type="spellStart"/>
            <w:r w:rsidRPr="0005379F">
              <w:rPr>
                <w:rFonts w:asciiTheme="majorHAnsi" w:hAnsiTheme="majorHAnsi"/>
                <w:i/>
                <w:lang w:val="en-AU"/>
              </w:rPr>
              <w:t>Oranga</w:t>
            </w:r>
            <w:proofErr w:type="spellEnd"/>
            <w:r w:rsidRPr="0005379F">
              <w:rPr>
                <w:rFonts w:asciiTheme="majorHAnsi" w:hAnsiTheme="majorHAnsi"/>
                <w:lang w:val="en-AU"/>
              </w:rPr>
              <w:t xml:space="preserve"> (the Maori Health Strategy) began in the same year.</w:t>
            </w:r>
            <w:r w:rsidRPr="0005379F">
              <w:rPr>
                <w:rFonts w:asciiTheme="majorHAnsi" w:hAnsiTheme="majorHAnsi"/>
                <w:vertAlign w:val="superscript"/>
                <w:lang w:val="en-AU"/>
              </w:rPr>
              <w:endnoteReference w:id="177"/>
            </w:r>
          </w:p>
          <w:p w14:paraId="5EAE8130" w14:textId="6D596909" w:rsidR="00814869" w:rsidRPr="0005379F" w:rsidRDefault="00814869" w:rsidP="00714665">
            <w:pPr>
              <w:spacing w:before="240" w:after="0"/>
              <w:rPr>
                <w:rFonts w:asciiTheme="majorHAnsi" w:hAnsiTheme="majorHAnsi"/>
                <w:lang w:val="en-AU"/>
              </w:rPr>
            </w:pPr>
            <w:r w:rsidRPr="0005379F">
              <w:rPr>
                <w:rFonts w:asciiTheme="majorHAnsi" w:hAnsiTheme="majorHAnsi"/>
                <w:lang w:val="en-AU"/>
              </w:rPr>
              <w:t>The</w:t>
            </w:r>
            <w:hyperlink r:id="rId12" w:history="1">
              <w:r w:rsidRPr="0005379F">
                <w:rPr>
                  <w:rFonts w:asciiTheme="majorHAnsi" w:hAnsiTheme="majorHAnsi"/>
                  <w:lang w:val="en-AU"/>
                </w:rPr>
                <w:t xml:space="preserve"> </w:t>
              </w:r>
              <w:r w:rsidRPr="0005379F">
                <w:rPr>
                  <w:rFonts w:asciiTheme="majorHAnsi" w:hAnsiTheme="majorHAnsi"/>
                  <w:i/>
                  <w:lang w:val="en-AU"/>
                </w:rPr>
                <w:t>P</w:t>
              </w:r>
              <w:r w:rsidRPr="00D56432">
                <w:rPr>
                  <w:rFonts w:asciiTheme="majorHAnsi" w:hAnsiTheme="majorHAnsi"/>
                  <w:i/>
                  <w:lang w:val="en-AU"/>
                </w:rPr>
                <w:t>ublic Health &amp; Disability Act</w:t>
              </w:r>
              <w:r w:rsidR="00D56432" w:rsidRPr="00D56432">
                <w:rPr>
                  <w:rFonts w:asciiTheme="majorHAnsi" w:hAnsiTheme="majorHAnsi"/>
                  <w:i/>
                  <w:lang w:val="en-AU"/>
                </w:rPr>
                <w:t xml:space="preserve"> </w:t>
              </w:r>
              <w:r w:rsidRPr="00D56432">
                <w:rPr>
                  <w:rFonts w:asciiTheme="majorHAnsi" w:hAnsiTheme="majorHAnsi"/>
                  <w:i/>
                  <w:lang w:val="en-AU"/>
                </w:rPr>
                <w:t>2000</w:t>
              </w:r>
            </w:hyperlink>
            <w:r w:rsidR="00D56432">
              <w:rPr>
                <w:rFonts w:asciiTheme="majorHAnsi" w:hAnsiTheme="majorHAnsi"/>
                <w:lang w:val="en-AU"/>
              </w:rPr>
              <w:t xml:space="preserve"> (NZ)</w:t>
            </w:r>
            <w:r w:rsidRPr="0005379F">
              <w:rPr>
                <w:rFonts w:asciiTheme="majorHAnsi" w:hAnsiTheme="majorHAnsi"/>
                <w:lang w:val="en-AU"/>
              </w:rPr>
              <w:t> now incorporates</w:t>
            </w:r>
            <w:r w:rsidR="00CB3242">
              <w:rPr>
                <w:rFonts w:asciiTheme="majorHAnsi" w:hAnsiTheme="majorHAnsi"/>
                <w:lang w:val="en-AU"/>
              </w:rPr>
              <w:t xml:space="preserve"> a</w:t>
            </w:r>
            <w:r w:rsidRPr="0005379F">
              <w:rPr>
                <w:rFonts w:asciiTheme="majorHAnsi" w:hAnsiTheme="majorHAnsi"/>
                <w:lang w:val="en-AU"/>
              </w:rPr>
              <w:t xml:space="preserve"> number of significant references to Maori health. In particular, it requires district health boards to establish and maintain processes to enable Maori to participate in and contribute to strategies for Maori health improvement.</w:t>
            </w:r>
            <w:r w:rsidRPr="0005379F">
              <w:rPr>
                <w:rFonts w:asciiTheme="majorHAnsi" w:hAnsiTheme="majorHAnsi"/>
                <w:vertAlign w:val="superscript"/>
                <w:lang w:val="en-AU"/>
              </w:rPr>
              <w:endnoteReference w:id="178"/>
            </w:r>
            <w:r w:rsidRPr="0005379F">
              <w:rPr>
                <w:rFonts w:asciiTheme="majorHAnsi" w:hAnsiTheme="majorHAnsi"/>
                <w:lang w:val="en-AU"/>
              </w:rPr>
              <w:t xml:space="preserve"> Part 3 of the Act provides for the establishment of district health boards and sets out their objectives and functions. They include the objective of reducing health disparities by improving health outcomes for Maori and other population groups, and to reduce, with a view to eliminating, health outcome disparities between the various population groups.</w:t>
            </w:r>
            <w:r w:rsidRPr="0005379F">
              <w:rPr>
                <w:rFonts w:asciiTheme="majorHAnsi" w:hAnsiTheme="majorHAnsi"/>
                <w:vertAlign w:val="superscript"/>
                <w:lang w:val="en-AU"/>
              </w:rPr>
              <w:endnoteReference w:id="179"/>
            </w:r>
            <w:r w:rsidRPr="0005379F">
              <w:rPr>
                <w:rFonts w:asciiTheme="majorHAnsi" w:hAnsiTheme="majorHAnsi"/>
                <w:lang w:val="en-AU"/>
              </w:rPr>
              <w:t xml:space="preserve"> </w:t>
            </w:r>
          </w:p>
          <w:p w14:paraId="679EEF8B" w14:textId="77777777" w:rsidR="00814869" w:rsidRPr="0005379F" w:rsidRDefault="00814869" w:rsidP="00714665">
            <w:pPr>
              <w:spacing w:before="240" w:after="0"/>
              <w:rPr>
                <w:rFonts w:asciiTheme="majorHAnsi" w:hAnsiTheme="majorHAnsi"/>
                <w:lang w:val="en-AU"/>
              </w:rPr>
            </w:pPr>
            <w:r w:rsidRPr="0005379F">
              <w:rPr>
                <w:rFonts w:asciiTheme="majorHAnsi" w:hAnsiTheme="majorHAnsi"/>
                <w:lang w:val="en-AU"/>
              </w:rPr>
              <w:t>The Ministry of Health today continue</w:t>
            </w:r>
            <w:r w:rsidR="005246A3" w:rsidRPr="0005379F">
              <w:rPr>
                <w:rFonts w:asciiTheme="majorHAnsi" w:hAnsiTheme="majorHAnsi"/>
                <w:lang w:val="en-AU"/>
              </w:rPr>
              <w:t>s</w:t>
            </w:r>
            <w:r w:rsidRPr="0005379F">
              <w:rPr>
                <w:rFonts w:asciiTheme="majorHAnsi" w:hAnsiTheme="majorHAnsi"/>
                <w:lang w:val="en-AU"/>
              </w:rPr>
              <w:t xml:space="preserve"> to describe Maori health inequality as unacceptable, and continue</w:t>
            </w:r>
            <w:r w:rsidR="005246A3" w:rsidRPr="0005379F">
              <w:rPr>
                <w:rFonts w:asciiTheme="majorHAnsi" w:hAnsiTheme="majorHAnsi"/>
                <w:lang w:val="en-AU"/>
              </w:rPr>
              <w:t>s</w:t>
            </w:r>
            <w:r w:rsidRPr="0005379F">
              <w:rPr>
                <w:rFonts w:asciiTheme="majorHAnsi" w:hAnsiTheme="majorHAnsi"/>
                <w:lang w:val="en-AU"/>
              </w:rPr>
              <w:t xml:space="preserve"> to work towards equality as a priority.</w:t>
            </w:r>
            <w:r w:rsidRPr="0005379F">
              <w:rPr>
                <w:rFonts w:asciiTheme="majorHAnsi" w:hAnsiTheme="majorHAnsi"/>
                <w:vertAlign w:val="superscript"/>
                <w:lang w:val="en-AU"/>
              </w:rPr>
              <w:endnoteReference w:id="180"/>
            </w:r>
          </w:p>
        </w:tc>
      </w:tr>
    </w:tbl>
    <w:p w14:paraId="7F2EEF4F" w14:textId="6307AB05" w:rsidR="005936C8" w:rsidRPr="0005379F" w:rsidRDefault="00814869" w:rsidP="005246A3">
      <w:pPr>
        <w:spacing w:before="120" w:after="120"/>
        <w:rPr>
          <w:rFonts w:asciiTheme="majorHAnsi" w:hAnsiTheme="majorHAnsi"/>
          <w:lang w:val="en-AU"/>
        </w:rPr>
      </w:pPr>
      <w:r w:rsidRPr="0005379F">
        <w:rPr>
          <w:rFonts w:asciiTheme="majorHAnsi" w:hAnsiTheme="majorHAnsi"/>
          <w:lang w:val="en-AU"/>
        </w:rPr>
        <w:t>The Campaign Steering Committee believe</w:t>
      </w:r>
      <w:r w:rsidR="005246A3" w:rsidRPr="0005379F">
        <w:rPr>
          <w:rFonts w:asciiTheme="majorHAnsi" w:hAnsiTheme="majorHAnsi"/>
          <w:lang w:val="en-AU"/>
        </w:rPr>
        <w:t>s</w:t>
      </w:r>
      <w:r w:rsidRPr="0005379F">
        <w:rPr>
          <w:rFonts w:asciiTheme="majorHAnsi" w:hAnsiTheme="majorHAnsi"/>
          <w:lang w:val="en-AU"/>
        </w:rPr>
        <w:t xml:space="preserve"> we will start to see reductions in cardiovascular disease, indeed all chronic disease, among Aboriginal and Torres Strait Islander people as the new services, health checks, preventative health campaigns and other initiatives take effect. </w:t>
      </w:r>
      <w:r w:rsidR="007160BB">
        <w:rPr>
          <w:rFonts w:asciiTheme="majorHAnsi" w:hAnsiTheme="majorHAnsi"/>
          <w:lang w:val="en-AU"/>
        </w:rPr>
        <w:t>Assessing the impact of these measures r</w:t>
      </w:r>
      <w:r w:rsidR="00893220" w:rsidRPr="0005379F">
        <w:rPr>
          <w:rFonts w:asciiTheme="majorHAnsi" w:hAnsiTheme="majorHAnsi"/>
          <w:lang w:val="en-AU"/>
        </w:rPr>
        <w:t>equire</w:t>
      </w:r>
      <w:r w:rsidR="007160BB">
        <w:rPr>
          <w:rFonts w:asciiTheme="majorHAnsi" w:hAnsiTheme="majorHAnsi"/>
          <w:lang w:val="en-AU"/>
        </w:rPr>
        <w:t>s</w:t>
      </w:r>
      <w:r w:rsidRPr="0005379F">
        <w:rPr>
          <w:rFonts w:asciiTheme="majorHAnsi" w:hAnsiTheme="majorHAnsi"/>
          <w:lang w:val="en-AU"/>
        </w:rPr>
        <w:t xml:space="preserve"> </w:t>
      </w:r>
      <w:r w:rsidR="00893220" w:rsidRPr="0005379F">
        <w:rPr>
          <w:rFonts w:asciiTheme="majorHAnsi" w:hAnsiTheme="majorHAnsi"/>
          <w:lang w:val="en-AU"/>
        </w:rPr>
        <w:t>a realistic understanding of the lag times between the rollout of programmes and the availability of measurements to assess their impact.</w:t>
      </w:r>
      <w:r w:rsidR="005246A3" w:rsidRPr="0005379F">
        <w:rPr>
          <w:rFonts w:asciiTheme="majorHAnsi" w:hAnsiTheme="majorHAnsi"/>
          <w:lang w:val="en-AU"/>
        </w:rPr>
        <w:t xml:space="preserve"> T</w:t>
      </w:r>
      <w:r w:rsidRPr="0005379F">
        <w:rPr>
          <w:rFonts w:asciiTheme="majorHAnsi" w:hAnsiTheme="majorHAnsi"/>
          <w:lang w:val="en-AU"/>
        </w:rPr>
        <w:t xml:space="preserve">he </w:t>
      </w:r>
      <w:r w:rsidR="0079419E">
        <w:rPr>
          <w:rFonts w:asciiTheme="majorHAnsi" w:hAnsiTheme="majorHAnsi"/>
          <w:lang w:val="en-AU"/>
        </w:rPr>
        <w:t xml:space="preserve">same applies to the </w:t>
      </w:r>
      <w:r w:rsidRPr="0005379F">
        <w:rPr>
          <w:rFonts w:asciiTheme="majorHAnsi" w:hAnsiTheme="majorHAnsi"/>
          <w:lang w:val="en-AU"/>
        </w:rPr>
        <w:t xml:space="preserve">effort to close the gap should </w:t>
      </w:r>
      <w:r w:rsidR="0079419E">
        <w:rPr>
          <w:rFonts w:asciiTheme="majorHAnsi" w:hAnsiTheme="majorHAnsi"/>
          <w:lang w:val="en-AU"/>
        </w:rPr>
        <w:t>more broadly</w:t>
      </w:r>
      <w:r w:rsidRPr="0005379F">
        <w:rPr>
          <w:rFonts w:asciiTheme="majorHAnsi" w:hAnsiTheme="majorHAnsi"/>
          <w:lang w:val="en-AU"/>
        </w:rPr>
        <w:t>.</w:t>
      </w:r>
    </w:p>
    <w:p w14:paraId="469F9D17" w14:textId="77777777" w:rsidR="00814869" w:rsidRPr="0005379F" w:rsidRDefault="00441A7F" w:rsidP="0057355E">
      <w:pPr>
        <w:pStyle w:val="Heading2"/>
        <w:rPr>
          <w:lang w:val="en-AU"/>
        </w:rPr>
      </w:pPr>
      <w:bookmarkStart w:id="28" w:name="_Toc409788733"/>
      <w:r>
        <w:rPr>
          <w:lang w:val="en-AU"/>
        </w:rPr>
        <w:t>The r</w:t>
      </w:r>
      <w:r w:rsidR="001B032D">
        <w:rPr>
          <w:lang w:val="en-AU"/>
        </w:rPr>
        <w:t>ole of c</w:t>
      </w:r>
      <w:r w:rsidR="00814869" w:rsidRPr="0005379F">
        <w:rPr>
          <w:lang w:val="en-AU"/>
        </w:rPr>
        <w:t>ulture</w:t>
      </w:r>
      <w:bookmarkEnd w:id="28"/>
    </w:p>
    <w:p w14:paraId="745A4AB4" w14:textId="743FA8CC" w:rsidR="00C404B1" w:rsidRDefault="007160BB" w:rsidP="002121D7">
      <w:pPr>
        <w:autoSpaceDE w:val="0"/>
        <w:autoSpaceDN w:val="0"/>
        <w:adjustRightInd w:val="0"/>
        <w:spacing w:before="240" w:after="240"/>
        <w:rPr>
          <w:rFonts w:cs="Calibri"/>
          <w:bCs/>
          <w:color w:val="000000"/>
          <w:lang w:val="en-AU"/>
        </w:rPr>
      </w:pPr>
      <w:r>
        <w:rPr>
          <w:rFonts w:cs="Calibri"/>
          <w:bCs/>
          <w:color w:val="000000"/>
          <w:lang w:val="en-AU"/>
        </w:rPr>
        <w:t>As noted, c</w:t>
      </w:r>
      <w:r w:rsidR="001B032D">
        <w:rPr>
          <w:rFonts w:cs="Calibri"/>
          <w:bCs/>
          <w:color w:val="000000"/>
          <w:lang w:val="en-AU"/>
        </w:rPr>
        <w:t xml:space="preserve">reating </w:t>
      </w:r>
      <w:r>
        <w:rPr>
          <w:rFonts w:cs="Calibri"/>
          <w:bCs/>
          <w:color w:val="000000"/>
          <w:lang w:val="en-AU"/>
        </w:rPr>
        <w:t xml:space="preserve">better connections </w:t>
      </w:r>
      <w:r w:rsidR="00C404B1">
        <w:rPr>
          <w:rFonts w:cs="Calibri"/>
          <w:bCs/>
          <w:color w:val="000000"/>
          <w:lang w:val="en-AU"/>
        </w:rPr>
        <w:t xml:space="preserve">between </w:t>
      </w:r>
      <w:r w:rsidR="00814869" w:rsidRPr="004E104E">
        <w:rPr>
          <w:rFonts w:cs="Calibri"/>
          <w:bCs/>
          <w:color w:val="000000"/>
          <w:lang w:val="en-AU"/>
        </w:rPr>
        <w:t>the IAS and Closing the Gap Strateg</w:t>
      </w:r>
      <w:r>
        <w:rPr>
          <w:rFonts w:cs="Calibri"/>
          <w:bCs/>
          <w:color w:val="000000"/>
          <w:lang w:val="en-AU"/>
        </w:rPr>
        <w:t>y</w:t>
      </w:r>
      <w:r w:rsidR="00814869" w:rsidRPr="004E104E">
        <w:rPr>
          <w:rFonts w:cs="Calibri"/>
          <w:bCs/>
          <w:color w:val="000000"/>
          <w:lang w:val="en-AU"/>
        </w:rPr>
        <w:t xml:space="preserve"> could strengthen existing response</w:t>
      </w:r>
      <w:r w:rsidR="009315E6" w:rsidRPr="004E104E">
        <w:rPr>
          <w:rFonts w:cs="Calibri"/>
          <w:bCs/>
          <w:color w:val="000000"/>
          <w:lang w:val="en-AU"/>
        </w:rPr>
        <w:t>s</w:t>
      </w:r>
      <w:r w:rsidR="00814869" w:rsidRPr="004E104E">
        <w:rPr>
          <w:rFonts w:cs="Calibri"/>
          <w:bCs/>
          <w:color w:val="000000"/>
          <w:lang w:val="en-AU"/>
        </w:rPr>
        <w:t xml:space="preserve"> to school attendance, employment and community safety</w:t>
      </w:r>
      <w:r w:rsidRPr="007160BB">
        <w:rPr>
          <w:rFonts w:cs="Calibri"/>
          <w:bCs/>
          <w:color w:val="000000"/>
          <w:lang w:val="en-AU"/>
        </w:rPr>
        <w:t xml:space="preserve"> and help improved health outcomes</w:t>
      </w:r>
      <w:r w:rsidR="00814869" w:rsidRPr="004E104E">
        <w:rPr>
          <w:rFonts w:cs="Calibri"/>
          <w:bCs/>
          <w:color w:val="000000"/>
          <w:lang w:val="en-AU"/>
        </w:rPr>
        <w:t xml:space="preserve">. </w:t>
      </w:r>
      <w:r>
        <w:rPr>
          <w:rFonts w:cs="Calibri"/>
          <w:bCs/>
          <w:color w:val="000000"/>
          <w:lang w:val="en-AU"/>
        </w:rPr>
        <w:t>The IAS</w:t>
      </w:r>
      <w:r w:rsidR="00814869" w:rsidRPr="004E104E">
        <w:rPr>
          <w:rFonts w:cs="Calibri"/>
          <w:bCs/>
          <w:color w:val="000000"/>
          <w:lang w:val="en-AU"/>
        </w:rPr>
        <w:t xml:space="preserve"> could also p</w:t>
      </w:r>
      <w:r w:rsidR="0091393D">
        <w:rPr>
          <w:rFonts w:cs="Calibri"/>
          <w:bCs/>
          <w:color w:val="000000"/>
          <w:lang w:val="en-AU"/>
        </w:rPr>
        <w:t>rovide a further building block</w:t>
      </w:r>
      <w:r w:rsidR="00814869" w:rsidRPr="004E104E">
        <w:rPr>
          <w:rFonts w:cs="Calibri"/>
          <w:bCs/>
          <w:color w:val="000000"/>
          <w:lang w:val="en-AU"/>
        </w:rPr>
        <w:t xml:space="preserve"> – culture</w:t>
      </w:r>
      <w:r>
        <w:rPr>
          <w:rFonts w:cs="Calibri"/>
          <w:bCs/>
          <w:color w:val="000000"/>
          <w:lang w:val="en-AU"/>
        </w:rPr>
        <w:t xml:space="preserve"> – to enhance the Closing the Gap Strategy</w:t>
      </w:r>
      <w:r w:rsidR="00814869" w:rsidRPr="004E104E">
        <w:rPr>
          <w:rFonts w:cs="Calibri"/>
          <w:bCs/>
          <w:color w:val="000000"/>
          <w:lang w:val="en-AU"/>
        </w:rPr>
        <w:t xml:space="preserve">. This is entirely consistent with the position of the </w:t>
      </w:r>
      <w:r w:rsidR="001E149E">
        <w:rPr>
          <w:rFonts w:cs="Calibri"/>
          <w:bCs/>
          <w:color w:val="000000"/>
          <w:lang w:val="en-AU"/>
        </w:rPr>
        <w:t>Health Plan</w:t>
      </w:r>
      <w:r w:rsidR="00814869" w:rsidRPr="004E104E">
        <w:rPr>
          <w:rFonts w:cs="Calibri"/>
          <w:bCs/>
          <w:color w:val="000000"/>
          <w:lang w:val="en-AU"/>
        </w:rPr>
        <w:t xml:space="preserve"> that asserts the central place of culture in</w:t>
      </w:r>
      <w:r w:rsidR="0038740C">
        <w:rPr>
          <w:rFonts w:cs="Calibri"/>
          <w:bCs/>
          <w:color w:val="000000"/>
          <w:lang w:val="en-AU"/>
        </w:rPr>
        <w:t xml:space="preserve"> affecting positive outcomes in</w:t>
      </w:r>
      <w:r w:rsidR="00814869" w:rsidRPr="004E104E">
        <w:rPr>
          <w:rFonts w:cs="Calibri"/>
          <w:bCs/>
          <w:color w:val="000000"/>
          <w:lang w:val="en-AU"/>
        </w:rPr>
        <w:t xml:space="preserve"> the health of Aboriginal and Torres Strait Islander peoples.</w:t>
      </w:r>
      <w:r w:rsidR="00814869" w:rsidRPr="004E104E">
        <w:rPr>
          <w:rStyle w:val="EndnoteReference"/>
          <w:rFonts w:cs="Calibri"/>
          <w:bCs/>
          <w:color w:val="000000"/>
          <w:lang w:val="en-AU"/>
        </w:rPr>
        <w:endnoteReference w:id="181"/>
      </w:r>
      <w:r w:rsidR="001507EC" w:rsidRPr="004E104E">
        <w:rPr>
          <w:rFonts w:cs="Calibri"/>
          <w:bCs/>
          <w:color w:val="000000"/>
          <w:lang w:val="en-AU"/>
        </w:rPr>
        <w:t xml:space="preserve"> </w:t>
      </w:r>
    </w:p>
    <w:p w14:paraId="46F0C2F1" w14:textId="37AE5455" w:rsidR="00814869" w:rsidRPr="0005379F" w:rsidRDefault="001507EC" w:rsidP="002121D7">
      <w:pPr>
        <w:autoSpaceDE w:val="0"/>
        <w:autoSpaceDN w:val="0"/>
        <w:adjustRightInd w:val="0"/>
        <w:spacing w:before="240" w:after="240"/>
        <w:rPr>
          <w:rFonts w:cs="Calibri"/>
          <w:bCs/>
          <w:color w:val="000000"/>
          <w:lang w:val="en-AU"/>
        </w:rPr>
      </w:pPr>
      <w:r w:rsidRPr="004E104E">
        <w:rPr>
          <w:rFonts w:cs="Calibri"/>
          <w:bCs/>
          <w:color w:val="000000"/>
          <w:lang w:val="en-AU"/>
        </w:rPr>
        <w:t xml:space="preserve">Culture is not an </w:t>
      </w:r>
      <w:r w:rsidR="0038740C">
        <w:rPr>
          <w:rFonts w:cs="Calibri"/>
          <w:bCs/>
          <w:color w:val="000000"/>
          <w:lang w:val="en-AU"/>
        </w:rPr>
        <w:t>‘</w:t>
      </w:r>
      <w:r w:rsidRPr="004E104E">
        <w:rPr>
          <w:rFonts w:cs="Calibri"/>
          <w:bCs/>
          <w:color w:val="000000"/>
          <w:lang w:val="en-AU"/>
        </w:rPr>
        <w:t>add-</w:t>
      </w:r>
      <w:r w:rsidR="00B250FB" w:rsidRPr="004E104E">
        <w:rPr>
          <w:rFonts w:cs="Calibri"/>
          <w:bCs/>
          <w:color w:val="000000"/>
          <w:lang w:val="en-AU"/>
        </w:rPr>
        <w:t>on</w:t>
      </w:r>
      <w:r w:rsidR="0038740C">
        <w:rPr>
          <w:rFonts w:cs="Calibri"/>
          <w:bCs/>
          <w:color w:val="000000"/>
          <w:lang w:val="en-AU"/>
        </w:rPr>
        <w:t>’</w:t>
      </w:r>
      <w:r w:rsidR="00B250FB" w:rsidRPr="004E104E">
        <w:rPr>
          <w:rFonts w:cs="Calibri"/>
          <w:bCs/>
          <w:color w:val="000000"/>
          <w:lang w:val="en-AU"/>
        </w:rPr>
        <w:t xml:space="preserve"> but</w:t>
      </w:r>
      <w:r w:rsidR="0038740C">
        <w:rPr>
          <w:rFonts w:cs="Calibri"/>
          <w:bCs/>
          <w:color w:val="000000"/>
          <w:lang w:val="en-AU"/>
        </w:rPr>
        <w:t xml:space="preserve"> rather</w:t>
      </w:r>
      <w:r w:rsidR="00B250FB" w:rsidRPr="004E104E">
        <w:rPr>
          <w:rFonts w:cs="Calibri"/>
          <w:bCs/>
          <w:color w:val="000000"/>
          <w:lang w:val="en-AU"/>
        </w:rPr>
        <w:t xml:space="preserve"> underpins effective</w:t>
      </w:r>
      <w:r w:rsidRPr="004E104E">
        <w:rPr>
          <w:rFonts w:cs="Calibri"/>
          <w:bCs/>
          <w:color w:val="000000"/>
          <w:lang w:val="en-AU"/>
        </w:rPr>
        <w:t xml:space="preserve"> service and</w:t>
      </w:r>
      <w:r w:rsidR="00B250FB" w:rsidRPr="004E104E">
        <w:rPr>
          <w:rFonts w:cs="Calibri"/>
          <w:bCs/>
          <w:color w:val="000000"/>
          <w:lang w:val="en-AU"/>
        </w:rPr>
        <w:t xml:space="preserve"> program</w:t>
      </w:r>
      <w:r w:rsidR="0005379F" w:rsidRPr="004E104E">
        <w:rPr>
          <w:rFonts w:cs="Calibri"/>
          <w:bCs/>
          <w:color w:val="000000"/>
          <w:lang w:val="en-AU"/>
        </w:rPr>
        <w:t>me</w:t>
      </w:r>
      <w:r w:rsidR="00B250FB" w:rsidRPr="004E104E">
        <w:rPr>
          <w:rFonts w:cs="Calibri"/>
          <w:bCs/>
          <w:color w:val="000000"/>
          <w:lang w:val="en-AU"/>
        </w:rPr>
        <w:t xml:space="preserve"> delivery.</w:t>
      </w:r>
      <w:r w:rsidRPr="004E104E">
        <w:rPr>
          <w:rFonts w:cs="Calibri"/>
          <w:bCs/>
          <w:color w:val="000000"/>
          <w:lang w:val="en-AU"/>
        </w:rPr>
        <w:t xml:space="preserve"> </w:t>
      </w:r>
      <w:r w:rsidR="00814869" w:rsidRPr="004E104E">
        <w:rPr>
          <w:rFonts w:cs="Calibri"/>
          <w:bCs/>
          <w:color w:val="000000"/>
          <w:lang w:val="en-AU"/>
        </w:rPr>
        <w:t xml:space="preserve">The role of culture </w:t>
      </w:r>
      <w:r w:rsidR="00D3717F">
        <w:rPr>
          <w:rFonts w:cs="Calibri"/>
          <w:bCs/>
          <w:color w:val="000000"/>
          <w:lang w:val="en-AU"/>
        </w:rPr>
        <w:t xml:space="preserve">as an </w:t>
      </w:r>
      <w:r w:rsidR="00814869" w:rsidRPr="004E104E">
        <w:rPr>
          <w:rFonts w:cs="Calibri"/>
          <w:bCs/>
          <w:color w:val="000000"/>
          <w:lang w:val="en-AU"/>
        </w:rPr>
        <w:t xml:space="preserve">additional building block </w:t>
      </w:r>
      <w:r w:rsidR="009315E6" w:rsidRPr="004E104E">
        <w:rPr>
          <w:rFonts w:cs="Calibri"/>
          <w:bCs/>
          <w:color w:val="000000"/>
          <w:lang w:val="en-AU"/>
        </w:rPr>
        <w:t xml:space="preserve">in </w:t>
      </w:r>
      <w:r w:rsidR="00814869" w:rsidRPr="004E104E">
        <w:rPr>
          <w:rFonts w:cs="Calibri"/>
          <w:bCs/>
          <w:color w:val="000000"/>
          <w:lang w:val="en-AU"/>
        </w:rPr>
        <w:t xml:space="preserve">an enhanced Closing the Gap Strategy is discussed in </w:t>
      </w:r>
      <w:r w:rsidR="000B6D6F">
        <w:rPr>
          <w:rFonts w:cs="Calibri"/>
          <w:bCs/>
          <w:color w:val="000000"/>
          <w:lang w:val="en-AU"/>
        </w:rPr>
        <w:t xml:space="preserve">the </w:t>
      </w:r>
      <w:r w:rsidR="004E104E" w:rsidRPr="004E104E">
        <w:rPr>
          <w:rFonts w:cs="Calibri"/>
          <w:bCs/>
          <w:color w:val="000000"/>
          <w:lang w:val="en-AU"/>
        </w:rPr>
        <w:t xml:space="preserve">text </w:t>
      </w:r>
      <w:r w:rsidR="000B6D6F">
        <w:rPr>
          <w:rFonts w:cs="Calibri"/>
          <w:bCs/>
          <w:color w:val="000000"/>
          <w:lang w:val="en-AU"/>
        </w:rPr>
        <w:t>box below</w:t>
      </w:r>
      <w:r w:rsidR="00814869" w:rsidRPr="004E104E">
        <w:rPr>
          <w:rFonts w:cs="Calibri"/>
          <w:bCs/>
          <w:color w:val="000000"/>
          <w:lang w:val="en-AU"/>
        </w:rPr>
        <w:t>.</w:t>
      </w:r>
    </w:p>
    <w:tbl>
      <w:tblPr>
        <w:tblStyle w:val="TableGrid"/>
        <w:tblW w:w="0" w:type="auto"/>
        <w:tblLook w:val="04A0" w:firstRow="1" w:lastRow="0" w:firstColumn="1" w:lastColumn="0" w:noHBand="0" w:noVBand="1"/>
      </w:tblPr>
      <w:tblGrid>
        <w:gridCol w:w="9286"/>
      </w:tblGrid>
      <w:tr w:rsidR="00814869" w:rsidRPr="006A24D8" w14:paraId="5323F6FA" w14:textId="77777777" w:rsidTr="002121D7">
        <w:tc>
          <w:tcPr>
            <w:tcW w:w="9286" w:type="dxa"/>
            <w:shd w:val="clear" w:color="auto" w:fill="DBE5F1" w:themeFill="accent1" w:themeFillTint="33"/>
          </w:tcPr>
          <w:p w14:paraId="1D737297" w14:textId="306A36E6" w:rsidR="00814869" w:rsidRPr="0005379F" w:rsidRDefault="00814869" w:rsidP="002121D7">
            <w:pPr>
              <w:autoSpaceDE w:val="0"/>
              <w:autoSpaceDN w:val="0"/>
              <w:adjustRightInd w:val="0"/>
              <w:spacing w:before="240" w:after="0"/>
              <w:rPr>
                <w:rFonts w:cs="Calibri"/>
                <w:b/>
                <w:bCs/>
                <w:color w:val="000000"/>
                <w:lang w:val="en-AU"/>
              </w:rPr>
            </w:pPr>
            <w:r w:rsidRPr="004E104E">
              <w:rPr>
                <w:rFonts w:cs="Calibri"/>
                <w:b/>
                <w:bCs/>
                <w:color w:val="000000"/>
                <w:lang w:val="en-AU"/>
              </w:rPr>
              <w:t xml:space="preserve">Text Box: Culture, the </w:t>
            </w:r>
            <w:r w:rsidR="000B6D6F">
              <w:rPr>
                <w:rFonts w:cs="Calibri"/>
                <w:b/>
                <w:bCs/>
                <w:color w:val="000000"/>
                <w:lang w:val="en-AU"/>
              </w:rPr>
              <w:t>Indigenous Advancement Strategy</w:t>
            </w:r>
            <w:r w:rsidRPr="004E104E">
              <w:rPr>
                <w:rFonts w:cs="Calibri"/>
                <w:b/>
                <w:bCs/>
                <w:color w:val="000000"/>
                <w:lang w:val="en-AU"/>
              </w:rPr>
              <w:t xml:space="preserve"> and an enhanced Closing the Gap Strategy</w:t>
            </w:r>
          </w:p>
          <w:p w14:paraId="70FFD8EE" w14:textId="2EE27D44" w:rsidR="00814869" w:rsidRPr="0005379F" w:rsidRDefault="00B250FB" w:rsidP="002121D7">
            <w:pPr>
              <w:keepNext/>
              <w:keepLines/>
              <w:autoSpaceDE w:val="0"/>
              <w:autoSpaceDN w:val="0"/>
              <w:adjustRightInd w:val="0"/>
              <w:spacing w:before="240" w:after="0"/>
              <w:outlineLvl w:val="6"/>
              <w:rPr>
                <w:rFonts w:cs="Calibri"/>
                <w:bCs/>
                <w:color w:val="000000"/>
                <w:lang w:val="en-AU"/>
              </w:rPr>
            </w:pPr>
            <w:r w:rsidRPr="0005379F">
              <w:rPr>
                <w:rFonts w:cs="Calibri"/>
                <w:bCs/>
                <w:color w:val="000000"/>
                <w:lang w:val="en-AU"/>
              </w:rPr>
              <w:t>In the context of service and program</w:t>
            </w:r>
            <w:r w:rsidR="00433363">
              <w:rPr>
                <w:rFonts w:cs="Calibri"/>
                <w:bCs/>
                <w:color w:val="000000"/>
                <w:lang w:val="en-AU"/>
              </w:rPr>
              <w:t>me delivery</w:t>
            </w:r>
            <w:r w:rsidR="001F413E">
              <w:rPr>
                <w:rFonts w:cs="Calibri"/>
                <w:bCs/>
                <w:color w:val="000000"/>
                <w:lang w:val="en-AU"/>
              </w:rPr>
              <w:t>,</w:t>
            </w:r>
            <w:r w:rsidR="00433363">
              <w:rPr>
                <w:rFonts w:cs="Calibri"/>
                <w:bCs/>
                <w:color w:val="000000"/>
                <w:lang w:val="en-AU"/>
              </w:rPr>
              <w:t xml:space="preserve"> </w:t>
            </w:r>
            <w:r w:rsidR="00D3717F">
              <w:rPr>
                <w:rFonts w:cs="Calibri"/>
                <w:bCs/>
                <w:color w:val="000000"/>
                <w:lang w:val="en-AU"/>
              </w:rPr>
              <w:t>‘</w:t>
            </w:r>
            <w:r w:rsidR="00814869" w:rsidRPr="0005379F">
              <w:rPr>
                <w:rFonts w:cs="Calibri"/>
                <w:bCs/>
                <w:color w:val="000000"/>
                <w:lang w:val="en-AU"/>
              </w:rPr>
              <w:t>culture</w:t>
            </w:r>
            <w:r w:rsidR="00D3717F">
              <w:rPr>
                <w:rFonts w:cs="Calibri"/>
                <w:bCs/>
                <w:color w:val="000000"/>
                <w:lang w:val="en-AU"/>
              </w:rPr>
              <w:t>’</w:t>
            </w:r>
            <w:r w:rsidR="00814869" w:rsidRPr="0005379F">
              <w:rPr>
                <w:rFonts w:cs="Calibri"/>
                <w:bCs/>
                <w:color w:val="000000"/>
                <w:lang w:val="en-AU"/>
              </w:rPr>
              <w:t xml:space="preserve"> </w:t>
            </w:r>
            <w:r w:rsidRPr="0005379F">
              <w:rPr>
                <w:rFonts w:cs="Calibri"/>
                <w:bCs/>
                <w:color w:val="000000"/>
                <w:lang w:val="en-AU"/>
              </w:rPr>
              <w:t xml:space="preserve">refers to </w:t>
            </w:r>
            <w:r w:rsidR="00814869" w:rsidRPr="0005379F">
              <w:rPr>
                <w:rFonts w:cs="Calibri"/>
                <w:bCs/>
                <w:color w:val="000000"/>
                <w:lang w:val="en-AU"/>
              </w:rPr>
              <w:t xml:space="preserve">the cultural underpinnings of Aboriginal and Torres Strait Islander family and community life as well as cultural activities and other </w:t>
            </w:r>
            <w:r w:rsidRPr="0005379F">
              <w:rPr>
                <w:rFonts w:cs="Calibri"/>
                <w:bCs/>
                <w:color w:val="000000"/>
                <w:lang w:val="en-AU"/>
              </w:rPr>
              <w:t xml:space="preserve">expressions </w:t>
            </w:r>
            <w:r w:rsidR="00814869" w:rsidRPr="0005379F">
              <w:rPr>
                <w:rFonts w:cs="Calibri"/>
                <w:bCs/>
                <w:color w:val="000000"/>
                <w:lang w:val="en-AU"/>
              </w:rPr>
              <w:t xml:space="preserve">of culture. </w:t>
            </w:r>
            <w:r w:rsidRPr="0005379F">
              <w:rPr>
                <w:rFonts w:cs="Calibri"/>
                <w:bCs/>
                <w:color w:val="000000"/>
                <w:lang w:val="en-AU"/>
              </w:rPr>
              <w:t xml:space="preserve">A building block based on the </w:t>
            </w:r>
            <w:r w:rsidR="00D3717F">
              <w:rPr>
                <w:rFonts w:cs="Calibri"/>
                <w:bCs/>
                <w:color w:val="000000"/>
                <w:lang w:val="en-AU"/>
              </w:rPr>
              <w:t>importance</w:t>
            </w:r>
            <w:r w:rsidRPr="0005379F">
              <w:rPr>
                <w:rFonts w:cs="Calibri"/>
                <w:bCs/>
                <w:color w:val="000000"/>
                <w:lang w:val="en-AU"/>
              </w:rPr>
              <w:t xml:space="preserve"> of culture would </w:t>
            </w:r>
            <w:r w:rsidR="00814869" w:rsidRPr="0005379F">
              <w:rPr>
                <w:rFonts w:cs="Calibri"/>
                <w:bCs/>
                <w:color w:val="000000"/>
                <w:lang w:val="en-AU"/>
              </w:rPr>
              <w:t xml:space="preserve">make a decisive </w:t>
            </w:r>
            <w:r w:rsidR="00814869" w:rsidRPr="0005379F">
              <w:rPr>
                <w:rFonts w:cs="Calibri"/>
                <w:bCs/>
                <w:color w:val="000000"/>
                <w:lang w:val="en-AU"/>
              </w:rPr>
              <w:lastRenderedPageBreak/>
              <w:t xml:space="preserve">contribution to the Indigenous Affairs priorities of the </w:t>
            </w:r>
            <w:r w:rsidR="000C3E17" w:rsidRPr="0005379F">
              <w:rPr>
                <w:rFonts w:cs="Calibri"/>
                <w:bCs/>
                <w:color w:val="000000"/>
                <w:lang w:val="en-AU"/>
              </w:rPr>
              <w:t>Australian</w:t>
            </w:r>
            <w:r w:rsidR="00814869" w:rsidRPr="0005379F">
              <w:rPr>
                <w:rFonts w:cs="Calibri"/>
                <w:bCs/>
                <w:color w:val="000000"/>
                <w:lang w:val="en-AU"/>
              </w:rPr>
              <w:t xml:space="preserve"> Government in ways </w:t>
            </w:r>
            <w:r w:rsidR="0038740C">
              <w:rPr>
                <w:rFonts w:cs="Calibri"/>
                <w:bCs/>
                <w:color w:val="000000"/>
                <w:lang w:val="en-AU"/>
              </w:rPr>
              <w:t xml:space="preserve">which may </w:t>
            </w:r>
            <w:r w:rsidR="00814869" w:rsidRPr="0005379F">
              <w:rPr>
                <w:rFonts w:cs="Calibri"/>
                <w:bCs/>
                <w:color w:val="000000"/>
                <w:lang w:val="en-AU"/>
              </w:rPr>
              <w:t xml:space="preserve">not </w:t>
            </w:r>
            <w:r w:rsidR="0038740C">
              <w:rPr>
                <w:rFonts w:cs="Calibri"/>
                <w:bCs/>
                <w:color w:val="000000"/>
                <w:lang w:val="en-AU"/>
              </w:rPr>
              <w:t xml:space="preserve">be </w:t>
            </w:r>
            <w:r w:rsidR="001507EC" w:rsidRPr="0005379F">
              <w:rPr>
                <w:rFonts w:cs="Calibri"/>
                <w:bCs/>
                <w:color w:val="000000"/>
                <w:lang w:val="en-AU"/>
              </w:rPr>
              <w:t xml:space="preserve">currently </w:t>
            </w:r>
            <w:r w:rsidR="00814869" w:rsidRPr="0005379F">
              <w:rPr>
                <w:rFonts w:cs="Calibri"/>
                <w:bCs/>
                <w:color w:val="000000"/>
                <w:lang w:val="en-AU"/>
              </w:rPr>
              <w:t xml:space="preserve">considered </w:t>
            </w:r>
            <w:r w:rsidR="001507EC" w:rsidRPr="0005379F">
              <w:rPr>
                <w:rFonts w:cs="Calibri"/>
                <w:bCs/>
                <w:color w:val="000000"/>
                <w:lang w:val="en-AU"/>
              </w:rPr>
              <w:t xml:space="preserve">explicitly </w:t>
            </w:r>
            <w:r w:rsidR="00814869" w:rsidRPr="0005379F">
              <w:rPr>
                <w:rFonts w:cs="Calibri"/>
                <w:bCs/>
                <w:color w:val="000000"/>
                <w:lang w:val="en-AU"/>
              </w:rPr>
              <w:t>by the IAS and the Closing the Gap Strategy. For example:</w:t>
            </w:r>
          </w:p>
          <w:p w14:paraId="223206A4" w14:textId="77777777" w:rsidR="00814869" w:rsidRPr="0005379F" w:rsidRDefault="00814869" w:rsidP="00644563">
            <w:pPr>
              <w:pStyle w:val="ListParagraph"/>
              <w:numPr>
                <w:ilvl w:val="0"/>
                <w:numId w:val="23"/>
              </w:numPr>
              <w:spacing w:before="120" w:after="120"/>
              <w:ind w:left="357" w:hanging="357"/>
              <w:contextualSpacing w:val="0"/>
              <w:rPr>
                <w:rFonts w:asciiTheme="majorHAnsi" w:hAnsiTheme="majorHAnsi" w:cs="Times"/>
                <w:lang w:val="en-AU" w:eastAsia="ja-JP"/>
              </w:rPr>
            </w:pPr>
            <w:r w:rsidRPr="0005379F">
              <w:rPr>
                <w:rFonts w:asciiTheme="majorHAnsi" w:hAnsiTheme="majorHAnsi" w:cs="Times"/>
                <w:lang w:val="en-AU" w:eastAsia="ja-JP"/>
              </w:rPr>
              <w:t>A recent Australian National University study of Aboriginal and Torres Strait Islander child truancy by Biddle found that there were strong associations between family functioning and truancy. In fact, household stress, housing issues and family crises were the most important predictors of school non-attendance.</w:t>
            </w:r>
            <w:r w:rsidRPr="0005379F">
              <w:rPr>
                <w:rStyle w:val="EndnoteReference"/>
                <w:rFonts w:asciiTheme="majorHAnsi" w:hAnsiTheme="majorHAnsi"/>
                <w:sz w:val="22"/>
                <w:lang w:val="en-AU" w:eastAsia="ja-JP"/>
              </w:rPr>
              <w:endnoteReference w:id="182"/>
            </w:r>
            <w:r w:rsidRPr="0005379F">
              <w:rPr>
                <w:rFonts w:asciiTheme="majorHAnsi" w:hAnsiTheme="majorHAnsi" w:cs="Times"/>
                <w:lang w:val="en-AU" w:eastAsia="ja-JP"/>
              </w:rPr>
              <w:t xml:space="preserve"> Strengthening families</w:t>
            </w:r>
            <w:r w:rsidR="000C3E17" w:rsidRPr="0005379F">
              <w:rPr>
                <w:rFonts w:asciiTheme="majorHAnsi" w:hAnsiTheme="majorHAnsi" w:cs="Times"/>
                <w:lang w:val="en-AU" w:eastAsia="ja-JP"/>
              </w:rPr>
              <w:t>,</w:t>
            </w:r>
            <w:r w:rsidRPr="0005379F">
              <w:rPr>
                <w:rFonts w:asciiTheme="majorHAnsi" w:hAnsiTheme="majorHAnsi" w:cs="Times"/>
                <w:lang w:val="en-AU" w:eastAsia="ja-JP"/>
              </w:rPr>
              <w:t xml:space="preserve"> including by supporting the cultural underpinning of family life</w:t>
            </w:r>
            <w:r w:rsidR="000C3E17" w:rsidRPr="0005379F">
              <w:rPr>
                <w:rFonts w:asciiTheme="majorHAnsi" w:hAnsiTheme="majorHAnsi" w:cs="Times"/>
                <w:lang w:val="en-AU" w:eastAsia="ja-JP"/>
              </w:rPr>
              <w:t>,</w:t>
            </w:r>
            <w:r w:rsidRPr="0005379F">
              <w:rPr>
                <w:rFonts w:asciiTheme="majorHAnsi" w:hAnsiTheme="majorHAnsi" w:cs="Times"/>
                <w:lang w:val="en-AU" w:eastAsia="ja-JP"/>
              </w:rPr>
              <w:t xml:space="preserve"> is likely to result in improved school attendance.</w:t>
            </w:r>
          </w:p>
          <w:p w14:paraId="743595DF" w14:textId="098F81D6" w:rsidR="00814869" w:rsidRPr="0005379F" w:rsidRDefault="00814869" w:rsidP="00644563">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357" w:hanging="357"/>
              <w:contextualSpacing w:val="0"/>
              <w:rPr>
                <w:rFonts w:asciiTheme="majorHAnsi" w:hAnsiTheme="majorHAnsi"/>
                <w:lang w:val="en-AU"/>
              </w:rPr>
            </w:pPr>
            <w:r w:rsidRPr="0005379F">
              <w:rPr>
                <w:rFonts w:asciiTheme="majorHAnsi" w:hAnsiTheme="majorHAnsi"/>
                <w:lang w:val="en-AU"/>
              </w:rPr>
              <w:t xml:space="preserve">Dockery’s analysis of the 2008 NATSISS </w:t>
            </w:r>
            <w:r w:rsidR="008221C5">
              <w:rPr>
                <w:rFonts w:asciiTheme="majorHAnsi" w:hAnsiTheme="majorHAnsi"/>
                <w:lang w:val="en-AU"/>
              </w:rPr>
              <w:t xml:space="preserve">identified </w:t>
            </w:r>
            <w:r w:rsidRPr="0005379F">
              <w:rPr>
                <w:rFonts w:asciiTheme="majorHAnsi" w:hAnsiTheme="majorHAnsi"/>
                <w:lang w:val="en-AU"/>
              </w:rPr>
              <w:t>Aboriginal and Torres Strait Islander people with strong cultural attachment are significantly more likely to be in employment than those with moderate or minimal cultural attachment.</w:t>
            </w:r>
            <w:r w:rsidRPr="0005379F">
              <w:rPr>
                <w:rStyle w:val="EndnoteReference"/>
                <w:rFonts w:asciiTheme="majorHAnsi" w:hAnsiTheme="majorHAnsi"/>
                <w:sz w:val="22"/>
                <w:lang w:val="en-AU"/>
              </w:rPr>
              <w:endnoteReference w:id="183"/>
            </w:r>
            <w:r w:rsidRPr="0005379F">
              <w:rPr>
                <w:rFonts w:asciiTheme="majorHAnsi" w:hAnsiTheme="majorHAnsi"/>
                <w:lang w:val="en-AU"/>
              </w:rPr>
              <w:t xml:space="preserve"> Furthermore, Aboriginal and Torres Strait Islander people who participate in cultural activities and who speak Indigenous languages are more likely to be employed than those who do not.</w:t>
            </w:r>
            <w:r w:rsidRPr="0005379F">
              <w:rPr>
                <w:rStyle w:val="EndnoteReference"/>
                <w:rFonts w:asciiTheme="majorHAnsi" w:hAnsiTheme="majorHAnsi"/>
                <w:sz w:val="22"/>
                <w:lang w:val="en-AU"/>
              </w:rPr>
              <w:endnoteReference w:id="184"/>
            </w:r>
            <w:r w:rsidRPr="0005379F">
              <w:rPr>
                <w:rFonts w:asciiTheme="majorHAnsi" w:hAnsiTheme="majorHAnsi"/>
                <w:lang w:val="en-AU"/>
              </w:rPr>
              <w:t xml:space="preserve"> </w:t>
            </w:r>
            <w:r w:rsidR="008221C5">
              <w:rPr>
                <w:rFonts w:asciiTheme="majorHAnsi" w:hAnsiTheme="majorHAnsi"/>
                <w:lang w:val="en-AU"/>
              </w:rPr>
              <w:t xml:space="preserve">While </w:t>
            </w:r>
            <w:r w:rsidRPr="0005379F">
              <w:rPr>
                <w:rFonts w:asciiTheme="majorHAnsi" w:hAnsiTheme="majorHAnsi"/>
                <w:lang w:val="en-AU"/>
              </w:rPr>
              <w:t xml:space="preserve">the </w:t>
            </w:r>
            <w:r w:rsidR="008221C5">
              <w:rPr>
                <w:rFonts w:asciiTheme="majorHAnsi" w:hAnsiTheme="majorHAnsi"/>
                <w:lang w:val="en-AU"/>
              </w:rPr>
              <w:t>casual factors</w:t>
            </w:r>
            <w:r w:rsidRPr="0005379F">
              <w:rPr>
                <w:rFonts w:asciiTheme="majorHAnsi" w:hAnsiTheme="majorHAnsi"/>
                <w:lang w:val="en-AU"/>
              </w:rPr>
              <w:t xml:space="preserve"> are </w:t>
            </w:r>
            <w:r w:rsidR="000C3E17" w:rsidRPr="0005379F">
              <w:rPr>
                <w:rFonts w:asciiTheme="majorHAnsi" w:hAnsiTheme="majorHAnsi"/>
                <w:lang w:val="en-AU"/>
              </w:rPr>
              <w:t>the focus of continuing research</w:t>
            </w:r>
            <w:r w:rsidR="008221C5">
              <w:rPr>
                <w:rFonts w:asciiTheme="majorHAnsi" w:hAnsiTheme="majorHAnsi"/>
                <w:lang w:val="en-AU"/>
              </w:rPr>
              <w:t>, the data suggests that</w:t>
            </w:r>
            <w:r w:rsidRPr="0005379F">
              <w:rPr>
                <w:rFonts w:asciiTheme="majorHAnsi" w:hAnsiTheme="majorHAnsi"/>
                <w:lang w:val="en-AU"/>
              </w:rPr>
              <w:t xml:space="preserve"> positive cultural participation will contribute to supporting employment outcomes.</w:t>
            </w:r>
          </w:p>
          <w:p w14:paraId="46C3731D" w14:textId="77777777" w:rsidR="00814869" w:rsidRPr="0005379F" w:rsidRDefault="00814869" w:rsidP="00644563">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357" w:hanging="357"/>
              <w:contextualSpacing w:val="0"/>
              <w:rPr>
                <w:rFonts w:asciiTheme="majorHAnsi" w:hAnsiTheme="majorHAnsi"/>
                <w:lang w:val="en-AU"/>
              </w:rPr>
            </w:pPr>
            <w:r w:rsidRPr="0005379F">
              <w:rPr>
                <w:rFonts w:asciiTheme="majorHAnsi" w:hAnsiTheme="majorHAnsi"/>
                <w:lang w:val="en-AU"/>
              </w:rPr>
              <w:t>It should be noted that cultural industries provide economic opportunities for Aboriginal and Torres Strait Islander peoples. In fact, the practice and production of Indigenous visual arts and the employment it generates is a multi-million dollar industry.</w:t>
            </w:r>
            <w:r w:rsidRPr="0005379F">
              <w:rPr>
                <w:rStyle w:val="EndnoteReference"/>
                <w:rFonts w:asciiTheme="majorHAnsi" w:hAnsiTheme="majorHAnsi"/>
                <w:sz w:val="22"/>
                <w:lang w:val="en-AU"/>
              </w:rPr>
              <w:endnoteReference w:id="185"/>
            </w:r>
            <w:r w:rsidRPr="0005379F">
              <w:rPr>
                <w:rFonts w:asciiTheme="majorHAnsi" w:hAnsiTheme="majorHAnsi"/>
                <w:lang w:val="en-AU"/>
              </w:rPr>
              <w:t xml:space="preserve"> In 2006, it was reported that 12 percent of Aboriginal and Torres Strait Islander people in remote areas received payment for making arts or crafts; performing theatre, music, or dance; or writing or telling stories.</w:t>
            </w:r>
            <w:r w:rsidRPr="0005379F">
              <w:rPr>
                <w:rStyle w:val="EndnoteReference"/>
                <w:rFonts w:asciiTheme="majorHAnsi" w:hAnsiTheme="majorHAnsi"/>
                <w:sz w:val="22"/>
                <w:lang w:val="en-AU"/>
              </w:rPr>
              <w:endnoteReference w:id="186"/>
            </w:r>
          </w:p>
        </w:tc>
      </w:tr>
    </w:tbl>
    <w:p w14:paraId="25C6ADB0" w14:textId="77777777" w:rsidR="00814869" w:rsidRPr="0005379F" w:rsidRDefault="00814869" w:rsidP="0057355E">
      <w:pPr>
        <w:pStyle w:val="Heading2"/>
        <w:rPr>
          <w:lang w:val="en-AU"/>
        </w:rPr>
      </w:pPr>
      <w:bookmarkStart w:id="29" w:name="_Toc409788734"/>
      <w:r w:rsidRPr="0005379F">
        <w:rPr>
          <w:lang w:val="en-AU"/>
        </w:rPr>
        <w:lastRenderedPageBreak/>
        <w:t>Including access to services as a measure of success</w:t>
      </w:r>
      <w:bookmarkEnd w:id="29"/>
      <w:r w:rsidRPr="0005379F">
        <w:rPr>
          <w:lang w:val="en-AU"/>
        </w:rPr>
        <w:t xml:space="preserve"> </w:t>
      </w:r>
    </w:p>
    <w:p w14:paraId="5201FCBF" w14:textId="1DAA673B" w:rsidR="001507EC" w:rsidRPr="0005379F" w:rsidRDefault="00814869" w:rsidP="0057355E">
      <w:pPr>
        <w:pStyle w:val="BodyText"/>
        <w:spacing w:before="240" w:after="240"/>
        <w:rPr>
          <w:rFonts w:asciiTheme="majorHAnsi" w:hAnsiTheme="majorHAnsi" w:cs="Calibri"/>
          <w:lang w:val="en-AU"/>
        </w:rPr>
      </w:pPr>
      <w:r w:rsidRPr="0005379F">
        <w:rPr>
          <w:rFonts w:asciiTheme="majorHAnsi" w:hAnsiTheme="majorHAnsi" w:cs="Calibri"/>
          <w:lang w:val="en-AU"/>
        </w:rPr>
        <w:t xml:space="preserve">The COAG Reform Council closes its final report </w:t>
      </w:r>
      <w:r w:rsidR="00D3717F">
        <w:rPr>
          <w:rFonts w:asciiTheme="majorHAnsi" w:hAnsiTheme="majorHAnsi" w:cs="Calibri"/>
          <w:lang w:val="en-AU"/>
        </w:rPr>
        <w:t xml:space="preserve">on the Closing the Gap Strategy </w:t>
      </w:r>
      <w:r w:rsidR="00CE7663">
        <w:rPr>
          <w:rFonts w:asciiTheme="majorHAnsi" w:hAnsiTheme="majorHAnsi" w:cs="Calibri"/>
          <w:lang w:val="en-AU"/>
        </w:rPr>
        <w:t>questioning</w:t>
      </w:r>
      <w:r w:rsidRPr="0005379F">
        <w:rPr>
          <w:rFonts w:asciiTheme="majorHAnsi" w:hAnsiTheme="majorHAnsi" w:cs="Calibri"/>
          <w:lang w:val="en-AU"/>
        </w:rPr>
        <w:t xml:space="preserve"> whether the indicators that the health</w:t>
      </w:r>
      <w:r w:rsidR="00CE7663">
        <w:rPr>
          <w:rFonts w:asciiTheme="majorHAnsi" w:hAnsiTheme="majorHAnsi" w:cs="Calibri"/>
          <w:lang w:val="en-AU"/>
        </w:rPr>
        <w:t xml:space="preserve"> and life expectancy</w:t>
      </w:r>
      <w:r w:rsidRPr="0005379F">
        <w:rPr>
          <w:rFonts w:asciiTheme="majorHAnsi" w:hAnsiTheme="majorHAnsi" w:cs="Calibri"/>
          <w:lang w:val="en-AU"/>
        </w:rPr>
        <w:t xml:space="preserve"> gap is closing need to be reconsidered. In particular, it questions the utility of the exclusive focus on improved outcomes (when such outcomes may take</w:t>
      </w:r>
      <w:r w:rsidR="00CE7663">
        <w:rPr>
          <w:rFonts w:asciiTheme="majorHAnsi" w:hAnsiTheme="majorHAnsi" w:cs="Calibri"/>
          <w:lang w:val="en-AU"/>
        </w:rPr>
        <w:t xml:space="preserve"> many years to show themselves). In this context it proposes broadening them to include</w:t>
      </w:r>
      <w:r w:rsidRPr="0005379F">
        <w:rPr>
          <w:rFonts w:asciiTheme="majorHAnsi" w:hAnsiTheme="majorHAnsi" w:cs="Calibri"/>
          <w:lang w:val="en-AU"/>
        </w:rPr>
        <w:t xml:space="preserve"> improved access to health services, specialists, medications and other indicators of increased opportunity to be healthy</w:t>
      </w:r>
      <w:r w:rsidR="00CE7663">
        <w:rPr>
          <w:rFonts w:asciiTheme="majorHAnsi" w:hAnsiTheme="majorHAnsi" w:cs="Calibri"/>
          <w:lang w:val="en-AU"/>
        </w:rPr>
        <w:t xml:space="preserve"> in addition to outcome measures</w:t>
      </w:r>
      <w:r w:rsidRPr="0005379F">
        <w:rPr>
          <w:rFonts w:asciiTheme="majorHAnsi" w:hAnsiTheme="majorHAnsi" w:cs="Calibri"/>
          <w:lang w:val="en-AU"/>
        </w:rPr>
        <w:t>.</w:t>
      </w:r>
      <w:r w:rsidRPr="0005379F">
        <w:rPr>
          <w:rStyle w:val="EndnoteReference"/>
          <w:rFonts w:cs="Calibri"/>
          <w:lang w:val="en-AU"/>
        </w:rPr>
        <w:endnoteReference w:id="187"/>
      </w:r>
      <w:r w:rsidRPr="0005379F">
        <w:rPr>
          <w:rFonts w:asciiTheme="majorHAnsi" w:hAnsiTheme="majorHAnsi" w:cs="Calibri"/>
          <w:lang w:val="en-AU"/>
        </w:rPr>
        <w:t xml:space="preserve"> </w:t>
      </w:r>
    </w:p>
    <w:p w14:paraId="314A13FD" w14:textId="19DEC029" w:rsidR="00814869" w:rsidRPr="00CE7663" w:rsidRDefault="00CE7663" w:rsidP="0057355E">
      <w:pPr>
        <w:pStyle w:val="BodyText"/>
        <w:spacing w:before="240" w:after="240"/>
        <w:rPr>
          <w:rFonts w:asciiTheme="majorHAnsi" w:hAnsiTheme="majorHAnsi" w:cs="Calibri"/>
          <w:lang w:val="en-AU"/>
        </w:rPr>
      </w:pPr>
      <w:r w:rsidRPr="00CE7663">
        <w:rPr>
          <w:rFonts w:asciiTheme="majorHAnsi" w:hAnsiTheme="majorHAnsi" w:cs="Calibri"/>
          <w:lang w:val="en-AU"/>
        </w:rPr>
        <w:t xml:space="preserve">This approach is in line with the </w:t>
      </w:r>
      <w:r w:rsidR="001507EC" w:rsidRPr="00CE7663">
        <w:rPr>
          <w:rFonts w:asciiTheme="majorHAnsi" w:hAnsiTheme="majorHAnsi" w:cs="Calibri"/>
          <w:lang w:val="en-AU"/>
        </w:rPr>
        <w:t xml:space="preserve">Campaign Steering Committee’s </w:t>
      </w:r>
      <w:r>
        <w:rPr>
          <w:rFonts w:asciiTheme="majorHAnsi" w:hAnsiTheme="majorHAnsi" w:cs="Calibri"/>
          <w:lang w:val="en-AU"/>
        </w:rPr>
        <w:t xml:space="preserve">often stated belief </w:t>
      </w:r>
      <w:r w:rsidR="001507EC" w:rsidRPr="00CE7663">
        <w:rPr>
          <w:rFonts w:asciiTheme="majorHAnsi" w:hAnsiTheme="majorHAnsi" w:cs="Calibri"/>
          <w:lang w:val="en-AU"/>
        </w:rPr>
        <w:t xml:space="preserve">that it </w:t>
      </w:r>
      <w:r w:rsidR="00814869" w:rsidRPr="00CE7663">
        <w:rPr>
          <w:rFonts w:asciiTheme="majorHAnsi" w:hAnsiTheme="majorHAnsi" w:cs="Calibri"/>
          <w:lang w:val="en-AU"/>
        </w:rPr>
        <w:t xml:space="preserve">is </w:t>
      </w:r>
      <w:r>
        <w:rPr>
          <w:rFonts w:asciiTheme="majorHAnsi" w:hAnsiTheme="majorHAnsi" w:cs="Calibri"/>
          <w:lang w:val="en-AU"/>
        </w:rPr>
        <w:t xml:space="preserve">improved </w:t>
      </w:r>
      <w:r w:rsidR="00814869" w:rsidRPr="00CE7663">
        <w:rPr>
          <w:rFonts w:asciiTheme="majorHAnsi" w:hAnsiTheme="majorHAnsi" w:cs="Calibri"/>
          <w:lang w:val="en-AU"/>
        </w:rPr>
        <w:t xml:space="preserve">access to </w:t>
      </w:r>
      <w:r>
        <w:rPr>
          <w:rFonts w:asciiTheme="majorHAnsi" w:hAnsiTheme="majorHAnsi" w:cs="Calibri"/>
          <w:lang w:val="en-AU"/>
        </w:rPr>
        <w:t>health</w:t>
      </w:r>
      <w:r w:rsidR="00814869" w:rsidRPr="00CE7663">
        <w:rPr>
          <w:rFonts w:asciiTheme="majorHAnsi" w:hAnsiTheme="majorHAnsi" w:cs="Calibri"/>
          <w:lang w:val="en-AU"/>
        </w:rPr>
        <w:t xml:space="preserve"> services that will, over time, translate into improved outcomes. Access to </w:t>
      </w:r>
      <w:r w:rsidR="00893220" w:rsidRPr="00CE7663">
        <w:rPr>
          <w:rFonts w:asciiTheme="majorHAnsi" w:hAnsiTheme="majorHAnsi" w:cs="Calibri"/>
          <w:lang w:val="en-AU"/>
        </w:rPr>
        <w:t xml:space="preserve">proximal, available and culturally appropriate </w:t>
      </w:r>
      <w:r w:rsidR="00814869" w:rsidRPr="00CE7663">
        <w:rPr>
          <w:rFonts w:asciiTheme="majorHAnsi" w:hAnsiTheme="majorHAnsi" w:cs="Calibri"/>
          <w:lang w:val="en-AU"/>
        </w:rPr>
        <w:t xml:space="preserve">services is </w:t>
      </w:r>
      <w:r w:rsidR="000C3E17" w:rsidRPr="00CE7663">
        <w:rPr>
          <w:rFonts w:asciiTheme="majorHAnsi" w:hAnsiTheme="majorHAnsi" w:cs="Calibri"/>
          <w:lang w:val="en-AU"/>
        </w:rPr>
        <w:t>prerequisite</w:t>
      </w:r>
      <w:r w:rsidR="00814869" w:rsidRPr="00CE7663">
        <w:rPr>
          <w:rFonts w:asciiTheme="majorHAnsi" w:hAnsiTheme="majorHAnsi" w:cs="Calibri"/>
          <w:lang w:val="en-AU"/>
        </w:rPr>
        <w:t xml:space="preserve"> to improved health outcomes. </w:t>
      </w:r>
    </w:p>
    <w:p w14:paraId="01ED9A45" w14:textId="19E73DAD" w:rsidR="00814869" w:rsidRPr="0005379F" w:rsidRDefault="00814869" w:rsidP="0057355E">
      <w:pPr>
        <w:pStyle w:val="BodyText"/>
        <w:spacing w:before="240" w:after="240"/>
        <w:rPr>
          <w:rFonts w:asciiTheme="majorHAnsi" w:hAnsiTheme="majorHAnsi" w:cs="Calibri"/>
          <w:lang w:val="en-AU"/>
        </w:rPr>
      </w:pPr>
      <w:r w:rsidRPr="0005379F">
        <w:rPr>
          <w:rFonts w:asciiTheme="majorHAnsi" w:hAnsiTheme="majorHAnsi" w:cs="Calibri"/>
          <w:lang w:val="en-AU"/>
        </w:rPr>
        <w:t>The COAG Reform Council notes t</w:t>
      </w:r>
      <w:r w:rsidR="00FF21DE">
        <w:rPr>
          <w:rFonts w:asciiTheme="majorHAnsi" w:hAnsiTheme="majorHAnsi" w:cs="Calibri"/>
          <w:lang w:val="en-AU"/>
        </w:rPr>
        <w:t>hat the current indicators give</w:t>
      </w:r>
      <w:r w:rsidRPr="0005379F">
        <w:rPr>
          <w:rFonts w:asciiTheme="majorHAnsi" w:hAnsiTheme="majorHAnsi" w:cs="Calibri"/>
          <w:lang w:val="en-AU"/>
        </w:rPr>
        <w:t xml:space="preserve"> a good overview of health </w:t>
      </w:r>
      <w:r w:rsidR="00EA7B0E" w:rsidRPr="0005379F">
        <w:rPr>
          <w:rFonts w:asciiTheme="majorHAnsi" w:hAnsiTheme="majorHAnsi" w:cs="Calibri"/>
          <w:lang w:val="en-AU"/>
        </w:rPr>
        <w:t>behavioural</w:t>
      </w:r>
      <w:r w:rsidRPr="0005379F">
        <w:rPr>
          <w:rFonts w:asciiTheme="majorHAnsi" w:hAnsiTheme="majorHAnsi" w:cs="Calibri"/>
          <w:lang w:val="en-AU"/>
        </w:rPr>
        <w:t xml:space="preserve"> risk factors (smoking, obesity and alcohol consumption) contributing to the burden of chronic disease affecting Aboriginal and Torres Strait Islander people. It also measures the burden of deat</w:t>
      </w:r>
      <w:r w:rsidR="00535840">
        <w:rPr>
          <w:rFonts w:asciiTheme="majorHAnsi" w:hAnsiTheme="majorHAnsi" w:cs="Calibri"/>
          <w:lang w:val="en-AU"/>
        </w:rPr>
        <w:t>h from chronic disease itse</w:t>
      </w:r>
      <w:r w:rsidR="003A0BAB">
        <w:rPr>
          <w:rFonts w:asciiTheme="majorHAnsi" w:hAnsiTheme="majorHAnsi" w:cs="Calibri"/>
          <w:lang w:val="en-AU"/>
        </w:rPr>
        <w:t>lf. However, as highlighted in C</w:t>
      </w:r>
      <w:r w:rsidR="00535840">
        <w:rPr>
          <w:rFonts w:asciiTheme="majorHAnsi" w:hAnsiTheme="majorHAnsi" w:cs="Calibri"/>
          <w:lang w:val="en-AU"/>
        </w:rPr>
        <w:t xml:space="preserve">hapter 1, it </w:t>
      </w:r>
      <w:r w:rsidRPr="0005379F">
        <w:rPr>
          <w:rFonts w:asciiTheme="majorHAnsi" w:hAnsiTheme="majorHAnsi" w:cs="Calibri"/>
          <w:lang w:val="en-AU"/>
        </w:rPr>
        <w:t xml:space="preserve">critically fails </w:t>
      </w:r>
      <w:r w:rsidR="00122ED1" w:rsidRPr="0005379F">
        <w:rPr>
          <w:rFonts w:asciiTheme="majorHAnsi" w:hAnsiTheme="majorHAnsi" w:cs="Calibri"/>
          <w:lang w:val="en-AU"/>
        </w:rPr>
        <w:t xml:space="preserve">to </w:t>
      </w:r>
      <w:r w:rsidRPr="0005379F">
        <w:rPr>
          <w:rFonts w:asciiTheme="majorHAnsi" w:hAnsiTheme="majorHAnsi" w:cs="Calibri"/>
          <w:lang w:val="en-AU"/>
        </w:rPr>
        <w:t xml:space="preserve">account for the fact that these conditions are also treatable and manageable conditions with </w:t>
      </w:r>
      <w:r w:rsidR="00122ED1" w:rsidRPr="0005379F">
        <w:rPr>
          <w:rFonts w:asciiTheme="majorHAnsi" w:hAnsiTheme="majorHAnsi" w:cs="Calibri"/>
          <w:lang w:val="en-AU"/>
        </w:rPr>
        <w:t xml:space="preserve">effective </w:t>
      </w:r>
      <w:r w:rsidRPr="0005379F">
        <w:rPr>
          <w:rFonts w:asciiTheme="majorHAnsi" w:hAnsiTheme="majorHAnsi" w:cs="Calibri"/>
          <w:lang w:val="en-AU"/>
        </w:rPr>
        <w:t>assistance from appropriate health services. In other words, deaths as a result of both the risk factors and chronic conditions are not inevitable if appropriate interventions occur.</w:t>
      </w:r>
    </w:p>
    <w:p w14:paraId="1343F5E0" w14:textId="46C6B7D3" w:rsidR="00814869" w:rsidRPr="00433363" w:rsidRDefault="00814869" w:rsidP="00433363">
      <w:pPr>
        <w:pStyle w:val="CommentText"/>
        <w:rPr>
          <w:sz w:val="22"/>
          <w:szCs w:val="22"/>
          <w:lang w:val="en-AU"/>
        </w:rPr>
      </w:pPr>
      <w:r w:rsidRPr="0005379F">
        <w:rPr>
          <w:rFonts w:asciiTheme="majorHAnsi" w:hAnsiTheme="majorHAnsi" w:cs="Calibri"/>
          <w:sz w:val="22"/>
          <w:szCs w:val="22"/>
          <w:lang w:val="en-AU"/>
        </w:rPr>
        <w:t xml:space="preserve">To illustrate </w:t>
      </w:r>
      <w:r w:rsidR="00FF21DE">
        <w:rPr>
          <w:rFonts w:asciiTheme="majorHAnsi" w:hAnsiTheme="majorHAnsi" w:cs="Calibri"/>
          <w:sz w:val="22"/>
          <w:szCs w:val="22"/>
          <w:lang w:val="en-AU"/>
        </w:rPr>
        <w:t>this</w:t>
      </w:r>
      <w:r w:rsidRPr="0005379F">
        <w:rPr>
          <w:rFonts w:asciiTheme="majorHAnsi" w:hAnsiTheme="majorHAnsi" w:cs="Calibri"/>
          <w:sz w:val="22"/>
          <w:szCs w:val="22"/>
          <w:lang w:val="en-AU"/>
        </w:rPr>
        <w:t xml:space="preserve"> point, the COAG Reform Council highlight</w:t>
      </w:r>
      <w:r w:rsidR="00EB2441">
        <w:rPr>
          <w:rFonts w:asciiTheme="majorHAnsi" w:hAnsiTheme="majorHAnsi" w:cs="Calibri"/>
          <w:sz w:val="22"/>
          <w:szCs w:val="22"/>
          <w:lang w:val="en-AU"/>
        </w:rPr>
        <w:t>s</w:t>
      </w:r>
      <w:r w:rsidRPr="0005379F">
        <w:rPr>
          <w:rFonts w:asciiTheme="majorHAnsi" w:hAnsiTheme="majorHAnsi" w:cs="Calibri"/>
          <w:sz w:val="22"/>
          <w:szCs w:val="22"/>
          <w:lang w:val="en-AU"/>
        </w:rPr>
        <w:t xml:space="preserve"> the difference in Aboriginal and Torres Strait Islander and non-Indigenous survival rates from cancer in 1999-2007 in New South Wales, Queensland, Western Australia</w:t>
      </w:r>
      <w:r w:rsidR="00EB2441">
        <w:rPr>
          <w:rFonts w:asciiTheme="majorHAnsi" w:hAnsiTheme="majorHAnsi" w:cs="Calibri"/>
          <w:sz w:val="22"/>
          <w:szCs w:val="22"/>
          <w:lang w:val="en-AU"/>
        </w:rPr>
        <w:t>,</w:t>
      </w:r>
      <w:r w:rsidRPr="0005379F">
        <w:rPr>
          <w:rFonts w:asciiTheme="majorHAnsi" w:hAnsiTheme="majorHAnsi" w:cs="Calibri"/>
          <w:sz w:val="22"/>
          <w:szCs w:val="22"/>
          <w:lang w:val="en-AU"/>
        </w:rPr>
        <w:t xml:space="preserve"> and the Northern Territory – as set out </w:t>
      </w:r>
      <w:r w:rsidRPr="00834A05">
        <w:rPr>
          <w:rFonts w:asciiTheme="majorHAnsi" w:hAnsiTheme="majorHAnsi" w:cs="Calibri"/>
          <w:sz w:val="22"/>
          <w:szCs w:val="22"/>
          <w:lang w:val="en-AU"/>
        </w:rPr>
        <w:t xml:space="preserve">in Table </w:t>
      </w:r>
      <w:r w:rsidR="00324499" w:rsidRPr="00834A05">
        <w:rPr>
          <w:rFonts w:asciiTheme="majorHAnsi" w:hAnsiTheme="majorHAnsi" w:cs="Calibri"/>
          <w:sz w:val="22"/>
          <w:szCs w:val="22"/>
          <w:lang w:val="en-AU"/>
        </w:rPr>
        <w:t>6</w:t>
      </w:r>
      <w:r w:rsidRPr="00834A05">
        <w:rPr>
          <w:rFonts w:asciiTheme="majorHAnsi" w:hAnsiTheme="majorHAnsi" w:cs="Calibri"/>
          <w:sz w:val="22"/>
          <w:szCs w:val="22"/>
          <w:lang w:val="en-AU"/>
        </w:rPr>
        <w:t xml:space="preserve"> below</w:t>
      </w:r>
      <w:r w:rsidRPr="0005379F">
        <w:rPr>
          <w:rFonts w:asciiTheme="majorHAnsi" w:hAnsiTheme="majorHAnsi" w:cs="Calibri"/>
          <w:sz w:val="22"/>
          <w:szCs w:val="22"/>
          <w:lang w:val="en-AU"/>
        </w:rPr>
        <w:t>.</w:t>
      </w:r>
      <w:r w:rsidR="00676549" w:rsidRPr="0005379F">
        <w:rPr>
          <w:rFonts w:asciiTheme="majorHAnsi" w:hAnsiTheme="majorHAnsi" w:cs="Calibri"/>
          <w:sz w:val="22"/>
          <w:szCs w:val="22"/>
          <w:lang w:val="en-AU"/>
        </w:rPr>
        <w:t xml:space="preserve">  </w:t>
      </w:r>
    </w:p>
    <w:p w14:paraId="313C5DAE" w14:textId="5086E15C" w:rsidR="00814869" w:rsidRPr="0005379F" w:rsidRDefault="00814869" w:rsidP="000C58F8">
      <w:pPr>
        <w:pStyle w:val="BodyText"/>
        <w:spacing w:before="240" w:after="240"/>
        <w:jc w:val="center"/>
        <w:rPr>
          <w:rFonts w:asciiTheme="majorHAnsi" w:hAnsiTheme="majorHAnsi" w:cs="Calibri"/>
          <w:b/>
          <w:lang w:val="en-AU"/>
        </w:rPr>
      </w:pPr>
      <w:r w:rsidRPr="00834A05">
        <w:rPr>
          <w:rFonts w:asciiTheme="majorHAnsi" w:hAnsiTheme="majorHAnsi" w:cs="Calibri"/>
          <w:b/>
          <w:lang w:val="en-AU"/>
        </w:rPr>
        <w:t xml:space="preserve">Table </w:t>
      </w:r>
      <w:r w:rsidR="00324499" w:rsidRPr="00834A05">
        <w:rPr>
          <w:rFonts w:asciiTheme="majorHAnsi" w:hAnsiTheme="majorHAnsi" w:cs="Calibri"/>
          <w:b/>
          <w:lang w:val="en-AU"/>
        </w:rPr>
        <w:t>6</w:t>
      </w:r>
      <w:r w:rsidRPr="00834A05">
        <w:rPr>
          <w:rFonts w:asciiTheme="majorHAnsi" w:hAnsiTheme="majorHAnsi" w:cs="Calibri"/>
          <w:b/>
          <w:lang w:val="en-AU"/>
        </w:rPr>
        <w:t>:</w:t>
      </w:r>
      <w:r w:rsidRPr="0005379F">
        <w:rPr>
          <w:rFonts w:asciiTheme="majorHAnsi" w:hAnsiTheme="majorHAnsi" w:cs="Calibri"/>
          <w:b/>
          <w:lang w:val="en-AU"/>
        </w:rPr>
        <w:t xml:space="preserve"> The </w:t>
      </w:r>
      <w:r w:rsidR="00C8393D">
        <w:rPr>
          <w:rFonts w:asciiTheme="majorHAnsi" w:hAnsiTheme="majorHAnsi" w:cs="Calibri"/>
          <w:b/>
          <w:lang w:val="en-AU"/>
        </w:rPr>
        <w:t>d</w:t>
      </w:r>
      <w:r w:rsidRPr="0005379F">
        <w:rPr>
          <w:rFonts w:asciiTheme="majorHAnsi" w:hAnsiTheme="majorHAnsi" w:cs="Calibri"/>
          <w:b/>
          <w:lang w:val="en-AU"/>
        </w:rPr>
        <w:t>ifference in Aboriginal and Torres Strait Islander and non-Indigenous survival r</w:t>
      </w:r>
      <w:r w:rsidR="009315E6" w:rsidRPr="0005379F">
        <w:rPr>
          <w:rFonts w:asciiTheme="majorHAnsi" w:hAnsiTheme="majorHAnsi" w:cs="Calibri"/>
          <w:b/>
          <w:lang w:val="en-AU"/>
        </w:rPr>
        <w:t>ates f</w:t>
      </w:r>
      <w:r w:rsidRPr="0005379F">
        <w:rPr>
          <w:rFonts w:asciiTheme="majorHAnsi" w:hAnsiTheme="majorHAnsi" w:cs="Calibri"/>
          <w:b/>
          <w:lang w:val="en-AU"/>
        </w:rPr>
        <w:t xml:space="preserve">rom </w:t>
      </w:r>
      <w:r w:rsidR="009315E6" w:rsidRPr="0005379F">
        <w:rPr>
          <w:rFonts w:asciiTheme="majorHAnsi" w:hAnsiTheme="majorHAnsi" w:cs="Calibri"/>
          <w:b/>
          <w:lang w:val="en-AU"/>
        </w:rPr>
        <w:t>c</w:t>
      </w:r>
      <w:r w:rsidRPr="0005379F">
        <w:rPr>
          <w:rFonts w:asciiTheme="majorHAnsi" w:hAnsiTheme="majorHAnsi" w:cs="Calibri"/>
          <w:b/>
          <w:lang w:val="en-AU"/>
        </w:rPr>
        <w:t>ancer in 1999-2007 in New South Wales, Queensland, Western Australia</w:t>
      </w:r>
      <w:r w:rsidR="00EB2441">
        <w:rPr>
          <w:rFonts w:asciiTheme="majorHAnsi" w:hAnsiTheme="majorHAnsi" w:cs="Calibri"/>
          <w:b/>
          <w:lang w:val="en-AU"/>
        </w:rPr>
        <w:t>,</w:t>
      </w:r>
      <w:r w:rsidRPr="0005379F">
        <w:rPr>
          <w:rFonts w:asciiTheme="majorHAnsi" w:hAnsiTheme="majorHAnsi" w:cs="Calibri"/>
          <w:b/>
          <w:lang w:val="en-AU"/>
        </w:rPr>
        <w:t xml:space="preserve"> and the Northern Territory, all levels of remoteness</w:t>
      </w:r>
      <w:r w:rsidRPr="0005379F">
        <w:rPr>
          <w:rStyle w:val="EndnoteReference"/>
          <w:rFonts w:cs="Calibri"/>
          <w:lang w:val="en-AU"/>
        </w:rPr>
        <w:endnoteReference w:id="188"/>
      </w:r>
    </w:p>
    <w:tbl>
      <w:tblPr>
        <w:tblStyle w:val="TableGrid"/>
        <w:tblW w:w="0" w:type="auto"/>
        <w:tblLook w:val="04A0" w:firstRow="1" w:lastRow="0" w:firstColumn="1" w:lastColumn="0" w:noHBand="0" w:noVBand="1"/>
      </w:tblPr>
      <w:tblGrid>
        <w:gridCol w:w="3095"/>
        <w:gridCol w:w="3095"/>
        <w:gridCol w:w="3096"/>
      </w:tblGrid>
      <w:tr w:rsidR="00814869" w:rsidRPr="006A24D8" w14:paraId="5B398101" w14:textId="77777777" w:rsidTr="00F55BFC">
        <w:tc>
          <w:tcPr>
            <w:tcW w:w="3095" w:type="dxa"/>
            <w:shd w:val="clear" w:color="auto" w:fill="DBE5F1" w:themeFill="accent1" w:themeFillTint="33"/>
          </w:tcPr>
          <w:p w14:paraId="73E2BBBE"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Cancer</w:t>
            </w:r>
          </w:p>
        </w:tc>
        <w:tc>
          <w:tcPr>
            <w:tcW w:w="3095" w:type="dxa"/>
            <w:shd w:val="clear" w:color="auto" w:fill="DBE5F1" w:themeFill="accent1" w:themeFillTint="33"/>
          </w:tcPr>
          <w:p w14:paraId="5C495890"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Aboriginal and Torres Strait Islander survival rate</w:t>
            </w:r>
          </w:p>
        </w:tc>
        <w:tc>
          <w:tcPr>
            <w:tcW w:w="3096" w:type="dxa"/>
            <w:shd w:val="clear" w:color="auto" w:fill="DBE5F1" w:themeFill="accent1" w:themeFillTint="33"/>
          </w:tcPr>
          <w:p w14:paraId="04D785ED"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Non-Indigenous survival rate</w:t>
            </w:r>
          </w:p>
        </w:tc>
      </w:tr>
      <w:tr w:rsidR="00814869" w:rsidRPr="006A24D8" w14:paraId="46AAFB71" w14:textId="77777777" w:rsidTr="00F55BFC">
        <w:tc>
          <w:tcPr>
            <w:tcW w:w="3095" w:type="dxa"/>
          </w:tcPr>
          <w:p w14:paraId="4816EE23" w14:textId="77777777" w:rsidR="00814869" w:rsidRPr="0005379F" w:rsidRDefault="00814869" w:rsidP="00F55BFC">
            <w:pPr>
              <w:widowControl w:val="0"/>
              <w:autoSpaceDE w:val="0"/>
              <w:autoSpaceDN w:val="0"/>
              <w:adjustRightInd w:val="0"/>
              <w:spacing w:after="0"/>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All cancers</w:t>
            </w:r>
          </w:p>
        </w:tc>
        <w:tc>
          <w:tcPr>
            <w:tcW w:w="3095" w:type="dxa"/>
          </w:tcPr>
          <w:p w14:paraId="32BA8856" w14:textId="77777777" w:rsidR="00814869" w:rsidRPr="0005379F" w:rsidRDefault="00814869" w:rsidP="00A23891">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40 percent</w:t>
            </w:r>
          </w:p>
        </w:tc>
        <w:tc>
          <w:tcPr>
            <w:tcW w:w="3096" w:type="dxa"/>
          </w:tcPr>
          <w:p w14:paraId="390D19FE"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52 percent</w:t>
            </w:r>
          </w:p>
        </w:tc>
      </w:tr>
      <w:tr w:rsidR="00814869" w:rsidRPr="006A24D8" w14:paraId="03EA074C" w14:textId="77777777" w:rsidTr="00F55BFC">
        <w:tc>
          <w:tcPr>
            <w:tcW w:w="3095" w:type="dxa"/>
          </w:tcPr>
          <w:p w14:paraId="287CF38C" w14:textId="77777777" w:rsidR="00814869" w:rsidRPr="0005379F" w:rsidRDefault="00814869" w:rsidP="00F55BFC">
            <w:pPr>
              <w:widowControl w:val="0"/>
              <w:autoSpaceDE w:val="0"/>
              <w:autoSpaceDN w:val="0"/>
              <w:adjustRightInd w:val="0"/>
              <w:spacing w:after="0"/>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lastRenderedPageBreak/>
              <w:t>Lung cancer</w:t>
            </w:r>
          </w:p>
        </w:tc>
        <w:tc>
          <w:tcPr>
            <w:tcW w:w="3095" w:type="dxa"/>
          </w:tcPr>
          <w:p w14:paraId="5C97FF00"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7 percent</w:t>
            </w:r>
          </w:p>
        </w:tc>
        <w:tc>
          <w:tcPr>
            <w:tcW w:w="3096" w:type="dxa"/>
          </w:tcPr>
          <w:p w14:paraId="4E1E853B"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11 percent</w:t>
            </w:r>
          </w:p>
        </w:tc>
      </w:tr>
      <w:tr w:rsidR="00814869" w:rsidRPr="006A24D8" w14:paraId="3122B192" w14:textId="77777777" w:rsidTr="00F55BFC">
        <w:tc>
          <w:tcPr>
            <w:tcW w:w="3095" w:type="dxa"/>
          </w:tcPr>
          <w:p w14:paraId="4426A070" w14:textId="77777777" w:rsidR="00814869" w:rsidRPr="0005379F" w:rsidRDefault="00814869" w:rsidP="00F55BFC">
            <w:pPr>
              <w:widowControl w:val="0"/>
              <w:autoSpaceDE w:val="0"/>
              <w:autoSpaceDN w:val="0"/>
              <w:adjustRightInd w:val="0"/>
              <w:spacing w:after="0"/>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Breast cancer in women</w:t>
            </w:r>
          </w:p>
        </w:tc>
        <w:tc>
          <w:tcPr>
            <w:tcW w:w="3095" w:type="dxa"/>
          </w:tcPr>
          <w:p w14:paraId="18E5BA83"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70 percent</w:t>
            </w:r>
          </w:p>
        </w:tc>
        <w:tc>
          <w:tcPr>
            <w:tcW w:w="3096" w:type="dxa"/>
          </w:tcPr>
          <w:p w14:paraId="4030F48E"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81 percent</w:t>
            </w:r>
          </w:p>
        </w:tc>
      </w:tr>
      <w:tr w:rsidR="00814869" w:rsidRPr="006A24D8" w14:paraId="7AC766E6" w14:textId="77777777" w:rsidTr="00F55BFC">
        <w:tc>
          <w:tcPr>
            <w:tcW w:w="3095" w:type="dxa"/>
          </w:tcPr>
          <w:p w14:paraId="1B02FA8B" w14:textId="77777777" w:rsidR="00814869" w:rsidRPr="0005379F" w:rsidRDefault="00814869" w:rsidP="00F55BFC">
            <w:pPr>
              <w:widowControl w:val="0"/>
              <w:autoSpaceDE w:val="0"/>
              <w:autoSpaceDN w:val="0"/>
              <w:adjustRightInd w:val="0"/>
              <w:spacing w:after="0"/>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Bowel cancer</w:t>
            </w:r>
          </w:p>
        </w:tc>
        <w:tc>
          <w:tcPr>
            <w:tcW w:w="3095" w:type="dxa"/>
          </w:tcPr>
          <w:p w14:paraId="5C526B6E"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47 percent</w:t>
            </w:r>
          </w:p>
        </w:tc>
        <w:tc>
          <w:tcPr>
            <w:tcW w:w="3096" w:type="dxa"/>
          </w:tcPr>
          <w:p w14:paraId="60F038FF"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53 percent</w:t>
            </w:r>
          </w:p>
        </w:tc>
      </w:tr>
      <w:tr w:rsidR="00814869" w:rsidRPr="006A24D8" w14:paraId="377E6F71" w14:textId="77777777" w:rsidTr="00F55BFC">
        <w:tc>
          <w:tcPr>
            <w:tcW w:w="3095" w:type="dxa"/>
          </w:tcPr>
          <w:p w14:paraId="4EC384B5" w14:textId="77777777" w:rsidR="00814869" w:rsidRPr="0005379F" w:rsidRDefault="00814869" w:rsidP="00F55BFC">
            <w:pPr>
              <w:widowControl w:val="0"/>
              <w:autoSpaceDE w:val="0"/>
              <w:autoSpaceDN w:val="0"/>
              <w:adjustRightInd w:val="0"/>
              <w:spacing w:after="0"/>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Prostate cancer</w:t>
            </w:r>
          </w:p>
        </w:tc>
        <w:tc>
          <w:tcPr>
            <w:tcW w:w="3095" w:type="dxa"/>
          </w:tcPr>
          <w:p w14:paraId="3DC6F709"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63 percent</w:t>
            </w:r>
          </w:p>
        </w:tc>
        <w:tc>
          <w:tcPr>
            <w:tcW w:w="3096" w:type="dxa"/>
          </w:tcPr>
          <w:p w14:paraId="14FFE199"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72 percent</w:t>
            </w:r>
          </w:p>
        </w:tc>
      </w:tr>
      <w:tr w:rsidR="00814869" w:rsidRPr="006A24D8" w14:paraId="797A4F8C" w14:textId="77777777" w:rsidTr="00F55BFC">
        <w:tc>
          <w:tcPr>
            <w:tcW w:w="3095" w:type="dxa"/>
          </w:tcPr>
          <w:p w14:paraId="0886191F" w14:textId="77777777" w:rsidR="00814869" w:rsidRPr="0005379F" w:rsidRDefault="00814869" w:rsidP="00F55BFC">
            <w:pPr>
              <w:widowControl w:val="0"/>
              <w:autoSpaceDE w:val="0"/>
              <w:autoSpaceDN w:val="0"/>
              <w:adjustRightInd w:val="0"/>
              <w:spacing w:after="0"/>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Cervical cancer</w:t>
            </w:r>
          </w:p>
        </w:tc>
        <w:tc>
          <w:tcPr>
            <w:tcW w:w="3095" w:type="dxa"/>
          </w:tcPr>
          <w:p w14:paraId="1B7E704A"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51 percent</w:t>
            </w:r>
          </w:p>
        </w:tc>
        <w:tc>
          <w:tcPr>
            <w:tcW w:w="3096" w:type="dxa"/>
          </w:tcPr>
          <w:p w14:paraId="5CA678EF" w14:textId="77777777" w:rsidR="00814869" w:rsidRPr="0005379F" w:rsidRDefault="00814869" w:rsidP="00F55BFC">
            <w:pPr>
              <w:widowControl w:val="0"/>
              <w:autoSpaceDE w:val="0"/>
              <w:autoSpaceDN w:val="0"/>
              <w:adjustRightInd w:val="0"/>
              <w:spacing w:after="0"/>
              <w:jc w:val="center"/>
              <w:rPr>
                <w:rFonts w:asciiTheme="majorHAnsi" w:eastAsia="Times New Roman" w:hAnsiTheme="majorHAnsi" w:cs="Arial"/>
                <w:color w:val="000000"/>
                <w:lang w:val="en-AU"/>
              </w:rPr>
            </w:pPr>
            <w:r w:rsidRPr="0005379F">
              <w:rPr>
                <w:rFonts w:asciiTheme="majorHAnsi" w:eastAsia="Times New Roman" w:hAnsiTheme="majorHAnsi" w:cs="Arial"/>
                <w:color w:val="000000"/>
                <w:lang w:val="en-AU"/>
              </w:rPr>
              <w:t>67 percent</w:t>
            </w:r>
          </w:p>
        </w:tc>
      </w:tr>
    </w:tbl>
    <w:p w14:paraId="644AAF2F" w14:textId="77777777" w:rsidR="00485606" w:rsidRPr="0005379F" w:rsidRDefault="00485606" w:rsidP="00485606">
      <w:pPr>
        <w:pStyle w:val="CommentText"/>
        <w:rPr>
          <w:rFonts w:asciiTheme="majorHAnsi" w:hAnsiTheme="majorHAnsi" w:cs="Calibri"/>
          <w:lang w:val="en-AU"/>
        </w:rPr>
      </w:pPr>
    </w:p>
    <w:p w14:paraId="202F8BB2" w14:textId="618059BE" w:rsidR="00485606" w:rsidRPr="0005379F" w:rsidRDefault="00485606" w:rsidP="00485606">
      <w:pPr>
        <w:pStyle w:val="CommentText"/>
        <w:rPr>
          <w:sz w:val="22"/>
          <w:szCs w:val="22"/>
          <w:lang w:val="en-AU"/>
        </w:rPr>
      </w:pPr>
      <w:r w:rsidRPr="0005379F">
        <w:rPr>
          <w:rFonts w:asciiTheme="majorHAnsi" w:hAnsiTheme="majorHAnsi" w:cs="Calibri"/>
          <w:sz w:val="22"/>
          <w:szCs w:val="22"/>
          <w:lang w:val="en-AU"/>
        </w:rPr>
        <w:t xml:space="preserve">The gap in survival rates can be explained by factors such as </w:t>
      </w:r>
      <w:r w:rsidRPr="0005379F">
        <w:rPr>
          <w:sz w:val="22"/>
          <w:szCs w:val="22"/>
          <w:lang w:val="en-AU"/>
        </w:rPr>
        <w:t>advanced cancer at diagnosis, reduced access to and uptake of treatment, higher rates of comorbidities</w:t>
      </w:r>
      <w:r w:rsidR="00EB2441">
        <w:rPr>
          <w:sz w:val="22"/>
          <w:szCs w:val="22"/>
          <w:lang w:val="en-AU"/>
        </w:rPr>
        <w:t>,</w:t>
      </w:r>
      <w:r w:rsidRPr="0005379F">
        <w:rPr>
          <w:sz w:val="22"/>
          <w:szCs w:val="22"/>
          <w:lang w:val="en-AU"/>
        </w:rPr>
        <w:t xml:space="preserve"> and language barriers.</w:t>
      </w:r>
      <w:r w:rsidRPr="0005379F">
        <w:rPr>
          <w:rStyle w:val="EndnoteReference"/>
          <w:szCs w:val="20"/>
          <w:lang w:val="en-AU"/>
        </w:rPr>
        <w:endnoteReference w:id="189"/>
      </w:r>
      <w:r w:rsidRPr="0005379F">
        <w:rPr>
          <w:sz w:val="22"/>
          <w:szCs w:val="22"/>
          <w:lang w:val="en-AU"/>
        </w:rPr>
        <w:t xml:space="preserve"> </w:t>
      </w:r>
    </w:p>
    <w:p w14:paraId="5B0EFB89" w14:textId="0E73E38B" w:rsidR="00814869" w:rsidRPr="0005379F" w:rsidRDefault="00814869" w:rsidP="00FC613A">
      <w:pPr>
        <w:pStyle w:val="BodyText"/>
        <w:spacing w:before="240" w:after="240"/>
        <w:rPr>
          <w:rFonts w:asciiTheme="majorHAnsi" w:hAnsiTheme="majorHAnsi" w:cs="Calibri"/>
          <w:lang w:val="en-AU"/>
        </w:rPr>
      </w:pPr>
      <w:r w:rsidRPr="0005379F">
        <w:rPr>
          <w:rFonts w:asciiTheme="majorHAnsi" w:hAnsiTheme="majorHAnsi" w:cs="Calibri"/>
          <w:b/>
          <w:i/>
          <w:lang w:val="en-AU"/>
        </w:rPr>
        <w:t>The curr</w:t>
      </w:r>
      <w:r w:rsidR="00FF21DE">
        <w:rPr>
          <w:rFonts w:asciiTheme="majorHAnsi" w:hAnsiTheme="majorHAnsi" w:cs="Calibri"/>
          <w:b/>
          <w:i/>
          <w:lang w:val="en-AU"/>
        </w:rPr>
        <w:t xml:space="preserve">ent indicators and </w:t>
      </w:r>
      <w:r w:rsidRPr="0005379F">
        <w:rPr>
          <w:rFonts w:asciiTheme="majorHAnsi" w:hAnsiTheme="majorHAnsi" w:cs="Calibri"/>
          <w:b/>
          <w:i/>
          <w:lang w:val="en-AU"/>
        </w:rPr>
        <w:t>targets do not account for access to health services</w:t>
      </w:r>
      <w:r w:rsidRPr="00677DA1">
        <w:rPr>
          <w:rFonts w:asciiTheme="majorHAnsi" w:hAnsiTheme="majorHAnsi" w:cs="Calibri"/>
          <w:lang w:val="en-AU"/>
        </w:rPr>
        <w:t xml:space="preserve">. </w:t>
      </w:r>
      <w:r w:rsidR="00A60EB4">
        <w:rPr>
          <w:rFonts w:asciiTheme="majorHAnsi" w:hAnsiTheme="majorHAnsi" w:cs="Calibri"/>
          <w:lang w:val="en-AU"/>
        </w:rPr>
        <w:t>Access</w:t>
      </w:r>
      <w:r w:rsidRPr="0005379F">
        <w:rPr>
          <w:rFonts w:asciiTheme="majorHAnsi" w:hAnsiTheme="majorHAnsi" w:cs="Calibri"/>
          <w:lang w:val="en-AU"/>
        </w:rPr>
        <w:t xml:space="preserve"> is a critical factor in closing the gap. Accessing health services and appropriate interventions on treatable conditions can and do</w:t>
      </w:r>
      <w:r w:rsidR="00A60EB4">
        <w:rPr>
          <w:rFonts w:asciiTheme="majorHAnsi" w:hAnsiTheme="majorHAnsi" w:cs="Calibri"/>
          <w:lang w:val="en-AU"/>
        </w:rPr>
        <w:t>es</w:t>
      </w:r>
      <w:r w:rsidRPr="0005379F">
        <w:rPr>
          <w:rFonts w:asciiTheme="majorHAnsi" w:hAnsiTheme="majorHAnsi" w:cs="Calibri"/>
          <w:lang w:val="en-AU"/>
        </w:rPr>
        <w:t xml:space="preserve"> prevent deaths and reduce the burden of disease. </w:t>
      </w:r>
    </w:p>
    <w:p w14:paraId="68D4A8BC" w14:textId="13FFA744" w:rsidR="00814869" w:rsidRPr="0005379F" w:rsidRDefault="008F6882" w:rsidP="00FC613A">
      <w:pPr>
        <w:pStyle w:val="BodyText"/>
        <w:spacing w:before="240" w:after="240"/>
        <w:rPr>
          <w:rFonts w:asciiTheme="majorHAnsi" w:hAnsiTheme="majorHAnsi" w:cs="Calibri"/>
          <w:lang w:val="en-AU"/>
        </w:rPr>
      </w:pPr>
      <w:r>
        <w:rPr>
          <w:rFonts w:asciiTheme="majorHAnsi" w:hAnsiTheme="majorHAnsi" w:cs="Calibri"/>
          <w:lang w:val="en-AU"/>
        </w:rPr>
        <w:t>And</w:t>
      </w:r>
      <w:r w:rsidR="00EB2441">
        <w:rPr>
          <w:rFonts w:asciiTheme="majorHAnsi" w:hAnsiTheme="majorHAnsi" w:cs="Calibri"/>
          <w:lang w:val="en-AU"/>
        </w:rPr>
        <w:t>,</w:t>
      </w:r>
      <w:r w:rsidR="00814869" w:rsidRPr="0005379F">
        <w:rPr>
          <w:rFonts w:asciiTheme="majorHAnsi" w:hAnsiTheme="majorHAnsi" w:cs="Calibri"/>
          <w:lang w:val="en-AU"/>
        </w:rPr>
        <w:t xml:space="preserve"> despite the </w:t>
      </w:r>
      <w:r w:rsidR="00893220" w:rsidRPr="0005379F">
        <w:rPr>
          <w:rFonts w:asciiTheme="majorHAnsi" w:hAnsiTheme="majorHAnsi" w:cs="Calibri"/>
          <w:lang w:val="en-AU"/>
        </w:rPr>
        <w:t>much higher</w:t>
      </w:r>
      <w:r w:rsidR="00814869" w:rsidRPr="0005379F">
        <w:rPr>
          <w:rFonts w:asciiTheme="majorHAnsi" w:hAnsiTheme="majorHAnsi" w:cs="Calibri"/>
          <w:lang w:val="en-AU"/>
        </w:rPr>
        <w:t xml:space="preserve"> health needs of Aboriginal and Torres Strait Islander peoples, the most recent comparable data suggests that their overall access to health services is only marginally higher than that of non-Indigenous people</w:t>
      </w:r>
      <w:r w:rsidR="00893220" w:rsidRPr="0005379F">
        <w:rPr>
          <w:rFonts w:asciiTheme="majorHAnsi" w:hAnsiTheme="majorHAnsi" w:cs="Calibri"/>
          <w:lang w:val="en-AU"/>
        </w:rPr>
        <w:t xml:space="preserve"> and considerably less than appropriate for the level of need</w:t>
      </w:r>
      <w:r w:rsidR="00814869" w:rsidRPr="0005379F">
        <w:rPr>
          <w:rFonts w:asciiTheme="majorHAnsi" w:hAnsiTheme="majorHAnsi" w:cs="Calibri"/>
          <w:lang w:val="en-AU"/>
        </w:rPr>
        <w:t>.</w:t>
      </w:r>
      <w:r w:rsidR="00814869" w:rsidRPr="0005379F">
        <w:rPr>
          <w:rStyle w:val="EndnoteReference"/>
          <w:rFonts w:cs="Calibri"/>
          <w:lang w:val="en-AU"/>
        </w:rPr>
        <w:endnoteReference w:id="190"/>
      </w:r>
      <w:r w:rsidR="00814869" w:rsidRPr="0005379F">
        <w:rPr>
          <w:rFonts w:asciiTheme="majorHAnsi" w:hAnsiTheme="majorHAnsi" w:cs="Calibri"/>
          <w:lang w:val="en-AU"/>
        </w:rPr>
        <w:t xml:space="preserve"> </w:t>
      </w:r>
    </w:p>
    <w:p w14:paraId="415A18B3" w14:textId="5D51B3A3" w:rsidR="00814869" w:rsidRPr="0005379F" w:rsidRDefault="00814869" w:rsidP="00FC613A">
      <w:pPr>
        <w:pStyle w:val="BodyText"/>
        <w:spacing w:before="240" w:after="240"/>
        <w:rPr>
          <w:rFonts w:asciiTheme="majorHAnsi" w:hAnsiTheme="majorHAnsi" w:cs="Calibri"/>
          <w:lang w:val="en-AU"/>
        </w:rPr>
      </w:pPr>
      <w:r w:rsidRPr="0005379F">
        <w:rPr>
          <w:rFonts w:asciiTheme="majorHAnsi" w:hAnsiTheme="majorHAnsi" w:cs="Calibri"/>
          <w:lang w:val="en-AU"/>
        </w:rPr>
        <w:t xml:space="preserve">The 2011 review of the </w:t>
      </w:r>
      <w:r w:rsidRPr="0005379F">
        <w:rPr>
          <w:rFonts w:asciiTheme="majorHAnsi" w:hAnsiTheme="majorHAnsi" w:cs="Calibri"/>
          <w:i/>
          <w:lang w:val="en-AU"/>
        </w:rPr>
        <w:t>National Indigenous Reform Agreement</w:t>
      </w:r>
      <w:r w:rsidRPr="0005379F">
        <w:rPr>
          <w:rFonts w:asciiTheme="majorHAnsi" w:hAnsiTheme="majorHAnsi" w:cs="Calibri"/>
          <w:lang w:val="en-AU"/>
        </w:rPr>
        <w:t xml:space="preserve"> referred </w:t>
      </w:r>
      <w:r w:rsidR="008F6882">
        <w:rPr>
          <w:rFonts w:asciiTheme="majorHAnsi" w:hAnsiTheme="majorHAnsi" w:cs="Calibri"/>
          <w:lang w:val="en-AU"/>
        </w:rPr>
        <w:t xml:space="preserve">to </w:t>
      </w:r>
      <w:r w:rsidRPr="0005379F">
        <w:rPr>
          <w:rFonts w:asciiTheme="majorHAnsi" w:hAnsiTheme="majorHAnsi" w:cs="Calibri"/>
          <w:lang w:val="en-AU"/>
        </w:rPr>
        <w:t>work on an improved measure for access compared to need to the NIRA Performance Information Management Group. This reference found that available measures of access compared to need were too conceptually complex for public reporting under the Agreement framework (this work will shortly be published by the AIHW).</w:t>
      </w:r>
      <w:r w:rsidRPr="0005379F">
        <w:rPr>
          <w:rStyle w:val="EndnoteReference"/>
          <w:rFonts w:cs="Calibri"/>
          <w:lang w:val="en-AU"/>
        </w:rPr>
        <w:endnoteReference w:id="191"/>
      </w:r>
    </w:p>
    <w:p w14:paraId="38727427" w14:textId="77777777" w:rsidR="00814869" w:rsidRDefault="00814869" w:rsidP="00FC613A">
      <w:pPr>
        <w:pStyle w:val="BodyText"/>
        <w:spacing w:before="240" w:after="240"/>
        <w:rPr>
          <w:rFonts w:asciiTheme="majorHAnsi" w:hAnsiTheme="majorHAnsi" w:cs="Calibri"/>
          <w:lang w:val="en-AU"/>
        </w:rPr>
      </w:pPr>
      <w:r w:rsidRPr="0005379F">
        <w:rPr>
          <w:rFonts w:asciiTheme="majorHAnsi" w:hAnsiTheme="majorHAnsi" w:cs="Calibri"/>
          <w:lang w:val="en-AU"/>
        </w:rPr>
        <w:t>However, the Campaign Steering Committee supports the development of other proxy indicators to provide insights into how use and availability of health services affects Aboriginal and Torres Strait Islander life expectancy. These indicators should complement existing measures on behavioural risk factors as part of an enhanced Closing the Gap Strategy.</w:t>
      </w:r>
    </w:p>
    <w:tbl>
      <w:tblPr>
        <w:tblStyle w:val="TableGrid"/>
        <w:tblW w:w="0" w:type="auto"/>
        <w:tblLook w:val="04A0" w:firstRow="1" w:lastRow="0" w:firstColumn="1" w:lastColumn="0" w:noHBand="0" w:noVBand="1"/>
      </w:tblPr>
      <w:tblGrid>
        <w:gridCol w:w="9286"/>
      </w:tblGrid>
      <w:tr w:rsidR="00F90385" w:rsidRPr="00987C86" w14:paraId="13DC06E0" w14:textId="77777777" w:rsidTr="00F90385">
        <w:tc>
          <w:tcPr>
            <w:tcW w:w="9286" w:type="dxa"/>
            <w:shd w:val="clear" w:color="auto" w:fill="EEECE1" w:themeFill="background2"/>
          </w:tcPr>
          <w:p w14:paraId="19DECFF1" w14:textId="1952244F" w:rsidR="00F90385" w:rsidRPr="00987C86" w:rsidRDefault="008F6882" w:rsidP="00AA0A7A">
            <w:pPr>
              <w:spacing w:after="0"/>
              <w:rPr>
                <w:rFonts w:asciiTheme="majorHAnsi" w:hAnsiTheme="majorHAnsi"/>
                <w:b/>
                <w:lang w:val="en-AU"/>
              </w:rPr>
            </w:pPr>
            <w:r>
              <w:rPr>
                <w:rFonts w:asciiTheme="majorHAnsi" w:hAnsiTheme="majorHAnsi"/>
                <w:b/>
                <w:lang w:val="en-AU"/>
              </w:rPr>
              <w:t xml:space="preserve">Recommendation </w:t>
            </w:r>
            <w:r w:rsidR="006A7E17">
              <w:rPr>
                <w:rFonts w:asciiTheme="majorHAnsi" w:hAnsiTheme="majorHAnsi"/>
                <w:b/>
                <w:lang w:val="en-AU"/>
              </w:rPr>
              <w:t>6</w:t>
            </w:r>
            <w:r w:rsidR="00F90385" w:rsidRPr="00987C86">
              <w:rPr>
                <w:rFonts w:asciiTheme="majorHAnsi" w:hAnsiTheme="majorHAnsi"/>
                <w:b/>
                <w:lang w:val="en-AU"/>
              </w:rPr>
              <w:t xml:space="preserve">: </w:t>
            </w:r>
            <w:proofErr w:type="gramStart"/>
            <w:r w:rsidR="00AA0A7A">
              <w:rPr>
                <w:rFonts w:asciiTheme="majorHAnsi" w:hAnsiTheme="majorHAnsi"/>
                <w:b/>
                <w:lang w:val="en-AU"/>
              </w:rPr>
              <w:t>That p</w:t>
            </w:r>
            <w:r w:rsidR="000B7BF5" w:rsidRPr="000B7BF5">
              <w:rPr>
                <w:rFonts w:asciiTheme="majorHAnsi" w:hAnsiTheme="majorHAnsi"/>
                <w:b/>
                <w:lang w:val="en-AU"/>
              </w:rPr>
              <w:t>roxy indicators</w:t>
            </w:r>
            <w:proofErr w:type="gramEnd"/>
            <w:r w:rsidR="000B7BF5" w:rsidRPr="000B7BF5">
              <w:rPr>
                <w:rFonts w:asciiTheme="majorHAnsi" w:hAnsiTheme="majorHAnsi"/>
                <w:b/>
                <w:lang w:val="en-AU"/>
              </w:rPr>
              <w:t xml:space="preserve"> are developed to provide insights into </w:t>
            </w:r>
            <w:r w:rsidR="00AA0A7A">
              <w:rPr>
                <w:rFonts w:asciiTheme="majorHAnsi" w:hAnsiTheme="majorHAnsi"/>
                <w:b/>
                <w:lang w:val="en-AU"/>
              </w:rPr>
              <w:t xml:space="preserve">the impact of the use </w:t>
            </w:r>
            <w:r w:rsidR="000B7BF5" w:rsidRPr="000B7BF5">
              <w:rPr>
                <w:rFonts w:asciiTheme="majorHAnsi" w:hAnsiTheme="majorHAnsi"/>
                <w:b/>
                <w:lang w:val="en-AU"/>
              </w:rPr>
              <w:t xml:space="preserve">and availability </w:t>
            </w:r>
            <w:r w:rsidR="000B7BF5">
              <w:rPr>
                <w:rFonts w:asciiTheme="majorHAnsi" w:hAnsiTheme="majorHAnsi"/>
                <w:b/>
                <w:lang w:val="en-AU"/>
              </w:rPr>
              <w:t xml:space="preserve">of health services </w:t>
            </w:r>
            <w:r w:rsidR="00AA0A7A">
              <w:rPr>
                <w:rFonts w:asciiTheme="majorHAnsi" w:hAnsiTheme="majorHAnsi"/>
                <w:b/>
                <w:lang w:val="en-AU"/>
              </w:rPr>
              <w:t>on</w:t>
            </w:r>
            <w:r w:rsidR="000B7BF5">
              <w:rPr>
                <w:rFonts w:asciiTheme="majorHAnsi" w:hAnsiTheme="majorHAnsi"/>
                <w:b/>
                <w:lang w:val="en-AU"/>
              </w:rPr>
              <w:t xml:space="preserve"> Aboriginal and Torres Strait Islander health and life expectancy</w:t>
            </w:r>
            <w:r w:rsidR="00AA0A7A">
              <w:rPr>
                <w:rFonts w:asciiTheme="majorHAnsi" w:hAnsiTheme="majorHAnsi"/>
                <w:b/>
                <w:lang w:val="en-AU"/>
              </w:rPr>
              <w:t xml:space="preserve"> outcomes</w:t>
            </w:r>
            <w:r w:rsidR="00F90385" w:rsidRPr="000B7BF5">
              <w:rPr>
                <w:rFonts w:asciiTheme="majorHAnsi" w:hAnsiTheme="majorHAnsi"/>
                <w:b/>
                <w:lang w:val="en-AU"/>
              </w:rPr>
              <w:t>.</w:t>
            </w:r>
          </w:p>
        </w:tc>
      </w:tr>
    </w:tbl>
    <w:p w14:paraId="7B008D4C" w14:textId="77777777" w:rsidR="00814869" w:rsidRPr="0005379F" w:rsidRDefault="00814869" w:rsidP="006220E0">
      <w:pPr>
        <w:pStyle w:val="Heading2"/>
        <w:rPr>
          <w:lang w:val="en-AU"/>
        </w:rPr>
      </w:pPr>
      <w:bookmarkStart w:id="30" w:name="_Toc409788735"/>
      <w:r w:rsidRPr="0005379F">
        <w:rPr>
          <w:lang w:val="en-AU"/>
        </w:rPr>
        <w:t>Building on the strengths of Aboriginal Community Controlled Heath Services</w:t>
      </w:r>
      <w:bookmarkEnd w:id="30"/>
      <w:r w:rsidRPr="0005379F">
        <w:rPr>
          <w:lang w:val="en-AU"/>
        </w:rPr>
        <w:t xml:space="preserve"> </w:t>
      </w:r>
    </w:p>
    <w:p w14:paraId="5F399937" w14:textId="77777777" w:rsidR="00B25BC6" w:rsidRDefault="00B25BC6" w:rsidP="00B25BC6">
      <w:pPr>
        <w:widowControl w:val="0"/>
        <w:autoSpaceDE w:val="0"/>
        <w:autoSpaceDN w:val="0"/>
        <w:adjustRightInd w:val="0"/>
        <w:jc w:val="center"/>
        <w:rPr>
          <w:rFonts w:asciiTheme="majorHAnsi" w:eastAsia="Times New Roman" w:hAnsiTheme="majorHAnsi" w:cs="Times"/>
          <w:i/>
          <w:color w:val="1A1A1A"/>
          <w:lang w:val="en-AU"/>
        </w:rPr>
      </w:pPr>
    </w:p>
    <w:p w14:paraId="3FB7AF84" w14:textId="77777777" w:rsidR="00B25BC6" w:rsidRPr="00A57F0D" w:rsidRDefault="00B25BC6" w:rsidP="00B25BC6">
      <w:pPr>
        <w:widowControl w:val="0"/>
        <w:autoSpaceDE w:val="0"/>
        <w:autoSpaceDN w:val="0"/>
        <w:adjustRightInd w:val="0"/>
        <w:jc w:val="center"/>
        <w:rPr>
          <w:rFonts w:asciiTheme="majorHAnsi" w:eastAsia="Times New Roman" w:hAnsiTheme="majorHAnsi" w:cs="Times"/>
          <w:i/>
          <w:color w:val="1A1A1A"/>
          <w:lang w:val="en-AU"/>
        </w:rPr>
      </w:pPr>
      <w:r w:rsidRPr="00A57F0D">
        <w:rPr>
          <w:rFonts w:asciiTheme="majorHAnsi" w:eastAsia="Times New Roman" w:hAnsiTheme="majorHAnsi" w:cs="Times"/>
          <w:i/>
          <w:color w:val="1A1A1A"/>
          <w:lang w:val="en-AU"/>
        </w:rPr>
        <w:t>Decades of Indigenous controlled health service delivery have seen the Aboriginal community controlled health sector become a leading provider of primary health care services and a significant employer of Aboriginal and Torres Strait Islander peoples. This sector has mature organisations with a depth of expertise and capabilities, particularly in remote and regional areas, surpassing the level of mainstream health services in some areas.</w:t>
      </w:r>
      <w:r w:rsidRPr="006A24D8">
        <w:rPr>
          <w:rStyle w:val="EndnoteReference"/>
          <w:rFonts w:eastAsia="Times New Roman" w:cs="Times"/>
          <w:color w:val="1A1A1A"/>
          <w:szCs w:val="16"/>
          <w:lang w:val="en-AU"/>
        </w:rPr>
        <w:endnoteReference w:id="192"/>
      </w:r>
      <w:r w:rsidRPr="00A57F0D">
        <w:rPr>
          <w:rFonts w:asciiTheme="majorHAnsi" w:eastAsia="Times New Roman" w:hAnsiTheme="majorHAnsi" w:cs="Times"/>
          <w:i/>
          <w:color w:val="1A1A1A"/>
          <w:lang w:val="en-AU"/>
        </w:rPr>
        <w:t xml:space="preserve"> </w:t>
      </w:r>
    </w:p>
    <w:p w14:paraId="04D5414F" w14:textId="77777777" w:rsidR="00B25BC6" w:rsidRDefault="00B25BC6" w:rsidP="00B25BC6">
      <w:pPr>
        <w:widowControl w:val="0"/>
        <w:autoSpaceDE w:val="0"/>
        <w:autoSpaceDN w:val="0"/>
        <w:adjustRightInd w:val="0"/>
        <w:jc w:val="center"/>
        <w:rPr>
          <w:rFonts w:asciiTheme="majorHAnsi" w:eastAsia="Times New Roman" w:hAnsiTheme="majorHAnsi" w:cs="Times"/>
          <w:i/>
          <w:color w:val="1A1A1A"/>
          <w:sz w:val="16"/>
          <w:szCs w:val="16"/>
          <w:lang w:val="en-AU"/>
        </w:rPr>
      </w:pPr>
    </w:p>
    <w:p w14:paraId="04372BD3" w14:textId="77777777" w:rsidR="00B25BC6" w:rsidRPr="00A57F0D" w:rsidRDefault="00B25BC6" w:rsidP="00B25BC6">
      <w:pPr>
        <w:widowControl w:val="0"/>
        <w:autoSpaceDE w:val="0"/>
        <w:autoSpaceDN w:val="0"/>
        <w:adjustRightInd w:val="0"/>
        <w:jc w:val="center"/>
        <w:rPr>
          <w:rFonts w:asciiTheme="majorHAnsi" w:eastAsia="Times New Roman" w:hAnsiTheme="majorHAnsi" w:cs="Times"/>
          <w:i/>
          <w:color w:val="1A1A1A"/>
          <w:sz w:val="16"/>
          <w:szCs w:val="16"/>
          <w:lang w:val="en-AU"/>
        </w:rPr>
      </w:pPr>
      <w:r w:rsidRPr="00A57F0D">
        <w:rPr>
          <w:rFonts w:asciiTheme="majorHAnsi" w:eastAsia="Times New Roman" w:hAnsiTheme="majorHAnsi" w:cs="Times"/>
          <w:i/>
          <w:color w:val="1A1A1A"/>
          <w:sz w:val="16"/>
          <w:szCs w:val="16"/>
          <w:lang w:val="en-AU"/>
        </w:rPr>
        <w:t>Mr Warren Mundine, Chair of the Indigenous Advisory Council, 2014</w:t>
      </w:r>
    </w:p>
    <w:p w14:paraId="5398F300" w14:textId="51C09BFE" w:rsidR="00B25BC6" w:rsidRDefault="00535840" w:rsidP="00B25BC6">
      <w:pPr>
        <w:widowControl w:val="0"/>
        <w:autoSpaceDE w:val="0"/>
        <w:autoSpaceDN w:val="0"/>
        <w:adjustRightInd w:val="0"/>
        <w:spacing w:before="240" w:after="240"/>
        <w:rPr>
          <w:rFonts w:asciiTheme="majorHAnsi" w:hAnsiTheme="majorHAnsi"/>
          <w:lang w:val="en-AU"/>
        </w:rPr>
      </w:pPr>
      <w:r>
        <w:rPr>
          <w:rFonts w:asciiTheme="majorHAnsi" w:hAnsiTheme="majorHAnsi" w:cs="Calibri"/>
          <w:lang w:val="en-AU"/>
        </w:rPr>
        <w:t>I</w:t>
      </w:r>
      <w:r w:rsidR="00B25BC6" w:rsidRPr="0005379F">
        <w:rPr>
          <w:rFonts w:asciiTheme="majorHAnsi" w:hAnsiTheme="majorHAnsi" w:cs="Calibri"/>
          <w:lang w:val="en-AU"/>
        </w:rPr>
        <w:t>t is essential to invest in those services which have been shown to perform best in the identification of risk factors, performance of health checks, care planning</w:t>
      </w:r>
      <w:r w:rsidR="00EB2441">
        <w:rPr>
          <w:rFonts w:asciiTheme="majorHAnsi" w:hAnsiTheme="majorHAnsi" w:cs="Calibri"/>
          <w:lang w:val="en-AU"/>
        </w:rPr>
        <w:t>,</w:t>
      </w:r>
      <w:r w:rsidR="00B25BC6" w:rsidRPr="0005379F">
        <w:rPr>
          <w:rFonts w:asciiTheme="majorHAnsi" w:hAnsiTheme="majorHAnsi" w:cs="Calibri"/>
          <w:lang w:val="en-AU"/>
        </w:rPr>
        <w:t xml:space="preserve"> and the management of Aboriginal and Torres Strait Islander patients. </w:t>
      </w:r>
      <w:r w:rsidR="00B25BC6" w:rsidRPr="0005379F">
        <w:rPr>
          <w:rFonts w:asciiTheme="majorHAnsi" w:hAnsiTheme="majorHAnsi"/>
          <w:lang w:val="en-AU"/>
        </w:rPr>
        <w:t>With their model of comprehensive primary health care and community governance, ACCHS have reduced unintentional racism, barriers to access to health care, and are progressively improving individual health outcomes for Aboriginal and Torres Strait Islander people.</w:t>
      </w:r>
      <w:r w:rsidR="00B25BC6" w:rsidRPr="00987C86">
        <w:rPr>
          <w:rStyle w:val="EndnoteReference"/>
          <w:rFonts w:asciiTheme="majorHAnsi" w:hAnsiTheme="majorHAnsi"/>
          <w:sz w:val="22"/>
          <w:lang w:val="en-AU"/>
        </w:rPr>
        <w:endnoteReference w:id="193"/>
      </w:r>
    </w:p>
    <w:p w14:paraId="2DAF2D6E" w14:textId="5158FB97" w:rsidR="00B25BC6" w:rsidRPr="00A57F0D" w:rsidRDefault="00B25BC6" w:rsidP="00B25BC6">
      <w:pPr>
        <w:widowControl w:val="0"/>
        <w:autoSpaceDE w:val="0"/>
        <w:autoSpaceDN w:val="0"/>
        <w:adjustRightInd w:val="0"/>
        <w:spacing w:before="240" w:after="240"/>
        <w:rPr>
          <w:rFonts w:asciiTheme="majorHAnsi" w:hAnsiTheme="majorHAnsi"/>
          <w:i/>
          <w:lang w:val="en-AU"/>
        </w:rPr>
      </w:pPr>
      <w:r w:rsidRPr="00A57F0D">
        <w:rPr>
          <w:rFonts w:asciiTheme="majorHAnsi" w:hAnsiTheme="majorHAnsi"/>
          <w:lang w:val="en-AU"/>
        </w:rPr>
        <w:t>In 2012-2013, 260 services delivered primary health-care, substance-use rehabilitation and treatment services, and social and emotional</w:t>
      </w:r>
      <w:r w:rsidR="00D91E86">
        <w:rPr>
          <w:rFonts w:asciiTheme="majorHAnsi" w:hAnsiTheme="majorHAnsi"/>
          <w:lang w:val="en-AU"/>
        </w:rPr>
        <w:t xml:space="preserve"> wellbeing (including </w:t>
      </w:r>
      <w:proofErr w:type="gramStart"/>
      <w:r w:rsidR="00D91E86">
        <w:rPr>
          <w:rFonts w:asciiTheme="majorHAnsi" w:hAnsiTheme="majorHAnsi"/>
          <w:lang w:val="en-AU"/>
        </w:rPr>
        <w:t>Bringing</w:t>
      </w:r>
      <w:proofErr w:type="gramEnd"/>
      <w:r w:rsidR="00D91E86">
        <w:rPr>
          <w:rFonts w:asciiTheme="majorHAnsi" w:hAnsiTheme="majorHAnsi"/>
          <w:lang w:val="en-AU"/>
        </w:rPr>
        <w:t xml:space="preserve"> them h</w:t>
      </w:r>
      <w:r w:rsidRPr="00A57F0D">
        <w:rPr>
          <w:rFonts w:asciiTheme="majorHAnsi" w:hAnsiTheme="majorHAnsi"/>
          <w:lang w:val="en-AU"/>
        </w:rPr>
        <w:t xml:space="preserve">ome and Link-Up </w:t>
      </w:r>
      <w:r w:rsidRPr="006A24D8">
        <w:rPr>
          <w:rFonts w:asciiTheme="majorHAnsi" w:hAnsiTheme="majorHAnsi"/>
          <w:lang w:val="en-AU"/>
        </w:rPr>
        <w:t>counselling</w:t>
      </w:r>
      <w:r w:rsidRPr="00A57F0D">
        <w:rPr>
          <w:rFonts w:asciiTheme="majorHAnsi" w:hAnsiTheme="majorHAnsi"/>
          <w:lang w:val="en-AU"/>
        </w:rPr>
        <w:t xml:space="preserve"> and family reunion) services primarily to Aboriginal and Torres Strait Islander people. They report to the Australian Government and these services</w:t>
      </w:r>
      <w:r w:rsidR="00EB2441">
        <w:rPr>
          <w:rFonts w:asciiTheme="majorHAnsi" w:hAnsiTheme="majorHAnsi"/>
          <w:lang w:val="en-AU"/>
        </w:rPr>
        <w:t>’</w:t>
      </w:r>
      <w:r w:rsidRPr="00A57F0D">
        <w:rPr>
          <w:rFonts w:asciiTheme="majorHAnsi" w:hAnsiTheme="majorHAnsi"/>
          <w:lang w:val="en-AU"/>
        </w:rPr>
        <w:t xml:space="preserve"> reports are published regularly.</w:t>
      </w:r>
      <w:r w:rsidRPr="00A57F0D">
        <w:rPr>
          <w:rStyle w:val="EndnoteReference"/>
          <w:lang w:val="en-AU"/>
        </w:rPr>
        <w:endnoteReference w:id="194"/>
      </w:r>
      <w:r w:rsidRPr="00A57F0D">
        <w:rPr>
          <w:rFonts w:asciiTheme="majorHAnsi" w:hAnsiTheme="majorHAnsi"/>
          <w:lang w:val="en-AU"/>
        </w:rPr>
        <w:t xml:space="preserve"> Of </w:t>
      </w:r>
      <w:r w:rsidRPr="00A57F0D">
        <w:rPr>
          <w:rFonts w:asciiTheme="majorHAnsi" w:hAnsiTheme="majorHAnsi"/>
          <w:lang w:val="en-AU"/>
        </w:rPr>
        <w:lastRenderedPageBreak/>
        <w:t>these, 205 are defined as Indigenous-specific prim</w:t>
      </w:r>
      <w:r w:rsidR="00EB2441">
        <w:rPr>
          <w:rFonts w:asciiTheme="majorHAnsi" w:hAnsiTheme="majorHAnsi"/>
          <w:lang w:val="en-AU"/>
        </w:rPr>
        <w:t>ary health organisations (ISPHO</w:t>
      </w:r>
      <w:r w:rsidRPr="00A57F0D">
        <w:rPr>
          <w:rFonts w:asciiTheme="majorHAnsi" w:hAnsiTheme="majorHAnsi"/>
          <w:lang w:val="en-AU"/>
        </w:rPr>
        <w:t>) including 175 ACCHS.</w:t>
      </w:r>
      <w:r w:rsidRPr="00A57F0D">
        <w:rPr>
          <w:rFonts w:asciiTheme="majorHAnsi" w:hAnsiTheme="majorHAnsi"/>
          <w:vertAlign w:val="superscript"/>
          <w:lang w:val="en-AU"/>
        </w:rPr>
        <w:endnoteReference w:id="195"/>
      </w:r>
      <w:r w:rsidRPr="00A57F0D">
        <w:rPr>
          <w:rFonts w:asciiTheme="majorHAnsi" w:hAnsiTheme="majorHAnsi"/>
          <w:vertAlign w:val="superscript"/>
          <w:lang w:val="en-AU"/>
        </w:rPr>
        <w:t xml:space="preserve"> </w:t>
      </w:r>
    </w:p>
    <w:p w14:paraId="30D92855" w14:textId="1D88E521" w:rsidR="00B25BC6" w:rsidRPr="00A57F0D" w:rsidRDefault="00B25BC6" w:rsidP="00B25BC6">
      <w:pPr>
        <w:spacing w:before="240" w:after="240"/>
        <w:rPr>
          <w:rFonts w:asciiTheme="majorHAnsi" w:hAnsiTheme="majorHAnsi"/>
          <w:lang w:val="en-AU"/>
        </w:rPr>
      </w:pPr>
      <w:r w:rsidRPr="00A57F0D">
        <w:rPr>
          <w:rFonts w:asciiTheme="majorHAnsi" w:hAnsiTheme="majorHAnsi"/>
          <w:lang w:val="en-AU"/>
        </w:rPr>
        <w:t xml:space="preserve">In their 2014 analysis of the performance of ACCHS, </w:t>
      </w:r>
      <w:proofErr w:type="spellStart"/>
      <w:r w:rsidRPr="00A57F0D">
        <w:rPr>
          <w:rFonts w:asciiTheme="majorHAnsi" w:hAnsiTheme="majorHAnsi"/>
          <w:lang w:val="en-AU"/>
        </w:rPr>
        <w:t>Panaretto</w:t>
      </w:r>
      <w:proofErr w:type="spellEnd"/>
      <w:r w:rsidRPr="00A57F0D">
        <w:rPr>
          <w:rFonts w:asciiTheme="majorHAnsi" w:hAnsiTheme="majorHAnsi"/>
          <w:lang w:val="en-AU"/>
        </w:rPr>
        <w:t xml:space="preserve"> and colleagues looked at the evidence supporting Aboriginal and</w:t>
      </w:r>
      <w:r w:rsidR="004631CD">
        <w:rPr>
          <w:rFonts w:asciiTheme="majorHAnsi" w:hAnsiTheme="majorHAnsi"/>
          <w:lang w:val="en-AU"/>
        </w:rPr>
        <w:t xml:space="preserve"> Torres Strait Islander people’s</w:t>
      </w:r>
      <w:r w:rsidRPr="00A57F0D">
        <w:rPr>
          <w:rFonts w:asciiTheme="majorHAnsi" w:hAnsiTheme="majorHAnsi"/>
          <w:lang w:val="en-AU"/>
        </w:rPr>
        <w:t xml:space="preserve"> relative use of ACCHS and general practice in Queensland by comparing ABS 2011 Census data and ACCHS service use data. They report that ‘access to services is critical and, where ACCHS exist, the community prefers to and does use them’</w:t>
      </w:r>
      <w:r w:rsidR="00A60EB4">
        <w:rPr>
          <w:rFonts w:asciiTheme="majorHAnsi" w:hAnsiTheme="majorHAnsi"/>
          <w:lang w:val="en-AU"/>
        </w:rPr>
        <w:t>.</w:t>
      </w:r>
      <w:r w:rsidRPr="00A57F0D">
        <w:rPr>
          <w:rStyle w:val="EndnoteReference"/>
          <w:lang w:val="en-AU"/>
        </w:rPr>
        <w:endnoteReference w:id="196"/>
      </w:r>
      <w:r w:rsidR="00A60EB4">
        <w:rPr>
          <w:rFonts w:asciiTheme="majorHAnsi" w:hAnsiTheme="majorHAnsi"/>
          <w:lang w:val="en-AU"/>
        </w:rPr>
        <w:t xml:space="preserve"> In addition the study found that:</w:t>
      </w:r>
    </w:p>
    <w:p w14:paraId="15ED0731" w14:textId="77777777" w:rsidR="00B25BC6" w:rsidRPr="00A57F0D" w:rsidRDefault="00B25BC6" w:rsidP="00B25BC6">
      <w:pPr>
        <w:spacing w:before="240" w:after="240"/>
        <w:ind w:left="720"/>
        <w:rPr>
          <w:rFonts w:asciiTheme="majorHAnsi" w:hAnsiTheme="majorHAnsi"/>
          <w:i/>
          <w:lang w:val="en-AU"/>
        </w:rPr>
      </w:pPr>
      <w:r w:rsidRPr="00A57F0D">
        <w:rPr>
          <w:rFonts w:asciiTheme="majorHAnsi" w:hAnsiTheme="majorHAnsi"/>
          <w:i/>
          <w:lang w:val="en-AU"/>
        </w:rPr>
        <w:t>[T]he number of Aboriginal patients making one visit in 2 years to… regional ACCHSs is higher than the resident Indigenous population… For 11 of 17 services, over 60% of Aboriginal people living in their catchments within a 30-minute drive had visited in the 2 years to September 2012… for six of these ACCHSs, all classified Remoteness Area 2 or 3, the data suggest up to 100% of the Aboriginal population living within a 30-minute drive are using their services, with many patients travelling longer than 30 minutes.</w:t>
      </w:r>
      <w:r w:rsidRPr="00A57F0D">
        <w:rPr>
          <w:rStyle w:val="EndnoteReference"/>
          <w:lang w:val="en-AU"/>
        </w:rPr>
        <w:endnoteReference w:id="197"/>
      </w:r>
    </w:p>
    <w:p w14:paraId="4139B320" w14:textId="1C4D9160" w:rsidR="00B25BC6" w:rsidRPr="00A57F0D" w:rsidRDefault="00B25BC6" w:rsidP="00B25BC6">
      <w:pPr>
        <w:spacing w:before="240" w:after="240"/>
        <w:rPr>
          <w:rFonts w:asciiTheme="majorHAnsi" w:hAnsiTheme="majorHAnsi"/>
          <w:lang w:val="en-AU"/>
        </w:rPr>
      </w:pPr>
      <w:r w:rsidRPr="00A57F0D">
        <w:rPr>
          <w:rFonts w:asciiTheme="majorHAnsi" w:hAnsiTheme="majorHAnsi"/>
          <w:lang w:val="en-AU"/>
        </w:rPr>
        <w:t xml:space="preserve">Also, as set out </w:t>
      </w:r>
      <w:r>
        <w:rPr>
          <w:rFonts w:asciiTheme="majorHAnsi" w:hAnsiTheme="majorHAnsi"/>
          <w:lang w:val="en-AU"/>
        </w:rPr>
        <w:t>in the text box below</w:t>
      </w:r>
      <w:r w:rsidRPr="00792F60">
        <w:rPr>
          <w:rFonts w:asciiTheme="majorHAnsi" w:hAnsiTheme="majorHAnsi"/>
          <w:lang w:val="en-AU"/>
        </w:rPr>
        <w:t xml:space="preserve">, </w:t>
      </w:r>
      <w:proofErr w:type="spellStart"/>
      <w:r w:rsidRPr="00792F60">
        <w:rPr>
          <w:rFonts w:asciiTheme="majorHAnsi" w:hAnsiTheme="majorHAnsi"/>
          <w:lang w:val="en-AU"/>
        </w:rPr>
        <w:t>Panaretto</w:t>
      </w:r>
      <w:proofErr w:type="spellEnd"/>
      <w:r w:rsidRPr="00A57F0D">
        <w:rPr>
          <w:rFonts w:asciiTheme="majorHAnsi" w:hAnsiTheme="majorHAnsi"/>
          <w:lang w:val="en-AU"/>
        </w:rPr>
        <w:t xml:space="preserve"> and colleagues surveyed the literature to evaluate whether ACCHS performed better for Aboriginal and Torres Strait Islander people than general practices</w:t>
      </w:r>
      <w:r w:rsidR="007623EC">
        <w:rPr>
          <w:rFonts w:asciiTheme="majorHAnsi" w:hAnsiTheme="majorHAnsi"/>
          <w:lang w:val="en-AU"/>
        </w:rPr>
        <w:t>.</w:t>
      </w:r>
      <w:r w:rsidRPr="00A57F0D">
        <w:rPr>
          <w:rFonts w:asciiTheme="majorHAnsi" w:hAnsiTheme="majorHAnsi"/>
          <w:lang w:val="en-AU"/>
        </w:rPr>
        <w:t xml:space="preserve"> </w:t>
      </w:r>
      <w:r w:rsidR="007623EC">
        <w:rPr>
          <w:rFonts w:asciiTheme="majorHAnsi" w:hAnsiTheme="majorHAnsi"/>
          <w:lang w:val="en-AU"/>
        </w:rPr>
        <w:t xml:space="preserve">This was </w:t>
      </w:r>
      <w:r w:rsidRPr="00A57F0D">
        <w:rPr>
          <w:rFonts w:asciiTheme="majorHAnsi" w:hAnsiTheme="majorHAnsi"/>
          <w:lang w:val="en-AU"/>
        </w:rPr>
        <w:t>particularly in relation to the prevention, detection and treatment of chronic disease. Their findings provide strong support for properly resourced ACCHS.</w:t>
      </w:r>
      <w:r>
        <w:rPr>
          <w:rFonts w:asciiTheme="majorHAnsi" w:hAnsiTheme="majorHAnsi"/>
          <w:lang w:val="en-AU"/>
        </w:rPr>
        <w:t xml:space="preserve"> </w:t>
      </w:r>
      <w:r w:rsidRPr="00A57F0D">
        <w:rPr>
          <w:rFonts w:asciiTheme="majorHAnsi" w:hAnsiTheme="majorHAnsi"/>
          <w:lang w:val="en-AU"/>
        </w:rPr>
        <w:t>The positive effectiveness of ACCHS has also been documented in recent Department of Health research.</w:t>
      </w:r>
      <w:r w:rsidRPr="00A57F0D">
        <w:rPr>
          <w:rStyle w:val="EndnoteReference"/>
          <w:lang w:val="en-AU"/>
        </w:rPr>
        <w:endnoteReference w:id="198"/>
      </w:r>
      <w:r w:rsidRPr="00A57F0D">
        <w:rPr>
          <w:rFonts w:asciiTheme="majorHAnsi" w:hAnsiTheme="majorHAnsi"/>
          <w:lang w:val="en-AU"/>
        </w:rPr>
        <w:t xml:space="preserve"> </w:t>
      </w:r>
    </w:p>
    <w:tbl>
      <w:tblPr>
        <w:tblStyle w:val="TableGrid"/>
        <w:tblW w:w="0" w:type="auto"/>
        <w:tblLook w:val="04A0" w:firstRow="1" w:lastRow="0" w:firstColumn="1" w:lastColumn="0" w:noHBand="0" w:noVBand="1"/>
      </w:tblPr>
      <w:tblGrid>
        <w:gridCol w:w="9286"/>
      </w:tblGrid>
      <w:tr w:rsidR="00B25BC6" w:rsidRPr="006A24D8" w14:paraId="5E1C79A0" w14:textId="77777777" w:rsidTr="00B25BC6">
        <w:tc>
          <w:tcPr>
            <w:tcW w:w="9286" w:type="dxa"/>
            <w:shd w:val="clear" w:color="auto" w:fill="DBE5F1" w:themeFill="accent1" w:themeFillTint="33"/>
          </w:tcPr>
          <w:p w14:paraId="5D99A1AC" w14:textId="77777777" w:rsidR="00B25BC6" w:rsidRPr="00A57F0D" w:rsidRDefault="00B25BC6" w:rsidP="00B25BC6">
            <w:pPr>
              <w:spacing w:before="120" w:after="120"/>
              <w:rPr>
                <w:rFonts w:asciiTheme="majorHAnsi" w:hAnsiTheme="majorHAnsi"/>
                <w:b/>
                <w:lang w:val="en-AU"/>
              </w:rPr>
            </w:pPr>
            <w:proofErr w:type="spellStart"/>
            <w:r w:rsidRPr="00792F60">
              <w:rPr>
                <w:rFonts w:asciiTheme="majorHAnsi" w:hAnsiTheme="majorHAnsi"/>
                <w:b/>
                <w:lang w:val="en-AU"/>
              </w:rPr>
              <w:t>Panaretto</w:t>
            </w:r>
            <w:proofErr w:type="spellEnd"/>
            <w:r w:rsidRPr="00A57F0D">
              <w:rPr>
                <w:rFonts w:asciiTheme="majorHAnsi" w:hAnsiTheme="majorHAnsi"/>
                <w:b/>
                <w:lang w:val="en-AU"/>
              </w:rPr>
              <w:t xml:space="preserve"> and colleagues compare the performance of Aboriginal Community Controlled Health Services in Queensland with general practice</w:t>
            </w:r>
            <w:r w:rsidRPr="00A57F0D">
              <w:rPr>
                <w:rStyle w:val="EndnoteReference"/>
                <w:lang w:val="en-AU"/>
              </w:rPr>
              <w:endnoteReference w:id="199"/>
            </w:r>
            <w:r w:rsidRPr="00A57F0D">
              <w:rPr>
                <w:rFonts w:asciiTheme="majorHAnsi" w:hAnsiTheme="majorHAnsi"/>
                <w:b/>
                <w:lang w:val="en-AU"/>
              </w:rPr>
              <w:t xml:space="preserve"> </w:t>
            </w:r>
            <w:r w:rsidRPr="00A57F0D">
              <w:rPr>
                <w:rFonts w:asciiTheme="majorHAnsi" w:hAnsiTheme="majorHAnsi"/>
                <w:sz w:val="18"/>
                <w:szCs w:val="18"/>
                <w:lang w:val="en-AU"/>
              </w:rPr>
              <w:t>(extract, without references)</w:t>
            </w:r>
          </w:p>
          <w:p w14:paraId="69DC3586" w14:textId="5668D100" w:rsidR="00B25BC6" w:rsidRPr="00A57F0D" w:rsidRDefault="00B25BC6" w:rsidP="00B25BC6">
            <w:pPr>
              <w:spacing w:before="120" w:after="120"/>
              <w:rPr>
                <w:rFonts w:asciiTheme="majorHAnsi" w:hAnsiTheme="majorHAnsi"/>
                <w:lang w:val="en-AU"/>
              </w:rPr>
            </w:pPr>
            <w:r w:rsidRPr="00A57F0D">
              <w:rPr>
                <w:rFonts w:asciiTheme="majorHAnsi" w:hAnsiTheme="majorHAnsi"/>
                <w:lang w:val="en-AU"/>
              </w:rPr>
              <w:t>The medical literature has many reports of well-implemented research programs, often integrated with everyday care in ACCHS, showing improved health outcomes. Sexual health, maternal and child health, smoking cessation and cardiovascular programs have been successf</w:t>
            </w:r>
            <w:r w:rsidR="007623EC">
              <w:rPr>
                <w:rFonts w:asciiTheme="majorHAnsi" w:hAnsiTheme="majorHAnsi"/>
                <w:lang w:val="en-AU"/>
              </w:rPr>
              <w:t>ully run and monitored in ACCHS</w:t>
            </w:r>
            <w:r w:rsidRPr="00A57F0D">
              <w:rPr>
                <w:rFonts w:asciiTheme="majorHAnsi" w:hAnsiTheme="majorHAnsi"/>
                <w:lang w:val="en-AU"/>
              </w:rPr>
              <w:t>.</w:t>
            </w:r>
          </w:p>
          <w:p w14:paraId="3FFE410D" w14:textId="0E26C8DE" w:rsidR="00B25BC6" w:rsidRPr="00A57F0D" w:rsidRDefault="00B25BC6" w:rsidP="00B25BC6">
            <w:pPr>
              <w:spacing w:before="120" w:after="120"/>
              <w:rPr>
                <w:rFonts w:asciiTheme="majorHAnsi" w:hAnsiTheme="majorHAnsi"/>
                <w:lang w:val="en-AU"/>
              </w:rPr>
            </w:pPr>
            <w:r w:rsidRPr="00A57F0D">
              <w:rPr>
                <w:rFonts w:asciiTheme="majorHAnsi" w:hAnsiTheme="majorHAnsi"/>
                <w:lang w:val="en-AU"/>
              </w:rPr>
              <w:t>Care delivered in ACCHS for prevention and chronic disease management appears to be equal to if not better than that delivered by general practices. Queensland Aboriginal and Islander Health Council… data show good performance in risk factor monitoring and the management of hypertension and chronic disease…</w:t>
            </w:r>
          </w:p>
          <w:p w14:paraId="181274BB" w14:textId="41E991BB" w:rsidR="00B25BC6" w:rsidRPr="00A57F0D" w:rsidRDefault="00B25BC6" w:rsidP="00B25BC6">
            <w:pPr>
              <w:spacing w:before="120" w:after="120"/>
              <w:rPr>
                <w:rFonts w:asciiTheme="majorHAnsi" w:hAnsiTheme="majorHAnsi"/>
                <w:lang w:val="en-AU"/>
              </w:rPr>
            </w:pPr>
            <w:r w:rsidRPr="00A57F0D">
              <w:rPr>
                <w:rFonts w:asciiTheme="majorHAnsi" w:hAnsiTheme="majorHAnsi"/>
                <w:lang w:val="en-AU"/>
              </w:rPr>
              <w:t>The Torpedo study, a randomised controlled trial of the use of an electronic decision-support system measuring absolute cardiovascular risk, shows ACCHS outperforming general practices in managing risk… Data collected in late 2011 show that the ACCHS sites had significantly more patients at high risk being prescribed best-practice medications than the general practice sites at baseline, and this gap was sustained through the intervention period.</w:t>
            </w:r>
          </w:p>
          <w:p w14:paraId="1714D7B8" w14:textId="66CED555" w:rsidR="00B25BC6" w:rsidRPr="00A57F0D" w:rsidRDefault="00B25BC6" w:rsidP="00B25BC6">
            <w:pPr>
              <w:spacing w:before="120" w:after="120"/>
              <w:rPr>
                <w:rFonts w:asciiTheme="majorHAnsi" w:hAnsiTheme="majorHAnsi"/>
                <w:lang w:val="en-AU"/>
              </w:rPr>
            </w:pPr>
            <w:r w:rsidRPr="00A57F0D">
              <w:rPr>
                <w:rFonts w:asciiTheme="majorHAnsi" w:hAnsiTheme="majorHAnsi"/>
                <w:lang w:val="en-AU"/>
              </w:rPr>
              <w:t xml:space="preserve">Data from the Australian Primary Care </w:t>
            </w:r>
            <w:proofErr w:type="spellStart"/>
            <w:r w:rsidRPr="00A57F0D">
              <w:rPr>
                <w:rFonts w:asciiTheme="majorHAnsi" w:hAnsiTheme="majorHAnsi"/>
                <w:lang w:val="en-AU"/>
              </w:rPr>
              <w:t>Collaboratives</w:t>
            </w:r>
            <w:proofErr w:type="spellEnd"/>
            <w:r w:rsidRPr="00A57F0D">
              <w:rPr>
                <w:rFonts w:asciiTheme="majorHAnsi" w:hAnsiTheme="majorHAnsi"/>
                <w:lang w:val="en-AU"/>
              </w:rPr>
              <w:t xml:space="preserve"> (APPC) program, often not published, can examine performance between ACCHS and general practice clusters. Data for 2012, from Wave 2 of the APCC e-health program, show that ACCHSs in Queensland had more diagnoses coded (as opposed to use of free text) in medical histories and a higher proportion of medications on their current medication lists prescribed within the preceding 6 months than their general practice counterparts. </w:t>
            </w:r>
          </w:p>
          <w:p w14:paraId="15A460A6" w14:textId="188EA64D" w:rsidR="00B25BC6" w:rsidRPr="00A57F0D" w:rsidRDefault="00B25BC6" w:rsidP="00B25BC6">
            <w:pPr>
              <w:spacing w:before="120" w:after="120"/>
              <w:rPr>
                <w:rFonts w:asciiTheme="majorHAnsi" w:hAnsiTheme="majorHAnsi"/>
                <w:lang w:val="en-AU"/>
              </w:rPr>
            </w:pPr>
            <w:r w:rsidRPr="00A57F0D">
              <w:rPr>
                <w:rFonts w:asciiTheme="majorHAnsi" w:hAnsiTheme="majorHAnsi"/>
                <w:lang w:val="en-AU"/>
              </w:rPr>
              <w:t>This pattern is similar to that reported for cardiac and diabetes care in 2013 and seen in recent years in the QAIHC Closing the</w:t>
            </w:r>
            <w:r w:rsidR="00C8393D">
              <w:rPr>
                <w:rFonts w:asciiTheme="majorHAnsi" w:hAnsiTheme="majorHAnsi"/>
                <w:lang w:val="en-AU"/>
              </w:rPr>
              <w:t xml:space="preserve"> Gap Collaborative, where ACCHS</w:t>
            </w:r>
            <w:r w:rsidRPr="00A57F0D">
              <w:rPr>
                <w:rFonts w:asciiTheme="majorHAnsi" w:hAnsiTheme="majorHAnsi"/>
                <w:lang w:val="en-AU"/>
              </w:rPr>
              <w:t xml:space="preserve"> were the higher performers in identification of risk factors and completion of health checks.</w:t>
            </w:r>
          </w:p>
        </w:tc>
      </w:tr>
    </w:tbl>
    <w:p w14:paraId="0572C73F" w14:textId="338E8D06" w:rsidR="006B5A0C" w:rsidRDefault="00535840" w:rsidP="00124743">
      <w:pPr>
        <w:spacing w:before="240" w:after="240"/>
        <w:rPr>
          <w:rFonts w:asciiTheme="majorHAnsi" w:hAnsiTheme="majorHAnsi"/>
          <w:lang w:val="en-AU"/>
        </w:rPr>
      </w:pPr>
      <w:r>
        <w:rPr>
          <w:rFonts w:asciiTheme="majorHAnsi" w:hAnsiTheme="majorHAnsi" w:cs="Calibri"/>
          <w:lang w:val="en-AU"/>
        </w:rPr>
        <w:t>I</w:t>
      </w:r>
      <w:r w:rsidR="00814869" w:rsidRPr="00987C86">
        <w:rPr>
          <w:rFonts w:asciiTheme="majorHAnsi" w:hAnsiTheme="majorHAnsi"/>
          <w:lang w:val="en-AU"/>
        </w:rPr>
        <w:t xml:space="preserve">t is critical that ACCHS continue to be funded and expanded to ensure the Aboriginal and Torres Strait Islander population is able to access them. </w:t>
      </w:r>
      <w:r w:rsidR="006B5A0C">
        <w:rPr>
          <w:lang w:val="en-AU"/>
        </w:rPr>
        <w:t xml:space="preserve">This becomes particularly important when considering the potential significant health gain to be made by </w:t>
      </w:r>
      <w:r w:rsidR="006B5A0C" w:rsidRPr="00C63066">
        <w:rPr>
          <w:lang w:val="en-AU"/>
        </w:rPr>
        <w:t xml:space="preserve">the high proportions of treatable and </w:t>
      </w:r>
      <w:r w:rsidR="006B5A0C" w:rsidRPr="00C63066">
        <w:rPr>
          <w:lang w:val="en-AU"/>
        </w:rPr>
        <w:lastRenderedPageBreak/>
        <w:t>preventable conditions that are</w:t>
      </w:r>
      <w:r w:rsidR="006B5A0C">
        <w:rPr>
          <w:lang w:val="en-AU"/>
        </w:rPr>
        <w:t xml:space="preserve"> not currently being addressed as shown in the NATSIHMS </w:t>
      </w:r>
      <w:r w:rsidR="007623EC">
        <w:rPr>
          <w:lang w:val="en-AU"/>
        </w:rPr>
        <w:t xml:space="preserve">(discussed </w:t>
      </w:r>
      <w:r w:rsidR="003A0BAB">
        <w:rPr>
          <w:lang w:val="en-AU"/>
        </w:rPr>
        <w:t>in C</w:t>
      </w:r>
      <w:r w:rsidR="006B5A0C">
        <w:rPr>
          <w:lang w:val="en-AU"/>
        </w:rPr>
        <w:t>hapter 1</w:t>
      </w:r>
      <w:r w:rsidR="007623EC">
        <w:rPr>
          <w:lang w:val="en-AU"/>
        </w:rPr>
        <w:t>)</w:t>
      </w:r>
      <w:r w:rsidR="006B5A0C">
        <w:rPr>
          <w:lang w:val="en-AU"/>
        </w:rPr>
        <w:t>.</w:t>
      </w:r>
    </w:p>
    <w:p w14:paraId="1F526061" w14:textId="6347A0DE" w:rsidR="00814869" w:rsidRDefault="00814869" w:rsidP="00124743">
      <w:pPr>
        <w:spacing w:before="240" w:after="240"/>
        <w:rPr>
          <w:lang w:val="en-AU"/>
        </w:rPr>
      </w:pPr>
      <w:r w:rsidRPr="00987C86">
        <w:rPr>
          <w:rFonts w:asciiTheme="majorHAnsi" w:hAnsiTheme="majorHAnsi"/>
          <w:lang w:val="en-AU"/>
        </w:rPr>
        <w:t xml:space="preserve">A good start in developing the services use and access indicators </w:t>
      </w:r>
      <w:r w:rsidR="007623EC">
        <w:rPr>
          <w:rFonts w:asciiTheme="majorHAnsi" w:hAnsiTheme="majorHAnsi"/>
          <w:lang w:val="en-AU"/>
        </w:rPr>
        <w:t>we propose</w:t>
      </w:r>
      <w:r w:rsidR="00350A53">
        <w:rPr>
          <w:rFonts w:asciiTheme="majorHAnsi" w:hAnsiTheme="majorHAnsi"/>
          <w:lang w:val="en-AU"/>
        </w:rPr>
        <w:t xml:space="preserve"> </w:t>
      </w:r>
      <w:r w:rsidRPr="007623EC">
        <w:rPr>
          <w:rFonts w:asciiTheme="majorHAnsi" w:hAnsiTheme="majorHAnsi"/>
          <w:lang w:val="en-AU"/>
        </w:rPr>
        <w:t>would be to link them to meeting existing services gaps within ACCHS.</w:t>
      </w:r>
      <w:r w:rsidRPr="00987C86">
        <w:rPr>
          <w:rFonts w:asciiTheme="majorHAnsi" w:hAnsiTheme="majorHAnsi"/>
          <w:lang w:val="en-AU"/>
        </w:rPr>
        <w:t xml:space="preserve"> </w:t>
      </w:r>
      <w:r w:rsidR="00E61C96" w:rsidRPr="00987C86">
        <w:rPr>
          <w:rFonts w:asciiTheme="majorHAnsi" w:hAnsiTheme="majorHAnsi"/>
          <w:lang w:val="en-AU"/>
        </w:rPr>
        <w:t xml:space="preserve">The </w:t>
      </w:r>
      <w:r w:rsidR="00E61C96" w:rsidRPr="006A24D8">
        <w:rPr>
          <w:lang w:val="en-AU"/>
        </w:rPr>
        <w:t>two key advantages of ACCHS are bet</w:t>
      </w:r>
      <w:r w:rsidR="005C0983" w:rsidRPr="006A24D8">
        <w:rPr>
          <w:lang w:val="en-AU"/>
        </w:rPr>
        <w:t>ter access and</w:t>
      </w:r>
      <w:r w:rsidR="00F80C8D" w:rsidRPr="006A24D8">
        <w:rPr>
          <w:lang w:val="en-AU"/>
        </w:rPr>
        <w:t xml:space="preserve"> a more culturally appropriate, commun</w:t>
      </w:r>
      <w:r w:rsidR="00A60EB4">
        <w:rPr>
          <w:lang w:val="en-AU"/>
        </w:rPr>
        <w:t>ity-based holistic approach, which in many ways offers</w:t>
      </w:r>
      <w:r w:rsidR="00F80C8D" w:rsidRPr="006A24D8">
        <w:rPr>
          <w:lang w:val="en-AU"/>
        </w:rPr>
        <w:t xml:space="preserve">, in the long term, </w:t>
      </w:r>
      <w:r w:rsidR="00E61C96" w:rsidRPr="006A24D8">
        <w:rPr>
          <w:lang w:val="en-AU"/>
        </w:rPr>
        <w:t>a better return on investment</w:t>
      </w:r>
      <w:r w:rsidR="00F80C8D" w:rsidRPr="006A24D8">
        <w:rPr>
          <w:lang w:val="en-AU"/>
        </w:rPr>
        <w:t xml:space="preserve"> of the health dollar</w:t>
      </w:r>
      <w:r w:rsidR="00E61C96" w:rsidRPr="006A24D8">
        <w:rPr>
          <w:lang w:val="en-AU"/>
        </w:rPr>
        <w:t xml:space="preserve">. </w:t>
      </w:r>
    </w:p>
    <w:p w14:paraId="36482E53" w14:textId="5DB8BE26" w:rsidR="00B25BC6" w:rsidRPr="00987C86" w:rsidRDefault="00B25BC6" w:rsidP="00B25BC6">
      <w:pPr>
        <w:widowControl w:val="0"/>
        <w:autoSpaceDE w:val="0"/>
        <w:autoSpaceDN w:val="0"/>
        <w:adjustRightInd w:val="0"/>
        <w:spacing w:before="240" w:after="240"/>
        <w:rPr>
          <w:rFonts w:asciiTheme="majorHAnsi" w:hAnsiTheme="majorHAnsi"/>
          <w:lang w:val="en-AU"/>
        </w:rPr>
      </w:pPr>
      <w:r w:rsidRPr="00987C86">
        <w:rPr>
          <w:rFonts w:asciiTheme="majorHAnsi" w:hAnsiTheme="majorHAnsi"/>
          <w:lang w:val="en-AU"/>
        </w:rPr>
        <w:t>In 2012-2013, the most common service gaps reported by all 260 organisations in the service reports were around mental health and</w:t>
      </w:r>
      <w:r>
        <w:rPr>
          <w:rFonts w:asciiTheme="majorHAnsi" w:hAnsiTheme="majorHAnsi"/>
          <w:lang w:val="en-AU"/>
        </w:rPr>
        <w:t xml:space="preserve"> social and emotional</w:t>
      </w:r>
      <w:r w:rsidRPr="00987C86">
        <w:rPr>
          <w:rFonts w:asciiTheme="majorHAnsi" w:hAnsiTheme="majorHAnsi"/>
          <w:lang w:val="en-AU"/>
        </w:rPr>
        <w:t xml:space="preserve"> wellbeing (62 percent of organisations).</w:t>
      </w:r>
      <w:r w:rsidRPr="00987C86">
        <w:rPr>
          <w:rStyle w:val="EndnoteReference"/>
          <w:rFonts w:asciiTheme="majorHAnsi" w:hAnsiTheme="majorHAnsi"/>
          <w:sz w:val="22"/>
          <w:lang w:val="en-AU"/>
        </w:rPr>
        <w:endnoteReference w:id="200"/>
      </w:r>
      <w:r w:rsidRPr="00987C86">
        <w:rPr>
          <w:rFonts w:asciiTheme="majorHAnsi" w:hAnsiTheme="majorHAnsi"/>
          <w:lang w:val="en-AU"/>
        </w:rPr>
        <w:t xml:space="preserve"> </w:t>
      </w:r>
      <w:r w:rsidR="007A7BC4">
        <w:rPr>
          <w:rFonts w:asciiTheme="majorHAnsi" w:hAnsiTheme="majorHAnsi"/>
          <w:lang w:val="en-AU"/>
        </w:rPr>
        <w:t>The</w:t>
      </w:r>
      <w:r w:rsidRPr="00987C86">
        <w:rPr>
          <w:rFonts w:asciiTheme="majorHAnsi" w:hAnsiTheme="majorHAnsi"/>
          <w:lang w:val="en-AU"/>
        </w:rPr>
        <w:t xml:space="preserve"> </w:t>
      </w:r>
      <w:r w:rsidR="007A7BC4" w:rsidRPr="00987C86">
        <w:rPr>
          <w:rFonts w:asciiTheme="majorHAnsi" w:hAnsiTheme="majorHAnsi"/>
          <w:lang w:val="en-AU"/>
        </w:rPr>
        <w:t>e</w:t>
      </w:r>
      <w:r w:rsidR="007A7BC4">
        <w:rPr>
          <w:rFonts w:asciiTheme="majorHAnsi" w:hAnsiTheme="majorHAnsi"/>
          <w:lang w:val="en-AU"/>
        </w:rPr>
        <w:t>xistence of t</w:t>
      </w:r>
      <w:r w:rsidRPr="00987C86">
        <w:rPr>
          <w:rFonts w:asciiTheme="majorHAnsi" w:hAnsiTheme="majorHAnsi"/>
          <w:lang w:val="en-AU"/>
        </w:rPr>
        <w:t>his gap provides support for an increased focus on mental health and social and emotional wellbeing services and programmes within an enhanced Closing the Gap Strategy.</w:t>
      </w:r>
    </w:p>
    <w:p w14:paraId="0A25EBC4" w14:textId="1363A008" w:rsidR="00B25BC6" w:rsidRPr="00987C86" w:rsidRDefault="00B25BC6" w:rsidP="00B25BC6">
      <w:pPr>
        <w:widowControl w:val="0"/>
        <w:autoSpaceDE w:val="0"/>
        <w:autoSpaceDN w:val="0"/>
        <w:adjustRightInd w:val="0"/>
        <w:spacing w:before="240" w:after="240"/>
        <w:rPr>
          <w:rFonts w:asciiTheme="majorHAnsi" w:hAnsiTheme="majorHAnsi"/>
          <w:lang w:val="en-AU"/>
        </w:rPr>
      </w:pPr>
      <w:r w:rsidRPr="00987C86">
        <w:rPr>
          <w:rFonts w:asciiTheme="majorHAnsi" w:hAnsiTheme="majorHAnsi"/>
          <w:lang w:val="en-AU"/>
        </w:rPr>
        <w:t>But equally, a concerted effort is needed to ensure ACCHS and ISPHO are properly resourced to address chronic disease and services for mothers and babies. Nearly half of all 260 organisations reported alcohol, tobacco and other drugs (48 percent) and youth services (47 percent) as service gaps</w:t>
      </w:r>
      <w:r w:rsidR="007A7BC4">
        <w:rPr>
          <w:rFonts w:asciiTheme="majorHAnsi" w:hAnsiTheme="majorHAnsi"/>
          <w:lang w:val="en-AU"/>
        </w:rPr>
        <w:t xml:space="preserve"> in 2012-2013</w:t>
      </w:r>
      <w:r w:rsidRPr="00987C86">
        <w:rPr>
          <w:rFonts w:asciiTheme="majorHAnsi" w:hAnsiTheme="majorHAnsi"/>
          <w:lang w:val="en-AU"/>
        </w:rPr>
        <w:t>.</w:t>
      </w:r>
      <w:r w:rsidRPr="00987C86">
        <w:rPr>
          <w:rStyle w:val="EndnoteReference"/>
          <w:rFonts w:asciiTheme="majorHAnsi" w:hAnsiTheme="majorHAnsi"/>
          <w:sz w:val="22"/>
          <w:lang w:val="en-AU"/>
        </w:rPr>
        <w:endnoteReference w:id="201"/>
      </w:r>
      <w:r w:rsidRPr="00987C86">
        <w:rPr>
          <w:rFonts w:asciiTheme="majorHAnsi" w:hAnsiTheme="majorHAnsi"/>
          <w:lang w:val="en-AU"/>
        </w:rPr>
        <w:t xml:space="preserve"> Prevention and early detection of chronic disease was reported as a gap by 45 percent of organisations.</w:t>
      </w:r>
      <w:r w:rsidRPr="00987C86">
        <w:rPr>
          <w:rStyle w:val="EndnoteReference"/>
          <w:rFonts w:asciiTheme="majorHAnsi" w:hAnsiTheme="majorHAnsi"/>
          <w:sz w:val="22"/>
          <w:lang w:val="en-AU"/>
        </w:rPr>
        <w:endnoteReference w:id="202"/>
      </w:r>
      <w:r w:rsidRPr="00987C86">
        <w:rPr>
          <w:rFonts w:asciiTheme="majorHAnsi" w:hAnsiTheme="majorHAnsi"/>
          <w:lang w:val="en-AU"/>
        </w:rPr>
        <w:t xml:space="preserve"> </w:t>
      </w:r>
    </w:p>
    <w:p w14:paraId="24C714E4" w14:textId="77777777" w:rsidR="00814869" w:rsidRPr="006A24D8" w:rsidRDefault="00814869" w:rsidP="006220E0">
      <w:pPr>
        <w:pStyle w:val="Heading2"/>
        <w:rPr>
          <w:lang w:val="en-AU"/>
        </w:rPr>
      </w:pPr>
      <w:bookmarkStart w:id="31" w:name="_Toc409788736"/>
      <w:r w:rsidRPr="006A24D8">
        <w:rPr>
          <w:lang w:val="en-AU"/>
        </w:rPr>
        <w:t>Building an Aboriginal and Torres Strait Islander health workforce</w:t>
      </w:r>
      <w:bookmarkEnd w:id="31"/>
    </w:p>
    <w:p w14:paraId="48FFAD9F" w14:textId="312A3805" w:rsidR="00861615" w:rsidRDefault="00814869" w:rsidP="006220E0">
      <w:pPr>
        <w:spacing w:before="240" w:after="240"/>
        <w:rPr>
          <w:rFonts w:cs="Calibri"/>
          <w:lang w:val="en-AU"/>
        </w:rPr>
      </w:pPr>
      <w:r w:rsidRPr="006A24D8">
        <w:rPr>
          <w:rFonts w:cs="Calibri"/>
          <w:lang w:val="en-AU"/>
        </w:rPr>
        <w:t>Equally critical to the above is the training of an Aboriginal and Torres Strait Islander health workforce, and support for the Aboriginal and Torres Strait Islander professional bodies. These bodies are working hard to increase the number of health professionals in the various health pro</w:t>
      </w:r>
      <w:r w:rsidR="007A7BC4">
        <w:rPr>
          <w:rFonts w:cs="Calibri"/>
          <w:lang w:val="en-AU"/>
        </w:rPr>
        <w:t>fessions to achieve employment/</w:t>
      </w:r>
      <w:r w:rsidRPr="006A24D8">
        <w:rPr>
          <w:rFonts w:cs="Calibri"/>
          <w:lang w:val="en-AU"/>
        </w:rPr>
        <w:t>population</w:t>
      </w:r>
      <w:r w:rsidR="007A7BC4">
        <w:rPr>
          <w:rFonts w:cs="Calibri"/>
          <w:lang w:val="en-AU"/>
        </w:rPr>
        <w:t xml:space="preserve"> parity within them. </w:t>
      </w:r>
      <w:r w:rsidRPr="006A24D8">
        <w:rPr>
          <w:rFonts w:cs="Calibri"/>
          <w:lang w:val="en-AU"/>
        </w:rPr>
        <w:t xml:space="preserve"> </w:t>
      </w:r>
    </w:p>
    <w:p w14:paraId="1961DBD4" w14:textId="6FFF1FC8" w:rsidR="00350A53" w:rsidRDefault="00861615" w:rsidP="006220E0">
      <w:pPr>
        <w:spacing w:before="240" w:after="240"/>
        <w:rPr>
          <w:rFonts w:cs="Calibri"/>
          <w:lang w:val="en-AU"/>
        </w:rPr>
      </w:pPr>
      <w:r w:rsidRPr="00861615">
        <w:rPr>
          <w:rFonts w:cs="Calibri"/>
          <w:lang w:val="en-AU"/>
        </w:rPr>
        <w:t>Such a workforce will also assist to shape a culturally safe, high quality health care system that is capable of supporting real improvements in Aboriginal and Torres Strait Islander health outcomes. Further, the health sector as the largest employer of Aboriginal and Torres Strait Islander people provides an exemplar for creating sustainable jobs and career pathways. Investing in the Aboriginal and Torres Strait Islander health workforce</w:t>
      </w:r>
      <w:r w:rsidR="00C8393D">
        <w:rPr>
          <w:rFonts w:cs="Calibri"/>
          <w:lang w:val="en-AU"/>
        </w:rPr>
        <w:t>,</w:t>
      </w:r>
      <w:r w:rsidRPr="00861615">
        <w:rPr>
          <w:rFonts w:cs="Calibri"/>
          <w:lang w:val="en-AU"/>
        </w:rPr>
        <w:t xml:space="preserve"> including professional bodies</w:t>
      </w:r>
      <w:r w:rsidR="00C8393D">
        <w:rPr>
          <w:rFonts w:cs="Calibri"/>
          <w:lang w:val="en-AU"/>
        </w:rPr>
        <w:t>,</w:t>
      </w:r>
      <w:r w:rsidRPr="00861615">
        <w:rPr>
          <w:rFonts w:cs="Calibri"/>
          <w:lang w:val="en-AU"/>
        </w:rPr>
        <w:t xml:space="preserve"> has a multiplier effect, of improved health and employment outcomes and their associated benefits. </w:t>
      </w:r>
    </w:p>
    <w:p w14:paraId="244BDAE1" w14:textId="1F1C0CB9" w:rsidR="00B37FB4" w:rsidRPr="006A24D8" w:rsidRDefault="00B37FB4" w:rsidP="006220E0">
      <w:pPr>
        <w:spacing w:before="240" w:after="240"/>
        <w:rPr>
          <w:rFonts w:cs="Calibri"/>
          <w:lang w:val="en-AU"/>
        </w:rPr>
      </w:pPr>
      <w:r>
        <w:rPr>
          <w:rFonts w:cs="Calibri"/>
          <w:lang w:val="en-AU"/>
        </w:rPr>
        <w:t>The text box below provides an example of these program</w:t>
      </w:r>
      <w:r w:rsidR="00EB1FA3">
        <w:rPr>
          <w:rFonts w:cs="Calibri"/>
          <w:lang w:val="en-AU"/>
        </w:rPr>
        <w:t>me</w:t>
      </w:r>
      <w:r>
        <w:rPr>
          <w:rFonts w:cs="Calibri"/>
          <w:lang w:val="en-AU"/>
        </w:rPr>
        <w:t xml:space="preserve">s, and in particular, the benefits of investing in Aboriginal and Torres Strait Islander </w:t>
      </w:r>
      <w:r w:rsidR="00176BB4">
        <w:rPr>
          <w:rFonts w:cs="Calibri"/>
          <w:lang w:val="en-AU"/>
        </w:rPr>
        <w:t>youth</w:t>
      </w:r>
      <w:r>
        <w:rPr>
          <w:rFonts w:cs="Calibri"/>
          <w:lang w:val="en-AU"/>
        </w:rPr>
        <w:t xml:space="preserve">. </w:t>
      </w:r>
    </w:p>
    <w:tbl>
      <w:tblPr>
        <w:tblStyle w:val="TableGrid"/>
        <w:tblW w:w="0" w:type="auto"/>
        <w:tblLook w:val="04A0" w:firstRow="1" w:lastRow="0" w:firstColumn="1" w:lastColumn="0" w:noHBand="0" w:noVBand="1"/>
      </w:tblPr>
      <w:tblGrid>
        <w:gridCol w:w="9286"/>
      </w:tblGrid>
      <w:tr w:rsidR="00814869" w:rsidRPr="006A24D8" w14:paraId="2DE92D73" w14:textId="77777777" w:rsidTr="006220E0">
        <w:tc>
          <w:tcPr>
            <w:tcW w:w="9286" w:type="dxa"/>
            <w:shd w:val="clear" w:color="auto" w:fill="DBE5F1" w:themeFill="accent1" w:themeFillTint="33"/>
          </w:tcPr>
          <w:p w14:paraId="275986D9" w14:textId="66E091D3" w:rsidR="00814869" w:rsidRPr="00987C86" w:rsidRDefault="00E4271D" w:rsidP="00E4271D">
            <w:pPr>
              <w:pStyle w:val="Default"/>
              <w:spacing w:before="240"/>
              <w:rPr>
                <w:rFonts w:ascii="Calibri" w:hAnsi="Calibri" w:cs="Calibri"/>
                <w:b/>
                <w:sz w:val="22"/>
                <w:szCs w:val="22"/>
                <w:lang w:eastAsia="en-US"/>
              </w:rPr>
            </w:pPr>
            <w:r w:rsidRPr="00E4271D">
              <w:rPr>
                <w:rFonts w:ascii="Calibri" w:hAnsi="Calibri" w:cs="Calibri"/>
                <w:b/>
                <w:sz w:val="22"/>
                <w:szCs w:val="22"/>
                <w:lang w:eastAsia="en-US"/>
              </w:rPr>
              <w:t>Text Box</w:t>
            </w:r>
            <w:r w:rsidR="00814869" w:rsidRPr="00E4271D">
              <w:rPr>
                <w:rFonts w:ascii="Calibri" w:hAnsi="Calibri" w:cs="Calibri"/>
                <w:b/>
                <w:sz w:val="22"/>
                <w:szCs w:val="22"/>
                <w:lang w:eastAsia="en-US"/>
              </w:rPr>
              <w:t>:</w:t>
            </w:r>
            <w:r w:rsidR="00814869" w:rsidRPr="00987C86">
              <w:rPr>
                <w:rFonts w:ascii="Calibri" w:hAnsi="Calibri" w:cs="Calibri"/>
                <w:b/>
                <w:sz w:val="22"/>
                <w:szCs w:val="22"/>
                <w:lang w:eastAsia="en-US"/>
              </w:rPr>
              <w:t xml:space="preserve"> </w:t>
            </w:r>
            <w:proofErr w:type="spellStart"/>
            <w:r w:rsidR="00814869" w:rsidRPr="00987C86">
              <w:rPr>
                <w:rFonts w:ascii="Calibri" w:hAnsi="Calibri" w:cs="Calibri"/>
                <w:b/>
                <w:sz w:val="22"/>
                <w:szCs w:val="22"/>
                <w:lang w:eastAsia="en-US"/>
              </w:rPr>
              <w:t>Murra</w:t>
            </w:r>
            <w:proofErr w:type="spellEnd"/>
            <w:r w:rsidR="00814869" w:rsidRPr="00987C86">
              <w:rPr>
                <w:rFonts w:ascii="Calibri" w:hAnsi="Calibri" w:cs="Calibri"/>
                <w:b/>
                <w:sz w:val="22"/>
                <w:szCs w:val="22"/>
                <w:lang w:eastAsia="en-US"/>
              </w:rPr>
              <w:t xml:space="preserve"> </w:t>
            </w:r>
            <w:proofErr w:type="spellStart"/>
            <w:r w:rsidR="00814869" w:rsidRPr="00987C86">
              <w:rPr>
                <w:rFonts w:ascii="Calibri" w:hAnsi="Calibri" w:cs="Calibri"/>
                <w:b/>
                <w:sz w:val="22"/>
                <w:szCs w:val="22"/>
                <w:lang w:eastAsia="en-US"/>
              </w:rPr>
              <w:t>Mullangari</w:t>
            </w:r>
            <w:proofErr w:type="spellEnd"/>
            <w:r w:rsidR="00814869" w:rsidRPr="00987C86">
              <w:rPr>
                <w:rFonts w:ascii="Calibri" w:hAnsi="Calibri" w:cs="Calibri"/>
                <w:b/>
                <w:sz w:val="22"/>
                <w:szCs w:val="22"/>
                <w:lang w:eastAsia="en-US"/>
              </w:rPr>
              <w:t xml:space="preserve"> – Pathways Alive and Well</w:t>
            </w:r>
            <w:r w:rsidR="00B37FB4">
              <w:rPr>
                <w:rStyle w:val="EndnoteReference"/>
                <w:rFonts w:cs="Calibri"/>
                <w:b/>
                <w:szCs w:val="22"/>
                <w:lang w:eastAsia="en-US"/>
              </w:rPr>
              <w:endnoteReference w:id="203"/>
            </w:r>
          </w:p>
          <w:p w14:paraId="309701CF" w14:textId="0EA5E2BB" w:rsidR="00814869" w:rsidRPr="00987C86" w:rsidRDefault="00814869" w:rsidP="00E4271D">
            <w:pPr>
              <w:widowControl w:val="0"/>
              <w:autoSpaceDE w:val="0"/>
              <w:autoSpaceDN w:val="0"/>
              <w:adjustRightInd w:val="0"/>
              <w:spacing w:before="240"/>
              <w:rPr>
                <w:rFonts w:eastAsia="Times New Roman" w:cs="Calibri"/>
                <w:color w:val="000000"/>
                <w:lang w:val="en-AU"/>
              </w:rPr>
            </w:pPr>
            <w:r w:rsidRPr="00987C86">
              <w:rPr>
                <w:rFonts w:eastAsia="Times New Roman" w:cs="Calibri"/>
                <w:color w:val="000000"/>
                <w:lang w:val="en-AU"/>
              </w:rPr>
              <w:t xml:space="preserve">In 2013, the Australian Indigenous Doctors’ Association (AIDA) </w:t>
            </w:r>
            <w:proofErr w:type="spellStart"/>
            <w:r w:rsidRPr="00987C86">
              <w:rPr>
                <w:rFonts w:eastAsia="Times New Roman" w:cs="Calibri"/>
                <w:color w:val="000000"/>
                <w:lang w:val="en-AU"/>
              </w:rPr>
              <w:t>auspiced</w:t>
            </w:r>
            <w:proofErr w:type="spellEnd"/>
            <w:r w:rsidRPr="00987C86">
              <w:rPr>
                <w:rFonts w:eastAsia="Times New Roman" w:cs="Calibri"/>
                <w:color w:val="000000"/>
                <w:lang w:val="en-AU"/>
              </w:rPr>
              <w:t xml:space="preserve"> the inaugural </w:t>
            </w:r>
            <w:proofErr w:type="spellStart"/>
            <w:r w:rsidRPr="00987C86">
              <w:rPr>
                <w:rFonts w:eastAsia="Times New Roman" w:cs="Calibri"/>
                <w:i/>
                <w:iCs/>
                <w:color w:val="000000"/>
                <w:lang w:val="en-AU"/>
              </w:rPr>
              <w:t>Murra</w:t>
            </w:r>
            <w:proofErr w:type="spellEnd"/>
            <w:r w:rsidRPr="00987C86">
              <w:rPr>
                <w:rFonts w:eastAsia="Times New Roman" w:cs="Calibri"/>
                <w:i/>
                <w:iCs/>
                <w:color w:val="000000"/>
                <w:lang w:val="en-AU"/>
              </w:rPr>
              <w:t xml:space="preserve"> </w:t>
            </w:r>
            <w:proofErr w:type="spellStart"/>
            <w:r w:rsidRPr="00987C86">
              <w:rPr>
                <w:rFonts w:eastAsia="Times New Roman" w:cs="Calibri"/>
                <w:i/>
                <w:iCs/>
                <w:color w:val="000000"/>
                <w:lang w:val="en-AU"/>
              </w:rPr>
              <w:t>Mullangari</w:t>
            </w:r>
            <w:proofErr w:type="spellEnd"/>
            <w:r w:rsidRPr="00987C86">
              <w:rPr>
                <w:rFonts w:eastAsia="Times New Roman" w:cs="Calibri"/>
                <w:i/>
                <w:iCs/>
                <w:color w:val="000000"/>
                <w:lang w:val="en-AU"/>
              </w:rPr>
              <w:t xml:space="preserve"> – Pathways Alive and Well </w:t>
            </w:r>
            <w:r w:rsidRPr="00987C86">
              <w:rPr>
                <w:rFonts w:eastAsia="Times New Roman" w:cs="Calibri"/>
                <w:color w:val="000000"/>
                <w:lang w:val="en-AU"/>
              </w:rPr>
              <w:t>program</w:t>
            </w:r>
            <w:r w:rsidR="00EB1FA3">
              <w:rPr>
                <w:rFonts w:eastAsia="Times New Roman" w:cs="Calibri"/>
                <w:color w:val="000000"/>
                <w:lang w:val="en-AU"/>
              </w:rPr>
              <w:t>me</w:t>
            </w:r>
            <w:r w:rsidRPr="00987C86">
              <w:rPr>
                <w:rFonts w:eastAsia="Times New Roman" w:cs="Calibri"/>
                <w:color w:val="000000"/>
                <w:lang w:val="en-AU"/>
              </w:rPr>
              <w:t>. This national Aboriginal and Torres Strait Islander health careers program</w:t>
            </w:r>
            <w:r w:rsidR="00EB1FA3">
              <w:rPr>
                <w:rFonts w:eastAsia="Times New Roman" w:cs="Calibri"/>
                <w:color w:val="000000"/>
                <w:lang w:val="en-AU"/>
              </w:rPr>
              <w:t>me</w:t>
            </w:r>
            <w:r w:rsidRPr="00987C86">
              <w:rPr>
                <w:rFonts w:eastAsia="Times New Roman" w:cs="Calibri"/>
                <w:color w:val="000000"/>
                <w:lang w:val="en-AU"/>
              </w:rPr>
              <w:t xml:space="preserve"> was held in partnership with the following peer Indigenous peak health organisations: Indigenous Allied Health Australia; Congress of Aboriginal and Torres Strait Islander Nurses and Midwives; National Aboriginal Community Controlled Health Organisation; Australian Indigenous Psychologists Association; Indigenous Dentists’ Association of Australia; and National Aboriginal and Torres Strait Islander Health Workers’ Association. </w:t>
            </w:r>
          </w:p>
          <w:p w14:paraId="2C2D26E9" w14:textId="0CF7E865" w:rsidR="00814869" w:rsidRPr="00987C86" w:rsidRDefault="00814869" w:rsidP="00256176">
            <w:pPr>
              <w:widowControl w:val="0"/>
              <w:autoSpaceDE w:val="0"/>
              <w:autoSpaceDN w:val="0"/>
              <w:adjustRightInd w:val="0"/>
              <w:spacing w:after="0"/>
              <w:rPr>
                <w:rFonts w:eastAsia="Times New Roman" w:cs="Calibri"/>
                <w:color w:val="000000"/>
                <w:lang w:val="en-AU"/>
              </w:rPr>
            </w:pPr>
            <w:r w:rsidRPr="00987C86">
              <w:rPr>
                <w:rFonts w:eastAsia="Times New Roman" w:cs="Calibri"/>
                <w:color w:val="000000"/>
                <w:lang w:val="en-AU"/>
              </w:rPr>
              <w:t>Thirty students from years 10, 11 and 12 participated in the program</w:t>
            </w:r>
            <w:r w:rsidR="00EB1FA3">
              <w:rPr>
                <w:rFonts w:eastAsia="Times New Roman" w:cs="Calibri"/>
                <w:color w:val="000000"/>
                <w:lang w:val="en-AU"/>
              </w:rPr>
              <w:t>me</w:t>
            </w:r>
            <w:r w:rsidRPr="00987C86">
              <w:rPr>
                <w:rFonts w:eastAsia="Times New Roman" w:cs="Calibri"/>
                <w:color w:val="000000"/>
                <w:lang w:val="en-AU"/>
              </w:rPr>
              <w:t xml:space="preserve"> which aimed to: </w:t>
            </w:r>
          </w:p>
          <w:p w14:paraId="5B3A81C6" w14:textId="77777777" w:rsidR="00814869" w:rsidRPr="00987C86" w:rsidRDefault="00814869" w:rsidP="00644563">
            <w:pPr>
              <w:pStyle w:val="ListParagraph"/>
              <w:widowControl w:val="0"/>
              <w:numPr>
                <w:ilvl w:val="0"/>
                <w:numId w:val="34"/>
              </w:numPr>
              <w:autoSpaceDE w:val="0"/>
              <w:autoSpaceDN w:val="0"/>
              <w:adjustRightInd w:val="0"/>
              <w:spacing w:before="120" w:after="120"/>
              <w:ind w:left="357" w:hanging="357"/>
              <w:contextualSpacing w:val="0"/>
              <w:rPr>
                <w:rFonts w:eastAsia="Times New Roman" w:cs="Calibri"/>
                <w:color w:val="000000"/>
                <w:lang w:val="en-AU"/>
              </w:rPr>
            </w:pPr>
            <w:r w:rsidRPr="00987C86">
              <w:rPr>
                <w:rFonts w:eastAsia="Times New Roman" w:cs="Calibri"/>
                <w:color w:val="000000"/>
                <w:lang w:val="en-AU"/>
              </w:rPr>
              <w:t xml:space="preserve">increase knowledge of health careers; </w:t>
            </w:r>
          </w:p>
          <w:p w14:paraId="6E916D8E" w14:textId="77777777" w:rsidR="00814869" w:rsidRPr="00987C86" w:rsidRDefault="00814869" w:rsidP="00644563">
            <w:pPr>
              <w:pStyle w:val="ListParagraph"/>
              <w:widowControl w:val="0"/>
              <w:numPr>
                <w:ilvl w:val="0"/>
                <w:numId w:val="34"/>
              </w:numPr>
              <w:autoSpaceDE w:val="0"/>
              <w:autoSpaceDN w:val="0"/>
              <w:adjustRightInd w:val="0"/>
              <w:spacing w:before="120" w:after="120"/>
              <w:ind w:left="357" w:hanging="357"/>
              <w:contextualSpacing w:val="0"/>
              <w:rPr>
                <w:rFonts w:eastAsia="Times New Roman" w:cs="Calibri"/>
                <w:color w:val="000000"/>
                <w:lang w:val="en-AU"/>
              </w:rPr>
            </w:pPr>
            <w:r w:rsidRPr="00987C86">
              <w:rPr>
                <w:rFonts w:eastAsia="Times New Roman" w:cs="Calibri"/>
                <w:color w:val="000000"/>
                <w:lang w:val="en-AU"/>
              </w:rPr>
              <w:t xml:space="preserve">increase knowledge of pathways into tertiary study; and </w:t>
            </w:r>
          </w:p>
          <w:p w14:paraId="5C24DE9D" w14:textId="77777777" w:rsidR="00814869" w:rsidRPr="00987C86" w:rsidRDefault="00814869" w:rsidP="00644563">
            <w:pPr>
              <w:pStyle w:val="ListParagraph"/>
              <w:widowControl w:val="0"/>
              <w:numPr>
                <w:ilvl w:val="0"/>
                <w:numId w:val="34"/>
              </w:numPr>
              <w:autoSpaceDE w:val="0"/>
              <w:autoSpaceDN w:val="0"/>
              <w:adjustRightInd w:val="0"/>
              <w:spacing w:before="120" w:after="120"/>
              <w:ind w:left="357" w:hanging="357"/>
              <w:contextualSpacing w:val="0"/>
              <w:rPr>
                <w:rFonts w:eastAsia="Times New Roman" w:cs="Calibri"/>
                <w:color w:val="000000"/>
                <w:lang w:val="en-AU"/>
              </w:rPr>
            </w:pPr>
            <w:proofErr w:type="gramStart"/>
            <w:r w:rsidRPr="00987C86">
              <w:rPr>
                <w:rFonts w:eastAsia="Times New Roman" w:cs="Calibri"/>
                <w:color w:val="000000"/>
                <w:lang w:val="en-AU"/>
              </w:rPr>
              <w:t>build</w:t>
            </w:r>
            <w:proofErr w:type="gramEnd"/>
            <w:r w:rsidRPr="00987C86">
              <w:rPr>
                <w:rFonts w:eastAsia="Times New Roman" w:cs="Calibri"/>
                <w:color w:val="000000"/>
                <w:lang w:val="en-AU"/>
              </w:rPr>
              <w:t xml:space="preserve"> the aspiration and confidence of Aboriginal and Torres Strait Islander students to stay in the education pipeline and achieve a career within the health profession.</w:t>
            </w:r>
          </w:p>
          <w:p w14:paraId="0D7D1AF5" w14:textId="6C0E089E" w:rsidR="00814869" w:rsidRPr="00987C86" w:rsidRDefault="00814869" w:rsidP="00E4271D">
            <w:pPr>
              <w:widowControl w:val="0"/>
              <w:autoSpaceDE w:val="0"/>
              <w:autoSpaceDN w:val="0"/>
              <w:adjustRightInd w:val="0"/>
              <w:spacing w:before="240"/>
              <w:rPr>
                <w:rFonts w:eastAsia="Times New Roman" w:cs="Calibri"/>
                <w:color w:val="000000"/>
                <w:lang w:val="en-AU"/>
              </w:rPr>
            </w:pPr>
            <w:r w:rsidRPr="00987C86">
              <w:rPr>
                <w:rFonts w:eastAsia="Times New Roman" w:cs="Calibri"/>
                <w:color w:val="000000"/>
                <w:lang w:val="en-AU"/>
              </w:rPr>
              <w:lastRenderedPageBreak/>
              <w:t>With funding from the (then)</w:t>
            </w:r>
            <w:r w:rsidR="00122ED1" w:rsidRPr="00987C86">
              <w:rPr>
                <w:rFonts w:eastAsia="Times New Roman" w:cs="Calibri"/>
                <w:color w:val="000000"/>
                <w:lang w:val="en-AU"/>
              </w:rPr>
              <w:t xml:space="preserve"> Commonwealth</w:t>
            </w:r>
            <w:r w:rsidRPr="00987C86">
              <w:rPr>
                <w:rFonts w:eastAsia="Times New Roman" w:cs="Calibri"/>
                <w:color w:val="000000"/>
                <w:lang w:val="en-AU"/>
              </w:rPr>
              <w:t xml:space="preserve"> Department of Education, Employment and Workplace Relations, the program</w:t>
            </w:r>
            <w:r w:rsidR="00EB1FA3">
              <w:rPr>
                <w:rFonts w:eastAsia="Times New Roman" w:cs="Calibri"/>
                <w:color w:val="000000"/>
                <w:lang w:val="en-AU"/>
              </w:rPr>
              <w:t>me</w:t>
            </w:r>
            <w:r w:rsidRPr="00987C86">
              <w:rPr>
                <w:rFonts w:eastAsia="Times New Roman" w:cs="Calibri"/>
                <w:color w:val="000000"/>
                <w:lang w:val="en-AU"/>
              </w:rPr>
              <w:t xml:space="preserve"> was delivered in two components over a period of six months. The first component, a one-week residential workshop in Canberra, provided students with: information about pathways into vocational and higher education; knowledge of a broad range of health professions; the opportunity to network with Indigenous health professionals and leaders; and exposure to a range of national institutions. The second component, mentoring, allowed program</w:t>
            </w:r>
            <w:r w:rsidR="00EB1FA3">
              <w:rPr>
                <w:rFonts w:eastAsia="Times New Roman" w:cs="Calibri"/>
                <w:color w:val="000000"/>
                <w:lang w:val="en-AU"/>
              </w:rPr>
              <w:t>me</w:t>
            </w:r>
            <w:r w:rsidRPr="00987C86">
              <w:rPr>
                <w:rFonts w:eastAsia="Times New Roman" w:cs="Calibri"/>
                <w:color w:val="000000"/>
                <w:lang w:val="en-AU"/>
              </w:rPr>
              <w:t xml:space="preserve"> participants to build upon the experiences gained during the residential workshop by connecting the participant with an Indigenous mentor within their desired career. </w:t>
            </w:r>
          </w:p>
          <w:p w14:paraId="137FEE64" w14:textId="716D7860" w:rsidR="00814869" w:rsidRPr="00987C86" w:rsidRDefault="00814869" w:rsidP="00E4271D">
            <w:pPr>
              <w:spacing w:before="240"/>
              <w:rPr>
                <w:rFonts w:asciiTheme="majorHAnsi" w:hAnsiTheme="majorHAnsi"/>
                <w:lang w:val="en-AU"/>
              </w:rPr>
            </w:pPr>
            <w:r w:rsidRPr="00987C86">
              <w:rPr>
                <w:rFonts w:eastAsia="Times New Roman" w:cs="Calibri"/>
                <w:color w:val="000000"/>
                <w:lang w:val="en-AU"/>
              </w:rPr>
              <w:t xml:space="preserve">An in-depth evaluation process of the </w:t>
            </w:r>
            <w:proofErr w:type="spellStart"/>
            <w:r w:rsidRPr="00987C86">
              <w:rPr>
                <w:rFonts w:eastAsia="Times New Roman" w:cs="Calibri"/>
                <w:i/>
                <w:iCs/>
                <w:color w:val="000000"/>
                <w:lang w:val="en-AU"/>
              </w:rPr>
              <w:t>Murra</w:t>
            </w:r>
            <w:proofErr w:type="spellEnd"/>
            <w:r w:rsidRPr="00987C86">
              <w:rPr>
                <w:rFonts w:eastAsia="Times New Roman" w:cs="Calibri"/>
                <w:i/>
                <w:iCs/>
                <w:color w:val="000000"/>
                <w:lang w:val="en-AU"/>
              </w:rPr>
              <w:t xml:space="preserve"> </w:t>
            </w:r>
            <w:proofErr w:type="spellStart"/>
            <w:r w:rsidRPr="00987C86">
              <w:rPr>
                <w:rFonts w:eastAsia="Times New Roman" w:cs="Calibri"/>
                <w:i/>
                <w:iCs/>
                <w:color w:val="000000"/>
                <w:lang w:val="en-AU"/>
              </w:rPr>
              <w:t>Mullangari</w:t>
            </w:r>
            <w:proofErr w:type="spellEnd"/>
            <w:r w:rsidRPr="00987C86">
              <w:rPr>
                <w:rFonts w:eastAsia="Times New Roman" w:cs="Calibri"/>
                <w:i/>
                <w:iCs/>
                <w:color w:val="000000"/>
                <w:lang w:val="en-AU"/>
              </w:rPr>
              <w:t xml:space="preserve"> – Pathways Alive and Well </w:t>
            </w:r>
            <w:r w:rsidRPr="00987C86">
              <w:rPr>
                <w:rFonts w:eastAsia="Times New Roman" w:cs="Calibri"/>
                <w:color w:val="000000"/>
                <w:lang w:val="en-AU"/>
              </w:rPr>
              <w:t>program</w:t>
            </w:r>
            <w:r w:rsidR="00B37FB4">
              <w:rPr>
                <w:rFonts w:eastAsia="Times New Roman" w:cs="Calibri"/>
                <w:color w:val="000000"/>
                <w:lang w:val="en-AU"/>
              </w:rPr>
              <w:t>me</w:t>
            </w:r>
            <w:r w:rsidRPr="00987C86">
              <w:rPr>
                <w:rFonts w:eastAsia="Times New Roman" w:cs="Calibri"/>
                <w:color w:val="000000"/>
                <w:lang w:val="en-AU"/>
              </w:rPr>
              <w:t xml:space="preserve"> demonstrates that the program</w:t>
            </w:r>
            <w:r w:rsidR="00E4271D">
              <w:rPr>
                <w:rFonts w:eastAsia="Times New Roman" w:cs="Calibri"/>
                <w:color w:val="000000"/>
                <w:lang w:val="en-AU"/>
              </w:rPr>
              <w:t>me</w:t>
            </w:r>
            <w:r w:rsidRPr="00987C86">
              <w:rPr>
                <w:rFonts w:eastAsia="Times New Roman" w:cs="Calibri"/>
                <w:color w:val="000000"/>
                <w:lang w:val="en-AU"/>
              </w:rPr>
              <w:t xml:space="preserve"> achieved its aims and objectives. Program</w:t>
            </w:r>
            <w:r w:rsidR="00E4271D">
              <w:rPr>
                <w:rFonts w:eastAsia="Times New Roman" w:cs="Calibri"/>
                <w:color w:val="000000"/>
                <w:lang w:val="en-AU"/>
              </w:rPr>
              <w:t>me</w:t>
            </w:r>
            <w:r w:rsidRPr="00987C86">
              <w:rPr>
                <w:rFonts w:eastAsia="Times New Roman" w:cs="Calibri"/>
                <w:color w:val="000000"/>
                <w:lang w:val="en-AU"/>
              </w:rPr>
              <w:t xml:space="preserve"> participants reported an increase in their knowledge of the various health careers and pathways into university study and vocational education and training. They also reported an increase in their knowledge of the health issues impacting on Indigenous people. Students advised that the program</w:t>
            </w:r>
            <w:r w:rsidR="00E4271D">
              <w:rPr>
                <w:rFonts w:eastAsia="Times New Roman" w:cs="Calibri"/>
                <w:color w:val="000000"/>
                <w:lang w:val="en-AU"/>
              </w:rPr>
              <w:t>me</w:t>
            </w:r>
            <w:r w:rsidRPr="00987C86">
              <w:rPr>
                <w:rFonts w:eastAsia="Times New Roman" w:cs="Calibri"/>
                <w:color w:val="000000"/>
                <w:lang w:val="en-AU"/>
              </w:rPr>
              <w:t xml:space="preserve"> built their confidence and aspirations toward achieving a career within the health profession. Four program</w:t>
            </w:r>
            <w:r w:rsidR="00E4271D">
              <w:rPr>
                <w:rFonts w:eastAsia="Times New Roman" w:cs="Calibri"/>
                <w:color w:val="000000"/>
                <w:lang w:val="en-AU"/>
              </w:rPr>
              <w:t>me</w:t>
            </w:r>
            <w:r w:rsidRPr="00987C86">
              <w:rPr>
                <w:rFonts w:eastAsia="Times New Roman" w:cs="Calibri"/>
                <w:color w:val="000000"/>
                <w:lang w:val="en-AU"/>
              </w:rPr>
              <w:t xml:space="preserve"> participants who completed their schooling in 2013 have commenced tertiary studies in health disciplines since the completion of the program</w:t>
            </w:r>
            <w:r w:rsidR="00EB1FA3">
              <w:rPr>
                <w:rFonts w:eastAsia="Times New Roman" w:cs="Calibri"/>
                <w:color w:val="000000"/>
                <w:lang w:val="en-AU"/>
              </w:rPr>
              <w:t>me</w:t>
            </w:r>
            <w:r w:rsidRPr="00987C86">
              <w:rPr>
                <w:rFonts w:eastAsia="Times New Roman" w:cs="Calibri"/>
                <w:color w:val="000000"/>
                <w:lang w:val="en-AU"/>
              </w:rPr>
              <w:t>.</w:t>
            </w:r>
          </w:p>
        </w:tc>
      </w:tr>
    </w:tbl>
    <w:p w14:paraId="65815451" w14:textId="6C08F7AD" w:rsidR="00814869" w:rsidRPr="00987C86" w:rsidRDefault="00814869" w:rsidP="00CF37A1">
      <w:pPr>
        <w:pStyle w:val="Heading2"/>
        <w:rPr>
          <w:lang w:val="en-AU"/>
        </w:rPr>
      </w:pPr>
      <w:bookmarkStart w:id="32" w:name="_Toc409788737"/>
      <w:r w:rsidRPr="00987C86">
        <w:rPr>
          <w:lang w:val="en-AU"/>
        </w:rPr>
        <w:lastRenderedPageBreak/>
        <w:t xml:space="preserve">Addressing mental health </w:t>
      </w:r>
      <w:r w:rsidR="00A75DB0">
        <w:rPr>
          <w:lang w:val="en-AU"/>
        </w:rPr>
        <w:t xml:space="preserve">and suicide prevention </w:t>
      </w:r>
      <w:r w:rsidRPr="00987C86">
        <w:rPr>
          <w:lang w:val="en-AU"/>
        </w:rPr>
        <w:t>as a new priority focus</w:t>
      </w:r>
      <w:bookmarkEnd w:id="32"/>
      <w:r w:rsidRPr="00987C86">
        <w:rPr>
          <w:lang w:val="en-AU"/>
        </w:rPr>
        <w:t xml:space="preserve"> </w:t>
      </w:r>
    </w:p>
    <w:p w14:paraId="2D8C8277" w14:textId="2973236F" w:rsidR="00814869" w:rsidRPr="00987C86" w:rsidRDefault="00814869" w:rsidP="00CF37A1">
      <w:pPr>
        <w:spacing w:before="240" w:after="240"/>
        <w:rPr>
          <w:lang w:val="en-AU"/>
        </w:rPr>
      </w:pPr>
      <w:r w:rsidRPr="00987C86">
        <w:rPr>
          <w:lang w:val="en-AU"/>
        </w:rPr>
        <w:t>There is an entrenched mental health crisis among Aboriginal and Torres Strait Islander peoples that must be addressed. Mental health problems</w:t>
      </w:r>
      <w:r w:rsidR="00C47575" w:rsidRPr="00987C86">
        <w:rPr>
          <w:lang w:val="en-AU"/>
        </w:rPr>
        <w:t>, including self-harm</w:t>
      </w:r>
      <w:r w:rsidRPr="00987C86">
        <w:rPr>
          <w:lang w:val="en-AU"/>
        </w:rPr>
        <w:t xml:space="preserve"> and suicide</w:t>
      </w:r>
      <w:r w:rsidR="00EB2441">
        <w:rPr>
          <w:lang w:val="en-AU"/>
        </w:rPr>
        <w:t>,</w:t>
      </w:r>
      <w:r w:rsidRPr="00987C86">
        <w:rPr>
          <w:lang w:val="en-AU"/>
        </w:rPr>
        <w:t xml:space="preserve"> have been reported at double the rate of that of non-Indigenous people for at least a decade. Recent data suggests the situation is getting worse</w:t>
      </w:r>
      <w:r w:rsidR="00861615">
        <w:rPr>
          <w:lang w:val="en-AU"/>
        </w:rPr>
        <w:t>,</w:t>
      </w:r>
      <w:r w:rsidRPr="00987C86">
        <w:rPr>
          <w:lang w:val="en-AU"/>
        </w:rPr>
        <w:t xml:space="preserve"> as set out in </w:t>
      </w:r>
      <w:r w:rsidR="00E4271D">
        <w:rPr>
          <w:lang w:val="en-AU"/>
        </w:rPr>
        <w:t>the text box below</w:t>
      </w:r>
      <w:r w:rsidRPr="00987C86">
        <w:rPr>
          <w:lang w:val="en-AU"/>
        </w:rPr>
        <w:t>.</w:t>
      </w:r>
    </w:p>
    <w:tbl>
      <w:tblPr>
        <w:tblStyle w:val="TableGrid"/>
        <w:tblW w:w="0" w:type="auto"/>
        <w:tblLook w:val="04A0" w:firstRow="1" w:lastRow="0" w:firstColumn="1" w:lastColumn="0" w:noHBand="0" w:noVBand="1"/>
      </w:tblPr>
      <w:tblGrid>
        <w:gridCol w:w="9286"/>
      </w:tblGrid>
      <w:tr w:rsidR="00814869" w:rsidRPr="006A24D8" w14:paraId="616F17B4" w14:textId="77777777" w:rsidTr="00F55BFC">
        <w:tc>
          <w:tcPr>
            <w:tcW w:w="9286" w:type="dxa"/>
            <w:shd w:val="clear" w:color="auto" w:fill="DBE5F1" w:themeFill="accent1" w:themeFillTint="33"/>
          </w:tcPr>
          <w:p w14:paraId="0275DD4F" w14:textId="77777777" w:rsidR="00814869" w:rsidRPr="00987C86" w:rsidRDefault="00E4271D" w:rsidP="00CF37A1">
            <w:pPr>
              <w:spacing w:before="120" w:after="120"/>
              <w:rPr>
                <w:b/>
                <w:lang w:val="en-AU"/>
              </w:rPr>
            </w:pPr>
            <w:r w:rsidRPr="00E4271D">
              <w:rPr>
                <w:b/>
                <w:lang w:val="en-AU"/>
              </w:rPr>
              <w:t>Text Box</w:t>
            </w:r>
            <w:r w:rsidR="00814869" w:rsidRPr="00E4271D">
              <w:rPr>
                <w:b/>
                <w:lang w:val="en-AU"/>
              </w:rPr>
              <w:t>: The</w:t>
            </w:r>
            <w:r w:rsidR="00814869" w:rsidRPr="00987C86">
              <w:rPr>
                <w:b/>
                <w:lang w:val="en-AU"/>
              </w:rPr>
              <w:t xml:space="preserve"> Aboriginal and</w:t>
            </w:r>
            <w:r w:rsidR="00011FDF">
              <w:rPr>
                <w:b/>
                <w:lang w:val="en-AU"/>
              </w:rPr>
              <w:t xml:space="preserve"> Torres Strait Islander mental h</w:t>
            </w:r>
            <w:r w:rsidR="00814869" w:rsidRPr="00987C86">
              <w:rPr>
                <w:b/>
                <w:lang w:val="en-AU"/>
              </w:rPr>
              <w:t xml:space="preserve">ealth </w:t>
            </w:r>
            <w:r w:rsidR="00011FDF">
              <w:rPr>
                <w:b/>
                <w:lang w:val="en-AU"/>
              </w:rPr>
              <w:t>g</w:t>
            </w:r>
            <w:r w:rsidR="00814869" w:rsidRPr="00987C86">
              <w:rPr>
                <w:b/>
                <w:lang w:val="en-AU"/>
              </w:rPr>
              <w:t xml:space="preserve">ap </w:t>
            </w:r>
          </w:p>
          <w:p w14:paraId="7EB7DD83" w14:textId="66A0CE68" w:rsidR="00814869" w:rsidRPr="00987C86" w:rsidRDefault="00814869" w:rsidP="00644563">
            <w:pPr>
              <w:keepNext/>
              <w:keepLines/>
              <w:numPr>
                <w:ilvl w:val="0"/>
                <w:numId w:val="21"/>
              </w:numPr>
              <w:spacing w:before="120" w:after="120"/>
              <w:outlineLvl w:val="6"/>
              <w:rPr>
                <w:lang w:val="en-AU"/>
              </w:rPr>
            </w:pPr>
            <w:r w:rsidRPr="00987C86">
              <w:rPr>
                <w:b/>
                <w:lang w:val="en-AU"/>
              </w:rPr>
              <w:t>Psychological Distress:</w:t>
            </w:r>
            <w:r w:rsidR="00350A53">
              <w:rPr>
                <w:lang w:val="en-AU"/>
              </w:rPr>
              <w:t xml:space="preserve"> In 2012–13, 30 per</w:t>
            </w:r>
            <w:r w:rsidRPr="00987C86">
              <w:rPr>
                <w:lang w:val="en-AU"/>
              </w:rPr>
              <w:t xml:space="preserve">cent of respondents to the </w:t>
            </w:r>
            <w:r w:rsidR="00E4271D" w:rsidRPr="00B918A5">
              <w:rPr>
                <w:rFonts w:asciiTheme="majorHAnsi" w:hAnsiTheme="majorHAnsi"/>
                <w:lang w:val="en-AU"/>
              </w:rPr>
              <w:t>AATSIHS</w:t>
            </w:r>
            <w:r w:rsidRPr="00987C86">
              <w:rPr>
                <w:lang w:val="en-AU"/>
              </w:rPr>
              <w:t xml:space="preserve"> over 18 years of age reported high or very high psychological distress levels in the four weeks before the survey interview.</w:t>
            </w:r>
            <w:r w:rsidRPr="00987C86">
              <w:rPr>
                <w:vertAlign w:val="superscript"/>
                <w:lang w:val="en-AU"/>
              </w:rPr>
              <w:endnoteReference w:id="204"/>
            </w:r>
            <w:r w:rsidRPr="00987C86">
              <w:rPr>
                <w:lang w:val="en-AU"/>
              </w:rPr>
              <w:t xml:space="preserve"> That is nearly three times the non-Indigenous rate.</w:t>
            </w:r>
            <w:r w:rsidRPr="00987C86">
              <w:rPr>
                <w:vertAlign w:val="superscript"/>
                <w:lang w:val="en-AU"/>
              </w:rPr>
              <w:endnoteReference w:id="205"/>
            </w:r>
            <w:r w:rsidRPr="00987C86">
              <w:rPr>
                <w:lang w:val="en-AU"/>
              </w:rPr>
              <w:t xml:space="preserve"> In 2004-05, high and very high psychological distress levels were reported by 27 percent of respondents suggesting an increase in Aboriginal and Torres Strait Islander psychological distress rates over the past decade.</w:t>
            </w:r>
            <w:r w:rsidRPr="00987C86">
              <w:rPr>
                <w:vertAlign w:val="superscript"/>
                <w:lang w:val="en-AU"/>
              </w:rPr>
              <w:endnoteReference w:id="206"/>
            </w:r>
            <w:r w:rsidRPr="00987C86">
              <w:rPr>
                <w:lang w:val="en-AU"/>
              </w:rPr>
              <w:t xml:space="preserve"> </w:t>
            </w:r>
          </w:p>
          <w:p w14:paraId="6EB9E52C" w14:textId="77777777" w:rsidR="00814869" w:rsidRPr="00987C86" w:rsidRDefault="00814869" w:rsidP="00644563">
            <w:pPr>
              <w:keepNext/>
              <w:keepLines/>
              <w:numPr>
                <w:ilvl w:val="0"/>
                <w:numId w:val="20"/>
              </w:numPr>
              <w:spacing w:before="120" w:after="120"/>
              <w:outlineLvl w:val="6"/>
              <w:rPr>
                <w:lang w:val="en-AU"/>
              </w:rPr>
            </w:pPr>
            <w:r w:rsidRPr="00987C86">
              <w:rPr>
                <w:b/>
                <w:lang w:val="en-AU"/>
              </w:rPr>
              <w:t xml:space="preserve">Mental Health Conditions: </w:t>
            </w:r>
            <w:r w:rsidRPr="00987C86">
              <w:rPr>
                <w:lang w:val="en-AU"/>
              </w:rPr>
              <w:t>Over the period July 2008 to June 2010, Aboriginal and Torres Strait Islander males were hospitalised for mental health-related conditions at 2.2 times the rate of non-Indigenous males; and Aboriginal and Torres Strait Islander females at 1.5 times the rate of non-Indigenous females.</w:t>
            </w:r>
            <w:r w:rsidRPr="00987C86">
              <w:rPr>
                <w:vertAlign w:val="superscript"/>
                <w:lang w:val="en-AU"/>
              </w:rPr>
              <w:endnoteReference w:id="207"/>
            </w:r>
            <w:r w:rsidRPr="00987C86">
              <w:rPr>
                <w:lang w:val="en-AU"/>
              </w:rPr>
              <w:t xml:space="preserve"> Rates of psychiatric disability (including conditions like schizophrenia) are double that of non-Indigenous people.</w:t>
            </w:r>
            <w:r w:rsidRPr="00987C86">
              <w:rPr>
                <w:vertAlign w:val="superscript"/>
                <w:lang w:val="en-AU"/>
              </w:rPr>
              <w:endnoteReference w:id="208"/>
            </w:r>
          </w:p>
          <w:p w14:paraId="6C99C031" w14:textId="214192D8" w:rsidR="00814869" w:rsidRPr="00987C86" w:rsidRDefault="00814869" w:rsidP="00B37FB4">
            <w:pPr>
              <w:keepNext/>
              <w:keepLines/>
              <w:numPr>
                <w:ilvl w:val="0"/>
                <w:numId w:val="20"/>
              </w:numPr>
              <w:spacing w:before="120" w:after="120"/>
              <w:outlineLvl w:val="6"/>
              <w:rPr>
                <w:lang w:val="en-AU"/>
              </w:rPr>
            </w:pPr>
            <w:r w:rsidRPr="00987C86">
              <w:rPr>
                <w:rFonts w:eastAsia="MS MinNew Roman"/>
                <w:b/>
                <w:lang w:val="en-AU"/>
              </w:rPr>
              <w:t>Suicide:</w:t>
            </w:r>
            <w:r w:rsidRPr="00987C86">
              <w:rPr>
                <w:rFonts w:eastAsia="MS MinNew Roman"/>
                <w:lang w:val="en-AU"/>
              </w:rPr>
              <w:t xml:space="preserve"> The overall Aboriginal and Torres Strait Islander suicide rate was twice the non-Indigenous rate over 2001-10.</w:t>
            </w:r>
            <w:r w:rsidRPr="00987C86">
              <w:rPr>
                <w:rStyle w:val="EndnoteReference"/>
                <w:rFonts w:eastAsia="MS MinNew Roman"/>
                <w:sz w:val="22"/>
                <w:lang w:val="en-AU"/>
              </w:rPr>
              <w:endnoteReference w:id="209"/>
            </w:r>
            <w:r w:rsidRPr="00987C86">
              <w:rPr>
                <w:rFonts w:eastAsia="MS MinNew Roman"/>
                <w:lang w:val="en-AU"/>
              </w:rPr>
              <w:t xml:space="preserve"> Around 100 Aboriginal and Torres Strait Islander deaths by suicide per year took place over that decade.</w:t>
            </w:r>
            <w:r w:rsidRPr="00987C86">
              <w:rPr>
                <w:rFonts w:eastAsia="MS MinNew Roman" w:cs="Calibri"/>
                <w:color w:val="222222"/>
                <w:lang w:val="en-AU"/>
              </w:rPr>
              <w:t xml:space="preserve"> In 2012, 117 suicides were reported.</w:t>
            </w:r>
            <w:r w:rsidRPr="00987C86">
              <w:rPr>
                <w:rStyle w:val="EndnoteReference"/>
                <w:rFonts w:eastAsia="MS MinNew Roman" w:cs="Calibri"/>
                <w:color w:val="222222"/>
                <w:sz w:val="22"/>
                <w:lang w:val="en-AU"/>
              </w:rPr>
              <w:endnoteReference w:id="210"/>
            </w:r>
            <w:r w:rsidRPr="00987C86">
              <w:rPr>
                <w:lang w:val="en-AU"/>
              </w:rPr>
              <w:t xml:space="preserve"> </w:t>
            </w:r>
            <w:r w:rsidR="00B37FB4">
              <w:rPr>
                <w:lang w:val="en-AU"/>
              </w:rPr>
              <w:t xml:space="preserve">The </w:t>
            </w:r>
            <w:r w:rsidR="0089182A" w:rsidRPr="0089182A">
              <w:rPr>
                <w:lang w:val="en-AU"/>
              </w:rPr>
              <w:t>OID</w:t>
            </w:r>
            <w:r w:rsidRPr="0089182A">
              <w:rPr>
                <w:lang w:val="en-AU"/>
              </w:rPr>
              <w:t xml:space="preserve"> 2014</w:t>
            </w:r>
            <w:r w:rsidR="00875E79">
              <w:rPr>
                <w:lang w:val="en-AU"/>
              </w:rPr>
              <w:t xml:space="preserve"> Report </w:t>
            </w:r>
            <w:r w:rsidR="00B37FB4">
              <w:rPr>
                <w:lang w:val="en-AU"/>
              </w:rPr>
              <w:t>shows</w:t>
            </w:r>
            <w:r w:rsidRPr="00987C86">
              <w:rPr>
                <w:lang w:val="en-AU"/>
              </w:rPr>
              <w:t xml:space="preserve"> that hospitalisations for intentiona</w:t>
            </w:r>
            <w:r w:rsidR="00E4271D">
              <w:rPr>
                <w:lang w:val="en-AU"/>
              </w:rPr>
              <w:t>l self-harm increased by 48 per</w:t>
            </w:r>
            <w:r w:rsidRPr="00987C86">
              <w:rPr>
                <w:lang w:val="en-AU"/>
              </w:rPr>
              <w:t>cent since 2004-2005</w:t>
            </w:r>
            <w:r w:rsidR="00E4271D">
              <w:rPr>
                <w:lang w:val="en-AU"/>
              </w:rPr>
              <w:t>.</w:t>
            </w:r>
            <w:r w:rsidRPr="00987C86">
              <w:rPr>
                <w:rStyle w:val="EndnoteReference"/>
                <w:sz w:val="22"/>
                <w:lang w:val="en-AU"/>
              </w:rPr>
              <w:endnoteReference w:id="211"/>
            </w:r>
          </w:p>
        </w:tc>
      </w:tr>
    </w:tbl>
    <w:p w14:paraId="7DED30A0" w14:textId="412322D4" w:rsidR="00814869" w:rsidRPr="00987C86" w:rsidRDefault="00814869" w:rsidP="00B303EA">
      <w:pPr>
        <w:spacing w:before="240" w:after="240"/>
        <w:rPr>
          <w:rFonts w:asciiTheme="majorHAnsi" w:hAnsiTheme="majorHAnsi" w:cs="Times"/>
          <w:lang w:val="en-AU" w:eastAsia="ja-JP"/>
        </w:rPr>
      </w:pPr>
      <w:r w:rsidRPr="00987C86">
        <w:rPr>
          <w:rFonts w:asciiTheme="majorHAnsi" w:hAnsiTheme="majorHAnsi" w:cs="Times"/>
          <w:lang w:val="en-AU" w:eastAsia="ja-JP"/>
        </w:rPr>
        <w:t>The Campaign Steering Committee believe</w:t>
      </w:r>
      <w:r w:rsidR="00EB2441">
        <w:rPr>
          <w:rFonts w:asciiTheme="majorHAnsi" w:hAnsiTheme="majorHAnsi" w:cs="Times"/>
          <w:lang w:val="en-AU" w:eastAsia="ja-JP"/>
        </w:rPr>
        <w:t>s</w:t>
      </w:r>
      <w:r w:rsidRPr="00987C86">
        <w:rPr>
          <w:rFonts w:asciiTheme="majorHAnsi" w:hAnsiTheme="majorHAnsi" w:cs="Times"/>
          <w:lang w:val="en-AU" w:eastAsia="ja-JP"/>
        </w:rPr>
        <w:t xml:space="preserve"> that strengthening social and emotional wellbeing, building resilience and reducing psychological distress is of direct </w:t>
      </w:r>
      <w:r w:rsidR="00B37FB4">
        <w:rPr>
          <w:rFonts w:asciiTheme="majorHAnsi" w:hAnsiTheme="majorHAnsi" w:cs="Times"/>
          <w:lang w:val="en-AU" w:eastAsia="ja-JP"/>
        </w:rPr>
        <w:t>importance</w:t>
      </w:r>
      <w:r w:rsidRPr="00987C86">
        <w:rPr>
          <w:rFonts w:asciiTheme="majorHAnsi" w:hAnsiTheme="majorHAnsi" w:cs="Times"/>
          <w:lang w:val="en-AU" w:eastAsia="ja-JP"/>
        </w:rPr>
        <w:t xml:space="preserve"> to the</w:t>
      </w:r>
      <w:r w:rsidRPr="00987C86">
        <w:rPr>
          <w:rFonts w:asciiTheme="majorHAnsi" w:hAnsiTheme="majorHAnsi" w:cs="Helvetica"/>
          <w:lang w:val="en-AU" w:eastAsia="ja-JP"/>
        </w:rPr>
        <w:t xml:space="preserve"> Indigenous Affairs priorities of the Australian Government</w:t>
      </w:r>
      <w:r w:rsidRPr="00987C86">
        <w:rPr>
          <w:rFonts w:asciiTheme="majorHAnsi" w:hAnsiTheme="majorHAnsi"/>
          <w:color w:val="000000"/>
          <w:lang w:val="en-AU"/>
        </w:rPr>
        <w:t xml:space="preserve"> and the IAS</w:t>
      </w:r>
      <w:r w:rsidR="00B37FB4">
        <w:rPr>
          <w:rFonts w:asciiTheme="majorHAnsi" w:hAnsiTheme="majorHAnsi"/>
          <w:color w:val="000000"/>
          <w:lang w:val="en-AU"/>
        </w:rPr>
        <w:t>, in the following ways</w:t>
      </w:r>
      <w:r w:rsidRPr="00987C86">
        <w:rPr>
          <w:rFonts w:asciiTheme="majorHAnsi" w:hAnsiTheme="majorHAnsi" w:cs="Times"/>
          <w:lang w:val="en-AU" w:eastAsia="ja-JP"/>
        </w:rPr>
        <w:t>:</w:t>
      </w:r>
    </w:p>
    <w:p w14:paraId="3E01A4D9" w14:textId="77777777" w:rsidR="00814869" w:rsidRPr="00987C86" w:rsidRDefault="00814869" w:rsidP="00644563">
      <w:pPr>
        <w:pStyle w:val="ListParagraph"/>
        <w:numPr>
          <w:ilvl w:val="0"/>
          <w:numId w:val="22"/>
        </w:numPr>
        <w:spacing w:before="120" w:after="120"/>
        <w:ind w:left="357" w:hanging="357"/>
        <w:contextualSpacing w:val="0"/>
        <w:rPr>
          <w:rFonts w:asciiTheme="majorHAnsi" w:hAnsiTheme="majorHAnsi" w:cs="Times"/>
          <w:lang w:val="en-AU" w:eastAsia="ja-JP"/>
        </w:rPr>
      </w:pPr>
      <w:r w:rsidRPr="00987C86">
        <w:rPr>
          <w:rStyle w:val="PageNumber"/>
          <w:rFonts w:asciiTheme="majorHAnsi" w:hAnsiTheme="majorHAnsi"/>
          <w:color w:val="000000"/>
          <w:lang w:val="en-AU"/>
        </w:rPr>
        <w:t>Among</w:t>
      </w:r>
      <w:r w:rsidRPr="00987C86">
        <w:rPr>
          <w:rFonts w:asciiTheme="majorHAnsi" w:hAnsiTheme="majorHAnsi"/>
          <w:color w:val="000000"/>
          <w:lang w:val="en-AU"/>
        </w:rPr>
        <w:t xml:space="preserve"> adults who reported high/very high levels psychological distress, 38 percent were unable to work or carry out their normal activities for significant periods of time because of their feelings in the NATSISS 2008.</w:t>
      </w:r>
      <w:r w:rsidRPr="00987C86">
        <w:rPr>
          <w:rStyle w:val="EndnoteReference"/>
          <w:rFonts w:asciiTheme="majorHAnsi" w:hAnsiTheme="majorHAnsi"/>
          <w:color w:val="000000"/>
          <w:sz w:val="22"/>
          <w:lang w:val="en-AU"/>
        </w:rPr>
        <w:endnoteReference w:id="212"/>
      </w:r>
      <w:r w:rsidRPr="00987C86">
        <w:rPr>
          <w:rFonts w:asciiTheme="majorHAnsi" w:hAnsiTheme="majorHAnsi"/>
          <w:color w:val="000000"/>
          <w:lang w:val="en-AU"/>
        </w:rPr>
        <w:t xml:space="preserve"> (Note that the AATSIHS data that would connect reported rates of high </w:t>
      </w:r>
      <w:r w:rsidRPr="00987C86">
        <w:rPr>
          <w:rFonts w:asciiTheme="majorHAnsi" w:hAnsiTheme="majorHAnsi"/>
          <w:color w:val="000000"/>
          <w:lang w:val="en-AU"/>
        </w:rPr>
        <w:lastRenderedPageBreak/>
        <w:t>and very high psychological distress to inability to work in 2012-13 has not yet been published – hence the reliance on NATSISS 2008 data to indicate the connection between high and very high psychological distress and inability to work).</w:t>
      </w:r>
    </w:p>
    <w:p w14:paraId="601E00FB" w14:textId="77777777" w:rsidR="00814869" w:rsidRPr="00987C86" w:rsidRDefault="00814869" w:rsidP="00644563">
      <w:pPr>
        <w:pStyle w:val="ListParagraph"/>
        <w:numPr>
          <w:ilvl w:val="0"/>
          <w:numId w:val="22"/>
        </w:numPr>
        <w:spacing w:before="120" w:after="120"/>
        <w:ind w:left="357" w:hanging="357"/>
        <w:contextualSpacing w:val="0"/>
        <w:rPr>
          <w:rFonts w:asciiTheme="majorHAnsi" w:hAnsiTheme="majorHAnsi" w:cs="Times"/>
          <w:lang w:val="en-AU" w:eastAsia="ja-JP"/>
        </w:rPr>
      </w:pPr>
      <w:r w:rsidRPr="00987C86">
        <w:rPr>
          <w:rFonts w:asciiTheme="majorHAnsi" w:hAnsiTheme="majorHAnsi" w:cs="Arial"/>
          <w:lang w:val="en-AU"/>
        </w:rPr>
        <w:t xml:space="preserve">In the NATSISS 2008, adults with high/very high levels of psychological distress were also more likely to drink at </w:t>
      </w:r>
      <w:hyperlink r:id="rId13" w:history="1">
        <w:r w:rsidRPr="00987C86">
          <w:rPr>
            <w:rFonts w:asciiTheme="majorHAnsi" w:hAnsiTheme="majorHAnsi" w:cs="Arial"/>
            <w:u w:color="0000E9"/>
            <w:lang w:val="en-AU"/>
          </w:rPr>
          <w:t>chronic risky/high risk levels</w:t>
        </w:r>
      </w:hyperlink>
      <w:r w:rsidRPr="00987C86">
        <w:rPr>
          <w:rFonts w:asciiTheme="majorHAnsi" w:hAnsiTheme="majorHAnsi" w:cs="Arial"/>
          <w:lang w:val="en-AU"/>
        </w:rPr>
        <w:t xml:space="preserve"> (21 percent compared with 16 percent with low/ moderate levels of psychological distress) and to have used </w:t>
      </w:r>
      <w:hyperlink r:id="rId14" w:history="1">
        <w:r w:rsidRPr="00987C86">
          <w:rPr>
            <w:rFonts w:asciiTheme="majorHAnsi" w:hAnsiTheme="majorHAnsi" w:cs="Arial"/>
            <w:u w:color="0000E9"/>
            <w:lang w:val="en-AU"/>
          </w:rPr>
          <w:t>illicit substances</w:t>
        </w:r>
      </w:hyperlink>
      <w:r w:rsidRPr="00987C86">
        <w:rPr>
          <w:rFonts w:asciiTheme="majorHAnsi" w:hAnsiTheme="majorHAnsi" w:cs="Arial"/>
          <w:lang w:val="en-AU"/>
        </w:rPr>
        <w:t xml:space="preserve"> in the previous 12 months to the survey (27 percent compared with 18 percent).</w:t>
      </w:r>
      <w:r w:rsidRPr="00987C86">
        <w:rPr>
          <w:rStyle w:val="EndnoteReference"/>
          <w:rFonts w:asciiTheme="majorHAnsi" w:hAnsiTheme="majorHAnsi"/>
          <w:sz w:val="22"/>
          <w:lang w:val="en-AU"/>
        </w:rPr>
        <w:endnoteReference w:id="213"/>
      </w:r>
      <w:r w:rsidRPr="00987C86">
        <w:rPr>
          <w:rFonts w:asciiTheme="majorHAnsi" w:hAnsiTheme="majorHAnsi" w:cs="Arial"/>
          <w:lang w:val="en-AU"/>
        </w:rPr>
        <w:t xml:space="preserve"> Substance abuse is a community safety issue and is associated with violence, child maltreatment, high rates of imprisonment, and other challenges facing communities.</w:t>
      </w:r>
    </w:p>
    <w:p w14:paraId="7A188974" w14:textId="28B940BB" w:rsidR="00814869" w:rsidRPr="00987C86" w:rsidRDefault="00814869" w:rsidP="00644563">
      <w:pPr>
        <w:pStyle w:val="ListParagraph"/>
        <w:numPr>
          <w:ilvl w:val="0"/>
          <w:numId w:val="22"/>
        </w:numPr>
        <w:spacing w:before="120" w:after="120"/>
        <w:ind w:left="357" w:hanging="357"/>
        <w:contextualSpacing w:val="0"/>
        <w:rPr>
          <w:rFonts w:asciiTheme="majorHAnsi" w:hAnsiTheme="majorHAnsi"/>
          <w:color w:val="370014"/>
          <w:lang w:val="en-AU"/>
        </w:rPr>
      </w:pPr>
      <w:r w:rsidRPr="00987C86">
        <w:rPr>
          <w:rFonts w:asciiTheme="majorHAnsi" w:hAnsiTheme="majorHAnsi"/>
          <w:lang w:val="en-AU"/>
        </w:rPr>
        <w:t xml:space="preserve">Promoting </w:t>
      </w:r>
      <w:r w:rsidR="00E4271D">
        <w:rPr>
          <w:rFonts w:asciiTheme="majorHAnsi" w:hAnsiTheme="majorHAnsi"/>
          <w:lang w:val="en-AU"/>
        </w:rPr>
        <w:t>social and emotional wellbeing</w:t>
      </w:r>
      <w:r w:rsidRPr="00987C86">
        <w:rPr>
          <w:rFonts w:asciiTheme="majorHAnsi" w:hAnsiTheme="majorHAnsi"/>
          <w:lang w:val="en-AU"/>
        </w:rPr>
        <w:t xml:space="preserve"> and resilience should also contribute to improving school attendance and performance because it will support children </w:t>
      </w:r>
      <w:r w:rsidR="00B37FB4">
        <w:rPr>
          <w:rFonts w:asciiTheme="majorHAnsi" w:hAnsiTheme="majorHAnsi"/>
          <w:lang w:val="en-AU"/>
        </w:rPr>
        <w:t xml:space="preserve">to </w:t>
      </w:r>
      <w:r w:rsidRPr="00987C86">
        <w:rPr>
          <w:rFonts w:asciiTheme="majorHAnsi" w:hAnsiTheme="majorHAnsi"/>
          <w:lang w:val="en-AU"/>
        </w:rPr>
        <w:t>cope with bullying and racism.</w:t>
      </w:r>
      <w:r w:rsidRPr="00987C86">
        <w:rPr>
          <w:rStyle w:val="EndnoteReference"/>
          <w:rFonts w:asciiTheme="majorHAnsi" w:hAnsiTheme="majorHAnsi"/>
          <w:color w:val="370014"/>
          <w:sz w:val="22"/>
          <w:lang w:val="en-AU"/>
        </w:rPr>
        <w:endnoteReference w:id="214"/>
      </w:r>
    </w:p>
    <w:p w14:paraId="1A5E130A" w14:textId="421B6697" w:rsidR="00814869" w:rsidRPr="00987C86" w:rsidRDefault="00814869" w:rsidP="00CF31E1">
      <w:pPr>
        <w:spacing w:before="240" w:after="240"/>
        <w:rPr>
          <w:rFonts w:asciiTheme="majorHAnsi" w:hAnsiTheme="majorHAnsi"/>
          <w:lang w:val="en-AU"/>
        </w:rPr>
      </w:pPr>
      <w:r w:rsidRPr="00987C86">
        <w:rPr>
          <w:rFonts w:asciiTheme="majorHAnsi" w:hAnsiTheme="majorHAnsi"/>
          <w:lang w:val="en-AU"/>
        </w:rPr>
        <w:t>As the Campaign Steering Committee argued in its 2014 report, a dedicated Aboriginal and Torres Strait Islander mental health and social and emoti</w:t>
      </w:r>
      <w:r w:rsidR="00C47575" w:rsidRPr="00987C86">
        <w:rPr>
          <w:rFonts w:asciiTheme="majorHAnsi" w:hAnsiTheme="majorHAnsi"/>
          <w:lang w:val="en-AU"/>
        </w:rPr>
        <w:t xml:space="preserve">onal wellbeing plan is needed. </w:t>
      </w:r>
      <w:r w:rsidRPr="00987C86">
        <w:rPr>
          <w:rFonts w:asciiTheme="majorHAnsi" w:hAnsiTheme="majorHAnsi"/>
          <w:lang w:val="en-AU"/>
        </w:rPr>
        <w:t xml:space="preserve">The </w:t>
      </w:r>
      <w:r w:rsidRPr="00987C86">
        <w:rPr>
          <w:rFonts w:asciiTheme="majorHAnsi" w:hAnsiTheme="majorHAnsi"/>
          <w:i/>
          <w:lang w:val="en-AU"/>
        </w:rPr>
        <w:t xml:space="preserve">National Strategic Framework for Aboriginal and Torres Strait Islander Peoples’ Mental Health and Social and Emotional Wellbeing </w:t>
      </w:r>
      <w:r w:rsidRPr="00987C86">
        <w:rPr>
          <w:rFonts w:asciiTheme="majorHAnsi" w:hAnsiTheme="majorHAnsi"/>
          <w:lang w:val="en-AU"/>
        </w:rPr>
        <w:t xml:space="preserve">provides the basis for such a plan. </w:t>
      </w:r>
    </w:p>
    <w:p w14:paraId="260D2FB1" w14:textId="77777777" w:rsidR="00814869" w:rsidRPr="00987C86" w:rsidRDefault="00814869" w:rsidP="00CF31E1">
      <w:pPr>
        <w:spacing w:before="240" w:after="240"/>
        <w:rPr>
          <w:rFonts w:asciiTheme="majorHAnsi" w:hAnsiTheme="majorHAnsi"/>
          <w:lang w:val="en-AU"/>
        </w:rPr>
      </w:pPr>
      <w:r w:rsidRPr="00987C86">
        <w:rPr>
          <w:rFonts w:asciiTheme="majorHAnsi" w:hAnsiTheme="majorHAnsi"/>
          <w:lang w:val="en-AU"/>
        </w:rPr>
        <w:t xml:space="preserve">This should be developed and implemented along with the Health Plan, the </w:t>
      </w:r>
      <w:r w:rsidRPr="00987C86">
        <w:rPr>
          <w:rFonts w:asciiTheme="majorHAnsi" w:hAnsiTheme="majorHAnsi"/>
          <w:i/>
          <w:lang w:val="en-AU"/>
        </w:rPr>
        <w:t xml:space="preserve">National Aboriginal and Torres Strait Islander Suicide Prevention Strategy 2013 </w:t>
      </w:r>
      <w:r w:rsidRPr="00987C86">
        <w:rPr>
          <w:rFonts w:asciiTheme="majorHAnsi" w:hAnsiTheme="majorHAnsi"/>
          <w:lang w:val="en-AU"/>
        </w:rPr>
        <w:t xml:space="preserve">and the </w:t>
      </w:r>
      <w:r w:rsidRPr="00987C86">
        <w:rPr>
          <w:rFonts w:asciiTheme="majorHAnsi" w:hAnsiTheme="majorHAnsi"/>
          <w:i/>
          <w:lang w:val="en-AU"/>
        </w:rPr>
        <w:t>National Aboriginal and Torres Strait Islander Peoples’ Drug Strategy</w:t>
      </w:r>
      <w:r w:rsidRPr="00987C86">
        <w:rPr>
          <w:rFonts w:asciiTheme="majorHAnsi" w:hAnsiTheme="majorHAnsi"/>
          <w:lang w:val="en-AU"/>
        </w:rPr>
        <w:t>. A coordinated implementation process for all four will avoid duplication, be more efficient, and maximise opportunities in this space.</w:t>
      </w:r>
    </w:p>
    <w:p w14:paraId="62EB5099" w14:textId="46CE21F6" w:rsidR="00C47575" w:rsidRDefault="00C47575" w:rsidP="00CF31E1">
      <w:pPr>
        <w:spacing w:before="240" w:after="240"/>
        <w:rPr>
          <w:rFonts w:asciiTheme="majorHAnsi" w:hAnsiTheme="majorHAnsi"/>
          <w:lang w:val="en-AU"/>
        </w:rPr>
      </w:pPr>
      <w:r w:rsidRPr="00987C86">
        <w:rPr>
          <w:rFonts w:asciiTheme="majorHAnsi" w:hAnsiTheme="majorHAnsi"/>
          <w:lang w:val="en-AU"/>
        </w:rPr>
        <w:t>The Campaign Steering Committee notes the Commonwealth funding of a comprehensive evaluation of suicide prevention programmes for Aboriginal and Torres Strait Islander peoples and looks forward to reporting on the findings later this year.</w:t>
      </w:r>
      <w:r w:rsidR="00F40461">
        <w:rPr>
          <w:rStyle w:val="EndnoteReference"/>
          <w:lang w:val="en-AU"/>
        </w:rPr>
        <w:endnoteReference w:id="215"/>
      </w:r>
    </w:p>
    <w:p w14:paraId="5BC3AC6B" w14:textId="7924D3B5" w:rsidR="00F40461" w:rsidRPr="00987C86" w:rsidRDefault="00F40461" w:rsidP="00CF31E1">
      <w:pPr>
        <w:spacing w:before="240" w:after="240"/>
        <w:rPr>
          <w:rFonts w:asciiTheme="majorHAnsi" w:hAnsiTheme="majorHAnsi"/>
          <w:lang w:val="en-AU"/>
        </w:rPr>
      </w:pPr>
      <w:r>
        <w:rPr>
          <w:rFonts w:asciiTheme="majorHAnsi" w:hAnsiTheme="majorHAnsi"/>
          <w:lang w:val="en-AU"/>
        </w:rPr>
        <w:t xml:space="preserve">The text box </w:t>
      </w:r>
      <w:r w:rsidR="00A75DB0">
        <w:rPr>
          <w:rFonts w:asciiTheme="majorHAnsi" w:hAnsiTheme="majorHAnsi"/>
          <w:lang w:val="en-AU"/>
        </w:rPr>
        <w:t>below</w:t>
      </w:r>
      <w:r>
        <w:rPr>
          <w:rFonts w:asciiTheme="majorHAnsi" w:hAnsiTheme="majorHAnsi"/>
          <w:lang w:val="en-AU"/>
        </w:rPr>
        <w:t xml:space="preserve"> provides an example of a successful strategy of targeting racism, a preventative measure for addressing mental health issues. </w:t>
      </w:r>
    </w:p>
    <w:tbl>
      <w:tblPr>
        <w:tblStyle w:val="TableGrid"/>
        <w:tblW w:w="0" w:type="auto"/>
        <w:tblLook w:val="04A0" w:firstRow="1" w:lastRow="0" w:firstColumn="1" w:lastColumn="0" w:noHBand="0" w:noVBand="1"/>
      </w:tblPr>
      <w:tblGrid>
        <w:gridCol w:w="9286"/>
      </w:tblGrid>
      <w:tr w:rsidR="00814869" w:rsidRPr="006A24D8" w14:paraId="7FB47F8E" w14:textId="77777777" w:rsidTr="0029312E">
        <w:tc>
          <w:tcPr>
            <w:tcW w:w="9286" w:type="dxa"/>
            <w:shd w:val="clear" w:color="auto" w:fill="DBE5F1" w:themeFill="accent1" w:themeFillTint="33"/>
          </w:tcPr>
          <w:p w14:paraId="787FD95E" w14:textId="14DACE14" w:rsidR="00814869" w:rsidRPr="00987C86" w:rsidRDefault="00814869" w:rsidP="0029312E">
            <w:pPr>
              <w:spacing w:before="240" w:after="0"/>
              <w:rPr>
                <w:rFonts w:asciiTheme="majorHAnsi" w:hAnsiTheme="majorHAnsi"/>
                <w:b/>
                <w:lang w:val="en-AU"/>
              </w:rPr>
            </w:pPr>
            <w:r w:rsidRPr="00987C86">
              <w:rPr>
                <w:rFonts w:asciiTheme="majorHAnsi" w:hAnsiTheme="majorHAnsi"/>
                <w:b/>
                <w:lang w:val="en-AU"/>
              </w:rPr>
              <w:t xml:space="preserve">Stop. Think. Respect. </w:t>
            </w:r>
            <w:r w:rsidR="00142FFC" w:rsidRPr="00987C86">
              <w:rPr>
                <w:rFonts w:asciiTheme="majorHAnsi" w:hAnsiTheme="majorHAnsi"/>
                <w:b/>
                <w:lang w:val="en-AU"/>
              </w:rPr>
              <w:t>C</w:t>
            </w:r>
            <w:r w:rsidRPr="00987C86">
              <w:rPr>
                <w:rFonts w:asciiTheme="majorHAnsi" w:hAnsiTheme="majorHAnsi"/>
                <w:b/>
                <w:lang w:val="en-AU"/>
              </w:rPr>
              <w:t>ampaign</w:t>
            </w:r>
            <w:r w:rsidR="00142FFC">
              <w:rPr>
                <w:rFonts w:asciiTheme="majorHAnsi" w:hAnsiTheme="majorHAnsi"/>
                <w:b/>
                <w:lang w:val="en-AU"/>
              </w:rPr>
              <w:t xml:space="preserve"> –</w:t>
            </w:r>
            <w:r w:rsidRPr="00987C86">
              <w:rPr>
                <w:rFonts w:asciiTheme="majorHAnsi" w:hAnsiTheme="majorHAnsi"/>
                <w:b/>
                <w:lang w:val="en-AU"/>
              </w:rPr>
              <w:t xml:space="preserve"> Using</w:t>
            </w:r>
            <w:r w:rsidR="00142FFC">
              <w:rPr>
                <w:rFonts w:asciiTheme="majorHAnsi" w:hAnsiTheme="majorHAnsi"/>
                <w:b/>
                <w:lang w:val="en-AU"/>
              </w:rPr>
              <w:t xml:space="preserve"> </w:t>
            </w:r>
            <w:r w:rsidRPr="00987C86">
              <w:rPr>
                <w:rFonts w:asciiTheme="majorHAnsi" w:hAnsiTheme="majorHAnsi"/>
                <w:b/>
                <w:lang w:val="en-AU"/>
              </w:rPr>
              <w:t>primary prevention to address racism as a social de</w:t>
            </w:r>
            <w:r w:rsidR="00350A53">
              <w:rPr>
                <w:rFonts w:asciiTheme="majorHAnsi" w:hAnsiTheme="majorHAnsi"/>
                <w:b/>
                <w:lang w:val="en-AU"/>
              </w:rPr>
              <w:t>terminant of poor mental health</w:t>
            </w:r>
            <w:r w:rsidR="00350A53">
              <w:rPr>
                <w:rStyle w:val="EndnoteReference"/>
                <w:b/>
                <w:lang w:val="en-AU"/>
              </w:rPr>
              <w:endnoteReference w:id="216"/>
            </w:r>
          </w:p>
          <w:p w14:paraId="5BC2D88B" w14:textId="12220D4F" w:rsidR="00814869" w:rsidRPr="00987C86" w:rsidRDefault="00814869" w:rsidP="00076DC9">
            <w:pPr>
              <w:spacing w:before="240" w:after="0"/>
              <w:rPr>
                <w:rFonts w:asciiTheme="majorHAnsi" w:hAnsiTheme="majorHAnsi"/>
                <w:lang w:val="en-AU"/>
              </w:rPr>
            </w:pPr>
            <w:r w:rsidRPr="00987C86">
              <w:rPr>
                <w:rFonts w:asciiTheme="majorHAnsi" w:hAnsiTheme="majorHAnsi"/>
                <w:lang w:val="en-AU"/>
              </w:rPr>
              <w:t>In 2014</w:t>
            </w:r>
            <w:r w:rsidR="00A75DB0">
              <w:rPr>
                <w:rFonts w:asciiTheme="majorHAnsi" w:hAnsiTheme="majorHAnsi"/>
                <w:lang w:val="en-AU"/>
              </w:rPr>
              <w:t>,</w:t>
            </w:r>
            <w:r w:rsidRPr="00987C86">
              <w:rPr>
                <w:rFonts w:asciiTheme="majorHAnsi" w:hAnsiTheme="majorHAnsi"/>
                <w:lang w:val="en-AU"/>
              </w:rPr>
              <w:t xml:space="preserve"> </w:t>
            </w:r>
            <w:proofErr w:type="spellStart"/>
            <w:r w:rsidRPr="00987C86">
              <w:rPr>
                <w:rFonts w:asciiTheme="majorHAnsi" w:hAnsiTheme="majorHAnsi"/>
                <w:i/>
                <w:lang w:val="en-AU"/>
              </w:rPr>
              <w:t>beyondblue</w:t>
            </w:r>
            <w:proofErr w:type="spellEnd"/>
            <w:r w:rsidRPr="00987C86">
              <w:rPr>
                <w:rFonts w:asciiTheme="majorHAnsi" w:hAnsiTheme="majorHAnsi"/>
                <w:lang w:val="en-AU"/>
              </w:rPr>
              <w:t xml:space="preserve"> launched a national anti-discrimination campaign addressing the impact of racial discrimination on the mental health and wellbeing of Aboriginal and Torres Strait Islander people</w:t>
            </w:r>
            <w:r w:rsidR="00CA2EBF">
              <w:rPr>
                <w:rFonts w:asciiTheme="majorHAnsi" w:hAnsiTheme="majorHAnsi"/>
                <w:lang w:val="en-AU"/>
              </w:rPr>
              <w:t>s</w:t>
            </w:r>
            <w:r w:rsidRPr="00987C86">
              <w:rPr>
                <w:rFonts w:asciiTheme="majorHAnsi" w:hAnsiTheme="majorHAnsi"/>
                <w:lang w:val="en-AU"/>
              </w:rPr>
              <w:t xml:space="preserve">. In developing the campaign, </w:t>
            </w:r>
            <w:proofErr w:type="spellStart"/>
            <w:r w:rsidRPr="00987C86">
              <w:rPr>
                <w:rFonts w:asciiTheme="majorHAnsi" w:hAnsiTheme="majorHAnsi"/>
                <w:i/>
                <w:lang w:val="en-AU"/>
              </w:rPr>
              <w:t>beyondblue</w:t>
            </w:r>
            <w:proofErr w:type="spellEnd"/>
            <w:r w:rsidRPr="00987C86">
              <w:rPr>
                <w:rFonts w:asciiTheme="majorHAnsi" w:hAnsiTheme="majorHAnsi"/>
                <w:lang w:val="en-AU"/>
              </w:rPr>
              <w:t xml:space="preserve"> carried out extensive research and consultation with Aboriginal and Torres Strait Islander people</w:t>
            </w:r>
            <w:r w:rsidR="00CA2EBF">
              <w:rPr>
                <w:rFonts w:asciiTheme="majorHAnsi" w:hAnsiTheme="majorHAnsi"/>
                <w:lang w:val="en-AU"/>
              </w:rPr>
              <w:t>s</w:t>
            </w:r>
            <w:r w:rsidRPr="00987C86">
              <w:rPr>
                <w:rFonts w:asciiTheme="majorHAnsi" w:hAnsiTheme="majorHAnsi"/>
                <w:lang w:val="en-AU"/>
              </w:rPr>
              <w:t xml:space="preserve">. The campaign was also guided by an Advisory Group, comprising a mix of representatives from Aboriginal and Torres Strait Islander organisations, other organisations and individuals with specific knowledge and expertise. </w:t>
            </w:r>
          </w:p>
          <w:p w14:paraId="5CFA2DD4" w14:textId="77777777" w:rsidR="00814869" w:rsidRPr="00987C86" w:rsidRDefault="00814869" w:rsidP="00076DC9">
            <w:pPr>
              <w:spacing w:before="240" w:after="0"/>
              <w:rPr>
                <w:rFonts w:asciiTheme="majorHAnsi" w:hAnsiTheme="majorHAnsi"/>
                <w:lang w:val="en-AU"/>
              </w:rPr>
            </w:pPr>
            <w:r w:rsidRPr="00987C86">
              <w:rPr>
                <w:rFonts w:asciiTheme="majorHAnsi" w:hAnsiTheme="majorHAnsi"/>
                <w:lang w:val="en-AU"/>
              </w:rPr>
              <w:t>The campaign focused on the harmful impact</w:t>
            </w:r>
            <w:r w:rsidR="00431F1A" w:rsidRPr="00987C86">
              <w:rPr>
                <w:rFonts w:asciiTheme="majorHAnsi" w:hAnsiTheme="majorHAnsi"/>
                <w:lang w:val="en-AU"/>
              </w:rPr>
              <w:t>s</w:t>
            </w:r>
            <w:r w:rsidRPr="00987C86">
              <w:rPr>
                <w:rFonts w:asciiTheme="majorHAnsi" w:hAnsiTheme="majorHAnsi"/>
                <w:lang w:val="en-AU"/>
              </w:rPr>
              <w:t xml:space="preserve"> of subtle forms of interpersonal discrimination, and encouraged everyone in Australia to check their behaviour. With over </w:t>
            </w:r>
            <w:r w:rsidR="00AF16C3" w:rsidRPr="00987C86">
              <w:rPr>
                <w:rFonts w:asciiTheme="majorHAnsi" w:hAnsiTheme="majorHAnsi"/>
                <w:lang w:val="en-AU"/>
              </w:rPr>
              <w:t>3.74</w:t>
            </w:r>
            <w:r w:rsidRPr="00987C86">
              <w:rPr>
                <w:rFonts w:asciiTheme="majorHAnsi" w:hAnsiTheme="majorHAnsi"/>
                <w:lang w:val="en-AU"/>
              </w:rPr>
              <w:t xml:space="preserve"> million online views to date, ‘The Invisible Discriminator’ campaign advertisement has attracted significant community interest. </w:t>
            </w:r>
          </w:p>
          <w:p w14:paraId="04BCF5FC" w14:textId="3F655C47" w:rsidR="00814869" w:rsidRPr="006A24D8" w:rsidRDefault="00814869" w:rsidP="00076DC9">
            <w:pPr>
              <w:spacing w:before="240"/>
              <w:rPr>
                <w:rFonts w:eastAsiaTheme="minorHAnsi"/>
                <w:lang w:val="en-AU"/>
              </w:rPr>
            </w:pPr>
            <w:r w:rsidRPr="00987C86">
              <w:rPr>
                <w:rFonts w:asciiTheme="majorHAnsi" w:hAnsiTheme="majorHAnsi"/>
                <w:lang w:val="en-AU"/>
              </w:rPr>
              <w:t xml:space="preserve">Preliminary independent evaluation results show that the campaign is having an impact on the target audience of non-Indigenous people aged 25-44 years. Awareness of the prevalence of discrimination increased by up to 7 percent when compared to the pre-campaign baseline survey, demonstrating increased awareness of the behaviours which constitute discrimination. There has been a statistically significant reduction in the proportions of people who do not consider that several of the campaign scenarios are discriminatory in nature. </w:t>
            </w:r>
            <w:r w:rsidRPr="00987C86">
              <w:rPr>
                <w:lang w:val="en-AU"/>
              </w:rPr>
              <w:t>Seventy-five percent of people consider that the campaign is raising awareness of the mental health impacts of discrimination.</w:t>
            </w:r>
            <w:r w:rsidRPr="006A24D8">
              <w:rPr>
                <w:rFonts w:eastAsiaTheme="minorHAnsi"/>
                <w:lang w:val="en-AU"/>
              </w:rPr>
              <w:t xml:space="preserve"> </w:t>
            </w:r>
            <w:r w:rsidRPr="00987C86">
              <w:rPr>
                <w:lang w:val="en-AU"/>
              </w:rPr>
              <w:t>One in five people thought about what they could do to reduce discrimination against Aboriginal and Torres Strait Islander people</w:t>
            </w:r>
            <w:r w:rsidR="00CA2EBF">
              <w:rPr>
                <w:lang w:val="en-AU"/>
              </w:rPr>
              <w:t>s</w:t>
            </w:r>
            <w:r w:rsidRPr="00987C86">
              <w:rPr>
                <w:lang w:val="en-AU"/>
              </w:rPr>
              <w:t xml:space="preserve"> </w:t>
            </w:r>
            <w:r w:rsidRPr="00987C86">
              <w:rPr>
                <w:lang w:val="en-AU"/>
              </w:rPr>
              <w:lastRenderedPageBreak/>
              <w:t xml:space="preserve">after </w:t>
            </w:r>
            <w:r w:rsidR="0010141A">
              <w:rPr>
                <w:lang w:val="en-AU"/>
              </w:rPr>
              <w:t xml:space="preserve">seeing the campaign. </w:t>
            </w:r>
          </w:p>
          <w:p w14:paraId="60358176" w14:textId="77777777" w:rsidR="00814869" w:rsidRPr="00987C86" w:rsidRDefault="00814869" w:rsidP="00076DC9">
            <w:pPr>
              <w:spacing w:before="240" w:after="0"/>
              <w:rPr>
                <w:rFonts w:asciiTheme="majorHAnsi" w:hAnsiTheme="majorHAnsi"/>
                <w:lang w:val="en-AU"/>
              </w:rPr>
            </w:pPr>
            <w:r w:rsidRPr="00987C86">
              <w:rPr>
                <w:rFonts w:asciiTheme="majorHAnsi" w:hAnsiTheme="majorHAnsi"/>
                <w:lang w:val="en-AU"/>
              </w:rPr>
              <w:t>These results show that investment in primary prevention campaigns can make a difference by tackling the social determinants of ill-health.</w:t>
            </w:r>
          </w:p>
        </w:tc>
      </w:tr>
    </w:tbl>
    <w:p w14:paraId="4A8E55CF" w14:textId="77777777" w:rsidR="00814869" w:rsidRPr="00987C86" w:rsidRDefault="00814869" w:rsidP="00CF31E1">
      <w:pPr>
        <w:spacing w:before="240" w:after="240"/>
        <w:rPr>
          <w:rFonts w:asciiTheme="majorHAnsi" w:hAnsiTheme="majorHAnsi"/>
          <w:lang w:val="en-AU"/>
        </w:rPr>
      </w:pPr>
    </w:p>
    <w:tbl>
      <w:tblPr>
        <w:tblStyle w:val="TableGrid"/>
        <w:tblW w:w="0" w:type="auto"/>
        <w:tblLook w:val="04A0" w:firstRow="1" w:lastRow="0" w:firstColumn="1" w:lastColumn="0" w:noHBand="0" w:noVBand="1"/>
      </w:tblPr>
      <w:tblGrid>
        <w:gridCol w:w="9286"/>
      </w:tblGrid>
      <w:tr w:rsidR="00814869" w:rsidRPr="006A24D8" w14:paraId="063295F7" w14:textId="77777777" w:rsidTr="006220E0">
        <w:tc>
          <w:tcPr>
            <w:tcW w:w="9286" w:type="dxa"/>
            <w:shd w:val="clear" w:color="auto" w:fill="EEECE1" w:themeFill="background2"/>
          </w:tcPr>
          <w:p w14:paraId="517EBD57" w14:textId="20E34828" w:rsidR="00814869" w:rsidRPr="00987C86" w:rsidRDefault="006A7E17" w:rsidP="00595AA7">
            <w:pPr>
              <w:spacing w:after="0"/>
              <w:rPr>
                <w:rFonts w:asciiTheme="majorHAnsi" w:hAnsiTheme="majorHAnsi"/>
                <w:b/>
                <w:lang w:val="en-AU"/>
              </w:rPr>
            </w:pPr>
            <w:r>
              <w:rPr>
                <w:rFonts w:asciiTheme="majorHAnsi" w:hAnsiTheme="majorHAnsi"/>
                <w:b/>
                <w:lang w:val="en-AU"/>
              </w:rPr>
              <w:t>Recommendation 7</w:t>
            </w:r>
            <w:r w:rsidR="00814869" w:rsidRPr="00987C86">
              <w:rPr>
                <w:rFonts w:asciiTheme="majorHAnsi" w:hAnsiTheme="majorHAnsi"/>
                <w:b/>
                <w:lang w:val="en-AU"/>
              </w:rPr>
              <w:t xml:space="preserve">: The </w:t>
            </w:r>
            <w:r w:rsidR="00814869" w:rsidRPr="00987C86">
              <w:rPr>
                <w:rFonts w:asciiTheme="majorHAnsi" w:hAnsiTheme="majorHAnsi"/>
                <w:b/>
                <w:i/>
                <w:lang w:val="en-AU"/>
              </w:rPr>
              <w:t xml:space="preserve">National Strategic Framework for Aboriginal and Torres Strait Islander Peoples’ Mental Health and Social and Emotional Wellbeing </w:t>
            </w:r>
            <w:r w:rsidR="00814869" w:rsidRPr="00987C86">
              <w:rPr>
                <w:rFonts w:asciiTheme="majorHAnsi" w:hAnsiTheme="majorHAnsi"/>
                <w:b/>
                <w:lang w:val="en-AU"/>
              </w:rPr>
              <w:t xml:space="preserve">provides the basis for a dedicated Aboriginal and Torres Strait Islander mental health and social and emotional wellbeing plan. This is developed and implemented with the Health Plan, the </w:t>
            </w:r>
            <w:r w:rsidR="00814869" w:rsidRPr="00987C86">
              <w:rPr>
                <w:rFonts w:asciiTheme="majorHAnsi" w:hAnsiTheme="majorHAnsi"/>
                <w:b/>
                <w:i/>
                <w:lang w:val="en-AU"/>
              </w:rPr>
              <w:t>National Aboriginal and Torres Strait Islander Suicide Prevention Strategy 2013</w:t>
            </w:r>
            <w:r w:rsidR="00814869" w:rsidRPr="00987C86">
              <w:rPr>
                <w:rFonts w:asciiTheme="majorHAnsi" w:hAnsiTheme="majorHAnsi"/>
                <w:b/>
                <w:lang w:val="en-AU"/>
              </w:rPr>
              <w:t xml:space="preserve"> and the </w:t>
            </w:r>
            <w:r w:rsidR="00814869" w:rsidRPr="00987C86">
              <w:rPr>
                <w:rFonts w:asciiTheme="majorHAnsi" w:hAnsiTheme="majorHAnsi"/>
                <w:b/>
                <w:i/>
                <w:lang w:val="en-AU"/>
              </w:rPr>
              <w:t>National Aboriginal and Torres Strait Islander Peoples’ Drug Strategy</w:t>
            </w:r>
            <w:r w:rsidR="00814869" w:rsidRPr="00987C86">
              <w:rPr>
                <w:rFonts w:asciiTheme="majorHAnsi" w:hAnsiTheme="majorHAnsi"/>
                <w:b/>
                <w:lang w:val="en-AU"/>
              </w:rPr>
              <w:t xml:space="preserve"> implementation processes in order to avoid duplication, be more efficient, and maximise opportunities in this </w:t>
            </w:r>
            <w:r w:rsidR="00893220" w:rsidRPr="00987C86">
              <w:rPr>
                <w:rFonts w:asciiTheme="majorHAnsi" w:hAnsiTheme="majorHAnsi"/>
                <w:b/>
                <w:lang w:val="en-AU"/>
              </w:rPr>
              <w:t>critical field</w:t>
            </w:r>
            <w:r w:rsidR="00814869" w:rsidRPr="00987C86">
              <w:rPr>
                <w:rFonts w:asciiTheme="majorHAnsi" w:hAnsiTheme="majorHAnsi"/>
                <w:b/>
                <w:lang w:val="en-AU"/>
              </w:rPr>
              <w:t>.</w:t>
            </w:r>
          </w:p>
        </w:tc>
      </w:tr>
    </w:tbl>
    <w:p w14:paraId="5DAFD2A9" w14:textId="77777777" w:rsidR="00814869" w:rsidRPr="00987C86" w:rsidRDefault="00814869" w:rsidP="007C588A">
      <w:pPr>
        <w:pStyle w:val="Heading2"/>
        <w:rPr>
          <w:lang w:val="en-AU"/>
        </w:rPr>
      </w:pPr>
      <w:bookmarkStart w:id="33" w:name="_Toc409788738"/>
      <w:r w:rsidRPr="00987C86">
        <w:rPr>
          <w:lang w:val="en-AU"/>
        </w:rPr>
        <w:t>A target to reduce imprisonment rates</w:t>
      </w:r>
      <w:bookmarkEnd w:id="33"/>
    </w:p>
    <w:p w14:paraId="3D31847F" w14:textId="6AC2DF1C" w:rsidR="00814869" w:rsidRPr="00987C86" w:rsidRDefault="00814869" w:rsidP="006220E0">
      <w:pPr>
        <w:spacing w:before="240" w:after="240"/>
        <w:rPr>
          <w:rFonts w:asciiTheme="majorHAnsi" w:hAnsiTheme="majorHAnsi"/>
          <w:lang w:val="en-AU"/>
        </w:rPr>
      </w:pPr>
      <w:r w:rsidRPr="00987C86">
        <w:rPr>
          <w:rFonts w:asciiTheme="majorHAnsi" w:hAnsiTheme="majorHAnsi"/>
          <w:lang w:val="en-AU"/>
        </w:rPr>
        <w:t>The Campaign Steering Committee also recommends that the Closing the Gap Strategy is enhanced by the development of target</w:t>
      </w:r>
      <w:r w:rsidR="00C0067C">
        <w:rPr>
          <w:rFonts w:asciiTheme="majorHAnsi" w:hAnsiTheme="majorHAnsi"/>
          <w:lang w:val="en-AU"/>
        </w:rPr>
        <w:t>s</w:t>
      </w:r>
      <w:r w:rsidRPr="00987C86">
        <w:rPr>
          <w:rFonts w:asciiTheme="majorHAnsi" w:hAnsiTheme="majorHAnsi"/>
          <w:lang w:val="en-AU"/>
        </w:rPr>
        <w:t xml:space="preserve"> to reduce </w:t>
      </w:r>
      <w:r w:rsidR="00C0067C">
        <w:rPr>
          <w:rFonts w:asciiTheme="majorHAnsi" w:hAnsiTheme="majorHAnsi"/>
          <w:lang w:val="en-AU"/>
        </w:rPr>
        <w:t xml:space="preserve">rates of </w:t>
      </w:r>
      <w:r w:rsidRPr="00987C86">
        <w:rPr>
          <w:rFonts w:asciiTheme="majorHAnsi" w:hAnsiTheme="majorHAnsi"/>
          <w:lang w:val="en-AU"/>
        </w:rPr>
        <w:t xml:space="preserve">imprisonment </w:t>
      </w:r>
      <w:r w:rsidR="00D72E09">
        <w:rPr>
          <w:rFonts w:asciiTheme="majorHAnsi" w:hAnsiTheme="majorHAnsi"/>
          <w:lang w:val="en-AU"/>
        </w:rPr>
        <w:t>and</w:t>
      </w:r>
      <w:r w:rsidR="00C0067C">
        <w:rPr>
          <w:rFonts w:asciiTheme="majorHAnsi" w:hAnsiTheme="majorHAnsi"/>
          <w:lang w:val="en-AU"/>
        </w:rPr>
        <w:t xml:space="preserve"> </w:t>
      </w:r>
      <w:r w:rsidR="00D72E09">
        <w:rPr>
          <w:rFonts w:asciiTheme="majorHAnsi" w:hAnsiTheme="majorHAnsi"/>
          <w:lang w:val="en-AU"/>
        </w:rPr>
        <w:t>violence and</w:t>
      </w:r>
      <w:r w:rsidR="00C0067C">
        <w:rPr>
          <w:rFonts w:asciiTheme="majorHAnsi" w:hAnsiTheme="majorHAnsi"/>
          <w:lang w:val="en-AU"/>
        </w:rPr>
        <w:t xml:space="preserve"> </w:t>
      </w:r>
      <w:r w:rsidRPr="00987C86">
        <w:rPr>
          <w:rFonts w:asciiTheme="majorHAnsi" w:hAnsiTheme="majorHAnsi"/>
          <w:lang w:val="en-AU"/>
        </w:rPr>
        <w:t>that achieving the</w:t>
      </w:r>
      <w:r w:rsidR="000B19B2">
        <w:rPr>
          <w:rFonts w:asciiTheme="majorHAnsi" w:hAnsiTheme="majorHAnsi"/>
          <w:lang w:val="en-AU"/>
        </w:rPr>
        <w:t xml:space="preserve"> target</w:t>
      </w:r>
      <w:r w:rsidR="00352704">
        <w:rPr>
          <w:rFonts w:asciiTheme="majorHAnsi" w:hAnsiTheme="majorHAnsi"/>
          <w:lang w:val="en-AU"/>
        </w:rPr>
        <w:t>s</w:t>
      </w:r>
      <w:r w:rsidR="000B19B2">
        <w:rPr>
          <w:rFonts w:asciiTheme="majorHAnsi" w:hAnsiTheme="majorHAnsi"/>
          <w:lang w:val="en-AU"/>
        </w:rPr>
        <w:t xml:space="preserve"> is funded by a justice r</w:t>
      </w:r>
      <w:r w:rsidRPr="00987C86">
        <w:rPr>
          <w:rFonts w:asciiTheme="majorHAnsi" w:hAnsiTheme="majorHAnsi"/>
          <w:lang w:val="en-AU"/>
        </w:rPr>
        <w:t>einvestment approach. In doing so we build upon a number of earlier recommendations</w:t>
      </w:r>
      <w:r w:rsidR="00F40461">
        <w:rPr>
          <w:rFonts w:asciiTheme="majorHAnsi" w:hAnsiTheme="majorHAnsi"/>
          <w:lang w:val="en-AU"/>
        </w:rPr>
        <w:t xml:space="preserve"> calling for reform</w:t>
      </w:r>
      <w:r w:rsidRPr="00987C86">
        <w:rPr>
          <w:rFonts w:asciiTheme="majorHAnsi" w:hAnsiTheme="majorHAnsi"/>
          <w:lang w:val="en-AU"/>
        </w:rPr>
        <w:t xml:space="preserve">: </w:t>
      </w:r>
    </w:p>
    <w:p w14:paraId="2FB4D394" w14:textId="4905EF60" w:rsidR="00814869" w:rsidRPr="00987C86" w:rsidRDefault="00814869" w:rsidP="00644563">
      <w:pPr>
        <w:pStyle w:val="NormalWeb"/>
        <w:numPr>
          <w:ilvl w:val="0"/>
          <w:numId w:val="36"/>
        </w:numPr>
        <w:tabs>
          <w:tab w:val="clear" w:pos="720"/>
          <w:tab w:val="num" w:pos="360"/>
        </w:tabs>
        <w:spacing w:before="120" w:after="120"/>
        <w:ind w:left="357" w:hanging="357"/>
        <w:rPr>
          <w:rFonts w:asciiTheme="majorHAnsi" w:hAnsiTheme="majorHAnsi"/>
          <w:sz w:val="20"/>
          <w:szCs w:val="20"/>
          <w:lang w:val="en-AU"/>
        </w:rPr>
      </w:pPr>
      <w:r w:rsidRPr="00987C86">
        <w:rPr>
          <w:rFonts w:asciiTheme="majorHAnsi" w:hAnsiTheme="majorHAnsi"/>
          <w:lang w:val="en-AU"/>
        </w:rPr>
        <w:t xml:space="preserve">Recommendation 1 of the Aboriginal and Torres Strait Islander Social Justice Commissioner’s 2009 </w:t>
      </w:r>
      <w:r w:rsidRPr="00595AA7">
        <w:rPr>
          <w:rFonts w:asciiTheme="majorHAnsi" w:hAnsiTheme="majorHAnsi"/>
          <w:i/>
          <w:lang w:val="en-AU"/>
        </w:rPr>
        <w:t>Social Justice Report</w:t>
      </w:r>
      <w:r w:rsidRPr="00987C86">
        <w:rPr>
          <w:rFonts w:asciiTheme="majorHAnsi" w:hAnsiTheme="majorHAnsi"/>
          <w:lang w:val="en-AU"/>
        </w:rPr>
        <w:t xml:space="preserve"> that the Australian Government, through COAG, set criminal justice targets that are integrated into the Closing the Gap Strategy.</w:t>
      </w:r>
      <w:r w:rsidRPr="00987C86">
        <w:rPr>
          <w:rStyle w:val="EndnoteReference"/>
          <w:lang w:val="en-AU"/>
        </w:rPr>
        <w:endnoteReference w:id="217"/>
      </w:r>
    </w:p>
    <w:p w14:paraId="4725ADA1" w14:textId="27A69A79" w:rsidR="00814869" w:rsidRPr="00987C86" w:rsidRDefault="00814869" w:rsidP="00644563">
      <w:pPr>
        <w:pStyle w:val="NormalWeb"/>
        <w:numPr>
          <w:ilvl w:val="0"/>
          <w:numId w:val="36"/>
        </w:numPr>
        <w:tabs>
          <w:tab w:val="clear" w:pos="720"/>
          <w:tab w:val="num" w:pos="360"/>
        </w:tabs>
        <w:spacing w:before="120" w:after="120"/>
        <w:ind w:left="357" w:hanging="357"/>
        <w:rPr>
          <w:rFonts w:asciiTheme="majorHAnsi" w:hAnsiTheme="majorHAnsi"/>
          <w:lang w:val="en-AU"/>
        </w:rPr>
      </w:pPr>
      <w:r w:rsidRPr="00987C86">
        <w:rPr>
          <w:rFonts w:asciiTheme="majorHAnsi" w:hAnsiTheme="majorHAnsi"/>
          <w:lang w:val="en-AU"/>
        </w:rPr>
        <w:t>Recommendation 2 of the House of Representatives Standing Committee on Aboriginal and Torres Strait Islan</w:t>
      </w:r>
      <w:r w:rsidR="00595AA7">
        <w:rPr>
          <w:rFonts w:asciiTheme="majorHAnsi" w:hAnsiTheme="majorHAnsi"/>
          <w:lang w:val="en-AU"/>
        </w:rPr>
        <w:t xml:space="preserve">der Affairs’ June 2011 report, </w:t>
      </w:r>
      <w:r w:rsidRPr="00595AA7">
        <w:rPr>
          <w:rFonts w:asciiTheme="majorHAnsi" w:hAnsiTheme="majorHAnsi"/>
          <w:i/>
          <w:lang w:val="en-AU"/>
        </w:rPr>
        <w:t xml:space="preserve">Doing Time – Time for Doing: Indigenous youth </w:t>
      </w:r>
      <w:r w:rsidR="00595AA7" w:rsidRPr="00595AA7">
        <w:rPr>
          <w:rFonts w:asciiTheme="majorHAnsi" w:hAnsiTheme="majorHAnsi"/>
          <w:i/>
          <w:lang w:val="en-AU"/>
        </w:rPr>
        <w:t>in the criminal justice systems</w:t>
      </w:r>
      <w:r w:rsidRPr="00987C86">
        <w:rPr>
          <w:rFonts w:asciiTheme="majorHAnsi" w:hAnsiTheme="majorHAnsi"/>
          <w:lang w:val="en-AU"/>
        </w:rPr>
        <w:t xml:space="preserve"> that the Commonwealth Government endorse justice targets developed by the Standing Committee of Attorneys-General for inclusion in the Closing the Gap Strategy.</w:t>
      </w:r>
      <w:r w:rsidRPr="00987C86">
        <w:rPr>
          <w:rStyle w:val="EndnoteReference"/>
          <w:lang w:val="en-AU"/>
        </w:rPr>
        <w:endnoteReference w:id="218"/>
      </w:r>
      <w:r w:rsidRPr="00987C86">
        <w:rPr>
          <w:rFonts w:asciiTheme="majorHAnsi" w:hAnsiTheme="majorHAnsi"/>
          <w:lang w:val="en-AU"/>
        </w:rPr>
        <w:t xml:space="preserve"> </w:t>
      </w:r>
    </w:p>
    <w:p w14:paraId="0B82E3AA" w14:textId="5D02ADC3" w:rsidR="00814869" w:rsidRPr="00987C86" w:rsidRDefault="00814869" w:rsidP="00275667">
      <w:pPr>
        <w:rPr>
          <w:rFonts w:asciiTheme="majorHAnsi" w:hAnsiTheme="majorHAnsi"/>
          <w:lang w:val="en-AU"/>
        </w:rPr>
      </w:pPr>
      <w:r w:rsidRPr="00987C86">
        <w:rPr>
          <w:rFonts w:asciiTheme="majorHAnsi" w:hAnsiTheme="majorHAnsi"/>
          <w:lang w:val="en-AU"/>
        </w:rPr>
        <w:t xml:space="preserve">Justice reinvestment refers to policies that divert a portion of the funds for imprisonment to local communities where there is a high concentration of offenders. The money that would have been spent on imprisonment is reinvested into services that </w:t>
      </w:r>
      <w:r w:rsidR="00352704">
        <w:rPr>
          <w:rFonts w:asciiTheme="majorHAnsi" w:hAnsiTheme="majorHAnsi"/>
          <w:lang w:val="en-AU"/>
        </w:rPr>
        <w:t xml:space="preserve">empower communities to </w:t>
      </w:r>
      <w:r w:rsidRPr="00987C86">
        <w:rPr>
          <w:rFonts w:asciiTheme="majorHAnsi" w:hAnsiTheme="majorHAnsi"/>
          <w:lang w:val="en-AU"/>
        </w:rPr>
        <w:t>address the underlying causes of crime.</w:t>
      </w:r>
      <w:r w:rsidR="00D72E09">
        <w:rPr>
          <w:rFonts w:asciiTheme="majorHAnsi" w:hAnsiTheme="majorHAnsi"/>
          <w:lang w:val="en-AU"/>
        </w:rPr>
        <w:t xml:space="preserve"> </w:t>
      </w:r>
      <w:r w:rsidRPr="00987C86">
        <w:rPr>
          <w:rFonts w:asciiTheme="majorHAnsi" w:hAnsiTheme="majorHAnsi"/>
          <w:lang w:val="en-AU"/>
        </w:rPr>
        <w:t>This could be a particularly useful way of funding much needed mental health services and program</w:t>
      </w:r>
      <w:r w:rsidR="00EB1FA3">
        <w:rPr>
          <w:rFonts w:asciiTheme="majorHAnsi" w:hAnsiTheme="majorHAnsi"/>
          <w:lang w:val="en-AU"/>
        </w:rPr>
        <w:t>me</w:t>
      </w:r>
      <w:r w:rsidRPr="00987C86">
        <w:rPr>
          <w:rFonts w:asciiTheme="majorHAnsi" w:hAnsiTheme="majorHAnsi"/>
          <w:lang w:val="en-AU"/>
        </w:rPr>
        <w:t xml:space="preserve">s. </w:t>
      </w:r>
    </w:p>
    <w:p w14:paraId="3764B2FF" w14:textId="1BC5A661" w:rsidR="00814869" w:rsidRPr="00987C86" w:rsidRDefault="007A3C28" w:rsidP="006220E0">
      <w:pPr>
        <w:spacing w:before="240" w:after="240"/>
        <w:rPr>
          <w:rFonts w:asciiTheme="majorHAnsi" w:hAnsiTheme="majorHAnsi"/>
          <w:lang w:val="en-AU"/>
        </w:rPr>
      </w:pPr>
      <w:r>
        <w:rPr>
          <w:rFonts w:asciiTheme="majorHAnsi" w:hAnsiTheme="majorHAnsi"/>
          <w:lang w:val="en-AU"/>
        </w:rPr>
        <w:t>Of significant concern</w:t>
      </w:r>
      <w:r w:rsidR="00F40461">
        <w:rPr>
          <w:rFonts w:asciiTheme="majorHAnsi" w:hAnsiTheme="majorHAnsi"/>
          <w:lang w:val="en-AU"/>
        </w:rPr>
        <w:t xml:space="preserve"> is the finding in</w:t>
      </w:r>
      <w:r>
        <w:rPr>
          <w:rFonts w:asciiTheme="majorHAnsi" w:hAnsiTheme="majorHAnsi"/>
          <w:lang w:val="en-AU"/>
        </w:rPr>
        <w:t xml:space="preserve"> the </w:t>
      </w:r>
      <w:r w:rsidR="0089182A" w:rsidRPr="0089182A">
        <w:rPr>
          <w:rFonts w:asciiTheme="majorHAnsi" w:hAnsiTheme="majorHAnsi"/>
          <w:lang w:val="en-AU"/>
        </w:rPr>
        <w:t>OID</w:t>
      </w:r>
      <w:r w:rsidR="00814869" w:rsidRPr="0089182A">
        <w:rPr>
          <w:rFonts w:asciiTheme="majorHAnsi" w:hAnsiTheme="majorHAnsi"/>
          <w:lang w:val="en-AU"/>
        </w:rPr>
        <w:t xml:space="preserve"> 2014</w:t>
      </w:r>
      <w:r w:rsidR="00875E79">
        <w:rPr>
          <w:rFonts w:asciiTheme="majorHAnsi" w:hAnsiTheme="majorHAnsi"/>
          <w:lang w:val="en-AU"/>
        </w:rPr>
        <w:t xml:space="preserve"> </w:t>
      </w:r>
      <w:r w:rsidR="00875E79" w:rsidRPr="00AF7A64">
        <w:rPr>
          <w:rFonts w:asciiTheme="majorHAnsi" w:hAnsiTheme="majorHAnsi"/>
          <w:lang w:val="en-AU"/>
        </w:rPr>
        <w:t>Report</w:t>
      </w:r>
      <w:r w:rsidR="00AF7A64" w:rsidRPr="00AF7A64">
        <w:rPr>
          <w:rFonts w:asciiTheme="majorHAnsi" w:hAnsiTheme="majorHAnsi"/>
          <w:lang w:val="en-AU"/>
        </w:rPr>
        <w:t xml:space="preserve">, </w:t>
      </w:r>
      <w:r w:rsidRPr="00AF7A64">
        <w:rPr>
          <w:rFonts w:asciiTheme="majorHAnsi" w:hAnsiTheme="majorHAnsi"/>
          <w:lang w:val="en-AU"/>
        </w:rPr>
        <w:t>that</w:t>
      </w:r>
      <w:r>
        <w:rPr>
          <w:rFonts w:asciiTheme="majorHAnsi" w:hAnsiTheme="majorHAnsi"/>
          <w:lang w:val="en-AU"/>
        </w:rPr>
        <w:t xml:space="preserve"> </w:t>
      </w:r>
      <w:r w:rsidR="00814869" w:rsidRPr="00987C86">
        <w:rPr>
          <w:rFonts w:asciiTheme="majorHAnsi" w:hAnsiTheme="majorHAnsi"/>
          <w:lang w:val="en-AU"/>
        </w:rPr>
        <w:t>mental health (as indicated by rates of psychological distress)</w:t>
      </w:r>
      <w:r w:rsidR="00814869" w:rsidRPr="00987C86">
        <w:rPr>
          <w:rStyle w:val="EndnoteReference"/>
          <w:lang w:val="en-AU"/>
        </w:rPr>
        <w:endnoteReference w:id="219"/>
      </w:r>
      <w:r w:rsidR="00814869" w:rsidRPr="00987C86">
        <w:rPr>
          <w:rFonts w:asciiTheme="majorHAnsi" w:hAnsiTheme="majorHAnsi"/>
          <w:lang w:val="en-AU"/>
        </w:rPr>
        <w:t xml:space="preserve"> and rates of imprisonment and juvenile detention</w:t>
      </w:r>
      <w:r w:rsidR="00814869" w:rsidRPr="00987C86">
        <w:rPr>
          <w:rStyle w:val="EndnoteReference"/>
          <w:lang w:val="en-AU"/>
        </w:rPr>
        <w:endnoteReference w:id="220"/>
      </w:r>
      <w:r w:rsidR="00814869" w:rsidRPr="00987C86">
        <w:rPr>
          <w:rFonts w:asciiTheme="majorHAnsi" w:hAnsiTheme="majorHAnsi"/>
          <w:lang w:val="en-AU"/>
        </w:rPr>
        <w:t xml:space="preserve"> were getting worse over time. This approach could help address both.</w:t>
      </w:r>
    </w:p>
    <w:p w14:paraId="2D33A9FE" w14:textId="16F0EF45" w:rsidR="00814869" w:rsidRPr="00987C86" w:rsidRDefault="00814869" w:rsidP="006220E0">
      <w:pPr>
        <w:spacing w:before="240" w:after="240"/>
        <w:rPr>
          <w:rFonts w:asciiTheme="majorHAnsi" w:hAnsiTheme="majorHAnsi"/>
          <w:lang w:val="en-AU"/>
        </w:rPr>
      </w:pPr>
      <w:r w:rsidRPr="00987C86">
        <w:rPr>
          <w:rFonts w:asciiTheme="majorHAnsi" w:hAnsiTheme="majorHAnsi"/>
          <w:lang w:val="en-AU"/>
        </w:rPr>
        <w:t xml:space="preserve">As discussed in last year’s </w:t>
      </w:r>
      <w:r w:rsidR="00AF7A64" w:rsidRPr="00AF7A64">
        <w:rPr>
          <w:rFonts w:asciiTheme="majorHAnsi" w:hAnsiTheme="majorHAnsi"/>
          <w:i/>
          <w:lang w:val="en-AU"/>
        </w:rPr>
        <w:t>Progress and priorities report</w:t>
      </w:r>
      <w:r w:rsidRPr="00987C86">
        <w:rPr>
          <w:rFonts w:asciiTheme="majorHAnsi" w:hAnsiTheme="majorHAnsi"/>
          <w:lang w:val="en-AU"/>
        </w:rPr>
        <w:t>, the incidence of mental health conditions and substance abuse problems among the Aboriginal and Torres Strait Islander prison population is apparent.  A 2009 survey of New Sout</w:t>
      </w:r>
      <w:r w:rsidR="000B19B2">
        <w:rPr>
          <w:rFonts w:asciiTheme="majorHAnsi" w:hAnsiTheme="majorHAnsi"/>
          <w:lang w:val="en-AU"/>
        </w:rPr>
        <w:t>h Wales prisoners found that 55 percent</w:t>
      </w:r>
      <w:r w:rsidRPr="00987C86">
        <w:rPr>
          <w:rFonts w:asciiTheme="majorHAnsi" w:hAnsiTheme="majorHAnsi"/>
          <w:lang w:val="en-AU"/>
        </w:rPr>
        <w:t xml:space="preserve"> of Aboriginal and Torres Strait </w:t>
      </w:r>
      <w:r w:rsidR="000B19B2">
        <w:rPr>
          <w:rFonts w:asciiTheme="majorHAnsi" w:hAnsiTheme="majorHAnsi"/>
          <w:lang w:val="en-AU"/>
        </w:rPr>
        <w:t>Islander men and 64 percent</w:t>
      </w:r>
      <w:r w:rsidRPr="00987C86">
        <w:rPr>
          <w:rFonts w:asciiTheme="majorHAnsi" w:hAnsiTheme="majorHAnsi"/>
          <w:lang w:val="en-AU"/>
        </w:rPr>
        <w:t xml:space="preserve"> of women reported an association between drug use and their offenc</w:t>
      </w:r>
      <w:r w:rsidR="000B19B2">
        <w:rPr>
          <w:rFonts w:asciiTheme="majorHAnsi" w:hAnsiTheme="majorHAnsi"/>
          <w:lang w:val="en-AU"/>
        </w:rPr>
        <w:t>e. In the same sample group, 55 percent of men and 48 percent</w:t>
      </w:r>
      <w:r w:rsidRPr="00987C86">
        <w:rPr>
          <w:rFonts w:asciiTheme="majorHAnsi" w:hAnsiTheme="majorHAnsi"/>
          <w:lang w:val="en-AU"/>
        </w:rPr>
        <w:t xml:space="preserve"> of women self-reported mental health conditions.</w:t>
      </w:r>
      <w:r w:rsidRPr="00987C86">
        <w:rPr>
          <w:rFonts w:asciiTheme="majorHAnsi" w:hAnsiTheme="majorHAnsi"/>
          <w:vertAlign w:val="superscript"/>
          <w:lang w:val="en-AU"/>
        </w:rPr>
        <w:endnoteReference w:id="221"/>
      </w:r>
      <w:r w:rsidRPr="00987C86">
        <w:rPr>
          <w:rFonts w:asciiTheme="majorHAnsi" w:hAnsiTheme="majorHAnsi"/>
          <w:lang w:val="en-AU"/>
        </w:rPr>
        <w:t xml:space="preserve"> In an even more recent Queensland study, at least one mental health con</w:t>
      </w:r>
      <w:r w:rsidR="000B19B2">
        <w:rPr>
          <w:rFonts w:asciiTheme="majorHAnsi" w:hAnsiTheme="majorHAnsi"/>
          <w:lang w:val="en-AU"/>
        </w:rPr>
        <w:t>dition was detected in 73 percent of male and 86 percent</w:t>
      </w:r>
      <w:r w:rsidRPr="00987C86">
        <w:rPr>
          <w:rFonts w:asciiTheme="majorHAnsi" w:hAnsiTheme="majorHAnsi"/>
          <w:lang w:val="en-AU"/>
        </w:rPr>
        <w:t xml:space="preserve"> of female Aboriginal and Torres Str</w:t>
      </w:r>
      <w:r w:rsidR="000B19B2">
        <w:rPr>
          <w:rFonts w:asciiTheme="majorHAnsi" w:hAnsiTheme="majorHAnsi"/>
          <w:lang w:val="en-AU"/>
        </w:rPr>
        <w:t>ait Islander prisoners; with 12 percent of males and 32 percent</w:t>
      </w:r>
      <w:r w:rsidRPr="00987C86">
        <w:rPr>
          <w:rFonts w:asciiTheme="majorHAnsi" w:hAnsiTheme="majorHAnsi"/>
          <w:lang w:val="en-AU"/>
        </w:rPr>
        <w:t xml:space="preserve"> of females diagnosed with Post-Traumatic Stress Disorder.</w:t>
      </w:r>
      <w:r w:rsidRPr="00987C86">
        <w:rPr>
          <w:rFonts w:asciiTheme="majorHAnsi" w:hAnsiTheme="majorHAnsi"/>
          <w:vertAlign w:val="superscript"/>
          <w:lang w:val="en-AU"/>
        </w:rPr>
        <w:endnoteReference w:id="222"/>
      </w:r>
    </w:p>
    <w:p w14:paraId="320D4872" w14:textId="14CE55D3" w:rsidR="00814869" w:rsidRPr="00987C86" w:rsidRDefault="00814869" w:rsidP="006220E0">
      <w:pPr>
        <w:spacing w:before="240" w:after="240"/>
        <w:rPr>
          <w:rFonts w:asciiTheme="majorHAnsi" w:hAnsiTheme="majorHAnsi"/>
          <w:lang w:val="en-AU"/>
        </w:rPr>
      </w:pPr>
      <w:r w:rsidRPr="00987C86">
        <w:rPr>
          <w:rFonts w:asciiTheme="majorHAnsi" w:hAnsiTheme="majorHAnsi"/>
          <w:lang w:val="en-AU"/>
        </w:rPr>
        <w:t xml:space="preserve">The </w:t>
      </w:r>
      <w:r w:rsidR="00AF7A64">
        <w:rPr>
          <w:rFonts w:asciiTheme="majorHAnsi" w:hAnsiTheme="majorHAnsi"/>
          <w:lang w:val="en-AU"/>
        </w:rPr>
        <w:t>IAS</w:t>
      </w:r>
      <w:r w:rsidRPr="00987C86">
        <w:rPr>
          <w:rFonts w:asciiTheme="majorHAnsi" w:hAnsiTheme="majorHAnsi"/>
          <w:lang w:val="en-AU"/>
        </w:rPr>
        <w:t xml:space="preserve"> could also be meaningfully connected to this approach. After all, a prison record can be a major barrier to employment and families with members in prison are put under tremendous financial and emotional stress with the major impact being felt by children – potentially affecting </w:t>
      </w:r>
      <w:r w:rsidRPr="00987C86">
        <w:rPr>
          <w:rFonts w:asciiTheme="majorHAnsi" w:hAnsiTheme="majorHAnsi"/>
          <w:lang w:val="en-AU"/>
        </w:rPr>
        <w:lastRenderedPageBreak/>
        <w:t xml:space="preserve">school attendance and performance. </w:t>
      </w:r>
      <w:r w:rsidR="00431F1A" w:rsidRPr="00987C86">
        <w:rPr>
          <w:rFonts w:asciiTheme="majorHAnsi" w:hAnsiTheme="majorHAnsi"/>
          <w:lang w:val="en-AU"/>
        </w:rPr>
        <w:t>Effective implementation of a justice reinvestment programme will immediately reduce the number of victims and make our communities safer.</w:t>
      </w:r>
    </w:p>
    <w:tbl>
      <w:tblPr>
        <w:tblStyle w:val="TableGrid"/>
        <w:tblW w:w="0" w:type="auto"/>
        <w:tblLook w:val="04A0" w:firstRow="1" w:lastRow="0" w:firstColumn="1" w:lastColumn="0" w:noHBand="0" w:noVBand="1"/>
      </w:tblPr>
      <w:tblGrid>
        <w:gridCol w:w="9286"/>
      </w:tblGrid>
      <w:tr w:rsidR="00814869" w:rsidRPr="006A24D8" w14:paraId="36D84360" w14:textId="77777777" w:rsidTr="006220E0">
        <w:tc>
          <w:tcPr>
            <w:tcW w:w="9286" w:type="dxa"/>
            <w:shd w:val="clear" w:color="auto" w:fill="EEECE1" w:themeFill="background2"/>
          </w:tcPr>
          <w:p w14:paraId="42A108B8" w14:textId="3C429B53" w:rsidR="00814869" w:rsidRPr="00987C86" w:rsidRDefault="006A7E17" w:rsidP="00FB0D9D">
            <w:pPr>
              <w:spacing w:after="0"/>
              <w:rPr>
                <w:b/>
                <w:lang w:val="en-AU"/>
              </w:rPr>
            </w:pPr>
            <w:r>
              <w:rPr>
                <w:rFonts w:cs="Calibri"/>
                <w:b/>
                <w:bCs/>
                <w:color w:val="000000"/>
                <w:lang w:val="en-AU"/>
              </w:rPr>
              <w:t>Recommendation 8</w:t>
            </w:r>
            <w:r w:rsidR="00814869" w:rsidRPr="00987C86">
              <w:rPr>
                <w:rFonts w:cs="Calibri"/>
                <w:b/>
                <w:bCs/>
                <w:color w:val="000000"/>
                <w:lang w:val="en-AU"/>
              </w:rPr>
              <w:t xml:space="preserve">: </w:t>
            </w:r>
            <w:r w:rsidR="00F40461">
              <w:rPr>
                <w:b/>
                <w:lang w:val="en-AU"/>
              </w:rPr>
              <w:t xml:space="preserve">That </w:t>
            </w:r>
            <w:r w:rsidR="00FA24F0">
              <w:rPr>
                <w:b/>
                <w:lang w:val="en-AU"/>
              </w:rPr>
              <w:t>Closing the Gap T</w:t>
            </w:r>
            <w:r w:rsidR="00814869" w:rsidRPr="00987C86">
              <w:rPr>
                <w:b/>
                <w:lang w:val="en-AU"/>
              </w:rPr>
              <w:t>arget</w:t>
            </w:r>
            <w:r w:rsidR="00D72E09">
              <w:rPr>
                <w:b/>
                <w:lang w:val="en-AU"/>
              </w:rPr>
              <w:t>s</w:t>
            </w:r>
            <w:r w:rsidR="00814869" w:rsidRPr="00987C86">
              <w:rPr>
                <w:b/>
                <w:lang w:val="en-AU"/>
              </w:rPr>
              <w:t xml:space="preserve"> to reduce imprisonment </w:t>
            </w:r>
            <w:r w:rsidR="00D72E09">
              <w:rPr>
                <w:b/>
                <w:lang w:val="en-AU"/>
              </w:rPr>
              <w:t xml:space="preserve">and violence </w:t>
            </w:r>
            <w:r w:rsidR="00814869" w:rsidRPr="00987C86">
              <w:rPr>
                <w:b/>
                <w:lang w:val="en-AU"/>
              </w:rPr>
              <w:t>rates</w:t>
            </w:r>
            <w:r w:rsidR="00F40461">
              <w:rPr>
                <w:b/>
                <w:lang w:val="en-AU"/>
              </w:rPr>
              <w:t xml:space="preserve"> </w:t>
            </w:r>
            <w:r w:rsidR="00D72E09">
              <w:rPr>
                <w:b/>
                <w:lang w:val="en-AU"/>
              </w:rPr>
              <w:t>are</w:t>
            </w:r>
            <w:r w:rsidR="00F40461">
              <w:rPr>
                <w:b/>
                <w:lang w:val="en-AU"/>
              </w:rPr>
              <w:t xml:space="preserve"> developed</w:t>
            </w:r>
            <w:r w:rsidR="00875E79">
              <w:rPr>
                <w:b/>
                <w:lang w:val="en-AU"/>
              </w:rPr>
              <w:t>,</w:t>
            </w:r>
            <w:r w:rsidR="00814869" w:rsidRPr="00987C86">
              <w:rPr>
                <w:b/>
                <w:lang w:val="en-AU"/>
              </w:rPr>
              <w:t xml:space="preserve"> and activity towards reaching the </w:t>
            </w:r>
            <w:r w:rsidR="00FA24F0">
              <w:rPr>
                <w:b/>
                <w:lang w:val="en-AU"/>
              </w:rPr>
              <w:t>T</w:t>
            </w:r>
            <w:r w:rsidR="00814869" w:rsidRPr="00987C86">
              <w:rPr>
                <w:b/>
                <w:lang w:val="en-AU"/>
              </w:rPr>
              <w:t>a</w:t>
            </w:r>
            <w:r w:rsidR="00595AA7">
              <w:rPr>
                <w:b/>
                <w:lang w:val="en-AU"/>
              </w:rPr>
              <w:t>rget</w:t>
            </w:r>
            <w:r w:rsidR="00D72E09">
              <w:rPr>
                <w:b/>
                <w:lang w:val="en-AU"/>
              </w:rPr>
              <w:t xml:space="preserve">s is </w:t>
            </w:r>
            <w:r w:rsidR="00595AA7">
              <w:rPr>
                <w:b/>
                <w:lang w:val="en-AU"/>
              </w:rPr>
              <w:t>funded through justice r</w:t>
            </w:r>
            <w:r w:rsidR="00814869" w:rsidRPr="00987C86">
              <w:rPr>
                <w:b/>
                <w:lang w:val="en-AU"/>
              </w:rPr>
              <w:t>einvestment measures.</w:t>
            </w:r>
          </w:p>
        </w:tc>
      </w:tr>
    </w:tbl>
    <w:p w14:paraId="219D8D1F" w14:textId="667ADEAA" w:rsidR="00814869" w:rsidRPr="00987C86" w:rsidRDefault="00A52534" w:rsidP="007C588A">
      <w:pPr>
        <w:pStyle w:val="Heading2"/>
        <w:rPr>
          <w:lang w:val="en-AU"/>
        </w:rPr>
      </w:pPr>
      <w:bookmarkStart w:id="34" w:name="_Toc409788739"/>
      <w:r>
        <w:rPr>
          <w:lang w:val="en-AU"/>
        </w:rPr>
        <w:t>Health in all Aboriginal and Torres Strait Islander policy approach</w:t>
      </w:r>
      <w:bookmarkEnd w:id="34"/>
      <w:r w:rsidRPr="00987C86">
        <w:rPr>
          <w:lang w:val="en-AU"/>
        </w:rPr>
        <w:t xml:space="preserve"> </w:t>
      </w:r>
    </w:p>
    <w:p w14:paraId="343BB089" w14:textId="624D959E" w:rsidR="00814869" w:rsidRPr="00987C86" w:rsidRDefault="00861615" w:rsidP="006E4A9F">
      <w:pPr>
        <w:widowControl w:val="0"/>
        <w:autoSpaceDE w:val="0"/>
        <w:autoSpaceDN w:val="0"/>
        <w:adjustRightInd w:val="0"/>
        <w:spacing w:before="240" w:after="240"/>
        <w:rPr>
          <w:rFonts w:asciiTheme="majorHAnsi" w:eastAsiaTheme="minorEastAsia" w:hAnsiTheme="majorHAnsi" w:cs="Helvetica"/>
          <w:color w:val="1C1C1C"/>
          <w:lang w:val="en-AU" w:eastAsia="ja-JP"/>
        </w:rPr>
      </w:pPr>
      <w:r>
        <w:rPr>
          <w:rFonts w:asciiTheme="majorHAnsi" w:eastAsiaTheme="minorEastAsia" w:hAnsiTheme="majorHAnsi" w:cs="Helvetica"/>
          <w:color w:val="1C1C1C"/>
          <w:lang w:val="en-AU" w:eastAsia="ja-JP"/>
        </w:rPr>
        <w:t xml:space="preserve">An </w:t>
      </w:r>
      <w:r w:rsidR="00DF327A">
        <w:rPr>
          <w:rFonts w:asciiTheme="majorHAnsi" w:eastAsiaTheme="minorEastAsia" w:hAnsiTheme="majorHAnsi" w:cs="Helvetica"/>
          <w:color w:val="1C1C1C"/>
          <w:lang w:val="en-AU" w:eastAsia="ja-JP"/>
        </w:rPr>
        <w:t>analysis</w:t>
      </w:r>
      <w:r>
        <w:rPr>
          <w:rFonts w:asciiTheme="majorHAnsi" w:eastAsiaTheme="minorEastAsia" w:hAnsiTheme="majorHAnsi" w:cs="Helvetica"/>
          <w:color w:val="1C1C1C"/>
          <w:lang w:val="en-AU" w:eastAsia="ja-JP"/>
        </w:rPr>
        <w:t xml:space="preserve"> by AIHW</w:t>
      </w:r>
      <w:r w:rsidR="00DF327A">
        <w:rPr>
          <w:rFonts w:asciiTheme="majorHAnsi" w:eastAsiaTheme="minorEastAsia" w:hAnsiTheme="majorHAnsi" w:cs="Helvetica"/>
          <w:color w:val="1C1C1C"/>
          <w:lang w:val="en-AU" w:eastAsia="ja-JP"/>
        </w:rPr>
        <w:t xml:space="preserve"> suggests that </w:t>
      </w:r>
      <w:r w:rsidR="006926F9">
        <w:rPr>
          <w:rFonts w:asciiTheme="majorHAnsi" w:eastAsiaTheme="minorEastAsia" w:hAnsiTheme="majorHAnsi" w:cs="Helvetica"/>
          <w:color w:val="1C1C1C"/>
          <w:lang w:val="en-AU" w:eastAsia="ja-JP"/>
        </w:rPr>
        <w:t xml:space="preserve">the </w:t>
      </w:r>
      <w:r w:rsidR="00DF327A">
        <w:rPr>
          <w:rFonts w:asciiTheme="majorHAnsi" w:eastAsiaTheme="minorEastAsia" w:hAnsiTheme="majorHAnsi" w:cs="Helvetica"/>
          <w:color w:val="1C1C1C"/>
          <w:lang w:val="en-AU" w:eastAsia="ja-JP"/>
        </w:rPr>
        <w:t>social determinants account for a larger proportion of the health gap between Aboriginal and Torres Strait Islander people and non-Indigenous Australians</w:t>
      </w:r>
      <w:r w:rsidR="006312E7">
        <w:rPr>
          <w:rFonts w:asciiTheme="majorHAnsi" w:eastAsiaTheme="minorEastAsia" w:hAnsiTheme="majorHAnsi" w:cs="Helvetica"/>
          <w:color w:val="1C1C1C"/>
          <w:lang w:val="en-AU" w:eastAsia="ja-JP"/>
        </w:rPr>
        <w:t xml:space="preserve"> than behavioural risk factors</w:t>
      </w:r>
      <w:r w:rsidR="00DF327A">
        <w:rPr>
          <w:rFonts w:asciiTheme="majorHAnsi" w:eastAsiaTheme="minorEastAsia" w:hAnsiTheme="majorHAnsi" w:cs="Helvetica"/>
          <w:color w:val="1C1C1C"/>
          <w:lang w:val="en-AU" w:eastAsia="ja-JP"/>
        </w:rPr>
        <w:t xml:space="preserve">. </w:t>
      </w:r>
      <w:r w:rsidR="006926F9">
        <w:rPr>
          <w:rFonts w:asciiTheme="majorHAnsi" w:eastAsiaTheme="minorEastAsia" w:hAnsiTheme="majorHAnsi" w:cs="Helvetica"/>
          <w:color w:val="1C1C1C"/>
          <w:lang w:val="en-AU" w:eastAsia="ja-JP"/>
        </w:rPr>
        <w:t>I</w:t>
      </w:r>
      <w:r w:rsidR="00A52534">
        <w:rPr>
          <w:rFonts w:asciiTheme="majorHAnsi" w:eastAsiaTheme="minorEastAsia" w:hAnsiTheme="majorHAnsi" w:cs="Helvetica"/>
          <w:color w:val="1C1C1C"/>
          <w:lang w:val="en-AU" w:eastAsia="ja-JP"/>
        </w:rPr>
        <w:t>ndividually</w:t>
      </w:r>
      <w:r w:rsidR="00FB0D9D">
        <w:rPr>
          <w:rFonts w:asciiTheme="majorHAnsi" w:eastAsiaTheme="minorEastAsia" w:hAnsiTheme="majorHAnsi" w:cs="Helvetica"/>
          <w:color w:val="1C1C1C"/>
          <w:lang w:val="en-AU" w:eastAsia="ja-JP"/>
        </w:rPr>
        <w:t>,</w:t>
      </w:r>
      <w:r w:rsidR="00A52534">
        <w:rPr>
          <w:rFonts w:asciiTheme="majorHAnsi" w:eastAsiaTheme="minorEastAsia" w:hAnsiTheme="majorHAnsi" w:cs="Helvetica"/>
          <w:color w:val="1C1C1C"/>
          <w:lang w:val="en-AU" w:eastAsia="ja-JP"/>
        </w:rPr>
        <w:t xml:space="preserve"> social </w:t>
      </w:r>
      <w:r w:rsidR="00DF327A">
        <w:rPr>
          <w:rFonts w:asciiTheme="majorHAnsi" w:eastAsiaTheme="minorEastAsia" w:hAnsiTheme="majorHAnsi" w:cs="Helvetica"/>
          <w:color w:val="1C1C1C"/>
          <w:lang w:val="en-AU" w:eastAsia="ja-JP"/>
        </w:rPr>
        <w:t>determinants</w:t>
      </w:r>
      <w:r w:rsidR="00A52534">
        <w:rPr>
          <w:rFonts w:asciiTheme="majorHAnsi" w:eastAsiaTheme="minorEastAsia" w:hAnsiTheme="majorHAnsi" w:cs="Helvetica"/>
          <w:color w:val="1C1C1C"/>
          <w:lang w:val="en-AU" w:eastAsia="ja-JP"/>
        </w:rPr>
        <w:t xml:space="preserve"> </w:t>
      </w:r>
      <w:r w:rsidR="00DF327A">
        <w:rPr>
          <w:rFonts w:asciiTheme="majorHAnsi" w:eastAsiaTheme="minorEastAsia" w:hAnsiTheme="majorHAnsi" w:cs="Helvetica"/>
          <w:color w:val="1C1C1C"/>
          <w:lang w:val="en-AU" w:eastAsia="ja-JP"/>
        </w:rPr>
        <w:t>were estimated to be responsible for 31 percent of the</w:t>
      </w:r>
      <w:r w:rsidR="006926F9">
        <w:rPr>
          <w:rFonts w:asciiTheme="majorHAnsi" w:eastAsiaTheme="minorEastAsia" w:hAnsiTheme="majorHAnsi" w:cs="Helvetica"/>
          <w:color w:val="1C1C1C"/>
          <w:lang w:val="en-AU" w:eastAsia="ja-JP"/>
        </w:rPr>
        <w:t xml:space="preserve"> gap, compared with 11 percent for behavioural risk factors.</w:t>
      </w:r>
      <w:r w:rsidR="006926F9">
        <w:rPr>
          <w:rStyle w:val="EndnoteReference"/>
          <w:rFonts w:eastAsiaTheme="minorEastAsia" w:cs="Helvetica"/>
          <w:color w:val="1C1C1C"/>
          <w:lang w:val="en-AU" w:eastAsia="ja-JP"/>
        </w:rPr>
        <w:endnoteReference w:id="223"/>
      </w:r>
      <w:r w:rsidR="006926F9">
        <w:rPr>
          <w:rFonts w:asciiTheme="majorHAnsi" w:eastAsiaTheme="minorEastAsia" w:hAnsiTheme="majorHAnsi" w:cs="Helvetica"/>
          <w:color w:val="1C1C1C"/>
          <w:lang w:val="en-AU" w:eastAsia="ja-JP"/>
        </w:rPr>
        <w:t xml:space="preserve"> Interactions between social determinants and behavioural risk factors were estimated to account for a further 15 percent of the gap.</w:t>
      </w:r>
      <w:r w:rsidR="006926F9">
        <w:rPr>
          <w:rStyle w:val="EndnoteReference"/>
          <w:rFonts w:eastAsiaTheme="minorEastAsia" w:cs="Helvetica"/>
          <w:color w:val="1C1C1C"/>
          <w:lang w:val="en-AU" w:eastAsia="ja-JP"/>
        </w:rPr>
        <w:endnoteReference w:id="224"/>
      </w:r>
    </w:p>
    <w:p w14:paraId="66C0E426" w14:textId="77777777" w:rsidR="009D2C98" w:rsidRDefault="007E1591" w:rsidP="009D2C98">
      <w:pPr>
        <w:widowControl w:val="0"/>
        <w:autoSpaceDE w:val="0"/>
        <w:autoSpaceDN w:val="0"/>
        <w:adjustRightInd w:val="0"/>
        <w:spacing w:before="240" w:after="240"/>
        <w:rPr>
          <w:rFonts w:asciiTheme="majorHAnsi" w:eastAsiaTheme="minorEastAsia" w:hAnsiTheme="majorHAnsi" w:cs="Helvetica"/>
          <w:color w:val="1C1C1C"/>
          <w:lang w:val="en-AU" w:eastAsia="ja-JP"/>
        </w:rPr>
      </w:pPr>
      <w:r>
        <w:rPr>
          <w:rFonts w:asciiTheme="majorHAnsi" w:eastAsiaTheme="minorEastAsia" w:hAnsiTheme="majorHAnsi" w:cs="Helvetica"/>
          <w:color w:val="1C1C1C"/>
          <w:lang w:val="en-AU" w:eastAsia="ja-JP"/>
        </w:rPr>
        <w:t>It is clear that Aboriginal and Torres Strait Islander h</w:t>
      </w:r>
      <w:r w:rsidRPr="007E1591">
        <w:rPr>
          <w:rFonts w:asciiTheme="majorHAnsi" w:eastAsiaTheme="minorEastAsia" w:hAnsiTheme="majorHAnsi" w:cs="Helvetica"/>
          <w:color w:val="1C1C1C"/>
          <w:lang w:val="en-AU" w:eastAsia="ja-JP"/>
        </w:rPr>
        <w:t xml:space="preserve">ealth </w:t>
      </w:r>
      <w:r>
        <w:rPr>
          <w:rFonts w:asciiTheme="majorHAnsi" w:eastAsiaTheme="minorEastAsia" w:hAnsiTheme="majorHAnsi" w:cs="Helvetica"/>
          <w:color w:val="1C1C1C"/>
          <w:lang w:val="en-AU" w:eastAsia="ja-JP"/>
        </w:rPr>
        <w:t xml:space="preserve">outcomes are significantly influenced </w:t>
      </w:r>
      <w:r w:rsidRPr="007E1591">
        <w:rPr>
          <w:rFonts w:asciiTheme="majorHAnsi" w:eastAsiaTheme="minorEastAsia" w:hAnsiTheme="majorHAnsi" w:cs="Helvetica"/>
          <w:color w:val="1C1C1C"/>
          <w:lang w:val="en-AU" w:eastAsia="ja-JP"/>
        </w:rPr>
        <w:t>by many determinants outside the direct control of the health sector.</w:t>
      </w:r>
      <w:r w:rsidR="00C31AD2">
        <w:rPr>
          <w:rFonts w:asciiTheme="majorHAnsi" w:eastAsiaTheme="minorEastAsia" w:hAnsiTheme="majorHAnsi" w:cs="Helvetica"/>
          <w:color w:val="1C1C1C"/>
          <w:lang w:val="en-AU" w:eastAsia="ja-JP"/>
        </w:rPr>
        <w:t xml:space="preserve"> Consequently, it is imperative that</w:t>
      </w:r>
      <w:r w:rsidR="006312E7">
        <w:rPr>
          <w:rFonts w:asciiTheme="majorHAnsi" w:eastAsiaTheme="minorEastAsia" w:hAnsiTheme="majorHAnsi" w:cs="Helvetica"/>
          <w:color w:val="1C1C1C"/>
          <w:lang w:val="en-AU" w:eastAsia="ja-JP"/>
        </w:rPr>
        <w:t xml:space="preserve"> </w:t>
      </w:r>
      <w:r w:rsidR="00C31AD2">
        <w:rPr>
          <w:rFonts w:asciiTheme="majorHAnsi" w:eastAsiaTheme="minorEastAsia" w:hAnsiTheme="majorHAnsi" w:cs="Helvetica"/>
          <w:color w:val="1C1C1C"/>
          <w:lang w:val="en-AU" w:eastAsia="ja-JP"/>
        </w:rPr>
        <w:t>policies from outside the health sector are developed considering the</w:t>
      </w:r>
      <w:r w:rsidR="006312E7">
        <w:rPr>
          <w:rFonts w:asciiTheme="majorHAnsi" w:eastAsiaTheme="minorEastAsia" w:hAnsiTheme="majorHAnsi" w:cs="Helvetica"/>
          <w:color w:val="1C1C1C"/>
          <w:lang w:val="en-AU" w:eastAsia="ja-JP"/>
        </w:rPr>
        <w:t>ir</w:t>
      </w:r>
      <w:r w:rsidR="00C31AD2">
        <w:rPr>
          <w:rFonts w:asciiTheme="majorHAnsi" w:eastAsiaTheme="minorEastAsia" w:hAnsiTheme="majorHAnsi" w:cs="Helvetica"/>
          <w:color w:val="1C1C1C"/>
          <w:lang w:val="en-AU" w:eastAsia="ja-JP"/>
        </w:rPr>
        <w:t xml:space="preserve"> impact, positive or negative, on Aboriginal and Torres Strait Islander </w:t>
      </w:r>
      <w:r w:rsidR="006312E7">
        <w:rPr>
          <w:rFonts w:asciiTheme="majorHAnsi" w:eastAsiaTheme="minorEastAsia" w:hAnsiTheme="majorHAnsi" w:cs="Helvetica"/>
          <w:color w:val="1C1C1C"/>
          <w:lang w:val="en-AU" w:eastAsia="ja-JP"/>
        </w:rPr>
        <w:t>h</w:t>
      </w:r>
      <w:r w:rsidR="00C31AD2">
        <w:rPr>
          <w:rFonts w:asciiTheme="majorHAnsi" w:eastAsiaTheme="minorEastAsia" w:hAnsiTheme="majorHAnsi" w:cs="Helvetica"/>
          <w:color w:val="1C1C1C"/>
          <w:lang w:val="en-AU" w:eastAsia="ja-JP"/>
        </w:rPr>
        <w:t>ealth</w:t>
      </w:r>
      <w:r w:rsidR="006312E7">
        <w:rPr>
          <w:rFonts w:asciiTheme="majorHAnsi" w:eastAsiaTheme="minorEastAsia" w:hAnsiTheme="majorHAnsi" w:cs="Helvetica"/>
          <w:color w:val="1C1C1C"/>
          <w:lang w:val="en-AU" w:eastAsia="ja-JP"/>
        </w:rPr>
        <w:t xml:space="preserve"> outcomes</w:t>
      </w:r>
      <w:r w:rsidR="00C31AD2">
        <w:rPr>
          <w:rFonts w:asciiTheme="majorHAnsi" w:eastAsiaTheme="minorEastAsia" w:hAnsiTheme="majorHAnsi" w:cs="Helvetica"/>
          <w:color w:val="1C1C1C"/>
          <w:lang w:val="en-AU" w:eastAsia="ja-JP"/>
        </w:rPr>
        <w:t>. Unfortunately this is rarely the case</w:t>
      </w:r>
      <w:r w:rsidR="00814869" w:rsidRPr="000B19B2">
        <w:rPr>
          <w:rFonts w:asciiTheme="majorHAnsi" w:eastAsiaTheme="minorEastAsia" w:hAnsiTheme="majorHAnsi" w:cs="Helvetica"/>
          <w:color w:val="1C1C1C"/>
          <w:lang w:val="en-AU" w:eastAsia="ja-JP"/>
        </w:rPr>
        <w:t xml:space="preserve">. </w:t>
      </w:r>
    </w:p>
    <w:p w14:paraId="3552D332" w14:textId="10FD8663" w:rsidR="00A64C6A" w:rsidRDefault="00A64C6A" w:rsidP="009D2C98">
      <w:pPr>
        <w:widowControl w:val="0"/>
        <w:autoSpaceDE w:val="0"/>
        <w:autoSpaceDN w:val="0"/>
        <w:adjustRightInd w:val="0"/>
        <w:spacing w:before="240" w:after="240"/>
        <w:rPr>
          <w:rFonts w:asciiTheme="majorHAnsi" w:eastAsiaTheme="minorEastAsia" w:hAnsiTheme="majorHAnsi" w:cs="Helvetica"/>
          <w:color w:val="1C1C1C"/>
          <w:lang w:val="en-AU" w:eastAsia="ja-JP"/>
        </w:rPr>
      </w:pPr>
      <w:r>
        <w:rPr>
          <w:rFonts w:asciiTheme="majorHAnsi" w:eastAsiaTheme="minorEastAsia" w:hAnsiTheme="majorHAnsi" w:cs="Helvetica"/>
          <w:color w:val="1C1C1C"/>
          <w:lang w:val="en-AU" w:eastAsia="ja-JP"/>
        </w:rPr>
        <w:t>The Campaign Steering Committee believes that the time has come to ensure that the Aboriginal and Torres Strait Islander health impacts are actively considered in all policies from de</w:t>
      </w:r>
      <w:r w:rsidR="00B03B57">
        <w:rPr>
          <w:rFonts w:asciiTheme="majorHAnsi" w:eastAsiaTheme="minorEastAsia" w:hAnsiTheme="majorHAnsi" w:cs="Helvetica"/>
          <w:color w:val="1C1C1C"/>
          <w:lang w:val="en-AU" w:eastAsia="ja-JP"/>
        </w:rPr>
        <w:t>sign through to implementation. This would</w:t>
      </w:r>
      <w:r w:rsidR="008D3674">
        <w:rPr>
          <w:rFonts w:asciiTheme="majorHAnsi" w:eastAsiaTheme="minorEastAsia" w:hAnsiTheme="majorHAnsi" w:cs="Helvetica"/>
          <w:color w:val="1C1C1C"/>
          <w:lang w:val="en-AU" w:eastAsia="ja-JP"/>
        </w:rPr>
        <w:t xml:space="preserve"> adequately</w:t>
      </w:r>
      <w:r w:rsidR="00B03B57">
        <w:rPr>
          <w:rFonts w:asciiTheme="majorHAnsi" w:eastAsiaTheme="minorEastAsia" w:hAnsiTheme="majorHAnsi" w:cs="Helvetica"/>
          <w:color w:val="1C1C1C"/>
          <w:lang w:val="en-AU" w:eastAsia="ja-JP"/>
        </w:rPr>
        <w:t xml:space="preserve"> reflect</w:t>
      </w:r>
      <w:r w:rsidR="008D3674">
        <w:rPr>
          <w:rFonts w:asciiTheme="majorHAnsi" w:eastAsiaTheme="minorEastAsia" w:hAnsiTheme="majorHAnsi" w:cs="Helvetica"/>
          <w:color w:val="1C1C1C"/>
          <w:lang w:val="en-AU" w:eastAsia="ja-JP"/>
        </w:rPr>
        <w:t xml:space="preserve"> closing the gap as a national priority. </w:t>
      </w:r>
      <w:r w:rsidR="00B03B57">
        <w:rPr>
          <w:rFonts w:asciiTheme="majorHAnsi" w:eastAsiaTheme="minorEastAsia" w:hAnsiTheme="majorHAnsi" w:cs="Helvetica"/>
          <w:color w:val="1C1C1C"/>
          <w:lang w:val="en-AU" w:eastAsia="ja-JP"/>
        </w:rPr>
        <w:t xml:space="preserve">Further work is required to ascertain the best mechanism and processes to achieve this goal. </w:t>
      </w:r>
    </w:p>
    <w:p w14:paraId="457CFD5B" w14:textId="07D6953A" w:rsidR="00814869" w:rsidRPr="00987C86" w:rsidRDefault="00861615" w:rsidP="00256176">
      <w:pPr>
        <w:widowControl w:val="0"/>
        <w:autoSpaceDE w:val="0"/>
        <w:autoSpaceDN w:val="0"/>
        <w:adjustRightInd w:val="0"/>
        <w:spacing w:before="240" w:after="240"/>
        <w:rPr>
          <w:rFonts w:asciiTheme="majorHAnsi" w:eastAsiaTheme="minorEastAsia" w:hAnsiTheme="majorHAnsi" w:cs="Helvetica"/>
          <w:color w:val="1C1C1C"/>
          <w:lang w:val="en-AU" w:eastAsia="ja-JP"/>
        </w:rPr>
      </w:pPr>
      <w:r>
        <w:rPr>
          <w:rFonts w:asciiTheme="majorHAnsi" w:eastAsiaTheme="minorEastAsia" w:hAnsiTheme="majorHAnsi" w:cs="Helvetica"/>
          <w:color w:val="1C1C1C"/>
          <w:lang w:val="en-AU" w:eastAsia="ja-JP"/>
        </w:rPr>
        <w:t>One option to explore is H</w:t>
      </w:r>
      <w:r w:rsidR="00814869" w:rsidRPr="00987C86">
        <w:rPr>
          <w:rFonts w:asciiTheme="majorHAnsi" w:eastAsiaTheme="minorEastAsia" w:hAnsiTheme="majorHAnsi" w:cs="Helvetica"/>
          <w:color w:val="1C1C1C"/>
          <w:lang w:val="en-AU" w:eastAsia="ja-JP"/>
        </w:rPr>
        <w:t xml:space="preserve">ealth </w:t>
      </w:r>
      <w:r>
        <w:rPr>
          <w:rFonts w:asciiTheme="majorHAnsi" w:eastAsiaTheme="minorEastAsia" w:hAnsiTheme="majorHAnsi" w:cs="Helvetica"/>
          <w:color w:val="1C1C1C"/>
          <w:lang w:val="en-AU" w:eastAsia="ja-JP"/>
        </w:rPr>
        <w:t>I</w:t>
      </w:r>
      <w:r w:rsidR="00595AA7">
        <w:rPr>
          <w:rFonts w:asciiTheme="majorHAnsi" w:eastAsiaTheme="minorEastAsia" w:hAnsiTheme="majorHAnsi" w:cs="Helvetica"/>
          <w:lang w:val="en-AU" w:eastAsia="ja-JP"/>
        </w:rPr>
        <w:t xml:space="preserve">mpact </w:t>
      </w:r>
      <w:r>
        <w:rPr>
          <w:rFonts w:asciiTheme="majorHAnsi" w:eastAsiaTheme="minorEastAsia" w:hAnsiTheme="majorHAnsi" w:cs="Helvetica"/>
          <w:lang w:val="en-AU" w:eastAsia="ja-JP"/>
        </w:rPr>
        <w:t>S</w:t>
      </w:r>
      <w:r w:rsidR="00814869" w:rsidRPr="00987C86">
        <w:rPr>
          <w:rFonts w:asciiTheme="majorHAnsi" w:eastAsiaTheme="minorEastAsia" w:hAnsiTheme="majorHAnsi" w:cs="Helvetica"/>
          <w:lang w:val="en-AU" w:eastAsia="ja-JP"/>
        </w:rPr>
        <w:t xml:space="preserve">tatements </w:t>
      </w:r>
      <w:r w:rsidR="008D3674">
        <w:rPr>
          <w:rFonts w:asciiTheme="majorHAnsi" w:eastAsiaTheme="minorEastAsia" w:hAnsiTheme="majorHAnsi" w:cs="Helvetica"/>
          <w:lang w:val="en-AU" w:eastAsia="ja-JP"/>
        </w:rPr>
        <w:t xml:space="preserve">which </w:t>
      </w:r>
      <w:r w:rsidR="00814869" w:rsidRPr="00987C86">
        <w:rPr>
          <w:rFonts w:asciiTheme="majorHAnsi" w:eastAsiaTheme="minorEastAsia" w:hAnsiTheme="majorHAnsi" w:cs="Helvetica"/>
          <w:color w:val="1C1C1C"/>
          <w:lang w:val="en-AU" w:eastAsia="ja-JP"/>
        </w:rPr>
        <w:t xml:space="preserve">assess government or other activity for positive, negative and/or unintended health consequences of policy initiatives using the known evidence base, and </w:t>
      </w:r>
      <w:r w:rsidR="00814869" w:rsidRPr="00987C86">
        <w:rPr>
          <w:rFonts w:asciiTheme="majorHAnsi" w:hAnsiTheme="majorHAnsi" w:cs="Calibri"/>
          <w:color w:val="000000" w:themeColor="text1"/>
          <w:lang w:val="en-AU"/>
        </w:rPr>
        <w:t>where an initial assessment indicates a formal health impact assessment could take place. Aboriginal and Torres Strait Islander Health Impact Statements are already being issued in New South Wales,</w:t>
      </w:r>
      <w:r w:rsidR="00814869" w:rsidRPr="00987C86">
        <w:rPr>
          <w:rStyle w:val="EndnoteReference"/>
          <w:rFonts w:cs="Calibri"/>
          <w:color w:val="000000" w:themeColor="text1"/>
          <w:lang w:val="en-AU"/>
        </w:rPr>
        <w:endnoteReference w:id="225"/>
      </w:r>
      <w:r w:rsidR="00814869" w:rsidRPr="00987C86">
        <w:rPr>
          <w:rFonts w:asciiTheme="majorHAnsi" w:hAnsiTheme="majorHAnsi" w:cs="Calibri"/>
          <w:color w:val="000000" w:themeColor="text1"/>
          <w:lang w:val="en-AU"/>
        </w:rPr>
        <w:t xml:space="preserve"> Western Australi</w:t>
      </w:r>
      <w:r w:rsidR="00267B75">
        <w:rPr>
          <w:rFonts w:asciiTheme="majorHAnsi" w:hAnsiTheme="majorHAnsi" w:cs="Calibri"/>
          <w:color w:val="000000" w:themeColor="text1"/>
          <w:lang w:val="en-AU"/>
        </w:rPr>
        <w:t>a</w:t>
      </w:r>
      <w:r w:rsidR="00FB0D9D">
        <w:rPr>
          <w:rFonts w:asciiTheme="majorHAnsi" w:hAnsiTheme="majorHAnsi" w:cs="Calibri"/>
          <w:color w:val="000000" w:themeColor="text1"/>
          <w:lang w:val="en-AU"/>
        </w:rPr>
        <w:t>,</w:t>
      </w:r>
      <w:r w:rsidR="00267B75">
        <w:rPr>
          <w:rStyle w:val="EndnoteReference"/>
          <w:rFonts w:cs="Calibri"/>
          <w:color w:val="000000" w:themeColor="text1"/>
          <w:lang w:val="en-AU"/>
        </w:rPr>
        <w:endnoteReference w:id="226"/>
      </w:r>
      <w:r w:rsidR="00814869" w:rsidRPr="00987C86">
        <w:rPr>
          <w:rFonts w:asciiTheme="majorHAnsi" w:hAnsiTheme="majorHAnsi" w:cs="Calibri"/>
          <w:color w:val="000000" w:themeColor="text1"/>
          <w:lang w:val="en-AU"/>
        </w:rPr>
        <w:t xml:space="preserve"> and South Australia</w:t>
      </w:r>
      <w:r w:rsidR="00814869" w:rsidRPr="00987C86">
        <w:rPr>
          <w:rStyle w:val="EndnoteReference"/>
          <w:rFonts w:cs="Calibri"/>
          <w:color w:val="000000" w:themeColor="text1"/>
          <w:lang w:val="en-AU"/>
        </w:rPr>
        <w:endnoteReference w:id="227"/>
      </w:r>
      <w:r w:rsidR="00814869" w:rsidRPr="00987C86">
        <w:rPr>
          <w:rFonts w:asciiTheme="majorHAnsi" w:hAnsiTheme="majorHAnsi" w:cs="Calibri"/>
          <w:color w:val="000000" w:themeColor="text1"/>
          <w:lang w:val="en-AU"/>
        </w:rPr>
        <w:t xml:space="preserve"> but their scope is limited to health policy. </w:t>
      </w:r>
    </w:p>
    <w:p w14:paraId="67105DE1" w14:textId="5571BFC4" w:rsidR="00814869" w:rsidRPr="00987C86" w:rsidRDefault="00814869" w:rsidP="00DA23B3">
      <w:pPr>
        <w:widowControl w:val="0"/>
        <w:autoSpaceDE w:val="0"/>
        <w:autoSpaceDN w:val="0"/>
        <w:adjustRightInd w:val="0"/>
        <w:spacing w:before="240" w:after="240"/>
        <w:rPr>
          <w:rFonts w:asciiTheme="majorHAnsi" w:hAnsiTheme="majorHAnsi" w:cs="Calibri"/>
          <w:color w:val="000000" w:themeColor="text1"/>
          <w:lang w:val="en-AU"/>
        </w:rPr>
      </w:pPr>
      <w:r w:rsidRPr="00987C86">
        <w:rPr>
          <w:rFonts w:asciiTheme="majorHAnsi" w:hAnsiTheme="majorHAnsi" w:cs="Calibri"/>
          <w:color w:val="000000" w:themeColor="text1"/>
          <w:lang w:val="en-AU"/>
        </w:rPr>
        <w:t>Wh</w:t>
      </w:r>
      <w:r w:rsidR="00861615">
        <w:rPr>
          <w:rFonts w:asciiTheme="majorHAnsi" w:hAnsiTheme="majorHAnsi" w:cs="Calibri"/>
          <w:color w:val="000000" w:themeColor="text1"/>
          <w:lang w:val="en-AU"/>
        </w:rPr>
        <w:t>ile the types of Health Impact S</w:t>
      </w:r>
      <w:r w:rsidRPr="00987C86">
        <w:rPr>
          <w:rFonts w:asciiTheme="majorHAnsi" w:hAnsiTheme="majorHAnsi" w:cs="Calibri"/>
          <w:color w:val="000000" w:themeColor="text1"/>
          <w:lang w:val="en-AU"/>
        </w:rPr>
        <w:t>tatements already adopted in Australia at the state-level are different, they all comprise a checklist that policy and program</w:t>
      </w:r>
      <w:r w:rsidR="00EB1FA3">
        <w:rPr>
          <w:rFonts w:asciiTheme="majorHAnsi" w:hAnsiTheme="majorHAnsi" w:cs="Calibri"/>
          <w:color w:val="000000" w:themeColor="text1"/>
          <w:lang w:val="en-AU"/>
        </w:rPr>
        <w:t>me</w:t>
      </w:r>
      <w:r w:rsidRPr="00987C86">
        <w:rPr>
          <w:rFonts w:asciiTheme="majorHAnsi" w:hAnsiTheme="majorHAnsi" w:cs="Calibri"/>
          <w:color w:val="000000" w:themeColor="text1"/>
          <w:lang w:val="en-AU"/>
        </w:rPr>
        <w:t xml:space="preserve">-developers are required to complete and address. </w:t>
      </w:r>
      <w:r w:rsidR="004F7309">
        <w:rPr>
          <w:rFonts w:asciiTheme="majorHAnsi" w:hAnsiTheme="majorHAnsi" w:cs="Calibri"/>
          <w:color w:val="000000" w:themeColor="text1"/>
          <w:lang w:val="en-AU"/>
        </w:rPr>
        <w:t xml:space="preserve">In summary, the issues that they are required </w:t>
      </w:r>
      <w:r w:rsidRPr="00987C86">
        <w:rPr>
          <w:rFonts w:asciiTheme="majorHAnsi" w:hAnsiTheme="majorHAnsi" w:cs="Calibri"/>
          <w:color w:val="000000" w:themeColor="text1"/>
          <w:lang w:val="en-AU"/>
        </w:rPr>
        <w:t>address</w:t>
      </w:r>
      <w:r w:rsidR="004F7309">
        <w:rPr>
          <w:rFonts w:asciiTheme="majorHAnsi" w:hAnsiTheme="majorHAnsi" w:cs="Calibri"/>
          <w:color w:val="000000" w:themeColor="text1"/>
          <w:lang w:val="en-AU"/>
        </w:rPr>
        <w:t xml:space="preserve"> include</w:t>
      </w:r>
      <w:r w:rsidRPr="00987C86">
        <w:rPr>
          <w:rFonts w:asciiTheme="majorHAnsi" w:hAnsiTheme="majorHAnsi" w:cs="Calibri"/>
          <w:color w:val="000000" w:themeColor="text1"/>
          <w:lang w:val="en-AU"/>
        </w:rPr>
        <w:t>:</w:t>
      </w:r>
    </w:p>
    <w:p w14:paraId="79EE6810" w14:textId="7377FE6E" w:rsidR="00814869" w:rsidRPr="00987C86" w:rsidRDefault="00FF7300" w:rsidP="00644563">
      <w:pPr>
        <w:pStyle w:val="ListParagraph"/>
        <w:widowControl w:val="0"/>
        <w:numPr>
          <w:ilvl w:val="0"/>
          <w:numId w:val="35"/>
        </w:numPr>
        <w:autoSpaceDE w:val="0"/>
        <w:autoSpaceDN w:val="0"/>
        <w:adjustRightInd w:val="0"/>
        <w:spacing w:before="120" w:after="120"/>
        <w:ind w:left="357" w:hanging="357"/>
        <w:contextualSpacing w:val="0"/>
        <w:rPr>
          <w:rFonts w:asciiTheme="majorHAnsi" w:eastAsiaTheme="minorEastAsia" w:hAnsiTheme="majorHAnsi" w:cs="Helvetica"/>
          <w:color w:val="1C1C1C"/>
          <w:lang w:val="en-AU" w:eastAsia="ja-JP"/>
        </w:rPr>
      </w:pPr>
      <w:r>
        <w:rPr>
          <w:rFonts w:asciiTheme="majorHAnsi" w:eastAsiaTheme="minorEastAsia" w:hAnsiTheme="majorHAnsi" w:cs="Helvetica"/>
          <w:color w:val="1C1C1C"/>
          <w:lang w:val="en-AU" w:eastAsia="ja-JP"/>
        </w:rPr>
        <w:t>Policy developm</w:t>
      </w:r>
      <w:r w:rsidR="00FA24F0">
        <w:rPr>
          <w:rFonts w:asciiTheme="majorHAnsi" w:eastAsiaTheme="minorEastAsia" w:hAnsiTheme="majorHAnsi" w:cs="Helvetica"/>
          <w:color w:val="1C1C1C"/>
          <w:lang w:val="en-AU" w:eastAsia="ja-JP"/>
        </w:rPr>
        <w:t>ent – W</w:t>
      </w:r>
      <w:r>
        <w:rPr>
          <w:rFonts w:asciiTheme="majorHAnsi" w:eastAsiaTheme="minorEastAsia" w:hAnsiTheme="majorHAnsi" w:cs="Helvetica"/>
          <w:color w:val="1C1C1C"/>
          <w:lang w:val="en-AU" w:eastAsia="ja-JP"/>
        </w:rPr>
        <w:t>ere</w:t>
      </w:r>
      <w:r w:rsidR="00814869" w:rsidRPr="00987C86">
        <w:rPr>
          <w:rFonts w:asciiTheme="majorHAnsi" w:eastAsiaTheme="minorEastAsia" w:hAnsiTheme="majorHAnsi" w:cs="Helvetica"/>
          <w:color w:val="1C1C1C"/>
          <w:lang w:val="en-AU" w:eastAsia="ja-JP"/>
        </w:rPr>
        <w:t xml:space="preserve"> Aboriginal and Torres Strait Islander stakeholders and representative groups consulted?</w:t>
      </w:r>
    </w:p>
    <w:p w14:paraId="4A1B1A29" w14:textId="2E91DBB2" w:rsidR="00814869" w:rsidRPr="00987C86" w:rsidRDefault="00814869" w:rsidP="00644563">
      <w:pPr>
        <w:pStyle w:val="ListParagraph"/>
        <w:widowControl w:val="0"/>
        <w:numPr>
          <w:ilvl w:val="0"/>
          <w:numId w:val="35"/>
        </w:numPr>
        <w:autoSpaceDE w:val="0"/>
        <w:autoSpaceDN w:val="0"/>
        <w:adjustRightInd w:val="0"/>
        <w:spacing w:before="120" w:after="120"/>
        <w:ind w:left="357" w:hanging="357"/>
        <w:contextualSpacing w:val="0"/>
        <w:rPr>
          <w:rFonts w:asciiTheme="majorHAnsi" w:eastAsiaTheme="minorEastAsia" w:hAnsiTheme="majorHAnsi" w:cs="Helvetica"/>
          <w:color w:val="1C1C1C"/>
          <w:lang w:val="en-AU" w:eastAsia="ja-JP"/>
        </w:rPr>
      </w:pPr>
      <w:r w:rsidRPr="00987C86">
        <w:rPr>
          <w:rFonts w:asciiTheme="majorHAnsi" w:eastAsiaTheme="minorEastAsia" w:hAnsiTheme="majorHAnsi" w:cs="Helvetica"/>
          <w:color w:val="1C1C1C"/>
          <w:lang w:val="en-AU" w:eastAsia="ja-JP"/>
        </w:rPr>
        <w:t>Policy content – Have the effects on Aboriginal and Torres Strait health outcomes been identified and addressed? Is the effect disproportionate on Aboriginal and Torres Strait Islander people</w:t>
      </w:r>
      <w:r w:rsidR="00CA2EBF">
        <w:rPr>
          <w:rFonts w:asciiTheme="majorHAnsi" w:eastAsiaTheme="minorEastAsia" w:hAnsiTheme="majorHAnsi" w:cs="Helvetica"/>
          <w:color w:val="1C1C1C"/>
          <w:lang w:val="en-AU" w:eastAsia="ja-JP"/>
        </w:rPr>
        <w:t>s</w:t>
      </w:r>
      <w:r w:rsidRPr="00987C86">
        <w:rPr>
          <w:rFonts w:asciiTheme="majorHAnsi" w:eastAsiaTheme="minorEastAsia" w:hAnsiTheme="majorHAnsi" w:cs="Helvetica"/>
          <w:color w:val="1C1C1C"/>
          <w:lang w:val="en-AU" w:eastAsia="ja-JP"/>
        </w:rPr>
        <w:t xml:space="preserve"> and communities? If so, what measures have been taken to address this?</w:t>
      </w:r>
    </w:p>
    <w:p w14:paraId="0CC7638D" w14:textId="77777777" w:rsidR="0070304A" w:rsidRPr="00987C86" w:rsidRDefault="00814869" w:rsidP="00644563">
      <w:pPr>
        <w:pStyle w:val="ListParagraph"/>
        <w:widowControl w:val="0"/>
        <w:numPr>
          <w:ilvl w:val="0"/>
          <w:numId w:val="35"/>
        </w:numPr>
        <w:autoSpaceDE w:val="0"/>
        <w:autoSpaceDN w:val="0"/>
        <w:adjustRightInd w:val="0"/>
        <w:spacing w:before="120" w:after="120"/>
        <w:ind w:left="357" w:hanging="357"/>
        <w:contextualSpacing w:val="0"/>
        <w:rPr>
          <w:rFonts w:asciiTheme="majorHAnsi" w:eastAsiaTheme="minorEastAsia" w:hAnsiTheme="majorHAnsi" w:cs="Helvetica"/>
          <w:color w:val="1C1C1C"/>
          <w:lang w:val="en-AU" w:eastAsia="ja-JP"/>
        </w:rPr>
      </w:pPr>
      <w:r w:rsidRPr="00987C86">
        <w:rPr>
          <w:rFonts w:asciiTheme="majorHAnsi" w:eastAsiaTheme="minorEastAsia" w:hAnsiTheme="majorHAnsi" w:cs="Helvetica"/>
          <w:color w:val="1C1C1C"/>
          <w:lang w:val="en-AU" w:eastAsia="ja-JP"/>
        </w:rPr>
        <w:t>Implementation and evaluation – Will the policy be implemented and its effects evaluated with Aboriginal and Torres Strait Islander stakeholders?</w:t>
      </w:r>
      <w:r w:rsidRPr="00987C86">
        <w:rPr>
          <w:rStyle w:val="EndnoteReference"/>
          <w:rFonts w:eastAsiaTheme="minorEastAsia" w:cs="Helvetica"/>
          <w:color w:val="1C1C1C"/>
          <w:lang w:val="en-AU" w:eastAsia="ja-JP"/>
        </w:rPr>
        <w:endnoteReference w:id="228"/>
      </w:r>
      <w:r w:rsidRPr="00987C86">
        <w:rPr>
          <w:rFonts w:asciiTheme="majorHAnsi" w:eastAsiaTheme="minorEastAsia" w:hAnsiTheme="majorHAnsi" w:cs="Helvetica"/>
          <w:color w:val="1C1C1C"/>
          <w:lang w:val="en-AU" w:eastAsia="ja-JP"/>
        </w:rPr>
        <w:t xml:space="preserve"> </w:t>
      </w:r>
    </w:p>
    <w:p w14:paraId="5842C4BB" w14:textId="1FABC230" w:rsidR="004D6708" w:rsidRPr="00987C86" w:rsidRDefault="000F2B02" w:rsidP="006220E0">
      <w:pPr>
        <w:widowControl w:val="0"/>
        <w:autoSpaceDE w:val="0"/>
        <w:autoSpaceDN w:val="0"/>
        <w:adjustRightInd w:val="0"/>
        <w:spacing w:before="240" w:after="240"/>
        <w:rPr>
          <w:rFonts w:asciiTheme="majorHAnsi" w:hAnsiTheme="majorHAnsi" w:cs="Calibri"/>
          <w:color w:val="000000" w:themeColor="text1"/>
          <w:lang w:val="en-AU"/>
        </w:rPr>
      </w:pPr>
      <w:r w:rsidRPr="00987C86">
        <w:rPr>
          <w:rFonts w:asciiTheme="majorHAnsi" w:hAnsiTheme="majorHAnsi" w:cs="Calibri"/>
          <w:color w:val="000000" w:themeColor="text1"/>
          <w:lang w:val="en-AU"/>
        </w:rPr>
        <w:t xml:space="preserve">The Campaign Steering Committee </w:t>
      </w:r>
      <w:r w:rsidR="008D3674">
        <w:rPr>
          <w:rFonts w:asciiTheme="majorHAnsi" w:hAnsiTheme="majorHAnsi" w:cs="Calibri"/>
          <w:color w:val="000000" w:themeColor="text1"/>
          <w:lang w:val="en-AU"/>
        </w:rPr>
        <w:t xml:space="preserve">will undertake further work in </w:t>
      </w:r>
      <w:r w:rsidR="00595AA7">
        <w:rPr>
          <w:rFonts w:asciiTheme="majorHAnsi" w:hAnsiTheme="majorHAnsi" w:cs="Calibri"/>
          <w:color w:val="000000" w:themeColor="text1"/>
          <w:lang w:val="en-AU"/>
        </w:rPr>
        <w:t xml:space="preserve">this </w:t>
      </w:r>
      <w:r w:rsidR="008D3674">
        <w:rPr>
          <w:rFonts w:asciiTheme="majorHAnsi" w:hAnsiTheme="majorHAnsi" w:cs="Calibri"/>
          <w:color w:val="000000" w:themeColor="text1"/>
          <w:lang w:val="en-AU"/>
        </w:rPr>
        <w:t xml:space="preserve">area </w:t>
      </w:r>
      <w:r w:rsidR="00595AA7">
        <w:rPr>
          <w:rFonts w:asciiTheme="majorHAnsi" w:hAnsiTheme="majorHAnsi" w:cs="Calibri"/>
          <w:color w:val="000000" w:themeColor="text1"/>
          <w:lang w:val="en-AU"/>
        </w:rPr>
        <w:t xml:space="preserve">in </w:t>
      </w:r>
      <w:r w:rsidR="008D3674">
        <w:rPr>
          <w:rFonts w:asciiTheme="majorHAnsi" w:hAnsiTheme="majorHAnsi" w:cs="Calibri"/>
          <w:color w:val="000000" w:themeColor="text1"/>
          <w:lang w:val="en-AU"/>
        </w:rPr>
        <w:t>2015.</w:t>
      </w:r>
    </w:p>
    <w:p w14:paraId="14820FBB" w14:textId="0F4D392C" w:rsidR="00250437" w:rsidRPr="00250437" w:rsidRDefault="000C5F1C" w:rsidP="00250437">
      <w:pPr>
        <w:pStyle w:val="Heading2"/>
        <w:rPr>
          <w:lang w:val="en-AU"/>
        </w:rPr>
      </w:pPr>
      <w:bookmarkStart w:id="35" w:name="_Toc409788740"/>
      <w:r>
        <w:rPr>
          <w:lang w:val="en-AU"/>
        </w:rPr>
        <w:t>The implementation of the National Aboriginal and Torres Strait Islander Health Plan</w:t>
      </w:r>
      <w:r w:rsidRPr="00250437">
        <w:rPr>
          <w:lang w:val="en-AU"/>
        </w:rPr>
        <w:t xml:space="preserve"> Health</w:t>
      </w:r>
      <w:bookmarkEnd w:id="35"/>
      <w:r w:rsidR="00250437" w:rsidRPr="00250437">
        <w:rPr>
          <w:lang w:val="en-AU"/>
        </w:rPr>
        <w:t xml:space="preserve"> </w:t>
      </w:r>
    </w:p>
    <w:p w14:paraId="7D416093" w14:textId="1755125A" w:rsidR="000C5F1C" w:rsidRDefault="000C5F1C" w:rsidP="00250437">
      <w:pPr>
        <w:spacing w:before="240" w:after="240"/>
        <w:rPr>
          <w:lang w:val="en-AU"/>
        </w:rPr>
      </w:pPr>
      <w:r w:rsidRPr="009D2C98">
        <w:rPr>
          <w:lang w:val="en-AU"/>
        </w:rPr>
        <w:t xml:space="preserve">The </w:t>
      </w:r>
      <w:r w:rsidR="009D2C98" w:rsidRPr="009D2C98">
        <w:rPr>
          <w:lang w:val="en-AU"/>
        </w:rPr>
        <w:t xml:space="preserve">implementation of the Health Plan provides a significant opportunity to address many of the challenges </w:t>
      </w:r>
      <w:r w:rsidR="00957443">
        <w:rPr>
          <w:lang w:val="en-AU"/>
        </w:rPr>
        <w:t xml:space="preserve">to closing the health and life expectancy gap </w:t>
      </w:r>
      <w:r w:rsidR="009D2C98" w:rsidRPr="009D2C98">
        <w:rPr>
          <w:lang w:val="en-AU"/>
        </w:rPr>
        <w:t xml:space="preserve">raised in this report. </w:t>
      </w:r>
      <w:r w:rsidR="002B4AC2">
        <w:rPr>
          <w:lang w:val="en-AU"/>
        </w:rPr>
        <w:t xml:space="preserve">It has particular potential </w:t>
      </w:r>
      <w:r w:rsidR="00FA24F0">
        <w:rPr>
          <w:lang w:val="en-AU"/>
        </w:rPr>
        <w:t>for</w:t>
      </w:r>
      <w:r w:rsidR="002B4AC2">
        <w:rPr>
          <w:lang w:val="en-AU"/>
        </w:rPr>
        <w:t xml:space="preserve"> improving Aboriginal and Torres Strait Islander access to appropriate health care. </w:t>
      </w:r>
      <w:r w:rsidR="00963D92">
        <w:rPr>
          <w:lang w:val="en-AU"/>
        </w:rPr>
        <w:t xml:space="preserve">The </w:t>
      </w:r>
      <w:r w:rsidR="00963D92">
        <w:rPr>
          <w:lang w:val="en-AU"/>
        </w:rPr>
        <w:lastRenderedPageBreak/>
        <w:t>Campaign Steering Committee believes effective implementation of the Health Plan is</w:t>
      </w:r>
      <w:r w:rsidR="009D2C98" w:rsidRPr="009D2C98">
        <w:rPr>
          <w:lang w:val="en-AU"/>
        </w:rPr>
        <w:t xml:space="preserve"> essential to achieving the goal of health and life expectancy equality by 2030.</w:t>
      </w:r>
      <w:r w:rsidR="00CD26AD">
        <w:rPr>
          <w:lang w:val="en-AU"/>
        </w:rPr>
        <w:t xml:space="preserve"> </w:t>
      </w:r>
    </w:p>
    <w:p w14:paraId="3E00A525" w14:textId="4E278F70" w:rsidR="00B01671" w:rsidRDefault="00963D92" w:rsidP="00250437">
      <w:pPr>
        <w:spacing w:before="240" w:after="240"/>
        <w:rPr>
          <w:lang w:val="en-AU"/>
        </w:rPr>
      </w:pPr>
      <w:r>
        <w:rPr>
          <w:lang w:val="en-AU"/>
        </w:rPr>
        <w:t>The Health Plan was launched in July 2013 and marked the</w:t>
      </w:r>
      <w:r w:rsidR="00C9107C">
        <w:rPr>
          <w:lang w:val="en-AU"/>
        </w:rPr>
        <w:t xml:space="preserve"> partial</w:t>
      </w:r>
      <w:r>
        <w:rPr>
          <w:lang w:val="en-AU"/>
        </w:rPr>
        <w:t xml:space="preserve"> fulfilment of a major commitment by all signatories to the </w:t>
      </w:r>
      <w:r w:rsidRPr="00963D92">
        <w:rPr>
          <w:i/>
          <w:lang w:val="en-AU"/>
        </w:rPr>
        <w:t>Close the Gap Statement of Intent</w:t>
      </w:r>
      <w:r>
        <w:rPr>
          <w:lang w:val="en-AU"/>
        </w:rPr>
        <w:t xml:space="preserve"> – to develop</w:t>
      </w:r>
      <w:r w:rsidR="00FB0D9D">
        <w:rPr>
          <w:lang w:val="en-AU"/>
        </w:rPr>
        <w:t xml:space="preserve"> a</w:t>
      </w:r>
      <w:r>
        <w:rPr>
          <w:lang w:val="en-AU"/>
        </w:rPr>
        <w:t xml:space="preserve"> comprehensive, long-term plan of action.</w:t>
      </w:r>
      <w:r w:rsidR="00E246CB">
        <w:rPr>
          <w:lang w:val="en-AU"/>
        </w:rPr>
        <w:t xml:space="preserve"> </w:t>
      </w:r>
      <w:r w:rsidR="00C9107C">
        <w:rPr>
          <w:lang w:val="en-AU"/>
        </w:rPr>
        <w:t>However the</w:t>
      </w:r>
      <w:r w:rsidR="00E246CB">
        <w:rPr>
          <w:lang w:val="en-AU"/>
        </w:rPr>
        <w:t xml:space="preserve"> Health Plan is </w:t>
      </w:r>
      <w:r w:rsidR="00255650">
        <w:rPr>
          <w:lang w:val="en-AU"/>
        </w:rPr>
        <w:t xml:space="preserve">a </w:t>
      </w:r>
      <w:r w:rsidR="00E246CB">
        <w:rPr>
          <w:lang w:val="en-AU"/>
        </w:rPr>
        <w:t>framework document that requires further elaboration through an effective Implementation Plan to drive outcomes</w:t>
      </w:r>
      <w:r w:rsidR="00C9107C">
        <w:rPr>
          <w:lang w:val="en-AU"/>
        </w:rPr>
        <w:t xml:space="preserve"> and help close the gap</w:t>
      </w:r>
      <w:r w:rsidR="00E246CB">
        <w:rPr>
          <w:lang w:val="en-AU"/>
        </w:rPr>
        <w:t xml:space="preserve">. </w:t>
      </w:r>
    </w:p>
    <w:p w14:paraId="59D2DFBA" w14:textId="6689879C" w:rsidR="00963D92" w:rsidRDefault="008C5A82" w:rsidP="00250437">
      <w:pPr>
        <w:spacing w:before="240" w:after="240"/>
        <w:rPr>
          <w:lang w:val="en-AU"/>
        </w:rPr>
      </w:pPr>
      <w:r>
        <w:rPr>
          <w:lang w:val="en-AU"/>
        </w:rPr>
        <w:t xml:space="preserve">In </w:t>
      </w:r>
      <w:r w:rsidR="00AD320D">
        <w:rPr>
          <w:lang w:val="en-AU"/>
        </w:rPr>
        <w:t>mid-2014</w:t>
      </w:r>
      <w:r w:rsidR="00A45302">
        <w:rPr>
          <w:lang w:val="en-AU"/>
        </w:rPr>
        <w:t>,</w:t>
      </w:r>
      <w:r>
        <w:rPr>
          <w:lang w:val="en-AU"/>
        </w:rPr>
        <w:t xml:space="preserve"> </w:t>
      </w:r>
      <w:r w:rsidR="00F61586">
        <w:rPr>
          <w:lang w:val="en-AU"/>
        </w:rPr>
        <w:t>the Assistant Minister for Health</w:t>
      </w:r>
      <w:r w:rsidR="00FA24F0">
        <w:rPr>
          <w:lang w:val="en-AU"/>
        </w:rPr>
        <w:t>,</w:t>
      </w:r>
      <w:r w:rsidR="00F61586">
        <w:rPr>
          <w:lang w:val="en-AU"/>
        </w:rPr>
        <w:t xml:space="preserve"> the Hon. Fiona Nash</w:t>
      </w:r>
      <w:r w:rsidR="00FA24F0">
        <w:rPr>
          <w:lang w:val="en-AU"/>
        </w:rPr>
        <w:t>,</w:t>
      </w:r>
      <w:r w:rsidR="00F61586">
        <w:rPr>
          <w:lang w:val="en-AU"/>
        </w:rPr>
        <w:t xml:space="preserve"> </w:t>
      </w:r>
      <w:r>
        <w:rPr>
          <w:lang w:val="en-AU"/>
        </w:rPr>
        <w:t>announced that the Australian Government was beginning work on such an Implementation Plan.</w:t>
      </w:r>
      <w:r>
        <w:rPr>
          <w:rStyle w:val="EndnoteReference"/>
          <w:lang w:val="en-AU"/>
        </w:rPr>
        <w:endnoteReference w:id="229"/>
      </w:r>
      <w:r>
        <w:rPr>
          <w:lang w:val="en-AU"/>
        </w:rPr>
        <w:t xml:space="preserve"> </w:t>
      </w:r>
      <w:r w:rsidR="00B01671">
        <w:rPr>
          <w:lang w:val="en-AU"/>
        </w:rPr>
        <w:t>The Australian Government is working with the National Health Leadership Forum</w:t>
      </w:r>
      <w:r w:rsidR="00F13BD6">
        <w:rPr>
          <w:lang w:val="en-AU"/>
        </w:rPr>
        <w:t xml:space="preserve"> (NHLF),</w:t>
      </w:r>
      <w:r w:rsidR="00A45302">
        <w:rPr>
          <w:rStyle w:val="EndnoteReference"/>
          <w:lang w:val="en-AU"/>
        </w:rPr>
        <w:endnoteReference w:id="230"/>
      </w:r>
      <w:r w:rsidR="00F13BD6">
        <w:rPr>
          <w:lang w:val="en-AU"/>
        </w:rPr>
        <w:t xml:space="preserve"> comprised of national Aboriginal and Torres Strait Islander health peak and professional bodies whose core business is health, in this process. </w:t>
      </w:r>
    </w:p>
    <w:p w14:paraId="58F0DBB8" w14:textId="032E7764" w:rsidR="00F13BD6" w:rsidRDefault="006028E7" w:rsidP="00250437">
      <w:pPr>
        <w:spacing w:before="240" w:after="240"/>
        <w:rPr>
          <w:lang w:val="en-AU"/>
        </w:rPr>
      </w:pPr>
      <w:r>
        <w:rPr>
          <w:lang w:val="en-AU"/>
        </w:rPr>
        <w:t>The Campaign Steering Committee believes that the Implementation Plan requires the following essential elements:</w:t>
      </w:r>
    </w:p>
    <w:p w14:paraId="34625EF9" w14:textId="2ADD85E4" w:rsidR="00AE3A4B" w:rsidRDefault="00AE3A4B" w:rsidP="00AE3A4B">
      <w:pPr>
        <w:pStyle w:val="ListParagraph"/>
        <w:numPr>
          <w:ilvl w:val="0"/>
          <w:numId w:val="38"/>
        </w:numPr>
        <w:spacing w:before="120" w:after="120"/>
        <w:ind w:left="714" w:hanging="357"/>
        <w:contextualSpacing w:val="0"/>
        <w:rPr>
          <w:lang w:val="en-AU"/>
        </w:rPr>
      </w:pPr>
      <w:r>
        <w:rPr>
          <w:lang w:val="en-AU"/>
        </w:rPr>
        <w:t xml:space="preserve">Set targets to measure progress and </w:t>
      </w:r>
      <w:r w:rsidR="00C9107C">
        <w:rPr>
          <w:lang w:val="en-AU"/>
        </w:rPr>
        <w:t>outcomes</w:t>
      </w:r>
      <w:r>
        <w:rPr>
          <w:lang w:val="en-AU"/>
        </w:rPr>
        <w:t xml:space="preserve">. Target </w:t>
      </w:r>
      <w:r w:rsidR="00A45302">
        <w:rPr>
          <w:lang w:val="en-AU"/>
        </w:rPr>
        <w:t>setting is</w:t>
      </w:r>
      <w:r>
        <w:rPr>
          <w:lang w:val="en-AU"/>
        </w:rPr>
        <w:t xml:space="preserve"> critical to achieving the COAG goals of life expectancy equality and halving </w:t>
      </w:r>
      <w:r w:rsidR="009625BE">
        <w:rPr>
          <w:lang w:val="en-AU"/>
        </w:rPr>
        <w:t xml:space="preserve">the </w:t>
      </w:r>
      <w:r>
        <w:rPr>
          <w:lang w:val="en-AU"/>
        </w:rPr>
        <w:t>child mortality</w:t>
      </w:r>
      <w:r w:rsidR="009625BE">
        <w:rPr>
          <w:lang w:val="en-AU"/>
        </w:rPr>
        <w:t xml:space="preserve"> gap</w:t>
      </w:r>
      <w:r>
        <w:rPr>
          <w:lang w:val="en-AU"/>
        </w:rPr>
        <w:t xml:space="preserve">. The </w:t>
      </w:r>
      <w:r w:rsidRPr="00A45302">
        <w:rPr>
          <w:i/>
          <w:lang w:val="en-AU"/>
        </w:rPr>
        <w:t>Close the Gap Health Equality Targets</w:t>
      </w:r>
      <w:r w:rsidR="00A45302" w:rsidRPr="00A45302">
        <w:rPr>
          <w:rStyle w:val="EndnoteReference"/>
          <w:lang w:val="en-AU"/>
        </w:rPr>
        <w:endnoteReference w:id="231"/>
      </w:r>
      <w:r w:rsidRPr="00A45302">
        <w:rPr>
          <w:lang w:val="en-AU"/>
        </w:rPr>
        <w:t xml:space="preserve"> </w:t>
      </w:r>
      <w:r w:rsidR="00A45302">
        <w:rPr>
          <w:lang w:val="en-AU"/>
        </w:rPr>
        <w:t>are</w:t>
      </w:r>
      <w:r>
        <w:rPr>
          <w:lang w:val="en-AU"/>
        </w:rPr>
        <w:t xml:space="preserve"> the starting point for developing these targets;</w:t>
      </w:r>
    </w:p>
    <w:p w14:paraId="18A8C1C0" w14:textId="5EB68C75" w:rsidR="00AE3A4B" w:rsidRPr="00AE3A4B" w:rsidRDefault="00A92860" w:rsidP="00AE3A4B">
      <w:pPr>
        <w:pStyle w:val="ListParagraph"/>
        <w:numPr>
          <w:ilvl w:val="0"/>
          <w:numId w:val="38"/>
        </w:numPr>
        <w:spacing w:before="120" w:after="120"/>
        <w:ind w:left="714" w:hanging="357"/>
        <w:contextualSpacing w:val="0"/>
        <w:rPr>
          <w:lang w:val="en-AU"/>
        </w:rPr>
      </w:pPr>
      <w:r>
        <w:rPr>
          <w:lang w:val="en-AU"/>
        </w:rPr>
        <w:t xml:space="preserve">Develop a model of comprehensive core services across </w:t>
      </w:r>
      <w:r w:rsidR="003853F8">
        <w:rPr>
          <w:lang w:val="en-AU"/>
        </w:rPr>
        <w:t>a person’s whole of</w:t>
      </w:r>
      <w:r>
        <w:rPr>
          <w:lang w:val="en-AU"/>
        </w:rPr>
        <w:t xml:space="preserve"> life with a particular focus</w:t>
      </w:r>
      <w:r w:rsidR="00C9107C">
        <w:rPr>
          <w:lang w:val="en-AU"/>
        </w:rPr>
        <w:t>,</w:t>
      </w:r>
      <w:r>
        <w:rPr>
          <w:lang w:val="en-AU"/>
        </w:rPr>
        <w:t xml:space="preserve"> but not limited to</w:t>
      </w:r>
      <w:r w:rsidR="00C9107C">
        <w:rPr>
          <w:lang w:val="en-AU"/>
        </w:rPr>
        <w:t>,</w:t>
      </w:r>
      <w:r>
        <w:rPr>
          <w:lang w:val="en-AU"/>
        </w:rPr>
        <w:t xml:space="preserve"> maternal and child health, chronic disease</w:t>
      </w:r>
      <w:r w:rsidR="00FB0D9D">
        <w:rPr>
          <w:lang w:val="en-AU"/>
        </w:rPr>
        <w:t>,</w:t>
      </w:r>
      <w:r>
        <w:rPr>
          <w:lang w:val="en-AU"/>
        </w:rPr>
        <w:t xml:space="preserve"> and mental health and social and emotional wellbeing</w:t>
      </w:r>
      <w:r w:rsidR="00AE3A4B">
        <w:rPr>
          <w:lang w:val="en-AU"/>
        </w:rPr>
        <w:t>;</w:t>
      </w:r>
    </w:p>
    <w:p w14:paraId="3FB24C37" w14:textId="580AE0E4" w:rsidR="00A92860" w:rsidRDefault="00A92860" w:rsidP="00514E69">
      <w:pPr>
        <w:pStyle w:val="ListParagraph"/>
        <w:numPr>
          <w:ilvl w:val="0"/>
          <w:numId w:val="38"/>
        </w:numPr>
        <w:spacing w:before="120" w:after="120"/>
        <w:ind w:left="714" w:hanging="357"/>
        <w:contextualSpacing w:val="0"/>
        <w:rPr>
          <w:lang w:val="en-AU"/>
        </w:rPr>
      </w:pPr>
      <w:r>
        <w:rPr>
          <w:lang w:val="en-AU"/>
        </w:rPr>
        <w:t>Develop workforce, infrastructure</w:t>
      </w:r>
      <w:r w:rsidR="00AE3A4B">
        <w:rPr>
          <w:lang w:val="en-AU"/>
        </w:rPr>
        <w:t>, information management</w:t>
      </w:r>
      <w:r>
        <w:rPr>
          <w:lang w:val="en-AU"/>
        </w:rPr>
        <w:t xml:space="preserve"> and funding strategies based on the core services model;</w:t>
      </w:r>
    </w:p>
    <w:p w14:paraId="0AC6C9D7" w14:textId="1C375D5E" w:rsidR="00514E69" w:rsidRDefault="00514E69" w:rsidP="00514E69">
      <w:pPr>
        <w:pStyle w:val="ListParagraph"/>
        <w:numPr>
          <w:ilvl w:val="0"/>
          <w:numId w:val="38"/>
        </w:numPr>
        <w:spacing w:before="120" w:after="120"/>
        <w:ind w:left="714" w:hanging="357"/>
        <w:contextualSpacing w:val="0"/>
        <w:rPr>
          <w:lang w:val="en-AU"/>
        </w:rPr>
      </w:pPr>
      <w:r>
        <w:rPr>
          <w:lang w:val="en-AU"/>
        </w:rPr>
        <w:t>A</w:t>
      </w:r>
      <w:r w:rsidR="009625BE">
        <w:rPr>
          <w:lang w:val="en-AU"/>
        </w:rPr>
        <w:t xml:space="preserve"> mapping of regions</w:t>
      </w:r>
      <w:r>
        <w:rPr>
          <w:lang w:val="en-AU"/>
        </w:rPr>
        <w:t xml:space="preserve"> with relatively poor health outcomes and inadequate </w:t>
      </w:r>
      <w:r w:rsidR="005448C4">
        <w:rPr>
          <w:lang w:val="en-AU"/>
        </w:rPr>
        <w:t>services. This will enable the identification of service gaps and the development of capacity building plans, especially for ACCHS</w:t>
      </w:r>
      <w:r w:rsidR="00A92860">
        <w:rPr>
          <w:lang w:val="en-AU"/>
        </w:rPr>
        <w:t>, to address these gaps;</w:t>
      </w:r>
    </w:p>
    <w:p w14:paraId="609F3285" w14:textId="6C092091" w:rsidR="00514E69" w:rsidRDefault="00514E69" w:rsidP="00514E69">
      <w:pPr>
        <w:pStyle w:val="ListParagraph"/>
        <w:numPr>
          <w:ilvl w:val="0"/>
          <w:numId w:val="38"/>
        </w:numPr>
        <w:spacing w:before="120" w:after="120"/>
        <w:ind w:left="714" w:hanging="357"/>
        <w:contextualSpacing w:val="0"/>
        <w:rPr>
          <w:lang w:val="en-AU"/>
        </w:rPr>
      </w:pPr>
      <w:r>
        <w:rPr>
          <w:lang w:val="en-AU"/>
        </w:rPr>
        <w:t>Identify and eradicate systemic racism within the health system</w:t>
      </w:r>
      <w:r w:rsidR="00AE3A4B">
        <w:rPr>
          <w:lang w:val="en-AU"/>
        </w:rPr>
        <w:t xml:space="preserve"> and improve access to </w:t>
      </w:r>
      <w:r w:rsidR="00C0067C">
        <w:rPr>
          <w:lang w:val="en-AU"/>
        </w:rPr>
        <w:t xml:space="preserve">and outcomes across </w:t>
      </w:r>
      <w:r w:rsidR="00AE3A4B">
        <w:rPr>
          <w:lang w:val="en-AU"/>
        </w:rPr>
        <w:t>primary, secondary and tertiary health care</w:t>
      </w:r>
      <w:r>
        <w:rPr>
          <w:lang w:val="en-AU"/>
        </w:rPr>
        <w:t>;</w:t>
      </w:r>
    </w:p>
    <w:p w14:paraId="44A1704B" w14:textId="7B82B679" w:rsidR="00514E69" w:rsidRDefault="00514E69" w:rsidP="00514E69">
      <w:pPr>
        <w:pStyle w:val="ListParagraph"/>
        <w:numPr>
          <w:ilvl w:val="0"/>
          <w:numId w:val="38"/>
        </w:numPr>
        <w:spacing w:before="120" w:after="120"/>
        <w:ind w:left="714" w:hanging="357"/>
        <w:contextualSpacing w:val="0"/>
        <w:rPr>
          <w:lang w:val="en-AU"/>
        </w:rPr>
      </w:pPr>
      <w:r>
        <w:rPr>
          <w:lang w:val="en-AU"/>
        </w:rPr>
        <w:t>Ensure that culture is reflected in practical ways throughout Implementation Plan actions as it is central to the health and wellbeing of Aboriginal and Torres Strait Islander people;</w:t>
      </w:r>
    </w:p>
    <w:p w14:paraId="2E70C9F2" w14:textId="1AFB160B" w:rsidR="00514E69" w:rsidRDefault="00514E69" w:rsidP="00514E69">
      <w:pPr>
        <w:pStyle w:val="ListParagraph"/>
        <w:numPr>
          <w:ilvl w:val="0"/>
          <w:numId w:val="38"/>
        </w:numPr>
        <w:spacing w:before="120" w:after="120"/>
        <w:ind w:left="714" w:hanging="357"/>
        <w:contextualSpacing w:val="0"/>
        <w:rPr>
          <w:lang w:val="en-AU"/>
        </w:rPr>
      </w:pPr>
      <w:r>
        <w:rPr>
          <w:lang w:val="en-AU"/>
        </w:rPr>
        <w:t xml:space="preserve">Include a comprehensive address of </w:t>
      </w:r>
      <w:r w:rsidR="00C0067C">
        <w:rPr>
          <w:lang w:val="en-AU"/>
        </w:rPr>
        <w:t xml:space="preserve">the </w:t>
      </w:r>
      <w:r>
        <w:rPr>
          <w:lang w:val="en-AU"/>
        </w:rPr>
        <w:t xml:space="preserve">social </w:t>
      </w:r>
      <w:r w:rsidR="00C0067C">
        <w:rPr>
          <w:lang w:val="en-AU"/>
        </w:rPr>
        <w:t xml:space="preserve">and cultural </w:t>
      </w:r>
      <w:r>
        <w:rPr>
          <w:lang w:val="en-AU"/>
        </w:rPr>
        <w:t>determinants</w:t>
      </w:r>
      <w:r w:rsidR="00C0067C">
        <w:rPr>
          <w:lang w:val="en-AU"/>
        </w:rPr>
        <w:t xml:space="preserve"> of health</w:t>
      </w:r>
      <w:r>
        <w:rPr>
          <w:lang w:val="en-AU"/>
        </w:rPr>
        <w:t>; and</w:t>
      </w:r>
    </w:p>
    <w:p w14:paraId="1B4D6528" w14:textId="6AD953CD" w:rsidR="006028E7" w:rsidRPr="006028E7" w:rsidRDefault="006028E7" w:rsidP="00514E69">
      <w:pPr>
        <w:pStyle w:val="ListParagraph"/>
        <w:numPr>
          <w:ilvl w:val="0"/>
          <w:numId w:val="38"/>
        </w:numPr>
        <w:spacing w:before="120" w:after="120"/>
        <w:ind w:left="714" w:hanging="357"/>
        <w:contextualSpacing w:val="0"/>
        <w:rPr>
          <w:lang w:val="en-AU"/>
        </w:rPr>
      </w:pPr>
      <w:r>
        <w:rPr>
          <w:lang w:val="en-AU"/>
        </w:rPr>
        <w:t xml:space="preserve">Establish partnership arrangements between the Australian Government and state and territory governments and between ACCHS and mainstream services providers at the regional level for the delivery of appropriate </w:t>
      </w:r>
      <w:r w:rsidR="00514E69">
        <w:rPr>
          <w:lang w:val="en-AU"/>
        </w:rPr>
        <w:t>health services.</w:t>
      </w:r>
    </w:p>
    <w:p w14:paraId="437C7F74" w14:textId="1D7CCDE4" w:rsidR="00CD26AD" w:rsidRDefault="00CD26AD" w:rsidP="00250437">
      <w:pPr>
        <w:spacing w:before="240" w:after="240"/>
        <w:rPr>
          <w:lang w:val="en-AU"/>
        </w:rPr>
      </w:pPr>
      <w:r w:rsidRPr="00CD26AD">
        <w:rPr>
          <w:lang w:val="en-AU"/>
        </w:rPr>
        <w:t xml:space="preserve">The Implementation Plan </w:t>
      </w:r>
      <w:r w:rsidR="00D33D90">
        <w:rPr>
          <w:lang w:val="en-AU"/>
        </w:rPr>
        <w:t xml:space="preserve">is capable of </w:t>
      </w:r>
      <w:r w:rsidRPr="00CD26AD">
        <w:rPr>
          <w:lang w:val="en-AU"/>
        </w:rPr>
        <w:t xml:space="preserve">driving progress towards the provision of the best possible outcomes from investment in health and related services. </w:t>
      </w:r>
      <w:r w:rsidR="00D33D90">
        <w:rPr>
          <w:lang w:val="en-AU"/>
        </w:rPr>
        <w:t>The Campaign Steering Committee believes if the Implementation P</w:t>
      </w:r>
      <w:r w:rsidRPr="00CD26AD">
        <w:rPr>
          <w:lang w:val="en-AU"/>
        </w:rPr>
        <w:t xml:space="preserve">lan </w:t>
      </w:r>
      <w:r w:rsidR="00D33D90">
        <w:rPr>
          <w:lang w:val="en-AU"/>
        </w:rPr>
        <w:t>contains the essential elements outlined above it can drive</w:t>
      </w:r>
      <w:r w:rsidRPr="00CD26AD">
        <w:rPr>
          <w:lang w:val="en-AU"/>
        </w:rPr>
        <w:t xml:space="preserve"> significant, rapid and progressive inroads into health and life expectancy gaps</w:t>
      </w:r>
      <w:r w:rsidR="00D33D90">
        <w:rPr>
          <w:lang w:val="en-AU"/>
        </w:rPr>
        <w:t>.</w:t>
      </w:r>
    </w:p>
    <w:tbl>
      <w:tblPr>
        <w:tblStyle w:val="TableGrid"/>
        <w:tblW w:w="0" w:type="auto"/>
        <w:tblLook w:val="04A0" w:firstRow="1" w:lastRow="0" w:firstColumn="1" w:lastColumn="0" w:noHBand="0" w:noVBand="1"/>
      </w:tblPr>
      <w:tblGrid>
        <w:gridCol w:w="9286"/>
      </w:tblGrid>
      <w:tr w:rsidR="00250437" w:rsidRPr="00987C86" w14:paraId="3A4DAF6C" w14:textId="77777777" w:rsidTr="00250437">
        <w:tc>
          <w:tcPr>
            <w:tcW w:w="9286" w:type="dxa"/>
            <w:shd w:val="clear" w:color="auto" w:fill="EEECE1" w:themeFill="background2"/>
          </w:tcPr>
          <w:p w14:paraId="3E436385" w14:textId="2FBC223D" w:rsidR="007B390B" w:rsidRPr="007B390B" w:rsidRDefault="00250437" w:rsidP="00FA24F0">
            <w:pPr>
              <w:spacing w:after="0"/>
              <w:rPr>
                <w:rFonts w:asciiTheme="majorHAnsi" w:hAnsiTheme="majorHAnsi"/>
                <w:b/>
                <w:lang w:val="en-AU"/>
              </w:rPr>
            </w:pPr>
            <w:r>
              <w:rPr>
                <w:rFonts w:asciiTheme="majorHAnsi" w:hAnsiTheme="majorHAnsi"/>
                <w:b/>
                <w:lang w:val="en-AU"/>
              </w:rPr>
              <w:t>Rec</w:t>
            </w:r>
            <w:r w:rsidR="00A52534">
              <w:rPr>
                <w:rFonts w:asciiTheme="majorHAnsi" w:hAnsiTheme="majorHAnsi"/>
                <w:b/>
                <w:lang w:val="en-AU"/>
              </w:rPr>
              <w:t xml:space="preserve">ommendation </w:t>
            </w:r>
            <w:r w:rsidR="006A7E17">
              <w:rPr>
                <w:rFonts w:asciiTheme="majorHAnsi" w:hAnsiTheme="majorHAnsi"/>
                <w:b/>
                <w:lang w:val="en-AU"/>
              </w:rPr>
              <w:t>9</w:t>
            </w:r>
            <w:r w:rsidRPr="00987C86">
              <w:rPr>
                <w:rFonts w:asciiTheme="majorHAnsi" w:hAnsiTheme="majorHAnsi"/>
                <w:b/>
                <w:lang w:val="en-AU"/>
              </w:rPr>
              <w:t xml:space="preserve">: </w:t>
            </w:r>
            <w:r w:rsidR="009625BE">
              <w:rPr>
                <w:rFonts w:asciiTheme="majorHAnsi" w:hAnsiTheme="majorHAnsi"/>
                <w:b/>
                <w:lang w:val="en-AU"/>
              </w:rPr>
              <w:t xml:space="preserve">That the Implementation Plan for the </w:t>
            </w:r>
            <w:r w:rsidR="009625BE" w:rsidRPr="009625BE">
              <w:rPr>
                <w:rFonts w:asciiTheme="majorHAnsi" w:hAnsiTheme="majorHAnsi"/>
                <w:b/>
                <w:i/>
                <w:lang w:val="en-AU"/>
              </w:rPr>
              <w:t>National Aboriginal and Torres Strait Islander Health Plan</w:t>
            </w:r>
            <w:r w:rsidR="009625BE">
              <w:rPr>
                <w:rFonts w:asciiTheme="majorHAnsi" w:hAnsiTheme="majorHAnsi"/>
                <w:b/>
                <w:lang w:val="en-AU"/>
              </w:rPr>
              <w:t xml:space="preserve"> </w:t>
            </w:r>
            <w:r w:rsidR="007B390B">
              <w:rPr>
                <w:rFonts w:asciiTheme="majorHAnsi" w:hAnsiTheme="majorHAnsi"/>
                <w:b/>
                <w:lang w:val="en-AU"/>
              </w:rPr>
              <w:t>include the</w:t>
            </w:r>
            <w:r w:rsidR="00FA24F0">
              <w:rPr>
                <w:rFonts w:asciiTheme="majorHAnsi" w:hAnsiTheme="majorHAnsi"/>
                <w:b/>
                <w:lang w:val="en-AU"/>
              </w:rPr>
              <w:t xml:space="preserve"> above</w:t>
            </w:r>
            <w:r w:rsidR="007B390B">
              <w:rPr>
                <w:rFonts w:asciiTheme="majorHAnsi" w:hAnsiTheme="majorHAnsi"/>
                <w:b/>
                <w:lang w:val="en-AU"/>
              </w:rPr>
              <w:t xml:space="preserve"> essential elements. </w:t>
            </w:r>
          </w:p>
        </w:tc>
      </w:tr>
    </w:tbl>
    <w:p w14:paraId="05B04FE7" w14:textId="77777777" w:rsidR="009D2C98" w:rsidRDefault="009D2C98">
      <w:pPr>
        <w:rPr>
          <w:b/>
          <w:bCs/>
          <w:sz w:val="28"/>
          <w:szCs w:val="28"/>
          <w:lang w:val="en-AU" w:eastAsia="x-none"/>
        </w:rPr>
      </w:pPr>
      <w:r>
        <w:rPr>
          <w:lang w:val="en-AU"/>
        </w:rPr>
        <w:br w:type="page"/>
      </w:r>
    </w:p>
    <w:p w14:paraId="74154E3D" w14:textId="69192BC0" w:rsidR="007F439C" w:rsidRPr="00987C86" w:rsidRDefault="007F439C" w:rsidP="00E64A1B">
      <w:pPr>
        <w:pStyle w:val="Heading1"/>
        <w:numPr>
          <w:ilvl w:val="0"/>
          <w:numId w:val="0"/>
        </w:numPr>
        <w:ind w:left="851" w:hanging="851"/>
        <w:rPr>
          <w:lang w:val="en-AU"/>
        </w:rPr>
      </w:pPr>
      <w:bookmarkStart w:id="36" w:name="_Toc409788741"/>
      <w:r w:rsidRPr="00987C86">
        <w:rPr>
          <w:lang w:val="en-AU"/>
        </w:rPr>
        <w:lastRenderedPageBreak/>
        <w:t>Conclusion</w:t>
      </w:r>
      <w:bookmarkEnd w:id="36"/>
    </w:p>
    <w:p w14:paraId="70676CCC" w14:textId="1305921A" w:rsidR="00545F88" w:rsidRDefault="00545F88" w:rsidP="00545F88">
      <w:pPr>
        <w:spacing w:before="240" w:after="240"/>
        <w:ind w:right="74"/>
        <w:rPr>
          <w:lang w:val="en-AU"/>
        </w:rPr>
      </w:pPr>
      <w:r w:rsidRPr="006A24D8">
        <w:rPr>
          <w:lang w:val="en-AU"/>
        </w:rPr>
        <w:t xml:space="preserve">This report affirms the need to </w:t>
      </w:r>
      <w:r w:rsidR="00AF16C3" w:rsidRPr="006A24D8">
        <w:rPr>
          <w:lang w:val="en-AU"/>
        </w:rPr>
        <w:t>stay the course</w:t>
      </w:r>
      <w:r w:rsidRPr="006A24D8">
        <w:rPr>
          <w:lang w:val="en-AU"/>
        </w:rPr>
        <w:t xml:space="preserve"> with the Closing the Gap Strategy and to be patient for improvements </w:t>
      </w:r>
      <w:r w:rsidR="00FB0D9D">
        <w:rPr>
          <w:lang w:val="en-AU"/>
        </w:rPr>
        <w:t xml:space="preserve">sought </w:t>
      </w:r>
      <w:r w:rsidRPr="006A24D8">
        <w:rPr>
          <w:lang w:val="en-AU"/>
        </w:rPr>
        <w:t>to Aboriginal and Torres Strait Islander health</w:t>
      </w:r>
      <w:r w:rsidR="00861615">
        <w:rPr>
          <w:lang w:val="en-AU"/>
        </w:rPr>
        <w:t xml:space="preserve"> and life expectancy</w:t>
      </w:r>
      <w:r w:rsidRPr="006A24D8">
        <w:rPr>
          <w:lang w:val="en-AU"/>
        </w:rPr>
        <w:t xml:space="preserve"> – progress which many indicators suggest will be seen in time. It should not be forgotten that the Closing the Gap Strategy commenced in July 2009 and that intergenerational change cannot be expected in less than four years. Processes and programmes require </w:t>
      </w:r>
      <w:r w:rsidR="004D7745" w:rsidRPr="006A24D8">
        <w:rPr>
          <w:lang w:val="en-AU"/>
        </w:rPr>
        <w:t>courage and leadership</w:t>
      </w:r>
      <w:r w:rsidRPr="006A24D8">
        <w:rPr>
          <w:lang w:val="en-AU"/>
        </w:rPr>
        <w:t xml:space="preserve"> to ensure </w:t>
      </w:r>
      <w:r w:rsidR="004F7309">
        <w:rPr>
          <w:lang w:val="en-AU"/>
        </w:rPr>
        <w:t xml:space="preserve">that </w:t>
      </w:r>
      <w:r w:rsidRPr="006A24D8">
        <w:rPr>
          <w:lang w:val="en-AU"/>
        </w:rPr>
        <w:t xml:space="preserve">their full potential and impact is realised. </w:t>
      </w:r>
    </w:p>
    <w:p w14:paraId="4AC5CB04" w14:textId="5F265EC8" w:rsidR="00A40D19" w:rsidRPr="00987C86" w:rsidRDefault="004F7309" w:rsidP="00A40D19">
      <w:pPr>
        <w:autoSpaceDE w:val="0"/>
        <w:autoSpaceDN w:val="0"/>
        <w:adjustRightInd w:val="0"/>
        <w:spacing w:before="240" w:after="240"/>
        <w:rPr>
          <w:rFonts w:cs="Calibri"/>
          <w:bCs/>
          <w:color w:val="000000"/>
          <w:lang w:val="en-AU"/>
        </w:rPr>
      </w:pPr>
      <w:r>
        <w:rPr>
          <w:lang w:val="en-AU"/>
        </w:rPr>
        <w:t>The Campaign Steering Committee</w:t>
      </w:r>
      <w:r w:rsidR="00545F88" w:rsidRPr="006A24D8">
        <w:rPr>
          <w:lang w:val="en-AU"/>
        </w:rPr>
        <w:t xml:space="preserve"> recognises the value </w:t>
      </w:r>
      <w:r w:rsidR="004D6708" w:rsidRPr="006A24D8">
        <w:rPr>
          <w:lang w:val="en-AU"/>
        </w:rPr>
        <w:t>in</w:t>
      </w:r>
      <w:r w:rsidR="00545F88" w:rsidRPr="006A24D8">
        <w:rPr>
          <w:lang w:val="en-AU"/>
        </w:rPr>
        <w:t xml:space="preserve"> the new Indigenous Affairs prioritie</w:t>
      </w:r>
      <w:r w:rsidR="00AD175B">
        <w:rPr>
          <w:lang w:val="en-AU"/>
        </w:rPr>
        <w:t xml:space="preserve">s of the Australian Government – </w:t>
      </w:r>
      <w:r w:rsidR="00A40D19" w:rsidRPr="00987C86">
        <w:rPr>
          <w:rFonts w:cs="Calibri"/>
          <w:bCs/>
          <w:color w:val="000000"/>
          <w:lang w:val="en-AU"/>
        </w:rPr>
        <w:t xml:space="preserve">improving employment, education outcomes and community safety </w:t>
      </w:r>
      <w:r w:rsidR="00FB0D9D">
        <w:rPr>
          <w:rFonts w:cs="Calibri"/>
          <w:bCs/>
          <w:color w:val="000000"/>
          <w:lang w:val="en-AU"/>
        </w:rPr>
        <w:t>–</w:t>
      </w:r>
      <w:r w:rsidR="00A40D19" w:rsidRPr="00987C86">
        <w:rPr>
          <w:rFonts w:cs="Calibri"/>
          <w:bCs/>
          <w:color w:val="000000"/>
          <w:lang w:val="en-AU"/>
        </w:rPr>
        <w:t>and</w:t>
      </w:r>
      <w:r w:rsidR="00FB0D9D">
        <w:rPr>
          <w:rFonts w:cs="Calibri"/>
          <w:bCs/>
          <w:color w:val="000000"/>
          <w:lang w:val="en-AU"/>
        </w:rPr>
        <w:t xml:space="preserve"> </w:t>
      </w:r>
      <w:r w:rsidR="00A40D19" w:rsidRPr="00987C86">
        <w:rPr>
          <w:rFonts w:cs="Calibri"/>
          <w:bCs/>
          <w:color w:val="000000"/>
          <w:lang w:val="en-AU"/>
        </w:rPr>
        <w:t xml:space="preserve">believes the </w:t>
      </w:r>
      <w:r w:rsidR="00FA24F0">
        <w:rPr>
          <w:rFonts w:cs="Calibri"/>
          <w:bCs/>
          <w:color w:val="000000"/>
          <w:lang w:val="en-AU"/>
        </w:rPr>
        <w:t>IAS</w:t>
      </w:r>
      <w:r w:rsidR="00A40D19" w:rsidRPr="00987C86">
        <w:rPr>
          <w:rFonts w:cs="Calibri"/>
          <w:bCs/>
          <w:color w:val="000000"/>
          <w:lang w:val="en-AU"/>
        </w:rPr>
        <w:t xml:space="preserve"> should be </w:t>
      </w:r>
      <w:r w:rsidR="00877F4A">
        <w:rPr>
          <w:rFonts w:cs="Calibri"/>
          <w:bCs/>
          <w:color w:val="000000"/>
          <w:lang w:val="en-AU"/>
        </w:rPr>
        <w:t>better connected</w:t>
      </w:r>
      <w:r w:rsidR="00A40D19" w:rsidRPr="00987C86">
        <w:rPr>
          <w:rFonts w:cs="Calibri"/>
          <w:bCs/>
          <w:color w:val="000000"/>
          <w:lang w:val="en-AU"/>
        </w:rPr>
        <w:t xml:space="preserve"> to the national, COAG Closing the Gap Strategy that already address</w:t>
      </w:r>
      <w:r w:rsidR="00AF16C3" w:rsidRPr="00987C86">
        <w:rPr>
          <w:rFonts w:cs="Calibri"/>
          <w:bCs/>
          <w:color w:val="000000"/>
          <w:lang w:val="en-AU"/>
        </w:rPr>
        <w:t>es</w:t>
      </w:r>
      <w:r w:rsidR="00A40D19" w:rsidRPr="00987C86">
        <w:rPr>
          <w:rFonts w:cs="Calibri"/>
          <w:bCs/>
          <w:color w:val="000000"/>
          <w:lang w:val="en-AU"/>
        </w:rPr>
        <w:t xml:space="preserve"> these areas. </w:t>
      </w:r>
    </w:p>
    <w:p w14:paraId="210A2A80" w14:textId="2D752A00" w:rsidR="00545F88" w:rsidRPr="006A24D8" w:rsidRDefault="00A40D19" w:rsidP="00A40D19">
      <w:pPr>
        <w:spacing w:before="240" w:after="240"/>
        <w:ind w:right="74"/>
        <w:rPr>
          <w:lang w:val="en-AU"/>
        </w:rPr>
      </w:pPr>
      <w:r w:rsidRPr="00987C86">
        <w:rPr>
          <w:rFonts w:cs="Calibri"/>
          <w:bCs/>
          <w:color w:val="000000"/>
          <w:lang w:val="en-AU"/>
        </w:rPr>
        <w:t xml:space="preserve">Articulating and strengthening links between the IAS and the Closing the Gap Strategy </w:t>
      </w:r>
      <w:r w:rsidR="00AD175B">
        <w:rPr>
          <w:rFonts w:cs="Calibri"/>
          <w:bCs/>
          <w:color w:val="000000"/>
          <w:lang w:val="en-AU"/>
        </w:rPr>
        <w:t>will strengthen both policies and also ensure that</w:t>
      </w:r>
      <w:r w:rsidRPr="00987C86">
        <w:rPr>
          <w:rFonts w:cs="Calibri"/>
          <w:bCs/>
          <w:color w:val="000000"/>
          <w:lang w:val="en-AU"/>
        </w:rPr>
        <w:t xml:space="preserve"> health remain</w:t>
      </w:r>
      <w:r w:rsidR="00AD175B">
        <w:rPr>
          <w:rFonts w:cs="Calibri"/>
          <w:bCs/>
          <w:color w:val="000000"/>
          <w:lang w:val="en-AU"/>
        </w:rPr>
        <w:t>s</w:t>
      </w:r>
      <w:r w:rsidRPr="00987C86">
        <w:rPr>
          <w:rFonts w:cs="Calibri"/>
          <w:bCs/>
          <w:color w:val="000000"/>
          <w:lang w:val="en-AU"/>
        </w:rPr>
        <w:t xml:space="preserve"> a priority at the national level. </w:t>
      </w:r>
      <w:r w:rsidR="00FE3ACA">
        <w:rPr>
          <w:rFonts w:cs="Calibri"/>
          <w:bCs/>
          <w:color w:val="000000"/>
          <w:lang w:val="en-AU"/>
        </w:rPr>
        <w:t>I</w:t>
      </w:r>
      <w:r w:rsidRPr="00987C86">
        <w:rPr>
          <w:rFonts w:cs="Calibri"/>
          <w:bCs/>
          <w:color w:val="000000"/>
          <w:lang w:val="en-AU"/>
        </w:rPr>
        <w:t xml:space="preserve">t </w:t>
      </w:r>
      <w:r w:rsidR="00FE3ACA">
        <w:rPr>
          <w:rFonts w:cs="Calibri"/>
          <w:bCs/>
          <w:color w:val="000000"/>
          <w:lang w:val="en-AU"/>
        </w:rPr>
        <w:t xml:space="preserve">is clear from the evidence that positive health </w:t>
      </w:r>
      <w:r w:rsidR="00FA24F0">
        <w:rPr>
          <w:rFonts w:cs="Calibri"/>
          <w:bCs/>
          <w:color w:val="000000"/>
          <w:lang w:val="en-AU"/>
        </w:rPr>
        <w:t>out</w:t>
      </w:r>
      <w:r w:rsidR="00FE3ACA">
        <w:rPr>
          <w:rFonts w:cs="Calibri"/>
          <w:bCs/>
          <w:color w:val="000000"/>
          <w:lang w:val="en-AU"/>
        </w:rPr>
        <w:t>comes are connected to achieving the</w:t>
      </w:r>
      <w:r w:rsidRPr="00987C86">
        <w:rPr>
          <w:rFonts w:cs="Calibri"/>
          <w:bCs/>
          <w:color w:val="000000"/>
          <w:lang w:val="en-AU"/>
        </w:rPr>
        <w:t xml:space="preserve"> goals</w:t>
      </w:r>
      <w:r w:rsidR="00FE3ACA">
        <w:rPr>
          <w:rFonts w:cs="Calibri"/>
          <w:bCs/>
          <w:color w:val="000000"/>
          <w:lang w:val="en-AU"/>
        </w:rPr>
        <w:t xml:space="preserve"> of the IAS</w:t>
      </w:r>
      <w:r w:rsidRPr="00987C86">
        <w:rPr>
          <w:rFonts w:cs="Calibri"/>
          <w:bCs/>
          <w:color w:val="000000"/>
          <w:lang w:val="en-AU"/>
        </w:rPr>
        <w:t>.</w:t>
      </w:r>
    </w:p>
    <w:p w14:paraId="1E0D465F" w14:textId="77777777" w:rsidR="00A40D19" w:rsidRPr="00987C86" w:rsidRDefault="00A40D19" w:rsidP="004B0C22">
      <w:pPr>
        <w:spacing w:before="240" w:after="240"/>
        <w:ind w:right="72"/>
        <w:rPr>
          <w:rFonts w:asciiTheme="majorHAnsi" w:hAnsiTheme="majorHAnsi" w:cs="Calibri"/>
          <w:color w:val="000000" w:themeColor="text1"/>
          <w:lang w:val="en-AU"/>
        </w:rPr>
      </w:pPr>
      <w:r w:rsidRPr="00987C86">
        <w:rPr>
          <w:rFonts w:asciiTheme="majorHAnsi" w:hAnsiTheme="majorHAnsi" w:cs="Calibri"/>
          <w:color w:val="000000" w:themeColor="text1"/>
          <w:lang w:val="en-AU"/>
        </w:rPr>
        <w:t xml:space="preserve">The Campaign Steering Committee remains steadfast in its belief that the road to closing the health gap is embodied in the principles of the </w:t>
      </w:r>
      <w:r w:rsidRPr="00987C86">
        <w:rPr>
          <w:rFonts w:asciiTheme="majorHAnsi" w:hAnsiTheme="majorHAnsi" w:cs="Calibri"/>
          <w:i/>
          <w:color w:val="000000" w:themeColor="text1"/>
          <w:lang w:val="en-AU"/>
        </w:rPr>
        <w:t>Close the Gap Statement of Intent</w:t>
      </w:r>
      <w:r w:rsidRPr="00987C86">
        <w:rPr>
          <w:rFonts w:asciiTheme="majorHAnsi" w:hAnsiTheme="majorHAnsi" w:cs="Calibri"/>
          <w:color w:val="000000" w:themeColor="text1"/>
          <w:lang w:val="en-AU"/>
        </w:rPr>
        <w:t xml:space="preserve">. That is, in effective planning and the use of targets, and maintaining the course through long-term policy approaches such as the Closing the Gap Strategy. </w:t>
      </w:r>
    </w:p>
    <w:p w14:paraId="7E516421" w14:textId="409C61EA" w:rsidR="00545F88" w:rsidRDefault="00A40D19" w:rsidP="004B0C22">
      <w:pPr>
        <w:spacing w:before="240" w:after="240"/>
        <w:ind w:right="72"/>
        <w:rPr>
          <w:rFonts w:asciiTheme="majorHAnsi" w:hAnsiTheme="majorHAnsi" w:cs="Calibri"/>
          <w:color w:val="000000" w:themeColor="text1"/>
          <w:lang w:val="en-AU"/>
        </w:rPr>
      </w:pPr>
      <w:r w:rsidRPr="00987C86">
        <w:rPr>
          <w:rFonts w:asciiTheme="majorHAnsi" w:hAnsiTheme="majorHAnsi" w:cs="Calibri"/>
          <w:color w:val="000000" w:themeColor="text1"/>
          <w:lang w:val="en-AU"/>
        </w:rPr>
        <w:t>It is also critical that Australian governments continue to work with Aboriginal and Torres Strait Islander health leaders and stakeholders to deliver the most effective and efficient health outcomes for Aboriginal and Torres Strait Islander peoples</w:t>
      </w:r>
      <w:r w:rsidR="00D95C10">
        <w:rPr>
          <w:rFonts w:asciiTheme="majorHAnsi" w:hAnsiTheme="majorHAnsi" w:cs="Calibri"/>
          <w:color w:val="000000" w:themeColor="text1"/>
          <w:lang w:val="en-AU"/>
        </w:rPr>
        <w:t>,</w:t>
      </w:r>
      <w:r w:rsidRPr="00987C86">
        <w:rPr>
          <w:rFonts w:asciiTheme="majorHAnsi" w:hAnsiTheme="majorHAnsi" w:cs="Calibri"/>
          <w:color w:val="000000" w:themeColor="text1"/>
          <w:lang w:val="en-AU"/>
        </w:rPr>
        <w:t xml:space="preserve"> so that the health gap closes within a generation.</w:t>
      </w:r>
    </w:p>
    <w:p w14:paraId="0BADDD45" w14:textId="4A651A36" w:rsidR="00877F4A" w:rsidRDefault="00877F4A" w:rsidP="004B0C22">
      <w:pPr>
        <w:spacing w:before="240" w:after="240"/>
        <w:ind w:right="72"/>
        <w:rPr>
          <w:rFonts w:asciiTheme="majorHAnsi" w:hAnsiTheme="majorHAnsi" w:cs="Calibri"/>
          <w:color w:val="000000" w:themeColor="text1"/>
          <w:lang w:val="en-AU"/>
        </w:rPr>
      </w:pPr>
      <w:r w:rsidRPr="00877F4A">
        <w:rPr>
          <w:rFonts w:asciiTheme="majorHAnsi" w:hAnsiTheme="majorHAnsi" w:cs="Calibri"/>
          <w:color w:val="000000" w:themeColor="text1"/>
          <w:lang w:val="en-AU"/>
        </w:rPr>
        <w:t>In particular, this requires a new focus on the importance of enabling Aboriginal and Torres Strait Islander people to access appropriate health services, particularly primary health care services. The release of the NATSIHMS in 2014 highlights the burden of undetected chronic disease in Aboriginal an</w:t>
      </w:r>
      <w:r>
        <w:rPr>
          <w:rFonts w:asciiTheme="majorHAnsi" w:hAnsiTheme="majorHAnsi" w:cs="Calibri"/>
          <w:color w:val="000000" w:themeColor="text1"/>
          <w:lang w:val="en-AU"/>
        </w:rPr>
        <w:t>d Torres Strait Islander people</w:t>
      </w:r>
      <w:r w:rsidRPr="00877F4A">
        <w:rPr>
          <w:rFonts w:asciiTheme="majorHAnsi" w:hAnsiTheme="majorHAnsi" w:cs="Calibri"/>
          <w:color w:val="000000" w:themeColor="text1"/>
          <w:lang w:val="en-AU"/>
        </w:rPr>
        <w:t xml:space="preserve">. Detecting and properly treating and managing these hitherto ‘hidden’ conditions could significantly contribute to closing the health gap. </w:t>
      </w:r>
    </w:p>
    <w:p w14:paraId="1206DB76" w14:textId="2DF60CF1" w:rsidR="00FE3ACA" w:rsidRPr="00987C86" w:rsidRDefault="00FE3ACA" w:rsidP="004B0C22">
      <w:pPr>
        <w:spacing w:before="240" w:after="240"/>
        <w:ind w:right="72"/>
        <w:rPr>
          <w:rFonts w:asciiTheme="majorHAnsi" w:hAnsiTheme="majorHAnsi" w:cs="Calibri"/>
          <w:color w:val="000000" w:themeColor="text1"/>
          <w:lang w:val="en-AU"/>
        </w:rPr>
      </w:pPr>
      <w:r>
        <w:rPr>
          <w:lang w:val="en-AU"/>
        </w:rPr>
        <w:t xml:space="preserve">The Campaign Steering Committee believes that </w:t>
      </w:r>
      <w:r w:rsidR="00340833">
        <w:rPr>
          <w:lang w:val="en-AU"/>
        </w:rPr>
        <w:t>effectively</w:t>
      </w:r>
      <w:r>
        <w:rPr>
          <w:lang w:val="en-AU"/>
        </w:rPr>
        <w:t xml:space="preserve"> </w:t>
      </w:r>
      <w:r w:rsidR="00340833">
        <w:rPr>
          <w:lang w:val="en-AU"/>
        </w:rPr>
        <w:t>implementing</w:t>
      </w:r>
      <w:r>
        <w:rPr>
          <w:lang w:val="en-AU"/>
        </w:rPr>
        <w:t xml:space="preserve"> the Health Plan could drive</w:t>
      </w:r>
      <w:r w:rsidRPr="00CD26AD">
        <w:rPr>
          <w:lang w:val="en-AU"/>
        </w:rPr>
        <w:t xml:space="preserve"> significant, rapid and progressive inroads into the health and life expectancy gaps</w:t>
      </w:r>
      <w:r>
        <w:rPr>
          <w:lang w:val="en-AU"/>
        </w:rPr>
        <w:t>.</w:t>
      </w:r>
    </w:p>
    <w:p w14:paraId="796C0C8D" w14:textId="77777777" w:rsidR="007F439C" w:rsidRPr="00987C86" w:rsidRDefault="007F439C">
      <w:pPr>
        <w:rPr>
          <w:rFonts w:cs="Calibri"/>
          <w:b/>
          <w:spacing w:val="-4"/>
          <w:sz w:val="32"/>
          <w:szCs w:val="32"/>
          <w:lang w:val="en-AU"/>
        </w:rPr>
      </w:pPr>
      <w:r w:rsidRPr="00987C86">
        <w:rPr>
          <w:rFonts w:cs="Calibri"/>
          <w:b/>
          <w:spacing w:val="-4"/>
          <w:sz w:val="32"/>
          <w:szCs w:val="32"/>
          <w:lang w:val="en-AU"/>
        </w:rPr>
        <w:br w:type="page"/>
      </w:r>
    </w:p>
    <w:p w14:paraId="412A6A2B" w14:textId="77777777" w:rsidR="007F439C" w:rsidRPr="00987C86" w:rsidRDefault="007F439C" w:rsidP="006852C3">
      <w:pPr>
        <w:pStyle w:val="ColorfulList-Accent11"/>
        <w:ind w:left="0" w:right="576"/>
        <w:rPr>
          <w:rFonts w:cs="Calibri"/>
          <w:b/>
          <w:spacing w:val="-4"/>
          <w:sz w:val="32"/>
          <w:szCs w:val="32"/>
          <w:lang w:val="en-AU"/>
        </w:rPr>
      </w:pPr>
      <w:r w:rsidRPr="00987C86">
        <w:rPr>
          <w:rFonts w:cs="Calibri"/>
          <w:b/>
          <w:spacing w:val="-4"/>
          <w:sz w:val="32"/>
          <w:szCs w:val="32"/>
          <w:lang w:val="en-AU"/>
        </w:rPr>
        <w:lastRenderedPageBreak/>
        <w:t>Who we are</w:t>
      </w:r>
    </w:p>
    <w:p w14:paraId="1337D1A9" w14:textId="77777777" w:rsidR="00454440" w:rsidRPr="00454440" w:rsidRDefault="00454440" w:rsidP="00454440">
      <w:pPr>
        <w:ind w:right="576"/>
        <w:rPr>
          <w:rFonts w:cs="Calibri"/>
        </w:rPr>
      </w:pPr>
      <w:r w:rsidRPr="00454440">
        <w:rPr>
          <w:rFonts w:cs="Calibri"/>
        </w:rPr>
        <w:t xml:space="preserve">Australia's peak Aboriginal and Torres Strait Islander and non-Indigenous health bodies, health professional bodies and human rights </w:t>
      </w:r>
      <w:proofErr w:type="spellStart"/>
      <w:r w:rsidRPr="00454440">
        <w:rPr>
          <w:rFonts w:cs="Calibri"/>
        </w:rPr>
        <w:t>organisations</w:t>
      </w:r>
      <w:proofErr w:type="spellEnd"/>
      <w:r w:rsidRPr="00454440">
        <w:rPr>
          <w:rFonts w:cs="Calibri"/>
        </w:rPr>
        <w:t xml:space="preserve"> operate the Close the Gap Campaign.  The Campaign's goal is to raise the health and life expectancy of Aboriginal and Torres Strait Islander people to that of the non-Indigenous population within a generation: to close the gap by 2030. It aims to do this through the implementation of a human rights-based approach set out in the Aboriginal and Torres Strait Islander Social Justice Commissioner's </w:t>
      </w:r>
      <w:r w:rsidRPr="00454440">
        <w:rPr>
          <w:rFonts w:cs="Calibri"/>
          <w:i/>
        </w:rPr>
        <w:t>Social Justice Report 2005</w:t>
      </w:r>
      <w:r w:rsidRPr="00454440">
        <w:rPr>
          <w:rFonts w:cs="Calibri"/>
        </w:rPr>
        <w:t>.</w:t>
      </w:r>
      <w:r w:rsidRPr="00454440">
        <w:rPr>
          <w:rFonts w:ascii="Arial" w:hAnsi="Arial" w:cs="Calibri"/>
          <w:sz w:val="20"/>
          <w:vertAlign w:val="superscript"/>
        </w:rPr>
        <w:endnoteReference w:id="232"/>
      </w:r>
    </w:p>
    <w:p w14:paraId="5F72F24C" w14:textId="77777777" w:rsidR="00454440" w:rsidRPr="00454440" w:rsidRDefault="00454440" w:rsidP="00454440">
      <w:pPr>
        <w:ind w:right="216"/>
        <w:rPr>
          <w:rFonts w:cs="Calibri"/>
        </w:rPr>
      </w:pPr>
    </w:p>
    <w:p w14:paraId="57C62666" w14:textId="77777777" w:rsidR="00454440" w:rsidRPr="00454440" w:rsidRDefault="00454440" w:rsidP="00454440">
      <w:pPr>
        <w:ind w:right="360"/>
        <w:rPr>
          <w:rFonts w:cs="Calibri"/>
        </w:rPr>
      </w:pPr>
      <w:r w:rsidRPr="00454440">
        <w:rPr>
          <w:rFonts w:cs="Calibri"/>
        </w:rPr>
        <w:t xml:space="preserve">The Campaign Steering Committee first met in March 2006. Our patrons, Catherine Freeman OAM and </w:t>
      </w:r>
      <w:proofErr w:type="spellStart"/>
      <w:proofErr w:type="gramStart"/>
      <w:r w:rsidRPr="00454440">
        <w:rPr>
          <w:rFonts w:cs="Calibri"/>
        </w:rPr>
        <w:t>lan</w:t>
      </w:r>
      <w:proofErr w:type="spellEnd"/>
      <w:proofErr w:type="gramEnd"/>
      <w:r w:rsidRPr="00454440">
        <w:rPr>
          <w:rFonts w:cs="Calibri"/>
        </w:rPr>
        <w:t xml:space="preserve"> Thorpe OAM, launched the campaign in April 2007. To date, almost 200,000 Australians have formally pledged their support.</w:t>
      </w:r>
      <w:r w:rsidRPr="00454440">
        <w:rPr>
          <w:rFonts w:ascii="Arial" w:hAnsi="Arial" w:cs="Calibri"/>
          <w:sz w:val="20"/>
          <w:vertAlign w:val="superscript"/>
        </w:rPr>
        <w:endnoteReference w:id="233"/>
      </w:r>
      <w:r w:rsidRPr="00454440">
        <w:rPr>
          <w:rFonts w:cs="Calibri"/>
        </w:rPr>
        <w:t xml:space="preserve"> </w:t>
      </w:r>
    </w:p>
    <w:p w14:paraId="67BBFA42" w14:textId="77777777" w:rsidR="00454440" w:rsidRPr="00454440" w:rsidRDefault="00454440" w:rsidP="00454440">
      <w:pPr>
        <w:ind w:right="360"/>
        <w:rPr>
          <w:rFonts w:cs="Calibri"/>
        </w:rPr>
      </w:pPr>
    </w:p>
    <w:p w14:paraId="317CA2B3" w14:textId="77777777" w:rsidR="00454440" w:rsidRPr="00454440" w:rsidRDefault="00454440" w:rsidP="00454440">
      <w:pPr>
        <w:ind w:right="360"/>
        <w:rPr>
          <w:rFonts w:cs="Calibri"/>
        </w:rPr>
      </w:pPr>
      <w:r w:rsidRPr="00454440">
        <w:rPr>
          <w:rFonts w:cs="Calibri"/>
        </w:rPr>
        <w:t>The Close the Gap Campaign is a growing national movement:</w:t>
      </w:r>
    </w:p>
    <w:p w14:paraId="157A7603" w14:textId="77777777" w:rsidR="00454440" w:rsidRPr="00454440" w:rsidRDefault="00454440" w:rsidP="00644563">
      <w:pPr>
        <w:numPr>
          <w:ilvl w:val="0"/>
          <w:numId w:val="28"/>
        </w:numPr>
        <w:tabs>
          <w:tab w:val="clear" w:pos="936"/>
          <w:tab w:val="num" w:pos="720"/>
        </w:tabs>
        <w:spacing w:before="120" w:after="120"/>
        <w:ind w:left="714" w:right="357" w:hanging="357"/>
        <w:rPr>
          <w:rFonts w:cs="Calibri"/>
        </w:rPr>
      </w:pPr>
      <w:r w:rsidRPr="00454440">
        <w:rPr>
          <w:rFonts w:cs="Calibri"/>
        </w:rPr>
        <w:t xml:space="preserve">Every year since 2010 the National Rugby League has dedicated a round of matches to </w:t>
      </w:r>
      <w:proofErr w:type="gramStart"/>
      <w:r w:rsidRPr="00454440">
        <w:rPr>
          <w:rFonts w:cs="Calibri"/>
        </w:rPr>
        <w:t>Close</w:t>
      </w:r>
      <w:proofErr w:type="gramEnd"/>
      <w:r w:rsidRPr="00454440">
        <w:rPr>
          <w:rFonts w:cs="Calibri"/>
        </w:rPr>
        <w:t xml:space="preserve"> the Gap. The Close the Gap rounds are broadcast to between 2.5 and 3.5 million Australians each year. </w:t>
      </w:r>
    </w:p>
    <w:p w14:paraId="160E016C" w14:textId="5E0F18CA" w:rsidR="00454440" w:rsidRPr="00454440" w:rsidRDefault="006A68DD" w:rsidP="00644563">
      <w:pPr>
        <w:numPr>
          <w:ilvl w:val="0"/>
          <w:numId w:val="28"/>
        </w:numPr>
        <w:tabs>
          <w:tab w:val="clear" w:pos="936"/>
          <w:tab w:val="num" w:pos="720"/>
        </w:tabs>
        <w:spacing w:before="120" w:after="120"/>
        <w:ind w:left="714" w:right="357" w:hanging="357"/>
        <w:rPr>
          <w:rFonts w:cs="Calibri"/>
        </w:rPr>
      </w:pPr>
      <w:r>
        <w:rPr>
          <w:rFonts w:cs="Calibri"/>
        </w:rPr>
        <w:t xml:space="preserve">In </w:t>
      </w:r>
      <w:r w:rsidRPr="006A68DD">
        <w:rPr>
          <w:rFonts w:cs="Calibri"/>
        </w:rPr>
        <w:t xml:space="preserve">2007 the first National Close the Gap Day was held. It involved five large State events and more than 300 community events. National Close the Gap Day has become an annual event since 2009. Australians across every state and territory participate in this event. Health services, schools, businesses, hospitals, government departments, ambulance services, non-government </w:t>
      </w:r>
      <w:proofErr w:type="spellStart"/>
      <w:r w:rsidRPr="006A68DD">
        <w:rPr>
          <w:rFonts w:cs="Calibri"/>
        </w:rPr>
        <w:t>organisations</w:t>
      </w:r>
      <w:proofErr w:type="spellEnd"/>
      <w:r w:rsidRPr="006A68DD">
        <w:rPr>
          <w:rFonts w:cs="Calibri"/>
        </w:rPr>
        <w:t xml:space="preserve"> and others hold events to raise awareness and show support for the Campaign and its goals. Reflecting the importance of the Campaign to nation, it has become the largest and highest profile Aboriginal and Torres Strait Islander health event in the country. </w:t>
      </w:r>
      <w:r>
        <w:rPr>
          <w:rFonts w:cs="Calibri"/>
        </w:rPr>
        <w:t>O</w:t>
      </w:r>
      <w:r w:rsidRPr="006A68DD">
        <w:rPr>
          <w:rFonts w:cs="Calibri"/>
        </w:rPr>
        <w:t>n National Close the Gap Day in 2014</w:t>
      </w:r>
      <w:r w:rsidR="00FB0D9D">
        <w:rPr>
          <w:rFonts w:cs="Calibri"/>
        </w:rPr>
        <w:t>,</w:t>
      </w:r>
      <w:bookmarkStart w:id="37" w:name="_GoBack"/>
      <w:bookmarkEnd w:id="37"/>
      <w:r>
        <w:rPr>
          <w:rFonts w:cs="Calibri"/>
        </w:rPr>
        <w:t xml:space="preserve"> </w:t>
      </w:r>
      <w:r w:rsidRPr="006A68DD">
        <w:rPr>
          <w:rFonts w:cs="Calibri"/>
        </w:rPr>
        <w:t>1,300 community events</w:t>
      </w:r>
      <w:r>
        <w:rPr>
          <w:rFonts w:cs="Calibri"/>
        </w:rPr>
        <w:t xml:space="preserve"> were held</w:t>
      </w:r>
      <w:r w:rsidRPr="006A68DD">
        <w:rPr>
          <w:rFonts w:cs="Calibri"/>
        </w:rPr>
        <w:t xml:space="preserve"> involving approximately 150,000 Australians.</w:t>
      </w:r>
    </w:p>
    <w:p w14:paraId="325945C8" w14:textId="77777777" w:rsidR="00454440" w:rsidRPr="00454440" w:rsidRDefault="00454440" w:rsidP="00454440">
      <w:pPr>
        <w:spacing w:before="240" w:after="240"/>
        <w:rPr>
          <w:rFonts w:cs="Calibri"/>
        </w:rPr>
      </w:pPr>
      <w:r w:rsidRPr="00454440">
        <w:rPr>
          <w:rFonts w:cs="Calibri"/>
          <w:lang w:eastAsia="en-AU"/>
        </w:rPr>
        <w:t>The current members of the Close the Gap Campaign Steering Committee are</w:t>
      </w:r>
      <w:r w:rsidRPr="00454440">
        <w:rPr>
          <w:rFonts w:cs="Calibri"/>
        </w:rPr>
        <w:t>:</w:t>
      </w:r>
    </w:p>
    <w:p w14:paraId="25D6D051" w14:textId="77777777" w:rsidR="00454440" w:rsidRPr="00454440" w:rsidRDefault="00454440" w:rsidP="00454440">
      <w:pPr>
        <w:spacing w:before="120" w:after="120"/>
        <w:rPr>
          <w:rFonts w:cs="Calibri"/>
          <w:b/>
        </w:rPr>
      </w:pPr>
      <w:r w:rsidRPr="00454440">
        <w:rPr>
          <w:rFonts w:cs="Calibri"/>
          <w:b/>
        </w:rPr>
        <w:t>Co-chairs</w:t>
      </w:r>
    </w:p>
    <w:p w14:paraId="3D0271EB" w14:textId="77777777" w:rsidR="00454440" w:rsidRPr="00454440" w:rsidRDefault="00454440" w:rsidP="00644563">
      <w:pPr>
        <w:numPr>
          <w:ilvl w:val="0"/>
          <w:numId w:val="27"/>
        </w:numPr>
        <w:ind w:left="714" w:hanging="357"/>
        <w:contextualSpacing/>
        <w:rPr>
          <w:rFonts w:cs="Calibri"/>
        </w:rPr>
      </w:pPr>
      <w:proofErr w:type="spellStart"/>
      <w:r w:rsidRPr="00454440">
        <w:rPr>
          <w:rFonts w:cs="Calibri"/>
        </w:rPr>
        <w:t>Ms</w:t>
      </w:r>
      <w:proofErr w:type="spellEnd"/>
      <w:r w:rsidRPr="00454440">
        <w:rPr>
          <w:rFonts w:cs="Calibri"/>
        </w:rPr>
        <w:t xml:space="preserve"> Kirstie Parker, Co-chair of the National Congress of Australia’s First Peoples</w:t>
      </w:r>
    </w:p>
    <w:p w14:paraId="21D90A95" w14:textId="77777777" w:rsidR="00454440" w:rsidRPr="00454440" w:rsidRDefault="00454440" w:rsidP="00644563">
      <w:pPr>
        <w:numPr>
          <w:ilvl w:val="0"/>
          <w:numId w:val="27"/>
        </w:numPr>
        <w:ind w:left="714" w:right="144" w:hanging="357"/>
        <w:contextualSpacing/>
        <w:rPr>
          <w:rFonts w:cs="Calibri"/>
        </w:rPr>
      </w:pPr>
      <w:proofErr w:type="spellStart"/>
      <w:r w:rsidRPr="00454440">
        <w:rPr>
          <w:rFonts w:cs="Calibri"/>
        </w:rPr>
        <w:t>Mr</w:t>
      </w:r>
      <w:proofErr w:type="spellEnd"/>
      <w:r w:rsidRPr="00454440">
        <w:rPr>
          <w:rFonts w:cs="Calibri"/>
        </w:rPr>
        <w:t xml:space="preserve"> Mick Gooda, Aboriginal and Torres Strait Islander Social Justice Commissioner, Australian Human Rights Commission</w:t>
      </w:r>
    </w:p>
    <w:p w14:paraId="1E77B12D" w14:textId="77777777" w:rsidR="00C722AD" w:rsidRPr="00454440" w:rsidRDefault="00454440" w:rsidP="00454440">
      <w:pPr>
        <w:spacing w:before="120" w:after="120"/>
        <w:rPr>
          <w:rFonts w:cs="Calibri"/>
          <w:b/>
        </w:rPr>
      </w:pPr>
      <w:r w:rsidRPr="00454440">
        <w:rPr>
          <w:rFonts w:cs="Calibri"/>
          <w:b/>
        </w:rPr>
        <w:t>Members</w:t>
      </w:r>
    </w:p>
    <w:p w14:paraId="70D4C3EA" w14:textId="77777777" w:rsidR="00C722AD" w:rsidRPr="00E618CE" w:rsidRDefault="00C722AD" w:rsidP="00644563">
      <w:pPr>
        <w:numPr>
          <w:ilvl w:val="0"/>
          <w:numId w:val="37"/>
        </w:numPr>
        <w:contextualSpacing/>
        <w:rPr>
          <w:rFonts w:cs="Arial"/>
        </w:rPr>
      </w:pPr>
      <w:r w:rsidRPr="00E618CE">
        <w:rPr>
          <w:rFonts w:cs="Arial"/>
        </w:rPr>
        <w:t>Aboriginal and Torres Strait Islander Healing Foundation</w:t>
      </w:r>
    </w:p>
    <w:p w14:paraId="2D6CED88" w14:textId="77777777" w:rsidR="00C722AD" w:rsidRPr="00E618CE" w:rsidRDefault="00C722AD" w:rsidP="00644563">
      <w:pPr>
        <w:numPr>
          <w:ilvl w:val="0"/>
          <w:numId w:val="37"/>
        </w:numPr>
        <w:contextualSpacing/>
        <w:rPr>
          <w:rFonts w:cs="Arial"/>
        </w:rPr>
      </w:pPr>
      <w:r w:rsidRPr="00E618CE">
        <w:rPr>
          <w:rFonts w:cs="Arial"/>
        </w:rPr>
        <w:t xml:space="preserve">Aboriginal Health and Medical Research Council </w:t>
      </w:r>
    </w:p>
    <w:p w14:paraId="46E14842" w14:textId="77777777" w:rsidR="00C722AD" w:rsidRPr="00E618CE" w:rsidDel="00FC6B61" w:rsidRDefault="00C722AD" w:rsidP="00644563">
      <w:pPr>
        <w:numPr>
          <w:ilvl w:val="0"/>
          <w:numId w:val="37"/>
        </w:numPr>
        <w:ind w:right="144"/>
        <w:contextualSpacing/>
        <w:rPr>
          <w:rFonts w:cs="Arial"/>
        </w:rPr>
      </w:pPr>
      <w:proofErr w:type="spellStart"/>
      <w:r w:rsidRPr="00E618CE">
        <w:rPr>
          <w:rFonts w:cs="Arial"/>
        </w:rPr>
        <w:t>ANTaR</w:t>
      </w:r>
      <w:proofErr w:type="spellEnd"/>
      <w:r w:rsidRPr="00E618CE" w:rsidDel="00FC6B61">
        <w:rPr>
          <w:rFonts w:cs="Arial"/>
        </w:rPr>
        <w:t xml:space="preserve"> </w:t>
      </w:r>
    </w:p>
    <w:p w14:paraId="4B9DDB40" w14:textId="77777777" w:rsidR="00C722AD" w:rsidRPr="00E618CE" w:rsidRDefault="00C722AD" w:rsidP="00644563">
      <w:pPr>
        <w:numPr>
          <w:ilvl w:val="0"/>
          <w:numId w:val="37"/>
        </w:numPr>
        <w:contextualSpacing/>
        <w:jc w:val="both"/>
        <w:rPr>
          <w:rFonts w:cs="Arial"/>
        </w:rPr>
      </w:pPr>
      <w:r w:rsidRPr="00E618CE">
        <w:rPr>
          <w:rFonts w:cs="Arial"/>
        </w:rPr>
        <w:t>Australian College of Midwives</w:t>
      </w:r>
    </w:p>
    <w:p w14:paraId="01F106D6" w14:textId="77777777" w:rsidR="00C722AD" w:rsidRPr="00E618CE" w:rsidRDefault="00C722AD" w:rsidP="00644563">
      <w:pPr>
        <w:numPr>
          <w:ilvl w:val="0"/>
          <w:numId w:val="37"/>
        </w:numPr>
        <w:contextualSpacing/>
        <w:jc w:val="both"/>
        <w:rPr>
          <w:rFonts w:cs="Arial"/>
        </w:rPr>
      </w:pPr>
      <w:r w:rsidRPr="00E618CE">
        <w:rPr>
          <w:rFonts w:cs="Arial"/>
        </w:rPr>
        <w:t>Australian College of Nursing</w:t>
      </w:r>
    </w:p>
    <w:p w14:paraId="169FF864" w14:textId="77777777" w:rsidR="00C722AD" w:rsidRPr="00E618CE" w:rsidRDefault="00C722AD" w:rsidP="00644563">
      <w:pPr>
        <w:numPr>
          <w:ilvl w:val="0"/>
          <w:numId w:val="37"/>
        </w:numPr>
        <w:contextualSpacing/>
        <w:rPr>
          <w:rFonts w:cs="Arial"/>
        </w:rPr>
      </w:pPr>
      <w:r w:rsidRPr="00E618CE">
        <w:rPr>
          <w:rFonts w:cs="Arial"/>
        </w:rPr>
        <w:t xml:space="preserve">Australian Human Rights Commission (Secretariat) </w:t>
      </w:r>
    </w:p>
    <w:p w14:paraId="1208D419" w14:textId="77777777" w:rsidR="00C722AD" w:rsidRPr="00E618CE" w:rsidRDefault="00C722AD" w:rsidP="00644563">
      <w:pPr>
        <w:numPr>
          <w:ilvl w:val="0"/>
          <w:numId w:val="37"/>
        </w:numPr>
        <w:contextualSpacing/>
        <w:rPr>
          <w:rFonts w:cs="Arial"/>
        </w:rPr>
      </w:pPr>
      <w:r w:rsidRPr="00E618CE">
        <w:rPr>
          <w:rFonts w:cs="Arial"/>
        </w:rPr>
        <w:t>Australian Indigenous Doctors' Association</w:t>
      </w:r>
    </w:p>
    <w:p w14:paraId="77BD7D4C" w14:textId="77777777" w:rsidR="00C722AD" w:rsidRPr="00E618CE" w:rsidRDefault="00C722AD" w:rsidP="00644563">
      <w:pPr>
        <w:numPr>
          <w:ilvl w:val="0"/>
          <w:numId w:val="37"/>
        </w:numPr>
        <w:contextualSpacing/>
        <w:rPr>
          <w:rFonts w:cs="Arial"/>
        </w:rPr>
      </w:pPr>
      <w:r w:rsidRPr="00E618CE">
        <w:rPr>
          <w:rFonts w:cs="Arial"/>
        </w:rPr>
        <w:t>Australian Indigenous Psychologists' Association</w:t>
      </w:r>
    </w:p>
    <w:p w14:paraId="3B7CD1FB" w14:textId="77777777" w:rsidR="00C722AD" w:rsidRPr="00E618CE" w:rsidRDefault="00C722AD" w:rsidP="00644563">
      <w:pPr>
        <w:numPr>
          <w:ilvl w:val="0"/>
          <w:numId w:val="37"/>
        </w:numPr>
        <w:contextualSpacing/>
        <w:rPr>
          <w:rFonts w:cs="Arial"/>
        </w:rPr>
      </w:pPr>
      <w:r w:rsidRPr="00E618CE">
        <w:rPr>
          <w:rFonts w:cs="Arial"/>
        </w:rPr>
        <w:t>Australian Medical Association</w:t>
      </w:r>
    </w:p>
    <w:p w14:paraId="3E907050" w14:textId="77777777" w:rsidR="00C722AD" w:rsidRPr="00E618CE" w:rsidRDefault="00C722AD" w:rsidP="00644563">
      <w:pPr>
        <w:numPr>
          <w:ilvl w:val="0"/>
          <w:numId w:val="37"/>
        </w:numPr>
        <w:ind w:right="144"/>
        <w:contextualSpacing/>
        <w:rPr>
          <w:rFonts w:cs="Arial"/>
        </w:rPr>
      </w:pPr>
      <w:r w:rsidRPr="00E618CE">
        <w:rPr>
          <w:rFonts w:cs="Arial"/>
        </w:rPr>
        <w:t>Australian Physiotherapy Association</w:t>
      </w:r>
    </w:p>
    <w:p w14:paraId="463176A4" w14:textId="77777777" w:rsidR="00C722AD" w:rsidRPr="00E618CE" w:rsidRDefault="00C722AD" w:rsidP="00644563">
      <w:pPr>
        <w:numPr>
          <w:ilvl w:val="0"/>
          <w:numId w:val="37"/>
        </w:numPr>
        <w:contextualSpacing/>
        <w:jc w:val="both"/>
        <w:rPr>
          <w:rFonts w:cs="Arial"/>
        </w:rPr>
      </w:pPr>
      <w:r w:rsidRPr="00E618CE">
        <w:rPr>
          <w:rFonts w:cs="Arial"/>
        </w:rPr>
        <w:t>Australian Student and Novice Nurse Association</w:t>
      </w:r>
    </w:p>
    <w:p w14:paraId="72A159A7" w14:textId="77777777" w:rsidR="00C722AD" w:rsidRPr="00E618CE" w:rsidRDefault="00C722AD" w:rsidP="00644563">
      <w:pPr>
        <w:numPr>
          <w:ilvl w:val="0"/>
          <w:numId w:val="37"/>
        </w:numPr>
        <w:ind w:right="144"/>
        <w:contextualSpacing/>
        <w:rPr>
          <w:rFonts w:cs="Arial"/>
        </w:rPr>
      </w:pPr>
      <w:proofErr w:type="spellStart"/>
      <w:r w:rsidRPr="00E618CE">
        <w:rPr>
          <w:rFonts w:cs="Arial"/>
        </w:rPr>
        <w:t>beyondblue</w:t>
      </w:r>
      <w:proofErr w:type="spellEnd"/>
    </w:p>
    <w:p w14:paraId="32F940F9" w14:textId="77777777" w:rsidR="00C722AD" w:rsidRPr="00E618CE" w:rsidRDefault="00C722AD" w:rsidP="00644563">
      <w:pPr>
        <w:numPr>
          <w:ilvl w:val="0"/>
          <w:numId w:val="37"/>
        </w:numPr>
        <w:ind w:right="432"/>
        <w:contextualSpacing/>
        <w:rPr>
          <w:rFonts w:cs="Arial"/>
        </w:rPr>
      </w:pPr>
      <w:r w:rsidRPr="00E618CE">
        <w:rPr>
          <w:rFonts w:cs="Arial"/>
        </w:rPr>
        <w:t>Congress of Aboriginal and Torres Strait Islander Nurses and Midwives</w:t>
      </w:r>
    </w:p>
    <w:p w14:paraId="1F3E5A1D" w14:textId="77777777" w:rsidR="00C722AD" w:rsidRPr="00E618CE" w:rsidRDefault="00C722AD" w:rsidP="00644563">
      <w:pPr>
        <w:numPr>
          <w:ilvl w:val="0"/>
          <w:numId w:val="37"/>
        </w:numPr>
        <w:contextualSpacing/>
        <w:jc w:val="both"/>
        <w:rPr>
          <w:rFonts w:cs="Arial"/>
        </w:rPr>
      </w:pPr>
      <w:proofErr w:type="spellStart"/>
      <w:r w:rsidRPr="00E618CE">
        <w:rPr>
          <w:rFonts w:cs="Arial"/>
        </w:rPr>
        <w:t>CRANA</w:t>
      </w:r>
      <w:r w:rsidRPr="00E618CE">
        <w:rPr>
          <w:rFonts w:cs="Arial"/>
          <w:i/>
        </w:rPr>
        <w:t>plus</w:t>
      </w:r>
      <w:proofErr w:type="spellEnd"/>
    </w:p>
    <w:p w14:paraId="3613D337" w14:textId="77777777" w:rsidR="00C722AD" w:rsidRPr="00E618CE" w:rsidRDefault="00C722AD" w:rsidP="00644563">
      <w:pPr>
        <w:numPr>
          <w:ilvl w:val="0"/>
          <w:numId w:val="37"/>
        </w:numPr>
        <w:contextualSpacing/>
        <w:jc w:val="both"/>
        <w:rPr>
          <w:rFonts w:cs="Arial"/>
        </w:rPr>
      </w:pPr>
      <w:r w:rsidRPr="00E618CE">
        <w:rPr>
          <w:rFonts w:cs="Arial"/>
        </w:rPr>
        <w:t>First Peoples Disability Network</w:t>
      </w:r>
    </w:p>
    <w:p w14:paraId="319AC62A" w14:textId="77777777" w:rsidR="00C722AD" w:rsidRPr="00E618CE" w:rsidRDefault="00C722AD" w:rsidP="00644563">
      <w:pPr>
        <w:numPr>
          <w:ilvl w:val="0"/>
          <w:numId w:val="37"/>
        </w:numPr>
        <w:contextualSpacing/>
        <w:rPr>
          <w:rFonts w:cs="Arial"/>
        </w:rPr>
      </w:pPr>
      <w:r w:rsidRPr="00E618CE">
        <w:rPr>
          <w:rFonts w:cs="Arial"/>
        </w:rPr>
        <w:t>Heart Foundation Australia</w:t>
      </w:r>
    </w:p>
    <w:p w14:paraId="19B1034A" w14:textId="77777777" w:rsidR="00C722AD" w:rsidRPr="00E618CE" w:rsidRDefault="00C722AD" w:rsidP="00644563">
      <w:pPr>
        <w:numPr>
          <w:ilvl w:val="0"/>
          <w:numId w:val="37"/>
        </w:numPr>
        <w:ind w:right="432"/>
        <w:contextualSpacing/>
        <w:rPr>
          <w:rFonts w:cs="Arial"/>
        </w:rPr>
      </w:pPr>
      <w:r w:rsidRPr="00E618CE">
        <w:rPr>
          <w:rFonts w:cs="Arial"/>
        </w:rPr>
        <w:lastRenderedPageBreak/>
        <w:t>Indigenous Allied Health Australia</w:t>
      </w:r>
    </w:p>
    <w:p w14:paraId="36D7F30B" w14:textId="77777777" w:rsidR="00C722AD" w:rsidRPr="00E618CE" w:rsidRDefault="00C722AD" w:rsidP="00644563">
      <w:pPr>
        <w:numPr>
          <w:ilvl w:val="0"/>
          <w:numId w:val="37"/>
        </w:numPr>
        <w:contextualSpacing/>
        <w:rPr>
          <w:rFonts w:cs="Arial"/>
        </w:rPr>
      </w:pPr>
      <w:r w:rsidRPr="00E618CE">
        <w:rPr>
          <w:rFonts w:cs="Arial"/>
        </w:rPr>
        <w:t>Indigenous Dentists' Association of Australia</w:t>
      </w:r>
    </w:p>
    <w:p w14:paraId="1593B993" w14:textId="77777777" w:rsidR="00C722AD" w:rsidRPr="00E618CE" w:rsidRDefault="00C722AD" w:rsidP="00644563">
      <w:pPr>
        <w:numPr>
          <w:ilvl w:val="0"/>
          <w:numId w:val="37"/>
        </w:numPr>
        <w:contextualSpacing/>
        <w:rPr>
          <w:rFonts w:cs="Arial"/>
        </w:rPr>
      </w:pPr>
      <w:r w:rsidRPr="00E618CE">
        <w:rPr>
          <w:rFonts w:cs="Arial"/>
        </w:rPr>
        <w:t xml:space="preserve">Menzies School of Health Research </w:t>
      </w:r>
    </w:p>
    <w:p w14:paraId="5F43084E" w14:textId="77777777" w:rsidR="00C722AD" w:rsidRPr="00E618CE" w:rsidRDefault="00C722AD" w:rsidP="00644563">
      <w:pPr>
        <w:numPr>
          <w:ilvl w:val="0"/>
          <w:numId w:val="37"/>
        </w:numPr>
        <w:contextualSpacing/>
        <w:jc w:val="both"/>
        <w:rPr>
          <w:rFonts w:cs="Arial"/>
        </w:rPr>
      </w:pPr>
      <w:r w:rsidRPr="00E618CE">
        <w:rPr>
          <w:rFonts w:cs="Arial"/>
        </w:rPr>
        <w:t>National Aboriginal and Torres Strait Islander Health Workers' Association</w:t>
      </w:r>
    </w:p>
    <w:p w14:paraId="29A27240" w14:textId="77777777" w:rsidR="00C722AD" w:rsidRPr="00E618CE" w:rsidRDefault="00C722AD" w:rsidP="00644563">
      <w:pPr>
        <w:numPr>
          <w:ilvl w:val="0"/>
          <w:numId w:val="37"/>
        </w:numPr>
        <w:contextualSpacing/>
        <w:jc w:val="both"/>
        <w:rPr>
          <w:rFonts w:cs="Arial"/>
        </w:rPr>
      </w:pPr>
      <w:r w:rsidRPr="00E618CE">
        <w:rPr>
          <w:rFonts w:cs="Arial"/>
        </w:rPr>
        <w:t xml:space="preserve">National Aboriginal Community Controlled Health </w:t>
      </w:r>
      <w:proofErr w:type="spellStart"/>
      <w:r w:rsidRPr="00E618CE">
        <w:rPr>
          <w:rFonts w:cs="Arial"/>
        </w:rPr>
        <w:t>Organisation</w:t>
      </w:r>
      <w:proofErr w:type="spellEnd"/>
    </w:p>
    <w:p w14:paraId="5805D9E4" w14:textId="77777777" w:rsidR="00C722AD" w:rsidRPr="00E618CE" w:rsidRDefault="00C722AD" w:rsidP="00644563">
      <w:pPr>
        <w:numPr>
          <w:ilvl w:val="0"/>
          <w:numId w:val="37"/>
        </w:numPr>
        <w:rPr>
          <w:rFonts w:cs="Arial"/>
        </w:rPr>
      </w:pPr>
      <w:r w:rsidRPr="00E618CE">
        <w:rPr>
          <w:rFonts w:cs="Arial"/>
        </w:rPr>
        <w:t>National Association of Aboriginal and Torres Strait Islander Physiotherapists</w:t>
      </w:r>
    </w:p>
    <w:p w14:paraId="7384D518" w14:textId="77777777" w:rsidR="00C722AD" w:rsidRPr="00E618CE" w:rsidRDefault="00C722AD" w:rsidP="00644563">
      <w:pPr>
        <w:numPr>
          <w:ilvl w:val="0"/>
          <w:numId w:val="37"/>
        </w:numPr>
        <w:contextualSpacing/>
        <w:rPr>
          <w:rFonts w:cs="Arial"/>
        </w:rPr>
      </w:pPr>
      <w:r w:rsidRPr="00E618CE">
        <w:rPr>
          <w:rFonts w:cs="Arial"/>
        </w:rPr>
        <w:t>National Congress of Australia’s First Peoples</w:t>
      </w:r>
    </w:p>
    <w:p w14:paraId="49EFEEAE" w14:textId="77777777" w:rsidR="00C722AD" w:rsidRPr="00E618CE" w:rsidRDefault="00C722AD" w:rsidP="00644563">
      <w:pPr>
        <w:numPr>
          <w:ilvl w:val="0"/>
          <w:numId w:val="37"/>
        </w:numPr>
        <w:contextualSpacing/>
        <w:rPr>
          <w:rFonts w:cs="Arial"/>
        </w:rPr>
      </w:pPr>
      <w:r w:rsidRPr="00E618CE">
        <w:rPr>
          <w:rFonts w:cs="Arial"/>
        </w:rPr>
        <w:t>National Coordinator — Tackling Indigenous Smoking  (Dr Tom Calma AO - Campaign founder and former Aboriginal and Torres Strait Islander Social Justice Commissioner)</w:t>
      </w:r>
    </w:p>
    <w:p w14:paraId="14A477E2" w14:textId="77777777" w:rsidR="00C722AD" w:rsidRPr="00E618CE" w:rsidRDefault="00C722AD" w:rsidP="00644563">
      <w:pPr>
        <w:numPr>
          <w:ilvl w:val="0"/>
          <w:numId w:val="37"/>
        </w:numPr>
        <w:contextualSpacing/>
        <w:rPr>
          <w:rFonts w:cs="Arial"/>
        </w:rPr>
      </w:pPr>
      <w:r w:rsidRPr="00E618CE">
        <w:rPr>
          <w:rFonts w:cs="Arial"/>
        </w:rPr>
        <w:t>Oxfam Australia</w:t>
      </w:r>
    </w:p>
    <w:p w14:paraId="0497D772" w14:textId="77777777" w:rsidR="00C722AD" w:rsidRPr="00E618CE" w:rsidRDefault="00C722AD" w:rsidP="00644563">
      <w:pPr>
        <w:numPr>
          <w:ilvl w:val="0"/>
          <w:numId w:val="37"/>
        </w:numPr>
        <w:contextualSpacing/>
        <w:rPr>
          <w:rFonts w:cs="Arial"/>
        </w:rPr>
      </w:pPr>
      <w:r w:rsidRPr="00E618CE">
        <w:rPr>
          <w:rFonts w:cs="Arial"/>
        </w:rPr>
        <w:t>Palliative Care Australia</w:t>
      </w:r>
    </w:p>
    <w:p w14:paraId="5030E8AF" w14:textId="77777777" w:rsidR="00C722AD" w:rsidRPr="00E618CE" w:rsidRDefault="00C722AD" w:rsidP="00644563">
      <w:pPr>
        <w:numPr>
          <w:ilvl w:val="0"/>
          <w:numId w:val="37"/>
        </w:numPr>
        <w:contextualSpacing/>
        <w:rPr>
          <w:rFonts w:cs="Arial"/>
        </w:rPr>
      </w:pPr>
      <w:r w:rsidRPr="00E618CE">
        <w:rPr>
          <w:rFonts w:cs="Arial"/>
        </w:rPr>
        <w:t>PHILE Network</w:t>
      </w:r>
    </w:p>
    <w:p w14:paraId="7F5B6B38" w14:textId="77777777" w:rsidR="00C722AD" w:rsidRPr="00E618CE" w:rsidRDefault="00C722AD" w:rsidP="00644563">
      <w:pPr>
        <w:numPr>
          <w:ilvl w:val="0"/>
          <w:numId w:val="37"/>
        </w:numPr>
        <w:contextualSpacing/>
        <w:rPr>
          <w:rFonts w:cs="Arial"/>
        </w:rPr>
      </w:pPr>
      <w:r w:rsidRPr="00E618CE">
        <w:rPr>
          <w:rFonts w:cs="Arial"/>
        </w:rPr>
        <w:t>Public Health Association of Australia</w:t>
      </w:r>
    </w:p>
    <w:p w14:paraId="712D47E4" w14:textId="77777777" w:rsidR="00C722AD" w:rsidRPr="00E618CE" w:rsidRDefault="00C722AD" w:rsidP="00644563">
      <w:pPr>
        <w:numPr>
          <w:ilvl w:val="0"/>
          <w:numId w:val="37"/>
        </w:numPr>
        <w:contextualSpacing/>
        <w:rPr>
          <w:rFonts w:cs="Arial"/>
        </w:rPr>
      </w:pPr>
      <w:r w:rsidRPr="00E618CE">
        <w:rPr>
          <w:rFonts w:cs="Arial"/>
        </w:rPr>
        <w:t>Royal Australasian College of Physicians</w:t>
      </w:r>
    </w:p>
    <w:p w14:paraId="712BDC1A" w14:textId="77777777" w:rsidR="00C722AD" w:rsidRPr="00E618CE" w:rsidRDefault="00C722AD" w:rsidP="00644563">
      <w:pPr>
        <w:numPr>
          <w:ilvl w:val="0"/>
          <w:numId w:val="37"/>
        </w:numPr>
        <w:contextualSpacing/>
        <w:rPr>
          <w:rFonts w:cs="Arial"/>
        </w:rPr>
      </w:pPr>
      <w:r w:rsidRPr="00E618CE">
        <w:rPr>
          <w:rFonts w:cs="Arial"/>
        </w:rPr>
        <w:t xml:space="preserve">Royal Australian College of General Practitioners </w:t>
      </w:r>
    </w:p>
    <w:p w14:paraId="3AA7CF67" w14:textId="77777777" w:rsidR="00C722AD" w:rsidRPr="00E618CE" w:rsidRDefault="00C722AD" w:rsidP="00644563">
      <w:pPr>
        <w:numPr>
          <w:ilvl w:val="0"/>
          <w:numId w:val="37"/>
        </w:numPr>
        <w:ind w:right="144"/>
        <w:contextualSpacing/>
        <w:rPr>
          <w:rFonts w:cs="Arial"/>
        </w:rPr>
      </w:pPr>
      <w:r w:rsidRPr="00E618CE">
        <w:rPr>
          <w:rFonts w:cs="Arial"/>
        </w:rPr>
        <w:t>The Fred Hollows Foundation</w:t>
      </w:r>
    </w:p>
    <w:p w14:paraId="52CC62EE" w14:textId="77777777" w:rsidR="00C722AD" w:rsidRPr="00E618CE" w:rsidRDefault="00C722AD" w:rsidP="00644563">
      <w:pPr>
        <w:numPr>
          <w:ilvl w:val="0"/>
          <w:numId w:val="37"/>
        </w:numPr>
        <w:contextualSpacing/>
        <w:jc w:val="both"/>
        <w:rPr>
          <w:rFonts w:cs="Arial"/>
        </w:rPr>
      </w:pPr>
      <w:r w:rsidRPr="00E618CE">
        <w:rPr>
          <w:rFonts w:cs="Arial"/>
        </w:rPr>
        <w:t>The Lowitja Institute</w:t>
      </w:r>
    </w:p>
    <w:p w14:paraId="05FC2D5D" w14:textId="77777777" w:rsidR="00C722AD" w:rsidRPr="00E618CE" w:rsidRDefault="00C722AD" w:rsidP="00644563">
      <w:pPr>
        <w:numPr>
          <w:ilvl w:val="0"/>
          <w:numId w:val="37"/>
        </w:numPr>
        <w:contextualSpacing/>
        <w:rPr>
          <w:rFonts w:cs="Arial"/>
        </w:rPr>
      </w:pPr>
      <w:r w:rsidRPr="00E618CE">
        <w:rPr>
          <w:rFonts w:cs="Arial"/>
        </w:rPr>
        <w:t xml:space="preserve">The Pharmacy Guild of Australia </w:t>
      </w:r>
    </w:p>
    <w:p w14:paraId="366507A7" w14:textId="77777777" w:rsidR="00C722AD" w:rsidRPr="00E618CE" w:rsidRDefault="00C722AD" w:rsidP="00644563">
      <w:pPr>
        <w:numPr>
          <w:ilvl w:val="0"/>
          <w:numId w:val="37"/>
        </w:numPr>
        <w:contextualSpacing/>
        <w:jc w:val="both"/>
        <w:rPr>
          <w:rFonts w:cs="Arial"/>
        </w:rPr>
      </w:pPr>
      <w:r w:rsidRPr="00E618CE">
        <w:rPr>
          <w:rFonts w:cs="Arial"/>
        </w:rPr>
        <w:t>Torres Strait Regional Authority</w:t>
      </w:r>
    </w:p>
    <w:p w14:paraId="5CE3545A" w14:textId="77777777" w:rsidR="00C722AD" w:rsidRPr="00E618CE" w:rsidRDefault="00C722AD" w:rsidP="00644563">
      <w:pPr>
        <w:numPr>
          <w:ilvl w:val="0"/>
          <w:numId w:val="37"/>
        </w:numPr>
        <w:contextualSpacing/>
        <w:jc w:val="both"/>
        <w:rPr>
          <w:rFonts w:cs="Arial"/>
        </w:rPr>
      </w:pPr>
      <w:r w:rsidRPr="00E618CE">
        <w:rPr>
          <w:rFonts w:cs="Arial"/>
        </w:rPr>
        <w:t xml:space="preserve">Victorian Aboriginal Community Controlled Health </w:t>
      </w:r>
      <w:proofErr w:type="spellStart"/>
      <w:r w:rsidRPr="00E618CE">
        <w:rPr>
          <w:rFonts w:cs="Arial"/>
        </w:rPr>
        <w:t>Organisation</w:t>
      </w:r>
      <w:proofErr w:type="spellEnd"/>
    </w:p>
    <w:p w14:paraId="1827F3DD" w14:textId="77777777" w:rsidR="00C722AD" w:rsidRPr="00987C86" w:rsidRDefault="00C722AD" w:rsidP="00C722AD">
      <w:pPr>
        <w:spacing w:before="240" w:after="240"/>
        <w:rPr>
          <w:b/>
          <w:sz w:val="28"/>
          <w:szCs w:val="28"/>
          <w:lang w:val="en-AU"/>
        </w:rPr>
      </w:pPr>
    </w:p>
    <w:p w14:paraId="4FC31FBB" w14:textId="77777777" w:rsidR="001928CF" w:rsidRPr="00987C86" w:rsidRDefault="007F439C" w:rsidP="00814869">
      <w:pPr>
        <w:rPr>
          <w:lang w:val="en-AU"/>
        </w:rPr>
      </w:pPr>
      <w:r w:rsidRPr="00987C86">
        <w:rPr>
          <w:rFonts w:cs="Calibri"/>
          <w:lang w:val="en-AU"/>
        </w:rPr>
        <w:br w:type="page"/>
      </w:r>
    </w:p>
    <w:sectPr w:rsidR="001928CF" w:rsidRPr="00987C86" w:rsidSect="0088664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22B27" w14:textId="77777777" w:rsidR="00EB2441" w:rsidRDefault="00EB2441" w:rsidP="00CF288A">
      <w:r>
        <w:separator/>
      </w:r>
    </w:p>
  </w:endnote>
  <w:endnote w:type="continuationSeparator" w:id="0">
    <w:p w14:paraId="3B693B82" w14:textId="77777777" w:rsidR="00EB2441" w:rsidRDefault="00EB2441" w:rsidP="00CF288A">
      <w:r>
        <w:continuationSeparator/>
      </w:r>
    </w:p>
  </w:endnote>
  <w:endnote w:id="1">
    <w:p w14:paraId="60274F78"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Australian Government, </w:t>
      </w:r>
      <w:r w:rsidRPr="00E405CC">
        <w:rPr>
          <w:rFonts w:asciiTheme="majorHAnsi" w:hAnsiTheme="majorHAnsi"/>
          <w:i/>
          <w:color w:val="000000" w:themeColor="text1"/>
          <w:sz w:val="16"/>
          <w:szCs w:val="16"/>
        </w:rPr>
        <w:t>Closing the Gap, Prime Minister’s Report 2014</w:t>
      </w:r>
      <w:r w:rsidRPr="00E405CC">
        <w:rPr>
          <w:rFonts w:asciiTheme="majorHAnsi" w:hAnsiTheme="majorHAnsi"/>
          <w:color w:val="000000" w:themeColor="text1"/>
          <w:sz w:val="16"/>
          <w:szCs w:val="16"/>
        </w:rPr>
        <w:t xml:space="preserve">, 2014, p 1. </w:t>
      </w:r>
      <w:proofErr w:type="gramStart"/>
      <w:r>
        <w:rPr>
          <w:rFonts w:asciiTheme="majorHAnsi" w:hAnsiTheme="majorHAnsi"/>
          <w:color w:val="000000" w:themeColor="text1"/>
          <w:sz w:val="16"/>
          <w:szCs w:val="16"/>
        </w:rPr>
        <w:t xml:space="preserve">URL </w:t>
      </w:r>
      <w:hyperlink r:id="rId1" w:history="1">
        <w:r w:rsidRPr="005656A6">
          <w:rPr>
            <w:rStyle w:val="Hyperlink"/>
            <w:rFonts w:asciiTheme="majorHAnsi" w:hAnsiTheme="majorHAnsi"/>
            <w:sz w:val="16"/>
            <w:szCs w:val="16"/>
          </w:rPr>
          <w:t>http://www.dpmc.gov.au/indigenous-affairs/publication/closing-gap-prime-ministers-report-2014</w:t>
        </w:r>
      </w:hyperlink>
      <w:r>
        <w:rPr>
          <w:rFonts w:asciiTheme="majorHAnsi" w:hAnsiTheme="majorHAnsi"/>
          <w:color w:val="000000" w:themeColor="text1"/>
          <w:sz w:val="16"/>
          <w:szCs w:val="16"/>
        </w:rPr>
        <w:t>.</w:t>
      </w:r>
      <w:proofErr w:type="gramEnd"/>
      <w:r>
        <w:rPr>
          <w:rFonts w:asciiTheme="majorHAnsi" w:hAnsiTheme="majorHAnsi"/>
          <w:color w:val="000000" w:themeColor="text1"/>
          <w:sz w:val="16"/>
          <w:szCs w:val="16"/>
        </w:rPr>
        <w:t xml:space="preserve">   </w:t>
      </w:r>
    </w:p>
  </w:endnote>
  <w:endnote w:id="2">
    <w:p w14:paraId="5F2096BE" w14:textId="77777777" w:rsidR="00EB2441" w:rsidRPr="00E405CC" w:rsidRDefault="00EB2441" w:rsidP="00560FB2">
      <w:pPr>
        <w:pStyle w:val="EndnoteText"/>
        <w:rPr>
          <w:rFonts w:asciiTheme="majorHAnsi" w:hAnsiTheme="majorHAnsi"/>
          <w:color w:val="000000" w:themeColor="text1"/>
          <w:sz w:val="16"/>
          <w:szCs w:val="16"/>
        </w:rPr>
      </w:pPr>
      <w:r w:rsidRPr="00E405CC">
        <w:rPr>
          <w:rFonts w:asciiTheme="majorHAnsi" w:hAnsiTheme="majorHAnsi"/>
          <w:sz w:val="16"/>
          <w:szCs w:val="16"/>
          <w:vertAlign w:val="superscript"/>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stheme="majorHAnsi"/>
          <w:color w:val="000000" w:themeColor="text1"/>
          <w:sz w:val="16"/>
          <w:szCs w:val="16"/>
        </w:rPr>
        <w:t xml:space="preserve">Council of Australian Governments, </w:t>
      </w:r>
      <w:r w:rsidRPr="00E405CC">
        <w:rPr>
          <w:rFonts w:asciiTheme="majorHAnsi" w:hAnsiTheme="majorHAnsi" w:cstheme="majorHAnsi"/>
          <w:i/>
          <w:color w:val="000000" w:themeColor="text1"/>
          <w:sz w:val="16"/>
          <w:szCs w:val="16"/>
        </w:rPr>
        <w:t>National Indigenous Reform Agreement</w:t>
      </w:r>
      <w:r w:rsidRPr="00E405CC">
        <w:rPr>
          <w:rFonts w:asciiTheme="majorHAnsi" w:hAnsiTheme="majorHAnsi" w:cstheme="majorHAnsi"/>
          <w:color w:val="000000" w:themeColor="text1"/>
          <w:sz w:val="16"/>
          <w:szCs w:val="16"/>
        </w:rPr>
        <w:t>, 2012.</w:t>
      </w:r>
      <w:proofErr w:type="gramEnd"/>
      <w:r w:rsidRPr="00E405CC">
        <w:rPr>
          <w:rFonts w:asciiTheme="majorHAnsi" w:hAnsiTheme="majorHAnsi" w:cstheme="majorHAnsi"/>
          <w:color w:val="000000" w:themeColor="text1"/>
          <w:sz w:val="16"/>
          <w:szCs w:val="16"/>
        </w:rPr>
        <w:t xml:space="preserve"> </w:t>
      </w:r>
      <w:proofErr w:type="gramStart"/>
      <w:r w:rsidRPr="00E405CC">
        <w:rPr>
          <w:rFonts w:asciiTheme="majorHAnsi" w:hAnsiTheme="majorHAnsi" w:cstheme="majorHAnsi"/>
          <w:color w:val="000000" w:themeColor="text1"/>
          <w:sz w:val="16"/>
          <w:szCs w:val="16"/>
        </w:rPr>
        <w:t xml:space="preserve">URL </w:t>
      </w:r>
      <w:hyperlink r:id="rId2" w:history="1">
        <w:r w:rsidRPr="00E405CC">
          <w:rPr>
            <w:rStyle w:val="Hyperlink"/>
            <w:rFonts w:asciiTheme="majorHAnsi" w:hAnsiTheme="majorHAnsi" w:cstheme="majorHAnsi"/>
            <w:sz w:val="16"/>
            <w:szCs w:val="16"/>
          </w:rPr>
          <w:t>http://www.coag.gov.au/node/145</w:t>
        </w:r>
      </w:hyperlink>
      <w:r w:rsidRPr="00E405CC">
        <w:rPr>
          <w:rFonts w:asciiTheme="majorHAnsi" w:hAnsiTheme="majorHAnsi" w:cstheme="majorHAnsi"/>
          <w:color w:val="000000" w:themeColor="text1"/>
          <w:sz w:val="16"/>
          <w:szCs w:val="16"/>
        </w:rPr>
        <w:t>.</w:t>
      </w:r>
      <w:proofErr w:type="gramEnd"/>
    </w:p>
  </w:endnote>
  <w:endnote w:id="3">
    <w:p w14:paraId="0043E34D" w14:textId="77777777" w:rsidR="00EB2441" w:rsidRPr="00E405CC" w:rsidRDefault="00EB2441" w:rsidP="00560FB2">
      <w:pPr>
        <w:pStyle w:val="EndnoteText"/>
        <w:rPr>
          <w:rFonts w:asciiTheme="majorHAnsi" w:hAnsiTheme="majorHAnsi"/>
          <w:color w:val="000000" w:themeColor="text1"/>
          <w:sz w:val="16"/>
          <w:szCs w:val="16"/>
        </w:rPr>
      </w:pPr>
      <w:r w:rsidRPr="00E405CC">
        <w:rPr>
          <w:rFonts w:asciiTheme="majorHAnsi" w:hAnsiTheme="majorHAnsi"/>
          <w:color w:val="000000" w:themeColor="text1"/>
          <w:sz w:val="16"/>
          <w:szCs w:val="16"/>
          <w:vertAlign w:val="superscript"/>
        </w:rPr>
        <w:endnoteRef/>
      </w:r>
      <w:r w:rsidRPr="00E405CC">
        <w:rPr>
          <w:rFonts w:asciiTheme="majorHAnsi" w:hAnsiTheme="majorHAnsi"/>
          <w:color w:val="000000" w:themeColor="text1"/>
          <w:sz w:val="16"/>
          <w:szCs w:val="16"/>
        </w:rPr>
        <w:t xml:space="preserve"> COAG Reform Council, </w:t>
      </w:r>
      <w:r w:rsidRPr="00E405CC">
        <w:rPr>
          <w:rFonts w:asciiTheme="majorHAnsi" w:hAnsiTheme="majorHAnsi"/>
          <w:i/>
          <w:color w:val="000000" w:themeColor="text1"/>
          <w:sz w:val="16"/>
          <w:szCs w:val="16"/>
        </w:rPr>
        <w:t>Indigenous Reform 2012-13: Five years of Performance</w:t>
      </w:r>
      <w:r w:rsidRPr="00E405CC">
        <w:rPr>
          <w:rFonts w:asciiTheme="majorHAnsi" w:hAnsiTheme="majorHAnsi"/>
          <w:color w:val="000000" w:themeColor="text1"/>
          <w:sz w:val="16"/>
          <w:szCs w:val="16"/>
        </w:rPr>
        <w:t>, 2014.</w:t>
      </w:r>
    </w:p>
  </w:endnote>
  <w:endnote w:id="4">
    <w:p w14:paraId="4773A025" w14:textId="77777777" w:rsidR="00EB2441" w:rsidRPr="00E405CC" w:rsidRDefault="00EB2441" w:rsidP="00560FB2">
      <w:pPr>
        <w:pStyle w:val="EndnoteText"/>
        <w:rPr>
          <w:rFonts w:asciiTheme="majorHAnsi" w:hAnsiTheme="majorHAnsi"/>
          <w:color w:val="000000" w:themeColor="text1"/>
          <w:sz w:val="16"/>
          <w:szCs w:val="16"/>
        </w:rPr>
      </w:pPr>
      <w:r w:rsidRPr="00E405CC">
        <w:rPr>
          <w:rFonts w:asciiTheme="majorHAnsi" w:hAnsiTheme="majorHAnsi"/>
          <w:color w:val="000000" w:themeColor="text1"/>
          <w:sz w:val="16"/>
          <w:szCs w:val="16"/>
          <w:vertAlign w:val="superscript"/>
        </w:rPr>
        <w:endnoteRef/>
      </w:r>
      <w:r w:rsidRPr="00E405CC">
        <w:rPr>
          <w:rFonts w:asciiTheme="majorHAnsi" w:hAnsiTheme="majorHAnsi"/>
          <w:color w:val="000000" w:themeColor="text1"/>
          <w:sz w:val="16"/>
          <w:szCs w:val="16"/>
        </w:rPr>
        <w:t xml:space="preserve"> Steering Committee for the Review of Government Service Provision, </w:t>
      </w:r>
      <w:r w:rsidRPr="00E405CC">
        <w:rPr>
          <w:rFonts w:asciiTheme="majorHAnsi" w:hAnsiTheme="majorHAnsi"/>
          <w:i/>
          <w:color w:val="000000" w:themeColor="text1"/>
          <w:sz w:val="16"/>
          <w:szCs w:val="16"/>
        </w:rPr>
        <w:t>Overcoming Indigenous Disadvantage: Key Indicators 2014</w:t>
      </w:r>
      <w:r w:rsidRPr="00E405CC">
        <w:rPr>
          <w:rFonts w:asciiTheme="majorHAnsi" w:hAnsiTheme="majorHAnsi"/>
          <w:color w:val="000000" w:themeColor="text1"/>
          <w:sz w:val="16"/>
          <w:szCs w:val="16"/>
        </w:rPr>
        <w:t xml:space="preserve">, Productivity Commission, 2014. </w:t>
      </w:r>
      <w:proofErr w:type="gramStart"/>
      <w:r w:rsidRPr="00E405CC">
        <w:rPr>
          <w:rFonts w:asciiTheme="majorHAnsi" w:hAnsiTheme="majorHAnsi"/>
          <w:color w:val="000000" w:themeColor="text1"/>
          <w:sz w:val="16"/>
          <w:szCs w:val="16"/>
        </w:rPr>
        <w:t xml:space="preserve">URL </w:t>
      </w:r>
      <w:hyperlink r:id="rId3" w:anchor="report" w:history="1">
        <w:r w:rsidRPr="00E405CC">
          <w:rPr>
            <w:rStyle w:val="Hyperlink"/>
            <w:rFonts w:asciiTheme="majorHAnsi" w:hAnsiTheme="majorHAnsi"/>
            <w:sz w:val="16"/>
            <w:szCs w:val="16"/>
          </w:rPr>
          <w:t>http://www.pc.gov.au/research/recurring/overcoming-indigenous-disadvantage/key-indicators-2014#report</w:t>
        </w:r>
      </w:hyperlink>
      <w:r w:rsidRPr="00E405CC">
        <w:rPr>
          <w:rFonts w:asciiTheme="majorHAnsi" w:hAnsiTheme="majorHAnsi"/>
          <w:color w:val="000000" w:themeColor="text1"/>
          <w:sz w:val="16"/>
          <w:szCs w:val="16"/>
        </w:rPr>
        <w:t>.</w:t>
      </w:r>
      <w:proofErr w:type="gramEnd"/>
      <w:r w:rsidRPr="00E405CC">
        <w:rPr>
          <w:rFonts w:asciiTheme="majorHAnsi" w:hAnsiTheme="majorHAnsi"/>
          <w:color w:val="000000" w:themeColor="text1"/>
          <w:sz w:val="16"/>
          <w:szCs w:val="16"/>
        </w:rPr>
        <w:t xml:space="preserve"> </w:t>
      </w:r>
    </w:p>
  </w:endnote>
  <w:endnote w:id="5">
    <w:p w14:paraId="39D37480" w14:textId="77777777" w:rsidR="00EB2441" w:rsidRPr="00E405CC" w:rsidRDefault="00EB2441" w:rsidP="00165FA6">
      <w:pPr>
        <w:pStyle w:val="EndnoteText"/>
        <w:rPr>
          <w:rFonts w:asciiTheme="majorHAnsi" w:hAnsiTheme="majorHAnsi"/>
          <w:color w:val="000000" w:themeColor="text1"/>
          <w:sz w:val="16"/>
          <w:szCs w:val="16"/>
        </w:rPr>
      </w:pPr>
      <w:r w:rsidRPr="00E405CC">
        <w:rPr>
          <w:rFonts w:asciiTheme="majorHAnsi" w:hAnsiTheme="majorHAnsi"/>
          <w:color w:val="000000" w:themeColor="text1"/>
          <w:sz w:val="16"/>
          <w:szCs w:val="16"/>
          <w:vertAlign w:val="superscript"/>
        </w:rPr>
        <w:t>5</w:t>
      </w:r>
      <w:r w:rsidRPr="00E405CC">
        <w:rPr>
          <w:rFonts w:asciiTheme="majorHAnsi" w:hAnsiTheme="majorHAnsi"/>
          <w:color w:val="000000" w:themeColor="text1"/>
          <w:sz w:val="16"/>
          <w:szCs w:val="16"/>
        </w:rPr>
        <w:t xml:space="preserve"> Australian </w:t>
      </w:r>
      <w:proofErr w:type="gramStart"/>
      <w:r w:rsidRPr="00E405CC">
        <w:rPr>
          <w:rFonts w:asciiTheme="majorHAnsi" w:hAnsiTheme="majorHAnsi"/>
          <w:color w:val="000000" w:themeColor="text1"/>
          <w:sz w:val="16"/>
          <w:szCs w:val="16"/>
        </w:rPr>
        <w:t>Bureau</w:t>
      </w:r>
      <w:proofErr w:type="gramEnd"/>
      <w:r w:rsidRPr="00E405CC">
        <w:rPr>
          <w:rFonts w:asciiTheme="majorHAnsi" w:hAnsiTheme="majorHAnsi"/>
          <w:color w:val="000000" w:themeColor="text1"/>
          <w:sz w:val="16"/>
          <w:szCs w:val="16"/>
        </w:rPr>
        <w:t xml:space="preserve"> of Statistics, </w:t>
      </w:r>
      <w:r w:rsidRPr="00E405CC">
        <w:rPr>
          <w:rFonts w:asciiTheme="majorHAnsi" w:hAnsiTheme="majorHAnsi"/>
          <w:i/>
          <w:color w:val="000000" w:themeColor="text1"/>
          <w:sz w:val="16"/>
          <w:szCs w:val="16"/>
        </w:rPr>
        <w:t>Australian Aboriginal and Torres Strait Islander Health Survey: Biomedical Results, 2012–13</w:t>
      </w:r>
      <w:r w:rsidRPr="00E405CC">
        <w:rPr>
          <w:rFonts w:asciiTheme="majorHAnsi" w:hAnsiTheme="majorHAnsi"/>
          <w:color w:val="000000" w:themeColor="text1"/>
          <w:sz w:val="16"/>
          <w:szCs w:val="16"/>
        </w:rPr>
        <w:t xml:space="preserve">, ABS cat. </w:t>
      </w:r>
      <w:proofErr w:type="gramStart"/>
      <w:r w:rsidRPr="00E405CC">
        <w:rPr>
          <w:rFonts w:asciiTheme="majorHAnsi" w:hAnsiTheme="majorHAnsi"/>
          <w:color w:val="000000" w:themeColor="text1"/>
          <w:sz w:val="16"/>
          <w:szCs w:val="16"/>
        </w:rPr>
        <w:t>no. 4727.0.55.003, 2014.</w:t>
      </w:r>
      <w:proofErr w:type="gramEnd"/>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URL </w:t>
      </w:r>
      <w:hyperlink r:id="rId4" w:history="1">
        <w:r w:rsidRPr="00E405CC">
          <w:rPr>
            <w:rStyle w:val="Hyperlink"/>
            <w:rFonts w:asciiTheme="majorHAnsi" w:hAnsiTheme="majorHAnsi"/>
            <w:sz w:val="16"/>
            <w:szCs w:val="16"/>
          </w:rPr>
          <w:t>http://www.abs.gov.au/ausstats/abs@.nsf/mf/4727.0.55.003</w:t>
        </w:r>
      </w:hyperlink>
      <w:r w:rsidRPr="00E405CC">
        <w:rPr>
          <w:rFonts w:asciiTheme="majorHAnsi" w:hAnsiTheme="majorHAnsi"/>
          <w:color w:val="000000" w:themeColor="text1"/>
          <w:sz w:val="16"/>
          <w:szCs w:val="16"/>
        </w:rPr>
        <w:t>.</w:t>
      </w:r>
      <w:proofErr w:type="gramEnd"/>
      <w:r w:rsidRPr="00E405CC">
        <w:rPr>
          <w:rFonts w:asciiTheme="majorHAnsi" w:hAnsiTheme="majorHAnsi"/>
          <w:color w:val="000000" w:themeColor="text1"/>
          <w:sz w:val="16"/>
          <w:szCs w:val="16"/>
        </w:rPr>
        <w:t xml:space="preserve"> </w:t>
      </w:r>
    </w:p>
  </w:endnote>
  <w:endnote w:id="6">
    <w:p w14:paraId="00291830" w14:textId="77777777" w:rsidR="00EB2441" w:rsidRPr="00E405CC" w:rsidRDefault="00EB2441" w:rsidP="00560FB2">
      <w:pPr>
        <w:pStyle w:val="EndnoteText"/>
        <w:rPr>
          <w:rFonts w:asciiTheme="majorHAnsi" w:hAnsiTheme="majorHAnsi"/>
          <w:color w:val="000000" w:themeColor="text1"/>
          <w:sz w:val="16"/>
          <w:szCs w:val="16"/>
        </w:rPr>
      </w:pPr>
      <w:r w:rsidRPr="00E405CC">
        <w:rPr>
          <w:rFonts w:asciiTheme="majorHAnsi" w:hAnsiTheme="majorHAnsi"/>
          <w:sz w:val="16"/>
          <w:szCs w:val="16"/>
          <w:vertAlign w:val="superscript"/>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Reeve R, Church J, Haas M, Bradford W and </w:t>
      </w:r>
      <w:proofErr w:type="spellStart"/>
      <w:r w:rsidRPr="00E405CC">
        <w:rPr>
          <w:rFonts w:asciiTheme="majorHAnsi" w:hAnsiTheme="majorHAnsi"/>
          <w:color w:val="000000" w:themeColor="text1"/>
          <w:sz w:val="16"/>
          <w:szCs w:val="16"/>
        </w:rPr>
        <w:t>Viney</w:t>
      </w:r>
      <w:proofErr w:type="spellEnd"/>
      <w:r w:rsidRPr="00E405CC">
        <w:rPr>
          <w:rFonts w:asciiTheme="majorHAnsi" w:hAnsiTheme="majorHAnsi"/>
          <w:color w:val="000000" w:themeColor="text1"/>
          <w:sz w:val="16"/>
          <w:szCs w:val="16"/>
        </w:rPr>
        <w:t xml:space="preserve"> R, ‘Factors that drive the gap in diabetes rates between Aboriginal and non-Aboriginal people in non-remote NSW’, (2014) 38 (5) </w:t>
      </w:r>
      <w:r w:rsidRPr="00E405CC">
        <w:rPr>
          <w:rFonts w:asciiTheme="majorHAnsi" w:hAnsiTheme="majorHAnsi"/>
          <w:i/>
          <w:color w:val="000000" w:themeColor="text1"/>
          <w:sz w:val="16"/>
          <w:szCs w:val="16"/>
        </w:rPr>
        <w:t>Australian and New Zealand Journal of Public Health</w:t>
      </w:r>
      <w:r w:rsidRPr="00E405CC">
        <w:rPr>
          <w:rFonts w:asciiTheme="majorHAnsi" w:hAnsiTheme="majorHAnsi"/>
          <w:color w:val="000000" w:themeColor="text1"/>
          <w:sz w:val="16"/>
          <w:szCs w:val="16"/>
        </w:rPr>
        <w:t xml:space="preserve"> 459.</w:t>
      </w:r>
      <w:proofErr w:type="gramEnd"/>
    </w:p>
  </w:endnote>
  <w:endnote w:id="7">
    <w:p w14:paraId="43919A11"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Australian Bureau of Statistics, </w:t>
      </w:r>
      <w:r w:rsidRPr="00E405CC">
        <w:rPr>
          <w:rFonts w:asciiTheme="majorHAnsi" w:hAnsiTheme="majorHAnsi"/>
          <w:i/>
          <w:color w:val="000000" w:themeColor="text1"/>
          <w:sz w:val="16"/>
          <w:szCs w:val="16"/>
        </w:rPr>
        <w:t>Life Tables for Aboriginal and Torres Strait Islander Australians, 2010-2012</w:t>
      </w:r>
      <w:r w:rsidRPr="00E405CC">
        <w:rPr>
          <w:rFonts w:asciiTheme="majorHAnsi" w:hAnsiTheme="majorHAnsi"/>
          <w:color w:val="000000" w:themeColor="text1"/>
          <w:sz w:val="16"/>
          <w:szCs w:val="16"/>
        </w:rPr>
        <w:t xml:space="preserve">, ABS cat. </w:t>
      </w:r>
      <w:proofErr w:type="gramStart"/>
      <w:r w:rsidRPr="00E405CC">
        <w:rPr>
          <w:rFonts w:asciiTheme="majorHAnsi" w:hAnsiTheme="majorHAnsi"/>
          <w:color w:val="000000" w:themeColor="text1"/>
          <w:sz w:val="16"/>
          <w:szCs w:val="16"/>
        </w:rPr>
        <w:t>no. 3302.0.55.003, 2013, p.6.</w:t>
      </w:r>
      <w:proofErr w:type="gramEnd"/>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URL </w:t>
      </w:r>
      <w:hyperlink r:id="rId5" w:history="1">
        <w:r w:rsidRPr="00E405CC">
          <w:rPr>
            <w:rStyle w:val="Hyperlink"/>
            <w:rFonts w:asciiTheme="majorHAnsi" w:hAnsiTheme="majorHAnsi"/>
            <w:sz w:val="16"/>
            <w:szCs w:val="16"/>
          </w:rPr>
          <w:t>http://www.abs.gov.au/ausstats/abs@.nsf/mf/3302.0.55.003</w:t>
        </w:r>
      </w:hyperlink>
      <w:r w:rsidRPr="00E405CC">
        <w:rPr>
          <w:rFonts w:asciiTheme="majorHAnsi" w:hAnsiTheme="majorHAnsi"/>
          <w:color w:val="000000" w:themeColor="text1"/>
          <w:sz w:val="16"/>
          <w:szCs w:val="16"/>
        </w:rPr>
        <w:t>.</w:t>
      </w:r>
      <w:proofErr w:type="gramEnd"/>
    </w:p>
  </w:endnote>
  <w:endnote w:id="8">
    <w:p w14:paraId="43D05398" w14:textId="77777777" w:rsidR="00EB2441" w:rsidRPr="00E405CC" w:rsidRDefault="00EB2441" w:rsidP="00C75F6F">
      <w:pPr>
        <w:pStyle w:val="NormalWeb"/>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Australian Bureau of Statistics, </w:t>
      </w:r>
      <w:r w:rsidRPr="00E405CC">
        <w:rPr>
          <w:rFonts w:asciiTheme="majorHAnsi" w:hAnsiTheme="majorHAnsi"/>
          <w:i/>
          <w:color w:val="000000" w:themeColor="text1"/>
          <w:sz w:val="16"/>
          <w:szCs w:val="16"/>
        </w:rPr>
        <w:t>Fact Sheet: Life Expectancy Estimates for Aboriginal and Torres Strait Islander Australians</w:t>
      </w:r>
      <w:r w:rsidRPr="00E405CC">
        <w:rPr>
          <w:rFonts w:asciiTheme="majorHAnsi" w:hAnsiTheme="majorHAnsi"/>
          <w:color w:val="000000" w:themeColor="text1"/>
          <w:sz w:val="16"/>
          <w:szCs w:val="16"/>
        </w:rPr>
        <w:t xml:space="preserve">, 2013, p 3. </w:t>
      </w:r>
      <w:proofErr w:type="gramStart"/>
      <w:r w:rsidRPr="00E405CC">
        <w:rPr>
          <w:rFonts w:asciiTheme="majorHAnsi" w:hAnsiTheme="majorHAnsi"/>
          <w:color w:val="000000" w:themeColor="text1"/>
          <w:sz w:val="16"/>
          <w:szCs w:val="16"/>
        </w:rPr>
        <w:t xml:space="preserve">URL </w:t>
      </w:r>
      <w:hyperlink r:id="rId6" w:history="1">
        <w:r w:rsidRPr="00E405CC">
          <w:rPr>
            <w:rStyle w:val="Hyperlink"/>
            <w:rFonts w:asciiTheme="majorHAnsi" w:hAnsiTheme="majorHAnsi"/>
            <w:sz w:val="16"/>
            <w:szCs w:val="16"/>
          </w:rPr>
          <w:t>http://www.abs.gov.au/ausstats/abs@.nsf/mf/3302.0.55.003</w:t>
        </w:r>
      </w:hyperlink>
      <w:r w:rsidRPr="00E405CC">
        <w:rPr>
          <w:rFonts w:asciiTheme="majorHAnsi" w:hAnsiTheme="majorHAnsi"/>
          <w:color w:val="000000" w:themeColor="text1"/>
          <w:sz w:val="16"/>
          <w:szCs w:val="16"/>
        </w:rPr>
        <w:t>.</w:t>
      </w:r>
      <w:proofErr w:type="gramEnd"/>
    </w:p>
  </w:endnote>
  <w:endnote w:id="9">
    <w:p w14:paraId="2A23D925" w14:textId="090E5542" w:rsidR="00EB2441" w:rsidRPr="00E405CC" w:rsidRDefault="00EB2441" w:rsidP="00560FB2">
      <w:pPr>
        <w:pStyle w:val="EndnoteText"/>
        <w:rPr>
          <w:rFonts w:asciiTheme="majorHAnsi" w:hAnsiTheme="majorHAnsi"/>
          <w:sz w:val="16"/>
          <w:szCs w:val="16"/>
        </w:rPr>
      </w:pPr>
      <w:r w:rsidRPr="002874C1">
        <w:rPr>
          <w:rStyle w:val="EndnoteReference"/>
          <w:rFonts w:asciiTheme="majorHAnsi" w:hAnsiTheme="majorHAnsi"/>
          <w:sz w:val="16"/>
          <w:szCs w:val="16"/>
        </w:rPr>
        <w:endnoteRef/>
      </w:r>
      <w:r w:rsidRPr="002874C1">
        <w:rPr>
          <w:rFonts w:asciiTheme="majorHAnsi" w:hAnsiTheme="majorHAnsi"/>
          <w:sz w:val="16"/>
          <w:szCs w:val="16"/>
        </w:rPr>
        <w:t xml:space="preserve"> See</w:t>
      </w:r>
      <w:r>
        <w:rPr>
          <w:rFonts w:asciiTheme="majorHAnsi" w:hAnsiTheme="majorHAnsi"/>
          <w:sz w:val="16"/>
          <w:szCs w:val="16"/>
        </w:rPr>
        <w:t>:</w:t>
      </w:r>
      <w:r w:rsidRPr="002874C1">
        <w:rPr>
          <w:rFonts w:asciiTheme="majorHAnsi" w:hAnsiTheme="majorHAnsi"/>
          <w:sz w:val="16"/>
          <w:szCs w:val="16"/>
        </w:rPr>
        <w:t xml:space="preserve"> section 3.1 of this report.</w:t>
      </w:r>
    </w:p>
  </w:endnote>
  <w:endnote w:id="10">
    <w:p w14:paraId="3C4E1BA3" w14:textId="2AB57F09" w:rsidR="00EB2441" w:rsidRPr="00E405CC" w:rsidRDefault="00EB2441" w:rsidP="00E924A0">
      <w:pPr>
        <w:pStyle w:val="NormalWeb"/>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Australian Bureau of Statistics, above </w:t>
      </w:r>
      <w:r>
        <w:rPr>
          <w:rFonts w:asciiTheme="majorHAnsi" w:hAnsiTheme="majorHAnsi"/>
          <w:color w:val="000000" w:themeColor="text1"/>
          <w:sz w:val="16"/>
          <w:szCs w:val="16"/>
        </w:rPr>
        <w:t>note 7</w:t>
      </w:r>
      <w:r w:rsidRPr="002874C1">
        <w:rPr>
          <w:rFonts w:asciiTheme="majorHAnsi" w:hAnsiTheme="majorHAnsi"/>
          <w:color w:val="000000" w:themeColor="text1"/>
          <w:sz w:val="16"/>
          <w:szCs w:val="16"/>
        </w:rPr>
        <w:t>, p</w:t>
      </w:r>
      <w:r>
        <w:rPr>
          <w:rFonts w:asciiTheme="majorHAnsi" w:hAnsiTheme="majorHAnsi"/>
          <w:color w:val="000000" w:themeColor="text1"/>
          <w:sz w:val="16"/>
          <w:szCs w:val="16"/>
        </w:rPr>
        <w:t xml:space="preserve"> 1.</w:t>
      </w:r>
      <w:proofErr w:type="gramEnd"/>
    </w:p>
  </w:endnote>
  <w:endnote w:id="11">
    <w:p w14:paraId="1B8702BA"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Australian Bureau of Statistics, above </w:t>
      </w:r>
      <w:r w:rsidRPr="002874C1">
        <w:rPr>
          <w:rFonts w:asciiTheme="majorHAnsi" w:hAnsiTheme="majorHAnsi"/>
          <w:color w:val="000000" w:themeColor="text1"/>
          <w:sz w:val="16"/>
          <w:szCs w:val="16"/>
        </w:rPr>
        <w:t xml:space="preserve">note 7, </w:t>
      </w:r>
      <w:proofErr w:type="spellStart"/>
      <w:r w:rsidRPr="002874C1">
        <w:rPr>
          <w:rFonts w:asciiTheme="majorHAnsi" w:hAnsiTheme="majorHAnsi"/>
          <w:color w:val="000000" w:themeColor="text1"/>
          <w:sz w:val="16"/>
          <w:szCs w:val="16"/>
        </w:rPr>
        <w:t>pp</w:t>
      </w:r>
      <w:proofErr w:type="spellEnd"/>
      <w:r>
        <w:rPr>
          <w:rFonts w:asciiTheme="majorHAnsi" w:hAnsiTheme="majorHAnsi"/>
          <w:color w:val="000000" w:themeColor="text1"/>
          <w:sz w:val="16"/>
          <w:szCs w:val="16"/>
        </w:rPr>
        <w:t xml:space="preserve"> 45-48.</w:t>
      </w:r>
    </w:p>
  </w:endnote>
  <w:endnote w:id="12">
    <w:p w14:paraId="25804A20"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xml:space="preserve"> p 9.</w:t>
      </w:r>
      <w:proofErr w:type="gramEnd"/>
    </w:p>
  </w:endnote>
  <w:endnote w:id="13">
    <w:p w14:paraId="45A87C13"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xml:space="preserve"> p 20.</w:t>
      </w:r>
      <w:proofErr w:type="gramEnd"/>
    </w:p>
  </w:endnote>
  <w:endnote w:id="14">
    <w:p w14:paraId="2DC7ED2B" w14:textId="77777777" w:rsidR="00EB2441" w:rsidRPr="00E405CC" w:rsidRDefault="00EB2441" w:rsidP="002E169D">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xml:space="preserve"> p 99.</w:t>
      </w:r>
      <w:proofErr w:type="gramEnd"/>
    </w:p>
  </w:endnote>
  <w:endnote w:id="15">
    <w:p w14:paraId="69E252C6" w14:textId="77777777" w:rsidR="00EB2441" w:rsidRPr="00E405CC" w:rsidRDefault="00EB2441" w:rsidP="002E169D">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Australian Institute of Health and Welfare, </w:t>
      </w:r>
      <w:r w:rsidRPr="00E405CC">
        <w:rPr>
          <w:rFonts w:asciiTheme="majorHAnsi" w:hAnsiTheme="majorHAnsi"/>
          <w:i/>
          <w:color w:val="000000" w:themeColor="text1"/>
          <w:sz w:val="16"/>
          <w:szCs w:val="16"/>
        </w:rPr>
        <w:t>Cardiovascular disease, diabetes and chronic kidney disease—Australian facts: Mortality</w:t>
      </w:r>
      <w:r w:rsidRPr="00E405CC">
        <w:rPr>
          <w:rFonts w:asciiTheme="majorHAnsi" w:hAnsiTheme="majorHAnsi"/>
          <w:color w:val="000000" w:themeColor="text1"/>
          <w:sz w:val="16"/>
          <w:szCs w:val="16"/>
        </w:rPr>
        <w:t xml:space="preserve">, AIHW cat. </w:t>
      </w:r>
      <w:proofErr w:type="gramStart"/>
      <w:r w:rsidRPr="00E405CC">
        <w:rPr>
          <w:rFonts w:asciiTheme="majorHAnsi" w:hAnsiTheme="majorHAnsi"/>
          <w:color w:val="000000" w:themeColor="text1"/>
          <w:sz w:val="16"/>
          <w:szCs w:val="16"/>
        </w:rPr>
        <w:t>no</w:t>
      </w:r>
      <w:proofErr w:type="gramEnd"/>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CDK 1, 2014, p 9.</w:t>
      </w:r>
      <w:proofErr w:type="gramEnd"/>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URL </w:t>
      </w:r>
      <w:hyperlink r:id="rId7" w:history="1">
        <w:r w:rsidRPr="00E405CC">
          <w:rPr>
            <w:rStyle w:val="Hyperlink"/>
            <w:rFonts w:asciiTheme="majorHAnsi" w:hAnsiTheme="majorHAnsi"/>
            <w:sz w:val="16"/>
            <w:szCs w:val="16"/>
          </w:rPr>
          <w:t>http://aihw.gov.au/publication-detail/?id=60129549287</w:t>
        </w:r>
      </w:hyperlink>
      <w:r w:rsidRPr="00E405CC">
        <w:rPr>
          <w:rFonts w:asciiTheme="majorHAnsi" w:hAnsiTheme="majorHAnsi"/>
          <w:color w:val="000000" w:themeColor="text1"/>
          <w:sz w:val="16"/>
          <w:szCs w:val="16"/>
        </w:rPr>
        <w:t>.</w:t>
      </w:r>
      <w:proofErr w:type="gramEnd"/>
      <w:r w:rsidRPr="00E405CC">
        <w:rPr>
          <w:rFonts w:asciiTheme="majorHAnsi" w:hAnsiTheme="majorHAnsi"/>
          <w:color w:val="000000" w:themeColor="text1"/>
          <w:sz w:val="16"/>
          <w:szCs w:val="16"/>
        </w:rPr>
        <w:t xml:space="preserve"> </w:t>
      </w:r>
    </w:p>
  </w:endnote>
  <w:endnote w:id="16">
    <w:p w14:paraId="2A8E7310" w14:textId="45AB28FD" w:rsidR="00EB2441" w:rsidRPr="00E405CC" w:rsidRDefault="00EB2441" w:rsidP="002E169D">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Institute of Health and Welfare,</w:t>
      </w:r>
      <w:r>
        <w:rPr>
          <w:rFonts w:asciiTheme="majorHAnsi" w:hAnsiTheme="majorHAnsi"/>
          <w:color w:val="000000" w:themeColor="text1"/>
          <w:sz w:val="16"/>
          <w:szCs w:val="16"/>
        </w:rPr>
        <w:t xml:space="preserve"> above note 15, p </w:t>
      </w:r>
      <w:r w:rsidRPr="00E405CC">
        <w:rPr>
          <w:rFonts w:asciiTheme="majorHAnsi" w:hAnsiTheme="majorHAnsi"/>
          <w:color w:val="000000" w:themeColor="text1"/>
          <w:sz w:val="16"/>
          <w:szCs w:val="16"/>
        </w:rPr>
        <w:t>5.</w:t>
      </w:r>
      <w:proofErr w:type="gramEnd"/>
    </w:p>
  </w:endnote>
  <w:endnote w:id="17">
    <w:p w14:paraId="35E0ED54" w14:textId="3FA8B816" w:rsidR="00EB2441" w:rsidRPr="00E405CC" w:rsidRDefault="00EB2441" w:rsidP="002E169D">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Institute of Health and Welfare,</w:t>
      </w:r>
      <w:r>
        <w:rPr>
          <w:rFonts w:asciiTheme="majorHAnsi" w:hAnsiTheme="majorHAnsi"/>
          <w:color w:val="000000" w:themeColor="text1"/>
          <w:sz w:val="16"/>
          <w:szCs w:val="16"/>
        </w:rPr>
        <w:t xml:space="preserve"> above note 15, p </w:t>
      </w:r>
      <w:r w:rsidRPr="00E405CC">
        <w:rPr>
          <w:rFonts w:asciiTheme="majorHAnsi" w:hAnsiTheme="majorHAnsi"/>
          <w:color w:val="000000" w:themeColor="text1"/>
          <w:sz w:val="16"/>
          <w:szCs w:val="16"/>
        </w:rPr>
        <w:t>5.</w:t>
      </w:r>
      <w:proofErr w:type="gramEnd"/>
    </w:p>
  </w:endnote>
  <w:endnote w:id="18">
    <w:p w14:paraId="10FD720E" w14:textId="2668E21E" w:rsidR="00EB2441" w:rsidRPr="00E405CC" w:rsidRDefault="00EB2441" w:rsidP="002E169D">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Institute of Health and Welfare,</w:t>
      </w:r>
      <w:r>
        <w:rPr>
          <w:rFonts w:asciiTheme="majorHAnsi" w:hAnsiTheme="majorHAnsi"/>
          <w:color w:val="000000" w:themeColor="text1"/>
          <w:sz w:val="16"/>
          <w:szCs w:val="16"/>
        </w:rPr>
        <w:t xml:space="preserve"> above note 15, p </w:t>
      </w:r>
      <w:r w:rsidRPr="00E405CC">
        <w:rPr>
          <w:rFonts w:asciiTheme="majorHAnsi" w:hAnsiTheme="majorHAnsi"/>
          <w:color w:val="000000" w:themeColor="text1"/>
          <w:sz w:val="16"/>
          <w:szCs w:val="16"/>
        </w:rPr>
        <w:t>5.</w:t>
      </w:r>
      <w:proofErr w:type="gramEnd"/>
    </w:p>
  </w:endnote>
  <w:endnote w:id="19">
    <w:p w14:paraId="660D41F3" w14:textId="34B19CC3" w:rsidR="00EB2441" w:rsidRPr="00E405CC" w:rsidRDefault="00EB2441" w:rsidP="002E169D">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Institute of Health and Welfare,</w:t>
      </w:r>
      <w:r>
        <w:rPr>
          <w:rFonts w:asciiTheme="majorHAnsi" w:hAnsiTheme="majorHAnsi"/>
          <w:color w:val="000000" w:themeColor="text1"/>
          <w:sz w:val="16"/>
          <w:szCs w:val="16"/>
        </w:rPr>
        <w:t xml:space="preserve"> above note 15, p </w:t>
      </w:r>
      <w:r w:rsidRPr="00E405CC">
        <w:rPr>
          <w:rFonts w:asciiTheme="majorHAnsi" w:hAnsiTheme="majorHAnsi"/>
          <w:color w:val="000000" w:themeColor="text1"/>
          <w:sz w:val="16"/>
          <w:szCs w:val="16"/>
        </w:rPr>
        <w:t>5.</w:t>
      </w:r>
      <w:proofErr w:type="gramEnd"/>
    </w:p>
  </w:endnote>
  <w:endnote w:id="20">
    <w:p w14:paraId="25A7F054" w14:textId="51822690" w:rsidR="00EB2441" w:rsidRPr="00E405CC" w:rsidRDefault="00EB2441" w:rsidP="002E169D">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rPr>
        <w:t>Australian Institute of Health and Welfare,</w:t>
      </w:r>
      <w:r>
        <w:rPr>
          <w:rFonts w:asciiTheme="majorHAnsi" w:hAnsiTheme="majorHAnsi"/>
          <w:color w:val="000000" w:themeColor="text1"/>
          <w:sz w:val="16"/>
          <w:szCs w:val="16"/>
        </w:rPr>
        <w:t xml:space="preserve"> above note 15, p 1</w:t>
      </w:r>
      <w:r w:rsidRPr="00E405CC">
        <w:rPr>
          <w:rFonts w:asciiTheme="majorHAnsi" w:hAnsiTheme="majorHAnsi"/>
          <w:sz w:val="16"/>
          <w:szCs w:val="16"/>
        </w:rPr>
        <w:t>.</w:t>
      </w:r>
      <w:proofErr w:type="gramEnd"/>
    </w:p>
  </w:endnote>
  <w:endnote w:id="21">
    <w:p w14:paraId="36BB9351" w14:textId="05E96A85" w:rsidR="00EB2441" w:rsidRPr="00E405CC" w:rsidRDefault="00EB2441" w:rsidP="002E169D">
      <w:pPr>
        <w:widowControl w:val="0"/>
        <w:autoSpaceDE w:val="0"/>
        <w:autoSpaceDN w:val="0"/>
        <w:adjustRightInd w:val="0"/>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See</w:t>
      </w:r>
      <w:r>
        <w:rPr>
          <w:rFonts w:asciiTheme="majorHAnsi" w:hAnsiTheme="majorHAnsi"/>
          <w:sz w:val="16"/>
          <w:szCs w:val="16"/>
        </w:rPr>
        <w:t>:</w:t>
      </w:r>
      <w:r w:rsidRPr="00E405CC">
        <w:rPr>
          <w:rFonts w:asciiTheme="majorHAnsi" w:hAnsiTheme="majorHAnsi"/>
          <w:sz w:val="16"/>
          <w:szCs w:val="16"/>
        </w:rPr>
        <w:t xml:space="preserve"> National </w:t>
      </w:r>
      <w:r w:rsidRPr="00E405CC">
        <w:rPr>
          <w:rFonts w:asciiTheme="majorHAnsi" w:eastAsia="Times New Roman" w:hAnsiTheme="majorHAnsi" w:cs="Arial"/>
          <w:color w:val="0E1315"/>
          <w:sz w:val="16"/>
          <w:szCs w:val="16"/>
        </w:rPr>
        <w:t xml:space="preserve">Heart Foundation of Australia, </w:t>
      </w:r>
      <w:r w:rsidRPr="00E405CC">
        <w:rPr>
          <w:rFonts w:asciiTheme="majorHAnsi" w:eastAsia="Times New Roman" w:hAnsiTheme="majorHAnsi" w:cs="Arial"/>
          <w:i/>
          <w:color w:val="0E1315"/>
          <w:sz w:val="16"/>
          <w:szCs w:val="16"/>
        </w:rPr>
        <w:t>Healthy Living – Smoking and Your Health</w:t>
      </w:r>
      <w:r w:rsidRPr="00E405CC">
        <w:rPr>
          <w:rFonts w:asciiTheme="majorHAnsi" w:eastAsia="Times New Roman" w:hAnsiTheme="majorHAnsi" w:cs="Arial"/>
          <w:color w:val="0E1315"/>
          <w:sz w:val="16"/>
          <w:szCs w:val="16"/>
        </w:rPr>
        <w:t xml:space="preserve">, p 7. </w:t>
      </w:r>
      <w:proofErr w:type="gramStart"/>
      <w:r w:rsidRPr="00E405CC">
        <w:rPr>
          <w:rFonts w:asciiTheme="majorHAnsi" w:eastAsia="Times New Roman" w:hAnsiTheme="majorHAnsi" w:cs="Arial"/>
          <w:color w:val="0E1315"/>
          <w:sz w:val="16"/>
          <w:szCs w:val="16"/>
        </w:rPr>
        <w:t xml:space="preserve">URL </w:t>
      </w:r>
      <w:hyperlink r:id="rId8" w:history="1">
        <w:r w:rsidRPr="00E405CC">
          <w:rPr>
            <w:rStyle w:val="Hyperlink"/>
            <w:rFonts w:asciiTheme="majorHAnsi" w:eastAsia="Times New Roman" w:hAnsiTheme="majorHAnsi" w:cs="Arial"/>
            <w:sz w:val="16"/>
            <w:szCs w:val="16"/>
          </w:rPr>
          <w:t>http://www.heartfoundation.org.au/SiteCollectionDocuments/Smoking-your-health.pdf</w:t>
        </w:r>
      </w:hyperlink>
      <w:r w:rsidRPr="00E405CC">
        <w:rPr>
          <w:rFonts w:asciiTheme="majorHAnsi" w:eastAsia="Times New Roman" w:hAnsiTheme="majorHAnsi" w:cs="Arial"/>
          <w:color w:val="0E1315"/>
          <w:sz w:val="16"/>
          <w:szCs w:val="16"/>
        </w:rPr>
        <w:t>.</w:t>
      </w:r>
      <w:proofErr w:type="gramEnd"/>
      <w:r w:rsidRPr="00E405CC">
        <w:rPr>
          <w:rFonts w:asciiTheme="majorHAnsi" w:eastAsia="Times New Roman" w:hAnsiTheme="majorHAnsi" w:cs="Arial"/>
          <w:color w:val="0E1315"/>
          <w:sz w:val="16"/>
          <w:szCs w:val="16"/>
        </w:rPr>
        <w:t xml:space="preserve"> </w:t>
      </w:r>
    </w:p>
  </w:endnote>
  <w:endnote w:id="22">
    <w:p w14:paraId="5CC779AC" w14:textId="77777777" w:rsidR="00EB2441" w:rsidRPr="00E405CC" w:rsidRDefault="00EB2441" w:rsidP="007D7171">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spellStart"/>
      <w:r w:rsidRPr="00E405CC">
        <w:rPr>
          <w:rFonts w:asciiTheme="majorHAnsi" w:hAnsiTheme="majorHAnsi"/>
          <w:sz w:val="16"/>
          <w:szCs w:val="16"/>
        </w:rPr>
        <w:t>Mathur</w:t>
      </w:r>
      <w:proofErr w:type="spellEnd"/>
      <w:r w:rsidRPr="00E405CC">
        <w:rPr>
          <w:rFonts w:asciiTheme="majorHAnsi" w:hAnsiTheme="majorHAnsi"/>
          <w:sz w:val="16"/>
          <w:szCs w:val="16"/>
        </w:rPr>
        <w:t xml:space="preserve"> S, Moon L and Leigh S, </w:t>
      </w:r>
      <w:r w:rsidRPr="00E405CC">
        <w:rPr>
          <w:rFonts w:asciiTheme="majorHAnsi" w:hAnsiTheme="majorHAnsi"/>
          <w:i/>
          <w:sz w:val="16"/>
          <w:szCs w:val="16"/>
        </w:rPr>
        <w:t>Aboriginal and Torres Strait Islander people with coronary heart disease: further perspectives on health status and treatment</w:t>
      </w:r>
      <w:r w:rsidRPr="00E405CC">
        <w:rPr>
          <w:rFonts w:asciiTheme="majorHAnsi" w:hAnsiTheme="majorHAnsi"/>
          <w:sz w:val="16"/>
          <w:szCs w:val="16"/>
        </w:rPr>
        <w:t xml:space="preserve">, AIHW cat. </w:t>
      </w:r>
      <w:proofErr w:type="gramStart"/>
      <w:r w:rsidRPr="00E405CC">
        <w:rPr>
          <w:rFonts w:asciiTheme="majorHAnsi" w:hAnsiTheme="majorHAnsi"/>
          <w:sz w:val="16"/>
          <w:szCs w:val="16"/>
        </w:rPr>
        <w:t>no</w:t>
      </w:r>
      <w:proofErr w:type="gramEnd"/>
      <w:r w:rsidRPr="00E405CC">
        <w:rPr>
          <w:rFonts w:asciiTheme="majorHAnsi" w:hAnsiTheme="majorHAnsi"/>
          <w:sz w:val="16"/>
          <w:szCs w:val="16"/>
        </w:rPr>
        <w:t xml:space="preserve">. </w:t>
      </w:r>
      <w:proofErr w:type="gramStart"/>
      <w:r w:rsidRPr="00E405CC">
        <w:rPr>
          <w:rFonts w:asciiTheme="majorHAnsi" w:hAnsiTheme="majorHAnsi"/>
          <w:sz w:val="16"/>
          <w:szCs w:val="16"/>
        </w:rPr>
        <w:t>CVD 33, 2006.</w:t>
      </w:r>
      <w:proofErr w:type="gramEnd"/>
      <w:r w:rsidRPr="00E405CC">
        <w:rPr>
          <w:rFonts w:asciiTheme="majorHAnsi" w:hAnsiTheme="majorHAnsi"/>
          <w:sz w:val="16"/>
          <w:szCs w:val="16"/>
        </w:rPr>
        <w:t xml:space="preserve"> </w:t>
      </w:r>
      <w:proofErr w:type="gramStart"/>
      <w:r w:rsidRPr="00E405CC">
        <w:rPr>
          <w:rFonts w:asciiTheme="majorHAnsi" w:hAnsiTheme="majorHAnsi"/>
          <w:sz w:val="16"/>
          <w:szCs w:val="16"/>
        </w:rPr>
        <w:t xml:space="preserve">URL </w:t>
      </w:r>
      <w:hyperlink r:id="rId9" w:history="1">
        <w:r w:rsidRPr="00E405CC">
          <w:rPr>
            <w:rStyle w:val="Hyperlink"/>
            <w:rFonts w:asciiTheme="majorHAnsi" w:hAnsiTheme="majorHAnsi"/>
            <w:sz w:val="16"/>
            <w:szCs w:val="16"/>
          </w:rPr>
          <w:t>http://www.aihw.gov.au/publication-detail/?id=6442467898</w:t>
        </w:r>
      </w:hyperlink>
      <w:r w:rsidRPr="00E405CC">
        <w:rPr>
          <w:rFonts w:asciiTheme="majorHAnsi" w:hAnsiTheme="majorHAnsi"/>
          <w:sz w:val="16"/>
          <w:szCs w:val="16"/>
        </w:rPr>
        <w:t>.</w:t>
      </w:r>
      <w:proofErr w:type="gramEnd"/>
      <w:r w:rsidRPr="00E405CC">
        <w:rPr>
          <w:rFonts w:asciiTheme="majorHAnsi" w:hAnsiTheme="majorHAnsi"/>
          <w:sz w:val="16"/>
          <w:szCs w:val="16"/>
        </w:rPr>
        <w:t xml:space="preserve"> </w:t>
      </w:r>
    </w:p>
  </w:endnote>
  <w:endnote w:id="23">
    <w:p w14:paraId="6B93A3A2" w14:textId="77777777" w:rsidR="00EB2441" w:rsidRPr="00E405CC" w:rsidRDefault="00EB2441" w:rsidP="003C00B0">
      <w:pPr>
        <w:pStyle w:val="EndnoteText"/>
        <w:rPr>
          <w:rFonts w:asciiTheme="majorHAnsi" w:hAnsiTheme="majorHAnsi" w:cstheme="majorHAnsi"/>
          <w:sz w:val="16"/>
          <w:szCs w:val="16"/>
        </w:rPr>
      </w:pPr>
      <w:r w:rsidRPr="00E405CC">
        <w:rPr>
          <w:rStyle w:val="EndnoteReference"/>
          <w:rFonts w:asciiTheme="majorHAnsi" w:hAnsiTheme="majorHAnsi" w:cstheme="majorHAnsi"/>
          <w:sz w:val="16"/>
          <w:szCs w:val="16"/>
        </w:rPr>
        <w:endnoteRef/>
      </w:r>
      <w:r w:rsidRPr="00E405CC">
        <w:rPr>
          <w:rFonts w:asciiTheme="majorHAnsi" w:hAnsiTheme="majorHAnsi" w:cstheme="majorHAnsi"/>
          <w:sz w:val="16"/>
          <w:szCs w:val="16"/>
        </w:rPr>
        <w:t xml:space="preserve"> Hoy W, Wang Z, Baker P and Kelly A, ‘Reduction in natural death and renal failure from a systematic screening and treatment program in an </w:t>
      </w:r>
      <w:r w:rsidRPr="00E405CC">
        <w:rPr>
          <w:rFonts w:asciiTheme="majorHAnsi" w:hAnsiTheme="majorHAnsi" w:cstheme="majorHAnsi"/>
          <w:sz w:val="16"/>
          <w:szCs w:val="16"/>
          <w:lang w:val="en-US"/>
        </w:rPr>
        <w:t xml:space="preserve">Australian Aboriginal community’ 63(83) </w:t>
      </w:r>
      <w:r w:rsidRPr="00E405CC">
        <w:rPr>
          <w:rFonts w:asciiTheme="majorHAnsi" w:hAnsiTheme="majorHAnsi" w:cstheme="majorHAnsi"/>
          <w:i/>
          <w:sz w:val="16"/>
          <w:szCs w:val="16"/>
          <w:lang w:val="en-US"/>
        </w:rPr>
        <w:t>Kidney International</w:t>
      </w:r>
      <w:r w:rsidRPr="00E405CC">
        <w:rPr>
          <w:rFonts w:asciiTheme="majorHAnsi" w:hAnsiTheme="majorHAnsi" w:cstheme="majorHAnsi"/>
          <w:sz w:val="16"/>
          <w:szCs w:val="16"/>
          <w:lang w:val="en-US"/>
        </w:rPr>
        <w:t xml:space="preserve"> S-66.</w:t>
      </w:r>
    </w:p>
  </w:endnote>
  <w:endnote w:id="24">
    <w:p w14:paraId="19F96A20"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2.</w:t>
      </w:r>
      <w:proofErr w:type="gramEnd"/>
      <w:r w:rsidRPr="00E405CC">
        <w:rPr>
          <w:rFonts w:asciiTheme="majorHAnsi" w:hAnsiTheme="majorHAnsi"/>
          <w:color w:val="000000" w:themeColor="text1"/>
          <w:sz w:val="16"/>
          <w:szCs w:val="16"/>
        </w:rPr>
        <w:t xml:space="preserve"> </w:t>
      </w:r>
    </w:p>
  </w:endnote>
  <w:endnote w:id="25">
    <w:p w14:paraId="1069133D"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1.</w:t>
      </w:r>
      <w:proofErr w:type="gramEnd"/>
      <w:r w:rsidRPr="00E405CC">
        <w:rPr>
          <w:rFonts w:asciiTheme="majorHAnsi" w:hAnsiTheme="majorHAnsi"/>
          <w:color w:val="000000" w:themeColor="text1"/>
          <w:sz w:val="16"/>
          <w:szCs w:val="16"/>
        </w:rPr>
        <w:t xml:space="preserve"> </w:t>
      </w:r>
    </w:p>
  </w:endnote>
  <w:endnote w:id="26">
    <w:p w14:paraId="2A13B4D2"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1.</w:t>
      </w:r>
      <w:proofErr w:type="gramEnd"/>
      <w:r w:rsidRPr="00E405CC">
        <w:rPr>
          <w:rFonts w:asciiTheme="majorHAnsi" w:hAnsiTheme="majorHAnsi"/>
          <w:color w:val="000000" w:themeColor="text1"/>
          <w:sz w:val="16"/>
          <w:szCs w:val="16"/>
        </w:rPr>
        <w:t xml:space="preserve"> </w:t>
      </w:r>
    </w:p>
  </w:endnote>
  <w:endnote w:id="27">
    <w:p w14:paraId="510CB5D4"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rPr>
        <w:t>Australian Bureau of Statistics, above note 5, p 29.</w:t>
      </w:r>
      <w:proofErr w:type="gramEnd"/>
      <w:r w:rsidRPr="00E405CC">
        <w:rPr>
          <w:rFonts w:asciiTheme="majorHAnsi" w:hAnsiTheme="majorHAnsi"/>
          <w:color w:val="000000" w:themeColor="text1"/>
          <w:sz w:val="16"/>
          <w:szCs w:val="16"/>
        </w:rPr>
        <w:t xml:space="preserve"> </w:t>
      </w:r>
    </w:p>
  </w:endnote>
  <w:endnote w:id="28">
    <w:p w14:paraId="6FA8622D"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1.</w:t>
      </w:r>
      <w:proofErr w:type="gramEnd"/>
      <w:r w:rsidRPr="00E405CC">
        <w:rPr>
          <w:rFonts w:asciiTheme="majorHAnsi" w:hAnsiTheme="majorHAnsi"/>
          <w:color w:val="000000" w:themeColor="text1"/>
          <w:sz w:val="16"/>
          <w:szCs w:val="16"/>
        </w:rPr>
        <w:t xml:space="preserve"> </w:t>
      </w:r>
    </w:p>
  </w:endnote>
  <w:endnote w:id="29">
    <w:p w14:paraId="29CB4239"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1.</w:t>
      </w:r>
      <w:proofErr w:type="gramEnd"/>
      <w:r w:rsidRPr="00E405CC">
        <w:rPr>
          <w:rFonts w:asciiTheme="majorHAnsi" w:hAnsiTheme="majorHAnsi"/>
          <w:color w:val="000000" w:themeColor="text1"/>
          <w:sz w:val="16"/>
          <w:szCs w:val="16"/>
        </w:rPr>
        <w:t xml:space="preserve"> </w:t>
      </w:r>
    </w:p>
  </w:endnote>
  <w:endnote w:id="30">
    <w:p w14:paraId="75B85181"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48.</w:t>
      </w:r>
      <w:proofErr w:type="gramEnd"/>
    </w:p>
  </w:endnote>
  <w:endnote w:id="31">
    <w:p w14:paraId="3B1BC909"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48.</w:t>
      </w:r>
      <w:proofErr w:type="gramEnd"/>
      <w:r w:rsidRPr="00E405CC">
        <w:rPr>
          <w:rFonts w:asciiTheme="majorHAnsi" w:hAnsiTheme="majorHAnsi"/>
          <w:color w:val="000000" w:themeColor="text1"/>
          <w:sz w:val="16"/>
          <w:szCs w:val="16"/>
        </w:rPr>
        <w:t xml:space="preserve"> </w:t>
      </w:r>
    </w:p>
  </w:endnote>
  <w:endnote w:id="32">
    <w:p w14:paraId="33FC2BD2"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48.</w:t>
      </w:r>
      <w:proofErr w:type="gramEnd"/>
      <w:r w:rsidRPr="00E405CC">
        <w:rPr>
          <w:rFonts w:asciiTheme="majorHAnsi" w:hAnsiTheme="majorHAnsi"/>
          <w:color w:val="000000" w:themeColor="text1"/>
          <w:sz w:val="16"/>
          <w:szCs w:val="16"/>
        </w:rPr>
        <w:t xml:space="preserve"> </w:t>
      </w:r>
    </w:p>
  </w:endnote>
  <w:endnote w:id="33">
    <w:p w14:paraId="6C29F10D"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49.</w:t>
      </w:r>
      <w:proofErr w:type="gramEnd"/>
      <w:r w:rsidRPr="00E405CC">
        <w:rPr>
          <w:rFonts w:asciiTheme="majorHAnsi" w:hAnsiTheme="majorHAnsi"/>
          <w:color w:val="000000" w:themeColor="text1"/>
          <w:sz w:val="16"/>
          <w:szCs w:val="16"/>
        </w:rPr>
        <w:t xml:space="preserve"> </w:t>
      </w:r>
    </w:p>
  </w:endnote>
  <w:endnote w:id="34">
    <w:p w14:paraId="201170CB"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49.</w:t>
      </w:r>
      <w:proofErr w:type="gramEnd"/>
    </w:p>
  </w:endnote>
  <w:endnote w:id="35">
    <w:p w14:paraId="5820D2F8"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49.</w:t>
      </w:r>
      <w:proofErr w:type="gramEnd"/>
      <w:r w:rsidRPr="00E405CC">
        <w:rPr>
          <w:rFonts w:asciiTheme="majorHAnsi" w:hAnsiTheme="majorHAnsi"/>
          <w:color w:val="000000" w:themeColor="text1"/>
          <w:sz w:val="16"/>
          <w:szCs w:val="16"/>
        </w:rPr>
        <w:t xml:space="preserve"> </w:t>
      </w:r>
    </w:p>
  </w:endnote>
  <w:endnote w:id="36">
    <w:p w14:paraId="7E4A48E9"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Australian Bureau of Statistics, above note 5, p 49.</w:t>
      </w:r>
      <w:proofErr w:type="gramEnd"/>
      <w:r w:rsidRPr="00E405CC">
        <w:rPr>
          <w:rFonts w:asciiTheme="majorHAnsi" w:hAnsiTheme="majorHAnsi"/>
          <w:color w:val="000000" w:themeColor="text1"/>
          <w:sz w:val="16"/>
          <w:szCs w:val="16"/>
        </w:rPr>
        <w:t xml:space="preserve"> </w:t>
      </w:r>
    </w:p>
  </w:endnote>
  <w:endnote w:id="37">
    <w:p w14:paraId="02DC042A"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lang w:val="en-US"/>
        </w:rPr>
        <w:t>Australian Bureau of Statistics, above note 5</w:t>
      </w:r>
      <w:r w:rsidRPr="00E405CC">
        <w:rPr>
          <w:rFonts w:asciiTheme="majorHAnsi" w:hAnsiTheme="majorHAnsi"/>
          <w:color w:val="000000" w:themeColor="text1"/>
          <w:sz w:val="16"/>
          <w:szCs w:val="16"/>
        </w:rPr>
        <w:t>, p 50.</w:t>
      </w:r>
      <w:proofErr w:type="gramEnd"/>
      <w:r w:rsidRPr="00E405CC">
        <w:rPr>
          <w:rFonts w:asciiTheme="majorHAnsi" w:hAnsiTheme="majorHAnsi"/>
          <w:color w:val="000000" w:themeColor="text1"/>
          <w:sz w:val="16"/>
          <w:szCs w:val="16"/>
        </w:rPr>
        <w:t xml:space="preserve"> </w:t>
      </w:r>
    </w:p>
  </w:endnote>
  <w:endnote w:id="38">
    <w:p w14:paraId="4D9879ED"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lang w:val="en-US"/>
        </w:rPr>
        <w:t>Australian Bureau of Statistics, above note 5</w:t>
      </w:r>
      <w:r w:rsidRPr="00E405CC">
        <w:rPr>
          <w:rFonts w:asciiTheme="majorHAnsi" w:hAnsiTheme="majorHAnsi"/>
          <w:color w:val="000000" w:themeColor="text1"/>
          <w:sz w:val="16"/>
          <w:szCs w:val="16"/>
        </w:rPr>
        <w:t>, p 50.</w:t>
      </w:r>
      <w:proofErr w:type="gramEnd"/>
      <w:r w:rsidRPr="00E405CC">
        <w:rPr>
          <w:rFonts w:asciiTheme="majorHAnsi" w:hAnsiTheme="majorHAnsi"/>
          <w:color w:val="000000" w:themeColor="text1"/>
          <w:sz w:val="16"/>
          <w:szCs w:val="16"/>
        </w:rPr>
        <w:t xml:space="preserve"> </w:t>
      </w:r>
    </w:p>
  </w:endnote>
  <w:endnote w:id="39">
    <w:p w14:paraId="6D8A5B8E"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lang w:val="en-US"/>
        </w:rPr>
        <w:t>Australian Bureau of Statistics, above note 5</w:t>
      </w:r>
      <w:r w:rsidRPr="00E405CC">
        <w:rPr>
          <w:rFonts w:asciiTheme="majorHAnsi" w:hAnsiTheme="majorHAnsi"/>
          <w:color w:val="000000" w:themeColor="text1"/>
          <w:sz w:val="16"/>
          <w:szCs w:val="16"/>
        </w:rPr>
        <w:t>, p 50.</w:t>
      </w:r>
      <w:proofErr w:type="gramEnd"/>
      <w:r w:rsidRPr="00E405CC">
        <w:rPr>
          <w:rFonts w:asciiTheme="majorHAnsi" w:hAnsiTheme="majorHAnsi"/>
          <w:color w:val="000000" w:themeColor="text1"/>
          <w:sz w:val="16"/>
          <w:szCs w:val="16"/>
        </w:rPr>
        <w:t xml:space="preserve"> </w:t>
      </w:r>
    </w:p>
  </w:endnote>
  <w:endnote w:id="40">
    <w:p w14:paraId="6FE73AFD"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lang w:val="en-US"/>
        </w:rPr>
        <w:t>Australian Bureau of Statistics, above note 5</w:t>
      </w:r>
      <w:r w:rsidRPr="00E405CC">
        <w:rPr>
          <w:rFonts w:asciiTheme="majorHAnsi" w:hAnsiTheme="majorHAnsi"/>
          <w:color w:val="000000" w:themeColor="text1"/>
          <w:sz w:val="16"/>
          <w:szCs w:val="16"/>
        </w:rPr>
        <w:t>, p 50.</w:t>
      </w:r>
      <w:proofErr w:type="gramEnd"/>
      <w:r w:rsidRPr="00E405CC">
        <w:rPr>
          <w:rFonts w:asciiTheme="majorHAnsi" w:hAnsiTheme="majorHAnsi"/>
          <w:color w:val="000000" w:themeColor="text1"/>
          <w:sz w:val="16"/>
          <w:szCs w:val="16"/>
        </w:rPr>
        <w:t xml:space="preserve"> </w:t>
      </w:r>
    </w:p>
  </w:endnote>
  <w:endnote w:id="41">
    <w:p w14:paraId="14CEE50A"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E405CC">
        <w:rPr>
          <w:rFonts w:asciiTheme="majorHAnsi" w:hAnsiTheme="majorHAnsi"/>
          <w:color w:val="000000" w:themeColor="text1"/>
          <w:sz w:val="16"/>
          <w:szCs w:val="16"/>
        </w:rPr>
        <w:t xml:space="preserve">Australian Bureau of Statistics, </w:t>
      </w:r>
      <w:r w:rsidRPr="00E405CC">
        <w:rPr>
          <w:rFonts w:asciiTheme="majorHAnsi" w:hAnsiTheme="majorHAnsi"/>
          <w:i/>
          <w:color w:val="000000" w:themeColor="text1"/>
          <w:sz w:val="16"/>
          <w:szCs w:val="16"/>
        </w:rPr>
        <w:t>Australian Aboriginal and Torres Strait Islander Health Survey: Updated Results, 2012–13</w:t>
      </w:r>
      <w:r w:rsidRPr="00E405CC">
        <w:rPr>
          <w:rFonts w:asciiTheme="majorHAnsi" w:hAnsiTheme="majorHAnsi"/>
          <w:color w:val="000000" w:themeColor="text1"/>
          <w:sz w:val="16"/>
          <w:szCs w:val="16"/>
        </w:rPr>
        <w:t xml:space="preserve">, ABS cat. </w:t>
      </w:r>
      <w:proofErr w:type="gramStart"/>
      <w:r w:rsidRPr="00E405CC">
        <w:rPr>
          <w:rFonts w:asciiTheme="majorHAnsi" w:hAnsiTheme="majorHAnsi"/>
          <w:color w:val="000000" w:themeColor="text1"/>
          <w:sz w:val="16"/>
          <w:szCs w:val="16"/>
        </w:rPr>
        <w:t>no. 4727.0.55.006, 2014.</w:t>
      </w:r>
      <w:proofErr w:type="gramEnd"/>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URL </w:t>
      </w:r>
      <w:hyperlink r:id="rId10" w:history="1">
        <w:r w:rsidRPr="00E405CC">
          <w:rPr>
            <w:rStyle w:val="Hyperlink"/>
            <w:rFonts w:asciiTheme="majorHAnsi" w:hAnsiTheme="majorHAnsi"/>
            <w:sz w:val="16"/>
            <w:szCs w:val="16"/>
          </w:rPr>
          <w:t>http://abs.gov.au/ausstats/abs@.nsf/mf/4727.0.55.006</w:t>
        </w:r>
      </w:hyperlink>
      <w:r w:rsidRPr="00E405CC">
        <w:rPr>
          <w:rFonts w:asciiTheme="majorHAnsi" w:hAnsiTheme="majorHAnsi"/>
          <w:color w:val="000000" w:themeColor="text1"/>
          <w:sz w:val="16"/>
          <w:szCs w:val="16"/>
        </w:rPr>
        <w:t>.</w:t>
      </w:r>
      <w:proofErr w:type="gramEnd"/>
      <w:r w:rsidRPr="00E405CC">
        <w:rPr>
          <w:rFonts w:asciiTheme="majorHAnsi" w:hAnsiTheme="majorHAnsi"/>
          <w:color w:val="000000" w:themeColor="text1"/>
          <w:sz w:val="16"/>
          <w:szCs w:val="16"/>
        </w:rPr>
        <w:t xml:space="preserve"> </w:t>
      </w:r>
    </w:p>
  </w:endnote>
  <w:endnote w:id="42">
    <w:p w14:paraId="60355E1D"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lang w:val="en-US"/>
        </w:rPr>
        <w:t>Australian Bureau of Statistics, above note 5</w:t>
      </w:r>
      <w:r w:rsidRPr="00E405CC">
        <w:rPr>
          <w:rFonts w:asciiTheme="majorHAnsi" w:hAnsiTheme="majorHAnsi"/>
          <w:color w:val="000000" w:themeColor="text1"/>
          <w:sz w:val="16"/>
          <w:szCs w:val="16"/>
        </w:rPr>
        <w:t>, p 29</w:t>
      </w:r>
      <w:r>
        <w:rPr>
          <w:rFonts w:asciiTheme="majorHAnsi" w:hAnsiTheme="majorHAnsi"/>
          <w:color w:val="000000" w:themeColor="text1"/>
          <w:sz w:val="16"/>
          <w:szCs w:val="16"/>
        </w:rPr>
        <w:t>.</w:t>
      </w:r>
      <w:proofErr w:type="gramEnd"/>
    </w:p>
  </w:endnote>
  <w:endnote w:id="43">
    <w:p w14:paraId="7A686230"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lang w:val="en-US"/>
        </w:rPr>
        <w:t>Australian Bureau of Statistics, above note 5</w:t>
      </w:r>
      <w:r w:rsidRPr="00E405CC">
        <w:rPr>
          <w:rFonts w:asciiTheme="majorHAnsi" w:hAnsiTheme="majorHAnsi"/>
          <w:color w:val="000000" w:themeColor="text1"/>
          <w:sz w:val="16"/>
          <w:szCs w:val="16"/>
        </w:rPr>
        <w:t>, p 1.</w:t>
      </w:r>
      <w:proofErr w:type="gramEnd"/>
      <w:r w:rsidRPr="00E405CC">
        <w:rPr>
          <w:rFonts w:asciiTheme="majorHAnsi" w:hAnsiTheme="majorHAnsi"/>
          <w:color w:val="000000" w:themeColor="text1"/>
          <w:sz w:val="16"/>
          <w:szCs w:val="16"/>
        </w:rPr>
        <w:t xml:space="preserve"> </w:t>
      </w:r>
    </w:p>
  </w:endnote>
  <w:endnote w:id="44">
    <w:p w14:paraId="118BBB9C"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lang w:val="en-US"/>
        </w:rPr>
        <w:t>Australian Bureau of Statistics, above note 5</w:t>
      </w:r>
      <w:r w:rsidRPr="00E405CC">
        <w:rPr>
          <w:rFonts w:asciiTheme="majorHAnsi" w:hAnsiTheme="majorHAnsi"/>
          <w:color w:val="000000" w:themeColor="text1"/>
          <w:sz w:val="16"/>
          <w:szCs w:val="16"/>
        </w:rPr>
        <w:t>, p 8.</w:t>
      </w:r>
      <w:proofErr w:type="gramEnd"/>
    </w:p>
  </w:endnote>
  <w:endnote w:id="45">
    <w:p w14:paraId="38A90000"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lang w:val="en-US"/>
        </w:rPr>
        <w:t>Australian Bureau of Statistics, above note 5</w:t>
      </w:r>
      <w:r>
        <w:rPr>
          <w:rFonts w:asciiTheme="majorHAnsi" w:hAnsiTheme="majorHAnsi"/>
          <w:color w:val="000000" w:themeColor="text1"/>
          <w:sz w:val="16"/>
          <w:szCs w:val="16"/>
        </w:rPr>
        <w:t>, p 8.</w:t>
      </w:r>
      <w:proofErr w:type="gramEnd"/>
    </w:p>
  </w:endnote>
  <w:endnote w:id="46">
    <w:p w14:paraId="4671DFE8"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lang w:val="en-US"/>
        </w:rPr>
        <w:t>Australian Bureau of Statistics, above note 5</w:t>
      </w:r>
      <w:r w:rsidRPr="00E405CC">
        <w:rPr>
          <w:rFonts w:asciiTheme="majorHAnsi" w:hAnsiTheme="majorHAnsi"/>
          <w:color w:val="000000" w:themeColor="text1"/>
          <w:sz w:val="16"/>
          <w:szCs w:val="16"/>
        </w:rPr>
        <w:t>, p 8.</w:t>
      </w:r>
      <w:proofErr w:type="gramEnd"/>
      <w:r w:rsidRPr="00E405CC">
        <w:rPr>
          <w:rFonts w:asciiTheme="majorHAnsi" w:hAnsiTheme="majorHAnsi"/>
          <w:color w:val="000000" w:themeColor="text1"/>
          <w:sz w:val="16"/>
          <w:szCs w:val="16"/>
        </w:rPr>
        <w:t xml:space="preserve"> </w:t>
      </w:r>
    </w:p>
  </w:endnote>
  <w:endnote w:id="47">
    <w:p w14:paraId="19A7B44E" w14:textId="77777777" w:rsidR="00EB2441" w:rsidRPr="00E405CC" w:rsidRDefault="00EB2441" w:rsidP="00161B44">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spellStart"/>
      <w:r w:rsidRPr="00E405CC">
        <w:rPr>
          <w:rFonts w:asciiTheme="majorHAnsi" w:hAnsiTheme="majorHAnsi"/>
          <w:sz w:val="16"/>
          <w:szCs w:val="16"/>
        </w:rPr>
        <w:t>Panaretto</w:t>
      </w:r>
      <w:proofErr w:type="spellEnd"/>
      <w:r w:rsidRPr="00E405CC">
        <w:rPr>
          <w:rFonts w:asciiTheme="majorHAnsi" w:hAnsiTheme="majorHAnsi"/>
          <w:sz w:val="16"/>
          <w:szCs w:val="16"/>
        </w:rPr>
        <w:t xml:space="preserve"> K, Wenitong M, Button S and Ring I, ‘Aboriginal community controlled health services: leading the way in primary care’ (2014) 200(11) </w:t>
      </w:r>
      <w:r w:rsidRPr="00E405CC">
        <w:rPr>
          <w:rFonts w:asciiTheme="majorHAnsi" w:hAnsiTheme="majorHAnsi"/>
          <w:i/>
          <w:sz w:val="16"/>
          <w:szCs w:val="16"/>
        </w:rPr>
        <w:t>Medical Journal of Australia,</w:t>
      </w:r>
      <w:r w:rsidRPr="00E405CC">
        <w:rPr>
          <w:rFonts w:asciiTheme="majorHAnsi" w:hAnsiTheme="majorHAnsi"/>
          <w:sz w:val="16"/>
          <w:szCs w:val="16"/>
        </w:rPr>
        <w:t xml:space="preserve"> 200 (11) 649.</w:t>
      </w:r>
    </w:p>
  </w:endnote>
  <w:endnote w:id="48">
    <w:p w14:paraId="51BCD2D3" w14:textId="77777777" w:rsidR="00EB2441" w:rsidRPr="002874C1"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E405CC">
        <w:rPr>
          <w:rFonts w:asciiTheme="majorHAnsi" w:hAnsiTheme="majorHAnsi"/>
          <w:color w:val="000000" w:themeColor="text1"/>
          <w:sz w:val="16"/>
          <w:szCs w:val="16"/>
          <w:lang w:val="en-US"/>
        </w:rPr>
        <w:t xml:space="preserve">Reeve et </w:t>
      </w:r>
      <w:r w:rsidRPr="002874C1">
        <w:rPr>
          <w:rFonts w:asciiTheme="majorHAnsi" w:hAnsiTheme="majorHAnsi"/>
          <w:color w:val="000000" w:themeColor="text1"/>
          <w:sz w:val="16"/>
          <w:szCs w:val="16"/>
          <w:lang w:val="en-US"/>
        </w:rPr>
        <w:t>al, above note 6, p 459.</w:t>
      </w:r>
    </w:p>
  </w:endnote>
  <w:endnote w:id="49">
    <w:p w14:paraId="53F0D539" w14:textId="77777777" w:rsidR="00EB2441" w:rsidRPr="00E405CC" w:rsidRDefault="00EB2441" w:rsidP="00560FB2">
      <w:pPr>
        <w:pStyle w:val="EndnoteText"/>
        <w:rPr>
          <w:rFonts w:asciiTheme="majorHAnsi" w:hAnsiTheme="majorHAnsi"/>
          <w:color w:val="000000" w:themeColor="text1"/>
          <w:sz w:val="16"/>
          <w:szCs w:val="16"/>
          <w:lang w:val="en-US"/>
        </w:rPr>
      </w:pPr>
      <w:r w:rsidRPr="002874C1">
        <w:rPr>
          <w:rStyle w:val="EndnoteReference"/>
          <w:rFonts w:asciiTheme="majorHAnsi" w:hAnsiTheme="majorHAnsi"/>
          <w:color w:val="000000" w:themeColor="text1"/>
          <w:sz w:val="16"/>
          <w:szCs w:val="16"/>
        </w:rPr>
        <w:endnoteRef/>
      </w:r>
      <w:r w:rsidRPr="002874C1">
        <w:rPr>
          <w:rFonts w:asciiTheme="majorHAnsi" w:hAnsiTheme="majorHAnsi"/>
          <w:color w:val="000000" w:themeColor="text1"/>
          <w:sz w:val="16"/>
          <w:szCs w:val="16"/>
        </w:rPr>
        <w:t xml:space="preserve"> </w:t>
      </w:r>
      <w:r w:rsidRPr="002874C1">
        <w:rPr>
          <w:rFonts w:asciiTheme="majorHAnsi" w:hAnsiTheme="majorHAnsi"/>
          <w:color w:val="000000" w:themeColor="text1"/>
          <w:sz w:val="16"/>
          <w:szCs w:val="16"/>
          <w:lang w:val="en-US"/>
        </w:rPr>
        <w:t>Reeve et al, above note 6, p</w:t>
      </w:r>
      <w:r w:rsidRPr="00E405CC">
        <w:rPr>
          <w:rFonts w:asciiTheme="majorHAnsi" w:hAnsiTheme="majorHAnsi"/>
          <w:color w:val="000000" w:themeColor="text1"/>
          <w:sz w:val="16"/>
          <w:szCs w:val="16"/>
          <w:lang w:val="en-US"/>
        </w:rPr>
        <w:t xml:space="preserve"> 464.</w:t>
      </w:r>
    </w:p>
  </w:endnote>
  <w:endnote w:id="50">
    <w:p w14:paraId="5930CD1D" w14:textId="77777777" w:rsidR="00EB2441" w:rsidRPr="00E405CC" w:rsidRDefault="00EB2441" w:rsidP="00E94C3A">
      <w:pPr>
        <w:pStyle w:val="NormalWeb"/>
        <w:rPr>
          <w:rFonts w:asciiTheme="majorHAnsi" w:eastAsia="Times New Roman" w:hAnsiTheme="majorHAnsi"/>
          <w:color w:val="000000" w:themeColor="text1"/>
          <w:sz w:val="16"/>
          <w:szCs w:val="16"/>
          <w:lang w:val="en-AU"/>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Paradies Y, </w:t>
      </w:r>
      <w:r w:rsidRPr="00E405CC">
        <w:rPr>
          <w:rFonts w:asciiTheme="majorHAnsi" w:hAnsiTheme="majorHAnsi"/>
          <w:bCs/>
          <w:i/>
          <w:color w:val="000000" w:themeColor="text1"/>
          <w:sz w:val="16"/>
          <w:szCs w:val="16"/>
        </w:rPr>
        <w:t>Race, Racism, Stress and Indigenous Health</w:t>
      </w:r>
      <w:r w:rsidRPr="00E405CC">
        <w:rPr>
          <w:rFonts w:asciiTheme="majorHAnsi" w:hAnsiTheme="majorHAnsi"/>
          <w:color w:val="000000" w:themeColor="text1"/>
          <w:sz w:val="16"/>
          <w:szCs w:val="16"/>
        </w:rPr>
        <w:t xml:space="preserve">, PhD Thesis, Department of Public Health, The University of Melbourne, 2006, </w:t>
      </w:r>
      <w:proofErr w:type="spellStart"/>
      <w:r w:rsidRPr="00E405CC">
        <w:rPr>
          <w:rFonts w:asciiTheme="majorHAnsi" w:eastAsia="Times New Roman" w:hAnsiTheme="majorHAnsi"/>
          <w:color w:val="000000" w:themeColor="text1"/>
          <w:sz w:val="16"/>
          <w:szCs w:val="16"/>
          <w:lang w:val="en-AU"/>
        </w:rPr>
        <w:t>p.iii</w:t>
      </w:r>
      <w:proofErr w:type="spellEnd"/>
      <w:r w:rsidRPr="00E405CC">
        <w:rPr>
          <w:rFonts w:asciiTheme="majorHAnsi" w:eastAsia="Times New Roman" w:hAnsiTheme="majorHAnsi"/>
          <w:color w:val="000000" w:themeColor="text1"/>
          <w:sz w:val="16"/>
          <w:szCs w:val="16"/>
          <w:lang w:val="en-AU"/>
        </w:rPr>
        <w:t>.</w:t>
      </w:r>
    </w:p>
  </w:endnote>
  <w:endnote w:id="51">
    <w:p w14:paraId="4039B078"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3953B6">
        <w:rPr>
          <w:rFonts w:asciiTheme="majorHAnsi" w:hAnsiTheme="majorHAnsi"/>
          <w:color w:val="000000" w:themeColor="text1"/>
          <w:sz w:val="16"/>
          <w:szCs w:val="16"/>
          <w:lang w:val="en-US"/>
        </w:rPr>
        <w:t>Paradies</w:t>
      </w:r>
      <w:r>
        <w:rPr>
          <w:rFonts w:asciiTheme="majorHAnsi" w:hAnsiTheme="majorHAnsi"/>
          <w:color w:val="000000" w:themeColor="text1"/>
          <w:sz w:val="16"/>
          <w:szCs w:val="16"/>
          <w:lang w:val="en-US"/>
        </w:rPr>
        <w:t>, above note 50</w:t>
      </w:r>
      <w:r w:rsidRPr="00E405CC">
        <w:rPr>
          <w:rFonts w:asciiTheme="majorHAnsi" w:hAnsiTheme="majorHAnsi"/>
          <w:color w:val="000000" w:themeColor="text1"/>
          <w:sz w:val="16"/>
          <w:szCs w:val="16"/>
        </w:rPr>
        <w:t>.</w:t>
      </w:r>
      <w:proofErr w:type="gramEnd"/>
      <w:r w:rsidRPr="00E405CC">
        <w:rPr>
          <w:rFonts w:asciiTheme="majorHAnsi" w:hAnsiTheme="majorHAnsi"/>
          <w:color w:val="000000" w:themeColor="text1"/>
          <w:sz w:val="16"/>
          <w:szCs w:val="16"/>
        </w:rPr>
        <w:t xml:space="preserve"> </w:t>
      </w:r>
    </w:p>
  </w:endnote>
  <w:endnote w:id="52">
    <w:p w14:paraId="0033CAC2"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3953B6">
        <w:rPr>
          <w:rFonts w:asciiTheme="majorHAnsi" w:hAnsiTheme="majorHAnsi"/>
          <w:color w:val="000000" w:themeColor="text1"/>
          <w:sz w:val="16"/>
          <w:szCs w:val="16"/>
          <w:lang w:val="en-US"/>
        </w:rPr>
        <w:t>Paradies, above note 50</w:t>
      </w:r>
      <w:r w:rsidRPr="00E405CC">
        <w:rPr>
          <w:rFonts w:asciiTheme="majorHAnsi" w:hAnsiTheme="majorHAnsi"/>
          <w:color w:val="000000" w:themeColor="text1"/>
          <w:sz w:val="16"/>
          <w:szCs w:val="16"/>
        </w:rPr>
        <w:t xml:space="preserve">, </w:t>
      </w:r>
      <w:proofErr w:type="spellStart"/>
      <w:r w:rsidRPr="00E405CC">
        <w:rPr>
          <w:rFonts w:asciiTheme="majorHAnsi" w:hAnsiTheme="majorHAnsi"/>
          <w:color w:val="000000" w:themeColor="text1"/>
          <w:sz w:val="16"/>
          <w:szCs w:val="16"/>
        </w:rPr>
        <w:t>pp</w:t>
      </w:r>
      <w:proofErr w:type="spellEnd"/>
      <w:r w:rsidRPr="00E405CC">
        <w:rPr>
          <w:rFonts w:asciiTheme="majorHAnsi" w:hAnsiTheme="majorHAnsi"/>
          <w:color w:val="000000" w:themeColor="text1"/>
          <w:sz w:val="16"/>
          <w:szCs w:val="16"/>
        </w:rPr>
        <w:t xml:space="preserve"> 94-95.</w:t>
      </w:r>
      <w:proofErr w:type="gramEnd"/>
      <w:r w:rsidRPr="00E405CC">
        <w:rPr>
          <w:rFonts w:asciiTheme="majorHAnsi" w:hAnsiTheme="majorHAnsi"/>
          <w:color w:val="000000" w:themeColor="text1"/>
          <w:sz w:val="16"/>
          <w:szCs w:val="16"/>
        </w:rPr>
        <w:t xml:space="preserve"> </w:t>
      </w:r>
    </w:p>
  </w:endnote>
  <w:endnote w:id="53">
    <w:p w14:paraId="5DF61BD0" w14:textId="77777777"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See for example: </w:t>
      </w:r>
      <w:proofErr w:type="spellStart"/>
      <w:r w:rsidRPr="00E405CC">
        <w:rPr>
          <w:rFonts w:asciiTheme="majorHAnsi" w:hAnsiTheme="majorHAnsi"/>
          <w:sz w:val="16"/>
          <w:szCs w:val="16"/>
        </w:rPr>
        <w:t>VicHealth</w:t>
      </w:r>
      <w:proofErr w:type="spellEnd"/>
      <w:r w:rsidRPr="00E405CC">
        <w:rPr>
          <w:rFonts w:asciiTheme="majorHAnsi" w:hAnsiTheme="majorHAnsi"/>
          <w:sz w:val="16"/>
          <w:szCs w:val="16"/>
        </w:rPr>
        <w:t xml:space="preserve">, </w:t>
      </w:r>
      <w:r w:rsidRPr="00E405CC">
        <w:rPr>
          <w:rFonts w:asciiTheme="majorHAnsi" w:hAnsiTheme="majorHAnsi"/>
          <w:i/>
          <w:sz w:val="16"/>
          <w:szCs w:val="16"/>
        </w:rPr>
        <w:t>Findings from the 2013 survey of Victorians’ attitudes to race and cultural diversity</w:t>
      </w:r>
      <w:r w:rsidRPr="00E405CC">
        <w:rPr>
          <w:rFonts w:asciiTheme="majorHAnsi" w:hAnsiTheme="majorHAnsi"/>
          <w:sz w:val="16"/>
          <w:szCs w:val="16"/>
        </w:rPr>
        <w:t xml:space="preserve">, 2014. </w:t>
      </w:r>
      <w:proofErr w:type="gramStart"/>
      <w:r w:rsidRPr="00E405CC">
        <w:rPr>
          <w:rFonts w:asciiTheme="majorHAnsi" w:hAnsiTheme="majorHAnsi"/>
          <w:sz w:val="16"/>
          <w:szCs w:val="16"/>
        </w:rPr>
        <w:t xml:space="preserve">URL </w:t>
      </w:r>
      <w:hyperlink r:id="rId11" w:history="1">
        <w:r w:rsidRPr="00E405CC">
          <w:rPr>
            <w:rStyle w:val="Hyperlink"/>
            <w:rFonts w:asciiTheme="majorHAnsi" w:hAnsiTheme="majorHAnsi"/>
            <w:sz w:val="16"/>
            <w:szCs w:val="16"/>
          </w:rPr>
          <w:t>https://www.vichealth.vic.gov.au/media-and-resources/publications/victorians-attitudes-to-race-and-cultural-diversity</w:t>
        </w:r>
      </w:hyperlink>
      <w:r w:rsidRPr="00E405CC">
        <w:rPr>
          <w:rFonts w:asciiTheme="majorHAnsi" w:hAnsiTheme="majorHAnsi"/>
          <w:sz w:val="16"/>
          <w:szCs w:val="16"/>
        </w:rPr>
        <w:t>.</w:t>
      </w:r>
      <w:proofErr w:type="gramEnd"/>
      <w:r w:rsidRPr="00E405CC">
        <w:rPr>
          <w:rFonts w:asciiTheme="majorHAnsi" w:hAnsiTheme="majorHAnsi"/>
          <w:sz w:val="16"/>
          <w:szCs w:val="16"/>
        </w:rPr>
        <w:t xml:space="preserve"> </w:t>
      </w:r>
    </w:p>
  </w:endnote>
  <w:endnote w:id="54">
    <w:p w14:paraId="4595E244" w14:textId="77777777" w:rsidR="00EB2441" w:rsidRPr="00E405CC" w:rsidRDefault="00EB2441" w:rsidP="001D473E">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spellStart"/>
      <w:r w:rsidRPr="00E405CC">
        <w:rPr>
          <w:rFonts w:asciiTheme="majorHAnsi" w:hAnsiTheme="majorHAnsi" w:cs="Arial"/>
          <w:color w:val="000000" w:themeColor="text1"/>
          <w:sz w:val="16"/>
          <w:szCs w:val="16"/>
        </w:rPr>
        <w:t>Vos</w:t>
      </w:r>
      <w:proofErr w:type="spellEnd"/>
      <w:r w:rsidRPr="00E405CC">
        <w:rPr>
          <w:rFonts w:asciiTheme="majorHAnsi" w:hAnsiTheme="majorHAnsi" w:cs="Arial"/>
          <w:color w:val="000000" w:themeColor="text1"/>
          <w:sz w:val="16"/>
          <w:szCs w:val="16"/>
        </w:rPr>
        <w:t xml:space="preserve"> T, Barker B, Stanley L and Lopez AD, </w:t>
      </w:r>
      <w:proofErr w:type="gramStart"/>
      <w:r w:rsidRPr="00E405CC">
        <w:rPr>
          <w:rFonts w:asciiTheme="majorHAnsi" w:hAnsiTheme="majorHAnsi" w:cs="Arial"/>
          <w:i/>
          <w:color w:val="000000" w:themeColor="text1"/>
          <w:sz w:val="16"/>
          <w:szCs w:val="16"/>
        </w:rPr>
        <w:t>The</w:t>
      </w:r>
      <w:proofErr w:type="gramEnd"/>
      <w:r w:rsidRPr="00E405CC">
        <w:rPr>
          <w:rFonts w:asciiTheme="majorHAnsi" w:hAnsiTheme="majorHAnsi" w:cs="Arial"/>
          <w:i/>
          <w:color w:val="000000" w:themeColor="text1"/>
          <w:sz w:val="16"/>
          <w:szCs w:val="16"/>
        </w:rPr>
        <w:t xml:space="preserve"> Burden of Disease and Injury in Aboriginal and Torres Strait Islander peoples 2003</w:t>
      </w:r>
      <w:r w:rsidRPr="00E405CC">
        <w:rPr>
          <w:rFonts w:asciiTheme="majorHAnsi" w:hAnsiTheme="majorHAnsi" w:cs="Arial"/>
          <w:color w:val="000000" w:themeColor="text1"/>
          <w:sz w:val="16"/>
          <w:szCs w:val="16"/>
        </w:rPr>
        <w:t xml:space="preserve">, 2007. </w:t>
      </w:r>
      <w:proofErr w:type="gramStart"/>
      <w:r w:rsidRPr="00E405CC">
        <w:rPr>
          <w:rFonts w:asciiTheme="majorHAnsi" w:hAnsiTheme="majorHAnsi" w:cs="Arial"/>
          <w:color w:val="000000" w:themeColor="text1"/>
          <w:sz w:val="16"/>
          <w:szCs w:val="16"/>
        </w:rPr>
        <w:t xml:space="preserve">URL </w:t>
      </w:r>
      <w:hyperlink r:id="rId12" w:history="1">
        <w:r w:rsidRPr="00E405CC">
          <w:rPr>
            <w:rStyle w:val="Hyperlink"/>
            <w:rFonts w:asciiTheme="majorHAnsi" w:hAnsiTheme="majorHAnsi" w:cs="Arial"/>
            <w:sz w:val="16"/>
            <w:szCs w:val="16"/>
          </w:rPr>
          <w:t>http://www.aihw.gov.au/publication-detail/?id=6442467990</w:t>
        </w:r>
      </w:hyperlink>
      <w:r w:rsidRPr="00E405CC">
        <w:rPr>
          <w:rFonts w:asciiTheme="majorHAnsi" w:hAnsiTheme="majorHAnsi" w:cs="Arial"/>
          <w:color w:val="000000" w:themeColor="text1"/>
          <w:sz w:val="16"/>
          <w:szCs w:val="16"/>
        </w:rPr>
        <w:t>.</w:t>
      </w:r>
      <w:proofErr w:type="gramEnd"/>
      <w:r w:rsidRPr="00E405CC">
        <w:rPr>
          <w:rFonts w:asciiTheme="majorHAnsi" w:hAnsiTheme="majorHAnsi" w:cs="Arial"/>
          <w:color w:val="000000" w:themeColor="text1"/>
          <w:sz w:val="16"/>
          <w:szCs w:val="16"/>
        </w:rPr>
        <w:t xml:space="preserve"> </w:t>
      </w:r>
    </w:p>
  </w:endnote>
  <w:endnote w:id="55">
    <w:p w14:paraId="22161B8E" w14:textId="77777777" w:rsidR="00EB2441" w:rsidRPr="00E405CC" w:rsidRDefault="00EB2441" w:rsidP="001D473E">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xml:space="preserve"> p</w:t>
      </w:r>
      <w:r>
        <w:rPr>
          <w:rFonts w:asciiTheme="majorHAnsi" w:hAnsiTheme="majorHAnsi"/>
          <w:color w:val="000000" w:themeColor="text1"/>
          <w:sz w:val="16"/>
          <w:szCs w:val="16"/>
          <w:lang w:val="en-US"/>
        </w:rPr>
        <w:t xml:space="preserve"> </w:t>
      </w:r>
      <w:r w:rsidRPr="00E405CC">
        <w:rPr>
          <w:rFonts w:asciiTheme="majorHAnsi" w:hAnsiTheme="majorHAnsi"/>
          <w:color w:val="000000" w:themeColor="text1"/>
          <w:sz w:val="16"/>
          <w:szCs w:val="16"/>
          <w:lang w:val="en-US"/>
        </w:rPr>
        <w:t>22.</w:t>
      </w:r>
      <w:proofErr w:type="gramEnd"/>
    </w:p>
  </w:endnote>
  <w:endnote w:id="56">
    <w:p w14:paraId="452BC9B0" w14:textId="77777777" w:rsidR="00EB2441" w:rsidRPr="00E405CC" w:rsidRDefault="00EB2441" w:rsidP="001D473E">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Pr>
          <w:rFonts w:asciiTheme="majorHAnsi" w:hAnsiTheme="majorHAnsi"/>
          <w:color w:val="000000" w:themeColor="text1"/>
          <w:sz w:val="16"/>
          <w:szCs w:val="16"/>
          <w:lang w:val="en-US"/>
        </w:rPr>
        <w:t xml:space="preserve"> p </w:t>
      </w:r>
      <w:r w:rsidRPr="00E405CC">
        <w:rPr>
          <w:rFonts w:asciiTheme="majorHAnsi" w:hAnsiTheme="majorHAnsi"/>
          <w:color w:val="000000" w:themeColor="text1"/>
          <w:sz w:val="16"/>
          <w:szCs w:val="16"/>
          <w:lang w:val="en-US"/>
        </w:rPr>
        <w:t>22.</w:t>
      </w:r>
      <w:proofErr w:type="gramEnd"/>
    </w:p>
  </w:endnote>
  <w:endnote w:id="57">
    <w:p w14:paraId="3BE53A22" w14:textId="77777777" w:rsidR="00EB2441" w:rsidRPr="002874C1" w:rsidRDefault="00EB2441" w:rsidP="001D473E">
      <w:pPr>
        <w:pStyle w:val="EndnoteText"/>
        <w:rPr>
          <w:rFonts w:asciiTheme="majorHAnsi" w:hAnsiTheme="majorHAnsi" w:cs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2874C1">
        <w:rPr>
          <w:rFonts w:asciiTheme="majorHAnsi" w:hAnsiTheme="majorHAnsi" w:cstheme="majorHAnsi"/>
          <w:color w:val="000000" w:themeColor="text1"/>
          <w:sz w:val="16"/>
          <w:szCs w:val="16"/>
        </w:rPr>
        <w:t xml:space="preserve">Australian Bureau of Statistics, </w:t>
      </w:r>
      <w:r w:rsidRPr="002874C1">
        <w:rPr>
          <w:rFonts w:asciiTheme="majorHAnsi" w:hAnsiTheme="majorHAnsi" w:cstheme="majorHAnsi"/>
          <w:i/>
          <w:color w:val="000000" w:themeColor="text1"/>
          <w:sz w:val="16"/>
          <w:szCs w:val="16"/>
        </w:rPr>
        <w:t>Australian Aboriginal and Torres Strait Islander Health Survey: First Results, Australia, 2012-13</w:t>
      </w:r>
      <w:r w:rsidRPr="002874C1">
        <w:rPr>
          <w:rFonts w:asciiTheme="majorHAnsi" w:hAnsiTheme="majorHAnsi" w:cstheme="majorHAnsi"/>
          <w:color w:val="000000" w:themeColor="text1"/>
          <w:sz w:val="16"/>
          <w:szCs w:val="16"/>
        </w:rPr>
        <w:t xml:space="preserve">, ABS cat. </w:t>
      </w:r>
      <w:proofErr w:type="gramStart"/>
      <w:r w:rsidRPr="002874C1">
        <w:rPr>
          <w:rFonts w:asciiTheme="majorHAnsi" w:hAnsiTheme="majorHAnsi" w:cstheme="majorHAnsi"/>
          <w:color w:val="000000" w:themeColor="text1"/>
          <w:sz w:val="16"/>
          <w:szCs w:val="16"/>
        </w:rPr>
        <w:t>no. 4727.0.55.001, 2013.</w:t>
      </w:r>
      <w:proofErr w:type="gramEnd"/>
      <w:r w:rsidRPr="002874C1">
        <w:rPr>
          <w:rFonts w:asciiTheme="majorHAnsi" w:hAnsiTheme="majorHAnsi" w:cstheme="majorHAnsi"/>
          <w:color w:val="000000" w:themeColor="text1"/>
          <w:sz w:val="16"/>
          <w:szCs w:val="16"/>
        </w:rPr>
        <w:t xml:space="preserve"> </w:t>
      </w:r>
      <w:proofErr w:type="gramStart"/>
      <w:r w:rsidRPr="002874C1">
        <w:rPr>
          <w:rFonts w:asciiTheme="majorHAnsi" w:hAnsiTheme="majorHAnsi" w:cstheme="majorHAnsi"/>
          <w:color w:val="000000" w:themeColor="text1"/>
          <w:sz w:val="16"/>
          <w:szCs w:val="16"/>
        </w:rPr>
        <w:t xml:space="preserve">URL </w:t>
      </w:r>
      <w:hyperlink r:id="rId13" w:history="1">
        <w:r w:rsidRPr="002874C1">
          <w:rPr>
            <w:rStyle w:val="Hyperlink"/>
            <w:rFonts w:asciiTheme="majorHAnsi" w:hAnsiTheme="majorHAnsi" w:cstheme="majorHAnsi"/>
            <w:sz w:val="16"/>
            <w:szCs w:val="16"/>
            <w:lang w:val="en-US"/>
          </w:rPr>
          <w:t>www.abs.gov.au/ausstats/abs@.nsf/Lookup/39E15DC7E770A144CA257C2F00145A66?opendocument</w:t>
        </w:r>
      </w:hyperlink>
      <w:r w:rsidRPr="002874C1">
        <w:rPr>
          <w:rFonts w:asciiTheme="majorHAnsi" w:hAnsiTheme="majorHAnsi" w:cstheme="majorHAnsi"/>
          <w:sz w:val="16"/>
          <w:szCs w:val="16"/>
        </w:rPr>
        <w:t>.</w:t>
      </w:r>
      <w:proofErr w:type="gramEnd"/>
    </w:p>
  </w:endnote>
  <w:endnote w:id="58">
    <w:p w14:paraId="63F3F1FB" w14:textId="77777777" w:rsidR="00EB2441" w:rsidRPr="00625080" w:rsidRDefault="00EB2441" w:rsidP="001D473E">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COAG Reform Council, </w:t>
      </w:r>
      <w:r w:rsidRPr="00625080">
        <w:rPr>
          <w:rFonts w:asciiTheme="majorHAnsi" w:hAnsiTheme="majorHAnsi"/>
          <w:color w:val="000000" w:themeColor="text1"/>
          <w:sz w:val="16"/>
          <w:szCs w:val="16"/>
          <w:lang w:val="en-US"/>
        </w:rPr>
        <w:t>above note 3, p 19.</w:t>
      </w:r>
      <w:proofErr w:type="gramEnd"/>
    </w:p>
  </w:endnote>
  <w:endnote w:id="59">
    <w:p w14:paraId="20971CE7" w14:textId="77777777" w:rsidR="00EB2441" w:rsidRPr="00E405CC" w:rsidRDefault="00EB2441" w:rsidP="001D473E">
      <w:pPr>
        <w:pStyle w:val="EndnoteText"/>
        <w:rPr>
          <w:rFonts w:asciiTheme="majorHAnsi" w:hAnsiTheme="majorHAnsi"/>
          <w:color w:val="000000" w:themeColor="text1"/>
          <w:sz w:val="16"/>
          <w:szCs w:val="16"/>
          <w:lang w:val="en-US"/>
        </w:rPr>
      </w:pPr>
      <w:r w:rsidRPr="00625080">
        <w:rPr>
          <w:rStyle w:val="EndnoteReference"/>
          <w:rFonts w:asciiTheme="majorHAnsi" w:hAnsiTheme="majorHAnsi"/>
          <w:color w:val="000000" w:themeColor="text1"/>
          <w:sz w:val="16"/>
          <w:szCs w:val="16"/>
        </w:rPr>
        <w:endnoteRef/>
      </w:r>
      <w:r w:rsidRPr="00625080">
        <w:rPr>
          <w:rFonts w:asciiTheme="majorHAnsi" w:hAnsiTheme="majorHAnsi"/>
          <w:color w:val="000000" w:themeColor="text1"/>
          <w:sz w:val="16"/>
          <w:szCs w:val="16"/>
        </w:rPr>
        <w:t xml:space="preserve"> </w:t>
      </w:r>
      <w:proofErr w:type="gramStart"/>
      <w:r w:rsidRPr="00625080">
        <w:rPr>
          <w:rFonts w:asciiTheme="majorHAnsi" w:hAnsiTheme="majorHAnsi"/>
          <w:color w:val="000000" w:themeColor="text1"/>
          <w:sz w:val="16"/>
          <w:szCs w:val="16"/>
        </w:rPr>
        <w:t xml:space="preserve">COAG Reform Council, </w:t>
      </w:r>
      <w:r w:rsidRPr="00625080">
        <w:rPr>
          <w:rFonts w:asciiTheme="majorHAnsi" w:hAnsiTheme="majorHAnsi"/>
          <w:color w:val="000000" w:themeColor="text1"/>
          <w:sz w:val="16"/>
          <w:szCs w:val="16"/>
          <w:lang w:val="en-US"/>
        </w:rPr>
        <w:t>above note 3, p</w:t>
      </w:r>
      <w:r>
        <w:rPr>
          <w:rFonts w:asciiTheme="majorHAnsi" w:hAnsiTheme="majorHAnsi"/>
          <w:color w:val="000000" w:themeColor="text1"/>
          <w:sz w:val="16"/>
          <w:szCs w:val="16"/>
          <w:lang w:val="en-US"/>
        </w:rPr>
        <w:t xml:space="preserve"> </w:t>
      </w:r>
      <w:r w:rsidRPr="00E405CC">
        <w:rPr>
          <w:rFonts w:asciiTheme="majorHAnsi" w:hAnsiTheme="majorHAnsi"/>
          <w:color w:val="000000" w:themeColor="text1"/>
          <w:sz w:val="16"/>
          <w:szCs w:val="16"/>
          <w:lang w:val="en-US"/>
        </w:rPr>
        <w:t>19.</w:t>
      </w:r>
      <w:proofErr w:type="gramEnd"/>
    </w:p>
  </w:endnote>
  <w:endnote w:id="60">
    <w:p w14:paraId="603C80EA" w14:textId="77777777" w:rsidR="00EB2441" w:rsidRPr="00E405CC" w:rsidRDefault="00EB2441" w:rsidP="001D473E">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Australian Bureau of Statistic</w:t>
      </w:r>
      <w:r>
        <w:rPr>
          <w:rFonts w:asciiTheme="majorHAnsi" w:hAnsiTheme="majorHAnsi"/>
          <w:color w:val="000000" w:themeColor="text1"/>
          <w:sz w:val="16"/>
          <w:szCs w:val="16"/>
        </w:rPr>
        <w:t>s, above note 57.</w:t>
      </w:r>
    </w:p>
  </w:endnote>
  <w:endnote w:id="61">
    <w:p w14:paraId="0C2A774A" w14:textId="77777777" w:rsidR="00EB2441" w:rsidRPr="00E405CC" w:rsidRDefault="00EB2441" w:rsidP="001D473E">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19.</w:t>
      </w:r>
      <w:proofErr w:type="gramEnd"/>
    </w:p>
  </w:endnote>
  <w:endnote w:id="62">
    <w:p w14:paraId="542F0309" w14:textId="77777777" w:rsidR="00EB2441" w:rsidRPr="00E405CC" w:rsidRDefault="00EB2441" w:rsidP="005936C8">
      <w:pPr>
        <w:pStyle w:val="EndnoteText"/>
        <w:rPr>
          <w:rFonts w:asciiTheme="majorHAnsi" w:hAnsiTheme="majorHAnsi"/>
          <w:color w:val="000000" w:themeColor="text1"/>
          <w:sz w:val="16"/>
          <w:szCs w:val="16"/>
          <w:highlight w:val="yellow"/>
          <w:lang w:val="en-US"/>
        </w:rPr>
      </w:pPr>
      <w:r w:rsidRPr="00063055">
        <w:rPr>
          <w:rStyle w:val="EndnoteReference"/>
          <w:rFonts w:asciiTheme="majorHAnsi" w:hAnsiTheme="majorHAnsi"/>
          <w:color w:val="000000" w:themeColor="text1"/>
          <w:sz w:val="16"/>
          <w:szCs w:val="16"/>
        </w:rPr>
        <w:endnoteRef/>
      </w:r>
      <w:r w:rsidRPr="00063055">
        <w:rPr>
          <w:rFonts w:asciiTheme="majorHAnsi" w:hAnsiTheme="majorHAnsi"/>
          <w:color w:val="000000" w:themeColor="text1"/>
          <w:sz w:val="16"/>
          <w:szCs w:val="16"/>
        </w:rPr>
        <w:t xml:space="preserve"> </w:t>
      </w:r>
      <w:proofErr w:type="gramStart"/>
      <w:r w:rsidRPr="00063055">
        <w:rPr>
          <w:rFonts w:asciiTheme="majorHAnsi" w:hAnsiTheme="majorHAnsi" w:cs="Arial"/>
          <w:color w:val="000000" w:themeColor="text1"/>
          <w:sz w:val="16"/>
          <w:szCs w:val="16"/>
        </w:rPr>
        <w:t xml:space="preserve">The Cancer Council, </w:t>
      </w:r>
      <w:r w:rsidRPr="00063055">
        <w:rPr>
          <w:rFonts w:asciiTheme="majorHAnsi" w:hAnsiTheme="majorHAnsi" w:cs="Arial"/>
          <w:i/>
          <w:color w:val="000000" w:themeColor="text1"/>
          <w:sz w:val="16"/>
          <w:szCs w:val="16"/>
        </w:rPr>
        <w:t>Tobacco in Australia, facts and Issues, A comprehensive online resource.</w:t>
      </w:r>
      <w:proofErr w:type="gramEnd"/>
      <w:r w:rsidRPr="00063055">
        <w:rPr>
          <w:rFonts w:asciiTheme="majorHAnsi" w:hAnsiTheme="majorHAnsi" w:cs="Arial"/>
          <w:color w:val="000000" w:themeColor="text1"/>
          <w:sz w:val="16"/>
          <w:szCs w:val="16"/>
        </w:rPr>
        <w:t xml:space="preserve"> </w:t>
      </w:r>
      <w:proofErr w:type="gramStart"/>
      <w:r w:rsidRPr="00063055">
        <w:rPr>
          <w:rFonts w:asciiTheme="majorHAnsi" w:hAnsiTheme="majorHAnsi" w:cs="Arial"/>
          <w:color w:val="000000" w:themeColor="text1"/>
          <w:sz w:val="16"/>
          <w:szCs w:val="16"/>
        </w:rPr>
        <w:t xml:space="preserve">URL </w:t>
      </w:r>
      <w:hyperlink r:id="rId14" w:history="1">
        <w:r w:rsidRPr="00063055">
          <w:rPr>
            <w:rStyle w:val="Hyperlink"/>
            <w:rFonts w:asciiTheme="majorHAnsi" w:hAnsiTheme="majorHAnsi" w:cs="Arial"/>
            <w:sz w:val="16"/>
            <w:szCs w:val="16"/>
          </w:rPr>
          <w:t>http://www.tobaccoinaustralia.org.au/introduction</w:t>
        </w:r>
      </w:hyperlink>
      <w:r w:rsidRPr="00063055">
        <w:rPr>
          <w:rFonts w:asciiTheme="majorHAnsi" w:hAnsiTheme="majorHAnsi" w:cs="Arial"/>
          <w:color w:val="000000" w:themeColor="text1"/>
          <w:sz w:val="16"/>
          <w:szCs w:val="16"/>
        </w:rPr>
        <w:t>.</w:t>
      </w:r>
      <w:proofErr w:type="gramEnd"/>
    </w:p>
  </w:endnote>
  <w:endnote w:id="63">
    <w:p w14:paraId="2A94501B" w14:textId="77777777" w:rsidR="00EB2441" w:rsidRPr="00063055" w:rsidRDefault="00EB2441" w:rsidP="005936C8">
      <w:pPr>
        <w:pStyle w:val="EndnoteText"/>
        <w:rPr>
          <w:rFonts w:asciiTheme="majorHAnsi" w:hAnsiTheme="majorHAnsi"/>
          <w:color w:val="000000" w:themeColor="text1"/>
          <w:sz w:val="16"/>
          <w:szCs w:val="16"/>
          <w:lang w:val="en-US"/>
        </w:rPr>
      </w:pPr>
      <w:r w:rsidRPr="00063055">
        <w:rPr>
          <w:rStyle w:val="EndnoteReference"/>
          <w:rFonts w:asciiTheme="majorHAnsi" w:hAnsiTheme="majorHAnsi"/>
          <w:color w:val="000000" w:themeColor="text1"/>
          <w:sz w:val="16"/>
          <w:szCs w:val="16"/>
        </w:rPr>
        <w:endnoteRef/>
      </w:r>
      <w:r w:rsidRPr="00063055">
        <w:rPr>
          <w:rFonts w:asciiTheme="majorHAnsi" w:hAnsiTheme="majorHAnsi"/>
          <w:color w:val="000000" w:themeColor="text1"/>
          <w:sz w:val="16"/>
          <w:szCs w:val="16"/>
        </w:rPr>
        <w:t xml:space="preserve"> </w:t>
      </w:r>
      <w:r w:rsidRPr="003953B6">
        <w:rPr>
          <w:rFonts w:asciiTheme="majorHAnsi" w:hAnsiTheme="majorHAnsi" w:cs="Arial"/>
          <w:color w:val="000000" w:themeColor="text1"/>
          <w:sz w:val="16"/>
          <w:szCs w:val="16"/>
          <w:lang w:val="en-US"/>
        </w:rPr>
        <w:t>The Cancer Council</w:t>
      </w:r>
      <w:r>
        <w:rPr>
          <w:rFonts w:asciiTheme="majorHAnsi" w:hAnsiTheme="majorHAnsi" w:cs="Arial"/>
          <w:color w:val="000000" w:themeColor="text1"/>
          <w:sz w:val="16"/>
          <w:szCs w:val="16"/>
          <w:lang w:val="en-US"/>
        </w:rPr>
        <w:t>, above note 62</w:t>
      </w:r>
      <w:r w:rsidRPr="00063055">
        <w:rPr>
          <w:rFonts w:asciiTheme="majorHAnsi" w:hAnsiTheme="majorHAnsi" w:cs="Arial"/>
          <w:color w:val="000000" w:themeColor="text1"/>
          <w:sz w:val="16"/>
          <w:szCs w:val="16"/>
        </w:rPr>
        <w:t xml:space="preserve">. </w:t>
      </w:r>
    </w:p>
  </w:endnote>
  <w:endnote w:id="64">
    <w:p w14:paraId="16D1DB80" w14:textId="77777777" w:rsidR="00EB2441" w:rsidRPr="00063055" w:rsidRDefault="00EB2441" w:rsidP="005936C8">
      <w:pPr>
        <w:pStyle w:val="EndnoteText"/>
        <w:rPr>
          <w:rFonts w:asciiTheme="majorHAnsi" w:hAnsiTheme="majorHAnsi"/>
          <w:color w:val="000000" w:themeColor="text1"/>
          <w:sz w:val="16"/>
          <w:szCs w:val="16"/>
          <w:lang w:val="en-US"/>
        </w:rPr>
      </w:pPr>
      <w:r w:rsidRPr="00063055">
        <w:rPr>
          <w:rStyle w:val="EndnoteReference"/>
          <w:rFonts w:asciiTheme="majorHAnsi" w:hAnsiTheme="majorHAnsi"/>
          <w:color w:val="000000" w:themeColor="text1"/>
          <w:sz w:val="16"/>
          <w:szCs w:val="16"/>
        </w:rPr>
        <w:endnoteRef/>
      </w:r>
      <w:r w:rsidRPr="00063055">
        <w:rPr>
          <w:rFonts w:asciiTheme="majorHAnsi" w:hAnsiTheme="majorHAnsi"/>
          <w:color w:val="000000" w:themeColor="text1"/>
          <w:sz w:val="16"/>
          <w:szCs w:val="16"/>
        </w:rPr>
        <w:t xml:space="preserve"> </w:t>
      </w:r>
      <w:r w:rsidRPr="003953B6">
        <w:rPr>
          <w:rFonts w:asciiTheme="majorHAnsi" w:hAnsiTheme="majorHAnsi" w:cs="Arial"/>
          <w:color w:val="000000" w:themeColor="text1"/>
          <w:sz w:val="16"/>
          <w:szCs w:val="16"/>
          <w:lang w:val="en-US"/>
        </w:rPr>
        <w:t>The Cancer Council, above note 62.</w:t>
      </w:r>
    </w:p>
  </w:endnote>
  <w:endnote w:id="65">
    <w:p w14:paraId="0BDE801D" w14:textId="77777777" w:rsidR="00EB2441" w:rsidRPr="00063055" w:rsidRDefault="00EB2441" w:rsidP="005936C8">
      <w:pPr>
        <w:pStyle w:val="EndnoteText"/>
        <w:rPr>
          <w:rFonts w:asciiTheme="majorHAnsi" w:hAnsiTheme="majorHAnsi"/>
          <w:color w:val="000000" w:themeColor="text1"/>
          <w:sz w:val="16"/>
          <w:szCs w:val="16"/>
          <w:lang w:val="en-US"/>
        </w:rPr>
      </w:pPr>
      <w:r w:rsidRPr="00063055">
        <w:rPr>
          <w:rStyle w:val="EndnoteReference"/>
          <w:rFonts w:asciiTheme="majorHAnsi" w:hAnsiTheme="majorHAnsi"/>
          <w:color w:val="000000" w:themeColor="text1"/>
          <w:sz w:val="16"/>
          <w:szCs w:val="16"/>
        </w:rPr>
        <w:endnoteRef/>
      </w:r>
      <w:r w:rsidRPr="00063055">
        <w:rPr>
          <w:rFonts w:asciiTheme="majorHAnsi" w:hAnsiTheme="majorHAnsi"/>
          <w:color w:val="000000" w:themeColor="text1"/>
          <w:sz w:val="16"/>
          <w:szCs w:val="16"/>
        </w:rPr>
        <w:t xml:space="preserve"> </w:t>
      </w:r>
      <w:r w:rsidRPr="003953B6">
        <w:rPr>
          <w:rFonts w:asciiTheme="majorHAnsi" w:hAnsiTheme="majorHAnsi" w:cs="Arial"/>
          <w:color w:val="000000" w:themeColor="text1"/>
          <w:sz w:val="16"/>
          <w:szCs w:val="16"/>
          <w:lang w:val="en-US"/>
        </w:rPr>
        <w:t>The Cancer Council, above note 62.</w:t>
      </w:r>
    </w:p>
  </w:endnote>
  <w:endnote w:id="66">
    <w:p w14:paraId="71E59E5E" w14:textId="77777777" w:rsidR="00EB2441" w:rsidRPr="00E405CC" w:rsidRDefault="00EB2441" w:rsidP="005936C8">
      <w:pPr>
        <w:pStyle w:val="EndnoteText"/>
        <w:rPr>
          <w:rFonts w:asciiTheme="majorHAnsi" w:hAnsiTheme="majorHAnsi" w:cs="Arial"/>
          <w:color w:val="000000" w:themeColor="text1"/>
          <w:sz w:val="16"/>
          <w:szCs w:val="16"/>
          <w:highlight w:val="yellow"/>
        </w:rPr>
      </w:pPr>
      <w:r w:rsidRPr="00063055">
        <w:rPr>
          <w:rStyle w:val="EndnoteReference"/>
          <w:rFonts w:asciiTheme="majorHAnsi" w:hAnsiTheme="majorHAnsi"/>
          <w:color w:val="000000" w:themeColor="text1"/>
          <w:sz w:val="16"/>
          <w:szCs w:val="16"/>
        </w:rPr>
        <w:endnoteRef/>
      </w:r>
      <w:r w:rsidRPr="00063055">
        <w:rPr>
          <w:rFonts w:asciiTheme="majorHAnsi" w:hAnsiTheme="majorHAnsi"/>
          <w:color w:val="000000" w:themeColor="text1"/>
          <w:sz w:val="16"/>
          <w:szCs w:val="16"/>
        </w:rPr>
        <w:t xml:space="preserve"> </w:t>
      </w:r>
      <w:r w:rsidRPr="003953B6">
        <w:rPr>
          <w:rFonts w:asciiTheme="majorHAnsi" w:hAnsiTheme="majorHAnsi" w:cs="Arial"/>
          <w:color w:val="000000" w:themeColor="text1"/>
          <w:sz w:val="16"/>
          <w:szCs w:val="16"/>
          <w:lang w:val="en-US"/>
        </w:rPr>
        <w:t>The Cancer Council, above note 62.</w:t>
      </w:r>
    </w:p>
  </w:endnote>
  <w:endnote w:id="67">
    <w:p w14:paraId="10F96114"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13.</w:t>
      </w:r>
      <w:proofErr w:type="gramEnd"/>
    </w:p>
  </w:endnote>
  <w:endnote w:id="68">
    <w:p w14:paraId="4A0E0984"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xml:space="preserve">, </w:t>
      </w:r>
      <w:r w:rsidRPr="00E405CC">
        <w:rPr>
          <w:rFonts w:asciiTheme="majorHAnsi" w:hAnsiTheme="majorHAnsi"/>
          <w:color w:val="000000" w:themeColor="text1"/>
          <w:sz w:val="16"/>
          <w:szCs w:val="16"/>
        </w:rPr>
        <w:t>p 28.</w:t>
      </w:r>
      <w:proofErr w:type="gramEnd"/>
    </w:p>
  </w:endnote>
  <w:endnote w:id="69">
    <w:p w14:paraId="178FF136"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12.</w:t>
      </w:r>
      <w:proofErr w:type="gramEnd"/>
    </w:p>
  </w:endnote>
  <w:endnote w:id="70">
    <w:p w14:paraId="08255972"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29.</w:t>
      </w:r>
      <w:proofErr w:type="gramEnd"/>
    </w:p>
  </w:endnote>
  <w:endnote w:id="71">
    <w:p w14:paraId="1BE52011"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xml:space="preserve">, </w:t>
      </w:r>
      <w:r w:rsidRPr="00E405CC">
        <w:rPr>
          <w:rFonts w:asciiTheme="majorHAnsi" w:hAnsiTheme="majorHAnsi"/>
          <w:color w:val="000000" w:themeColor="text1"/>
          <w:sz w:val="16"/>
          <w:szCs w:val="16"/>
        </w:rPr>
        <w:t>p 28.</w:t>
      </w:r>
      <w:proofErr w:type="gramEnd"/>
    </w:p>
  </w:endnote>
  <w:endnote w:id="72">
    <w:p w14:paraId="400BE1C0"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xml:space="preserve">, </w:t>
      </w:r>
      <w:r w:rsidRPr="00E405CC">
        <w:rPr>
          <w:rFonts w:asciiTheme="majorHAnsi" w:hAnsiTheme="majorHAnsi"/>
          <w:color w:val="000000" w:themeColor="text1"/>
          <w:sz w:val="16"/>
          <w:szCs w:val="16"/>
        </w:rPr>
        <w:t>p 28.</w:t>
      </w:r>
      <w:proofErr w:type="gramEnd"/>
    </w:p>
  </w:endnote>
  <w:endnote w:id="73">
    <w:p w14:paraId="22E057B9"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xml:space="preserve">, </w:t>
      </w:r>
      <w:r w:rsidRPr="00E405CC">
        <w:rPr>
          <w:rFonts w:asciiTheme="majorHAnsi" w:hAnsiTheme="majorHAnsi"/>
          <w:color w:val="000000" w:themeColor="text1"/>
          <w:sz w:val="16"/>
          <w:szCs w:val="16"/>
        </w:rPr>
        <w:t>p 28.</w:t>
      </w:r>
      <w:proofErr w:type="gramEnd"/>
    </w:p>
  </w:endnote>
  <w:endnote w:id="74">
    <w:p w14:paraId="139206F0"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25.</w:t>
      </w:r>
      <w:proofErr w:type="gramEnd"/>
    </w:p>
  </w:endnote>
  <w:endnote w:id="75">
    <w:p w14:paraId="6420D78A"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24.</w:t>
      </w:r>
      <w:proofErr w:type="gramEnd"/>
    </w:p>
  </w:endnote>
  <w:endnote w:id="76">
    <w:p w14:paraId="5AF9A55E"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COAG Reform Council, above note 3</w:t>
      </w:r>
      <w:r w:rsidRPr="00E405CC">
        <w:rPr>
          <w:rFonts w:asciiTheme="majorHAnsi" w:hAnsiTheme="majorHAnsi"/>
          <w:color w:val="000000" w:themeColor="text1"/>
          <w:sz w:val="16"/>
          <w:szCs w:val="16"/>
          <w:lang w:val="en-US"/>
        </w:rPr>
        <w:t>, p.24.</w:t>
      </w:r>
    </w:p>
  </w:endnote>
  <w:endnote w:id="77">
    <w:p w14:paraId="3649F7FE"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COAG Reform Council, above note 3</w:t>
      </w:r>
      <w:r w:rsidRPr="00E405CC">
        <w:rPr>
          <w:rFonts w:asciiTheme="majorHAnsi" w:hAnsiTheme="majorHAnsi"/>
          <w:color w:val="000000" w:themeColor="text1"/>
          <w:sz w:val="16"/>
          <w:szCs w:val="16"/>
          <w:lang w:val="en-US"/>
        </w:rPr>
        <w:t>, p.24.</w:t>
      </w:r>
    </w:p>
  </w:endnote>
  <w:endnote w:id="78">
    <w:p w14:paraId="4EBB93E1"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24.</w:t>
      </w:r>
      <w:proofErr w:type="gramEnd"/>
    </w:p>
  </w:endnote>
  <w:endnote w:id="79">
    <w:p w14:paraId="0D24F8F5"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24.</w:t>
      </w:r>
      <w:proofErr w:type="gramEnd"/>
    </w:p>
  </w:endnote>
  <w:endnote w:id="80">
    <w:p w14:paraId="5E6F76CA"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24.</w:t>
      </w:r>
      <w:proofErr w:type="gramEnd"/>
    </w:p>
  </w:endnote>
  <w:endnote w:id="81">
    <w:p w14:paraId="752D0E87"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24.</w:t>
      </w:r>
      <w:proofErr w:type="gramEnd"/>
    </w:p>
  </w:endnote>
  <w:endnote w:id="82">
    <w:p w14:paraId="5C934781"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27.</w:t>
      </w:r>
      <w:proofErr w:type="gramEnd"/>
    </w:p>
  </w:endnote>
  <w:endnote w:id="83">
    <w:p w14:paraId="192B0073"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26.</w:t>
      </w:r>
      <w:proofErr w:type="gramEnd"/>
    </w:p>
  </w:endnote>
  <w:endnote w:id="84">
    <w:p w14:paraId="21BCF46D"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26.</w:t>
      </w:r>
      <w:proofErr w:type="gramEnd"/>
    </w:p>
  </w:endnote>
  <w:endnote w:id="85">
    <w:p w14:paraId="68F9B95C" w14:textId="77777777" w:rsidR="00EB2441" w:rsidRPr="00E405CC" w:rsidRDefault="00EB2441">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26.</w:t>
      </w:r>
      <w:proofErr w:type="gramEnd"/>
    </w:p>
  </w:endnote>
  <w:endnote w:id="86">
    <w:p w14:paraId="4F48EE5D" w14:textId="77777777" w:rsidR="00EB2441" w:rsidRPr="00E405CC" w:rsidRDefault="00EB2441" w:rsidP="009E1456">
      <w:pPr>
        <w:pStyle w:val="NormalWeb"/>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eastAsia="Times New Roman" w:hAnsiTheme="majorHAnsi"/>
          <w:color w:val="000000" w:themeColor="text1"/>
          <w:sz w:val="16"/>
          <w:szCs w:val="16"/>
          <w:lang w:val="en-AU" w:eastAsia="en-AU"/>
        </w:rPr>
        <w:t xml:space="preserve">Steering Committee for the Review of Government Service Provision, above note 4, </w:t>
      </w:r>
      <w:r w:rsidRPr="00E405CC">
        <w:rPr>
          <w:rFonts w:asciiTheme="majorHAnsi" w:hAnsiTheme="majorHAnsi"/>
          <w:sz w:val="16"/>
          <w:szCs w:val="16"/>
        </w:rPr>
        <w:t>p 11.7.</w:t>
      </w:r>
      <w:proofErr w:type="gramEnd"/>
    </w:p>
  </w:endnote>
  <w:endnote w:id="87">
    <w:p w14:paraId="3BED4DDC"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rPr>
        <w:t>Steering Committee for the Review of Government Service Provision, above note 4,</w:t>
      </w:r>
      <w:r w:rsidRPr="00E405CC">
        <w:rPr>
          <w:rFonts w:asciiTheme="majorHAnsi" w:hAnsiTheme="majorHAnsi"/>
          <w:sz w:val="16"/>
          <w:szCs w:val="16"/>
          <w:lang w:val="en-US"/>
        </w:rPr>
        <w:t xml:space="preserve"> p.11.7.</w:t>
      </w:r>
      <w:proofErr w:type="gramEnd"/>
    </w:p>
  </w:endnote>
  <w:endnote w:id="88">
    <w:p w14:paraId="19D0D63A" w14:textId="4750EBCE"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See </w:t>
      </w:r>
      <w:r w:rsidRPr="00E405CC">
        <w:rPr>
          <w:rFonts w:asciiTheme="majorHAnsi" w:hAnsiTheme="majorHAnsi"/>
          <w:color w:val="000000" w:themeColor="text1"/>
          <w:sz w:val="16"/>
          <w:szCs w:val="16"/>
        </w:rPr>
        <w:t>Steering Committee for the Review of Government Se</w:t>
      </w:r>
      <w:r>
        <w:rPr>
          <w:rFonts w:asciiTheme="majorHAnsi" w:hAnsiTheme="majorHAnsi"/>
          <w:color w:val="000000" w:themeColor="text1"/>
          <w:sz w:val="16"/>
          <w:szCs w:val="16"/>
        </w:rPr>
        <w:t>rvice Provision, above note 4, C</w:t>
      </w:r>
      <w:r w:rsidRPr="00E405CC">
        <w:rPr>
          <w:rFonts w:asciiTheme="majorHAnsi" w:hAnsiTheme="majorHAnsi"/>
          <w:color w:val="000000" w:themeColor="text1"/>
          <w:sz w:val="16"/>
          <w:szCs w:val="16"/>
        </w:rPr>
        <w:t>hapter 11.</w:t>
      </w:r>
    </w:p>
  </w:endnote>
  <w:endnote w:id="89">
    <w:p w14:paraId="7BB738B9"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rPr>
        <w:t xml:space="preserve">Steering Committee for the Review of Government Service Provision, above note 4, p </w:t>
      </w:r>
      <w:r w:rsidRPr="00E405CC">
        <w:rPr>
          <w:rFonts w:asciiTheme="majorHAnsi" w:hAnsiTheme="majorHAnsi"/>
          <w:sz w:val="16"/>
          <w:szCs w:val="16"/>
        </w:rPr>
        <w:t>11.8.</w:t>
      </w:r>
      <w:proofErr w:type="gramEnd"/>
    </w:p>
  </w:endnote>
  <w:endnote w:id="90">
    <w:p w14:paraId="3F080040"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rPr>
        <w:t xml:space="preserve">Steering Committee for the Review of Government Service Provision, above note 4, p </w:t>
      </w:r>
      <w:r w:rsidRPr="00E405CC">
        <w:rPr>
          <w:rFonts w:asciiTheme="majorHAnsi" w:hAnsiTheme="majorHAnsi"/>
          <w:sz w:val="16"/>
          <w:szCs w:val="16"/>
        </w:rPr>
        <w:t>11.8.</w:t>
      </w:r>
      <w:proofErr w:type="gramEnd"/>
    </w:p>
  </w:endnote>
  <w:endnote w:id="91">
    <w:p w14:paraId="30FE7895" w14:textId="77777777" w:rsidR="00EB2441" w:rsidRPr="00E405CC" w:rsidRDefault="00EB2441">
      <w:pPr>
        <w:pStyle w:val="EndnoteText"/>
        <w:rPr>
          <w:rFonts w:asciiTheme="majorHAnsi" w:hAnsiTheme="majorHAnsi" w:cstheme="majorHAnsi"/>
          <w:sz w:val="16"/>
          <w:szCs w:val="16"/>
          <w:lang w:val="en-US"/>
        </w:rPr>
      </w:pPr>
      <w:r w:rsidRPr="00E405CC">
        <w:rPr>
          <w:rStyle w:val="EndnoteReference"/>
          <w:rFonts w:asciiTheme="majorHAnsi" w:hAnsiTheme="majorHAnsi" w:cstheme="majorHAnsi"/>
          <w:sz w:val="16"/>
          <w:szCs w:val="16"/>
        </w:rPr>
        <w:endnoteRef/>
      </w:r>
      <w:r w:rsidRPr="00E405CC">
        <w:rPr>
          <w:rFonts w:asciiTheme="majorHAnsi" w:hAnsiTheme="majorHAnsi" w:cstheme="majorHAnsi"/>
          <w:sz w:val="16"/>
          <w:szCs w:val="16"/>
        </w:rPr>
        <w:t xml:space="preserve"> </w:t>
      </w:r>
      <w:proofErr w:type="gramStart"/>
      <w:r w:rsidRPr="00E405CC">
        <w:rPr>
          <w:rFonts w:asciiTheme="majorHAnsi" w:hAnsiTheme="majorHAnsi" w:cstheme="majorHAnsi"/>
          <w:color w:val="000000" w:themeColor="text1"/>
          <w:sz w:val="16"/>
          <w:szCs w:val="16"/>
        </w:rPr>
        <w:t xml:space="preserve">Steering Committee for the Review of Government Service Provision, </w:t>
      </w:r>
      <w:r w:rsidRPr="00E405CC">
        <w:rPr>
          <w:rFonts w:asciiTheme="majorHAnsi" w:hAnsiTheme="majorHAnsi"/>
          <w:color w:val="000000" w:themeColor="text1"/>
          <w:sz w:val="16"/>
          <w:szCs w:val="16"/>
        </w:rPr>
        <w:t>above note 4,</w:t>
      </w:r>
      <w:r w:rsidRPr="00E405CC">
        <w:rPr>
          <w:rFonts w:asciiTheme="majorHAnsi" w:hAnsiTheme="majorHAnsi" w:cstheme="majorHAnsi"/>
          <w:color w:val="000000" w:themeColor="text1"/>
          <w:sz w:val="16"/>
          <w:szCs w:val="16"/>
        </w:rPr>
        <w:t xml:space="preserve"> p </w:t>
      </w:r>
      <w:r w:rsidRPr="00E405CC">
        <w:rPr>
          <w:rFonts w:asciiTheme="majorHAnsi" w:hAnsiTheme="majorHAnsi" w:cstheme="majorHAnsi"/>
          <w:sz w:val="16"/>
          <w:szCs w:val="16"/>
        </w:rPr>
        <w:t>6.13.</w:t>
      </w:r>
      <w:proofErr w:type="gramEnd"/>
    </w:p>
  </w:endnote>
  <w:endnote w:id="92">
    <w:p w14:paraId="2D64C419" w14:textId="77777777" w:rsidR="00EB2441" w:rsidRPr="00E405CC" w:rsidRDefault="00EB2441">
      <w:pPr>
        <w:pStyle w:val="EndnoteText"/>
        <w:rPr>
          <w:rFonts w:asciiTheme="majorHAnsi" w:hAnsiTheme="majorHAnsi" w:cstheme="majorHAnsi"/>
          <w:sz w:val="16"/>
          <w:szCs w:val="16"/>
          <w:lang w:val="en-US"/>
        </w:rPr>
      </w:pPr>
      <w:r w:rsidRPr="00E405CC">
        <w:rPr>
          <w:rStyle w:val="EndnoteReference"/>
          <w:rFonts w:asciiTheme="majorHAnsi" w:hAnsiTheme="majorHAnsi" w:cstheme="majorHAnsi"/>
          <w:sz w:val="16"/>
          <w:szCs w:val="16"/>
        </w:rPr>
        <w:endnoteRef/>
      </w:r>
      <w:r w:rsidRPr="00E405CC">
        <w:rPr>
          <w:rFonts w:asciiTheme="majorHAnsi" w:hAnsiTheme="majorHAnsi" w:cstheme="majorHAnsi"/>
          <w:sz w:val="16"/>
          <w:szCs w:val="16"/>
        </w:rPr>
        <w:t xml:space="preserve"> </w:t>
      </w:r>
      <w:proofErr w:type="gramStart"/>
      <w:r w:rsidRPr="00E405CC">
        <w:rPr>
          <w:rFonts w:asciiTheme="majorHAnsi" w:hAnsiTheme="majorHAnsi" w:cstheme="majorHAnsi"/>
          <w:color w:val="000000" w:themeColor="text1"/>
          <w:sz w:val="16"/>
          <w:szCs w:val="16"/>
        </w:rPr>
        <w:t xml:space="preserve">Steering Committee for the Review of Government Service Provision, </w:t>
      </w:r>
      <w:r w:rsidRPr="00E405CC">
        <w:rPr>
          <w:rFonts w:asciiTheme="majorHAnsi" w:hAnsiTheme="majorHAnsi"/>
          <w:color w:val="000000" w:themeColor="text1"/>
          <w:sz w:val="16"/>
          <w:szCs w:val="16"/>
        </w:rPr>
        <w:t xml:space="preserve">above note 4, </w:t>
      </w:r>
      <w:proofErr w:type="spellStart"/>
      <w:r w:rsidRPr="00E405CC">
        <w:rPr>
          <w:rFonts w:asciiTheme="majorHAnsi" w:hAnsiTheme="majorHAnsi" w:cstheme="majorHAnsi"/>
          <w:color w:val="000000" w:themeColor="text1"/>
          <w:sz w:val="16"/>
          <w:szCs w:val="16"/>
        </w:rPr>
        <w:t>pp</w:t>
      </w:r>
      <w:proofErr w:type="spellEnd"/>
      <w:r w:rsidRPr="00E405CC">
        <w:rPr>
          <w:rFonts w:asciiTheme="majorHAnsi" w:hAnsiTheme="majorHAnsi" w:cstheme="majorHAnsi"/>
          <w:color w:val="000000" w:themeColor="text1"/>
          <w:sz w:val="16"/>
          <w:szCs w:val="16"/>
        </w:rPr>
        <w:t xml:space="preserve"> 4.88, 4.90.</w:t>
      </w:r>
      <w:proofErr w:type="gramEnd"/>
    </w:p>
  </w:endnote>
  <w:endnote w:id="93">
    <w:p w14:paraId="0DC3B001" w14:textId="77777777" w:rsidR="00EB2441" w:rsidRPr="00063055" w:rsidRDefault="00EB2441" w:rsidP="001E149E">
      <w:pPr>
        <w:pStyle w:val="EndnoteText"/>
        <w:rPr>
          <w:rFonts w:asciiTheme="majorHAnsi" w:hAnsiTheme="majorHAnsi" w:cs="Arial"/>
          <w:color w:val="000000" w:themeColor="text1"/>
          <w:sz w:val="16"/>
          <w:szCs w:val="16"/>
        </w:rPr>
      </w:pPr>
      <w:r w:rsidRPr="00063055">
        <w:rPr>
          <w:rFonts w:asciiTheme="majorHAnsi" w:hAnsiTheme="majorHAnsi" w:cs="Arial"/>
          <w:color w:val="000000" w:themeColor="text1"/>
          <w:sz w:val="16"/>
          <w:szCs w:val="16"/>
          <w:vertAlign w:val="superscript"/>
        </w:rPr>
        <w:endnoteRef/>
      </w:r>
      <w:r w:rsidRPr="00063055">
        <w:rPr>
          <w:rFonts w:asciiTheme="majorHAnsi" w:hAnsiTheme="majorHAnsi" w:cs="Arial"/>
          <w:color w:val="000000" w:themeColor="text1"/>
          <w:sz w:val="16"/>
          <w:szCs w:val="16"/>
          <w:vertAlign w:val="superscript"/>
        </w:rPr>
        <w:t xml:space="preserve"> </w:t>
      </w:r>
      <w:r w:rsidRPr="00063055">
        <w:rPr>
          <w:rFonts w:asciiTheme="majorHAnsi" w:hAnsiTheme="majorHAnsi" w:cs="Arial"/>
          <w:color w:val="000000" w:themeColor="text1"/>
          <w:sz w:val="16"/>
          <w:szCs w:val="16"/>
        </w:rPr>
        <w:t xml:space="preserve">National Aboriginal and Torres Strait Islander Peoples’ Drug Strategy Working Group, </w:t>
      </w:r>
      <w:r w:rsidRPr="00063055">
        <w:rPr>
          <w:rFonts w:asciiTheme="majorHAnsi" w:hAnsiTheme="majorHAnsi" w:cs="Arial"/>
          <w:i/>
          <w:color w:val="000000" w:themeColor="text1"/>
          <w:sz w:val="16"/>
          <w:szCs w:val="16"/>
        </w:rPr>
        <w:t>A Background Paper to inform the development of the National Aboriginal and Torres Strait Islander Peoples’ Drug Strategy 2013 – 2018</w:t>
      </w:r>
      <w:r w:rsidRPr="00063055">
        <w:rPr>
          <w:rFonts w:asciiTheme="majorHAnsi" w:hAnsiTheme="majorHAnsi" w:cs="Arial"/>
          <w:color w:val="000000" w:themeColor="text1"/>
          <w:sz w:val="16"/>
          <w:szCs w:val="16"/>
        </w:rPr>
        <w:t xml:space="preserve">, 2013. </w:t>
      </w:r>
      <w:proofErr w:type="gramStart"/>
      <w:r w:rsidRPr="00063055">
        <w:rPr>
          <w:rFonts w:asciiTheme="majorHAnsi" w:hAnsiTheme="majorHAnsi" w:cs="Arial"/>
          <w:color w:val="000000" w:themeColor="text1"/>
          <w:sz w:val="16"/>
          <w:szCs w:val="16"/>
        </w:rPr>
        <w:t xml:space="preserve">URL </w:t>
      </w:r>
      <w:hyperlink r:id="rId15" w:history="1">
        <w:r w:rsidRPr="005656A6">
          <w:rPr>
            <w:rStyle w:val="Hyperlink"/>
            <w:rFonts w:asciiTheme="majorHAnsi" w:hAnsiTheme="majorHAnsi" w:cs="Arial"/>
            <w:sz w:val="16"/>
            <w:szCs w:val="16"/>
          </w:rPr>
          <w:t>http://www.nidac.org.au/images/PDFs/activities/AttorneyGeneralsDept.pdf</w:t>
        </w:r>
      </w:hyperlink>
      <w:r>
        <w:rPr>
          <w:rFonts w:asciiTheme="majorHAnsi" w:hAnsiTheme="majorHAnsi" w:cs="Arial"/>
          <w:color w:val="000000" w:themeColor="text1"/>
          <w:sz w:val="16"/>
          <w:szCs w:val="16"/>
        </w:rPr>
        <w:t>.</w:t>
      </w:r>
      <w:proofErr w:type="gramEnd"/>
      <w:r>
        <w:rPr>
          <w:rFonts w:asciiTheme="majorHAnsi" w:hAnsiTheme="majorHAnsi" w:cs="Arial"/>
          <w:color w:val="000000" w:themeColor="text1"/>
          <w:sz w:val="16"/>
          <w:szCs w:val="16"/>
        </w:rPr>
        <w:t xml:space="preserve"> </w:t>
      </w:r>
    </w:p>
  </w:endnote>
  <w:endnote w:id="94">
    <w:p w14:paraId="2743BD54" w14:textId="77777777" w:rsidR="00EB2441" w:rsidRPr="00E405CC" w:rsidRDefault="00EB2441" w:rsidP="001E149E">
      <w:pPr>
        <w:pStyle w:val="EndnoteText"/>
        <w:rPr>
          <w:rFonts w:asciiTheme="majorHAnsi" w:hAnsiTheme="majorHAnsi" w:cs="Arial"/>
          <w:color w:val="000000" w:themeColor="text1"/>
          <w:sz w:val="16"/>
          <w:szCs w:val="16"/>
        </w:rPr>
      </w:pPr>
      <w:r w:rsidRPr="00063055">
        <w:rPr>
          <w:rFonts w:asciiTheme="majorHAnsi" w:hAnsiTheme="majorHAnsi" w:cs="Arial"/>
          <w:color w:val="000000" w:themeColor="text1"/>
          <w:sz w:val="16"/>
          <w:szCs w:val="16"/>
          <w:vertAlign w:val="superscript"/>
        </w:rPr>
        <w:endnoteRef/>
      </w:r>
      <w:r w:rsidRPr="00063055">
        <w:rPr>
          <w:rFonts w:asciiTheme="majorHAnsi" w:hAnsiTheme="majorHAnsi" w:cs="Arial"/>
          <w:color w:val="000000" w:themeColor="text1"/>
          <w:sz w:val="16"/>
          <w:szCs w:val="16"/>
        </w:rPr>
        <w:t xml:space="preserve"> See: Raven M, </w:t>
      </w:r>
      <w:proofErr w:type="spellStart"/>
      <w:r w:rsidRPr="00063055">
        <w:rPr>
          <w:rFonts w:asciiTheme="majorHAnsi" w:hAnsiTheme="majorHAnsi" w:cs="Arial"/>
          <w:color w:val="000000" w:themeColor="text1"/>
          <w:sz w:val="16"/>
          <w:szCs w:val="16"/>
        </w:rPr>
        <w:t>Hovan</w:t>
      </w:r>
      <w:proofErr w:type="spellEnd"/>
      <w:r w:rsidRPr="00063055">
        <w:rPr>
          <w:rFonts w:asciiTheme="majorHAnsi" w:hAnsiTheme="majorHAnsi" w:cs="Arial"/>
          <w:color w:val="000000" w:themeColor="text1"/>
          <w:sz w:val="16"/>
          <w:szCs w:val="16"/>
        </w:rPr>
        <w:t xml:space="preserve"> V, Kamara M, Katz I, </w:t>
      </w:r>
      <w:proofErr w:type="spellStart"/>
      <w:r w:rsidRPr="00063055">
        <w:rPr>
          <w:rFonts w:asciiTheme="majorHAnsi" w:hAnsiTheme="majorHAnsi" w:cs="Arial"/>
          <w:color w:val="000000" w:themeColor="text1"/>
          <w:sz w:val="16"/>
          <w:szCs w:val="16"/>
        </w:rPr>
        <w:t>Gorring</w:t>
      </w:r>
      <w:proofErr w:type="spellEnd"/>
      <w:r w:rsidRPr="00063055">
        <w:rPr>
          <w:rFonts w:asciiTheme="majorHAnsi" w:hAnsiTheme="majorHAnsi" w:cs="Arial"/>
          <w:color w:val="000000" w:themeColor="text1"/>
          <w:sz w:val="16"/>
          <w:szCs w:val="16"/>
        </w:rPr>
        <w:t xml:space="preserve"> B, Kinnane S and Griffiths A, </w:t>
      </w:r>
      <w:r w:rsidRPr="00063055">
        <w:rPr>
          <w:rFonts w:asciiTheme="majorHAnsi" w:hAnsiTheme="majorHAnsi" w:cs="Arial"/>
          <w:i/>
          <w:color w:val="000000" w:themeColor="text1"/>
          <w:sz w:val="16"/>
          <w:szCs w:val="16"/>
        </w:rPr>
        <w:t>Development of a renewed National Strategic Framework for Aboriginal and Torres Strait Islander Peoples’ Mental Health and Social Emotional Wellbeing (2004-2009)</w:t>
      </w:r>
      <w:r w:rsidRPr="00063055">
        <w:rPr>
          <w:rFonts w:asciiTheme="majorHAnsi" w:hAnsiTheme="majorHAnsi" w:cs="Arial"/>
          <w:color w:val="000000" w:themeColor="text1"/>
          <w:sz w:val="16"/>
          <w:szCs w:val="16"/>
        </w:rPr>
        <w:t xml:space="preserve">, 2013; Council of Australian Governments, </w:t>
      </w:r>
      <w:r w:rsidRPr="00063055">
        <w:rPr>
          <w:rFonts w:asciiTheme="majorHAnsi" w:hAnsiTheme="majorHAnsi" w:cs="Arial"/>
          <w:i/>
          <w:color w:val="000000" w:themeColor="text1"/>
          <w:sz w:val="16"/>
          <w:szCs w:val="16"/>
        </w:rPr>
        <w:t>The Roadmap for National Mental Health Reform 2012- 22</w:t>
      </w:r>
      <w:r w:rsidRPr="00063055">
        <w:rPr>
          <w:rFonts w:asciiTheme="majorHAnsi" w:hAnsiTheme="majorHAnsi" w:cs="Arial"/>
          <w:color w:val="000000" w:themeColor="text1"/>
          <w:sz w:val="16"/>
          <w:szCs w:val="16"/>
        </w:rPr>
        <w:t>, 2012, p 18 (Targeted Strategy for Aboriginal and Torres Strait Islander People 11).</w:t>
      </w:r>
    </w:p>
  </w:endnote>
  <w:endnote w:id="95">
    <w:p w14:paraId="6CC3045F" w14:textId="77777777" w:rsidR="00EB2441" w:rsidRPr="00E405CC" w:rsidRDefault="00EB2441" w:rsidP="001E149E">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sz w:val="16"/>
          <w:szCs w:val="16"/>
          <w:lang w:val="en-US"/>
        </w:rPr>
        <w:t xml:space="preserve">Department of Health and Ageing, </w:t>
      </w:r>
      <w:r w:rsidRPr="00E405CC">
        <w:rPr>
          <w:rFonts w:asciiTheme="majorHAnsi" w:hAnsiTheme="majorHAnsi"/>
          <w:i/>
          <w:sz w:val="16"/>
          <w:szCs w:val="16"/>
          <w:lang w:val="en-US"/>
        </w:rPr>
        <w:t>National Aboriginal and Torres Strait Islander Suicide Prevention Strategy</w:t>
      </w:r>
      <w:r>
        <w:rPr>
          <w:rFonts w:asciiTheme="majorHAnsi" w:hAnsiTheme="majorHAnsi"/>
          <w:sz w:val="16"/>
          <w:szCs w:val="16"/>
          <w:lang w:val="en-US"/>
        </w:rPr>
        <w:t>,</w:t>
      </w:r>
      <w:r w:rsidRPr="00E405CC">
        <w:rPr>
          <w:rFonts w:asciiTheme="majorHAnsi" w:hAnsiTheme="majorHAnsi"/>
          <w:sz w:val="16"/>
          <w:szCs w:val="16"/>
          <w:lang w:val="en-US"/>
        </w:rPr>
        <w:t xml:space="preserve"> 2013.</w:t>
      </w:r>
      <w:proofErr w:type="gramEnd"/>
    </w:p>
  </w:endnote>
  <w:endnote w:id="96">
    <w:p w14:paraId="108BADF2" w14:textId="77777777" w:rsidR="00EB2441" w:rsidRPr="00063055" w:rsidRDefault="00EB2441" w:rsidP="001E149E">
      <w:pPr>
        <w:pStyle w:val="EndnoteText"/>
        <w:rPr>
          <w:rFonts w:asciiTheme="majorHAnsi" w:hAnsiTheme="majorHAnsi" w:cs="Arial"/>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s="Arial"/>
          <w:color w:val="000000" w:themeColor="text1"/>
          <w:sz w:val="16"/>
          <w:szCs w:val="16"/>
        </w:rPr>
        <w:t>National Aboriginal and Torres Strait Islander Peoples’ Drug Strategy Working Group</w:t>
      </w:r>
      <w:r w:rsidRPr="00063055">
        <w:rPr>
          <w:rFonts w:asciiTheme="majorHAnsi" w:hAnsiTheme="majorHAnsi" w:cs="Arial"/>
          <w:color w:val="000000" w:themeColor="text1"/>
          <w:sz w:val="16"/>
          <w:szCs w:val="16"/>
        </w:rPr>
        <w:t>, above note 93.</w:t>
      </w:r>
      <w:proofErr w:type="gramEnd"/>
    </w:p>
  </w:endnote>
  <w:endnote w:id="97">
    <w:p w14:paraId="599CD316" w14:textId="77777777" w:rsidR="00EB2441" w:rsidRPr="00E405CC" w:rsidRDefault="00EB2441" w:rsidP="001E149E">
      <w:pPr>
        <w:pStyle w:val="EndnoteText"/>
        <w:rPr>
          <w:rFonts w:asciiTheme="majorHAnsi" w:hAnsiTheme="majorHAnsi" w:cs="Arial"/>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s="Arial"/>
          <w:color w:val="000000" w:themeColor="text1"/>
          <w:sz w:val="16"/>
          <w:szCs w:val="16"/>
        </w:rPr>
        <w:t xml:space="preserve">National Aboriginal and Torres Strait Islander Peoples’ Drug Strategy Working Group, </w:t>
      </w:r>
      <w:r w:rsidRPr="00063055">
        <w:rPr>
          <w:rFonts w:asciiTheme="majorHAnsi" w:hAnsiTheme="majorHAnsi" w:cs="Arial"/>
          <w:color w:val="000000" w:themeColor="text1"/>
          <w:sz w:val="16"/>
          <w:szCs w:val="16"/>
        </w:rPr>
        <w:t>above note 93.</w:t>
      </w:r>
      <w:proofErr w:type="gramEnd"/>
    </w:p>
  </w:endnote>
  <w:endnote w:id="98">
    <w:p w14:paraId="705AD957" w14:textId="77777777" w:rsidR="00EB2441" w:rsidRPr="00E405CC" w:rsidRDefault="00EB2441" w:rsidP="001E149E">
      <w:pPr>
        <w:pStyle w:val="EndnoteText"/>
        <w:rPr>
          <w:rFonts w:asciiTheme="majorHAnsi" w:hAnsiTheme="majorHAnsi" w:cs="Arial"/>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s="Arial"/>
          <w:color w:val="000000" w:themeColor="text1"/>
          <w:sz w:val="16"/>
          <w:szCs w:val="16"/>
        </w:rPr>
        <w:t xml:space="preserve">National Aboriginal and Torres Strait Islander Peoples’ Drug Strategy Working Group, </w:t>
      </w:r>
      <w:r>
        <w:rPr>
          <w:rFonts w:asciiTheme="majorHAnsi" w:hAnsiTheme="majorHAnsi" w:cs="Arial"/>
          <w:color w:val="000000" w:themeColor="text1"/>
          <w:sz w:val="16"/>
          <w:szCs w:val="16"/>
        </w:rPr>
        <w:t>above note 93</w:t>
      </w:r>
      <w:r w:rsidRPr="00E405CC">
        <w:rPr>
          <w:rFonts w:asciiTheme="majorHAnsi" w:hAnsiTheme="majorHAnsi" w:cs="Arial"/>
          <w:color w:val="000000" w:themeColor="text1"/>
          <w:sz w:val="16"/>
          <w:szCs w:val="16"/>
        </w:rPr>
        <w:t>.</w:t>
      </w:r>
      <w:proofErr w:type="gramEnd"/>
    </w:p>
  </w:endnote>
  <w:endnote w:id="99">
    <w:p w14:paraId="6850E374" w14:textId="77777777" w:rsidR="00EB2441" w:rsidRPr="00E405CC" w:rsidRDefault="00EB2441" w:rsidP="001E149E">
      <w:pPr>
        <w:pStyle w:val="EndnoteText"/>
        <w:rPr>
          <w:rFonts w:asciiTheme="majorHAnsi" w:hAnsiTheme="majorHAnsi" w:cs="Arial"/>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s="Arial"/>
          <w:color w:val="000000" w:themeColor="text1"/>
          <w:sz w:val="16"/>
          <w:szCs w:val="16"/>
        </w:rPr>
        <w:t xml:space="preserve">National Aboriginal and Torres Strait Islander Peoples’ Drug Strategy Working Group, </w:t>
      </w:r>
      <w:r w:rsidRPr="00063055">
        <w:rPr>
          <w:rFonts w:asciiTheme="majorHAnsi" w:hAnsiTheme="majorHAnsi" w:cs="Arial"/>
          <w:color w:val="000000" w:themeColor="text1"/>
          <w:sz w:val="16"/>
          <w:szCs w:val="16"/>
        </w:rPr>
        <w:t>above note 93.</w:t>
      </w:r>
      <w:proofErr w:type="gramEnd"/>
    </w:p>
  </w:endnote>
  <w:endnote w:id="100">
    <w:p w14:paraId="0232B4EF" w14:textId="77777777" w:rsidR="00EB2441" w:rsidRPr="00E405CC" w:rsidRDefault="00EB2441" w:rsidP="001E149E">
      <w:pPr>
        <w:pStyle w:val="EndnoteText"/>
        <w:rPr>
          <w:rFonts w:asciiTheme="majorHAnsi" w:hAnsiTheme="majorHAnsi" w:cs="Arial"/>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s="Arial"/>
          <w:color w:val="000000" w:themeColor="text1"/>
          <w:sz w:val="16"/>
          <w:szCs w:val="16"/>
        </w:rPr>
        <w:t xml:space="preserve">National Aboriginal and Torres Strait Islander Peoples’ Drug Strategy Working Group, </w:t>
      </w:r>
      <w:r w:rsidRPr="00063055">
        <w:rPr>
          <w:rFonts w:asciiTheme="majorHAnsi" w:hAnsiTheme="majorHAnsi" w:cs="Arial"/>
          <w:color w:val="000000" w:themeColor="text1"/>
          <w:sz w:val="16"/>
          <w:szCs w:val="16"/>
        </w:rPr>
        <w:t>above note 93.</w:t>
      </w:r>
      <w:proofErr w:type="gramEnd"/>
    </w:p>
  </w:endnote>
  <w:endnote w:id="101">
    <w:p w14:paraId="6E53D57E" w14:textId="77777777" w:rsidR="00EB2441" w:rsidRPr="00E405CC" w:rsidRDefault="00EB2441" w:rsidP="001E149E">
      <w:pPr>
        <w:pStyle w:val="EndnoteText"/>
        <w:rPr>
          <w:rFonts w:asciiTheme="majorHAnsi" w:hAnsiTheme="majorHAnsi" w:cs="Arial"/>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s="Arial"/>
          <w:color w:val="000000" w:themeColor="text1"/>
          <w:sz w:val="16"/>
          <w:szCs w:val="16"/>
        </w:rPr>
        <w:t xml:space="preserve">National Aboriginal and Torres Strait Islander Peoples’ Drug Strategy Working Group, </w:t>
      </w:r>
      <w:r w:rsidRPr="00063055">
        <w:rPr>
          <w:rFonts w:asciiTheme="majorHAnsi" w:hAnsiTheme="majorHAnsi" w:cs="Arial"/>
          <w:color w:val="000000" w:themeColor="text1"/>
          <w:sz w:val="16"/>
          <w:szCs w:val="16"/>
        </w:rPr>
        <w:t>above note 93.</w:t>
      </w:r>
      <w:proofErr w:type="gramEnd"/>
    </w:p>
  </w:endnote>
  <w:endnote w:id="102">
    <w:p w14:paraId="2132241C" w14:textId="77777777" w:rsidR="00EB2441" w:rsidRPr="00E405CC" w:rsidRDefault="00EB2441" w:rsidP="001E149E">
      <w:pPr>
        <w:pStyle w:val="FootnoteText"/>
        <w:rPr>
          <w:rFonts w:asciiTheme="majorHAnsi" w:hAnsiTheme="majorHAnsi" w:cs="Arial"/>
          <w:color w:val="000000" w:themeColor="text1"/>
          <w:sz w:val="16"/>
          <w:szCs w:val="16"/>
        </w:rPr>
      </w:pPr>
      <w:r w:rsidRPr="00E405CC">
        <w:rPr>
          <w:rFonts w:asciiTheme="majorHAnsi" w:hAnsiTheme="majorHAnsi" w:cs="Arial"/>
          <w:color w:val="000000" w:themeColor="text1"/>
          <w:sz w:val="16"/>
          <w:szCs w:val="16"/>
          <w:vertAlign w:val="superscript"/>
        </w:rPr>
        <w:endnoteRef/>
      </w:r>
      <w:r w:rsidRPr="00E405CC">
        <w:rPr>
          <w:rFonts w:asciiTheme="majorHAnsi" w:hAnsiTheme="majorHAnsi" w:cs="Arial"/>
          <w:color w:val="000000" w:themeColor="text1"/>
          <w:sz w:val="16"/>
          <w:szCs w:val="16"/>
        </w:rPr>
        <w:t xml:space="preserve"> Australian Medical Association, </w:t>
      </w:r>
      <w:r w:rsidRPr="00E405CC">
        <w:rPr>
          <w:rFonts w:asciiTheme="majorHAnsi" w:hAnsiTheme="majorHAnsi" w:cs="Arial"/>
          <w:i/>
          <w:color w:val="000000" w:themeColor="text1"/>
          <w:sz w:val="16"/>
          <w:szCs w:val="16"/>
        </w:rPr>
        <w:t>AMA National Alcohol Summit Communique</w:t>
      </w:r>
      <w:r>
        <w:rPr>
          <w:rFonts w:asciiTheme="majorHAnsi" w:hAnsiTheme="majorHAnsi" w:cs="Arial"/>
          <w:color w:val="000000" w:themeColor="text1"/>
          <w:sz w:val="16"/>
          <w:szCs w:val="16"/>
        </w:rPr>
        <w:t xml:space="preserve">, 29 November 2014. </w:t>
      </w:r>
      <w:proofErr w:type="gramStart"/>
      <w:r>
        <w:rPr>
          <w:rFonts w:asciiTheme="majorHAnsi" w:hAnsiTheme="majorHAnsi" w:cs="Arial"/>
          <w:color w:val="000000" w:themeColor="text1"/>
          <w:sz w:val="16"/>
          <w:szCs w:val="16"/>
        </w:rPr>
        <w:t xml:space="preserve">URL </w:t>
      </w:r>
      <w:hyperlink r:id="rId16" w:history="1">
        <w:r w:rsidRPr="005656A6">
          <w:rPr>
            <w:rStyle w:val="Hyperlink"/>
            <w:rFonts w:asciiTheme="majorHAnsi" w:hAnsiTheme="majorHAnsi" w:cs="Arial"/>
            <w:sz w:val="16"/>
            <w:szCs w:val="16"/>
          </w:rPr>
          <w:t>https://ama.com.au/media/ama-national-alcohol-summit-communique</w:t>
        </w:r>
      </w:hyperlink>
      <w:r>
        <w:rPr>
          <w:rFonts w:asciiTheme="majorHAnsi" w:hAnsiTheme="majorHAnsi" w:cs="Arial"/>
          <w:color w:val="000000" w:themeColor="text1"/>
          <w:sz w:val="16"/>
          <w:szCs w:val="16"/>
        </w:rPr>
        <w:t>.</w:t>
      </w:r>
      <w:proofErr w:type="gramEnd"/>
      <w:r>
        <w:rPr>
          <w:rFonts w:asciiTheme="majorHAnsi" w:hAnsiTheme="majorHAnsi" w:cs="Arial"/>
          <w:color w:val="000000" w:themeColor="text1"/>
          <w:sz w:val="16"/>
          <w:szCs w:val="16"/>
        </w:rPr>
        <w:t xml:space="preserve"> </w:t>
      </w:r>
    </w:p>
  </w:endnote>
  <w:endnote w:id="103">
    <w:p w14:paraId="1BA00EC8"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34.</w:t>
      </w:r>
      <w:proofErr w:type="gramEnd"/>
    </w:p>
  </w:endnote>
  <w:endnote w:id="104">
    <w:p w14:paraId="6663C281"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34.</w:t>
      </w:r>
      <w:proofErr w:type="gramEnd"/>
    </w:p>
  </w:endnote>
  <w:endnote w:id="105">
    <w:p w14:paraId="1C29C361"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34.</w:t>
      </w:r>
      <w:proofErr w:type="gramEnd"/>
    </w:p>
  </w:endnote>
  <w:endnote w:id="106">
    <w:p w14:paraId="09392507"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34.</w:t>
      </w:r>
      <w:proofErr w:type="gramEnd"/>
    </w:p>
  </w:endnote>
  <w:endnote w:id="107">
    <w:p w14:paraId="704E2747"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34.</w:t>
      </w:r>
      <w:proofErr w:type="gramEnd"/>
    </w:p>
  </w:endnote>
  <w:endnote w:id="108">
    <w:p w14:paraId="0145AF4E"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34.</w:t>
      </w:r>
      <w:proofErr w:type="gramEnd"/>
    </w:p>
  </w:endnote>
  <w:endnote w:id="109">
    <w:p w14:paraId="6962F503"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34.</w:t>
      </w:r>
      <w:proofErr w:type="gramEnd"/>
    </w:p>
  </w:endnote>
  <w:endnote w:id="110">
    <w:p w14:paraId="145E5E58" w14:textId="77777777" w:rsidR="00EB2441" w:rsidRPr="00E405CC" w:rsidRDefault="00EB2441">
      <w:pPr>
        <w:pStyle w:val="EndnoteText"/>
        <w:rPr>
          <w:sz w:val="16"/>
          <w:szCs w:val="16"/>
          <w:lang w:val="en-US"/>
        </w:rPr>
      </w:pPr>
      <w:r w:rsidRPr="00E405CC">
        <w:rPr>
          <w:rStyle w:val="EndnoteReference"/>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34.</w:t>
      </w:r>
      <w:proofErr w:type="gramEnd"/>
      <w:r w:rsidRPr="00E405CC">
        <w:rPr>
          <w:sz w:val="16"/>
          <w:szCs w:val="16"/>
        </w:rPr>
        <w:t xml:space="preserve"> </w:t>
      </w:r>
    </w:p>
  </w:endnote>
  <w:endnote w:id="111">
    <w:p w14:paraId="03560447"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Council of Australian Governments, above note 2.</w:t>
      </w:r>
      <w:proofErr w:type="gramEnd"/>
    </w:p>
  </w:endnote>
  <w:endnote w:id="112">
    <w:p w14:paraId="15EED503"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COAG Reform Council, above note 3</w:t>
      </w:r>
      <w:r w:rsidRPr="00E405CC">
        <w:rPr>
          <w:rFonts w:asciiTheme="majorHAnsi" w:hAnsiTheme="majorHAnsi"/>
          <w:color w:val="000000" w:themeColor="text1"/>
          <w:sz w:val="16"/>
          <w:szCs w:val="16"/>
          <w:lang w:val="en-US"/>
        </w:rPr>
        <w:t>, p 87.</w:t>
      </w:r>
      <w:proofErr w:type="gramEnd"/>
    </w:p>
  </w:endnote>
  <w:endnote w:id="113">
    <w:p w14:paraId="066E96EE" w14:textId="77777777" w:rsidR="00EB2441" w:rsidRPr="00E405CC" w:rsidRDefault="00EB2441" w:rsidP="00814869">
      <w:pPr>
        <w:widowControl w:val="0"/>
        <w:autoSpaceDE w:val="0"/>
        <w:autoSpaceDN w:val="0"/>
        <w:adjustRightInd w:val="0"/>
        <w:rPr>
          <w:rFonts w:asciiTheme="majorHAnsi" w:hAnsiTheme="majorHAnsi"/>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eastAsia="Times New Roman" w:hAnsiTheme="majorHAnsi"/>
          <w:color w:val="000000" w:themeColor="text1"/>
          <w:sz w:val="16"/>
          <w:szCs w:val="16"/>
        </w:rPr>
        <w:t xml:space="preserve">Australian Institute of Health and Welfare, </w:t>
      </w:r>
      <w:proofErr w:type="spellStart"/>
      <w:r w:rsidRPr="00E405CC">
        <w:rPr>
          <w:rFonts w:asciiTheme="majorHAnsi" w:eastAsia="Times New Roman" w:hAnsiTheme="majorHAnsi"/>
          <w:i/>
          <w:color w:val="000000" w:themeColor="text1"/>
          <w:sz w:val="16"/>
          <w:szCs w:val="16"/>
        </w:rPr>
        <w:t>Birthweight</w:t>
      </w:r>
      <w:proofErr w:type="spellEnd"/>
      <w:r w:rsidRPr="00E405CC">
        <w:rPr>
          <w:rFonts w:asciiTheme="majorHAnsi" w:eastAsia="Times New Roman" w:hAnsiTheme="majorHAnsi"/>
          <w:i/>
          <w:color w:val="000000" w:themeColor="text1"/>
          <w:sz w:val="16"/>
          <w:szCs w:val="16"/>
        </w:rPr>
        <w:t xml:space="preserve"> of babies born to Indigenous mothers</w:t>
      </w:r>
      <w:r w:rsidRPr="00E405CC">
        <w:rPr>
          <w:rFonts w:asciiTheme="majorHAnsi" w:eastAsia="Times New Roman" w:hAnsiTheme="majorHAnsi"/>
          <w:color w:val="000000" w:themeColor="text1"/>
          <w:sz w:val="16"/>
          <w:szCs w:val="16"/>
        </w:rPr>
        <w:t xml:space="preserve">, </w:t>
      </w:r>
      <w:r w:rsidRPr="00E405CC">
        <w:rPr>
          <w:rFonts w:asciiTheme="majorHAnsi" w:hAnsiTheme="majorHAnsi"/>
          <w:sz w:val="16"/>
          <w:szCs w:val="16"/>
        </w:rPr>
        <w:t>AIHW cat.</w:t>
      </w:r>
      <w:proofErr w:type="gramEnd"/>
      <w:r w:rsidRPr="00E405CC">
        <w:rPr>
          <w:rFonts w:asciiTheme="majorHAnsi" w:hAnsiTheme="majorHAnsi"/>
          <w:sz w:val="16"/>
          <w:szCs w:val="16"/>
        </w:rPr>
        <w:t xml:space="preserve"> </w:t>
      </w:r>
      <w:proofErr w:type="gramStart"/>
      <w:r w:rsidRPr="00E405CC">
        <w:rPr>
          <w:rFonts w:asciiTheme="majorHAnsi" w:hAnsiTheme="majorHAnsi"/>
          <w:sz w:val="16"/>
          <w:szCs w:val="16"/>
        </w:rPr>
        <w:t>no</w:t>
      </w:r>
      <w:proofErr w:type="gramEnd"/>
      <w:r w:rsidRPr="00E405CC">
        <w:rPr>
          <w:rFonts w:asciiTheme="majorHAnsi" w:hAnsiTheme="majorHAnsi"/>
          <w:sz w:val="16"/>
          <w:szCs w:val="16"/>
        </w:rPr>
        <w:t>. IHW 138, 2014, p 7.</w:t>
      </w:r>
      <w:r>
        <w:rPr>
          <w:rFonts w:asciiTheme="majorHAnsi" w:hAnsiTheme="majorHAnsi"/>
          <w:sz w:val="16"/>
          <w:szCs w:val="16"/>
        </w:rPr>
        <w:t xml:space="preserve">URL: </w:t>
      </w:r>
      <w:hyperlink r:id="rId17" w:history="1">
        <w:r w:rsidRPr="001D253F">
          <w:rPr>
            <w:rStyle w:val="Hyperlink"/>
            <w:rFonts w:asciiTheme="majorHAnsi" w:hAnsiTheme="majorHAnsi"/>
            <w:sz w:val="16"/>
            <w:szCs w:val="16"/>
          </w:rPr>
          <w:t>http://www.aihw.gov.au/publication-detail/?id=60129548202</w:t>
        </w:r>
      </w:hyperlink>
      <w:r>
        <w:rPr>
          <w:rFonts w:asciiTheme="majorHAnsi" w:hAnsiTheme="majorHAnsi"/>
          <w:sz w:val="16"/>
          <w:szCs w:val="16"/>
        </w:rPr>
        <w:t xml:space="preserve">. </w:t>
      </w:r>
    </w:p>
  </w:endnote>
  <w:endnote w:id="114">
    <w:p w14:paraId="5BA0DCD6" w14:textId="77777777" w:rsidR="00EB2441" w:rsidRPr="00E405CC" w:rsidRDefault="00EB2441" w:rsidP="00034B66">
      <w:pPr>
        <w:widowControl w:val="0"/>
        <w:autoSpaceDE w:val="0"/>
        <w:autoSpaceDN w:val="0"/>
        <w:adjustRightInd w:val="0"/>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0A4AAE">
        <w:rPr>
          <w:rFonts w:asciiTheme="majorHAnsi" w:hAnsiTheme="majorHAnsi"/>
          <w:color w:val="000000" w:themeColor="text1"/>
          <w:sz w:val="16"/>
          <w:szCs w:val="16"/>
        </w:rPr>
        <w:t>Australian Institute of Health and Welfare</w:t>
      </w:r>
      <w:r>
        <w:rPr>
          <w:rFonts w:asciiTheme="majorHAnsi" w:hAnsiTheme="majorHAnsi"/>
          <w:color w:val="000000" w:themeColor="text1"/>
          <w:sz w:val="16"/>
          <w:szCs w:val="16"/>
        </w:rPr>
        <w:t>, above note 113</w:t>
      </w:r>
      <w:r w:rsidRPr="00E405CC">
        <w:rPr>
          <w:rFonts w:asciiTheme="majorHAnsi" w:hAnsiTheme="majorHAnsi"/>
          <w:sz w:val="16"/>
          <w:szCs w:val="16"/>
        </w:rPr>
        <w:t xml:space="preserve">, </w:t>
      </w:r>
      <w:proofErr w:type="spellStart"/>
      <w:r w:rsidRPr="00E405CC">
        <w:rPr>
          <w:rFonts w:asciiTheme="majorHAnsi" w:hAnsiTheme="majorHAnsi"/>
          <w:sz w:val="16"/>
          <w:szCs w:val="16"/>
        </w:rPr>
        <w:t>pp</w:t>
      </w:r>
      <w:proofErr w:type="spellEnd"/>
      <w:r w:rsidRPr="00E405CC">
        <w:rPr>
          <w:rFonts w:asciiTheme="majorHAnsi" w:hAnsiTheme="majorHAnsi"/>
          <w:color w:val="000000" w:themeColor="text1"/>
          <w:sz w:val="16"/>
          <w:szCs w:val="16"/>
        </w:rPr>
        <w:t xml:space="preserve"> 1-2.</w:t>
      </w:r>
      <w:proofErr w:type="gramEnd"/>
    </w:p>
  </w:endnote>
  <w:endnote w:id="115">
    <w:p w14:paraId="4544D64F" w14:textId="77777777" w:rsidR="00EB2441" w:rsidRPr="00E405CC" w:rsidRDefault="00EB2441" w:rsidP="00B92DBE">
      <w:pPr>
        <w:widowControl w:val="0"/>
        <w:autoSpaceDE w:val="0"/>
        <w:autoSpaceDN w:val="0"/>
        <w:adjustRightInd w:val="0"/>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0A4AAE">
        <w:rPr>
          <w:rFonts w:asciiTheme="majorHAnsi" w:hAnsiTheme="majorHAnsi"/>
          <w:color w:val="000000" w:themeColor="text1"/>
          <w:sz w:val="16"/>
          <w:szCs w:val="16"/>
        </w:rPr>
        <w:t>Australian Institute of Health and Welfare, above note 113,</w:t>
      </w:r>
      <w:r>
        <w:rPr>
          <w:rFonts w:asciiTheme="majorHAnsi" w:hAnsiTheme="majorHAnsi"/>
          <w:color w:val="000000" w:themeColor="text1"/>
          <w:sz w:val="16"/>
          <w:szCs w:val="16"/>
        </w:rPr>
        <w:t xml:space="preserve"> </w:t>
      </w:r>
      <w:r w:rsidRPr="00E405CC">
        <w:rPr>
          <w:rFonts w:asciiTheme="majorHAnsi" w:hAnsiTheme="majorHAnsi"/>
          <w:sz w:val="16"/>
          <w:szCs w:val="16"/>
        </w:rPr>
        <w:t>p</w:t>
      </w:r>
      <w:r w:rsidRPr="00E405CC">
        <w:rPr>
          <w:rFonts w:asciiTheme="majorHAnsi" w:hAnsiTheme="majorHAnsi"/>
          <w:color w:val="000000" w:themeColor="text1"/>
          <w:sz w:val="16"/>
          <w:szCs w:val="16"/>
        </w:rPr>
        <w:t xml:space="preserve"> 11.</w:t>
      </w:r>
      <w:proofErr w:type="gramEnd"/>
    </w:p>
  </w:endnote>
  <w:endnote w:id="116">
    <w:p w14:paraId="7CDE62FF" w14:textId="77777777" w:rsidR="00EB2441" w:rsidRPr="00E405CC" w:rsidRDefault="00EB2441" w:rsidP="00B92DBE">
      <w:pPr>
        <w:widowControl w:val="0"/>
        <w:autoSpaceDE w:val="0"/>
        <w:autoSpaceDN w:val="0"/>
        <w:adjustRightInd w:val="0"/>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0A4AAE">
        <w:rPr>
          <w:rFonts w:asciiTheme="majorHAnsi" w:hAnsiTheme="majorHAnsi"/>
          <w:color w:val="000000" w:themeColor="text1"/>
          <w:sz w:val="16"/>
          <w:szCs w:val="16"/>
        </w:rPr>
        <w:t>Australian Institute of Health and Welfare, above note 113,</w:t>
      </w:r>
      <w:r>
        <w:rPr>
          <w:rFonts w:asciiTheme="majorHAnsi" w:hAnsiTheme="majorHAnsi"/>
          <w:color w:val="000000" w:themeColor="text1"/>
          <w:sz w:val="16"/>
          <w:szCs w:val="16"/>
        </w:rPr>
        <w:t xml:space="preserve"> </w:t>
      </w:r>
      <w:r w:rsidRPr="00E405CC">
        <w:rPr>
          <w:rFonts w:asciiTheme="majorHAnsi" w:hAnsiTheme="majorHAnsi"/>
          <w:sz w:val="16"/>
          <w:szCs w:val="16"/>
        </w:rPr>
        <w:t xml:space="preserve">p </w:t>
      </w:r>
      <w:r w:rsidRPr="00E405CC">
        <w:rPr>
          <w:rFonts w:asciiTheme="majorHAnsi" w:hAnsiTheme="majorHAnsi"/>
          <w:color w:val="000000" w:themeColor="text1"/>
          <w:sz w:val="16"/>
          <w:szCs w:val="16"/>
        </w:rPr>
        <w:t>11.</w:t>
      </w:r>
      <w:proofErr w:type="gramEnd"/>
    </w:p>
  </w:endnote>
  <w:endnote w:id="117">
    <w:p w14:paraId="7A88C9B8" w14:textId="77777777" w:rsidR="00EB2441" w:rsidRPr="00E405CC" w:rsidRDefault="00EB2441" w:rsidP="00B92DBE">
      <w:pPr>
        <w:widowControl w:val="0"/>
        <w:autoSpaceDE w:val="0"/>
        <w:autoSpaceDN w:val="0"/>
        <w:adjustRightInd w:val="0"/>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0A4AAE">
        <w:rPr>
          <w:rFonts w:asciiTheme="majorHAnsi" w:hAnsiTheme="majorHAnsi"/>
          <w:color w:val="000000" w:themeColor="text1"/>
          <w:sz w:val="16"/>
          <w:szCs w:val="16"/>
        </w:rPr>
        <w:t>Australian Institute of Health and Welfare, above note 113,</w:t>
      </w:r>
      <w:r>
        <w:rPr>
          <w:rFonts w:asciiTheme="majorHAnsi" w:hAnsiTheme="majorHAnsi"/>
          <w:color w:val="000000" w:themeColor="text1"/>
          <w:sz w:val="16"/>
          <w:szCs w:val="16"/>
        </w:rPr>
        <w:t xml:space="preserve"> </w:t>
      </w:r>
      <w:r w:rsidRPr="00E405CC">
        <w:rPr>
          <w:rFonts w:asciiTheme="majorHAnsi" w:hAnsiTheme="majorHAnsi"/>
          <w:sz w:val="16"/>
          <w:szCs w:val="16"/>
        </w:rPr>
        <w:t>p 33.</w:t>
      </w:r>
      <w:proofErr w:type="gramEnd"/>
    </w:p>
  </w:endnote>
  <w:endnote w:id="118">
    <w:p w14:paraId="6CAF8610" w14:textId="77777777" w:rsidR="00EB2441" w:rsidRPr="00E405CC" w:rsidRDefault="00EB2441" w:rsidP="00B92DBE">
      <w:pPr>
        <w:widowControl w:val="0"/>
        <w:autoSpaceDE w:val="0"/>
        <w:autoSpaceDN w:val="0"/>
        <w:adjustRightInd w:val="0"/>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0A4AAE">
        <w:rPr>
          <w:rFonts w:asciiTheme="majorHAnsi" w:hAnsiTheme="majorHAnsi"/>
          <w:color w:val="000000" w:themeColor="text1"/>
          <w:sz w:val="16"/>
          <w:szCs w:val="16"/>
        </w:rPr>
        <w:t>Australian Institute of Health and Welfare, above note 113</w:t>
      </w:r>
      <w:r w:rsidRPr="00E405CC">
        <w:rPr>
          <w:rFonts w:asciiTheme="majorHAnsi" w:hAnsiTheme="majorHAnsi"/>
          <w:color w:val="000000" w:themeColor="text1"/>
          <w:sz w:val="16"/>
          <w:szCs w:val="16"/>
        </w:rPr>
        <w:t>.</w:t>
      </w:r>
      <w:proofErr w:type="gramEnd"/>
    </w:p>
  </w:endnote>
  <w:endnote w:id="119">
    <w:p w14:paraId="24B6F525" w14:textId="77777777" w:rsidR="00EB2441" w:rsidRPr="00E405CC" w:rsidRDefault="00EB2441" w:rsidP="00B92DBE">
      <w:pPr>
        <w:widowControl w:val="0"/>
        <w:autoSpaceDE w:val="0"/>
        <w:autoSpaceDN w:val="0"/>
        <w:adjustRightInd w:val="0"/>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0A4AAE">
        <w:rPr>
          <w:rFonts w:asciiTheme="majorHAnsi" w:hAnsiTheme="majorHAnsi"/>
          <w:color w:val="000000" w:themeColor="text1"/>
          <w:sz w:val="16"/>
          <w:szCs w:val="16"/>
        </w:rPr>
        <w:t>Australian Institute of Health and Welfare, above note 113,</w:t>
      </w:r>
      <w:r>
        <w:rPr>
          <w:rFonts w:asciiTheme="majorHAnsi" w:hAnsiTheme="majorHAnsi"/>
          <w:color w:val="000000" w:themeColor="text1"/>
          <w:sz w:val="16"/>
          <w:szCs w:val="16"/>
        </w:rPr>
        <w:t xml:space="preserve"> </w:t>
      </w:r>
      <w:r w:rsidRPr="00E405CC">
        <w:rPr>
          <w:rFonts w:asciiTheme="majorHAnsi" w:hAnsiTheme="majorHAnsi"/>
          <w:sz w:val="16"/>
          <w:szCs w:val="16"/>
        </w:rPr>
        <w:t>p 14</w:t>
      </w:r>
      <w:r w:rsidRPr="00E405CC">
        <w:rPr>
          <w:rFonts w:asciiTheme="majorHAnsi" w:hAnsiTheme="majorHAnsi"/>
          <w:color w:val="000000" w:themeColor="text1"/>
          <w:sz w:val="16"/>
          <w:szCs w:val="16"/>
        </w:rPr>
        <w:t>.</w:t>
      </w:r>
      <w:proofErr w:type="gramEnd"/>
    </w:p>
  </w:endnote>
  <w:endnote w:id="120">
    <w:p w14:paraId="19E7647C" w14:textId="77777777" w:rsidR="00EB2441" w:rsidRPr="00E405CC" w:rsidRDefault="00EB2441" w:rsidP="00D5017B">
      <w:pPr>
        <w:widowControl w:val="0"/>
        <w:autoSpaceDE w:val="0"/>
        <w:autoSpaceDN w:val="0"/>
        <w:adjustRightInd w:val="0"/>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Pr>
          <w:rFonts w:asciiTheme="majorHAnsi" w:hAnsiTheme="majorHAnsi"/>
          <w:color w:val="000000" w:themeColor="text1"/>
          <w:sz w:val="16"/>
          <w:szCs w:val="16"/>
        </w:rPr>
        <w:t xml:space="preserve"> </w:t>
      </w:r>
      <w:proofErr w:type="gramStart"/>
      <w:r>
        <w:rPr>
          <w:rFonts w:asciiTheme="majorHAnsi" w:hAnsiTheme="majorHAnsi"/>
          <w:color w:val="000000" w:themeColor="text1"/>
          <w:sz w:val="16"/>
          <w:szCs w:val="16"/>
        </w:rPr>
        <w:t xml:space="preserve">Data drawn from </w:t>
      </w:r>
      <w:r w:rsidRPr="000A4AAE">
        <w:rPr>
          <w:rFonts w:asciiTheme="majorHAnsi" w:eastAsia="Times New Roman" w:hAnsiTheme="majorHAnsi"/>
          <w:color w:val="000000" w:themeColor="text1"/>
          <w:sz w:val="16"/>
          <w:szCs w:val="16"/>
        </w:rPr>
        <w:t>Australian Institute of Health and Welfare, above note 113</w:t>
      </w:r>
      <w:r w:rsidRPr="00E405CC">
        <w:rPr>
          <w:rFonts w:asciiTheme="majorHAnsi" w:hAnsiTheme="majorHAnsi"/>
          <w:sz w:val="16"/>
          <w:szCs w:val="16"/>
        </w:rPr>
        <w:t xml:space="preserve">, </w:t>
      </w:r>
      <w:proofErr w:type="spellStart"/>
      <w:r w:rsidRPr="00E405CC">
        <w:rPr>
          <w:rFonts w:asciiTheme="majorHAnsi" w:hAnsiTheme="majorHAnsi"/>
          <w:sz w:val="16"/>
          <w:szCs w:val="16"/>
        </w:rPr>
        <w:t>pp</w:t>
      </w:r>
      <w:proofErr w:type="spellEnd"/>
      <w:r w:rsidRPr="00E405CC">
        <w:rPr>
          <w:rFonts w:asciiTheme="majorHAnsi" w:hAnsiTheme="majorHAnsi"/>
          <w:sz w:val="16"/>
          <w:szCs w:val="16"/>
        </w:rPr>
        <w:t xml:space="preserve"> 14-19</w:t>
      </w:r>
      <w:r w:rsidRPr="00E405CC">
        <w:rPr>
          <w:rFonts w:asciiTheme="majorHAnsi" w:hAnsiTheme="majorHAnsi"/>
          <w:color w:val="000000" w:themeColor="text1"/>
          <w:sz w:val="16"/>
          <w:szCs w:val="16"/>
        </w:rPr>
        <w:t>.</w:t>
      </w:r>
      <w:proofErr w:type="gramEnd"/>
    </w:p>
  </w:endnote>
  <w:endnote w:id="121">
    <w:p w14:paraId="5D06ACEE" w14:textId="77777777" w:rsidR="00EB2441" w:rsidRPr="00E405CC" w:rsidRDefault="00EB2441">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Pr>
          <w:rFonts w:asciiTheme="majorHAnsi" w:hAnsiTheme="majorHAnsi"/>
          <w:sz w:val="16"/>
          <w:szCs w:val="16"/>
        </w:rPr>
        <w:t xml:space="preserve"> </w:t>
      </w:r>
      <w:r w:rsidRPr="00E405CC">
        <w:rPr>
          <w:rFonts w:asciiTheme="majorHAnsi" w:hAnsiTheme="majorHAnsi"/>
          <w:sz w:val="16"/>
          <w:szCs w:val="16"/>
        </w:rPr>
        <w:t xml:space="preserve">Lowitja Institute, </w:t>
      </w:r>
      <w:r w:rsidRPr="00E405CC">
        <w:rPr>
          <w:rFonts w:asciiTheme="majorHAnsi" w:hAnsiTheme="majorHAnsi"/>
          <w:i/>
          <w:sz w:val="16"/>
          <w:szCs w:val="16"/>
        </w:rPr>
        <w:t xml:space="preserve">Baby Basket Fact Sheet, </w:t>
      </w:r>
      <w:r w:rsidRPr="00E405CC">
        <w:rPr>
          <w:rFonts w:asciiTheme="majorHAnsi" w:hAnsiTheme="majorHAnsi"/>
          <w:sz w:val="16"/>
          <w:szCs w:val="16"/>
        </w:rPr>
        <w:t xml:space="preserve">2014. </w:t>
      </w:r>
      <w:proofErr w:type="gramStart"/>
      <w:r w:rsidRPr="00E405CC">
        <w:rPr>
          <w:rFonts w:asciiTheme="majorHAnsi" w:hAnsiTheme="majorHAnsi" w:cs="Lucida Grande"/>
          <w:color w:val="000000" w:themeColor="text1"/>
          <w:sz w:val="16"/>
          <w:szCs w:val="16"/>
        </w:rPr>
        <w:t>URL</w:t>
      </w:r>
      <w:r w:rsidRPr="00E405CC">
        <w:rPr>
          <w:sz w:val="16"/>
          <w:szCs w:val="16"/>
        </w:rPr>
        <w:t xml:space="preserve"> </w:t>
      </w:r>
      <w:hyperlink r:id="rId18" w:history="1">
        <w:r w:rsidRPr="00E405CC">
          <w:rPr>
            <w:rStyle w:val="Hyperlink"/>
            <w:rFonts w:asciiTheme="majorHAnsi" w:hAnsiTheme="majorHAnsi" w:cs="Lucida Grande"/>
            <w:sz w:val="16"/>
            <w:szCs w:val="16"/>
          </w:rPr>
          <w:t>http://www.apunipima.org.au/images/Publications/Baby_Basket_Fact_Sheet_web.pdf</w:t>
        </w:r>
      </w:hyperlink>
      <w:r w:rsidRPr="00E405CC">
        <w:rPr>
          <w:rFonts w:asciiTheme="majorHAnsi" w:hAnsiTheme="majorHAnsi" w:cs="Lucida Grande"/>
          <w:color w:val="000000" w:themeColor="text1"/>
          <w:sz w:val="16"/>
          <w:szCs w:val="16"/>
        </w:rPr>
        <w:t>.</w:t>
      </w:r>
      <w:proofErr w:type="gramEnd"/>
    </w:p>
  </w:endnote>
  <w:endnote w:id="122">
    <w:p w14:paraId="64251607"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s="Lucida Grande"/>
          <w:color w:val="000000" w:themeColor="text1"/>
          <w:sz w:val="16"/>
          <w:szCs w:val="16"/>
        </w:rPr>
        <w:t xml:space="preserve">Coordinator General for Remote Indigenous Services, </w:t>
      </w:r>
      <w:hyperlink r:id="rId19" w:history="1">
        <w:r w:rsidRPr="00E405CC">
          <w:rPr>
            <w:rFonts w:asciiTheme="majorHAnsi" w:hAnsiTheme="majorHAnsi" w:cs="Lucida Grande"/>
            <w:i/>
            <w:color w:val="000000" w:themeColor="text1"/>
            <w:sz w:val="16"/>
            <w:szCs w:val="16"/>
          </w:rPr>
          <w:t>Final Biannual Report</w:t>
        </w:r>
      </w:hyperlink>
      <w:r w:rsidRPr="00E405CC">
        <w:rPr>
          <w:rFonts w:asciiTheme="majorHAnsi" w:hAnsiTheme="majorHAnsi" w:cs="Lucida Grande"/>
          <w:i/>
          <w:color w:val="000000" w:themeColor="text1"/>
          <w:sz w:val="16"/>
          <w:szCs w:val="16"/>
        </w:rPr>
        <w:t xml:space="preserve">, </w:t>
      </w:r>
      <w:r w:rsidRPr="00E405CC">
        <w:rPr>
          <w:rFonts w:asciiTheme="majorHAnsi" w:hAnsiTheme="majorHAnsi" w:cs="Lucida Grande"/>
          <w:color w:val="000000" w:themeColor="text1"/>
          <w:sz w:val="16"/>
          <w:szCs w:val="16"/>
        </w:rPr>
        <w:t>2014, p 4.</w:t>
      </w:r>
      <w:proofErr w:type="gramEnd"/>
      <w:r w:rsidRPr="00E405CC">
        <w:rPr>
          <w:rFonts w:asciiTheme="majorHAnsi" w:hAnsiTheme="majorHAnsi" w:cs="Lucida Grande"/>
          <w:color w:val="000000" w:themeColor="text1"/>
          <w:sz w:val="16"/>
          <w:szCs w:val="16"/>
        </w:rPr>
        <w:t xml:space="preserve"> </w:t>
      </w:r>
      <w:proofErr w:type="gramStart"/>
      <w:r w:rsidRPr="00E405CC">
        <w:rPr>
          <w:rFonts w:asciiTheme="majorHAnsi" w:hAnsiTheme="majorHAnsi" w:cs="Lucida Grande"/>
          <w:color w:val="000000" w:themeColor="text1"/>
          <w:sz w:val="16"/>
          <w:szCs w:val="16"/>
        </w:rPr>
        <w:t xml:space="preserve">URL </w:t>
      </w:r>
      <w:hyperlink r:id="rId20" w:history="1">
        <w:r w:rsidRPr="00E405CC">
          <w:rPr>
            <w:rStyle w:val="Hyperlink"/>
            <w:rFonts w:asciiTheme="majorHAnsi" w:hAnsiTheme="majorHAnsi" w:cs="Lucida Grande"/>
            <w:sz w:val="16"/>
            <w:szCs w:val="16"/>
          </w:rPr>
          <w:t>http://www.papertracker.com.au/pdfs/cgris_report09.pdf</w:t>
        </w:r>
      </w:hyperlink>
      <w:r w:rsidRPr="00E405CC">
        <w:rPr>
          <w:rFonts w:asciiTheme="majorHAnsi" w:hAnsiTheme="majorHAnsi" w:cs="Lucida Grande"/>
          <w:color w:val="000000" w:themeColor="text1"/>
          <w:sz w:val="16"/>
          <w:szCs w:val="16"/>
        </w:rPr>
        <w:t>.</w:t>
      </w:r>
      <w:proofErr w:type="gramEnd"/>
    </w:p>
  </w:endnote>
  <w:endnote w:id="123">
    <w:p w14:paraId="7DCAF623"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rPr>
        <w:t>Council of Australian Governments, above note 2.</w:t>
      </w:r>
      <w:proofErr w:type="gramEnd"/>
      <w:r w:rsidRPr="00E405CC">
        <w:rPr>
          <w:rFonts w:asciiTheme="majorHAnsi" w:hAnsiTheme="majorHAnsi"/>
          <w:color w:val="000000" w:themeColor="text1"/>
          <w:sz w:val="16"/>
          <w:szCs w:val="16"/>
        </w:rPr>
        <w:t xml:space="preserve"> </w:t>
      </w:r>
    </w:p>
  </w:endnote>
  <w:endnote w:id="124">
    <w:p w14:paraId="6E51969F" w14:textId="77777777" w:rsidR="00EB2441" w:rsidRPr="00E405CC" w:rsidRDefault="00EB2441" w:rsidP="00411A29">
      <w:pPr>
        <w:pStyle w:val="EndnoteText"/>
        <w:rPr>
          <w:rFonts w:asciiTheme="majorHAnsi" w:hAnsiTheme="majorHAnsi"/>
          <w:color w:val="000000" w:themeColor="text1"/>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E405CC">
        <w:rPr>
          <w:rFonts w:asciiTheme="majorHAnsi" w:hAnsiTheme="majorHAnsi"/>
          <w:color w:val="000000" w:themeColor="text1"/>
          <w:sz w:val="16"/>
          <w:szCs w:val="16"/>
        </w:rPr>
        <w:t xml:space="preserve">See for example: </w:t>
      </w:r>
      <w:r w:rsidRPr="00E405CC">
        <w:rPr>
          <w:rFonts w:asciiTheme="majorHAnsi" w:hAnsiTheme="majorHAnsi"/>
          <w:i/>
          <w:color w:val="000000" w:themeColor="text1"/>
          <w:sz w:val="16"/>
          <w:szCs w:val="16"/>
        </w:rPr>
        <w:t>National Aboriginal Health Strategy</w:t>
      </w:r>
      <w:r w:rsidRPr="00E405CC">
        <w:rPr>
          <w:rFonts w:asciiTheme="majorHAnsi" w:hAnsiTheme="majorHAnsi"/>
          <w:color w:val="000000" w:themeColor="text1"/>
          <w:sz w:val="16"/>
          <w:szCs w:val="16"/>
        </w:rPr>
        <w:t xml:space="preserve">, 1989; Swan P and Raphael B, </w:t>
      </w:r>
      <w:r w:rsidRPr="00E405CC">
        <w:rPr>
          <w:rFonts w:asciiTheme="majorHAnsi" w:hAnsiTheme="majorHAnsi"/>
          <w:i/>
          <w:color w:val="000000" w:themeColor="text1"/>
          <w:sz w:val="16"/>
          <w:szCs w:val="16"/>
        </w:rPr>
        <w:t>'Ways forward': National Consultancy Report on Aboriginal and Torres Strait Islander Mental Health</w:t>
      </w:r>
      <w:r w:rsidRPr="00E405CC">
        <w:rPr>
          <w:rFonts w:asciiTheme="majorHAnsi" w:hAnsiTheme="majorHAnsi"/>
          <w:color w:val="000000" w:themeColor="text1"/>
          <w:sz w:val="16"/>
          <w:szCs w:val="16"/>
        </w:rPr>
        <w:t>, 1995.</w:t>
      </w:r>
    </w:p>
  </w:endnote>
  <w:endnote w:id="125">
    <w:p w14:paraId="4B0C3FFB" w14:textId="77777777" w:rsidR="00EB2441" w:rsidRPr="00E405CC" w:rsidRDefault="00EB2441" w:rsidP="00411A29">
      <w:pPr>
        <w:pStyle w:val="EndnoteText"/>
        <w:rPr>
          <w:rFonts w:asciiTheme="majorHAnsi" w:hAnsiTheme="majorHAnsi"/>
          <w:color w:val="000000" w:themeColor="text1"/>
          <w:sz w:val="16"/>
          <w:szCs w:val="16"/>
        </w:rPr>
      </w:pPr>
      <w:r w:rsidRPr="00E405CC">
        <w:rPr>
          <w:rFonts w:asciiTheme="majorHAnsi" w:hAnsiTheme="majorHAnsi"/>
          <w:color w:val="000000" w:themeColor="text1"/>
          <w:sz w:val="16"/>
          <w:szCs w:val="16"/>
          <w:vertAlign w:val="superscript"/>
        </w:rPr>
        <w:endnoteRef/>
      </w:r>
      <w:r w:rsidRPr="00E405CC">
        <w:rPr>
          <w:rFonts w:asciiTheme="majorHAnsi" w:hAnsiTheme="majorHAnsi"/>
          <w:color w:val="000000" w:themeColor="text1"/>
          <w:sz w:val="16"/>
          <w:szCs w:val="16"/>
          <w:vertAlign w:val="superscript"/>
        </w:rPr>
        <w:t xml:space="preserve"> </w:t>
      </w:r>
      <w:r w:rsidRPr="00E405CC">
        <w:rPr>
          <w:rFonts w:asciiTheme="majorHAnsi" w:hAnsiTheme="majorHAnsi"/>
          <w:color w:val="000000" w:themeColor="text1"/>
          <w:sz w:val="16"/>
          <w:szCs w:val="16"/>
        </w:rPr>
        <w:t>See for example: Wilkinson R and Marmot M (</w:t>
      </w:r>
      <w:proofErr w:type="spellStart"/>
      <w:proofErr w:type="gramStart"/>
      <w:r w:rsidRPr="00E405CC">
        <w:rPr>
          <w:rFonts w:asciiTheme="majorHAnsi" w:hAnsiTheme="majorHAnsi"/>
          <w:color w:val="000000" w:themeColor="text1"/>
          <w:sz w:val="16"/>
          <w:szCs w:val="16"/>
        </w:rPr>
        <w:t>eds</w:t>
      </w:r>
      <w:proofErr w:type="spellEnd"/>
      <w:proofErr w:type="gramEnd"/>
      <w:r w:rsidRPr="00E405CC">
        <w:rPr>
          <w:rFonts w:asciiTheme="majorHAnsi" w:hAnsiTheme="majorHAnsi"/>
          <w:color w:val="000000" w:themeColor="text1"/>
          <w:sz w:val="16"/>
          <w:szCs w:val="16"/>
        </w:rPr>
        <w:t>)</w:t>
      </w:r>
      <w:r>
        <w:rPr>
          <w:rFonts w:asciiTheme="majorHAnsi" w:hAnsiTheme="majorHAnsi"/>
          <w:color w:val="000000" w:themeColor="text1"/>
          <w:sz w:val="16"/>
          <w:szCs w:val="16"/>
        </w:rPr>
        <w:t>,</w:t>
      </w:r>
      <w:r w:rsidRPr="00E405CC">
        <w:rPr>
          <w:rFonts w:asciiTheme="majorHAnsi" w:hAnsiTheme="majorHAnsi"/>
          <w:color w:val="000000" w:themeColor="text1"/>
          <w:sz w:val="16"/>
          <w:szCs w:val="16"/>
        </w:rPr>
        <w:t xml:space="preserve"> </w:t>
      </w:r>
      <w:r w:rsidRPr="00E405CC">
        <w:rPr>
          <w:rFonts w:asciiTheme="majorHAnsi" w:hAnsiTheme="majorHAnsi"/>
          <w:i/>
          <w:color w:val="000000" w:themeColor="text1"/>
          <w:sz w:val="16"/>
          <w:szCs w:val="16"/>
        </w:rPr>
        <w:t>Social Determinants of Health: The Solid Facts</w:t>
      </w:r>
      <w:r w:rsidRPr="00E405CC">
        <w:rPr>
          <w:rFonts w:asciiTheme="majorHAnsi" w:hAnsiTheme="majorHAnsi"/>
          <w:color w:val="000000" w:themeColor="text1"/>
          <w:sz w:val="16"/>
          <w:szCs w:val="16"/>
        </w:rPr>
        <w:t xml:space="preserve">, 2nd </w:t>
      </w:r>
      <w:proofErr w:type="spellStart"/>
      <w:r w:rsidRPr="00E405CC">
        <w:rPr>
          <w:rFonts w:asciiTheme="majorHAnsi" w:hAnsiTheme="majorHAnsi"/>
          <w:color w:val="000000" w:themeColor="text1"/>
          <w:sz w:val="16"/>
          <w:szCs w:val="16"/>
        </w:rPr>
        <w:t>ed</w:t>
      </w:r>
      <w:proofErr w:type="spellEnd"/>
      <w:r w:rsidRPr="00E405CC">
        <w:rPr>
          <w:rFonts w:asciiTheme="majorHAnsi" w:hAnsiTheme="majorHAnsi"/>
          <w:color w:val="000000" w:themeColor="text1"/>
          <w:sz w:val="16"/>
          <w:szCs w:val="16"/>
        </w:rPr>
        <w:t>, 2003.</w:t>
      </w:r>
    </w:p>
  </w:endnote>
  <w:endnote w:id="126">
    <w:p w14:paraId="2FFF6184" w14:textId="77777777"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sz w:val="16"/>
          <w:szCs w:val="16"/>
        </w:rPr>
        <w:t xml:space="preserve">Department of Finance and Deregulation, </w:t>
      </w:r>
      <w:r w:rsidRPr="00E405CC">
        <w:rPr>
          <w:rFonts w:asciiTheme="majorHAnsi" w:hAnsiTheme="majorHAnsi"/>
          <w:i/>
          <w:sz w:val="16"/>
          <w:szCs w:val="16"/>
        </w:rPr>
        <w:t>Strategic Review of Indigenous Expenditure</w:t>
      </w:r>
      <w:r w:rsidRPr="00E405CC">
        <w:rPr>
          <w:rFonts w:asciiTheme="majorHAnsi" w:hAnsiTheme="majorHAnsi"/>
          <w:sz w:val="16"/>
          <w:szCs w:val="16"/>
        </w:rPr>
        <w:t>, 2009 p 11.</w:t>
      </w:r>
      <w:proofErr w:type="gramEnd"/>
      <w:r w:rsidRPr="00E405CC">
        <w:rPr>
          <w:rFonts w:asciiTheme="majorHAnsi" w:hAnsiTheme="majorHAnsi"/>
          <w:sz w:val="16"/>
          <w:szCs w:val="16"/>
        </w:rPr>
        <w:t xml:space="preserve"> </w:t>
      </w:r>
      <w:proofErr w:type="gramStart"/>
      <w:r w:rsidRPr="00E405CC">
        <w:rPr>
          <w:rFonts w:asciiTheme="majorHAnsi" w:hAnsiTheme="majorHAnsi"/>
          <w:sz w:val="16"/>
          <w:szCs w:val="16"/>
        </w:rPr>
        <w:t xml:space="preserve">URL </w:t>
      </w:r>
      <w:hyperlink w:history="1">
        <w:r w:rsidRPr="00E405CC">
          <w:rPr>
            <w:rStyle w:val="Hyperlink"/>
            <w:rFonts w:asciiTheme="majorHAnsi" w:hAnsiTheme="majorHAnsi"/>
            <w:sz w:val="16"/>
            <w:szCs w:val="16"/>
          </w:rPr>
          <w:t>www.finance.gov.au/sites/default/files/foi_10-27_strategic_review_indigenous_expenditure.pdf</w:t>
        </w:r>
      </w:hyperlink>
      <w:r w:rsidRPr="00E405CC">
        <w:rPr>
          <w:rFonts w:asciiTheme="majorHAnsi" w:hAnsiTheme="majorHAnsi"/>
          <w:sz w:val="16"/>
          <w:szCs w:val="16"/>
        </w:rPr>
        <w:t>.</w:t>
      </w:r>
      <w:proofErr w:type="gramEnd"/>
      <w:r w:rsidRPr="00E405CC">
        <w:rPr>
          <w:rFonts w:asciiTheme="majorHAnsi" w:hAnsiTheme="majorHAnsi"/>
          <w:sz w:val="16"/>
          <w:szCs w:val="16"/>
        </w:rPr>
        <w:t xml:space="preserve"> </w:t>
      </w:r>
    </w:p>
  </w:endnote>
  <w:endnote w:id="127">
    <w:p w14:paraId="734CDCEB"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Pr>
          <w:rFonts w:asciiTheme="majorHAnsi" w:hAnsiTheme="majorHAnsi"/>
          <w:color w:val="000000" w:themeColor="text1"/>
          <w:sz w:val="16"/>
          <w:szCs w:val="16"/>
        </w:rPr>
        <w:t xml:space="preserve"> Abbott Hon. T, </w:t>
      </w:r>
      <w:r w:rsidRPr="00E405CC">
        <w:rPr>
          <w:rFonts w:asciiTheme="majorHAnsi" w:hAnsiTheme="majorHAnsi"/>
          <w:i/>
          <w:color w:val="000000" w:themeColor="text1"/>
          <w:sz w:val="16"/>
          <w:szCs w:val="16"/>
        </w:rPr>
        <w:t>White Paper on the Reform of the Federation</w:t>
      </w:r>
      <w:r w:rsidRPr="00E405CC">
        <w:rPr>
          <w:rFonts w:asciiTheme="majorHAnsi" w:hAnsiTheme="majorHAnsi"/>
          <w:color w:val="000000" w:themeColor="text1"/>
          <w:sz w:val="16"/>
          <w:szCs w:val="16"/>
        </w:rPr>
        <w:t xml:space="preserve">, 28 June 2014, (Media Release). </w:t>
      </w:r>
      <w:proofErr w:type="gramStart"/>
      <w:r w:rsidRPr="00E405CC">
        <w:rPr>
          <w:rFonts w:asciiTheme="majorHAnsi" w:hAnsiTheme="majorHAnsi"/>
          <w:color w:val="000000" w:themeColor="text1"/>
          <w:sz w:val="16"/>
          <w:szCs w:val="16"/>
        </w:rPr>
        <w:t xml:space="preserve">URL </w:t>
      </w:r>
      <w:hyperlink r:id="rId21" w:history="1">
        <w:r w:rsidRPr="00E405CC">
          <w:rPr>
            <w:rStyle w:val="Hyperlink"/>
            <w:rFonts w:asciiTheme="majorHAnsi" w:hAnsiTheme="majorHAnsi"/>
            <w:sz w:val="16"/>
            <w:szCs w:val="16"/>
          </w:rPr>
          <w:t>www.liberal.org.au/latest-news/2014/06/28/prime-minister-white-paper-reform-federation</w:t>
        </w:r>
      </w:hyperlink>
      <w:r w:rsidRPr="00E405CC">
        <w:rPr>
          <w:rFonts w:asciiTheme="majorHAnsi" w:hAnsiTheme="majorHAnsi"/>
          <w:color w:val="000000" w:themeColor="text1"/>
          <w:sz w:val="16"/>
          <w:szCs w:val="16"/>
        </w:rPr>
        <w:t>.</w:t>
      </w:r>
      <w:proofErr w:type="gramEnd"/>
    </w:p>
  </w:endnote>
  <w:endnote w:id="128">
    <w:p w14:paraId="66C406A6"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Pr>
          <w:rFonts w:asciiTheme="majorHAnsi" w:hAnsiTheme="majorHAnsi"/>
          <w:color w:val="000000" w:themeColor="text1"/>
          <w:sz w:val="16"/>
          <w:szCs w:val="16"/>
        </w:rPr>
        <w:t>Abbott, above note 127.</w:t>
      </w:r>
      <w:proofErr w:type="gramEnd"/>
    </w:p>
  </w:endnote>
  <w:endnote w:id="129">
    <w:p w14:paraId="09400213"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Australian Government, </w:t>
      </w:r>
      <w:proofErr w:type="gramStart"/>
      <w:r w:rsidRPr="00E405CC">
        <w:rPr>
          <w:rFonts w:asciiTheme="majorHAnsi" w:hAnsiTheme="majorHAnsi"/>
          <w:i/>
          <w:color w:val="000000" w:themeColor="text1"/>
          <w:sz w:val="16"/>
          <w:szCs w:val="16"/>
        </w:rPr>
        <w:t>A</w:t>
      </w:r>
      <w:proofErr w:type="gramEnd"/>
      <w:r w:rsidRPr="00E405CC">
        <w:rPr>
          <w:rFonts w:asciiTheme="majorHAnsi" w:hAnsiTheme="majorHAnsi"/>
          <w:i/>
          <w:color w:val="000000" w:themeColor="text1"/>
          <w:sz w:val="16"/>
          <w:szCs w:val="16"/>
        </w:rPr>
        <w:t xml:space="preserve"> Federation for Our Future, Reform of the Federation White Paper</w:t>
      </w:r>
      <w:r w:rsidRPr="00E405CC">
        <w:rPr>
          <w:rFonts w:asciiTheme="majorHAnsi" w:hAnsiTheme="majorHAnsi"/>
          <w:color w:val="000000" w:themeColor="text1"/>
          <w:sz w:val="16"/>
          <w:szCs w:val="16"/>
        </w:rPr>
        <w:t xml:space="preserve">, Issues Paper 1, 2014. </w:t>
      </w:r>
      <w:proofErr w:type="gramStart"/>
      <w:r w:rsidRPr="00E405CC">
        <w:rPr>
          <w:rFonts w:asciiTheme="majorHAnsi" w:hAnsiTheme="majorHAnsi"/>
          <w:color w:val="000000" w:themeColor="text1"/>
          <w:sz w:val="16"/>
          <w:szCs w:val="16"/>
        </w:rPr>
        <w:t xml:space="preserve">URL </w:t>
      </w:r>
      <w:hyperlink r:id="rId22" w:history="1">
        <w:r w:rsidRPr="00E405CC">
          <w:rPr>
            <w:rStyle w:val="Hyperlink"/>
            <w:rFonts w:asciiTheme="majorHAnsi" w:hAnsiTheme="majorHAnsi"/>
            <w:sz w:val="16"/>
            <w:szCs w:val="16"/>
          </w:rPr>
          <w:t>https://federation.dpmc.gov.au/issues-paper-1</w:t>
        </w:r>
      </w:hyperlink>
      <w:r w:rsidRPr="00E405CC">
        <w:rPr>
          <w:rFonts w:asciiTheme="majorHAnsi" w:hAnsiTheme="majorHAnsi"/>
          <w:color w:val="000000" w:themeColor="text1"/>
          <w:sz w:val="16"/>
          <w:szCs w:val="16"/>
        </w:rPr>
        <w:t>.</w:t>
      </w:r>
      <w:proofErr w:type="gramEnd"/>
    </w:p>
  </w:endnote>
  <w:endnote w:id="130">
    <w:p w14:paraId="779C385D"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063055">
        <w:rPr>
          <w:rFonts w:asciiTheme="majorHAnsi" w:hAnsiTheme="majorHAnsi"/>
          <w:color w:val="000000" w:themeColor="text1"/>
          <w:sz w:val="16"/>
          <w:szCs w:val="16"/>
          <w:lang w:val="en-US"/>
        </w:rPr>
        <w:t>Australian Government, above note 129</w:t>
      </w:r>
      <w:r w:rsidRPr="00E405CC">
        <w:rPr>
          <w:rFonts w:asciiTheme="majorHAnsi" w:hAnsiTheme="majorHAnsi"/>
          <w:color w:val="000000" w:themeColor="text1"/>
          <w:sz w:val="16"/>
          <w:szCs w:val="16"/>
        </w:rPr>
        <w:t>.</w:t>
      </w:r>
    </w:p>
  </w:endnote>
  <w:endnote w:id="131">
    <w:p w14:paraId="3F2B4118" w14:textId="77777777" w:rsidR="00EB2441" w:rsidRPr="00E405CC" w:rsidRDefault="00EB2441" w:rsidP="00ED3D21">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063055">
        <w:rPr>
          <w:rFonts w:asciiTheme="majorHAnsi" w:hAnsiTheme="majorHAnsi"/>
          <w:color w:val="000000" w:themeColor="text1"/>
          <w:sz w:val="16"/>
          <w:szCs w:val="16"/>
          <w:lang w:val="en-US"/>
        </w:rPr>
        <w:t>Australian Government, above note 129</w:t>
      </w:r>
      <w:r w:rsidRPr="00E405CC">
        <w:rPr>
          <w:rFonts w:asciiTheme="majorHAnsi" w:hAnsiTheme="majorHAnsi"/>
          <w:color w:val="000000" w:themeColor="text1"/>
          <w:sz w:val="16"/>
          <w:szCs w:val="16"/>
        </w:rPr>
        <w:t xml:space="preserve">, p </w:t>
      </w:r>
      <w:proofErr w:type="gramStart"/>
      <w:r w:rsidRPr="00E405CC">
        <w:rPr>
          <w:rFonts w:asciiTheme="majorHAnsi" w:hAnsiTheme="majorHAnsi"/>
          <w:color w:val="000000" w:themeColor="text1"/>
          <w:sz w:val="16"/>
          <w:szCs w:val="16"/>
        </w:rPr>
        <w:t>vi</w:t>
      </w:r>
      <w:proofErr w:type="gramEnd"/>
      <w:r w:rsidRPr="00E405CC">
        <w:rPr>
          <w:rFonts w:asciiTheme="majorHAnsi" w:hAnsiTheme="majorHAnsi"/>
          <w:color w:val="000000" w:themeColor="text1"/>
          <w:sz w:val="16"/>
          <w:szCs w:val="16"/>
        </w:rPr>
        <w:t xml:space="preserve">. </w:t>
      </w:r>
    </w:p>
  </w:endnote>
  <w:endnote w:id="132">
    <w:p w14:paraId="796D128D" w14:textId="77777777" w:rsidR="00EB2441" w:rsidRPr="00E405CC" w:rsidRDefault="00EB2441">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Pr>
          <w:rFonts w:asciiTheme="majorHAnsi" w:hAnsiTheme="majorHAnsi"/>
          <w:sz w:val="16"/>
          <w:szCs w:val="16"/>
        </w:rPr>
        <w:t xml:space="preserve"> Attwood</w:t>
      </w:r>
      <w:r w:rsidRPr="00E405CC">
        <w:rPr>
          <w:rFonts w:asciiTheme="majorHAnsi" w:hAnsiTheme="majorHAnsi"/>
          <w:sz w:val="16"/>
          <w:szCs w:val="16"/>
        </w:rPr>
        <w:t xml:space="preserve"> B, </w:t>
      </w:r>
      <w:r w:rsidRPr="00E405CC">
        <w:rPr>
          <w:rFonts w:asciiTheme="majorHAnsi" w:hAnsiTheme="majorHAnsi"/>
          <w:i/>
          <w:sz w:val="16"/>
          <w:szCs w:val="16"/>
        </w:rPr>
        <w:t xml:space="preserve">Rights for Aborigines, </w:t>
      </w:r>
      <w:r w:rsidRPr="00E405CC">
        <w:rPr>
          <w:rFonts w:asciiTheme="majorHAnsi" w:hAnsiTheme="majorHAnsi"/>
          <w:sz w:val="16"/>
          <w:szCs w:val="16"/>
        </w:rPr>
        <w:t xml:space="preserve">2003, </w:t>
      </w:r>
      <w:proofErr w:type="spellStart"/>
      <w:r w:rsidRPr="00E405CC">
        <w:rPr>
          <w:rFonts w:asciiTheme="majorHAnsi" w:hAnsiTheme="majorHAnsi"/>
          <w:sz w:val="16"/>
          <w:szCs w:val="16"/>
        </w:rPr>
        <w:t>pp</w:t>
      </w:r>
      <w:proofErr w:type="spellEnd"/>
      <w:r w:rsidRPr="00E405CC">
        <w:rPr>
          <w:rFonts w:asciiTheme="majorHAnsi" w:hAnsiTheme="majorHAnsi"/>
          <w:sz w:val="16"/>
          <w:szCs w:val="16"/>
        </w:rPr>
        <w:t xml:space="preserve"> 172-180.</w:t>
      </w:r>
    </w:p>
  </w:endnote>
  <w:endnote w:id="133">
    <w:p w14:paraId="686DAD72"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Austr</w:t>
      </w:r>
      <w:r>
        <w:rPr>
          <w:rFonts w:asciiTheme="majorHAnsi" w:hAnsiTheme="majorHAnsi"/>
          <w:color w:val="000000" w:themeColor="text1"/>
          <w:sz w:val="16"/>
          <w:szCs w:val="16"/>
        </w:rPr>
        <w:t>alian Government, above note 129, p 16.</w:t>
      </w:r>
    </w:p>
  </w:endnote>
  <w:endnote w:id="134">
    <w:p w14:paraId="3F3F084D" w14:textId="77777777" w:rsidR="00EB2441" w:rsidRPr="00E405CC" w:rsidRDefault="00EB2441" w:rsidP="00D31FE6">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063055">
        <w:rPr>
          <w:rFonts w:asciiTheme="majorHAnsi" w:hAnsiTheme="majorHAnsi"/>
          <w:color w:val="000000" w:themeColor="text1"/>
          <w:sz w:val="16"/>
          <w:szCs w:val="16"/>
          <w:lang w:val="en-US"/>
        </w:rPr>
        <w:t xml:space="preserve">Australian Government, above note 129, </w:t>
      </w:r>
      <w:r w:rsidRPr="00E405CC">
        <w:rPr>
          <w:rFonts w:asciiTheme="majorHAnsi" w:hAnsiTheme="majorHAnsi"/>
          <w:color w:val="000000" w:themeColor="text1"/>
          <w:sz w:val="16"/>
          <w:szCs w:val="16"/>
        </w:rPr>
        <w:t xml:space="preserve">p 16. </w:t>
      </w:r>
    </w:p>
  </w:endnote>
  <w:endnote w:id="135">
    <w:p w14:paraId="7445893E"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063055">
        <w:rPr>
          <w:rFonts w:asciiTheme="majorHAnsi" w:hAnsiTheme="majorHAnsi"/>
          <w:color w:val="000000" w:themeColor="text1"/>
          <w:sz w:val="16"/>
          <w:szCs w:val="16"/>
          <w:lang w:val="en-US"/>
        </w:rPr>
        <w:t xml:space="preserve">Australian Government, above note 129, </w:t>
      </w:r>
      <w:r w:rsidRPr="00E405CC">
        <w:rPr>
          <w:rFonts w:asciiTheme="majorHAnsi" w:hAnsiTheme="majorHAnsi"/>
          <w:color w:val="000000" w:themeColor="text1"/>
          <w:sz w:val="16"/>
          <w:szCs w:val="16"/>
        </w:rPr>
        <w:t xml:space="preserve">p 16. </w:t>
      </w:r>
    </w:p>
  </w:endnote>
  <w:endnote w:id="136">
    <w:p w14:paraId="2AAF05FD"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color w:val="000000" w:themeColor="text1"/>
          <w:sz w:val="16"/>
          <w:szCs w:val="16"/>
        </w:rPr>
        <w:t xml:space="preserve">Australian Government, </w:t>
      </w:r>
      <w:r w:rsidRPr="00E405CC">
        <w:rPr>
          <w:rFonts w:asciiTheme="majorHAnsi" w:hAnsiTheme="majorHAnsi"/>
          <w:i/>
          <w:color w:val="000000" w:themeColor="text1"/>
          <w:sz w:val="16"/>
          <w:szCs w:val="16"/>
        </w:rPr>
        <w:t>Roles and Responsibilities in Health, Reform of the Federation White Paper</w:t>
      </w:r>
      <w:r w:rsidRPr="00E405CC">
        <w:rPr>
          <w:rFonts w:asciiTheme="majorHAnsi" w:hAnsiTheme="majorHAnsi"/>
          <w:color w:val="000000" w:themeColor="text1"/>
          <w:sz w:val="16"/>
          <w:szCs w:val="16"/>
        </w:rPr>
        <w:t xml:space="preserve">, Issues Paper 3, 2014, p 15. </w:t>
      </w:r>
      <w:proofErr w:type="gramStart"/>
      <w:r w:rsidRPr="00E405CC">
        <w:rPr>
          <w:rFonts w:asciiTheme="majorHAnsi" w:hAnsiTheme="majorHAnsi"/>
          <w:color w:val="000000" w:themeColor="text1"/>
          <w:sz w:val="16"/>
          <w:szCs w:val="16"/>
        </w:rPr>
        <w:t xml:space="preserve">URL </w:t>
      </w:r>
      <w:hyperlink r:id="rId23" w:history="1">
        <w:r w:rsidRPr="00E405CC">
          <w:rPr>
            <w:rStyle w:val="Hyperlink"/>
            <w:rFonts w:asciiTheme="majorHAnsi" w:hAnsiTheme="majorHAnsi"/>
            <w:sz w:val="16"/>
            <w:szCs w:val="16"/>
          </w:rPr>
          <w:t>https://federation.dpmc.gov.au/issues-paper-3</w:t>
        </w:r>
      </w:hyperlink>
      <w:r w:rsidRPr="00E405CC">
        <w:rPr>
          <w:rFonts w:asciiTheme="majorHAnsi" w:hAnsiTheme="majorHAnsi"/>
          <w:sz w:val="16"/>
          <w:szCs w:val="16"/>
        </w:rPr>
        <w:t>.</w:t>
      </w:r>
      <w:proofErr w:type="gramEnd"/>
      <w:r w:rsidRPr="00E405CC">
        <w:rPr>
          <w:sz w:val="16"/>
          <w:szCs w:val="16"/>
        </w:rPr>
        <w:t xml:space="preserve"> </w:t>
      </w:r>
    </w:p>
  </w:endnote>
  <w:endnote w:id="137">
    <w:p w14:paraId="17857522"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063055">
        <w:rPr>
          <w:rFonts w:asciiTheme="majorHAnsi" w:hAnsiTheme="majorHAnsi"/>
          <w:color w:val="000000" w:themeColor="text1"/>
          <w:sz w:val="16"/>
          <w:szCs w:val="16"/>
          <w:lang w:val="en-US"/>
        </w:rPr>
        <w:t>Australian Government</w:t>
      </w:r>
      <w:r>
        <w:rPr>
          <w:rFonts w:asciiTheme="majorHAnsi" w:hAnsiTheme="majorHAnsi"/>
          <w:color w:val="000000" w:themeColor="text1"/>
          <w:sz w:val="16"/>
          <w:szCs w:val="16"/>
          <w:lang w:val="en-US"/>
        </w:rPr>
        <w:t>, above note 136</w:t>
      </w:r>
      <w:r w:rsidRPr="00E405CC">
        <w:rPr>
          <w:rFonts w:asciiTheme="majorHAnsi" w:hAnsiTheme="majorHAnsi"/>
          <w:color w:val="000000" w:themeColor="text1"/>
          <w:sz w:val="16"/>
          <w:szCs w:val="16"/>
        </w:rPr>
        <w:t xml:space="preserve">, p 33. </w:t>
      </w:r>
    </w:p>
  </w:endnote>
  <w:endnote w:id="138">
    <w:p w14:paraId="75EB51FF"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Department of Health, </w:t>
      </w:r>
      <w:r w:rsidRPr="00E405CC">
        <w:rPr>
          <w:rFonts w:asciiTheme="majorHAnsi" w:hAnsiTheme="majorHAnsi"/>
          <w:i/>
          <w:color w:val="000000" w:themeColor="text1"/>
          <w:sz w:val="16"/>
          <w:szCs w:val="16"/>
        </w:rPr>
        <w:t xml:space="preserve">Indigenous Health 2014-15 Budget – Questions and Answers, </w:t>
      </w:r>
      <w:r w:rsidRPr="00063055">
        <w:rPr>
          <w:rFonts w:asciiTheme="majorHAnsi" w:hAnsiTheme="majorHAnsi"/>
          <w:color w:val="000000" w:themeColor="text1"/>
          <w:sz w:val="16"/>
          <w:szCs w:val="16"/>
        </w:rPr>
        <w:t>2014</w:t>
      </w:r>
      <w:r>
        <w:rPr>
          <w:rFonts w:asciiTheme="majorHAnsi" w:hAnsiTheme="majorHAnsi"/>
          <w:color w:val="000000" w:themeColor="text1"/>
          <w:sz w:val="16"/>
          <w:szCs w:val="16"/>
        </w:rPr>
        <w:t>.</w:t>
      </w:r>
      <w:proofErr w:type="gramEnd"/>
      <w:r>
        <w:rPr>
          <w:rFonts w:asciiTheme="majorHAnsi" w:hAnsiTheme="majorHAnsi"/>
          <w:color w:val="000000" w:themeColor="text1"/>
          <w:sz w:val="16"/>
          <w:szCs w:val="16"/>
        </w:rPr>
        <w:t xml:space="preserve"> </w:t>
      </w:r>
      <w:proofErr w:type="gramStart"/>
      <w:r>
        <w:rPr>
          <w:rFonts w:asciiTheme="majorHAnsi" w:hAnsiTheme="majorHAnsi"/>
          <w:color w:val="000000" w:themeColor="text1"/>
          <w:sz w:val="16"/>
          <w:szCs w:val="16"/>
        </w:rPr>
        <w:t xml:space="preserve">URL </w:t>
      </w:r>
      <w:hyperlink r:id="rId24" w:history="1">
        <w:r w:rsidRPr="00E405CC">
          <w:rPr>
            <w:rStyle w:val="Hyperlink"/>
            <w:rFonts w:asciiTheme="majorHAnsi" w:hAnsiTheme="majorHAnsi"/>
            <w:sz w:val="16"/>
            <w:szCs w:val="16"/>
          </w:rPr>
          <w:t>www.health.gov.au/internet/main/publishing.nsf/Content/596E9445127A4683CA257BF0001D7A79/$File/q&amp;a%20indigenous%20health%20budget%20280514.pdf</w:t>
        </w:r>
      </w:hyperlink>
      <w:r w:rsidRPr="00E405CC">
        <w:rPr>
          <w:rFonts w:asciiTheme="majorHAnsi" w:hAnsiTheme="majorHAnsi"/>
          <w:color w:val="000000" w:themeColor="text1"/>
          <w:sz w:val="16"/>
          <w:szCs w:val="16"/>
        </w:rPr>
        <w:t>.</w:t>
      </w:r>
      <w:proofErr w:type="gramEnd"/>
      <w:r w:rsidRPr="00E405CC">
        <w:rPr>
          <w:rFonts w:asciiTheme="majorHAnsi" w:hAnsiTheme="majorHAnsi"/>
          <w:color w:val="000000" w:themeColor="text1"/>
          <w:sz w:val="16"/>
          <w:szCs w:val="16"/>
        </w:rPr>
        <w:t xml:space="preserve"> </w:t>
      </w:r>
    </w:p>
  </w:endnote>
  <w:endnote w:id="139">
    <w:p w14:paraId="5FB589C3" w14:textId="77777777" w:rsidR="00EB2441" w:rsidRPr="00063055" w:rsidRDefault="00EB2441" w:rsidP="00063055">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Department of Health</w:t>
      </w:r>
      <w:r w:rsidRPr="00063055">
        <w:rPr>
          <w:rFonts w:asciiTheme="majorHAnsi" w:hAnsiTheme="majorHAnsi"/>
          <w:color w:val="000000" w:themeColor="text1"/>
          <w:sz w:val="16"/>
          <w:szCs w:val="16"/>
        </w:rPr>
        <w:t>, above note 138.</w:t>
      </w:r>
      <w:proofErr w:type="gramEnd"/>
      <w:r w:rsidRPr="00063055">
        <w:rPr>
          <w:rFonts w:asciiTheme="majorHAnsi" w:hAnsiTheme="majorHAnsi"/>
          <w:color w:val="000000" w:themeColor="text1"/>
          <w:sz w:val="16"/>
          <w:szCs w:val="16"/>
        </w:rPr>
        <w:t xml:space="preserve"> </w:t>
      </w:r>
    </w:p>
  </w:endnote>
  <w:endnote w:id="140">
    <w:p w14:paraId="5272EDDB" w14:textId="77777777" w:rsidR="00EB2441" w:rsidRPr="00E405CC" w:rsidRDefault="00EB2441">
      <w:pPr>
        <w:pStyle w:val="EndnoteText"/>
        <w:rPr>
          <w:rFonts w:asciiTheme="majorHAnsi" w:hAnsiTheme="majorHAnsi"/>
          <w:color w:val="000000" w:themeColor="text1"/>
          <w:sz w:val="16"/>
          <w:szCs w:val="16"/>
        </w:rPr>
      </w:pPr>
      <w:r w:rsidRPr="00E405CC">
        <w:rPr>
          <w:rFonts w:asciiTheme="majorHAnsi" w:hAnsiTheme="majorHAnsi"/>
          <w:color w:val="000000" w:themeColor="text1"/>
          <w:sz w:val="16"/>
          <w:szCs w:val="16"/>
          <w:vertAlign w:val="superscript"/>
        </w:rPr>
        <w:endnoteRef/>
      </w:r>
      <w:r w:rsidRPr="00E405CC">
        <w:rPr>
          <w:rFonts w:asciiTheme="majorHAnsi" w:hAnsiTheme="majorHAnsi"/>
          <w:color w:val="000000" w:themeColor="text1"/>
          <w:sz w:val="16"/>
          <w:szCs w:val="16"/>
          <w:vertAlign w:val="superscript"/>
        </w:rPr>
        <w:t xml:space="preserve"> </w:t>
      </w:r>
      <w:r w:rsidRPr="00E405CC">
        <w:rPr>
          <w:rFonts w:asciiTheme="majorHAnsi" w:hAnsiTheme="majorHAnsi"/>
          <w:color w:val="000000" w:themeColor="text1"/>
          <w:sz w:val="16"/>
          <w:szCs w:val="16"/>
        </w:rPr>
        <w:t xml:space="preserve">Close the Gap Campaign Steering Committee, </w:t>
      </w:r>
      <w:r w:rsidRPr="00E405CC">
        <w:rPr>
          <w:rFonts w:asciiTheme="majorHAnsi" w:hAnsiTheme="majorHAnsi"/>
          <w:i/>
          <w:color w:val="000000" w:themeColor="text1"/>
          <w:sz w:val="16"/>
          <w:szCs w:val="16"/>
        </w:rPr>
        <w:t>Close the Gap Progress and Priorities Report 2014</w:t>
      </w:r>
      <w:r w:rsidRPr="00E405CC">
        <w:rPr>
          <w:rFonts w:asciiTheme="majorHAnsi" w:hAnsiTheme="majorHAnsi"/>
          <w:color w:val="000000" w:themeColor="text1"/>
          <w:sz w:val="16"/>
          <w:szCs w:val="16"/>
        </w:rPr>
        <w:t xml:space="preserve">, 2014. URL </w:t>
      </w:r>
      <w:hyperlink r:id="rId25" w:history="1">
        <w:r w:rsidRPr="00E405CC">
          <w:rPr>
            <w:rStyle w:val="Hyperlink"/>
            <w:rFonts w:asciiTheme="majorHAnsi" w:hAnsiTheme="majorHAnsi"/>
            <w:sz w:val="16"/>
            <w:szCs w:val="16"/>
          </w:rPr>
          <w:t>https://www.humanrights.gov.au/publications/close-gap-progress-and-priorities-report-2014</w:t>
        </w:r>
      </w:hyperlink>
      <w:r w:rsidRPr="00E405CC">
        <w:rPr>
          <w:rFonts w:asciiTheme="majorHAnsi" w:hAnsiTheme="majorHAnsi"/>
          <w:color w:val="000000" w:themeColor="text1"/>
          <w:sz w:val="16"/>
          <w:szCs w:val="16"/>
        </w:rPr>
        <w:t xml:space="preserve">; Close the Gap Campaign Steering Committee, </w:t>
      </w:r>
      <w:r w:rsidRPr="00E405CC">
        <w:rPr>
          <w:rFonts w:asciiTheme="majorHAnsi" w:hAnsiTheme="majorHAnsi"/>
          <w:i/>
          <w:color w:val="000000" w:themeColor="text1"/>
          <w:sz w:val="16"/>
          <w:szCs w:val="16"/>
        </w:rPr>
        <w:t>Close the Gap Shadow Report 2013</w:t>
      </w:r>
      <w:r w:rsidRPr="00E405CC">
        <w:rPr>
          <w:rFonts w:asciiTheme="majorHAnsi" w:hAnsiTheme="majorHAnsi"/>
          <w:color w:val="000000" w:themeColor="text1"/>
          <w:sz w:val="16"/>
          <w:szCs w:val="16"/>
        </w:rPr>
        <w:t xml:space="preserve">, 2013. </w:t>
      </w:r>
      <w:proofErr w:type="gramStart"/>
      <w:r w:rsidRPr="00E405CC">
        <w:rPr>
          <w:rFonts w:asciiTheme="majorHAnsi" w:hAnsiTheme="majorHAnsi"/>
          <w:color w:val="000000" w:themeColor="text1"/>
          <w:sz w:val="16"/>
          <w:szCs w:val="16"/>
        </w:rPr>
        <w:t xml:space="preserve">URL </w:t>
      </w:r>
      <w:hyperlink r:id="rId26" w:anchor="shadow" w:history="1">
        <w:r w:rsidRPr="00E405CC">
          <w:rPr>
            <w:rStyle w:val="Hyperlink"/>
            <w:rFonts w:asciiTheme="majorHAnsi" w:hAnsiTheme="majorHAnsi"/>
            <w:sz w:val="16"/>
            <w:szCs w:val="16"/>
          </w:rPr>
          <w:t>https://www.humanrights.gov.au/close-gap-indigenous-health-campaign#shadow</w:t>
        </w:r>
      </w:hyperlink>
      <w:r w:rsidRPr="00E405CC">
        <w:rPr>
          <w:rFonts w:asciiTheme="majorHAnsi" w:hAnsiTheme="majorHAnsi"/>
          <w:color w:val="000000" w:themeColor="text1"/>
          <w:sz w:val="16"/>
          <w:szCs w:val="16"/>
        </w:rPr>
        <w:t>.</w:t>
      </w:r>
      <w:proofErr w:type="gramEnd"/>
      <w:r w:rsidRPr="00E405CC">
        <w:rPr>
          <w:rFonts w:asciiTheme="majorHAnsi" w:hAnsiTheme="majorHAnsi"/>
          <w:color w:val="000000" w:themeColor="text1"/>
          <w:sz w:val="16"/>
          <w:szCs w:val="16"/>
        </w:rPr>
        <w:t xml:space="preserve"> </w:t>
      </w:r>
    </w:p>
  </w:endnote>
  <w:endnote w:id="141">
    <w:p w14:paraId="1E1BD99B"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Pr>
          <w:rFonts w:asciiTheme="majorHAnsi" w:hAnsiTheme="majorHAnsi"/>
          <w:color w:val="000000" w:themeColor="text1"/>
          <w:sz w:val="16"/>
          <w:szCs w:val="16"/>
        </w:rPr>
        <w:t xml:space="preserve"> Hurst D, ‘Healthy l</w:t>
      </w:r>
      <w:r w:rsidRPr="00E405CC">
        <w:rPr>
          <w:rFonts w:asciiTheme="majorHAnsi" w:hAnsiTheme="majorHAnsi"/>
          <w:color w:val="000000" w:themeColor="text1"/>
          <w:sz w:val="16"/>
          <w:szCs w:val="16"/>
        </w:rPr>
        <w:t xml:space="preserve">ifestyles program funding cut’, </w:t>
      </w:r>
      <w:r w:rsidRPr="00E405CC">
        <w:rPr>
          <w:rFonts w:asciiTheme="majorHAnsi" w:hAnsiTheme="majorHAnsi"/>
          <w:i/>
          <w:color w:val="000000" w:themeColor="text1"/>
          <w:sz w:val="16"/>
          <w:szCs w:val="16"/>
        </w:rPr>
        <w:t>Brisbane Times</w:t>
      </w:r>
      <w:r w:rsidRPr="00E405CC">
        <w:rPr>
          <w:rFonts w:asciiTheme="majorHAnsi" w:hAnsiTheme="majorHAnsi"/>
          <w:color w:val="000000" w:themeColor="text1"/>
          <w:sz w:val="16"/>
          <w:szCs w:val="16"/>
        </w:rPr>
        <w:t xml:space="preserve">, 24 September 2012. </w:t>
      </w:r>
      <w:proofErr w:type="gramStart"/>
      <w:r w:rsidRPr="00E405CC">
        <w:rPr>
          <w:rFonts w:asciiTheme="majorHAnsi" w:hAnsiTheme="majorHAnsi"/>
          <w:color w:val="000000" w:themeColor="text1"/>
          <w:sz w:val="16"/>
          <w:szCs w:val="16"/>
        </w:rPr>
        <w:t xml:space="preserve">URL </w:t>
      </w:r>
      <w:hyperlink r:id="rId27" w:history="1">
        <w:r w:rsidRPr="00E405CC">
          <w:rPr>
            <w:rStyle w:val="Hyperlink"/>
            <w:rFonts w:asciiTheme="majorHAnsi" w:hAnsiTheme="majorHAnsi"/>
            <w:sz w:val="16"/>
            <w:szCs w:val="16"/>
          </w:rPr>
          <w:t>www.brisbanetimes.com.au/queensland/healthy-lifestyle-programs-funding-cut-20120924-26fsf.html</w:t>
        </w:r>
      </w:hyperlink>
      <w:r w:rsidRPr="00E405CC">
        <w:rPr>
          <w:rFonts w:asciiTheme="majorHAnsi" w:hAnsiTheme="majorHAnsi"/>
          <w:color w:val="000000" w:themeColor="text1"/>
          <w:sz w:val="16"/>
          <w:szCs w:val="16"/>
        </w:rPr>
        <w:t>.</w:t>
      </w:r>
      <w:proofErr w:type="gramEnd"/>
      <w:r w:rsidRPr="00E405CC">
        <w:rPr>
          <w:rFonts w:asciiTheme="majorHAnsi" w:hAnsiTheme="majorHAnsi"/>
          <w:color w:val="000000" w:themeColor="text1"/>
          <w:sz w:val="16"/>
          <w:szCs w:val="16"/>
        </w:rPr>
        <w:t xml:space="preserve"> </w:t>
      </w:r>
    </w:p>
  </w:endnote>
  <w:endnote w:id="142">
    <w:p w14:paraId="2D77CA21" w14:textId="77777777" w:rsidR="00EB2441" w:rsidRPr="00063055" w:rsidRDefault="00EB2441" w:rsidP="00560FB2">
      <w:pPr>
        <w:pStyle w:val="EndnoteText"/>
        <w:rPr>
          <w:rFonts w:asciiTheme="majorHAnsi" w:hAnsiTheme="majorHAnsi" w:cstheme="majorHAnsi"/>
          <w:color w:val="000000" w:themeColor="text1"/>
          <w:sz w:val="16"/>
          <w:szCs w:val="16"/>
        </w:rPr>
      </w:pPr>
      <w:r w:rsidRPr="00E405CC">
        <w:rPr>
          <w:rStyle w:val="EndnoteReference"/>
          <w:rFonts w:asciiTheme="majorHAnsi" w:hAnsiTheme="majorHAnsi"/>
          <w:color w:val="000000" w:themeColor="text1"/>
          <w:sz w:val="16"/>
          <w:szCs w:val="16"/>
        </w:rPr>
        <w:endnoteRef/>
      </w:r>
      <w:r>
        <w:rPr>
          <w:rFonts w:asciiTheme="majorHAnsi" w:hAnsiTheme="majorHAnsi"/>
          <w:color w:val="000000" w:themeColor="text1"/>
          <w:sz w:val="16"/>
          <w:szCs w:val="16"/>
        </w:rPr>
        <w:t xml:space="preserve"> ‘NSW Health told to f</w:t>
      </w:r>
      <w:r w:rsidRPr="00E405CC">
        <w:rPr>
          <w:rFonts w:asciiTheme="majorHAnsi" w:hAnsiTheme="majorHAnsi"/>
          <w:color w:val="000000" w:themeColor="text1"/>
          <w:sz w:val="16"/>
          <w:szCs w:val="16"/>
        </w:rPr>
        <w:t xml:space="preserve">ind $3 billion In Savings’, </w:t>
      </w:r>
      <w:r w:rsidRPr="00E405CC">
        <w:rPr>
          <w:rFonts w:asciiTheme="majorHAnsi" w:hAnsiTheme="majorHAnsi"/>
          <w:i/>
          <w:color w:val="000000" w:themeColor="text1"/>
          <w:sz w:val="16"/>
          <w:szCs w:val="16"/>
        </w:rPr>
        <w:t>ABC News</w:t>
      </w:r>
      <w:r w:rsidRPr="00E405CC">
        <w:rPr>
          <w:rFonts w:asciiTheme="majorHAnsi" w:hAnsiTheme="majorHAnsi"/>
          <w:color w:val="000000" w:themeColor="text1"/>
          <w:sz w:val="16"/>
          <w:szCs w:val="16"/>
        </w:rPr>
        <w:t xml:space="preserve">, </w:t>
      </w:r>
      <w:proofErr w:type="gramStart"/>
      <w:r>
        <w:rPr>
          <w:rFonts w:asciiTheme="majorHAnsi" w:hAnsiTheme="majorHAnsi"/>
          <w:color w:val="000000" w:themeColor="text1"/>
          <w:sz w:val="16"/>
          <w:szCs w:val="16"/>
        </w:rPr>
        <w:t>1</w:t>
      </w:r>
      <w:r w:rsidRPr="00E405CC">
        <w:rPr>
          <w:rFonts w:asciiTheme="majorHAnsi" w:hAnsiTheme="majorHAnsi"/>
          <w:color w:val="000000" w:themeColor="text1"/>
          <w:sz w:val="16"/>
          <w:szCs w:val="16"/>
        </w:rPr>
        <w:t>4</w:t>
      </w:r>
      <w:proofErr w:type="gramEnd"/>
      <w:r w:rsidRPr="00E405CC">
        <w:rPr>
          <w:rFonts w:asciiTheme="majorHAnsi" w:hAnsiTheme="majorHAnsi"/>
          <w:color w:val="000000" w:themeColor="text1"/>
          <w:sz w:val="16"/>
          <w:szCs w:val="16"/>
        </w:rPr>
        <w:t xml:space="preserve"> September 2012</w:t>
      </w:r>
      <w:r w:rsidRPr="00063055">
        <w:rPr>
          <w:rFonts w:asciiTheme="majorHAnsi" w:hAnsiTheme="majorHAnsi" w:cstheme="majorHAnsi"/>
          <w:color w:val="000000" w:themeColor="text1"/>
          <w:sz w:val="16"/>
          <w:szCs w:val="16"/>
        </w:rPr>
        <w:t xml:space="preserve">. </w:t>
      </w:r>
      <w:proofErr w:type="gramStart"/>
      <w:r w:rsidRPr="00063055">
        <w:rPr>
          <w:rFonts w:asciiTheme="majorHAnsi" w:hAnsiTheme="majorHAnsi" w:cstheme="majorHAnsi"/>
          <w:color w:val="000000" w:themeColor="text1"/>
          <w:sz w:val="16"/>
          <w:szCs w:val="16"/>
        </w:rPr>
        <w:t xml:space="preserve">URL </w:t>
      </w:r>
      <w:hyperlink r:id="rId28" w:history="1">
        <w:r w:rsidRPr="00063055">
          <w:rPr>
            <w:rStyle w:val="Hyperlink"/>
            <w:rFonts w:asciiTheme="majorHAnsi" w:hAnsiTheme="majorHAnsi" w:cstheme="majorHAnsi"/>
            <w:sz w:val="16"/>
            <w:szCs w:val="16"/>
          </w:rPr>
          <w:t>http://www.abc.net.au/news/2012-09-14/243-billion-squeezed-from-nsw-health-budget/4260814</w:t>
        </w:r>
      </w:hyperlink>
      <w:r w:rsidRPr="00063055">
        <w:rPr>
          <w:rFonts w:asciiTheme="majorHAnsi" w:hAnsiTheme="majorHAnsi" w:cstheme="majorHAnsi"/>
          <w:color w:val="000000" w:themeColor="text1"/>
          <w:sz w:val="16"/>
          <w:szCs w:val="16"/>
        </w:rPr>
        <w:t>.</w:t>
      </w:r>
      <w:proofErr w:type="gramEnd"/>
    </w:p>
  </w:endnote>
  <w:endnote w:id="143">
    <w:p w14:paraId="67921E04" w14:textId="77777777" w:rsidR="00EB2441" w:rsidRPr="00063055" w:rsidRDefault="00EB2441" w:rsidP="00560FB2">
      <w:pPr>
        <w:pStyle w:val="EndnoteText"/>
        <w:rPr>
          <w:rFonts w:asciiTheme="majorHAnsi" w:hAnsiTheme="majorHAnsi" w:cstheme="majorHAnsi"/>
          <w:color w:val="000000" w:themeColor="text1"/>
          <w:sz w:val="16"/>
          <w:szCs w:val="16"/>
        </w:rPr>
      </w:pPr>
      <w:r w:rsidRPr="00E405CC">
        <w:rPr>
          <w:rStyle w:val="EndnoteReference"/>
          <w:rFonts w:asciiTheme="majorHAnsi" w:hAnsiTheme="majorHAnsi"/>
          <w:color w:val="000000" w:themeColor="text1"/>
          <w:sz w:val="16"/>
          <w:szCs w:val="16"/>
        </w:rPr>
        <w:endnoteRef/>
      </w:r>
      <w:r>
        <w:rPr>
          <w:rFonts w:asciiTheme="majorHAnsi" w:hAnsiTheme="majorHAnsi"/>
          <w:color w:val="000000" w:themeColor="text1"/>
          <w:sz w:val="16"/>
          <w:szCs w:val="16"/>
        </w:rPr>
        <w:t xml:space="preserve"> Wills</w:t>
      </w:r>
      <w:r w:rsidRPr="00E405CC">
        <w:rPr>
          <w:rFonts w:asciiTheme="majorHAnsi" w:hAnsiTheme="majorHAnsi"/>
          <w:color w:val="000000" w:themeColor="text1"/>
          <w:sz w:val="16"/>
          <w:szCs w:val="16"/>
        </w:rPr>
        <w:t xml:space="preserve"> D, ‘200 nursing positions to be cut from South Australian hospitals in health department savings blitz’, </w:t>
      </w:r>
      <w:r w:rsidRPr="00E405CC">
        <w:rPr>
          <w:rFonts w:asciiTheme="majorHAnsi" w:hAnsiTheme="majorHAnsi"/>
          <w:i/>
          <w:color w:val="000000" w:themeColor="text1"/>
          <w:sz w:val="16"/>
          <w:szCs w:val="16"/>
        </w:rPr>
        <w:t>The Advertiser</w:t>
      </w:r>
      <w:r w:rsidRPr="00E405CC">
        <w:rPr>
          <w:rFonts w:asciiTheme="majorHAnsi" w:hAnsiTheme="majorHAnsi"/>
          <w:color w:val="000000" w:themeColor="text1"/>
          <w:sz w:val="16"/>
          <w:szCs w:val="16"/>
        </w:rPr>
        <w:t xml:space="preserve">, 30 September 2013. URL </w:t>
      </w:r>
      <w:hyperlink r:id="rId29" w:history="1">
        <w:r w:rsidRPr="00E405CC">
          <w:rPr>
            <w:rStyle w:val="Hyperlink"/>
            <w:rFonts w:asciiTheme="majorHAnsi" w:hAnsiTheme="majorHAnsi"/>
            <w:sz w:val="16"/>
            <w:szCs w:val="16"/>
          </w:rPr>
          <w:t>http://www.adelaidenow.com.au/news/south-australia/nursing-positions-to-be-cut-from-south-australian-hospitals-in-health-department-savings-blitz/story-fni6uo1m-1226730350856?nk=b6848603ab8065ebb244f332d6086d67</w:t>
        </w:r>
      </w:hyperlink>
      <w:r w:rsidRPr="00E405CC">
        <w:rPr>
          <w:rFonts w:asciiTheme="majorHAnsi" w:hAnsiTheme="majorHAnsi"/>
          <w:color w:val="000000" w:themeColor="text1"/>
          <w:sz w:val="16"/>
          <w:szCs w:val="16"/>
        </w:rPr>
        <w:t xml:space="preserve">; ‘South Australian Government to cut health services’, </w:t>
      </w:r>
      <w:r w:rsidRPr="00E405CC">
        <w:rPr>
          <w:rFonts w:asciiTheme="majorHAnsi" w:hAnsiTheme="majorHAnsi"/>
          <w:i/>
          <w:color w:val="000000" w:themeColor="text1"/>
          <w:sz w:val="16"/>
          <w:szCs w:val="16"/>
        </w:rPr>
        <w:t>ABC News</w:t>
      </w:r>
      <w:r w:rsidRPr="00E405CC">
        <w:rPr>
          <w:rFonts w:asciiTheme="majorHAnsi" w:hAnsiTheme="majorHAnsi"/>
          <w:color w:val="000000" w:themeColor="text1"/>
          <w:sz w:val="16"/>
          <w:szCs w:val="16"/>
        </w:rPr>
        <w:t xml:space="preserve">, 9 August 2013. </w:t>
      </w:r>
      <w:proofErr w:type="gramStart"/>
      <w:r w:rsidRPr="00063055">
        <w:rPr>
          <w:rFonts w:asciiTheme="majorHAnsi" w:hAnsiTheme="majorHAnsi" w:cstheme="majorHAnsi"/>
          <w:color w:val="000000" w:themeColor="text1"/>
          <w:sz w:val="16"/>
          <w:szCs w:val="16"/>
        </w:rPr>
        <w:t xml:space="preserve">URL </w:t>
      </w:r>
      <w:hyperlink r:id="rId30" w:history="1">
        <w:r w:rsidRPr="00063055">
          <w:rPr>
            <w:rStyle w:val="Hyperlink"/>
            <w:rFonts w:asciiTheme="majorHAnsi" w:hAnsiTheme="majorHAnsi" w:cstheme="majorHAnsi"/>
            <w:sz w:val="16"/>
            <w:szCs w:val="16"/>
          </w:rPr>
          <w:t>http://www.abc.net.au/news/2013-08-09/health-sector-cuts-jack-snelling-jobs-mental-health-report-/4875228</w:t>
        </w:r>
      </w:hyperlink>
      <w:r w:rsidRPr="00063055">
        <w:rPr>
          <w:rStyle w:val="Hyperlink"/>
          <w:rFonts w:asciiTheme="majorHAnsi" w:hAnsiTheme="majorHAnsi" w:cstheme="majorHAnsi"/>
          <w:color w:val="000000" w:themeColor="text1"/>
          <w:sz w:val="16"/>
          <w:szCs w:val="16"/>
        </w:rPr>
        <w:t>.</w:t>
      </w:r>
      <w:proofErr w:type="gramEnd"/>
    </w:p>
  </w:endnote>
  <w:endnote w:id="144">
    <w:p w14:paraId="6B966AF9" w14:textId="534DF1B3" w:rsidR="00EB2441" w:rsidRPr="001F4FF2" w:rsidRDefault="00EB2441" w:rsidP="00560FB2">
      <w:pPr>
        <w:pStyle w:val="EndnoteText"/>
        <w:rPr>
          <w:rFonts w:asciiTheme="majorHAnsi" w:hAnsiTheme="majorHAnsi"/>
          <w:sz w:val="16"/>
          <w:szCs w:val="16"/>
          <w:highlight w:val="yellow"/>
        </w:rPr>
      </w:pPr>
      <w:r w:rsidRPr="001F4FF2">
        <w:rPr>
          <w:rStyle w:val="EndnoteReference"/>
          <w:rFonts w:asciiTheme="majorHAnsi" w:eastAsia="Calibri" w:hAnsiTheme="majorHAnsi"/>
          <w:sz w:val="16"/>
          <w:szCs w:val="16"/>
        </w:rPr>
        <w:endnoteRef/>
      </w:r>
      <w:r w:rsidRPr="001F4FF2">
        <w:rPr>
          <w:rFonts w:asciiTheme="majorHAnsi" w:hAnsiTheme="majorHAnsi"/>
          <w:sz w:val="16"/>
          <w:szCs w:val="16"/>
        </w:rPr>
        <w:t xml:space="preserve"> These comments were also printed in our 2013 Shadow Report see: </w:t>
      </w:r>
      <w:r w:rsidRPr="001F4FF2">
        <w:rPr>
          <w:rFonts w:asciiTheme="majorHAnsi" w:hAnsiTheme="majorHAnsi"/>
          <w:color w:val="000000" w:themeColor="text1"/>
          <w:sz w:val="16"/>
          <w:szCs w:val="16"/>
        </w:rPr>
        <w:t>Hunter E, ‘</w:t>
      </w:r>
      <w:r w:rsidRPr="001F4FF2">
        <w:rPr>
          <w:rFonts w:asciiTheme="majorHAnsi" w:hAnsiTheme="majorHAnsi"/>
          <w:sz w:val="16"/>
          <w:szCs w:val="16"/>
        </w:rPr>
        <w:t>Aborigines will bleed from cuts’, The Australian, 15 September 2012.</w:t>
      </w:r>
      <w:r w:rsidRPr="001F4FF2">
        <w:rPr>
          <w:rFonts w:asciiTheme="majorHAnsi" w:hAnsiTheme="majorHAnsi"/>
          <w:color w:val="000000" w:themeColor="text1"/>
          <w:sz w:val="16"/>
          <w:szCs w:val="16"/>
        </w:rPr>
        <w:t xml:space="preserve"> </w:t>
      </w:r>
      <w:proofErr w:type="gramStart"/>
      <w:r w:rsidRPr="001F4FF2">
        <w:rPr>
          <w:rFonts w:asciiTheme="majorHAnsi" w:hAnsiTheme="majorHAnsi"/>
          <w:color w:val="000000" w:themeColor="text1"/>
          <w:sz w:val="16"/>
          <w:szCs w:val="16"/>
        </w:rPr>
        <w:t xml:space="preserve">URL </w:t>
      </w:r>
      <w:hyperlink r:id="rId31" w:history="1">
        <w:r w:rsidRPr="001F4FF2">
          <w:rPr>
            <w:rStyle w:val="Hyperlink"/>
            <w:rFonts w:asciiTheme="majorHAnsi" w:hAnsiTheme="majorHAnsi"/>
            <w:sz w:val="16"/>
            <w:szCs w:val="16"/>
          </w:rPr>
          <w:t>http://www.theaustralian.com.au/national-affairs/opinion/aborigines-will-bleed-from-cuts/story-e6frgd0x-1226474433823</w:t>
        </w:r>
      </w:hyperlink>
      <w:r w:rsidRPr="001F4FF2">
        <w:rPr>
          <w:rFonts w:asciiTheme="majorHAnsi" w:hAnsiTheme="majorHAnsi"/>
          <w:color w:val="000000" w:themeColor="text1"/>
          <w:sz w:val="16"/>
          <w:szCs w:val="16"/>
        </w:rPr>
        <w:t>.</w:t>
      </w:r>
      <w:proofErr w:type="gramEnd"/>
      <w:r>
        <w:rPr>
          <w:rFonts w:asciiTheme="majorHAnsi" w:hAnsiTheme="majorHAnsi"/>
          <w:color w:val="000000" w:themeColor="text1"/>
          <w:sz w:val="16"/>
          <w:szCs w:val="16"/>
        </w:rPr>
        <w:t xml:space="preserve"> </w:t>
      </w:r>
    </w:p>
  </w:endnote>
  <w:endnote w:id="145">
    <w:p w14:paraId="0492C567" w14:textId="207AD196" w:rsidR="00EB2441" w:rsidRPr="00E405CC" w:rsidRDefault="00EB2441" w:rsidP="00560FB2">
      <w:pPr>
        <w:pStyle w:val="EndnoteText"/>
        <w:rPr>
          <w:rFonts w:asciiTheme="majorHAnsi" w:hAnsiTheme="majorHAnsi"/>
          <w:sz w:val="16"/>
          <w:szCs w:val="16"/>
        </w:rPr>
      </w:pPr>
      <w:r w:rsidRPr="001F4FF2">
        <w:rPr>
          <w:rStyle w:val="EndnoteReference"/>
          <w:rFonts w:asciiTheme="majorHAnsi" w:eastAsia="Calibri" w:hAnsiTheme="majorHAnsi"/>
          <w:sz w:val="16"/>
          <w:szCs w:val="16"/>
        </w:rPr>
        <w:endnoteRef/>
      </w:r>
      <w:r w:rsidRPr="001F4FF2">
        <w:rPr>
          <w:rFonts w:asciiTheme="majorHAnsi" w:hAnsiTheme="majorHAnsi"/>
          <w:sz w:val="16"/>
          <w:szCs w:val="16"/>
        </w:rPr>
        <w:t xml:space="preserve"> </w:t>
      </w:r>
      <w:proofErr w:type="gramStart"/>
      <w:r w:rsidRPr="001F4FF2">
        <w:rPr>
          <w:rFonts w:asciiTheme="majorHAnsi" w:hAnsiTheme="majorHAnsi"/>
          <w:sz w:val="16"/>
          <w:szCs w:val="16"/>
        </w:rPr>
        <w:t>Hunter, above note 144.</w:t>
      </w:r>
      <w:proofErr w:type="gramEnd"/>
    </w:p>
  </w:endnote>
  <w:endnote w:id="146">
    <w:p w14:paraId="0DD5C95C" w14:textId="0DC5860B" w:rsidR="00EB2441" w:rsidRPr="007B3EBD" w:rsidRDefault="00EB2441">
      <w:pPr>
        <w:pStyle w:val="EndnoteText"/>
        <w:rPr>
          <w:rFonts w:asciiTheme="majorHAnsi" w:hAnsiTheme="majorHAnsi"/>
          <w:sz w:val="16"/>
          <w:szCs w:val="16"/>
          <w:lang w:val="en-US"/>
        </w:rPr>
      </w:pPr>
      <w:r w:rsidRPr="007D0032">
        <w:rPr>
          <w:rStyle w:val="EndnoteReference"/>
          <w:rFonts w:asciiTheme="majorHAnsi" w:hAnsiTheme="majorHAnsi"/>
          <w:sz w:val="16"/>
          <w:szCs w:val="16"/>
        </w:rPr>
        <w:endnoteRef/>
      </w:r>
      <w:r w:rsidRPr="007D0032">
        <w:rPr>
          <w:rFonts w:asciiTheme="majorHAnsi" w:hAnsiTheme="majorHAnsi"/>
          <w:sz w:val="16"/>
          <w:szCs w:val="16"/>
        </w:rPr>
        <w:t xml:space="preserve"> </w:t>
      </w:r>
      <w:proofErr w:type="gramStart"/>
      <w:r w:rsidRPr="007D0032">
        <w:rPr>
          <w:rFonts w:asciiTheme="majorHAnsi" w:hAnsiTheme="majorHAnsi"/>
          <w:sz w:val="16"/>
          <w:szCs w:val="16"/>
          <w:lang w:val="en-US"/>
        </w:rPr>
        <w:t xml:space="preserve">Australian Government, </w:t>
      </w:r>
      <w:r w:rsidRPr="007D0032">
        <w:rPr>
          <w:rFonts w:asciiTheme="majorHAnsi" w:hAnsiTheme="majorHAnsi"/>
          <w:i/>
          <w:sz w:val="16"/>
          <w:szCs w:val="16"/>
          <w:lang w:val="en-US"/>
        </w:rPr>
        <w:t>Budget Measures, Budget Paper 2 2014-2015</w:t>
      </w:r>
      <w:r>
        <w:rPr>
          <w:rFonts w:asciiTheme="majorHAnsi" w:hAnsiTheme="majorHAnsi"/>
          <w:sz w:val="16"/>
          <w:szCs w:val="16"/>
          <w:lang w:val="en-US"/>
        </w:rPr>
        <w:t>, 2014, p 187</w:t>
      </w:r>
      <w:r w:rsidRPr="007D0032">
        <w:rPr>
          <w:rFonts w:asciiTheme="majorHAnsi" w:hAnsiTheme="majorHAnsi"/>
          <w:sz w:val="16"/>
          <w:szCs w:val="16"/>
          <w:lang w:val="en-US"/>
        </w:rPr>
        <w:t>.</w:t>
      </w:r>
      <w:proofErr w:type="gramEnd"/>
      <w:r w:rsidRPr="007D0032">
        <w:rPr>
          <w:rFonts w:asciiTheme="majorHAnsi" w:hAnsiTheme="majorHAnsi"/>
          <w:sz w:val="16"/>
          <w:szCs w:val="16"/>
          <w:lang w:val="en-US"/>
        </w:rPr>
        <w:t xml:space="preserve"> </w:t>
      </w:r>
      <w:proofErr w:type="gramStart"/>
      <w:r w:rsidRPr="007D0032">
        <w:rPr>
          <w:rFonts w:asciiTheme="majorHAnsi" w:hAnsiTheme="majorHAnsi"/>
          <w:sz w:val="16"/>
          <w:szCs w:val="16"/>
          <w:lang w:val="en-US"/>
        </w:rPr>
        <w:t xml:space="preserve">URL </w:t>
      </w:r>
      <w:hyperlink r:id="rId32" w:history="1">
        <w:r w:rsidRPr="007D0032">
          <w:rPr>
            <w:rStyle w:val="Hyperlink"/>
            <w:rFonts w:asciiTheme="majorHAnsi" w:hAnsiTheme="majorHAnsi"/>
            <w:sz w:val="16"/>
            <w:szCs w:val="16"/>
            <w:lang w:val="en-US"/>
          </w:rPr>
          <w:t>http://www.budget.gov.au/2014-15/content/bp2/html/index.htm</w:t>
        </w:r>
      </w:hyperlink>
      <w:r w:rsidRPr="007D0032">
        <w:rPr>
          <w:rFonts w:asciiTheme="majorHAnsi" w:hAnsiTheme="majorHAnsi"/>
          <w:sz w:val="16"/>
          <w:szCs w:val="16"/>
          <w:lang w:val="en-US"/>
        </w:rPr>
        <w:t>.</w:t>
      </w:r>
      <w:proofErr w:type="gramEnd"/>
    </w:p>
  </w:endnote>
  <w:endnote w:id="147">
    <w:p w14:paraId="50184556" w14:textId="77777777" w:rsidR="00EB2441" w:rsidRPr="00E405CC" w:rsidRDefault="00EB2441" w:rsidP="006A7E17">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063055">
        <w:rPr>
          <w:rFonts w:asciiTheme="majorHAnsi" w:hAnsiTheme="majorHAnsi"/>
          <w:sz w:val="16"/>
          <w:szCs w:val="16"/>
        </w:rPr>
        <w:t xml:space="preserve">Department of the Prime Minister and Cabinet, </w:t>
      </w:r>
      <w:r w:rsidRPr="00063055">
        <w:rPr>
          <w:rFonts w:asciiTheme="majorHAnsi" w:hAnsiTheme="majorHAnsi"/>
          <w:i/>
          <w:sz w:val="16"/>
          <w:szCs w:val="16"/>
        </w:rPr>
        <w:t>Portfolio Budget Statement</w:t>
      </w:r>
      <w:r w:rsidRPr="00063055">
        <w:rPr>
          <w:rFonts w:asciiTheme="majorHAnsi" w:hAnsiTheme="majorHAnsi"/>
          <w:sz w:val="16"/>
          <w:szCs w:val="16"/>
        </w:rPr>
        <w:t xml:space="preserve"> </w:t>
      </w:r>
      <w:r w:rsidRPr="00063055">
        <w:rPr>
          <w:rFonts w:asciiTheme="majorHAnsi" w:hAnsiTheme="majorHAnsi"/>
          <w:i/>
          <w:sz w:val="16"/>
          <w:szCs w:val="16"/>
        </w:rPr>
        <w:t>2014-2015</w:t>
      </w:r>
      <w:r w:rsidRPr="00063055">
        <w:rPr>
          <w:rFonts w:asciiTheme="majorHAnsi" w:hAnsiTheme="majorHAnsi"/>
          <w:sz w:val="16"/>
          <w:szCs w:val="16"/>
        </w:rPr>
        <w:t>, Budget Related Paper No. 1.14</w:t>
      </w:r>
      <w:r>
        <w:rPr>
          <w:rFonts w:asciiTheme="majorHAnsi" w:hAnsiTheme="majorHAnsi"/>
          <w:sz w:val="16"/>
          <w:szCs w:val="16"/>
        </w:rPr>
        <w:t>, 2014</w:t>
      </w:r>
      <w:r w:rsidRPr="00063055">
        <w:rPr>
          <w:rFonts w:asciiTheme="majorHAnsi" w:hAnsiTheme="majorHAnsi"/>
          <w:sz w:val="16"/>
          <w:szCs w:val="16"/>
        </w:rPr>
        <w:t>, p 25.</w:t>
      </w:r>
      <w:proofErr w:type="gramEnd"/>
      <w:r w:rsidRPr="00063055">
        <w:rPr>
          <w:rFonts w:asciiTheme="majorHAnsi" w:hAnsiTheme="majorHAnsi"/>
          <w:sz w:val="16"/>
          <w:szCs w:val="16"/>
        </w:rPr>
        <w:t xml:space="preserve"> </w:t>
      </w:r>
    </w:p>
  </w:endnote>
  <w:endnote w:id="148">
    <w:p w14:paraId="4E28D62C" w14:textId="77777777" w:rsidR="00EB2441" w:rsidRPr="00E405CC" w:rsidRDefault="00EB2441" w:rsidP="006A7E17">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See the Close the Gap Clearinghouse website. </w:t>
      </w:r>
      <w:proofErr w:type="gramStart"/>
      <w:r w:rsidRPr="00E405CC">
        <w:rPr>
          <w:rFonts w:asciiTheme="majorHAnsi" w:hAnsiTheme="majorHAnsi"/>
          <w:sz w:val="16"/>
          <w:szCs w:val="16"/>
        </w:rPr>
        <w:t xml:space="preserve">URL </w:t>
      </w:r>
      <w:hyperlink r:id="rId33" w:history="1">
        <w:r w:rsidRPr="00E405CC">
          <w:rPr>
            <w:rStyle w:val="Hyperlink"/>
            <w:rFonts w:asciiTheme="majorHAnsi" w:hAnsiTheme="majorHAnsi"/>
            <w:sz w:val="16"/>
            <w:szCs w:val="16"/>
          </w:rPr>
          <w:t>http://www.aihw.gov.au/closingthegap/</w:t>
        </w:r>
      </w:hyperlink>
      <w:r w:rsidRPr="00E405CC">
        <w:rPr>
          <w:rFonts w:asciiTheme="majorHAnsi" w:hAnsiTheme="majorHAnsi"/>
          <w:sz w:val="16"/>
          <w:szCs w:val="16"/>
        </w:rPr>
        <w:t>.</w:t>
      </w:r>
      <w:proofErr w:type="gramEnd"/>
    </w:p>
  </w:endnote>
  <w:endnote w:id="149">
    <w:p w14:paraId="0E1782C9" w14:textId="253E2D67" w:rsidR="00EB2441" w:rsidRPr="00425D5C" w:rsidRDefault="00EB2441">
      <w:pPr>
        <w:pStyle w:val="EndnoteText"/>
        <w:rPr>
          <w:rFonts w:asciiTheme="majorHAnsi" w:hAnsiTheme="majorHAnsi"/>
          <w:sz w:val="16"/>
          <w:szCs w:val="16"/>
          <w:lang w:val="en-US"/>
        </w:rPr>
      </w:pPr>
      <w:r w:rsidRPr="007D0032">
        <w:rPr>
          <w:rStyle w:val="EndnoteReference"/>
          <w:rFonts w:asciiTheme="majorHAnsi" w:hAnsiTheme="majorHAnsi"/>
          <w:sz w:val="16"/>
          <w:szCs w:val="16"/>
        </w:rPr>
        <w:endnoteRef/>
      </w:r>
      <w:r w:rsidRPr="007D0032">
        <w:rPr>
          <w:rFonts w:asciiTheme="majorHAnsi" w:hAnsiTheme="majorHAnsi"/>
          <w:sz w:val="16"/>
          <w:szCs w:val="16"/>
        </w:rPr>
        <w:t xml:space="preserve"> </w:t>
      </w:r>
      <w:proofErr w:type="gramStart"/>
      <w:r w:rsidRPr="007D0032">
        <w:rPr>
          <w:rFonts w:asciiTheme="majorHAnsi" w:hAnsiTheme="majorHAnsi"/>
          <w:sz w:val="16"/>
          <w:szCs w:val="16"/>
          <w:lang w:val="en-US"/>
        </w:rPr>
        <w:t xml:space="preserve">Australian Government, </w:t>
      </w:r>
      <w:r w:rsidRPr="007D0032">
        <w:rPr>
          <w:rFonts w:asciiTheme="majorHAnsi" w:hAnsiTheme="majorHAnsi"/>
          <w:i/>
          <w:sz w:val="16"/>
          <w:szCs w:val="16"/>
          <w:lang w:val="en-US"/>
        </w:rPr>
        <w:t xml:space="preserve">Mid-Year Economic and Fiscal Outlook 20145-15, </w:t>
      </w:r>
      <w:r w:rsidRPr="007D0032">
        <w:rPr>
          <w:rFonts w:asciiTheme="majorHAnsi" w:hAnsiTheme="majorHAnsi"/>
          <w:sz w:val="16"/>
          <w:szCs w:val="16"/>
          <w:lang w:val="en-US"/>
        </w:rPr>
        <w:t>2014, p 171.</w:t>
      </w:r>
      <w:proofErr w:type="gramEnd"/>
      <w:r w:rsidRPr="007D0032">
        <w:rPr>
          <w:rFonts w:asciiTheme="majorHAnsi" w:hAnsiTheme="majorHAnsi"/>
          <w:sz w:val="16"/>
          <w:szCs w:val="16"/>
          <w:lang w:val="en-US"/>
        </w:rPr>
        <w:t xml:space="preserve"> </w:t>
      </w:r>
      <w:proofErr w:type="gramStart"/>
      <w:r w:rsidRPr="007D0032">
        <w:rPr>
          <w:rFonts w:asciiTheme="majorHAnsi" w:hAnsiTheme="majorHAnsi"/>
          <w:sz w:val="16"/>
          <w:szCs w:val="16"/>
          <w:lang w:val="en-US"/>
        </w:rPr>
        <w:t xml:space="preserve">URL </w:t>
      </w:r>
      <w:hyperlink r:id="rId34" w:history="1">
        <w:r w:rsidRPr="007D0032">
          <w:rPr>
            <w:rStyle w:val="Hyperlink"/>
            <w:rFonts w:asciiTheme="majorHAnsi" w:hAnsiTheme="majorHAnsi"/>
            <w:sz w:val="16"/>
            <w:szCs w:val="16"/>
            <w:lang w:val="en-US"/>
          </w:rPr>
          <w:t>http://www.budget.gov.au/2014-15/content/myefo/html/index.htm</w:t>
        </w:r>
      </w:hyperlink>
      <w:r w:rsidRPr="007D0032">
        <w:rPr>
          <w:rFonts w:asciiTheme="majorHAnsi" w:hAnsiTheme="majorHAnsi"/>
          <w:sz w:val="16"/>
          <w:szCs w:val="16"/>
          <w:lang w:val="en-US"/>
        </w:rPr>
        <w:t>.</w:t>
      </w:r>
      <w:proofErr w:type="gramEnd"/>
      <w:r>
        <w:rPr>
          <w:rFonts w:asciiTheme="majorHAnsi" w:hAnsiTheme="majorHAnsi"/>
          <w:sz w:val="16"/>
          <w:szCs w:val="16"/>
          <w:lang w:val="en-US"/>
        </w:rPr>
        <w:t xml:space="preserve"> </w:t>
      </w:r>
    </w:p>
  </w:endnote>
  <w:endnote w:id="150">
    <w:p w14:paraId="43B3C0CB" w14:textId="77777777" w:rsidR="00EB2441" w:rsidRPr="00E405CC" w:rsidRDefault="00EB2441" w:rsidP="0071401E">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sz w:val="16"/>
          <w:szCs w:val="16"/>
        </w:rPr>
        <w:t>Department of Finance and Deregulation, above note 1</w:t>
      </w:r>
      <w:r>
        <w:rPr>
          <w:rFonts w:asciiTheme="majorHAnsi" w:hAnsiTheme="majorHAnsi"/>
          <w:sz w:val="16"/>
          <w:szCs w:val="16"/>
        </w:rPr>
        <w:t>26</w:t>
      </w:r>
      <w:r w:rsidRPr="00E405CC">
        <w:rPr>
          <w:rFonts w:asciiTheme="majorHAnsi" w:hAnsiTheme="majorHAnsi"/>
          <w:sz w:val="16"/>
          <w:szCs w:val="16"/>
        </w:rPr>
        <w:t>, p 11.</w:t>
      </w:r>
      <w:proofErr w:type="gramEnd"/>
      <w:r w:rsidRPr="00E405CC">
        <w:rPr>
          <w:rFonts w:asciiTheme="majorHAnsi" w:hAnsiTheme="majorHAnsi"/>
          <w:sz w:val="16"/>
          <w:szCs w:val="16"/>
        </w:rPr>
        <w:t xml:space="preserve"> </w:t>
      </w:r>
      <w:r w:rsidRPr="00E405CC">
        <w:rPr>
          <w:rFonts w:asciiTheme="majorHAnsi" w:hAnsiTheme="majorHAnsi"/>
          <w:i/>
          <w:sz w:val="16"/>
          <w:szCs w:val="16"/>
        </w:rPr>
        <w:t xml:space="preserve"> </w:t>
      </w:r>
    </w:p>
  </w:endnote>
  <w:endnote w:id="151">
    <w:p w14:paraId="61F801C3"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E405CC">
        <w:rPr>
          <w:rFonts w:asciiTheme="majorHAnsi" w:hAnsiTheme="majorHAnsi"/>
          <w:color w:val="000000" w:themeColor="text1"/>
          <w:sz w:val="16"/>
          <w:szCs w:val="16"/>
        </w:rPr>
        <w:t xml:space="preserve">Australian Government, above note 1, </w:t>
      </w:r>
      <w:proofErr w:type="spellStart"/>
      <w:r w:rsidRPr="00E405CC">
        <w:rPr>
          <w:rFonts w:asciiTheme="majorHAnsi" w:hAnsiTheme="majorHAnsi"/>
          <w:sz w:val="16"/>
          <w:szCs w:val="16"/>
          <w:lang w:val="en-US"/>
        </w:rPr>
        <w:t>pp</w:t>
      </w:r>
      <w:proofErr w:type="spellEnd"/>
      <w:r w:rsidRPr="00E405CC">
        <w:rPr>
          <w:rFonts w:asciiTheme="majorHAnsi" w:hAnsiTheme="majorHAnsi"/>
          <w:sz w:val="16"/>
          <w:szCs w:val="16"/>
          <w:lang w:val="en-US"/>
        </w:rPr>
        <w:t xml:space="preserve"> 2-3.</w:t>
      </w:r>
    </w:p>
  </w:endnote>
  <w:endnote w:id="152">
    <w:p w14:paraId="437EA4B7" w14:textId="461C3CA7" w:rsidR="00EB2441" w:rsidRPr="009A737A" w:rsidRDefault="00EB2441">
      <w:pPr>
        <w:pStyle w:val="EndnoteText"/>
        <w:rPr>
          <w:rFonts w:asciiTheme="majorHAnsi" w:hAnsiTheme="majorHAnsi"/>
          <w:sz w:val="16"/>
          <w:szCs w:val="16"/>
          <w:lang w:val="en-US"/>
        </w:rPr>
      </w:pPr>
      <w:r w:rsidRPr="007D0032">
        <w:rPr>
          <w:rStyle w:val="EndnoteReference"/>
          <w:rFonts w:asciiTheme="majorHAnsi" w:hAnsiTheme="majorHAnsi"/>
          <w:sz w:val="16"/>
          <w:szCs w:val="16"/>
        </w:rPr>
        <w:endnoteRef/>
      </w:r>
      <w:r w:rsidRPr="007D0032">
        <w:rPr>
          <w:rFonts w:asciiTheme="majorHAnsi" w:hAnsiTheme="majorHAnsi"/>
          <w:sz w:val="16"/>
          <w:szCs w:val="16"/>
        </w:rPr>
        <w:t xml:space="preserve"> </w:t>
      </w:r>
      <w:proofErr w:type="gramStart"/>
      <w:r w:rsidRPr="007D0032">
        <w:rPr>
          <w:rFonts w:asciiTheme="majorHAnsi" w:hAnsiTheme="majorHAnsi"/>
          <w:sz w:val="16"/>
          <w:szCs w:val="16"/>
          <w:lang w:val="en-US"/>
        </w:rPr>
        <w:t xml:space="preserve">See Department of the Prime Minister and Cabinet, </w:t>
      </w:r>
      <w:r w:rsidRPr="007D0032">
        <w:rPr>
          <w:rFonts w:asciiTheme="majorHAnsi" w:hAnsiTheme="majorHAnsi"/>
          <w:i/>
          <w:sz w:val="16"/>
          <w:szCs w:val="16"/>
          <w:lang w:val="en-US"/>
        </w:rPr>
        <w:t>Indigenous Advancement Strategy</w:t>
      </w:r>
      <w:r w:rsidRPr="007D0032">
        <w:rPr>
          <w:rFonts w:asciiTheme="majorHAnsi" w:hAnsiTheme="majorHAnsi"/>
          <w:sz w:val="16"/>
          <w:szCs w:val="16"/>
          <w:lang w:val="en-US"/>
        </w:rPr>
        <w:t>.</w:t>
      </w:r>
      <w:proofErr w:type="gramEnd"/>
      <w:r w:rsidRPr="007D0032">
        <w:rPr>
          <w:rFonts w:asciiTheme="majorHAnsi" w:hAnsiTheme="majorHAnsi"/>
          <w:sz w:val="16"/>
          <w:szCs w:val="16"/>
          <w:lang w:val="en-US"/>
        </w:rPr>
        <w:t xml:space="preserve"> </w:t>
      </w:r>
      <w:proofErr w:type="gramStart"/>
      <w:r w:rsidRPr="007D0032">
        <w:rPr>
          <w:rFonts w:asciiTheme="majorHAnsi" w:hAnsiTheme="majorHAnsi"/>
          <w:sz w:val="16"/>
          <w:szCs w:val="16"/>
          <w:lang w:val="en-US"/>
        </w:rPr>
        <w:t xml:space="preserve">URL </w:t>
      </w:r>
      <w:hyperlink r:id="rId35" w:history="1">
        <w:r w:rsidRPr="007D0032">
          <w:rPr>
            <w:rStyle w:val="Hyperlink"/>
            <w:rFonts w:asciiTheme="majorHAnsi" w:hAnsiTheme="majorHAnsi"/>
            <w:sz w:val="16"/>
            <w:szCs w:val="16"/>
            <w:lang w:val="en-US"/>
          </w:rPr>
          <w:t>http://www.dpmc.gov.au/indigenous-affairs/about/indigenous-advancement-strategy</w:t>
        </w:r>
      </w:hyperlink>
      <w:r w:rsidRPr="007D0032">
        <w:rPr>
          <w:rFonts w:asciiTheme="majorHAnsi" w:hAnsiTheme="majorHAnsi"/>
          <w:sz w:val="16"/>
          <w:szCs w:val="16"/>
          <w:lang w:val="en-US"/>
        </w:rPr>
        <w:t>.</w:t>
      </w:r>
      <w:proofErr w:type="gramEnd"/>
      <w:r>
        <w:rPr>
          <w:rFonts w:asciiTheme="majorHAnsi" w:hAnsiTheme="majorHAnsi"/>
          <w:sz w:val="16"/>
          <w:szCs w:val="16"/>
          <w:lang w:val="en-US"/>
        </w:rPr>
        <w:t xml:space="preserve"> </w:t>
      </w:r>
    </w:p>
  </w:endnote>
  <w:endnote w:id="153">
    <w:p w14:paraId="026883C4" w14:textId="66FD87D3" w:rsidR="00EB2441" w:rsidRPr="00063055" w:rsidRDefault="00EB2441" w:rsidP="00560FB2">
      <w:pPr>
        <w:pStyle w:val="EndnoteText"/>
        <w:rPr>
          <w:rFonts w:asciiTheme="majorHAnsi" w:hAnsiTheme="majorHAnsi"/>
          <w:sz w:val="16"/>
          <w:szCs w:val="16"/>
        </w:rPr>
      </w:pPr>
      <w:r w:rsidRPr="00063055">
        <w:rPr>
          <w:rStyle w:val="EndnoteReference"/>
          <w:rFonts w:asciiTheme="majorHAnsi" w:hAnsiTheme="majorHAnsi"/>
          <w:sz w:val="16"/>
          <w:szCs w:val="16"/>
        </w:rPr>
        <w:endnoteRef/>
      </w:r>
      <w:r w:rsidRPr="00063055">
        <w:rPr>
          <w:rFonts w:asciiTheme="majorHAnsi" w:hAnsiTheme="majorHAnsi"/>
          <w:sz w:val="16"/>
          <w:szCs w:val="16"/>
        </w:rPr>
        <w:t xml:space="preserve"> Australian Government, </w:t>
      </w:r>
      <w:r>
        <w:rPr>
          <w:rFonts w:asciiTheme="majorHAnsi" w:hAnsiTheme="majorHAnsi"/>
          <w:sz w:val="16"/>
          <w:szCs w:val="16"/>
        </w:rPr>
        <w:t xml:space="preserve">above note 146, </w:t>
      </w:r>
      <w:r w:rsidRPr="00063055">
        <w:rPr>
          <w:rFonts w:asciiTheme="majorHAnsi" w:hAnsiTheme="majorHAnsi"/>
          <w:sz w:val="16"/>
          <w:szCs w:val="16"/>
        </w:rPr>
        <w:t>p 185.</w:t>
      </w:r>
    </w:p>
  </w:endnote>
  <w:endnote w:id="154">
    <w:p w14:paraId="7E939538" w14:textId="77777777"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Pr>
          <w:rFonts w:asciiTheme="majorHAnsi" w:hAnsiTheme="majorHAnsi"/>
          <w:color w:val="000000" w:themeColor="text1"/>
          <w:sz w:val="16"/>
          <w:szCs w:val="16"/>
          <w:lang w:val="en-US"/>
        </w:rPr>
        <w:t>Gooda</w:t>
      </w:r>
      <w:r w:rsidRPr="00E405CC">
        <w:rPr>
          <w:rFonts w:asciiTheme="majorHAnsi" w:hAnsiTheme="majorHAnsi"/>
          <w:color w:val="000000" w:themeColor="text1"/>
          <w:sz w:val="16"/>
          <w:szCs w:val="16"/>
          <w:lang w:val="en-US"/>
        </w:rPr>
        <w:t xml:space="preserve"> M, ‘</w:t>
      </w:r>
      <w:r w:rsidRPr="00E405CC">
        <w:rPr>
          <w:rFonts w:asciiTheme="majorHAnsi" w:hAnsiTheme="majorHAnsi"/>
          <w:sz w:val="16"/>
          <w:szCs w:val="16"/>
        </w:rPr>
        <w:t xml:space="preserve">This budget could devastate Indigenous Australians’, </w:t>
      </w:r>
      <w:r w:rsidRPr="00E405CC">
        <w:rPr>
          <w:rFonts w:asciiTheme="majorHAnsi" w:hAnsiTheme="majorHAnsi"/>
          <w:i/>
          <w:sz w:val="16"/>
          <w:szCs w:val="16"/>
        </w:rPr>
        <w:t>The Drum</w:t>
      </w:r>
      <w:r w:rsidRPr="00E405CC">
        <w:rPr>
          <w:rFonts w:asciiTheme="majorHAnsi" w:hAnsiTheme="majorHAnsi"/>
          <w:sz w:val="16"/>
          <w:szCs w:val="16"/>
        </w:rPr>
        <w:t xml:space="preserve">, 20 May 2014. </w:t>
      </w:r>
      <w:proofErr w:type="gramStart"/>
      <w:r w:rsidRPr="00E405CC">
        <w:rPr>
          <w:rFonts w:asciiTheme="majorHAnsi" w:hAnsiTheme="majorHAnsi"/>
          <w:sz w:val="16"/>
          <w:szCs w:val="16"/>
        </w:rPr>
        <w:t xml:space="preserve">URL </w:t>
      </w:r>
      <w:hyperlink r:id="rId36" w:history="1">
        <w:r w:rsidRPr="00E405CC">
          <w:rPr>
            <w:rStyle w:val="Hyperlink"/>
            <w:rFonts w:asciiTheme="majorHAnsi" w:hAnsiTheme="majorHAnsi"/>
            <w:sz w:val="16"/>
            <w:szCs w:val="16"/>
          </w:rPr>
          <w:t>http://www.abc.net.au/news/2014-05-20/gooda-this-budget-could-devastate-indigenous-australians/5462748</w:t>
        </w:r>
      </w:hyperlink>
      <w:r w:rsidRPr="00E405CC">
        <w:rPr>
          <w:rFonts w:asciiTheme="majorHAnsi" w:hAnsiTheme="majorHAnsi"/>
          <w:sz w:val="16"/>
          <w:szCs w:val="16"/>
        </w:rPr>
        <w:t>.</w:t>
      </w:r>
      <w:proofErr w:type="gramEnd"/>
      <w:r w:rsidRPr="00E405CC">
        <w:rPr>
          <w:sz w:val="16"/>
          <w:szCs w:val="16"/>
        </w:rPr>
        <w:t xml:space="preserve"> </w:t>
      </w:r>
    </w:p>
  </w:endnote>
  <w:endnote w:id="155">
    <w:p w14:paraId="7ED08D30"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Gooda M, </w:t>
      </w:r>
      <w:r w:rsidRPr="00E405CC">
        <w:rPr>
          <w:rFonts w:asciiTheme="majorHAnsi" w:hAnsiTheme="majorHAnsi"/>
          <w:i/>
          <w:sz w:val="16"/>
          <w:szCs w:val="16"/>
        </w:rPr>
        <w:t>Engage with us, says Commissioner Gooda</w:t>
      </w:r>
      <w:r w:rsidRPr="00E405CC">
        <w:rPr>
          <w:rFonts w:asciiTheme="majorHAnsi" w:hAnsiTheme="majorHAnsi"/>
          <w:sz w:val="16"/>
          <w:szCs w:val="16"/>
        </w:rPr>
        <w:t xml:space="preserve">, 8 December 2014, (Media Release). </w:t>
      </w:r>
      <w:proofErr w:type="gramStart"/>
      <w:r w:rsidRPr="00E405CC">
        <w:rPr>
          <w:rFonts w:asciiTheme="majorHAnsi" w:hAnsiTheme="majorHAnsi"/>
          <w:sz w:val="16"/>
          <w:szCs w:val="16"/>
        </w:rPr>
        <w:t xml:space="preserve">URL </w:t>
      </w:r>
      <w:hyperlink r:id="rId37" w:history="1">
        <w:r w:rsidRPr="00E405CC">
          <w:rPr>
            <w:rStyle w:val="Hyperlink"/>
            <w:rFonts w:asciiTheme="majorHAnsi" w:hAnsiTheme="majorHAnsi"/>
            <w:sz w:val="16"/>
            <w:szCs w:val="16"/>
          </w:rPr>
          <w:t>https://www.humanrights.gov.au/news/opinions/engage-us-says-commissioner-gooda</w:t>
        </w:r>
      </w:hyperlink>
      <w:r w:rsidRPr="00E405CC">
        <w:rPr>
          <w:rFonts w:asciiTheme="majorHAnsi" w:hAnsiTheme="majorHAnsi"/>
          <w:sz w:val="16"/>
          <w:szCs w:val="16"/>
        </w:rPr>
        <w:t>.</w:t>
      </w:r>
      <w:proofErr w:type="gramEnd"/>
      <w:r w:rsidRPr="00E405CC">
        <w:rPr>
          <w:rFonts w:asciiTheme="majorHAnsi" w:hAnsiTheme="majorHAnsi"/>
          <w:sz w:val="16"/>
          <w:szCs w:val="16"/>
        </w:rPr>
        <w:t xml:space="preserve"> </w:t>
      </w:r>
    </w:p>
  </w:endnote>
  <w:endnote w:id="156">
    <w:p w14:paraId="21C56758" w14:textId="77777777" w:rsidR="00EB2441" w:rsidRPr="00E405CC" w:rsidRDefault="00EB2441">
      <w:pPr>
        <w:pStyle w:val="EndnoteText"/>
        <w:rPr>
          <w:rFonts w:asciiTheme="majorHAnsi" w:hAnsiTheme="majorHAnsi" w:cstheme="majorHAnsi"/>
          <w:sz w:val="16"/>
          <w:szCs w:val="16"/>
        </w:rPr>
      </w:pPr>
      <w:r w:rsidRPr="00E405CC">
        <w:rPr>
          <w:rStyle w:val="EndnoteReference"/>
          <w:rFonts w:asciiTheme="majorHAnsi" w:hAnsiTheme="majorHAnsi" w:cstheme="majorHAnsi"/>
          <w:sz w:val="16"/>
          <w:szCs w:val="16"/>
        </w:rPr>
        <w:endnoteRef/>
      </w:r>
      <w:r>
        <w:rPr>
          <w:rFonts w:asciiTheme="majorHAnsi" w:hAnsiTheme="majorHAnsi" w:cstheme="majorHAnsi"/>
          <w:sz w:val="16"/>
          <w:szCs w:val="16"/>
        </w:rPr>
        <w:t xml:space="preserve"> </w:t>
      </w:r>
      <w:proofErr w:type="gramStart"/>
      <w:r>
        <w:rPr>
          <w:rFonts w:asciiTheme="majorHAnsi" w:hAnsiTheme="majorHAnsi" w:cstheme="majorHAnsi"/>
          <w:sz w:val="16"/>
          <w:szCs w:val="16"/>
        </w:rPr>
        <w:t>Scullion</w:t>
      </w:r>
      <w:r w:rsidRPr="00E405CC">
        <w:rPr>
          <w:rFonts w:asciiTheme="majorHAnsi" w:hAnsiTheme="majorHAnsi" w:cstheme="majorHAnsi"/>
          <w:sz w:val="16"/>
          <w:szCs w:val="16"/>
        </w:rPr>
        <w:t xml:space="preserve"> </w:t>
      </w:r>
      <w:r>
        <w:rPr>
          <w:rFonts w:asciiTheme="majorHAnsi" w:hAnsiTheme="majorHAnsi" w:cstheme="majorHAnsi"/>
          <w:sz w:val="16"/>
          <w:szCs w:val="16"/>
        </w:rPr>
        <w:t xml:space="preserve">Hon. </w:t>
      </w:r>
      <w:r w:rsidRPr="00E405CC">
        <w:rPr>
          <w:rFonts w:asciiTheme="majorHAnsi" w:hAnsiTheme="majorHAnsi" w:cstheme="majorHAnsi"/>
          <w:sz w:val="16"/>
          <w:szCs w:val="16"/>
        </w:rPr>
        <w:t xml:space="preserve">N, </w:t>
      </w:r>
      <w:r w:rsidRPr="00E405CC">
        <w:rPr>
          <w:rFonts w:asciiTheme="majorHAnsi" w:hAnsiTheme="majorHAnsi" w:cstheme="majorHAnsi"/>
          <w:i/>
          <w:sz w:val="16"/>
          <w:szCs w:val="16"/>
        </w:rPr>
        <w:t>Indigenous Grant Round</w:t>
      </w:r>
      <w:r w:rsidRPr="00E405CC">
        <w:rPr>
          <w:rFonts w:asciiTheme="majorHAnsi" w:hAnsiTheme="majorHAnsi" w:cstheme="majorHAnsi"/>
          <w:sz w:val="16"/>
          <w:szCs w:val="16"/>
        </w:rPr>
        <w:t>, 24 November 2014 (Media Release)</w:t>
      </w:r>
      <w:r w:rsidRPr="00E405CC">
        <w:rPr>
          <w:sz w:val="16"/>
          <w:szCs w:val="16"/>
        </w:rPr>
        <w:t xml:space="preserve"> </w:t>
      </w:r>
      <w:hyperlink r:id="rId38" w:history="1">
        <w:r w:rsidRPr="00E405CC">
          <w:rPr>
            <w:rStyle w:val="Hyperlink"/>
            <w:rFonts w:asciiTheme="majorHAnsi" w:hAnsiTheme="majorHAnsi" w:cstheme="majorHAnsi"/>
            <w:sz w:val="16"/>
            <w:szCs w:val="16"/>
          </w:rPr>
          <w:t>http://www.nigelscullion.com/media-hub/indigenous-affairs/indigenous-grant-round</w:t>
        </w:r>
      </w:hyperlink>
      <w:r w:rsidRPr="00E405CC">
        <w:rPr>
          <w:rFonts w:asciiTheme="majorHAnsi" w:hAnsiTheme="majorHAnsi" w:cstheme="majorHAnsi"/>
          <w:sz w:val="16"/>
          <w:szCs w:val="16"/>
        </w:rPr>
        <w:t>.</w:t>
      </w:r>
      <w:proofErr w:type="gramEnd"/>
    </w:p>
  </w:endnote>
  <w:endnote w:id="157">
    <w:p w14:paraId="2D1A6D04" w14:textId="4C4A97EB"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Australian Government, </w:t>
      </w:r>
      <w:r w:rsidRPr="00E405CC">
        <w:rPr>
          <w:rFonts w:asciiTheme="majorHAnsi" w:hAnsiTheme="majorHAnsi"/>
          <w:i/>
          <w:color w:val="000000" w:themeColor="text1"/>
          <w:sz w:val="16"/>
          <w:szCs w:val="16"/>
          <w:lang w:val="en-US"/>
        </w:rPr>
        <w:t>Indigenous Advancement Strategy Guidelines</w:t>
      </w:r>
      <w:r w:rsidRPr="00E405CC">
        <w:rPr>
          <w:rFonts w:asciiTheme="majorHAnsi" w:hAnsiTheme="majorHAnsi"/>
          <w:color w:val="000000" w:themeColor="text1"/>
          <w:sz w:val="16"/>
          <w:szCs w:val="16"/>
          <w:lang w:val="en-US"/>
        </w:rPr>
        <w:t>, 2014</w:t>
      </w:r>
      <w:r>
        <w:rPr>
          <w:rFonts w:asciiTheme="majorHAnsi" w:hAnsiTheme="majorHAnsi"/>
          <w:color w:val="000000" w:themeColor="text1"/>
          <w:sz w:val="16"/>
          <w:szCs w:val="16"/>
          <w:lang w:val="en-US"/>
        </w:rPr>
        <w:t>, p 4</w:t>
      </w:r>
      <w:r w:rsidRPr="00E405CC">
        <w:rPr>
          <w:rFonts w:asciiTheme="majorHAnsi" w:hAnsiTheme="majorHAnsi"/>
          <w:color w:val="000000" w:themeColor="text1"/>
          <w:sz w:val="16"/>
          <w:szCs w:val="16"/>
          <w:lang w:val="en-US"/>
        </w:rPr>
        <w:t>.</w:t>
      </w:r>
      <w:proofErr w:type="gramEnd"/>
      <w:r w:rsidRPr="00E405CC">
        <w:rPr>
          <w:rFonts w:asciiTheme="majorHAnsi" w:hAnsiTheme="majorHAnsi"/>
          <w:color w:val="000000" w:themeColor="text1"/>
          <w:sz w:val="16"/>
          <w:szCs w:val="16"/>
          <w:lang w:val="en-US"/>
        </w:rPr>
        <w:t xml:space="preserve"> </w:t>
      </w:r>
      <w:proofErr w:type="gramStart"/>
      <w:r w:rsidRPr="00E405CC">
        <w:rPr>
          <w:rFonts w:asciiTheme="majorHAnsi" w:hAnsiTheme="majorHAnsi"/>
          <w:color w:val="000000" w:themeColor="text1"/>
          <w:sz w:val="16"/>
          <w:szCs w:val="16"/>
          <w:lang w:val="en-US"/>
        </w:rPr>
        <w:t xml:space="preserve">URL </w:t>
      </w:r>
      <w:hyperlink r:id="rId39" w:history="1">
        <w:r w:rsidRPr="00E405CC">
          <w:rPr>
            <w:rStyle w:val="Hyperlink"/>
            <w:rFonts w:asciiTheme="majorHAnsi" w:hAnsiTheme="majorHAnsi"/>
            <w:sz w:val="16"/>
            <w:szCs w:val="16"/>
            <w:lang w:val="en-US"/>
          </w:rPr>
          <w:t>http://www.dpmc.gov.au/sites/default/files/publications/ias_guidelines.pdf</w:t>
        </w:r>
      </w:hyperlink>
      <w:r w:rsidRPr="00E405CC">
        <w:rPr>
          <w:rFonts w:asciiTheme="majorHAnsi" w:hAnsiTheme="majorHAnsi"/>
          <w:color w:val="000000" w:themeColor="text1"/>
          <w:sz w:val="16"/>
          <w:szCs w:val="16"/>
          <w:lang w:val="en-US"/>
        </w:rPr>
        <w:t>.</w:t>
      </w:r>
      <w:proofErr w:type="gramEnd"/>
      <w:r w:rsidRPr="00E405CC">
        <w:rPr>
          <w:rFonts w:asciiTheme="majorHAnsi" w:hAnsiTheme="majorHAnsi"/>
          <w:color w:val="000000" w:themeColor="text1"/>
          <w:sz w:val="16"/>
          <w:szCs w:val="16"/>
          <w:lang w:val="en-US"/>
        </w:rPr>
        <w:t xml:space="preserve"> </w:t>
      </w:r>
    </w:p>
  </w:endnote>
  <w:endnote w:id="158">
    <w:p w14:paraId="69D50852"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Pr>
          <w:rFonts w:asciiTheme="majorHAnsi" w:hAnsiTheme="majorHAnsi"/>
          <w:sz w:val="16"/>
          <w:szCs w:val="16"/>
        </w:rPr>
        <w:t xml:space="preserve"> Forrest</w:t>
      </w:r>
      <w:r w:rsidRPr="00E405CC">
        <w:rPr>
          <w:rFonts w:asciiTheme="majorHAnsi" w:hAnsiTheme="majorHAnsi"/>
          <w:sz w:val="16"/>
          <w:szCs w:val="16"/>
        </w:rPr>
        <w:t xml:space="preserve"> A, </w:t>
      </w:r>
      <w:proofErr w:type="gramStart"/>
      <w:r w:rsidRPr="00E405CC">
        <w:rPr>
          <w:rFonts w:asciiTheme="majorHAnsi" w:hAnsiTheme="majorHAnsi"/>
          <w:i/>
          <w:sz w:val="16"/>
          <w:szCs w:val="16"/>
        </w:rPr>
        <w:t>The</w:t>
      </w:r>
      <w:proofErr w:type="gramEnd"/>
      <w:r w:rsidRPr="00E405CC">
        <w:rPr>
          <w:rFonts w:asciiTheme="majorHAnsi" w:hAnsiTheme="majorHAnsi"/>
          <w:sz w:val="16"/>
          <w:szCs w:val="16"/>
        </w:rPr>
        <w:t xml:space="preserve"> </w:t>
      </w:r>
      <w:r w:rsidRPr="00E405CC">
        <w:rPr>
          <w:rFonts w:asciiTheme="majorHAnsi" w:hAnsiTheme="majorHAnsi"/>
          <w:i/>
          <w:sz w:val="16"/>
          <w:szCs w:val="16"/>
          <w:lang w:val="en-US"/>
        </w:rPr>
        <w:t>Forrest Review – Creating Parity, Commonwealth of Australia</w:t>
      </w:r>
      <w:r w:rsidRPr="00E405CC">
        <w:rPr>
          <w:rFonts w:asciiTheme="majorHAnsi" w:hAnsiTheme="majorHAnsi"/>
          <w:sz w:val="16"/>
          <w:szCs w:val="16"/>
          <w:lang w:val="en-US"/>
        </w:rPr>
        <w:t xml:space="preserve">, 2014, p 121. </w:t>
      </w:r>
      <w:proofErr w:type="gramStart"/>
      <w:r w:rsidRPr="00E405CC">
        <w:rPr>
          <w:rFonts w:asciiTheme="majorHAnsi" w:hAnsiTheme="majorHAnsi"/>
          <w:sz w:val="16"/>
          <w:szCs w:val="16"/>
          <w:lang w:val="en-US"/>
        </w:rPr>
        <w:t xml:space="preserve">URL </w:t>
      </w:r>
      <w:hyperlink r:id="rId40" w:history="1">
        <w:r w:rsidRPr="005656A6">
          <w:rPr>
            <w:rStyle w:val="Hyperlink"/>
            <w:rFonts w:asciiTheme="majorHAnsi" w:hAnsiTheme="majorHAnsi"/>
            <w:sz w:val="16"/>
            <w:szCs w:val="16"/>
            <w:lang w:val="en-US"/>
          </w:rPr>
          <w:t>https://indigenousjobsandtrainingreview.dpmc.gov.au/forrest-review</w:t>
        </w:r>
      </w:hyperlink>
      <w:r w:rsidRPr="00E405CC">
        <w:rPr>
          <w:rFonts w:asciiTheme="majorHAnsi" w:hAnsiTheme="majorHAnsi"/>
          <w:sz w:val="16"/>
          <w:szCs w:val="16"/>
          <w:lang w:val="en-US"/>
        </w:rPr>
        <w:t>.</w:t>
      </w:r>
      <w:proofErr w:type="gramEnd"/>
      <w:r w:rsidRPr="00E405CC">
        <w:rPr>
          <w:rFonts w:asciiTheme="majorHAnsi" w:hAnsiTheme="majorHAnsi"/>
          <w:sz w:val="16"/>
          <w:szCs w:val="16"/>
          <w:lang w:val="en-US"/>
        </w:rPr>
        <w:t xml:space="preserve"> </w:t>
      </w:r>
    </w:p>
  </w:endnote>
  <w:endnote w:id="159">
    <w:p w14:paraId="2CAD11C6" w14:textId="63E687D6"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Pr>
          <w:rFonts w:asciiTheme="majorHAnsi" w:hAnsiTheme="majorHAnsi"/>
          <w:sz w:val="16"/>
          <w:szCs w:val="16"/>
        </w:rPr>
        <w:t>Forrest, above note 158.</w:t>
      </w:r>
      <w:proofErr w:type="gramEnd"/>
    </w:p>
  </w:endnote>
  <w:endnote w:id="160">
    <w:p w14:paraId="068FA68F" w14:textId="77777777"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D56432">
        <w:rPr>
          <w:rFonts w:asciiTheme="majorHAnsi" w:hAnsiTheme="majorHAnsi"/>
          <w:sz w:val="16"/>
          <w:szCs w:val="16"/>
        </w:rPr>
        <w:t xml:space="preserve">Australian Bureau of Statistics, </w:t>
      </w:r>
      <w:r w:rsidRPr="00D56432">
        <w:rPr>
          <w:rFonts w:asciiTheme="majorHAnsi" w:hAnsiTheme="majorHAnsi"/>
          <w:i/>
          <w:sz w:val="16"/>
          <w:szCs w:val="16"/>
        </w:rPr>
        <w:t>New 2011 Census data reveals more about Aboriginal and Torres Strait Islander peoples,</w:t>
      </w:r>
      <w:r w:rsidRPr="00D56432">
        <w:rPr>
          <w:rFonts w:asciiTheme="majorHAnsi" w:hAnsiTheme="majorHAnsi"/>
          <w:sz w:val="16"/>
          <w:szCs w:val="16"/>
        </w:rPr>
        <w:t xml:space="preserve"> (Media release), 30 October 2012. </w:t>
      </w:r>
      <w:proofErr w:type="gramStart"/>
      <w:r w:rsidRPr="00D56432">
        <w:rPr>
          <w:rFonts w:asciiTheme="majorHAnsi" w:hAnsiTheme="majorHAnsi"/>
          <w:sz w:val="16"/>
          <w:szCs w:val="16"/>
        </w:rPr>
        <w:t xml:space="preserve">URL </w:t>
      </w:r>
      <w:hyperlink r:id="rId41" w:anchor="industry" w:history="1">
        <w:r w:rsidRPr="00D56432">
          <w:rPr>
            <w:rStyle w:val="Hyperlink"/>
            <w:rFonts w:asciiTheme="majorHAnsi" w:hAnsiTheme="majorHAnsi"/>
            <w:sz w:val="16"/>
            <w:szCs w:val="16"/>
          </w:rPr>
          <w:t>http://www.abs.gov.au/websitedbs/censushome.nsf/home/CO-64?opendocument&amp;navpos=620#industry</w:t>
        </w:r>
      </w:hyperlink>
      <w:r w:rsidRPr="00D56432">
        <w:rPr>
          <w:rFonts w:asciiTheme="majorHAnsi" w:hAnsiTheme="majorHAnsi"/>
          <w:sz w:val="16"/>
          <w:szCs w:val="16"/>
        </w:rPr>
        <w:t>.</w:t>
      </w:r>
      <w:proofErr w:type="gramEnd"/>
    </w:p>
  </w:endnote>
  <w:endnote w:id="161">
    <w:p w14:paraId="4FF57651" w14:textId="77777777" w:rsidR="00EB2441" w:rsidRPr="00D56432"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E405CC">
        <w:rPr>
          <w:rFonts w:asciiTheme="majorHAnsi" w:hAnsiTheme="majorHAnsi"/>
          <w:color w:val="000000" w:themeColor="text1"/>
          <w:sz w:val="16"/>
          <w:szCs w:val="16"/>
          <w:lang w:val="en-US"/>
        </w:rPr>
        <w:t>Reeve et al</w:t>
      </w:r>
      <w:r w:rsidRPr="00D56432">
        <w:rPr>
          <w:rFonts w:asciiTheme="majorHAnsi" w:hAnsiTheme="majorHAnsi"/>
          <w:color w:val="000000" w:themeColor="text1"/>
          <w:sz w:val="16"/>
          <w:szCs w:val="16"/>
          <w:lang w:val="en-US"/>
        </w:rPr>
        <w:t>, above note 6, p 464.</w:t>
      </w:r>
    </w:p>
  </w:endnote>
  <w:endnote w:id="162">
    <w:p w14:paraId="16C8EE60" w14:textId="77777777" w:rsidR="00EB2441" w:rsidRPr="00E405CC" w:rsidRDefault="00EB2441" w:rsidP="00560FB2">
      <w:pPr>
        <w:pStyle w:val="EndnoteText"/>
        <w:rPr>
          <w:rFonts w:asciiTheme="majorHAnsi" w:hAnsiTheme="majorHAnsi"/>
          <w:color w:val="000000" w:themeColor="text1"/>
          <w:sz w:val="16"/>
          <w:szCs w:val="16"/>
          <w:lang w:val="en-US"/>
        </w:rPr>
      </w:pPr>
      <w:r w:rsidRPr="00D56432">
        <w:rPr>
          <w:rStyle w:val="EndnoteReference"/>
          <w:rFonts w:asciiTheme="majorHAnsi" w:hAnsiTheme="majorHAnsi"/>
          <w:color w:val="000000" w:themeColor="text1"/>
          <w:sz w:val="16"/>
          <w:szCs w:val="16"/>
        </w:rPr>
        <w:endnoteRef/>
      </w:r>
      <w:r w:rsidRPr="00D56432">
        <w:rPr>
          <w:rFonts w:asciiTheme="majorHAnsi" w:hAnsiTheme="majorHAnsi"/>
          <w:color w:val="000000" w:themeColor="text1"/>
          <w:sz w:val="16"/>
          <w:szCs w:val="16"/>
        </w:rPr>
        <w:t xml:space="preserve"> </w:t>
      </w:r>
      <w:r w:rsidRPr="00D56432">
        <w:rPr>
          <w:rFonts w:asciiTheme="majorHAnsi" w:hAnsiTheme="majorHAnsi"/>
          <w:color w:val="000000" w:themeColor="text1"/>
          <w:sz w:val="16"/>
          <w:szCs w:val="16"/>
          <w:lang w:val="en-US"/>
        </w:rPr>
        <w:t>Reeve et al, above note 6, p 464.</w:t>
      </w:r>
    </w:p>
  </w:endnote>
  <w:endnote w:id="163">
    <w:p w14:paraId="356D9066" w14:textId="69971766"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Pr>
          <w:rFonts w:asciiTheme="majorHAnsi" w:hAnsiTheme="majorHAnsi"/>
          <w:sz w:val="16"/>
          <w:szCs w:val="16"/>
        </w:rPr>
        <w:t xml:space="preserve">Department of Health, </w:t>
      </w:r>
      <w:r>
        <w:rPr>
          <w:rFonts w:asciiTheme="majorHAnsi" w:hAnsiTheme="majorHAnsi"/>
          <w:sz w:val="16"/>
          <w:szCs w:val="16"/>
          <w:lang w:val="en-US"/>
        </w:rPr>
        <w:t>Correspondence with Campaign Steering Committee regarding budget decisions, 22 May 2014.</w:t>
      </w:r>
      <w:proofErr w:type="gramEnd"/>
      <w:r w:rsidRPr="00E405CC">
        <w:rPr>
          <w:rFonts w:asciiTheme="majorHAnsi" w:hAnsiTheme="majorHAnsi"/>
          <w:sz w:val="16"/>
          <w:szCs w:val="16"/>
          <w:lang w:val="en-US"/>
        </w:rPr>
        <w:t xml:space="preserve"> </w:t>
      </w:r>
    </w:p>
  </w:endnote>
  <w:endnote w:id="164">
    <w:p w14:paraId="47496362" w14:textId="60170CD1"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sz w:val="16"/>
          <w:szCs w:val="16"/>
        </w:rPr>
        <w:t xml:space="preserve">Forrest, </w:t>
      </w:r>
      <w:r w:rsidRPr="00E405CC">
        <w:rPr>
          <w:rFonts w:asciiTheme="majorHAnsi" w:hAnsiTheme="majorHAnsi"/>
          <w:sz w:val="16"/>
          <w:szCs w:val="16"/>
          <w:lang w:val="en-US"/>
        </w:rPr>
        <w:t xml:space="preserve">above note </w:t>
      </w:r>
      <w:r>
        <w:rPr>
          <w:rFonts w:asciiTheme="majorHAnsi" w:hAnsiTheme="majorHAnsi"/>
          <w:sz w:val="16"/>
          <w:szCs w:val="16"/>
          <w:lang w:val="en-US"/>
        </w:rPr>
        <w:t>158</w:t>
      </w:r>
      <w:r w:rsidRPr="00E405CC">
        <w:rPr>
          <w:rFonts w:asciiTheme="majorHAnsi" w:hAnsiTheme="majorHAnsi"/>
          <w:sz w:val="16"/>
          <w:szCs w:val="16"/>
          <w:lang w:val="en-US"/>
        </w:rPr>
        <w:t>, p 20.</w:t>
      </w:r>
      <w:proofErr w:type="gramEnd"/>
    </w:p>
  </w:endnote>
  <w:endnote w:id="165">
    <w:p w14:paraId="657687A2" w14:textId="748904FB"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sz w:val="16"/>
          <w:szCs w:val="16"/>
        </w:rPr>
        <w:t xml:space="preserve">Forrest, </w:t>
      </w:r>
      <w:r>
        <w:rPr>
          <w:rFonts w:asciiTheme="majorHAnsi" w:hAnsiTheme="majorHAnsi"/>
          <w:sz w:val="16"/>
          <w:szCs w:val="16"/>
          <w:lang w:val="en-US"/>
        </w:rPr>
        <w:t>above note 158</w:t>
      </w:r>
      <w:r w:rsidRPr="00E405CC">
        <w:rPr>
          <w:rFonts w:asciiTheme="majorHAnsi" w:hAnsiTheme="majorHAnsi"/>
          <w:sz w:val="16"/>
          <w:szCs w:val="16"/>
          <w:lang w:val="en-US"/>
        </w:rPr>
        <w:t>, p 22.</w:t>
      </w:r>
      <w:proofErr w:type="gramEnd"/>
    </w:p>
  </w:endnote>
  <w:endnote w:id="166">
    <w:p w14:paraId="0F3E3450" w14:textId="3B40B55C" w:rsidR="00EB2441" w:rsidRPr="00E405CC" w:rsidRDefault="00EB2441" w:rsidP="00560FB2">
      <w:pPr>
        <w:pStyle w:val="EndnoteText"/>
        <w:rPr>
          <w:rFonts w:asciiTheme="majorHAnsi" w:hAnsiTheme="majorHAnsi"/>
          <w:sz w:val="16"/>
          <w:szCs w:val="16"/>
        </w:rPr>
      </w:pPr>
      <w:r w:rsidRPr="008C76F9">
        <w:rPr>
          <w:rStyle w:val="EndnoteReference"/>
          <w:rFonts w:asciiTheme="majorHAnsi" w:hAnsiTheme="majorHAnsi"/>
          <w:sz w:val="16"/>
          <w:szCs w:val="16"/>
        </w:rPr>
        <w:endnoteRef/>
      </w:r>
      <w:r w:rsidRPr="008C76F9">
        <w:rPr>
          <w:rFonts w:asciiTheme="majorHAnsi" w:hAnsiTheme="majorHAnsi"/>
          <w:sz w:val="16"/>
          <w:szCs w:val="16"/>
        </w:rPr>
        <w:t xml:space="preserve"> Close the Gap Campaign Steering Committee, </w:t>
      </w:r>
      <w:r w:rsidRPr="008C76F9">
        <w:rPr>
          <w:rFonts w:asciiTheme="majorHAnsi" w:hAnsiTheme="majorHAnsi"/>
          <w:i/>
          <w:sz w:val="16"/>
          <w:szCs w:val="16"/>
        </w:rPr>
        <w:t>Submission in response to the Forrest Review – Creating Parity</w:t>
      </w:r>
      <w:r w:rsidRPr="008C76F9">
        <w:rPr>
          <w:rFonts w:asciiTheme="majorHAnsi" w:hAnsiTheme="majorHAnsi"/>
          <w:sz w:val="16"/>
          <w:szCs w:val="16"/>
        </w:rPr>
        <w:t>, 2014.</w:t>
      </w:r>
      <w:r w:rsidRPr="00E405CC">
        <w:rPr>
          <w:rFonts w:asciiTheme="majorHAnsi" w:hAnsiTheme="majorHAnsi"/>
          <w:sz w:val="16"/>
          <w:szCs w:val="16"/>
        </w:rPr>
        <w:t xml:space="preserve"> </w:t>
      </w:r>
    </w:p>
  </w:endnote>
  <w:endnote w:id="167">
    <w:p w14:paraId="60698819" w14:textId="70200D16" w:rsidR="00EB2441" w:rsidRPr="00E405CC" w:rsidRDefault="00EB2441" w:rsidP="00560FB2">
      <w:pPr>
        <w:pStyle w:val="EndnoteText"/>
        <w:rPr>
          <w:rFonts w:asciiTheme="majorHAnsi" w:hAnsiTheme="majorHAnsi"/>
          <w:sz w:val="16"/>
          <w:szCs w:val="16"/>
          <w:lang w:val="en-US"/>
        </w:rPr>
      </w:pPr>
      <w:r w:rsidRPr="008C76F9">
        <w:rPr>
          <w:rStyle w:val="EndnoteReference"/>
          <w:rFonts w:asciiTheme="majorHAnsi" w:hAnsiTheme="majorHAnsi"/>
          <w:sz w:val="16"/>
          <w:szCs w:val="16"/>
        </w:rPr>
        <w:endnoteRef/>
      </w:r>
      <w:r w:rsidRPr="008C76F9">
        <w:rPr>
          <w:rFonts w:asciiTheme="majorHAnsi" w:hAnsiTheme="majorHAnsi"/>
          <w:sz w:val="16"/>
          <w:szCs w:val="16"/>
        </w:rPr>
        <w:t xml:space="preserve"> </w:t>
      </w:r>
      <w:proofErr w:type="gramStart"/>
      <w:r w:rsidRPr="008C76F9">
        <w:rPr>
          <w:rFonts w:asciiTheme="majorHAnsi" w:hAnsiTheme="majorHAnsi"/>
          <w:sz w:val="16"/>
          <w:szCs w:val="16"/>
          <w:lang w:val="en-US"/>
        </w:rPr>
        <w:t xml:space="preserve">Department of Health, </w:t>
      </w:r>
      <w:r w:rsidRPr="008C76F9">
        <w:rPr>
          <w:rFonts w:asciiTheme="majorHAnsi" w:hAnsiTheme="majorHAnsi"/>
          <w:i/>
          <w:sz w:val="16"/>
          <w:szCs w:val="16"/>
          <w:lang w:val="en-US"/>
        </w:rPr>
        <w:t>Portfolio Budget Statement</w:t>
      </w:r>
      <w:r w:rsidRPr="008C76F9">
        <w:rPr>
          <w:rFonts w:asciiTheme="majorHAnsi" w:hAnsiTheme="majorHAnsi"/>
          <w:sz w:val="16"/>
          <w:szCs w:val="16"/>
          <w:lang w:val="en-US"/>
        </w:rPr>
        <w:t xml:space="preserve"> </w:t>
      </w:r>
      <w:r w:rsidRPr="008C76F9">
        <w:rPr>
          <w:rFonts w:asciiTheme="majorHAnsi" w:hAnsiTheme="majorHAnsi"/>
          <w:i/>
          <w:sz w:val="16"/>
          <w:szCs w:val="16"/>
          <w:lang w:val="en-US"/>
        </w:rPr>
        <w:t>2014-2015</w:t>
      </w:r>
      <w:r w:rsidRPr="008C76F9">
        <w:rPr>
          <w:rFonts w:asciiTheme="majorHAnsi" w:hAnsiTheme="majorHAnsi"/>
          <w:sz w:val="16"/>
          <w:szCs w:val="16"/>
          <w:lang w:val="en-US"/>
        </w:rPr>
        <w:t>, Budget Related Paper No. 1.10, 2014,</w:t>
      </w:r>
      <w:r>
        <w:rPr>
          <w:rFonts w:asciiTheme="majorHAnsi" w:hAnsiTheme="majorHAnsi"/>
          <w:sz w:val="16"/>
          <w:szCs w:val="16"/>
          <w:lang w:val="en-US"/>
        </w:rPr>
        <w:t xml:space="preserve"> p 103.</w:t>
      </w:r>
      <w:proofErr w:type="gramEnd"/>
      <w:r>
        <w:rPr>
          <w:rFonts w:asciiTheme="majorHAnsi" w:hAnsiTheme="majorHAnsi"/>
          <w:sz w:val="16"/>
          <w:szCs w:val="16"/>
          <w:lang w:val="en-US"/>
        </w:rPr>
        <w:t xml:space="preserve"> </w:t>
      </w:r>
      <w:proofErr w:type="gramStart"/>
      <w:r>
        <w:rPr>
          <w:rFonts w:asciiTheme="majorHAnsi" w:hAnsiTheme="majorHAnsi"/>
          <w:sz w:val="16"/>
          <w:szCs w:val="16"/>
          <w:lang w:val="en-US"/>
        </w:rPr>
        <w:t xml:space="preserve">URL </w:t>
      </w:r>
      <w:hyperlink r:id="rId42" w:history="1">
        <w:r w:rsidRPr="00C21029">
          <w:rPr>
            <w:rStyle w:val="Hyperlink"/>
            <w:rFonts w:asciiTheme="majorHAnsi" w:hAnsiTheme="majorHAnsi"/>
            <w:sz w:val="16"/>
            <w:szCs w:val="16"/>
            <w:lang w:val="en-US"/>
          </w:rPr>
          <w:t>http://www.health.gov.au/internet/budget/publishing.nsf/Content/2014-2015_Health_PBS</w:t>
        </w:r>
      </w:hyperlink>
      <w:r>
        <w:rPr>
          <w:rFonts w:asciiTheme="majorHAnsi" w:hAnsiTheme="majorHAnsi"/>
          <w:sz w:val="16"/>
          <w:szCs w:val="16"/>
          <w:lang w:val="en-US"/>
        </w:rPr>
        <w:t>.</w:t>
      </w:r>
      <w:proofErr w:type="gramEnd"/>
      <w:r>
        <w:rPr>
          <w:rFonts w:asciiTheme="majorHAnsi" w:hAnsiTheme="majorHAnsi"/>
          <w:sz w:val="16"/>
          <w:szCs w:val="16"/>
          <w:lang w:val="en-US"/>
        </w:rPr>
        <w:t xml:space="preserve"> </w:t>
      </w:r>
    </w:p>
  </w:endnote>
  <w:endnote w:id="168">
    <w:p w14:paraId="4B971946" w14:textId="77777777"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See </w:t>
      </w:r>
      <w:proofErr w:type="spellStart"/>
      <w:r w:rsidRPr="00E405CC">
        <w:rPr>
          <w:rFonts w:asciiTheme="majorHAnsi" w:hAnsiTheme="majorHAnsi"/>
          <w:sz w:val="16"/>
          <w:szCs w:val="16"/>
        </w:rPr>
        <w:t>Panaretto</w:t>
      </w:r>
      <w:proofErr w:type="spellEnd"/>
      <w:r w:rsidRPr="00E405CC">
        <w:rPr>
          <w:rFonts w:asciiTheme="majorHAnsi" w:hAnsiTheme="majorHAnsi"/>
          <w:sz w:val="16"/>
          <w:szCs w:val="16"/>
        </w:rPr>
        <w:t xml:space="preserve"> K et al, above note </w:t>
      </w:r>
      <w:r>
        <w:rPr>
          <w:rFonts w:asciiTheme="majorHAnsi" w:hAnsiTheme="majorHAnsi"/>
          <w:sz w:val="16"/>
          <w:szCs w:val="16"/>
        </w:rPr>
        <w:t>47</w:t>
      </w:r>
      <w:r w:rsidRPr="00E405CC">
        <w:rPr>
          <w:rFonts w:asciiTheme="majorHAnsi" w:hAnsiTheme="majorHAnsi"/>
          <w:sz w:val="16"/>
          <w:szCs w:val="16"/>
        </w:rPr>
        <w:t>.</w:t>
      </w:r>
    </w:p>
  </w:endnote>
  <w:endnote w:id="169">
    <w:p w14:paraId="7EB1655F" w14:textId="504DE0C1" w:rsidR="00EB2441" w:rsidRPr="00E405CC" w:rsidRDefault="00EB2441" w:rsidP="00560FB2">
      <w:pPr>
        <w:pStyle w:val="EndnoteText"/>
        <w:rPr>
          <w:rFonts w:asciiTheme="majorHAnsi" w:hAnsiTheme="majorHAnsi"/>
          <w:sz w:val="16"/>
          <w:szCs w:val="16"/>
          <w:highlight w:val="yellow"/>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Pr>
          <w:rFonts w:asciiTheme="majorHAnsi" w:hAnsiTheme="majorHAnsi"/>
          <w:sz w:val="16"/>
          <w:szCs w:val="16"/>
        </w:rPr>
        <w:t>See Australian Government, above note 146</w:t>
      </w:r>
      <w:r w:rsidRPr="008C76F9">
        <w:rPr>
          <w:rFonts w:asciiTheme="majorHAnsi" w:hAnsiTheme="majorHAnsi"/>
          <w:sz w:val="16"/>
          <w:szCs w:val="16"/>
        </w:rPr>
        <w:t xml:space="preserve">, </w:t>
      </w:r>
      <w:r>
        <w:rPr>
          <w:rFonts w:asciiTheme="majorHAnsi" w:hAnsiTheme="majorHAnsi"/>
          <w:sz w:val="16"/>
          <w:szCs w:val="16"/>
        </w:rPr>
        <w:t xml:space="preserve">p 133, 140; </w:t>
      </w:r>
      <w:r w:rsidRPr="00DC072E">
        <w:rPr>
          <w:rFonts w:asciiTheme="majorHAnsi" w:hAnsiTheme="majorHAnsi"/>
          <w:sz w:val="16"/>
          <w:szCs w:val="16"/>
          <w:lang w:val="en-US"/>
        </w:rPr>
        <w:t>Abbott Hon. T</w:t>
      </w:r>
      <w:r>
        <w:rPr>
          <w:rFonts w:asciiTheme="majorHAnsi" w:hAnsiTheme="majorHAnsi"/>
          <w:sz w:val="16"/>
          <w:szCs w:val="16"/>
          <w:lang w:val="en-US"/>
        </w:rPr>
        <w:t>; Dutton Hon. P</w:t>
      </w:r>
      <w:r w:rsidRPr="00DC072E">
        <w:rPr>
          <w:rFonts w:asciiTheme="majorHAnsi" w:hAnsiTheme="majorHAnsi"/>
          <w:sz w:val="16"/>
          <w:szCs w:val="16"/>
          <w:lang w:val="en-US"/>
        </w:rPr>
        <w:t xml:space="preserve">, </w:t>
      </w:r>
      <w:r>
        <w:rPr>
          <w:rFonts w:asciiTheme="majorHAnsi" w:hAnsiTheme="majorHAnsi"/>
          <w:i/>
          <w:sz w:val="16"/>
          <w:szCs w:val="16"/>
          <w:lang w:val="en-US"/>
        </w:rPr>
        <w:t>A Strong and Sustainable Medicare</w:t>
      </w:r>
      <w:r w:rsidRPr="00DC072E">
        <w:rPr>
          <w:rFonts w:asciiTheme="majorHAnsi" w:hAnsiTheme="majorHAnsi"/>
          <w:sz w:val="16"/>
          <w:szCs w:val="16"/>
          <w:lang w:val="en-US"/>
        </w:rPr>
        <w:t xml:space="preserve">, </w:t>
      </w:r>
      <w:r>
        <w:rPr>
          <w:rFonts w:asciiTheme="majorHAnsi" w:hAnsiTheme="majorHAnsi"/>
          <w:sz w:val="16"/>
          <w:szCs w:val="16"/>
          <w:lang w:val="en-US"/>
        </w:rPr>
        <w:t>9 December 2014</w:t>
      </w:r>
      <w:r w:rsidRPr="00DC072E">
        <w:rPr>
          <w:rFonts w:asciiTheme="majorHAnsi" w:hAnsiTheme="majorHAnsi"/>
          <w:sz w:val="16"/>
          <w:szCs w:val="16"/>
          <w:lang w:val="en-US"/>
        </w:rPr>
        <w:t>, (Media Release).</w:t>
      </w:r>
      <w:r>
        <w:rPr>
          <w:rFonts w:asciiTheme="majorHAnsi" w:hAnsiTheme="majorHAnsi"/>
          <w:sz w:val="16"/>
          <w:szCs w:val="16"/>
          <w:lang w:val="en-US"/>
        </w:rPr>
        <w:t xml:space="preserve"> </w:t>
      </w:r>
      <w:proofErr w:type="gramStart"/>
      <w:r>
        <w:rPr>
          <w:rFonts w:asciiTheme="majorHAnsi" w:hAnsiTheme="majorHAnsi"/>
          <w:sz w:val="16"/>
          <w:szCs w:val="16"/>
          <w:lang w:val="en-US"/>
        </w:rPr>
        <w:t xml:space="preserve">URL </w:t>
      </w:r>
      <w:hyperlink r:id="rId43" w:history="1">
        <w:r w:rsidRPr="00C21029">
          <w:rPr>
            <w:rStyle w:val="Hyperlink"/>
            <w:rFonts w:asciiTheme="majorHAnsi" w:hAnsiTheme="majorHAnsi"/>
            <w:sz w:val="16"/>
            <w:szCs w:val="16"/>
            <w:lang w:val="en-US"/>
          </w:rPr>
          <w:t>http://www.health.gov.au/internet/ministers/publishing.nsf/Content/health-mediarel-yr2014-dutton111.htm?OpenDocument&amp;yr=2014&amp;mth=12</w:t>
        </w:r>
      </w:hyperlink>
      <w:r>
        <w:rPr>
          <w:rFonts w:asciiTheme="majorHAnsi" w:hAnsiTheme="majorHAnsi"/>
          <w:sz w:val="16"/>
          <w:szCs w:val="16"/>
          <w:lang w:val="en-US"/>
        </w:rPr>
        <w:t>; Ley Hon. S, Government to consult on Medicare reform, 15 January 2015, (Media Release).</w:t>
      </w:r>
      <w:proofErr w:type="gramEnd"/>
      <w:r>
        <w:rPr>
          <w:rFonts w:asciiTheme="majorHAnsi" w:hAnsiTheme="majorHAnsi"/>
          <w:sz w:val="16"/>
          <w:szCs w:val="16"/>
          <w:lang w:val="en-US"/>
        </w:rPr>
        <w:t xml:space="preserve"> </w:t>
      </w:r>
      <w:proofErr w:type="gramStart"/>
      <w:r>
        <w:rPr>
          <w:rFonts w:asciiTheme="majorHAnsi" w:hAnsiTheme="majorHAnsi"/>
          <w:sz w:val="16"/>
          <w:szCs w:val="16"/>
          <w:lang w:val="en-US"/>
        </w:rPr>
        <w:t xml:space="preserve">URL </w:t>
      </w:r>
      <w:hyperlink r:id="rId44" w:history="1">
        <w:r w:rsidRPr="00C21029">
          <w:rPr>
            <w:rStyle w:val="Hyperlink"/>
            <w:rFonts w:asciiTheme="majorHAnsi" w:hAnsiTheme="majorHAnsi"/>
            <w:sz w:val="16"/>
            <w:szCs w:val="16"/>
            <w:lang w:val="en-US"/>
          </w:rPr>
          <w:t>http://www.health.gov.au/internet/ministers/publishing.nsf/Content/health-mediarel-yr2015-ley002.htm</w:t>
        </w:r>
      </w:hyperlink>
      <w:r>
        <w:rPr>
          <w:rFonts w:asciiTheme="majorHAnsi" w:hAnsiTheme="majorHAnsi"/>
          <w:sz w:val="16"/>
          <w:szCs w:val="16"/>
          <w:lang w:val="en-US"/>
        </w:rPr>
        <w:t>.</w:t>
      </w:r>
      <w:proofErr w:type="gramEnd"/>
      <w:r>
        <w:rPr>
          <w:rFonts w:asciiTheme="majorHAnsi" w:hAnsiTheme="majorHAnsi"/>
          <w:sz w:val="16"/>
          <w:szCs w:val="16"/>
          <w:lang w:val="en-US"/>
        </w:rPr>
        <w:t xml:space="preserve"> </w:t>
      </w:r>
    </w:p>
  </w:endnote>
  <w:endnote w:id="170">
    <w:p w14:paraId="768AF0A2" w14:textId="24AD6D9A" w:rsidR="00EB2441" w:rsidRPr="00DC00E0" w:rsidRDefault="00EB2441" w:rsidP="00560FB2">
      <w:pPr>
        <w:pStyle w:val="EndnoteText"/>
        <w:rPr>
          <w:rFonts w:asciiTheme="majorHAnsi" w:hAnsiTheme="majorHAnsi"/>
          <w:sz w:val="16"/>
          <w:szCs w:val="16"/>
          <w:lang w:val="en-US"/>
        </w:rPr>
      </w:pPr>
      <w:r w:rsidRPr="00DC00E0">
        <w:rPr>
          <w:rStyle w:val="EndnoteReference"/>
          <w:rFonts w:asciiTheme="majorHAnsi" w:hAnsiTheme="majorHAnsi"/>
          <w:sz w:val="16"/>
          <w:szCs w:val="16"/>
        </w:rPr>
        <w:endnoteRef/>
      </w:r>
      <w:r w:rsidRPr="00DC00E0">
        <w:rPr>
          <w:rFonts w:asciiTheme="majorHAnsi" w:hAnsiTheme="majorHAnsi"/>
          <w:sz w:val="16"/>
          <w:szCs w:val="16"/>
        </w:rPr>
        <w:t xml:space="preserve"> </w:t>
      </w:r>
      <w:r w:rsidRPr="00DC00E0">
        <w:rPr>
          <w:rFonts w:asciiTheme="majorHAnsi" w:hAnsiTheme="majorHAnsi"/>
          <w:sz w:val="16"/>
          <w:szCs w:val="16"/>
          <w:lang w:val="en-US"/>
        </w:rPr>
        <w:t xml:space="preserve">Australian Government, above note 146, </w:t>
      </w:r>
      <w:proofErr w:type="spellStart"/>
      <w:r w:rsidRPr="00DC00E0">
        <w:rPr>
          <w:rFonts w:asciiTheme="majorHAnsi" w:hAnsiTheme="majorHAnsi"/>
          <w:sz w:val="16"/>
          <w:szCs w:val="16"/>
          <w:lang w:val="en-US"/>
        </w:rPr>
        <w:t>pp</w:t>
      </w:r>
      <w:proofErr w:type="spellEnd"/>
      <w:r w:rsidRPr="00DC00E0">
        <w:rPr>
          <w:rFonts w:asciiTheme="majorHAnsi" w:hAnsiTheme="majorHAnsi"/>
          <w:sz w:val="16"/>
          <w:szCs w:val="16"/>
          <w:lang w:val="en-US"/>
        </w:rPr>
        <w:t xml:space="preserve"> 138, 145.</w:t>
      </w:r>
    </w:p>
  </w:endnote>
  <w:endnote w:id="171">
    <w:p w14:paraId="4B3E7242" w14:textId="14A3E0FC" w:rsidR="00EB2441" w:rsidRPr="00E405CC" w:rsidRDefault="00EB2441" w:rsidP="00560FB2">
      <w:pPr>
        <w:pStyle w:val="EndnoteText"/>
        <w:rPr>
          <w:rFonts w:asciiTheme="majorHAnsi" w:hAnsiTheme="majorHAnsi"/>
          <w:sz w:val="16"/>
          <w:szCs w:val="16"/>
          <w:lang w:val="en-US"/>
        </w:rPr>
      </w:pPr>
      <w:r w:rsidRPr="00DC00E0">
        <w:rPr>
          <w:rStyle w:val="EndnoteReference"/>
          <w:rFonts w:asciiTheme="majorHAnsi" w:hAnsiTheme="majorHAnsi"/>
          <w:sz w:val="16"/>
          <w:szCs w:val="16"/>
        </w:rPr>
        <w:endnoteRef/>
      </w:r>
      <w:r w:rsidRPr="00DC00E0">
        <w:rPr>
          <w:rFonts w:asciiTheme="majorHAnsi" w:hAnsiTheme="majorHAnsi"/>
          <w:sz w:val="16"/>
          <w:szCs w:val="16"/>
        </w:rPr>
        <w:t xml:space="preserve"> </w:t>
      </w:r>
      <w:r w:rsidRPr="00DC00E0">
        <w:rPr>
          <w:rFonts w:asciiTheme="majorHAnsi" w:hAnsiTheme="majorHAnsi"/>
          <w:sz w:val="16"/>
          <w:szCs w:val="16"/>
          <w:lang w:val="en-US"/>
        </w:rPr>
        <w:t>Australian Government, above note 146, p 126.</w:t>
      </w:r>
    </w:p>
  </w:endnote>
  <w:endnote w:id="172">
    <w:p w14:paraId="35B22E1C" w14:textId="23325644"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sz w:val="16"/>
          <w:szCs w:val="16"/>
        </w:rPr>
        <w:t xml:space="preserve">Forrest, </w:t>
      </w:r>
      <w:r w:rsidRPr="00E405CC">
        <w:rPr>
          <w:rFonts w:asciiTheme="majorHAnsi" w:hAnsiTheme="majorHAnsi"/>
          <w:sz w:val="16"/>
          <w:szCs w:val="16"/>
          <w:lang w:val="en-US"/>
        </w:rPr>
        <w:t xml:space="preserve">above note </w:t>
      </w:r>
      <w:r>
        <w:rPr>
          <w:rFonts w:asciiTheme="majorHAnsi" w:hAnsiTheme="majorHAnsi"/>
          <w:sz w:val="16"/>
          <w:szCs w:val="16"/>
          <w:lang w:val="en-US"/>
        </w:rPr>
        <w:t>158</w:t>
      </w:r>
      <w:r w:rsidRPr="00E405CC">
        <w:rPr>
          <w:rFonts w:asciiTheme="majorHAnsi" w:hAnsiTheme="majorHAnsi"/>
          <w:sz w:val="16"/>
          <w:szCs w:val="16"/>
          <w:lang w:val="en-US"/>
        </w:rPr>
        <w:t>, p 18.</w:t>
      </w:r>
      <w:proofErr w:type="gramEnd"/>
    </w:p>
  </w:endnote>
  <w:endnote w:id="173">
    <w:p w14:paraId="34AC69C4" w14:textId="37E29E2E" w:rsidR="00EB2441" w:rsidRPr="00D56432" w:rsidRDefault="00EB2441" w:rsidP="00B518EC">
      <w:pPr>
        <w:pStyle w:val="EndnoteText"/>
        <w:rPr>
          <w:rFonts w:asciiTheme="majorHAnsi" w:hAnsiTheme="majorHAnsi"/>
          <w:color w:val="000000" w:themeColor="text1"/>
          <w:sz w:val="16"/>
          <w:szCs w:val="16"/>
          <w:lang w:val="en-US"/>
        </w:rPr>
      </w:pPr>
      <w:r w:rsidRPr="00D56432">
        <w:rPr>
          <w:rStyle w:val="EndnoteReference"/>
          <w:rFonts w:asciiTheme="majorHAnsi" w:hAnsiTheme="majorHAnsi"/>
          <w:color w:val="000000" w:themeColor="text1"/>
          <w:sz w:val="16"/>
          <w:szCs w:val="16"/>
        </w:rPr>
        <w:endnoteRef/>
      </w:r>
      <w:r>
        <w:rPr>
          <w:rFonts w:asciiTheme="majorHAnsi" w:hAnsiTheme="majorHAnsi"/>
          <w:color w:val="000000" w:themeColor="text1"/>
          <w:sz w:val="16"/>
          <w:szCs w:val="16"/>
        </w:rPr>
        <w:t xml:space="preserve"> </w:t>
      </w:r>
      <w:r w:rsidRPr="00D56432">
        <w:rPr>
          <w:rFonts w:asciiTheme="majorHAnsi" w:hAnsiTheme="majorHAnsi"/>
          <w:color w:val="000000" w:themeColor="text1"/>
          <w:sz w:val="16"/>
          <w:szCs w:val="16"/>
        </w:rPr>
        <w:t xml:space="preserve">Australian Bureau of Statistics, above note 7, </w:t>
      </w:r>
      <w:proofErr w:type="spellStart"/>
      <w:r>
        <w:rPr>
          <w:rFonts w:asciiTheme="majorHAnsi" w:hAnsiTheme="majorHAnsi"/>
          <w:color w:val="000000" w:themeColor="text1"/>
          <w:sz w:val="16"/>
          <w:szCs w:val="16"/>
          <w:lang w:val="en-US"/>
        </w:rPr>
        <w:t>pp</w:t>
      </w:r>
      <w:proofErr w:type="spellEnd"/>
      <w:r>
        <w:rPr>
          <w:rFonts w:asciiTheme="majorHAnsi" w:hAnsiTheme="majorHAnsi"/>
          <w:color w:val="000000" w:themeColor="text1"/>
          <w:sz w:val="16"/>
          <w:szCs w:val="16"/>
          <w:lang w:val="en-US"/>
        </w:rPr>
        <w:t xml:space="preserve"> 8, 13; </w:t>
      </w:r>
      <w:r w:rsidRPr="00D56432">
        <w:rPr>
          <w:rFonts w:asciiTheme="majorHAnsi" w:hAnsiTheme="majorHAnsi"/>
          <w:color w:val="000000" w:themeColor="text1"/>
          <w:sz w:val="16"/>
          <w:szCs w:val="16"/>
        </w:rPr>
        <w:t xml:space="preserve">Statistics New Zealand, </w:t>
      </w:r>
      <w:r w:rsidRPr="00D56432">
        <w:rPr>
          <w:rFonts w:asciiTheme="majorHAnsi" w:hAnsiTheme="majorHAnsi"/>
          <w:i/>
          <w:color w:val="000000" w:themeColor="text1"/>
          <w:sz w:val="16"/>
          <w:szCs w:val="16"/>
        </w:rPr>
        <w:t xml:space="preserve">New Zealand Periodic Life Tables 2005-07, </w:t>
      </w:r>
      <w:r w:rsidRPr="00D56432">
        <w:rPr>
          <w:rFonts w:asciiTheme="majorHAnsi" w:hAnsiTheme="majorHAnsi"/>
          <w:color w:val="000000" w:themeColor="text1"/>
          <w:sz w:val="16"/>
          <w:szCs w:val="16"/>
        </w:rPr>
        <w:t xml:space="preserve">2008. </w:t>
      </w:r>
      <w:proofErr w:type="gramStart"/>
      <w:r w:rsidRPr="00D56432">
        <w:rPr>
          <w:rFonts w:asciiTheme="majorHAnsi" w:hAnsiTheme="majorHAnsi"/>
          <w:color w:val="000000" w:themeColor="text1"/>
          <w:sz w:val="16"/>
          <w:szCs w:val="16"/>
        </w:rPr>
        <w:t>URL</w:t>
      </w:r>
      <w:r w:rsidRPr="00D56432">
        <w:rPr>
          <w:rFonts w:asciiTheme="majorHAnsi" w:hAnsiTheme="majorHAnsi"/>
          <w:i/>
          <w:color w:val="000000" w:themeColor="text1"/>
          <w:sz w:val="16"/>
          <w:szCs w:val="16"/>
        </w:rPr>
        <w:t xml:space="preserve"> </w:t>
      </w:r>
      <w:hyperlink r:id="rId45" w:history="1">
        <w:r w:rsidRPr="00D56432">
          <w:rPr>
            <w:rStyle w:val="Hyperlink"/>
            <w:rFonts w:asciiTheme="majorHAnsi" w:hAnsiTheme="majorHAnsi"/>
            <w:sz w:val="16"/>
            <w:szCs w:val="16"/>
          </w:rPr>
          <w:t>www.stats.govt.nz/browse_for_stats/health/life_expectancy/NZLifeTables_HOTP05-07.aspx</w:t>
        </w:r>
      </w:hyperlink>
      <w:r w:rsidRPr="00D56432">
        <w:rPr>
          <w:rStyle w:val="Hyperlink"/>
          <w:rFonts w:asciiTheme="majorHAnsi" w:hAnsiTheme="majorHAnsi"/>
          <w:sz w:val="16"/>
          <w:szCs w:val="16"/>
        </w:rPr>
        <w:t>.</w:t>
      </w:r>
      <w:proofErr w:type="gramEnd"/>
    </w:p>
  </w:endnote>
  <w:endnote w:id="174">
    <w:p w14:paraId="4C329252" w14:textId="77777777" w:rsidR="00EB2441" w:rsidRPr="00E405CC" w:rsidRDefault="00EB2441" w:rsidP="00814869">
      <w:pPr>
        <w:widowControl w:val="0"/>
        <w:autoSpaceDE w:val="0"/>
        <w:autoSpaceDN w:val="0"/>
        <w:adjustRightInd w:val="0"/>
        <w:rPr>
          <w:rFonts w:asciiTheme="majorHAnsi" w:hAnsiTheme="majorHAnsi"/>
          <w:sz w:val="16"/>
          <w:szCs w:val="16"/>
          <w:highlight w:val="yellow"/>
        </w:rPr>
      </w:pPr>
      <w:r w:rsidRPr="000B635E">
        <w:rPr>
          <w:rStyle w:val="EndnoteReference"/>
          <w:rFonts w:asciiTheme="majorHAnsi" w:hAnsiTheme="majorHAnsi"/>
          <w:color w:val="000000" w:themeColor="text1"/>
          <w:sz w:val="16"/>
          <w:szCs w:val="16"/>
        </w:rPr>
        <w:endnoteRef/>
      </w:r>
      <w:r w:rsidRPr="000B635E">
        <w:rPr>
          <w:rFonts w:asciiTheme="majorHAnsi" w:hAnsiTheme="majorHAnsi"/>
          <w:color w:val="000000" w:themeColor="text1"/>
          <w:sz w:val="16"/>
          <w:szCs w:val="16"/>
        </w:rPr>
        <w:t xml:space="preserve"> </w:t>
      </w:r>
      <w:proofErr w:type="spellStart"/>
      <w:r w:rsidRPr="000B635E">
        <w:rPr>
          <w:rFonts w:asciiTheme="majorHAnsi" w:hAnsiTheme="majorHAnsi"/>
          <w:i/>
          <w:color w:val="000000" w:themeColor="text1"/>
          <w:sz w:val="16"/>
          <w:szCs w:val="16"/>
        </w:rPr>
        <w:t>Whäia</w:t>
      </w:r>
      <w:proofErr w:type="spellEnd"/>
      <w:r w:rsidRPr="000B635E">
        <w:rPr>
          <w:rFonts w:asciiTheme="majorHAnsi" w:hAnsiTheme="majorHAnsi"/>
          <w:i/>
          <w:color w:val="000000" w:themeColor="text1"/>
          <w:sz w:val="16"/>
          <w:szCs w:val="16"/>
        </w:rPr>
        <w:t xml:space="preserve"> </w:t>
      </w:r>
      <w:proofErr w:type="spellStart"/>
      <w:r w:rsidRPr="000B635E">
        <w:rPr>
          <w:rFonts w:asciiTheme="majorHAnsi" w:hAnsiTheme="majorHAnsi"/>
          <w:i/>
          <w:color w:val="000000" w:themeColor="text1"/>
          <w:sz w:val="16"/>
          <w:szCs w:val="16"/>
        </w:rPr>
        <w:t>te</w:t>
      </w:r>
      <w:proofErr w:type="spellEnd"/>
      <w:r w:rsidRPr="000B635E">
        <w:rPr>
          <w:rFonts w:asciiTheme="majorHAnsi" w:hAnsiTheme="majorHAnsi"/>
          <w:i/>
          <w:color w:val="000000" w:themeColor="text1"/>
          <w:sz w:val="16"/>
          <w:szCs w:val="16"/>
        </w:rPr>
        <w:t xml:space="preserve"> </w:t>
      </w:r>
      <w:proofErr w:type="spellStart"/>
      <w:r w:rsidRPr="000B635E">
        <w:rPr>
          <w:rFonts w:asciiTheme="majorHAnsi" w:hAnsiTheme="majorHAnsi"/>
          <w:i/>
          <w:color w:val="000000" w:themeColor="text1"/>
          <w:sz w:val="16"/>
          <w:szCs w:val="16"/>
        </w:rPr>
        <w:t>Ora</w:t>
      </w:r>
      <w:proofErr w:type="spellEnd"/>
      <w:r w:rsidRPr="000B635E">
        <w:rPr>
          <w:rFonts w:asciiTheme="majorHAnsi" w:hAnsiTheme="majorHAnsi"/>
          <w:i/>
          <w:color w:val="000000" w:themeColor="text1"/>
          <w:sz w:val="16"/>
          <w:szCs w:val="16"/>
        </w:rPr>
        <w:t xml:space="preserve"> </w:t>
      </w:r>
      <w:proofErr w:type="spellStart"/>
      <w:r w:rsidRPr="000B635E">
        <w:rPr>
          <w:rFonts w:asciiTheme="majorHAnsi" w:hAnsiTheme="majorHAnsi"/>
          <w:i/>
          <w:color w:val="000000" w:themeColor="text1"/>
          <w:sz w:val="16"/>
          <w:szCs w:val="16"/>
        </w:rPr>
        <w:t>mo</w:t>
      </w:r>
      <w:proofErr w:type="spellEnd"/>
      <w:r w:rsidRPr="000B635E">
        <w:rPr>
          <w:rFonts w:asciiTheme="majorHAnsi" w:hAnsiTheme="majorHAnsi"/>
          <w:i/>
          <w:color w:val="000000" w:themeColor="text1"/>
          <w:sz w:val="16"/>
          <w:szCs w:val="16"/>
        </w:rPr>
        <w:t xml:space="preserve">̈ </w:t>
      </w:r>
      <w:proofErr w:type="spellStart"/>
      <w:r w:rsidRPr="000B635E">
        <w:rPr>
          <w:rFonts w:asciiTheme="majorHAnsi" w:hAnsiTheme="majorHAnsi"/>
          <w:i/>
          <w:color w:val="000000" w:themeColor="text1"/>
          <w:sz w:val="16"/>
          <w:szCs w:val="16"/>
        </w:rPr>
        <w:t>te</w:t>
      </w:r>
      <w:proofErr w:type="spellEnd"/>
      <w:r w:rsidRPr="000B635E">
        <w:rPr>
          <w:rFonts w:asciiTheme="majorHAnsi" w:hAnsiTheme="majorHAnsi"/>
          <w:i/>
          <w:color w:val="000000" w:themeColor="text1"/>
          <w:sz w:val="16"/>
          <w:szCs w:val="16"/>
        </w:rPr>
        <w:t xml:space="preserve"> </w:t>
      </w:r>
      <w:proofErr w:type="spellStart"/>
      <w:r w:rsidRPr="000B635E">
        <w:rPr>
          <w:rFonts w:asciiTheme="majorHAnsi" w:hAnsiTheme="majorHAnsi"/>
          <w:i/>
          <w:color w:val="000000" w:themeColor="text1"/>
          <w:sz w:val="16"/>
          <w:szCs w:val="16"/>
        </w:rPr>
        <w:t>Iwi</w:t>
      </w:r>
      <w:proofErr w:type="spellEnd"/>
      <w:r w:rsidRPr="000B635E">
        <w:rPr>
          <w:rFonts w:asciiTheme="majorHAnsi" w:hAnsiTheme="majorHAnsi"/>
          <w:color w:val="000000" w:themeColor="text1"/>
          <w:sz w:val="16"/>
          <w:szCs w:val="16"/>
        </w:rPr>
        <w:t xml:space="preserve"> </w:t>
      </w:r>
      <w:r w:rsidRPr="000B635E">
        <w:rPr>
          <w:rFonts w:asciiTheme="majorHAnsi" w:hAnsiTheme="majorHAnsi"/>
          <w:i/>
          <w:color w:val="000000" w:themeColor="text1"/>
          <w:sz w:val="16"/>
          <w:szCs w:val="16"/>
        </w:rPr>
        <w:t>(Strive for the Good Health of the People) Maori Health Policy Objectives of Regional Health Authorities and the Public Health Commission</w:t>
      </w:r>
      <w:r w:rsidRPr="000B635E">
        <w:rPr>
          <w:rFonts w:asciiTheme="majorHAnsi" w:hAnsiTheme="majorHAnsi"/>
          <w:color w:val="000000" w:themeColor="text1"/>
          <w:sz w:val="16"/>
          <w:szCs w:val="16"/>
        </w:rPr>
        <w:t xml:space="preserve">, Department of Health, 1992; </w:t>
      </w:r>
      <w:r w:rsidRPr="000B635E">
        <w:rPr>
          <w:rFonts w:asciiTheme="majorHAnsi" w:eastAsia="Times New Roman" w:hAnsiTheme="majorHAnsi" w:cs="Times"/>
          <w:i/>
          <w:color w:val="000000" w:themeColor="text1"/>
          <w:sz w:val="16"/>
          <w:szCs w:val="16"/>
        </w:rPr>
        <w:t>Health and Disability Services Act</w:t>
      </w:r>
      <w:r w:rsidRPr="000B635E">
        <w:rPr>
          <w:rFonts w:asciiTheme="majorHAnsi" w:eastAsia="Times New Roman" w:hAnsiTheme="majorHAnsi" w:cs="Times"/>
          <w:color w:val="000000" w:themeColor="text1"/>
          <w:sz w:val="16"/>
          <w:szCs w:val="16"/>
        </w:rPr>
        <w:t xml:space="preserve"> 1993 022 (NZ). </w:t>
      </w:r>
    </w:p>
  </w:endnote>
  <w:endnote w:id="175">
    <w:p w14:paraId="4B2441A2" w14:textId="77777777" w:rsidR="00EB2441" w:rsidRPr="000B635E" w:rsidRDefault="00EB2441" w:rsidP="00560FB2">
      <w:pPr>
        <w:pStyle w:val="EndnoteText"/>
        <w:rPr>
          <w:rFonts w:asciiTheme="majorHAnsi" w:hAnsiTheme="majorHAnsi"/>
          <w:color w:val="000000" w:themeColor="text1"/>
          <w:sz w:val="16"/>
          <w:szCs w:val="16"/>
          <w:lang w:val="en-US"/>
        </w:rPr>
      </w:pPr>
      <w:r w:rsidRPr="000B635E">
        <w:rPr>
          <w:rStyle w:val="EndnoteReference"/>
          <w:rFonts w:asciiTheme="majorHAnsi" w:hAnsiTheme="majorHAnsi"/>
          <w:color w:val="000000" w:themeColor="text1"/>
          <w:sz w:val="16"/>
          <w:szCs w:val="16"/>
        </w:rPr>
        <w:endnoteRef/>
      </w:r>
      <w:r w:rsidRPr="000B635E">
        <w:rPr>
          <w:rFonts w:asciiTheme="majorHAnsi" w:hAnsiTheme="majorHAnsi"/>
          <w:color w:val="000000" w:themeColor="text1"/>
          <w:sz w:val="16"/>
          <w:szCs w:val="16"/>
        </w:rPr>
        <w:t xml:space="preserve"> Ministry of Health (New Zealand), </w:t>
      </w:r>
      <w:proofErr w:type="gramStart"/>
      <w:r w:rsidRPr="0011352B">
        <w:rPr>
          <w:rFonts w:asciiTheme="majorHAnsi" w:hAnsiTheme="majorHAnsi"/>
          <w:i/>
          <w:color w:val="000000" w:themeColor="text1"/>
          <w:sz w:val="16"/>
          <w:szCs w:val="16"/>
        </w:rPr>
        <w:t>Our</w:t>
      </w:r>
      <w:proofErr w:type="gramEnd"/>
      <w:r w:rsidRPr="0011352B">
        <w:rPr>
          <w:rFonts w:asciiTheme="majorHAnsi" w:hAnsiTheme="majorHAnsi"/>
          <w:i/>
          <w:color w:val="000000" w:themeColor="text1"/>
          <w:sz w:val="16"/>
          <w:szCs w:val="16"/>
        </w:rPr>
        <w:t xml:space="preserve"> history and current position</w:t>
      </w:r>
      <w:r w:rsidRPr="000B635E">
        <w:rPr>
          <w:rFonts w:asciiTheme="majorHAnsi" w:hAnsiTheme="majorHAnsi"/>
          <w:color w:val="000000" w:themeColor="text1"/>
          <w:sz w:val="16"/>
          <w:szCs w:val="16"/>
        </w:rPr>
        <w:t xml:space="preserve">, </w:t>
      </w:r>
      <w:r w:rsidRPr="000B635E">
        <w:rPr>
          <w:rFonts w:asciiTheme="majorHAnsi" w:hAnsiTheme="majorHAnsi" w:cstheme="majorHAnsi"/>
          <w:color w:val="000000" w:themeColor="text1"/>
          <w:sz w:val="16"/>
          <w:szCs w:val="16"/>
        </w:rPr>
        <w:t xml:space="preserve">2012. </w:t>
      </w:r>
      <w:proofErr w:type="gramStart"/>
      <w:r w:rsidRPr="000B635E">
        <w:rPr>
          <w:rFonts w:asciiTheme="majorHAnsi" w:hAnsiTheme="majorHAnsi" w:cstheme="majorHAnsi"/>
          <w:color w:val="000000" w:themeColor="text1"/>
          <w:sz w:val="16"/>
          <w:szCs w:val="16"/>
        </w:rPr>
        <w:t xml:space="preserve">URL </w:t>
      </w:r>
      <w:hyperlink r:id="rId46" w:history="1">
        <w:r w:rsidRPr="000B635E">
          <w:rPr>
            <w:rStyle w:val="Hyperlink"/>
            <w:rFonts w:asciiTheme="majorHAnsi" w:hAnsiTheme="majorHAnsi" w:cstheme="majorHAnsi"/>
            <w:sz w:val="16"/>
            <w:szCs w:val="16"/>
          </w:rPr>
          <w:t>http://www.health.govt.nz/about-ministry/ministry-business-units/maori-health-business-unit/our-history-and-current-position</w:t>
        </w:r>
      </w:hyperlink>
      <w:r w:rsidRPr="000B635E">
        <w:rPr>
          <w:rFonts w:asciiTheme="majorHAnsi" w:hAnsiTheme="majorHAnsi" w:cstheme="majorHAnsi"/>
          <w:sz w:val="16"/>
          <w:szCs w:val="16"/>
        </w:rPr>
        <w:t>.</w:t>
      </w:r>
      <w:proofErr w:type="gramEnd"/>
      <w:r w:rsidRPr="000B635E">
        <w:t xml:space="preserve"> </w:t>
      </w:r>
    </w:p>
  </w:endnote>
  <w:endnote w:id="176">
    <w:p w14:paraId="48F6C8A1" w14:textId="4EE90528" w:rsidR="00EB2441" w:rsidRPr="0011352B" w:rsidRDefault="00EB2441" w:rsidP="00560FB2">
      <w:pPr>
        <w:pStyle w:val="EndnoteText"/>
        <w:rPr>
          <w:rFonts w:asciiTheme="majorHAnsi" w:hAnsiTheme="majorHAnsi"/>
          <w:color w:val="000000" w:themeColor="text1"/>
          <w:sz w:val="16"/>
          <w:szCs w:val="16"/>
          <w:lang w:val="en-US"/>
        </w:rPr>
      </w:pPr>
      <w:r w:rsidRPr="0011352B">
        <w:rPr>
          <w:rStyle w:val="EndnoteReference"/>
          <w:rFonts w:asciiTheme="majorHAnsi" w:hAnsiTheme="majorHAnsi"/>
          <w:color w:val="000000" w:themeColor="text1"/>
          <w:sz w:val="16"/>
          <w:szCs w:val="16"/>
        </w:rPr>
        <w:endnoteRef/>
      </w:r>
      <w:r w:rsidRPr="0011352B">
        <w:rPr>
          <w:rFonts w:asciiTheme="majorHAnsi" w:hAnsiTheme="majorHAnsi"/>
          <w:color w:val="000000" w:themeColor="text1"/>
          <w:sz w:val="16"/>
          <w:szCs w:val="16"/>
        </w:rPr>
        <w:t xml:space="preserve"> Ministry of Heal</w:t>
      </w:r>
      <w:r>
        <w:rPr>
          <w:rFonts w:asciiTheme="majorHAnsi" w:hAnsiTheme="majorHAnsi"/>
          <w:color w:val="000000" w:themeColor="text1"/>
          <w:sz w:val="16"/>
          <w:szCs w:val="16"/>
        </w:rPr>
        <w:t>th (New Zealand), above note 175</w:t>
      </w:r>
      <w:r w:rsidRPr="0011352B">
        <w:rPr>
          <w:rFonts w:asciiTheme="majorHAnsi" w:hAnsiTheme="majorHAnsi"/>
          <w:color w:val="000000" w:themeColor="text1"/>
          <w:sz w:val="16"/>
          <w:szCs w:val="16"/>
        </w:rPr>
        <w:t>.</w:t>
      </w:r>
    </w:p>
  </w:endnote>
  <w:endnote w:id="177">
    <w:p w14:paraId="3E7BAE17" w14:textId="7724E21C" w:rsidR="00EB2441" w:rsidRPr="0011352B" w:rsidRDefault="00EB2441" w:rsidP="00560FB2">
      <w:pPr>
        <w:pStyle w:val="EndnoteText"/>
        <w:rPr>
          <w:rFonts w:asciiTheme="majorHAnsi" w:hAnsiTheme="majorHAnsi"/>
          <w:color w:val="000000" w:themeColor="text1"/>
          <w:sz w:val="16"/>
          <w:szCs w:val="16"/>
          <w:lang w:val="en-US"/>
        </w:rPr>
      </w:pPr>
      <w:r w:rsidRPr="0011352B">
        <w:rPr>
          <w:rStyle w:val="EndnoteReference"/>
          <w:rFonts w:asciiTheme="majorHAnsi" w:hAnsiTheme="majorHAnsi"/>
          <w:color w:val="000000" w:themeColor="text1"/>
          <w:sz w:val="16"/>
          <w:szCs w:val="16"/>
        </w:rPr>
        <w:endnoteRef/>
      </w:r>
      <w:r w:rsidRPr="0011352B">
        <w:rPr>
          <w:rFonts w:asciiTheme="majorHAnsi" w:hAnsiTheme="majorHAnsi"/>
          <w:color w:val="000000" w:themeColor="text1"/>
          <w:sz w:val="16"/>
          <w:szCs w:val="16"/>
        </w:rPr>
        <w:t xml:space="preserve"> Ministry of Health (New Zealand), </w:t>
      </w:r>
      <w:r>
        <w:rPr>
          <w:rFonts w:asciiTheme="majorHAnsi" w:hAnsiTheme="majorHAnsi"/>
          <w:color w:val="000000" w:themeColor="text1"/>
          <w:sz w:val="16"/>
          <w:szCs w:val="16"/>
          <w:lang w:val="en-US"/>
        </w:rPr>
        <w:t>above note 175</w:t>
      </w:r>
      <w:r w:rsidRPr="0011352B">
        <w:rPr>
          <w:rFonts w:asciiTheme="majorHAnsi" w:hAnsiTheme="majorHAnsi"/>
          <w:color w:val="000000" w:themeColor="text1"/>
          <w:sz w:val="16"/>
          <w:szCs w:val="16"/>
          <w:lang w:val="en-US"/>
        </w:rPr>
        <w:t>.</w:t>
      </w:r>
    </w:p>
  </w:endnote>
  <w:endnote w:id="178">
    <w:p w14:paraId="29D28DE3" w14:textId="77777777" w:rsidR="00EB2441" w:rsidRPr="0011352B" w:rsidRDefault="00EB2441" w:rsidP="00560FB2">
      <w:pPr>
        <w:pStyle w:val="EndnoteText"/>
        <w:rPr>
          <w:rFonts w:asciiTheme="majorHAnsi" w:hAnsiTheme="majorHAnsi"/>
          <w:color w:val="000000" w:themeColor="text1"/>
          <w:sz w:val="16"/>
          <w:szCs w:val="16"/>
          <w:lang w:val="en-US"/>
        </w:rPr>
      </w:pPr>
      <w:r w:rsidRPr="0011352B">
        <w:rPr>
          <w:rStyle w:val="EndnoteReference"/>
          <w:rFonts w:asciiTheme="majorHAnsi" w:hAnsiTheme="majorHAnsi"/>
          <w:color w:val="000000" w:themeColor="text1"/>
          <w:sz w:val="16"/>
          <w:szCs w:val="16"/>
        </w:rPr>
        <w:endnoteRef/>
      </w:r>
      <w:r w:rsidRPr="0011352B">
        <w:rPr>
          <w:rFonts w:asciiTheme="majorHAnsi" w:hAnsiTheme="majorHAnsi"/>
          <w:color w:val="000000" w:themeColor="text1"/>
          <w:sz w:val="16"/>
          <w:szCs w:val="16"/>
        </w:rPr>
        <w:t xml:space="preserve"> </w:t>
      </w:r>
      <w:hyperlink r:id="rId47" w:history="1">
        <w:r w:rsidRPr="0011352B">
          <w:rPr>
            <w:rFonts w:asciiTheme="majorHAnsi" w:hAnsiTheme="majorHAnsi"/>
            <w:i/>
            <w:color w:val="000000" w:themeColor="text1"/>
            <w:sz w:val="16"/>
            <w:szCs w:val="16"/>
          </w:rPr>
          <w:t>Public Health &amp; Disability Act</w:t>
        </w:r>
        <w:r w:rsidRPr="0011352B">
          <w:rPr>
            <w:rFonts w:asciiTheme="majorHAnsi" w:hAnsiTheme="majorHAnsi"/>
            <w:color w:val="000000" w:themeColor="text1"/>
            <w:sz w:val="16"/>
            <w:szCs w:val="16"/>
          </w:rPr>
          <w:t xml:space="preserve"> 2000</w:t>
        </w:r>
      </w:hyperlink>
      <w:r w:rsidRPr="0011352B">
        <w:rPr>
          <w:rFonts w:asciiTheme="majorHAnsi" w:hAnsiTheme="majorHAnsi"/>
          <w:color w:val="000000" w:themeColor="text1"/>
          <w:sz w:val="16"/>
          <w:szCs w:val="16"/>
        </w:rPr>
        <w:t xml:space="preserve"> (NZ), s 23(1</w:t>
      </w:r>
      <w:proofErr w:type="gramStart"/>
      <w:r w:rsidRPr="0011352B">
        <w:rPr>
          <w:rFonts w:asciiTheme="majorHAnsi" w:hAnsiTheme="majorHAnsi"/>
          <w:color w:val="000000" w:themeColor="text1"/>
          <w:sz w:val="16"/>
          <w:szCs w:val="16"/>
        </w:rPr>
        <w:t>)(</w:t>
      </w:r>
      <w:proofErr w:type="gramEnd"/>
      <w:r w:rsidRPr="0011352B">
        <w:rPr>
          <w:rFonts w:asciiTheme="majorHAnsi" w:hAnsiTheme="majorHAnsi"/>
          <w:color w:val="000000" w:themeColor="text1"/>
          <w:sz w:val="16"/>
          <w:szCs w:val="16"/>
        </w:rPr>
        <w:t xml:space="preserve">d). </w:t>
      </w:r>
    </w:p>
  </w:endnote>
  <w:endnote w:id="179">
    <w:p w14:paraId="0D99F5AA" w14:textId="77777777" w:rsidR="00EB2441" w:rsidRPr="00E405CC" w:rsidRDefault="00EB2441" w:rsidP="00560FB2">
      <w:pPr>
        <w:pStyle w:val="EndnoteText"/>
        <w:rPr>
          <w:rFonts w:asciiTheme="majorHAnsi" w:hAnsiTheme="majorHAnsi"/>
          <w:color w:val="000000" w:themeColor="text1"/>
          <w:sz w:val="16"/>
          <w:szCs w:val="16"/>
          <w:highlight w:val="yellow"/>
          <w:lang w:val="en-US"/>
        </w:rPr>
      </w:pPr>
      <w:r w:rsidRPr="0011352B">
        <w:rPr>
          <w:rStyle w:val="EndnoteReference"/>
          <w:rFonts w:asciiTheme="majorHAnsi" w:hAnsiTheme="majorHAnsi"/>
          <w:color w:val="000000" w:themeColor="text1"/>
          <w:sz w:val="16"/>
          <w:szCs w:val="16"/>
        </w:rPr>
        <w:endnoteRef/>
      </w:r>
      <w:r>
        <w:rPr>
          <w:rFonts w:asciiTheme="majorHAnsi" w:hAnsiTheme="majorHAnsi"/>
          <w:color w:val="000000" w:themeColor="text1"/>
          <w:sz w:val="16"/>
          <w:szCs w:val="16"/>
        </w:rPr>
        <w:t xml:space="preserve"> </w:t>
      </w:r>
      <w:hyperlink r:id="rId48" w:history="1">
        <w:r w:rsidRPr="0011352B">
          <w:rPr>
            <w:rFonts w:asciiTheme="majorHAnsi" w:hAnsiTheme="majorHAnsi"/>
            <w:i/>
            <w:color w:val="000000" w:themeColor="text1"/>
            <w:sz w:val="16"/>
            <w:szCs w:val="16"/>
          </w:rPr>
          <w:t>Public Health &amp; Disability Act</w:t>
        </w:r>
        <w:r w:rsidRPr="0011352B">
          <w:rPr>
            <w:rFonts w:asciiTheme="majorHAnsi" w:hAnsiTheme="majorHAnsi"/>
            <w:color w:val="000000" w:themeColor="text1"/>
            <w:sz w:val="16"/>
            <w:szCs w:val="16"/>
          </w:rPr>
          <w:t xml:space="preserve"> 2000</w:t>
        </w:r>
      </w:hyperlink>
      <w:r w:rsidRPr="0011352B">
        <w:rPr>
          <w:rFonts w:asciiTheme="majorHAnsi" w:hAnsiTheme="majorHAnsi"/>
          <w:color w:val="000000" w:themeColor="text1"/>
          <w:sz w:val="16"/>
          <w:szCs w:val="16"/>
        </w:rPr>
        <w:t xml:space="preserve"> (NZ), </w:t>
      </w:r>
      <w:proofErr w:type="spellStart"/>
      <w:r w:rsidRPr="0011352B">
        <w:rPr>
          <w:rFonts w:asciiTheme="majorHAnsi" w:hAnsiTheme="majorHAnsi"/>
          <w:color w:val="000000" w:themeColor="text1"/>
          <w:sz w:val="16"/>
          <w:szCs w:val="16"/>
        </w:rPr>
        <w:t>ss</w:t>
      </w:r>
      <w:proofErr w:type="spellEnd"/>
      <w:r w:rsidRPr="0011352B">
        <w:rPr>
          <w:rFonts w:asciiTheme="majorHAnsi" w:hAnsiTheme="majorHAnsi"/>
          <w:color w:val="000000" w:themeColor="text1"/>
          <w:sz w:val="16"/>
          <w:szCs w:val="16"/>
        </w:rPr>
        <w:t xml:space="preserve"> 22(1</w:t>
      </w:r>
      <w:proofErr w:type="gramStart"/>
      <w:r w:rsidRPr="0011352B">
        <w:rPr>
          <w:rFonts w:asciiTheme="majorHAnsi" w:hAnsiTheme="majorHAnsi"/>
          <w:color w:val="000000" w:themeColor="text1"/>
          <w:sz w:val="16"/>
          <w:szCs w:val="16"/>
        </w:rPr>
        <w:t>)(</w:t>
      </w:r>
      <w:proofErr w:type="gramEnd"/>
      <w:r w:rsidRPr="0011352B">
        <w:rPr>
          <w:rFonts w:asciiTheme="majorHAnsi" w:hAnsiTheme="majorHAnsi"/>
          <w:color w:val="000000" w:themeColor="text1"/>
          <w:sz w:val="16"/>
          <w:szCs w:val="16"/>
        </w:rPr>
        <w:t>e)</w:t>
      </w:r>
      <w:r>
        <w:rPr>
          <w:rFonts w:asciiTheme="majorHAnsi" w:hAnsiTheme="majorHAnsi"/>
          <w:color w:val="000000" w:themeColor="text1"/>
          <w:sz w:val="16"/>
          <w:szCs w:val="16"/>
        </w:rPr>
        <w:t>-</w:t>
      </w:r>
      <w:r w:rsidRPr="0011352B">
        <w:rPr>
          <w:rFonts w:asciiTheme="majorHAnsi" w:hAnsiTheme="majorHAnsi"/>
          <w:color w:val="000000" w:themeColor="text1"/>
          <w:sz w:val="16"/>
          <w:szCs w:val="16"/>
        </w:rPr>
        <w:t>22(1)(f).</w:t>
      </w:r>
    </w:p>
  </w:endnote>
  <w:endnote w:id="180">
    <w:p w14:paraId="66723713" w14:textId="77777777" w:rsidR="00EB2441" w:rsidRPr="0011352B" w:rsidRDefault="00EB2441" w:rsidP="00560FB2">
      <w:pPr>
        <w:pStyle w:val="EndnoteText"/>
        <w:rPr>
          <w:rFonts w:asciiTheme="majorHAnsi" w:hAnsiTheme="majorHAnsi"/>
          <w:color w:val="000000" w:themeColor="text1"/>
          <w:sz w:val="16"/>
          <w:szCs w:val="16"/>
          <w:lang w:val="en-US"/>
        </w:rPr>
      </w:pPr>
      <w:r w:rsidRPr="0011352B">
        <w:rPr>
          <w:rStyle w:val="EndnoteReference"/>
          <w:rFonts w:asciiTheme="majorHAnsi" w:hAnsiTheme="majorHAnsi"/>
          <w:color w:val="000000" w:themeColor="text1"/>
          <w:sz w:val="16"/>
          <w:szCs w:val="16"/>
        </w:rPr>
        <w:endnoteRef/>
      </w:r>
      <w:r w:rsidRPr="0011352B">
        <w:rPr>
          <w:rFonts w:asciiTheme="majorHAnsi" w:hAnsiTheme="majorHAnsi"/>
          <w:color w:val="000000" w:themeColor="text1"/>
          <w:sz w:val="16"/>
          <w:szCs w:val="16"/>
        </w:rPr>
        <w:t xml:space="preserve"> </w:t>
      </w:r>
      <w:proofErr w:type="gramStart"/>
      <w:r w:rsidRPr="0011352B">
        <w:rPr>
          <w:rFonts w:asciiTheme="majorHAnsi" w:hAnsiTheme="majorHAnsi"/>
          <w:color w:val="000000" w:themeColor="text1"/>
          <w:sz w:val="16"/>
          <w:szCs w:val="16"/>
        </w:rPr>
        <w:t xml:space="preserve">Ministry of Health (NZ), </w:t>
      </w:r>
      <w:r w:rsidRPr="0011352B">
        <w:rPr>
          <w:rFonts w:asciiTheme="majorHAnsi" w:hAnsiTheme="majorHAnsi"/>
          <w:i/>
          <w:color w:val="000000" w:themeColor="text1"/>
          <w:sz w:val="16"/>
          <w:szCs w:val="16"/>
        </w:rPr>
        <w:t>Maori Health</w:t>
      </w:r>
      <w:r w:rsidRPr="0011352B">
        <w:rPr>
          <w:rFonts w:asciiTheme="majorHAnsi" w:hAnsiTheme="majorHAnsi"/>
          <w:color w:val="000000" w:themeColor="text1"/>
          <w:sz w:val="16"/>
          <w:szCs w:val="16"/>
        </w:rPr>
        <w:t>, 2014.</w:t>
      </w:r>
      <w:proofErr w:type="gramEnd"/>
      <w:r w:rsidRPr="0011352B">
        <w:rPr>
          <w:rFonts w:asciiTheme="majorHAnsi" w:hAnsiTheme="majorHAnsi"/>
          <w:color w:val="000000" w:themeColor="text1"/>
          <w:sz w:val="16"/>
          <w:szCs w:val="16"/>
        </w:rPr>
        <w:t xml:space="preserve"> </w:t>
      </w:r>
      <w:proofErr w:type="gramStart"/>
      <w:r w:rsidRPr="0011352B">
        <w:rPr>
          <w:rFonts w:asciiTheme="majorHAnsi" w:hAnsiTheme="majorHAnsi"/>
          <w:color w:val="000000" w:themeColor="text1"/>
          <w:sz w:val="16"/>
          <w:szCs w:val="16"/>
        </w:rPr>
        <w:t xml:space="preserve">URL </w:t>
      </w:r>
      <w:hyperlink r:id="rId49" w:history="1">
        <w:r w:rsidRPr="0011352B">
          <w:rPr>
            <w:rStyle w:val="Hyperlink"/>
            <w:rFonts w:asciiTheme="majorHAnsi" w:hAnsiTheme="majorHAnsi"/>
            <w:sz w:val="16"/>
            <w:szCs w:val="16"/>
          </w:rPr>
          <w:t>http://www.health.govt.nz/our-work/populations/maori-health</w:t>
        </w:r>
      </w:hyperlink>
      <w:r w:rsidRPr="0011352B">
        <w:rPr>
          <w:rStyle w:val="Hyperlink"/>
          <w:rFonts w:asciiTheme="majorHAnsi" w:hAnsiTheme="majorHAnsi"/>
          <w:sz w:val="16"/>
          <w:szCs w:val="16"/>
        </w:rPr>
        <w:t>.</w:t>
      </w:r>
      <w:proofErr w:type="gramEnd"/>
    </w:p>
  </w:endnote>
  <w:endnote w:id="181">
    <w:p w14:paraId="46B7B635" w14:textId="6F2D93E6" w:rsidR="00EB2441" w:rsidRPr="00E405CC" w:rsidRDefault="00EB2441" w:rsidP="00560FB2">
      <w:pPr>
        <w:pStyle w:val="EndnoteText"/>
        <w:rPr>
          <w:rFonts w:asciiTheme="majorHAnsi" w:hAnsiTheme="majorHAnsi"/>
          <w:sz w:val="16"/>
          <w:szCs w:val="16"/>
          <w:lang w:val="en-US"/>
        </w:rPr>
      </w:pPr>
      <w:r w:rsidRPr="0011352B">
        <w:rPr>
          <w:rFonts w:asciiTheme="majorHAnsi" w:hAnsiTheme="majorHAnsi" w:cs="Arial"/>
          <w:color w:val="000000" w:themeColor="text1"/>
          <w:sz w:val="16"/>
          <w:szCs w:val="16"/>
          <w:vertAlign w:val="superscript"/>
        </w:rPr>
        <w:endnoteRef/>
      </w:r>
      <w:r w:rsidRPr="0011352B">
        <w:rPr>
          <w:rFonts w:asciiTheme="majorHAnsi" w:hAnsiTheme="majorHAnsi"/>
          <w:sz w:val="16"/>
          <w:szCs w:val="16"/>
          <w:vertAlign w:val="superscript"/>
        </w:rPr>
        <w:t xml:space="preserve"> </w:t>
      </w:r>
      <w:proofErr w:type="gramStart"/>
      <w:r w:rsidRPr="0011352B">
        <w:rPr>
          <w:rFonts w:asciiTheme="majorHAnsi" w:hAnsiTheme="majorHAnsi"/>
          <w:color w:val="000000" w:themeColor="text1"/>
          <w:sz w:val="16"/>
          <w:szCs w:val="16"/>
        </w:rPr>
        <w:t xml:space="preserve">Australian Government, </w:t>
      </w:r>
      <w:r w:rsidRPr="001F4FF2">
        <w:rPr>
          <w:rFonts w:asciiTheme="majorHAnsi" w:hAnsiTheme="majorHAnsi"/>
          <w:i/>
          <w:color w:val="000000" w:themeColor="text1"/>
          <w:sz w:val="16"/>
          <w:szCs w:val="16"/>
          <w:lang w:val="en-US"/>
        </w:rPr>
        <w:t>National Aboriginal and Torres Strait Islander Health Plan 2013-2023</w:t>
      </w:r>
      <w:r>
        <w:rPr>
          <w:rFonts w:asciiTheme="majorHAnsi" w:hAnsiTheme="majorHAnsi"/>
          <w:color w:val="000000" w:themeColor="text1"/>
          <w:sz w:val="16"/>
          <w:szCs w:val="16"/>
          <w:lang w:val="en-US"/>
        </w:rPr>
        <w:t xml:space="preserve">, 2013, </w:t>
      </w:r>
      <w:proofErr w:type="spellStart"/>
      <w:r>
        <w:rPr>
          <w:rFonts w:asciiTheme="majorHAnsi" w:hAnsiTheme="majorHAnsi"/>
          <w:color w:val="000000" w:themeColor="text1"/>
          <w:sz w:val="16"/>
          <w:szCs w:val="16"/>
          <w:lang w:val="en-US"/>
        </w:rPr>
        <w:t>pp</w:t>
      </w:r>
      <w:proofErr w:type="spellEnd"/>
      <w:r>
        <w:rPr>
          <w:rFonts w:asciiTheme="majorHAnsi" w:hAnsiTheme="majorHAnsi"/>
          <w:color w:val="000000" w:themeColor="text1"/>
          <w:sz w:val="16"/>
          <w:szCs w:val="16"/>
          <w:lang w:val="en-US"/>
        </w:rPr>
        <w:t xml:space="preserve"> 7, 9.</w:t>
      </w:r>
      <w:proofErr w:type="gramEnd"/>
      <w:r>
        <w:rPr>
          <w:rFonts w:asciiTheme="majorHAnsi" w:hAnsiTheme="majorHAnsi"/>
          <w:color w:val="000000" w:themeColor="text1"/>
          <w:sz w:val="16"/>
          <w:szCs w:val="16"/>
          <w:lang w:val="en-US"/>
        </w:rPr>
        <w:t xml:space="preserve"> </w:t>
      </w:r>
      <w:proofErr w:type="gramStart"/>
      <w:r>
        <w:rPr>
          <w:rFonts w:asciiTheme="majorHAnsi" w:hAnsiTheme="majorHAnsi"/>
          <w:color w:val="000000" w:themeColor="text1"/>
          <w:sz w:val="16"/>
          <w:szCs w:val="16"/>
          <w:lang w:val="en-US"/>
        </w:rPr>
        <w:t xml:space="preserve">URL </w:t>
      </w:r>
      <w:hyperlink r:id="rId50" w:history="1">
        <w:r w:rsidRPr="005176A0">
          <w:rPr>
            <w:rStyle w:val="Hyperlink"/>
            <w:rFonts w:asciiTheme="majorHAnsi" w:hAnsiTheme="majorHAnsi"/>
            <w:sz w:val="16"/>
            <w:szCs w:val="16"/>
            <w:lang w:val="en-US"/>
          </w:rPr>
          <w:t>http://www.health.gov.au/natsihp</w:t>
        </w:r>
      </w:hyperlink>
      <w:r>
        <w:rPr>
          <w:rFonts w:asciiTheme="majorHAnsi" w:hAnsiTheme="majorHAnsi"/>
          <w:color w:val="000000" w:themeColor="text1"/>
          <w:sz w:val="16"/>
          <w:szCs w:val="16"/>
          <w:lang w:val="en-US"/>
        </w:rPr>
        <w:t>.</w:t>
      </w:r>
      <w:proofErr w:type="gramEnd"/>
      <w:r>
        <w:rPr>
          <w:rFonts w:asciiTheme="majorHAnsi" w:hAnsiTheme="majorHAnsi"/>
          <w:color w:val="000000" w:themeColor="text1"/>
          <w:sz w:val="16"/>
          <w:szCs w:val="16"/>
          <w:lang w:val="en-US"/>
        </w:rPr>
        <w:t xml:space="preserve"> </w:t>
      </w:r>
    </w:p>
  </w:endnote>
  <w:endnote w:id="182">
    <w:p w14:paraId="10D5F516" w14:textId="77777777" w:rsidR="00EB2441" w:rsidRPr="00E405CC" w:rsidRDefault="00EB2441" w:rsidP="00560FB2">
      <w:pPr>
        <w:pStyle w:val="EndnoteText"/>
        <w:rPr>
          <w:rFonts w:asciiTheme="majorHAnsi" w:hAnsiTheme="majorHAnsi"/>
          <w:color w:val="000000" w:themeColor="text1"/>
          <w:sz w:val="16"/>
          <w:szCs w:val="16"/>
          <w:lang w:val="en-US"/>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Biddle N, </w:t>
      </w:r>
      <w:r w:rsidRPr="00E405CC">
        <w:rPr>
          <w:rFonts w:asciiTheme="majorHAnsi" w:hAnsiTheme="majorHAnsi"/>
          <w:i/>
          <w:color w:val="000000" w:themeColor="text1"/>
          <w:sz w:val="16"/>
          <w:szCs w:val="16"/>
        </w:rPr>
        <w:t>Developing a behavioural model of school attendance: policy implications for Indigenous children and youth</w:t>
      </w:r>
      <w:r w:rsidRPr="00E405CC">
        <w:rPr>
          <w:rFonts w:asciiTheme="majorHAnsi" w:hAnsiTheme="majorHAnsi"/>
          <w:color w:val="000000" w:themeColor="text1"/>
          <w:sz w:val="16"/>
          <w:szCs w:val="16"/>
        </w:rPr>
        <w:t xml:space="preserve">, CAEPR Seminar Series, </w:t>
      </w:r>
      <w:r w:rsidRPr="00737D79">
        <w:rPr>
          <w:rFonts w:asciiTheme="majorHAnsi" w:hAnsiTheme="majorHAnsi"/>
          <w:color w:val="000000" w:themeColor="text1"/>
          <w:sz w:val="16"/>
          <w:szCs w:val="16"/>
          <w:lang w:val="en-US"/>
        </w:rPr>
        <w:t>Working Paper 94 / 2014</w:t>
      </w:r>
      <w:r w:rsidRPr="00E405CC">
        <w:rPr>
          <w:rFonts w:asciiTheme="majorHAnsi" w:hAnsiTheme="majorHAnsi"/>
          <w:color w:val="000000" w:themeColor="text1"/>
          <w:sz w:val="16"/>
          <w:szCs w:val="16"/>
        </w:rPr>
        <w:t xml:space="preserve">, 2014. </w:t>
      </w:r>
      <w:proofErr w:type="gramStart"/>
      <w:r>
        <w:rPr>
          <w:rFonts w:asciiTheme="majorHAnsi" w:hAnsiTheme="majorHAnsi"/>
          <w:color w:val="000000" w:themeColor="text1"/>
          <w:sz w:val="16"/>
          <w:szCs w:val="16"/>
        </w:rPr>
        <w:t xml:space="preserve">URL </w:t>
      </w:r>
      <w:hyperlink r:id="rId51" w:history="1">
        <w:r w:rsidRPr="005656A6">
          <w:rPr>
            <w:rStyle w:val="Hyperlink"/>
            <w:rFonts w:asciiTheme="majorHAnsi" w:hAnsiTheme="majorHAnsi"/>
            <w:sz w:val="16"/>
            <w:szCs w:val="16"/>
          </w:rPr>
          <w:t>http://caepr.anu.edu.au/Publications/WP/2014WP94.php</w:t>
        </w:r>
      </w:hyperlink>
      <w:r>
        <w:rPr>
          <w:rFonts w:asciiTheme="majorHAnsi" w:hAnsiTheme="majorHAnsi"/>
          <w:color w:val="000000" w:themeColor="text1"/>
          <w:sz w:val="16"/>
          <w:szCs w:val="16"/>
        </w:rPr>
        <w:t>.</w:t>
      </w:r>
      <w:proofErr w:type="gramEnd"/>
      <w:r>
        <w:rPr>
          <w:rFonts w:asciiTheme="majorHAnsi" w:hAnsiTheme="majorHAnsi"/>
          <w:color w:val="000000" w:themeColor="text1"/>
          <w:sz w:val="16"/>
          <w:szCs w:val="16"/>
        </w:rPr>
        <w:t xml:space="preserve"> </w:t>
      </w:r>
    </w:p>
  </w:endnote>
  <w:endnote w:id="183">
    <w:p w14:paraId="7B27FAB2"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E405CC">
        <w:rPr>
          <w:rFonts w:asciiTheme="majorHAnsi" w:hAnsiTheme="majorHAnsi"/>
          <w:color w:val="000000" w:themeColor="text1"/>
          <w:sz w:val="16"/>
          <w:szCs w:val="16"/>
          <w:lang w:val="en-US"/>
        </w:rPr>
        <w:t xml:space="preserve">Dockery A, </w:t>
      </w:r>
      <w:r w:rsidRPr="00E405CC">
        <w:rPr>
          <w:rFonts w:asciiTheme="majorHAnsi" w:hAnsiTheme="majorHAnsi"/>
          <w:i/>
          <w:color w:val="000000" w:themeColor="text1"/>
          <w:sz w:val="16"/>
          <w:szCs w:val="16"/>
          <w:lang w:val="en-US"/>
        </w:rPr>
        <w:t>Culture and Wellbeing: The Case of Indigenous Australians</w:t>
      </w:r>
      <w:r w:rsidRPr="00E405CC">
        <w:rPr>
          <w:rFonts w:asciiTheme="majorHAnsi" w:hAnsiTheme="majorHAnsi"/>
          <w:color w:val="000000" w:themeColor="text1"/>
          <w:sz w:val="16"/>
          <w:szCs w:val="16"/>
          <w:lang w:val="en-US"/>
        </w:rPr>
        <w:t>, CLMR Discussion Paper Series 09/01, 2009.</w:t>
      </w:r>
      <w:r>
        <w:rPr>
          <w:rFonts w:asciiTheme="majorHAnsi" w:hAnsiTheme="majorHAnsi"/>
          <w:color w:val="000000" w:themeColor="text1"/>
          <w:sz w:val="16"/>
          <w:szCs w:val="16"/>
          <w:lang w:val="en-US"/>
        </w:rPr>
        <w:t xml:space="preserve"> </w:t>
      </w:r>
      <w:proofErr w:type="gramStart"/>
      <w:r>
        <w:rPr>
          <w:rFonts w:asciiTheme="majorHAnsi" w:hAnsiTheme="majorHAnsi"/>
          <w:color w:val="000000" w:themeColor="text1"/>
          <w:sz w:val="16"/>
          <w:szCs w:val="16"/>
          <w:lang w:val="en-US"/>
        </w:rPr>
        <w:t xml:space="preserve">URL </w:t>
      </w:r>
      <w:hyperlink r:id="rId52" w:history="1">
        <w:r w:rsidRPr="005656A6">
          <w:rPr>
            <w:rStyle w:val="Hyperlink"/>
            <w:rFonts w:asciiTheme="majorHAnsi" w:hAnsiTheme="majorHAnsi"/>
            <w:sz w:val="16"/>
            <w:szCs w:val="16"/>
            <w:lang w:val="en-US"/>
          </w:rPr>
          <w:t>http://ceebi.curtin.edu.au/local/docs/2009.01_CultureWellbeing.pdf</w:t>
        </w:r>
      </w:hyperlink>
      <w:r>
        <w:rPr>
          <w:rFonts w:asciiTheme="majorHAnsi" w:hAnsiTheme="majorHAnsi"/>
          <w:color w:val="000000" w:themeColor="text1"/>
          <w:sz w:val="16"/>
          <w:szCs w:val="16"/>
          <w:lang w:val="en-US"/>
        </w:rPr>
        <w:t>.</w:t>
      </w:r>
      <w:proofErr w:type="gramEnd"/>
      <w:r>
        <w:rPr>
          <w:rFonts w:asciiTheme="majorHAnsi" w:hAnsiTheme="majorHAnsi"/>
          <w:color w:val="000000" w:themeColor="text1"/>
          <w:sz w:val="16"/>
          <w:szCs w:val="16"/>
          <w:lang w:val="en-US"/>
        </w:rPr>
        <w:t xml:space="preserve"> </w:t>
      </w:r>
    </w:p>
  </w:endnote>
  <w:endnote w:id="184">
    <w:p w14:paraId="47C97739" w14:textId="211FEFBB"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E405CC">
        <w:rPr>
          <w:rFonts w:asciiTheme="majorHAnsi" w:hAnsiTheme="majorHAnsi"/>
          <w:color w:val="000000" w:themeColor="text1"/>
          <w:sz w:val="16"/>
          <w:szCs w:val="16"/>
          <w:lang w:val="en-US"/>
        </w:rPr>
        <w:t xml:space="preserve">Dockery </w:t>
      </w:r>
      <w:r>
        <w:rPr>
          <w:rFonts w:asciiTheme="majorHAnsi" w:hAnsiTheme="majorHAnsi"/>
          <w:color w:val="000000" w:themeColor="text1"/>
          <w:sz w:val="16"/>
          <w:szCs w:val="16"/>
          <w:lang w:val="en-US"/>
        </w:rPr>
        <w:t>above note 183.</w:t>
      </w:r>
    </w:p>
  </w:endnote>
  <w:endnote w:id="185">
    <w:p w14:paraId="16EFA997"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lang w:val="en-US"/>
        </w:rPr>
        <w:t xml:space="preserve">The Senate Standing Committee on Environment, Communications, Information Technology and the Arts, </w:t>
      </w:r>
      <w:r w:rsidRPr="00E405CC">
        <w:rPr>
          <w:rFonts w:asciiTheme="majorHAnsi" w:hAnsiTheme="majorHAnsi"/>
          <w:i/>
          <w:color w:val="000000" w:themeColor="text1"/>
          <w:sz w:val="16"/>
          <w:szCs w:val="16"/>
          <w:lang w:val="en-US"/>
        </w:rPr>
        <w:t>Indigenous Art—Securing the Future</w:t>
      </w:r>
      <w:r w:rsidRPr="00E405CC">
        <w:rPr>
          <w:rFonts w:asciiTheme="majorHAnsi" w:hAnsiTheme="majorHAnsi"/>
          <w:color w:val="000000" w:themeColor="text1"/>
          <w:sz w:val="16"/>
          <w:szCs w:val="16"/>
          <w:lang w:val="en-US"/>
        </w:rPr>
        <w:t>, 2007.</w:t>
      </w:r>
      <w:proofErr w:type="gramEnd"/>
      <w:r>
        <w:rPr>
          <w:rFonts w:asciiTheme="majorHAnsi" w:hAnsiTheme="majorHAnsi"/>
          <w:color w:val="000000" w:themeColor="text1"/>
          <w:sz w:val="16"/>
          <w:szCs w:val="16"/>
          <w:lang w:val="en-US"/>
        </w:rPr>
        <w:t xml:space="preserve"> </w:t>
      </w:r>
      <w:proofErr w:type="gramStart"/>
      <w:r>
        <w:rPr>
          <w:rFonts w:asciiTheme="majorHAnsi" w:hAnsiTheme="majorHAnsi"/>
          <w:color w:val="000000" w:themeColor="text1"/>
          <w:sz w:val="16"/>
          <w:szCs w:val="16"/>
          <w:lang w:val="en-US"/>
        </w:rPr>
        <w:t xml:space="preserve">URL </w:t>
      </w:r>
      <w:hyperlink r:id="rId53" w:history="1">
        <w:r w:rsidRPr="005656A6">
          <w:rPr>
            <w:rStyle w:val="Hyperlink"/>
            <w:rFonts w:asciiTheme="majorHAnsi" w:hAnsiTheme="majorHAnsi"/>
            <w:sz w:val="16"/>
            <w:szCs w:val="16"/>
            <w:lang w:val="en-US"/>
          </w:rPr>
          <w:t>http://www.aph.gov.au/binaries/senate/committee/ecita_ctte/completed_inquiries/2004-07/indigenous_arts/report/report.pdf</w:t>
        </w:r>
      </w:hyperlink>
      <w:r>
        <w:rPr>
          <w:rFonts w:asciiTheme="majorHAnsi" w:hAnsiTheme="majorHAnsi"/>
          <w:color w:val="000000" w:themeColor="text1"/>
          <w:sz w:val="16"/>
          <w:szCs w:val="16"/>
          <w:lang w:val="en-US"/>
        </w:rPr>
        <w:t>.</w:t>
      </w:r>
      <w:proofErr w:type="gramEnd"/>
    </w:p>
  </w:endnote>
  <w:endnote w:id="186">
    <w:p w14:paraId="0349BE35"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E405CC">
        <w:rPr>
          <w:rFonts w:asciiTheme="majorHAnsi" w:hAnsiTheme="majorHAnsi"/>
          <w:color w:val="000000" w:themeColor="text1"/>
          <w:sz w:val="16"/>
          <w:szCs w:val="16"/>
          <w:lang w:val="en-US"/>
        </w:rPr>
        <w:t xml:space="preserve">Australian Bureau of Statistics, </w:t>
      </w:r>
      <w:r w:rsidRPr="00E405CC">
        <w:rPr>
          <w:rFonts w:asciiTheme="majorHAnsi" w:hAnsiTheme="majorHAnsi"/>
          <w:i/>
          <w:color w:val="000000" w:themeColor="text1"/>
          <w:sz w:val="16"/>
          <w:szCs w:val="16"/>
          <w:lang w:val="en-US"/>
        </w:rPr>
        <w:t>Aboriginal and Torres Strait Islander Australians: Involvement in Arts and Culture</w:t>
      </w:r>
      <w:r>
        <w:rPr>
          <w:rFonts w:asciiTheme="majorHAnsi" w:hAnsiTheme="majorHAnsi"/>
          <w:color w:val="000000" w:themeColor="text1"/>
          <w:sz w:val="16"/>
          <w:szCs w:val="16"/>
          <w:lang w:val="en-US"/>
        </w:rPr>
        <w:t xml:space="preserve">, ABS cat. </w:t>
      </w:r>
      <w:proofErr w:type="gramStart"/>
      <w:r>
        <w:rPr>
          <w:rFonts w:asciiTheme="majorHAnsi" w:hAnsiTheme="majorHAnsi"/>
          <w:color w:val="000000" w:themeColor="text1"/>
          <w:sz w:val="16"/>
          <w:szCs w:val="16"/>
          <w:lang w:val="en-US"/>
        </w:rPr>
        <w:t>no</w:t>
      </w:r>
      <w:proofErr w:type="gramEnd"/>
      <w:r>
        <w:rPr>
          <w:rFonts w:asciiTheme="majorHAnsi" w:hAnsiTheme="majorHAnsi"/>
          <w:color w:val="000000" w:themeColor="text1"/>
          <w:sz w:val="16"/>
          <w:szCs w:val="16"/>
          <w:lang w:val="en-US"/>
        </w:rPr>
        <w:t>. 4721.0, 2006</w:t>
      </w:r>
      <w:r w:rsidRPr="00E405CC">
        <w:rPr>
          <w:rFonts w:asciiTheme="majorHAnsi" w:hAnsiTheme="majorHAnsi"/>
          <w:color w:val="000000" w:themeColor="text1"/>
          <w:sz w:val="16"/>
          <w:szCs w:val="16"/>
          <w:lang w:val="en-US"/>
        </w:rPr>
        <w:t>.</w:t>
      </w:r>
      <w:r>
        <w:rPr>
          <w:rFonts w:asciiTheme="majorHAnsi" w:hAnsiTheme="majorHAnsi"/>
          <w:color w:val="000000" w:themeColor="text1"/>
          <w:sz w:val="16"/>
          <w:szCs w:val="16"/>
          <w:lang w:val="en-US"/>
        </w:rPr>
        <w:t xml:space="preserve"> </w:t>
      </w:r>
      <w:proofErr w:type="gramStart"/>
      <w:r>
        <w:rPr>
          <w:rFonts w:asciiTheme="majorHAnsi" w:hAnsiTheme="majorHAnsi"/>
          <w:color w:val="000000" w:themeColor="text1"/>
          <w:sz w:val="16"/>
          <w:szCs w:val="16"/>
          <w:lang w:val="en-US"/>
        </w:rPr>
        <w:t xml:space="preserve">URL </w:t>
      </w:r>
      <w:hyperlink r:id="rId54" w:history="1">
        <w:r w:rsidRPr="005656A6">
          <w:rPr>
            <w:rStyle w:val="Hyperlink"/>
            <w:rFonts w:asciiTheme="majorHAnsi" w:hAnsiTheme="majorHAnsi"/>
            <w:sz w:val="16"/>
            <w:szCs w:val="16"/>
            <w:lang w:val="en-US"/>
          </w:rPr>
          <w:t>http://www.abs.gov.au/AUSSTATS/abs@.nsf/ProductsbyTopic/B028A2127779CC74CA2571D50017A0DF</w:t>
        </w:r>
      </w:hyperlink>
      <w:r>
        <w:rPr>
          <w:rFonts w:asciiTheme="majorHAnsi" w:hAnsiTheme="majorHAnsi"/>
          <w:color w:val="000000" w:themeColor="text1"/>
          <w:sz w:val="16"/>
          <w:szCs w:val="16"/>
          <w:lang w:val="en-US"/>
        </w:rPr>
        <w:t>.</w:t>
      </w:r>
      <w:proofErr w:type="gramEnd"/>
      <w:r>
        <w:rPr>
          <w:rFonts w:asciiTheme="majorHAnsi" w:hAnsiTheme="majorHAnsi"/>
          <w:color w:val="000000" w:themeColor="text1"/>
          <w:sz w:val="16"/>
          <w:szCs w:val="16"/>
          <w:lang w:val="en-US"/>
        </w:rPr>
        <w:t xml:space="preserve"> </w:t>
      </w:r>
    </w:p>
  </w:endnote>
  <w:endnote w:id="187">
    <w:p w14:paraId="3F129B25" w14:textId="77777777"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EC3EC4">
        <w:rPr>
          <w:rFonts w:asciiTheme="majorHAnsi" w:hAnsiTheme="majorHAnsi"/>
          <w:color w:val="000000" w:themeColor="text1"/>
          <w:sz w:val="16"/>
          <w:szCs w:val="16"/>
          <w:lang w:val="en-US"/>
        </w:rPr>
        <w:t>COAG Reform Council, above note 3</w:t>
      </w:r>
      <w:r>
        <w:rPr>
          <w:rFonts w:asciiTheme="majorHAnsi" w:hAnsiTheme="majorHAnsi"/>
          <w:color w:val="000000" w:themeColor="text1"/>
          <w:sz w:val="16"/>
          <w:szCs w:val="16"/>
        </w:rPr>
        <w:t xml:space="preserve">, p </w:t>
      </w:r>
      <w:r w:rsidRPr="00E405CC">
        <w:rPr>
          <w:rFonts w:asciiTheme="majorHAnsi" w:hAnsiTheme="majorHAnsi"/>
          <w:color w:val="000000" w:themeColor="text1"/>
          <w:sz w:val="16"/>
          <w:szCs w:val="16"/>
        </w:rPr>
        <w:t>86</w:t>
      </w:r>
      <w:r w:rsidRPr="00E405CC">
        <w:rPr>
          <w:rFonts w:asciiTheme="majorHAnsi" w:hAnsiTheme="majorHAnsi"/>
          <w:color w:val="000000" w:themeColor="text1"/>
          <w:sz w:val="16"/>
          <w:szCs w:val="16"/>
          <w:lang w:val="en-US"/>
        </w:rPr>
        <w:t>.</w:t>
      </w:r>
    </w:p>
  </w:endnote>
  <w:endnote w:id="188">
    <w:p w14:paraId="47D6B482" w14:textId="77777777" w:rsidR="00EB2441" w:rsidRPr="00E405CC" w:rsidRDefault="00EB2441">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E405CC">
        <w:rPr>
          <w:rFonts w:asciiTheme="majorHAnsi" w:hAnsiTheme="majorHAnsi"/>
          <w:color w:val="000000" w:themeColor="text1"/>
          <w:sz w:val="16"/>
          <w:szCs w:val="16"/>
        </w:rPr>
        <w:t>COAG Reform Council, above note 3</w:t>
      </w:r>
      <w:r>
        <w:rPr>
          <w:rFonts w:asciiTheme="majorHAnsi" w:hAnsiTheme="majorHAnsi"/>
          <w:color w:val="000000" w:themeColor="text1"/>
          <w:sz w:val="16"/>
          <w:szCs w:val="16"/>
        </w:rPr>
        <w:t xml:space="preserve">, p </w:t>
      </w:r>
      <w:r w:rsidRPr="00E405CC">
        <w:rPr>
          <w:rFonts w:asciiTheme="majorHAnsi" w:hAnsiTheme="majorHAnsi"/>
          <w:color w:val="000000" w:themeColor="text1"/>
          <w:sz w:val="16"/>
          <w:szCs w:val="16"/>
        </w:rPr>
        <w:t>86</w:t>
      </w:r>
      <w:r w:rsidRPr="00E405CC">
        <w:rPr>
          <w:rFonts w:asciiTheme="majorHAnsi" w:hAnsiTheme="majorHAnsi"/>
          <w:color w:val="000000" w:themeColor="text1"/>
          <w:sz w:val="16"/>
          <w:szCs w:val="16"/>
          <w:lang w:val="en-US"/>
        </w:rPr>
        <w:t>.</w:t>
      </w:r>
    </w:p>
  </w:endnote>
  <w:endnote w:id="189">
    <w:p w14:paraId="12D7B672" w14:textId="77777777" w:rsidR="00EB2441" w:rsidRPr="00E405CC" w:rsidRDefault="00EB2441" w:rsidP="00485606">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The Royal Australian and New Zealand College of Radiologists, </w:t>
      </w:r>
      <w:r w:rsidRPr="00E405CC">
        <w:rPr>
          <w:rFonts w:asciiTheme="majorHAnsi" w:hAnsiTheme="majorHAnsi"/>
          <w:i/>
          <w:sz w:val="16"/>
          <w:szCs w:val="16"/>
        </w:rPr>
        <w:t>Planning for the Best:</w:t>
      </w:r>
      <w:r>
        <w:rPr>
          <w:rFonts w:asciiTheme="majorHAnsi" w:hAnsiTheme="majorHAnsi"/>
          <w:i/>
          <w:sz w:val="16"/>
          <w:szCs w:val="16"/>
        </w:rPr>
        <w:t xml:space="preserve"> </w:t>
      </w:r>
      <w:r w:rsidRPr="00E405CC">
        <w:rPr>
          <w:rFonts w:asciiTheme="majorHAnsi" w:hAnsiTheme="majorHAnsi"/>
          <w:i/>
          <w:sz w:val="16"/>
          <w:szCs w:val="16"/>
        </w:rPr>
        <w:t>Tripartite National Strategic Plan for Radiation Oncology 2012-2022</w:t>
      </w:r>
      <w:r w:rsidRPr="00E405CC">
        <w:rPr>
          <w:rFonts w:asciiTheme="majorHAnsi" w:hAnsiTheme="majorHAnsi"/>
          <w:sz w:val="16"/>
          <w:szCs w:val="16"/>
        </w:rPr>
        <w:t xml:space="preserve">, </w:t>
      </w:r>
      <w:r>
        <w:rPr>
          <w:rFonts w:asciiTheme="majorHAnsi" w:hAnsiTheme="majorHAnsi"/>
          <w:sz w:val="16"/>
          <w:szCs w:val="16"/>
        </w:rPr>
        <w:t>2012, p</w:t>
      </w:r>
      <w:r w:rsidRPr="00E405CC">
        <w:rPr>
          <w:rFonts w:asciiTheme="majorHAnsi" w:hAnsiTheme="majorHAnsi"/>
          <w:sz w:val="16"/>
          <w:szCs w:val="16"/>
        </w:rPr>
        <w:t xml:space="preserve"> 111</w:t>
      </w:r>
      <w:r>
        <w:rPr>
          <w:rFonts w:asciiTheme="majorHAnsi" w:hAnsiTheme="majorHAnsi"/>
          <w:sz w:val="16"/>
          <w:szCs w:val="16"/>
        </w:rPr>
        <w:t>.</w:t>
      </w:r>
    </w:p>
  </w:endnote>
  <w:endnote w:id="190">
    <w:p w14:paraId="787EF75F" w14:textId="6B55C558" w:rsidR="00EB2441" w:rsidRPr="00E405CC" w:rsidRDefault="00EB2441" w:rsidP="00B0757A">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proofErr w:type="gramStart"/>
      <w:r w:rsidRPr="00E405CC">
        <w:rPr>
          <w:rFonts w:asciiTheme="majorHAnsi" w:hAnsiTheme="majorHAnsi"/>
          <w:color w:val="000000" w:themeColor="text1"/>
          <w:sz w:val="16"/>
          <w:szCs w:val="16"/>
        </w:rPr>
        <w:t xml:space="preserve">Steering Committee for the Review of Government </w:t>
      </w:r>
      <w:r w:rsidRPr="00EC3EC4">
        <w:rPr>
          <w:rFonts w:asciiTheme="majorHAnsi" w:hAnsiTheme="majorHAnsi"/>
          <w:color w:val="000000" w:themeColor="text1"/>
          <w:sz w:val="16"/>
          <w:szCs w:val="16"/>
        </w:rPr>
        <w:t xml:space="preserve">Service Provision, above note </w:t>
      </w:r>
      <w:r>
        <w:rPr>
          <w:rFonts w:asciiTheme="majorHAnsi" w:hAnsiTheme="majorHAnsi"/>
          <w:color w:val="000000" w:themeColor="text1"/>
          <w:sz w:val="16"/>
          <w:szCs w:val="16"/>
        </w:rPr>
        <w:t>4</w:t>
      </w:r>
      <w:r w:rsidRPr="00EC3EC4">
        <w:rPr>
          <w:rFonts w:asciiTheme="majorHAnsi" w:hAnsiTheme="majorHAnsi"/>
          <w:color w:val="000000" w:themeColor="text1"/>
          <w:sz w:val="16"/>
          <w:szCs w:val="16"/>
        </w:rPr>
        <w:t>,</w:t>
      </w:r>
      <w:r>
        <w:rPr>
          <w:rFonts w:asciiTheme="majorHAnsi" w:hAnsiTheme="majorHAnsi"/>
          <w:color w:val="000000" w:themeColor="text1"/>
          <w:sz w:val="16"/>
          <w:szCs w:val="16"/>
        </w:rPr>
        <w:t xml:space="preserve"> </w:t>
      </w:r>
      <w:proofErr w:type="spellStart"/>
      <w:r>
        <w:rPr>
          <w:rFonts w:asciiTheme="majorHAnsi" w:hAnsiTheme="majorHAnsi"/>
          <w:color w:val="000000" w:themeColor="text1"/>
          <w:sz w:val="16"/>
          <w:szCs w:val="16"/>
        </w:rPr>
        <w:t>pp</w:t>
      </w:r>
      <w:proofErr w:type="spellEnd"/>
      <w:r>
        <w:rPr>
          <w:rFonts w:asciiTheme="majorHAnsi" w:hAnsiTheme="majorHAnsi"/>
          <w:color w:val="000000" w:themeColor="text1"/>
          <w:sz w:val="16"/>
          <w:szCs w:val="16"/>
        </w:rPr>
        <w:t xml:space="preserve"> </w:t>
      </w:r>
      <w:r w:rsidRPr="00E405CC">
        <w:rPr>
          <w:rFonts w:asciiTheme="majorHAnsi" w:hAnsiTheme="majorHAnsi"/>
          <w:color w:val="000000" w:themeColor="text1"/>
          <w:sz w:val="16"/>
          <w:szCs w:val="16"/>
        </w:rPr>
        <w:t>8.4</w:t>
      </w:r>
      <w:r>
        <w:rPr>
          <w:rFonts w:asciiTheme="majorHAnsi" w:hAnsiTheme="majorHAnsi"/>
          <w:color w:val="000000" w:themeColor="text1"/>
          <w:sz w:val="16"/>
          <w:szCs w:val="16"/>
        </w:rPr>
        <w:t xml:space="preserve"> </w:t>
      </w:r>
      <w:r w:rsidRPr="00E405CC">
        <w:rPr>
          <w:rFonts w:asciiTheme="majorHAnsi" w:hAnsiTheme="majorHAnsi"/>
          <w:color w:val="000000" w:themeColor="text1"/>
          <w:sz w:val="16"/>
          <w:szCs w:val="16"/>
        </w:rPr>
        <w:t>- 8.5.</w:t>
      </w:r>
      <w:proofErr w:type="gramEnd"/>
    </w:p>
  </w:endnote>
  <w:endnote w:id="191">
    <w:p w14:paraId="39E4EE0D" w14:textId="77777777" w:rsidR="00EB2441" w:rsidRPr="00E405CC" w:rsidRDefault="00EB2441">
      <w:pPr>
        <w:pStyle w:val="EndnoteText"/>
        <w:rPr>
          <w:rFonts w:asciiTheme="majorHAnsi" w:hAnsiTheme="majorHAnsi"/>
          <w:sz w:val="16"/>
          <w:szCs w:val="16"/>
          <w:lang w:val="en-US"/>
        </w:rPr>
      </w:pPr>
      <w:r w:rsidRPr="00E405CC">
        <w:rPr>
          <w:rFonts w:asciiTheme="majorHAnsi" w:hAnsiTheme="majorHAnsi"/>
          <w:color w:val="000000" w:themeColor="text1"/>
          <w:sz w:val="16"/>
          <w:szCs w:val="16"/>
          <w:vertAlign w:val="superscript"/>
        </w:rPr>
        <w:endnoteRef/>
      </w:r>
      <w:r w:rsidRPr="00E405CC">
        <w:rPr>
          <w:rFonts w:asciiTheme="majorHAnsi" w:hAnsiTheme="majorHAnsi"/>
          <w:color w:val="000000" w:themeColor="text1"/>
          <w:sz w:val="16"/>
          <w:szCs w:val="16"/>
          <w:vertAlign w:val="superscript"/>
        </w:rPr>
        <w:t xml:space="preserve"> </w:t>
      </w:r>
      <w:r w:rsidRPr="00E405CC">
        <w:rPr>
          <w:rFonts w:asciiTheme="majorHAnsi" w:hAnsiTheme="majorHAnsi"/>
          <w:color w:val="000000" w:themeColor="text1"/>
          <w:sz w:val="16"/>
          <w:szCs w:val="16"/>
        </w:rPr>
        <w:t xml:space="preserve">COAG Reform Council, </w:t>
      </w:r>
      <w:r>
        <w:rPr>
          <w:rFonts w:asciiTheme="majorHAnsi" w:hAnsiTheme="majorHAnsi"/>
          <w:color w:val="000000" w:themeColor="text1"/>
          <w:sz w:val="16"/>
          <w:szCs w:val="16"/>
        </w:rPr>
        <w:t>above note 3</w:t>
      </w:r>
      <w:r w:rsidRPr="00E405CC">
        <w:rPr>
          <w:rFonts w:asciiTheme="majorHAnsi" w:hAnsiTheme="majorHAnsi"/>
          <w:color w:val="000000" w:themeColor="text1"/>
          <w:sz w:val="16"/>
          <w:szCs w:val="16"/>
        </w:rPr>
        <w:t>, p.87</w:t>
      </w:r>
      <w:r w:rsidRPr="00E405CC">
        <w:rPr>
          <w:rFonts w:asciiTheme="majorHAnsi" w:hAnsiTheme="majorHAnsi"/>
          <w:color w:val="000000" w:themeColor="text1"/>
          <w:sz w:val="16"/>
          <w:szCs w:val="16"/>
          <w:lang w:val="en-US"/>
        </w:rPr>
        <w:t>.</w:t>
      </w:r>
    </w:p>
  </w:endnote>
  <w:endnote w:id="192">
    <w:p w14:paraId="1E8D29FD" w14:textId="77777777" w:rsidR="00EB2441" w:rsidRPr="00E405CC" w:rsidRDefault="00EB2441" w:rsidP="00B25BC6">
      <w:pPr>
        <w:widowControl w:val="0"/>
        <w:autoSpaceDE w:val="0"/>
        <w:autoSpaceDN w:val="0"/>
        <w:adjustRightInd w:val="0"/>
        <w:rPr>
          <w:rFonts w:asciiTheme="majorHAnsi" w:eastAsia="Times New Roman" w:hAnsiTheme="majorHAnsi" w:cstheme="majorHAnsi"/>
          <w:color w:val="1A1A1A"/>
          <w:sz w:val="16"/>
          <w:szCs w:val="16"/>
        </w:rPr>
      </w:pPr>
      <w:r w:rsidRPr="00E405CC">
        <w:rPr>
          <w:rFonts w:asciiTheme="majorHAnsi" w:hAnsiTheme="majorHAnsi" w:cstheme="majorHAnsi"/>
          <w:sz w:val="16"/>
          <w:szCs w:val="16"/>
          <w:vertAlign w:val="superscript"/>
        </w:rPr>
        <w:endnoteRef/>
      </w:r>
      <w:r w:rsidRPr="00E405CC">
        <w:rPr>
          <w:rFonts w:asciiTheme="majorHAnsi" w:hAnsiTheme="majorHAnsi" w:cstheme="majorHAnsi"/>
          <w:sz w:val="16"/>
          <w:szCs w:val="16"/>
        </w:rPr>
        <w:t xml:space="preserve"> </w:t>
      </w:r>
      <w:proofErr w:type="gramStart"/>
      <w:r w:rsidRPr="00E405CC">
        <w:rPr>
          <w:rFonts w:asciiTheme="majorHAnsi" w:hAnsiTheme="majorHAnsi" w:cstheme="majorHAnsi"/>
          <w:sz w:val="16"/>
          <w:szCs w:val="16"/>
        </w:rPr>
        <w:t>Mundine W, ‘The Future of Aboriginal &amp; Torres Strait Islander Health’, (Opening speech at Congress Lowitja 2014 –Melbourne, 19 March 2014).</w:t>
      </w:r>
      <w:proofErr w:type="gramEnd"/>
      <w:r w:rsidRPr="00E405CC">
        <w:rPr>
          <w:rFonts w:asciiTheme="majorHAnsi" w:hAnsiTheme="majorHAnsi" w:cstheme="majorHAnsi"/>
          <w:sz w:val="16"/>
          <w:szCs w:val="16"/>
        </w:rPr>
        <w:t xml:space="preserve"> </w:t>
      </w:r>
      <w:proofErr w:type="gramStart"/>
      <w:r w:rsidRPr="00E405CC">
        <w:rPr>
          <w:rFonts w:asciiTheme="majorHAnsi" w:hAnsiTheme="majorHAnsi" w:cstheme="majorHAnsi"/>
          <w:sz w:val="16"/>
          <w:szCs w:val="16"/>
        </w:rPr>
        <w:t xml:space="preserve">URL </w:t>
      </w:r>
      <w:hyperlink r:id="rId55" w:history="1">
        <w:r w:rsidRPr="00E405CC">
          <w:rPr>
            <w:rStyle w:val="Hyperlink"/>
            <w:rFonts w:asciiTheme="majorHAnsi" w:hAnsiTheme="majorHAnsi" w:cstheme="majorHAnsi"/>
            <w:sz w:val="16"/>
            <w:szCs w:val="16"/>
          </w:rPr>
          <w:t>http://www.indigenouschamber.org.au/congress-lowitja-2014-the-future-of-indigenous-health/</w:t>
        </w:r>
      </w:hyperlink>
      <w:r>
        <w:rPr>
          <w:rFonts w:asciiTheme="majorHAnsi" w:hAnsiTheme="majorHAnsi" w:cstheme="majorHAnsi"/>
          <w:sz w:val="16"/>
          <w:szCs w:val="16"/>
        </w:rPr>
        <w:t>.</w:t>
      </w:r>
      <w:proofErr w:type="gramEnd"/>
    </w:p>
  </w:endnote>
  <w:endnote w:id="193">
    <w:p w14:paraId="28908A68" w14:textId="77777777" w:rsidR="00EB2441" w:rsidRPr="00E405CC" w:rsidRDefault="00EB2441" w:rsidP="00B25BC6">
      <w:pPr>
        <w:widowControl w:val="0"/>
        <w:autoSpaceDE w:val="0"/>
        <w:autoSpaceDN w:val="0"/>
        <w:adjustRightInd w:val="0"/>
        <w:rPr>
          <w:rFonts w:asciiTheme="majorHAnsi" w:eastAsia="Times New Roman"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spellStart"/>
      <w:proofErr w:type="gramStart"/>
      <w:r w:rsidRPr="00E405CC">
        <w:rPr>
          <w:rFonts w:asciiTheme="majorHAnsi" w:hAnsiTheme="majorHAnsi"/>
          <w:sz w:val="16"/>
          <w:szCs w:val="16"/>
        </w:rPr>
        <w:t>Panaretto</w:t>
      </w:r>
      <w:proofErr w:type="spellEnd"/>
      <w:r w:rsidRPr="00E405CC">
        <w:rPr>
          <w:rFonts w:asciiTheme="majorHAnsi" w:hAnsiTheme="majorHAnsi"/>
          <w:sz w:val="16"/>
          <w:szCs w:val="16"/>
        </w:rPr>
        <w:t xml:space="preserve"> </w:t>
      </w:r>
      <w:r>
        <w:rPr>
          <w:rFonts w:asciiTheme="majorHAnsi" w:hAnsiTheme="majorHAnsi"/>
          <w:sz w:val="16"/>
          <w:szCs w:val="16"/>
        </w:rPr>
        <w:t>et al, above note 47</w:t>
      </w:r>
      <w:r w:rsidRPr="00E405CC">
        <w:rPr>
          <w:rFonts w:asciiTheme="majorHAnsi" w:hAnsiTheme="majorHAnsi"/>
          <w:sz w:val="16"/>
          <w:szCs w:val="16"/>
        </w:rPr>
        <w:t>.</w:t>
      </w:r>
      <w:proofErr w:type="gramEnd"/>
    </w:p>
  </w:endnote>
  <w:endnote w:id="194">
    <w:p w14:paraId="4C1A73CC" w14:textId="77777777" w:rsidR="00EB2441" w:rsidRPr="00E405CC" w:rsidRDefault="00EB2441" w:rsidP="00B25BC6">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sz w:val="16"/>
          <w:szCs w:val="16"/>
        </w:rPr>
        <w:t xml:space="preserve">Australian Institute of Health and Welfare, </w:t>
      </w:r>
      <w:r w:rsidRPr="00E405CC">
        <w:rPr>
          <w:rFonts w:asciiTheme="majorHAnsi" w:hAnsiTheme="majorHAnsi"/>
          <w:i/>
          <w:sz w:val="16"/>
          <w:szCs w:val="16"/>
        </w:rPr>
        <w:t>Aboriginal and Torres Strait Islander Health Organisations, Online Services Report – key results 2012-2013,</w:t>
      </w:r>
      <w:r w:rsidRPr="00E405CC">
        <w:rPr>
          <w:rFonts w:asciiTheme="majorHAnsi" w:hAnsiTheme="majorHAnsi"/>
          <w:sz w:val="16"/>
          <w:szCs w:val="16"/>
        </w:rPr>
        <w:t xml:space="preserve"> AIHW cat.</w:t>
      </w:r>
      <w:proofErr w:type="gramEnd"/>
      <w:r w:rsidRPr="00E405CC">
        <w:rPr>
          <w:rFonts w:asciiTheme="majorHAnsi" w:hAnsiTheme="majorHAnsi"/>
          <w:sz w:val="16"/>
          <w:szCs w:val="16"/>
        </w:rPr>
        <w:t xml:space="preserve"> </w:t>
      </w:r>
      <w:proofErr w:type="gramStart"/>
      <w:r w:rsidRPr="00E405CC">
        <w:rPr>
          <w:rFonts w:asciiTheme="majorHAnsi" w:hAnsiTheme="majorHAnsi"/>
          <w:sz w:val="16"/>
          <w:szCs w:val="16"/>
        </w:rPr>
        <w:t>no</w:t>
      </w:r>
      <w:proofErr w:type="gramEnd"/>
      <w:r w:rsidRPr="00E405CC">
        <w:rPr>
          <w:rFonts w:asciiTheme="majorHAnsi" w:hAnsiTheme="majorHAnsi"/>
          <w:sz w:val="16"/>
          <w:szCs w:val="16"/>
        </w:rPr>
        <w:t xml:space="preserve">. </w:t>
      </w:r>
      <w:proofErr w:type="gramStart"/>
      <w:r w:rsidRPr="00E405CC">
        <w:rPr>
          <w:rFonts w:asciiTheme="majorHAnsi" w:hAnsiTheme="majorHAnsi"/>
          <w:sz w:val="16"/>
          <w:szCs w:val="16"/>
        </w:rPr>
        <w:t>IHW 139, 2014, p 1.</w:t>
      </w:r>
      <w:proofErr w:type="gramEnd"/>
      <w:r>
        <w:rPr>
          <w:rFonts w:asciiTheme="majorHAnsi" w:hAnsiTheme="majorHAnsi"/>
          <w:sz w:val="16"/>
          <w:szCs w:val="16"/>
        </w:rPr>
        <w:t xml:space="preserve"> </w:t>
      </w:r>
      <w:proofErr w:type="gramStart"/>
      <w:r>
        <w:rPr>
          <w:rFonts w:asciiTheme="majorHAnsi" w:hAnsiTheme="majorHAnsi"/>
          <w:sz w:val="16"/>
          <w:szCs w:val="16"/>
        </w:rPr>
        <w:t xml:space="preserve">URL </w:t>
      </w:r>
      <w:hyperlink r:id="rId56" w:history="1">
        <w:r w:rsidRPr="005656A6">
          <w:rPr>
            <w:rStyle w:val="Hyperlink"/>
            <w:rFonts w:asciiTheme="majorHAnsi" w:hAnsiTheme="majorHAnsi"/>
            <w:sz w:val="16"/>
            <w:szCs w:val="16"/>
          </w:rPr>
          <w:t>http://www.aihw.gov.au/publication-detail/?id=60129548237</w:t>
        </w:r>
      </w:hyperlink>
      <w:r>
        <w:rPr>
          <w:rFonts w:asciiTheme="majorHAnsi" w:hAnsiTheme="majorHAnsi"/>
          <w:sz w:val="16"/>
          <w:szCs w:val="16"/>
        </w:rPr>
        <w:t>.</w:t>
      </w:r>
      <w:proofErr w:type="gramEnd"/>
      <w:r>
        <w:rPr>
          <w:rFonts w:asciiTheme="majorHAnsi" w:hAnsiTheme="majorHAnsi"/>
          <w:sz w:val="16"/>
          <w:szCs w:val="16"/>
        </w:rPr>
        <w:t xml:space="preserve"> </w:t>
      </w:r>
    </w:p>
  </w:endnote>
  <w:endnote w:id="195">
    <w:p w14:paraId="2DD945E8" w14:textId="27D18991" w:rsidR="00EB2441" w:rsidRPr="00E405CC" w:rsidRDefault="00EB2441" w:rsidP="00B25BC6">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C3EC4">
        <w:rPr>
          <w:rFonts w:asciiTheme="majorHAnsi" w:hAnsiTheme="majorHAnsi"/>
          <w:sz w:val="16"/>
          <w:szCs w:val="16"/>
          <w:lang w:val="en-US"/>
        </w:rPr>
        <w:t>Australian Institute of Health and Welfare</w:t>
      </w:r>
      <w:r>
        <w:rPr>
          <w:rFonts w:asciiTheme="majorHAnsi" w:hAnsiTheme="majorHAnsi"/>
          <w:sz w:val="16"/>
          <w:szCs w:val="16"/>
          <w:lang w:val="en-US"/>
        </w:rPr>
        <w:t>, above note 194</w:t>
      </w:r>
      <w:r>
        <w:rPr>
          <w:rFonts w:asciiTheme="majorHAnsi" w:hAnsiTheme="majorHAnsi"/>
          <w:sz w:val="16"/>
          <w:szCs w:val="16"/>
        </w:rPr>
        <w:t xml:space="preserve">, p </w:t>
      </w:r>
      <w:r w:rsidRPr="00E405CC">
        <w:rPr>
          <w:rFonts w:asciiTheme="majorHAnsi" w:hAnsiTheme="majorHAnsi"/>
          <w:sz w:val="16"/>
          <w:szCs w:val="16"/>
        </w:rPr>
        <w:t>5.</w:t>
      </w:r>
      <w:proofErr w:type="gramEnd"/>
    </w:p>
  </w:endnote>
  <w:endnote w:id="196">
    <w:p w14:paraId="6DDE9B01" w14:textId="77777777" w:rsidR="00EB2441" w:rsidRPr="00E405CC" w:rsidRDefault="00EB2441" w:rsidP="00B25BC6">
      <w:pPr>
        <w:widowControl w:val="0"/>
        <w:autoSpaceDE w:val="0"/>
        <w:autoSpaceDN w:val="0"/>
        <w:adjustRightInd w:val="0"/>
        <w:rPr>
          <w:rFonts w:asciiTheme="majorHAnsi" w:eastAsia="Times New Roman" w:hAnsiTheme="majorHAnsi"/>
          <w:sz w:val="16"/>
          <w:szCs w:val="16"/>
        </w:rPr>
      </w:pPr>
      <w:r w:rsidRPr="00E405CC">
        <w:rPr>
          <w:rStyle w:val="EndnoteReference"/>
          <w:rFonts w:asciiTheme="majorHAnsi" w:hAnsiTheme="majorHAnsi"/>
          <w:sz w:val="16"/>
          <w:szCs w:val="16"/>
        </w:rPr>
        <w:endnoteRef/>
      </w:r>
      <w:r>
        <w:rPr>
          <w:rFonts w:asciiTheme="majorHAnsi" w:hAnsiTheme="majorHAnsi"/>
          <w:sz w:val="16"/>
          <w:szCs w:val="16"/>
        </w:rPr>
        <w:t xml:space="preserve"> </w:t>
      </w:r>
      <w:proofErr w:type="spellStart"/>
      <w:proofErr w:type="gramStart"/>
      <w:r>
        <w:rPr>
          <w:rFonts w:asciiTheme="majorHAnsi" w:hAnsiTheme="majorHAnsi"/>
          <w:sz w:val="16"/>
          <w:szCs w:val="16"/>
        </w:rPr>
        <w:t>Panaretto</w:t>
      </w:r>
      <w:proofErr w:type="spellEnd"/>
      <w:r>
        <w:rPr>
          <w:rFonts w:asciiTheme="majorHAnsi" w:hAnsiTheme="majorHAnsi"/>
          <w:sz w:val="16"/>
          <w:szCs w:val="16"/>
        </w:rPr>
        <w:t xml:space="preserve"> et al, above note 47</w:t>
      </w:r>
      <w:r w:rsidRPr="00E405CC">
        <w:rPr>
          <w:rFonts w:asciiTheme="majorHAnsi" w:hAnsiTheme="majorHAnsi"/>
          <w:sz w:val="16"/>
          <w:szCs w:val="16"/>
        </w:rPr>
        <w:t xml:space="preserve">, p </w:t>
      </w:r>
      <w:r w:rsidRPr="00E405CC">
        <w:rPr>
          <w:rFonts w:asciiTheme="majorHAnsi" w:eastAsia="Times New Roman" w:hAnsiTheme="majorHAnsi"/>
          <w:sz w:val="16"/>
          <w:szCs w:val="16"/>
        </w:rPr>
        <w:t>650.</w:t>
      </w:r>
      <w:proofErr w:type="gramEnd"/>
    </w:p>
  </w:endnote>
  <w:endnote w:id="197">
    <w:p w14:paraId="0FED55A6" w14:textId="77777777" w:rsidR="00EB2441" w:rsidRPr="00E405CC" w:rsidRDefault="00EB2441" w:rsidP="00B25BC6">
      <w:pPr>
        <w:widowControl w:val="0"/>
        <w:autoSpaceDE w:val="0"/>
        <w:autoSpaceDN w:val="0"/>
        <w:adjustRightInd w:val="0"/>
        <w:rPr>
          <w:rFonts w:asciiTheme="majorHAnsi" w:eastAsia="Times New Roman" w:hAnsiTheme="majorHAnsi"/>
          <w:sz w:val="16"/>
          <w:szCs w:val="16"/>
        </w:rPr>
      </w:pPr>
      <w:r w:rsidRPr="00E405CC">
        <w:rPr>
          <w:rStyle w:val="EndnoteReference"/>
          <w:rFonts w:asciiTheme="majorHAnsi" w:hAnsiTheme="majorHAnsi"/>
          <w:sz w:val="16"/>
          <w:szCs w:val="16"/>
        </w:rPr>
        <w:endnoteRef/>
      </w:r>
      <w:r>
        <w:rPr>
          <w:rFonts w:asciiTheme="majorHAnsi" w:hAnsiTheme="majorHAnsi"/>
          <w:sz w:val="16"/>
          <w:szCs w:val="16"/>
        </w:rPr>
        <w:t xml:space="preserve"> </w:t>
      </w:r>
      <w:proofErr w:type="spellStart"/>
      <w:proofErr w:type="gramStart"/>
      <w:r>
        <w:rPr>
          <w:rFonts w:asciiTheme="majorHAnsi" w:hAnsiTheme="majorHAnsi"/>
          <w:sz w:val="16"/>
          <w:szCs w:val="16"/>
        </w:rPr>
        <w:t>Panaretto</w:t>
      </w:r>
      <w:proofErr w:type="spellEnd"/>
      <w:r>
        <w:rPr>
          <w:rFonts w:asciiTheme="majorHAnsi" w:hAnsiTheme="majorHAnsi"/>
          <w:sz w:val="16"/>
          <w:szCs w:val="16"/>
        </w:rPr>
        <w:t xml:space="preserve"> et al, above note 47</w:t>
      </w:r>
      <w:r w:rsidRPr="00E405CC">
        <w:rPr>
          <w:rFonts w:asciiTheme="majorHAnsi" w:hAnsiTheme="majorHAnsi"/>
          <w:sz w:val="16"/>
          <w:szCs w:val="16"/>
        </w:rPr>
        <w:t>, p</w:t>
      </w:r>
      <w:r w:rsidRPr="00E405CC">
        <w:rPr>
          <w:rFonts w:asciiTheme="majorHAnsi" w:eastAsia="Times New Roman" w:hAnsiTheme="majorHAnsi"/>
          <w:sz w:val="16"/>
          <w:szCs w:val="16"/>
        </w:rPr>
        <w:t xml:space="preserve"> 650.</w:t>
      </w:r>
      <w:proofErr w:type="gramEnd"/>
    </w:p>
  </w:endnote>
  <w:endnote w:id="198">
    <w:p w14:paraId="1EFB8485" w14:textId="77777777" w:rsidR="00EB2441" w:rsidRPr="00E405CC" w:rsidRDefault="00EB2441" w:rsidP="00B25BC6">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E405CC">
        <w:rPr>
          <w:rStyle w:val="CommentReference"/>
          <w:rFonts w:asciiTheme="majorHAnsi" w:hAnsiTheme="majorHAnsi"/>
          <w:sz w:val="16"/>
          <w:szCs w:val="16"/>
        </w:rPr>
        <w:t xml:space="preserve">Thompson SC, Haynes E, </w:t>
      </w:r>
      <w:proofErr w:type="spellStart"/>
      <w:r w:rsidRPr="00E405CC">
        <w:rPr>
          <w:rStyle w:val="CommentReference"/>
          <w:rFonts w:asciiTheme="majorHAnsi" w:hAnsiTheme="majorHAnsi"/>
          <w:sz w:val="16"/>
          <w:szCs w:val="16"/>
        </w:rPr>
        <w:t>Shahid</w:t>
      </w:r>
      <w:proofErr w:type="spellEnd"/>
      <w:r w:rsidRPr="00E405CC">
        <w:rPr>
          <w:rStyle w:val="CommentReference"/>
          <w:rFonts w:asciiTheme="majorHAnsi" w:hAnsiTheme="majorHAnsi"/>
          <w:sz w:val="16"/>
          <w:szCs w:val="16"/>
        </w:rPr>
        <w:t xml:space="preserve"> S, Woods JA, </w:t>
      </w:r>
      <w:proofErr w:type="spellStart"/>
      <w:r w:rsidRPr="00E405CC">
        <w:rPr>
          <w:rStyle w:val="CommentReference"/>
          <w:rFonts w:asciiTheme="majorHAnsi" w:hAnsiTheme="majorHAnsi"/>
          <w:sz w:val="16"/>
          <w:szCs w:val="16"/>
        </w:rPr>
        <w:t>Katzenellengogen</w:t>
      </w:r>
      <w:proofErr w:type="spellEnd"/>
      <w:r w:rsidRPr="00E405CC">
        <w:rPr>
          <w:rStyle w:val="CommentReference"/>
          <w:rFonts w:asciiTheme="majorHAnsi" w:hAnsiTheme="majorHAnsi"/>
          <w:sz w:val="16"/>
          <w:szCs w:val="16"/>
        </w:rPr>
        <w:t xml:space="preserve">, </w:t>
      </w:r>
      <w:proofErr w:type="spellStart"/>
      <w:r w:rsidRPr="00E405CC">
        <w:rPr>
          <w:rStyle w:val="CommentReference"/>
          <w:rFonts w:asciiTheme="majorHAnsi" w:hAnsiTheme="majorHAnsi"/>
          <w:sz w:val="16"/>
          <w:szCs w:val="16"/>
        </w:rPr>
        <w:t>Teng</w:t>
      </w:r>
      <w:proofErr w:type="spellEnd"/>
      <w:r w:rsidRPr="00E405CC">
        <w:rPr>
          <w:rStyle w:val="CommentReference"/>
          <w:rFonts w:asciiTheme="majorHAnsi" w:hAnsiTheme="majorHAnsi"/>
          <w:sz w:val="16"/>
          <w:szCs w:val="16"/>
        </w:rPr>
        <w:t xml:space="preserve"> T-H, Davidson PM and </w:t>
      </w:r>
      <w:proofErr w:type="spellStart"/>
      <w:r w:rsidRPr="00E405CC">
        <w:rPr>
          <w:rStyle w:val="CommentReference"/>
          <w:rFonts w:asciiTheme="majorHAnsi" w:hAnsiTheme="majorHAnsi"/>
          <w:sz w:val="16"/>
          <w:szCs w:val="16"/>
        </w:rPr>
        <w:t>Boxall</w:t>
      </w:r>
      <w:proofErr w:type="spellEnd"/>
      <w:r w:rsidRPr="00E405CC">
        <w:rPr>
          <w:rStyle w:val="CommentReference"/>
          <w:rFonts w:asciiTheme="majorHAnsi" w:hAnsiTheme="majorHAnsi"/>
          <w:sz w:val="16"/>
          <w:szCs w:val="16"/>
        </w:rPr>
        <w:t xml:space="preserve"> A</w:t>
      </w:r>
      <w:r>
        <w:rPr>
          <w:rStyle w:val="CommentReference"/>
          <w:rFonts w:asciiTheme="majorHAnsi" w:hAnsiTheme="majorHAnsi"/>
          <w:sz w:val="16"/>
          <w:szCs w:val="16"/>
        </w:rPr>
        <w:t>,</w:t>
      </w:r>
      <w:r w:rsidRPr="00E405CC">
        <w:rPr>
          <w:rStyle w:val="CommentReference"/>
          <w:rFonts w:asciiTheme="majorHAnsi" w:hAnsiTheme="majorHAnsi"/>
          <w:sz w:val="16"/>
          <w:szCs w:val="16"/>
        </w:rPr>
        <w:t xml:space="preserve"> 'Effectiveness of primary health care for Aboriginal Australians'. Unpublished literature review commissioned by the Australian Government Department of Health, 2013 as cited in Mackey, P, </w:t>
      </w:r>
      <w:proofErr w:type="spellStart"/>
      <w:r w:rsidRPr="00E405CC">
        <w:rPr>
          <w:rStyle w:val="CommentReference"/>
          <w:rFonts w:asciiTheme="majorHAnsi" w:hAnsiTheme="majorHAnsi"/>
          <w:sz w:val="16"/>
          <w:szCs w:val="16"/>
        </w:rPr>
        <w:t>Boxall</w:t>
      </w:r>
      <w:proofErr w:type="spellEnd"/>
      <w:r w:rsidRPr="00E405CC">
        <w:rPr>
          <w:rStyle w:val="CommentReference"/>
          <w:rFonts w:asciiTheme="majorHAnsi" w:hAnsiTheme="majorHAnsi"/>
          <w:sz w:val="16"/>
          <w:szCs w:val="16"/>
        </w:rPr>
        <w:t xml:space="preserve">, A-M, </w:t>
      </w:r>
      <w:proofErr w:type="spellStart"/>
      <w:r w:rsidRPr="00E405CC">
        <w:rPr>
          <w:rStyle w:val="CommentReference"/>
          <w:rFonts w:asciiTheme="majorHAnsi" w:hAnsiTheme="majorHAnsi"/>
          <w:sz w:val="16"/>
          <w:szCs w:val="16"/>
        </w:rPr>
        <w:t>Partel</w:t>
      </w:r>
      <w:proofErr w:type="spellEnd"/>
      <w:r w:rsidRPr="00E405CC">
        <w:rPr>
          <w:rStyle w:val="CommentReference"/>
          <w:rFonts w:asciiTheme="majorHAnsi" w:hAnsiTheme="majorHAnsi"/>
          <w:sz w:val="16"/>
          <w:szCs w:val="16"/>
        </w:rPr>
        <w:t xml:space="preserve"> K (2014) ‘The relative effectiveness of Aboriginal Community Controlled Health Services compared with mainstream health service’, </w:t>
      </w:r>
      <w:proofErr w:type="spellStart"/>
      <w:r w:rsidRPr="00E405CC">
        <w:rPr>
          <w:rStyle w:val="CommentReference"/>
          <w:rFonts w:asciiTheme="majorHAnsi" w:hAnsiTheme="majorHAnsi"/>
          <w:i/>
          <w:sz w:val="16"/>
          <w:szCs w:val="16"/>
        </w:rPr>
        <w:t>Deeble</w:t>
      </w:r>
      <w:proofErr w:type="spellEnd"/>
      <w:r w:rsidRPr="00E405CC">
        <w:rPr>
          <w:rStyle w:val="CommentReference"/>
          <w:rFonts w:asciiTheme="majorHAnsi" w:hAnsiTheme="majorHAnsi"/>
          <w:i/>
          <w:sz w:val="16"/>
          <w:szCs w:val="16"/>
        </w:rPr>
        <w:t xml:space="preserve"> Institute Evidence Brief</w:t>
      </w:r>
      <w:r w:rsidRPr="00E405CC">
        <w:rPr>
          <w:rStyle w:val="CommentReference"/>
          <w:rFonts w:asciiTheme="majorHAnsi" w:hAnsiTheme="majorHAnsi"/>
          <w:sz w:val="16"/>
          <w:szCs w:val="16"/>
        </w:rPr>
        <w:t>, No 12.</w:t>
      </w:r>
    </w:p>
  </w:endnote>
  <w:endnote w:id="199">
    <w:p w14:paraId="3217932C" w14:textId="77777777" w:rsidR="00EB2441" w:rsidRPr="00E405CC" w:rsidRDefault="00EB2441" w:rsidP="00B25BC6">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spellStart"/>
      <w:proofErr w:type="gramStart"/>
      <w:r w:rsidRPr="00E405CC">
        <w:rPr>
          <w:rFonts w:asciiTheme="majorHAnsi" w:hAnsiTheme="majorHAnsi"/>
          <w:sz w:val="16"/>
          <w:szCs w:val="16"/>
        </w:rPr>
        <w:t>Panaretto</w:t>
      </w:r>
      <w:proofErr w:type="spellEnd"/>
      <w:r w:rsidRPr="00E405CC">
        <w:rPr>
          <w:rFonts w:asciiTheme="majorHAnsi" w:hAnsiTheme="majorHAnsi"/>
          <w:sz w:val="16"/>
          <w:szCs w:val="16"/>
        </w:rPr>
        <w:t xml:space="preserve"> et al, above note 4</w:t>
      </w:r>
      <w:r>
        <w:rPr>
          <w:rFonts w:asciiTheme="majorHAnsi" w:hAnsiTheme="majorHAnsi"/>
          <w:sz w:val="16"/>
          <w:szCs w:val="16"/>
        </w:rPr>
        <w:t>7</w:t>
      </w:r>
      <w:r w:rsidRPr="00E405CC">
        <w:rPr>
          <w:rFonts w:asciiTheme="majorHAnsi" w:hAnsiTheme="majorHAnsi"/>
          <w:sz w:val="16"/>
          <w:szCs w:val="16"/>
        </w:rPr>
        <w:t xml:space="preserve">, </w:t>
      </w:r>
      <w:proofErr w:type="spellStart"/>
      <w:r w:rsidRPr="00E405CC">
        <w:rPr>
          <w:rFonts w:asciiTheme="majorHAnsi" w:hAnsiTheme="majorHAnsi"/>
          <w:sz w:val="16"/>
          <w:szCs w:val="16"/>
        </w:rPr>
        <w:t>pp</w:t>
      </w:r>
      <w:proofErr w:type="spellEnd"/>
      <w:r w:rsidRPr="00E405CC">
        <w:rPr>
          <w:rFonts w:asciiTheme="majorHAnsi" w:hAnsiTheme="majorHAnsi"/>
          <w:sz w:val="16"/>
          <w:szCs w:val="16"/>
        </w:rPr>
        <w:t xml:space="preserve"> 650-651.</w:t>
      </w:r>
      <w:proofErr w:type="gramEnd"/>
    </w:p>
  </w:endnote>
  <w:endnote w:id="200">
    <w:p w14:paraId="4D75C2F2" w14:textId="40F3C0EF" w:rsidR="00EB2441" w:rsidRPr="00E405CC" w:rsidRDefault="00EB2441" w:rsidP="00B25BC6">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D91E86">
        <w:rPr>
          <w:rFonts w:asciiTheme="majorHAnsi" w:hAnsiTheme="majorHAnsi"/>
          <w:sz w:val="16"/>
          <w:szCs w:val="16"/>
          <w:lang w:val="en-US"/>
        </w:rPr>
        <w:t>Australian Institute of Health and Welfare</w:t>
      </w:r>
      <w:r>
        <w:rPr>
          <w:rFonts w:asciiTheme="majorHAnsi" w:hAnsiTheme="majorHAnsi"/>
          <w:sz w:val="16"/>
          <w:szCs w:val="16"/>
          <w:lang w:val="en-US"/>
        </w:rPr>
        <w:t>, above note 194</w:t>
      </w:r>
      <w:r w:rsidRPr="00E405CC">
        <w:rPr>
          <w:rFonts w:asciiTheme="majorHAnsi" w:hAnsiTheme="majorHAnsi"/>
          <w:sz w:val="16"/>
          <w:szCs w:val="16"/>
        </w:rPr>
        <w:t>, p</w:t>
      </w:r>
      <w:r>
        <w:rPr>
          <w:rFonts w:asciiTheme="majorHAnsi" w:hAnsiTheme="majorHAnsi"/>
          <w:sz w:val="16"/>
          <w:szCs w:val="16"/>
        </w:rPr>
        <w:t xml:space="preserve"> </w:t>
      </w:r>
      <w:r w:rsidRPr="00E405CC">
        <w:rPr>
          <w:rFonts w:asciiTheme="majorHAnsi" w:hAnsiTheme="majorHAnsi"/>
          <w:sz w:val="16"/>
          <w:szCs w:val="16"/>
        </w:rPr>
        <w:t>43.</w:t>
      </w:r>
      <w:proofErr w:type="gramEnd"/>
    </w:p>
  </w:endnote>
  <w:endnote w:id="201">
    <w:p w14:paraId="39C48E17" w14:textId="2D013CED" w:rsidR="00EB2441" w:rsidRPr="00E405CC" w:rsidRDefault="00EB2441" w:rsidP="00B25BC6">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D91E86">
        <w:rPr>
          <w:rFonts w:asciiTheme="majorHAnsi" w:hAnsiTheme="majorHAnsi"/>
          <w:sz w:val="16"/>
          <w:szCs w:val="16"/>
          <w:lang w:val="en-US"/>
        </w:rPr>
        <w:t>Australian Institute of He</w:t>
      </w:r>
      <w:r>
        <w:rPr>
          <w:rFonts w:asciiTheme="majorHAnsi" w:hAnsiTheme="majorHAnsi"/>
          <w:sz w:val="16"/>
          <w:szCs w:val="16"/>
          <w:lang w:val="en-US"/>
        </w:rPr>
        <w:t>alth and Welfare, above note 194</w:t>
      </w:r>
      <w:r w:rsidRPr="00D91E86">
        <w:rPr>
          <w:rFonts w:asciiTheme="majorHAnsi" w:hAnsiTheme="majorHAnsi"/>
          <w:sz w:val="16"/>
          <w:szCs w:val="16"/>
          <w:lang w:val="en-US"/>
        </w:rPr>
        <w:t>, p 43.</w:t>
      </w:r>
      <w:proofErr w:type="gramEnd"/>
    </w:p>
  </w:endnote>
  <w:endnote w:id="202">
    <w:p w14:paraId="448BC978" w14:textId="0E287E26" w:rsidR="00EB2441" w:rsidRPr="00E405CC" w:rsidRDefault="00EB2441" w:rsidP="00B25BC6">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D91E86">
        <w:rPr>
          <w:rFonts w:asciiTheme="majorHAnsi" w:hAnsiTheme="majorHAnsi"/>
          <w:sz w:val="16"/>
          <w:szCs w:val="16"/>
          <w:lang w:val="en-US"/>
        </w:rPr>
        <w:t>Australian Institute of He</w:t>
      </w:r>
      <w:r>
        <w:rPr>
          <w:rFonts w:asciiTheme="majorHAnsi" w:hAnsiTheme="majorHAnsi"/>
          <w:sz w:val="16"/>
          <w:szCs w:val="16"/>
          <w:lang w:val="en-US"/>
        </w:rPr>
        <w:t>alth and Welfare, above note 194</w:t>
      </w:r>
      <w:r w:rsidRPr="00D91E86">
        <w:rPr>
          <w:rFonts w:asciiTheme="majorHAnsi" w:hAnsiTheme="majorHAnsi"/>
          <w:sz w:val="16"/>
          <w:szCs w:val="16"/>
          <w:lang w:val="en-US"/>
        </w:rPr>
        <w:t>, p 43.</w:t>
      </w:r>
      <w:proofErr w:type="gramEnd"/>
    </w:p>
  </w:endnote>
  <w:endnote w:id="203">
    <w:p w14:paraId="504733BA" w14:textId="5C02B908" w:rsidR="00EB2441" w:rsidRPr="00B37FB4" w:rsidRDefault="00EB2441">
      <w:pPr>
        <w:pStyle w:val="EndnoteText"/>
        <w:rPr>
          <w:rFonts w:asciiTheme="majorHAnsi" w:hAnsiTheme="majorHAnsi"/>
          <w:sz w:val="16"/>
          <w:szCs w:val="16"/>
          <w:lang w:val="en-US"/>
        </w:rPr>
      </w:pPr>
      <w:r w:rsidRPr="00DC00E0">
        <w:rPr>
          <w:rStyle w:val="EndnoteReference"/>
          <w:rFonts w:asciiTheme="majorHAnsi" w:hAnsiTheme="majorHAnsi"/>
          <w:sz w:val="16"/>
          <w:szCs w:val="16"/>
        </w:rPr>
        <w:endnoteRef/>
      </w:r>
      <w:r w:rsidRPr="00DC00E0">
        <w:rPr>
          <w:rFonts w:asciiTheme="majorHAnsi" w:hAnsiTheme="majorHAnsi"/>
          <w:sz w:val="16"/>
          <w:szCs w:val="16"/>
        </w:rPr>
        <w:t xml:space="preserve"> </w:t>
      </w:r>
      <w:r w:rsidRPr="00DC00E0">
        <w:rPr>
          <w:rFonts w:asciiTheme="majorHAnsi" w:hAnsiTheme="majorHAnsi"/>
          <w:sz w:val="16"/>
          <w:szCs w:val="16"/>
          <w:lang w:val="en-US"/>
        </w:rPr>
        <w:t>Information provided to the Close the Gap Campaign Steering Committee by AIDA.</w:t>
      </w:r>
    </w:p>
  </w:endnote>
  <w:endnote w:id="204">
    <w:p w14:paraId="04319037" w14:textId="77777777" w:rsidR="00EB2441" w:rsidRPr="00E405CC" w:rsidRDefault="00EB2441" w:rsidP="00560FB2">
      <w:pPr>
        <w:pStyle w:val="EndnoteText"/>
        <w:rPr>
          <w:rFonts w:asciiTheme="majorHAnsi" w:hAnsiTheme="majorHAnsi"/>
          <w:color w:val="000000" w:themeColor="text1"/>
          <w:sz w:val="16"/>
          <w:szCs w:val="16"/>
        </w:rPr>
      </w:pPr>
      <w:r w:rsidRPr="00E405CC">
        <w:rPr>
          <w:rFonts w:asciiTheme="majorHAnsi" w:hAnsiTheme="majorHAnsi"/>
          <w:color w:val="000000" w:themeColor="text1"/>
          <w:sz w:val="16"/>
          <w:szCs w:val="16"/>
          <w:vertAlign w:val="superscript"/>
        </w:rPr>
        <w:endnoteRef/>
      </w:r>
      <w:r w:rsidRPr="00E405CC">
        <w:rPr>
          <w:rFonts w:asciiTheme="majorHAnsi" w:hAnsiTheme="majorHAnsi"/>
          <w:color w:val="000000" w:themeColor="text1"/>
          <w:sz w:val="16"/>
          <w:szCs w:val="16"/>
          <w:vertAlign w:val="superscript"/>
        </w:rPr>
        <w:t xml:space="preserve"> </w:t>
      </w:r>
      <w:r w:rsidRPr="00E405CC">
        <w:rPr>
          <w:rFonts w:asciiTheme="majorHAnsi" w:hAnsiTheme="majorHAnsi"/>
          <w:color w:val="000000" w:themeColor="text1"/>
          <w:sz w:val="16"/>
          <w:szCs w:val="16"/>
        </w:rPr>
        <w:t xml:space="preserve">Australian Bureau of Statistics, </w:t>
      </w:r>
      <w:r>
        <w:rPr>
          <w:rFonts w:asciiTheme="majorHAnsi" w:hAnsiTheme="majorHAnsi"/>
          <w:color w:val="000000" w:themeColor="text1"/>
          <w:sz w:val="16"/>
          <w:szCs w:val="16"/>
        </w:rPr>
        <w:t>above note 57.</w:t>
      </w:r>
    </w:p>
  </w:endnote>
  <w:endnote w:id="205">
    <w:p w14:paraId="7C7653A9" w14:textId="77777777" w:rsidR="00EB2441" w:rsidRPr="00E405CC" w:rsidRDefault="00EB2441" w:rsidP="00560FB2">
      <w:pPr>
        <w:pStyle w:val="EndnoteText"/>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Australian Bureau of Statistics, </w:t>
      </w:r>
      <w:r w:rsidRPr="00D91E86">
        <w:rPr>
          <w:rFonts w:asciiTheme="majorHAnsi" w:hAnsiTheme="majorHAnsi"/>
          <w:color w:val="000000" w:themeColor="text1"/>
          <w:sz w:val="16"/>
          <w:szCs w:val="16"/>
          <w:lang w:val="en-US"/>
        </w:rPr>
        <w:t>above note 57.</w:t>
      </w:r>
    </w:p>
  </w:endnote>
  <w:endnote w:id="206">
    <w:p w14:paraId="627477BF" w14:textId="77777777" w:rsidR="00EB2441" w:rsidRPr="00625080" w:rsidRDefault="00EB2441" w:rsidP="00560F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Australian Bureau of Statistics</w:t>
      </w:r>
      <w:r w:rsidRPr="00625080">
        <w:rPr>
          <w:rFonts w:asciiTheme="majorHAnsi" w:hAnsiTheme="majorHAnsi"/>
          <w:color w:val="000000" w:themeColor="text1"/>
          <w:sz w:val="16"/>
          <w:szCs w:val="16"/>
        </w:rPr>
        <w:t xml:space="preserve">, </w:t>
      </w:r>
      <w:r w:rsidRPr="00625080">
        <w:rPr>
          <w:rFonts w:asciiTheme="majorHAnsi" w:hAnsiTheme="majorHAnsi"/>
          <w:bCs/>
          <w:color w:val="000000" w:themeColor="text1"/>
          <w:sz w:val="16"/>
          <w:szCs w:val="16"/>
        </w:rPr>
        <w:t>above note 57.</w:t>
      </w:r>
    </w:p>
  </w:endnote>
  <w:endnote w:id="207">
    <w:p w14:paraId="2922D63F" w14:textId="785B018D" w:rsidR="00EB2441" w:rsidRPr="00E405CC" w:rsidRDefault="00EB2441" w:rsidP="00560FB2">
      <w:pPr>
        <w:pStyle w:val="EndnoteText"/>
        <w:rPr>
          <w:rFonts w:asciiTheme="majorHAnsi" w:hAnsiTheme="majorHAnsi"/>
          <w:color w:val="000000" w:themeColor="text1"/>
          <w:sz w:val="16"/>
          <w:szCs w:val="16"/>
        </w:rPr>
      </w:pPr>
      <w:r w:rsidRPr="00E405CC">
        <w:rPr>
          <w:rFonts w:asciiTheme="majorHAnsi" w:hAnsiTheme="majorHAnsi"/>
          <w:color w:val="000000" w:themeColor="text1"/>
          <w:sz w:val="16"/>
          <w:szCs w:val="16"/>
          <w:vertAlign w:val="superscript"/>
        </w:rPr>
        <w:endnoteRef/>
      </w:r>
      <w:r w:rsidRPr="00E405CC">
        <w:rPr>
          <w:rFonts w:asciiTheme="majorHAnsi" w:hAnsiTheme="majorHAnsi"/>
          <w:color w:val="000000" w:themeColor="text1"/>
          <w:sz w:val="16"/>
          <w:szCs w:val="16"/>
          <w:vertAlign w:val="superscript"/>
        </w:rPr>
        <w:t xml:space="preserve"> </w:t>
      </w:r>
      <w:proofErr w:type="gramStart"/>
      <w:r w:rsidRPr="00E405CC">
        <w:rPr>
          <w:rFonts w:asciiTheme="majorHAnsi" w:hAnsiTheme="majorHAnsi"/>
          <w:color w:val="000000" w:themeColor="text1"/>
          <w:sz w:val="16"/>
          <w:szCs w:val="16"/>
        </w:rPr>
        <w:t>Based on combined data from New</w:t>
      </w:r>
      <w:r w:rsidRPr="00E405CC">
        <w:rPr>
          <w:rFonts w:asciiTheme="majorHAnsi" w:hAnsiTheme="majorHAnsi" w:cs="Book Antiqua"/>
          <w:color w:val="000000" w:themeColor="text1"/>
          <w:sz w:val="16"/>
          <w:szCs w:val="16"/>
          <w:lang w:eastAsia="ja-JP"/>
        </w:rPr>
        <w:t xml:space="preserve"> South Wales, Victoria, Queensland, Western Australia, South Australia and the Northern Territory.</w:t>
      </w:r>
      <w:proofErr w:type="gramEnd"/>
      <w:r w:rsidRPr="00E405CC">
        <w:rPr>
          <w:rFonts w:asciiTheme="majorHAnsi" w:hAnsiTheme="majorHAnsi" w:cs="Book Antiqua"/>
          <w:color w:val="000000" w:themeColor="text1"/>
          <w:sz w:val="16"/>
          <w:szCs w:val="16"/>
          <w:lang w:eastAsia="ja-JP"/>
        </w:rPr>
        <w:t xml:space="preserve"> </w:t>
      </w:r>
      <w:r>
        <w:rPr>
          <w:rFonts w:asciiTheme="majorHAnsi" w:hAnsiTheme="majorHAnsi" w:cs="Book Antiqua"/>
          <w:color w:val="000000" w:themeColor="text1"/>
          <w:sz w:val="16"/>
          <w:szCs w:val="16"/>
          <w:lang w:eastAsia="ja-JP"/>
        </w:rPr>
        <w:t xml:space="preserve">See: </w:t>
      </w:r>
      <w:r w:rsidRPr="00E405CC">
        <w:rPr>
          <w:rFonts w:asciiTheme="majorHAnsi" w:hAnsiTheme="majorHAnsi"/>
          <w:color w:val="000000" w:themeColor="text1"/>
          <w:sz w:val="16"/>
          <w:szCs w:val="16"/>
        </w:rPr>
        <w:t xml:space="preserve">Australian Institute of Health and Welfare, </w:t>
      </w:r>
      <w:r w:rsidRPr="00E405CC">
        <w:rPr>
          <w:rFonts w:asciiTheme="majorHAnsi" w:hAnsiTheme="majorHAnsi"/>
          <w:i/>
          <w:color w:val="000000" w:themeColor="text1"/>
          <w:sz w:val="16"/>
          <w:szCs w:val="16"/>
        </w:rPr>
        <w:t>Aboriginal and Torres Strait Islander Health Performance Framework 2012: detailed analyses</w:t>
      </w:r>
      <w:r>
        <w:rPr>
          <w:rFonts w:asciiTheme="majorHAnsi" w:hAnsiTheme="majorHAnsi"/>
          <w:color w:val="000000" w:themeColor="text1"/>
          <w:sz w:val="16"/>
          <w:szCs w:val="16"/>
        </w:rPr>
        <w:t xml:space="preserve">, AIHW cat. </w:t>
      </w:r>
      <w:proofErr w:type="gramStart"/>
      <w:r>
        <w:rPr>
          <w:rFonts w:asciiTheme="majorHAnsi" w:hAnsiTheme="majorHAnsi"/>
          <w:color w:val="000000" w:themeColor="text1"/>
          <w:sz w:val="16"/>
          <w:szCs w:val="16"/>
        </w:rPr>
        <w:t>no</w:t>
      </w:r>
      <w:proofErr w:type="gramEnd"/>
      <w:r>
        <w:rPr>
          <w:rFonts w:asciiTheme="majorHAnsi" w:hAnsiTheme="majorHAnsi"/>
          <w:color w:val="000000" w:themeColor="text1"/>
          <w:sz w:val="16"/>
          <w:szCs w:val="16"/>
        </w:rPr>
        <w:t xml:space="preserve">. IHW 94, </w:t>
      </w:r>
      <w:r w:rsidRPr="00E405CC">
        <w:rPr>
          <w:rFonts w:asciiTheme="majorHAnsi" w:hAnsiTheme="majorHAnsi"/>
          <w:color w:val="000000" w:themeColor="text1"/>
          <w:sz w:val="16"/>
          <w:szCs w:val="16"/>
        </w:rPr>
        <w:t>2013, p.639.</w:t>
      </w:r>
      <w:r w:rsidRPr="00E405CC">
        <w:rPr>
          <w:rFonts w:asciiTheme="majorHAnsi" w:hAnsiTheme="majorHAnsi" w:cs="Book Antiqua"/>
          <w:color w:val="000000" w:themeColor="text1"/>
          <w:sz w:val="16"/>
          <w:szCs w:val="16"/>
          <w:lang w:eastAsia="ja-JP"/>
        </w:rPr>
        <w:t xml:space="preserve"> </w:t>
      </w:r>
      <w:proofErr w:type="gramStart"/>
      <w:r>
        <w:rPr>
          <w:rFonts w:asciiTheme="majorHAnsi" w:hAnsiTheme="majorHAnsi" w:cs="Book Antiqua"/>
          <w:color w:val="000000" w:themeColor="text1"/>
          <w:sz w:val="16"/>
          <w:szCs w:val="16"/>
          <w:lang w:eastAsia="ja-JP"/>
        </w:rPr>
        <w:t xml:space="preserve">URL </w:t>
      </w:r>
      <w:hyperlink r:id="rId57" w:history="1">
        <w:r w:rsidRPr="005656A6">
          <w:rPr>
            <w:rStyle w:val="Hyperlink"/>
            <w:rFonts w:asciiTheme="majorHAnsi" w:hAnsiTheme="majorHAnsi" w:cs="Book Antiqua"/>
            <w:sz w:val="16"/>
            <w:szCs w:val="16"/>
            <w:lang w:eastAsia="ja-JP"/>
          </w:rPr>
          <w:t>http://www.aihw.gov.au/publication-detail/?id=60129543821</w:t>
        </w:r>
      </w:hyperlink>
      <w:r>
        <w:rPr>
          <w:rFonts w:asciiTheme="majorHAnsi" w:hAnsiTheme="majorHAnsi" w:cs="Book Antiqua"/>
          <w:color w:val="000000" w:themeColor="text1"/>
          <w:sz w:val="16"/>
          <w:szCs w:val="16"/>
          <w:lang w:eastAsia="ja-JP"/>
        </w:rPr>
        <w:t>.</w:t>
      </w:r>
      <w:proofErr w:type="gramEnd"/>
      <w:r>
        <w:rPr>
          <w:rFonts w:asciiTheme="majorHAnsi" w:hAnsiTheme="majorHAnsi" w:cs="Book Antiqua"/>
          <w:color w:val="000000" w:themeColor="text1"/>
          <w:sz w:val="16"/>
          <w:szCs w:val="16"/>
          <w:lang w:eastAsia="ja-JP"/>
        </w:rPr>
        <w:t xml:space="preserve"> </w:t>
      </w:r>
    </w:p>
  </w:endnote>
  <w:endnote w:id="208">
    <w:p w14:paraId="3881EC07" w14:textId="77777777" w:rsidR="00EB2441" w:rsidRPr="00D91E86" w:rsidRDefault="00EB2441" w:rsidP="00560FB2">
      <w:pPr>
        <w:pStyle w:val="EndnoteText"/>
        <w:rPr>
          <w:rFonts w:asciiTheme="majorHAnsi" w:hAnsiTheme="majorHAnsi" w:cstheme="majorHAnsi"/>
          <w:color w:val="000000" w:themeColor="text1"/>
          <w:sz w:val="16"/>
          <w:szCs w:val="16"/>
          <w:lang w:val="en-US"/>
        </w:rPr>
      </w:pPr>
      <w:r w:rsidRPr="00D91E86">
        <w:rPr>
          <w:rStyle w:val="EndnoteReference"/>
          <w:rFonts w:asciiTheme="majorHAnsi" w:hAnsiTheme="majorHAnsi" w:cstheme="majorHAnsi"/>
          <w:color w:val="000000" w:themeColor="text1"/>
          <w:sz w:val="16"/>
          <w:szCs w:val="16"/>
        </w:rPr>
        <w:endnoteRef/>
      </w:r>
      <w:r w:rsidRPr="00D91E86">
        <w:rPr>
          <w:rFonts w:asciiTheme="majorHAnsi" w:hAnsiTheme="majorHAnsi" w:cstheme="majorHAnsi"/>
          <w:color w:val="000000" w:themeColor="text1"/>
          <w:sz w:val="16"/>
          <w:szCs w:val="16"/>
        </w:rPr>
        <w:t xml:space="preserve"> </w:t>
      </w:r>
      <w:proofErr w:type="gramStart"/>
      <w:r w:rsidRPr="00D91E86">
        <w:rPr>
          <w:rFonts w:asciiTheme="majorHAnsi" w:hAnsiTheme="majorHAnsi" w:cstheme="majorHAnsi"/>
          <w:color w:val="000000" w:themeColor="text1"/>
          <w:sz w:val="16"/>
          <w:szCs w:val="16"/>
        </w:rPr>
        <w:t xml:space="preserve">Australian Institute of Health and Welfare, </w:t>
      </w:r>
      <w:r w:rsidRPr="00D91E86">
        <w:rPr>
          <w:rFonts w:asciiTheme="majorHAnsi" w:hAnsiTheme="majorHAnsi" w:cstheme="majorHAnsi"/>
          <w:i/>
          <w:color w:val="000000" w:themeColor="text1"/>
          <w:sz w:val="16"/>
          <w:szCs w:val="16"/>
        </w:rPr>
        <w:t>Psychiatric Disability Support Services</w:t>
      </w:r>
      <w:r w:rsidRPr="00D91E86">
        <w:rPr>
          <w:rFonts w:asciiTheme="majorHAnsi" w:hAnsiTheme="majorHAnsi" w:cstheme="majorHAnsi"/>
          <w:color w:val="000000" w:themeColor="text1"/>
          <w:sz w:val="16"/>
          <w:szCs w:val="16"/>
        </w:rPr>
        <w:t>.</w:t>
      </w:r>
      <w:proofErr w:type="gramEnd"/>
      <w:r w:rsidRPr="00D91E86">
        <w:rPr>
          <w:rFonts w:asciiTheme="majorHAnsi" w:hAnsiTheme="majorHAnsi" w:cstheme="majorHAnsi"/>
          <w:color w:val="000000" w:themeColor="text1"/>
          <w:sz w:val="16"/>
          <w:szCs w:val="16"/>
        </w:rPr>
        <w:t xml:space="preserve"> </w:t>
      </w:r>
      <w:proofErr w:type="gramStart"/>
      <w:r w:rsidRPr="00D91E86">
        <w:rPr>
          <w:rFonts w:asciiTheme="majorHAnsi" w:hAnsiTheme="majorHAnsi" w:cstheme="majorHAnsi"/>
          <w:color w:val="000000" w:themeColor="text1"/>
          <w:sz w:val="16"/>
          <w:szCs w:val="16"/>
        </w:rPr>
        <w:t xml:space="preserve">URL </w:t>
      </w:r>
      <w:hyperlink r:id="rId58" w:history="1">
        <w:r w:rsidRPr="00D91E86">
          <w:rPr>
            <w:rStyle w:val="Hyperlink"/>
            <w:rFonts w:asciiTheme="majorHAnsi" w:hAnsiTheme="majorHAnsi" w:cstheme="majorHAnsi"/>
            <w:sz w:val="16"/>
            <w:szCs w:val="16"/>
          </w:rPr>
          <w:t>http://mhsa.aihw.gov.au/services/disability-support/</w:t>
        </w:r>
      </w:hyperlink>
      <w:r w:rsidRPr="00D91E86">
        <w:rPr>
          <w:rFonts w:asciiTheme="majorHAnsi" w:hAnsiTheme="majorHAnsi" w:cstheme="majorHAnsi"/>
          <w:color w:val="000000" w:themeColor="text1"/>
          <w:sz w:val="16"/>
          <w:szCs w:val="16"/>
        </w:rPr>
        <w:t>.</w:t>
      </w:r>
      <w:proofErr w:type="gramEnd"/>
    </w:p>
  </w:endnote>
  <w:endnote w:id="209">
    <w:p w14:paraId="6B48AAC6" w14:textId="77777777"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sz w:val="16"/>
          <w:szCs w:val="16"/>
        </w:rPr>
        <w:t xml:space="preserve">Australian Bureau of Statistics, </w:t>
      </w:r>
      <w:r w:rsidRPr="00E405CC">
        <w:rPr>
          <w:rFonts w:asciiTheme="majorHAnsi" w:hAnsiTheme="majorHAnsi"/>
          <w:i/>
          <w:sz w:val="16"/>
          <w:szCs w:val="16"/>
        </w:rPr>
        <w:t>Suicides, Australia, 2010</w:t>
      </w:r>
      <w:r>
        <w:rPr>
          <w:rFonts w:asciiTheme="majorHAnsi" w:hAnsiTheme="majorHAnsi"/>
          <w:sz w:val="16"/>
          <w:szCs w:val="16"/>
        </w:rPr>
        <w:t>, ABS cat.</w:t>
      </w:r>
      <w:proofErr w:type="gramEnd"/>
      <w:r>
        <w:rPr>
          <w:rFonts w:asciiTheme="majorHAnsi" w:hAnsiTheme="majorHAnsi"/>
          <w:sz w:val="16"/>
          <w:szCs w:val="16"/>
        </w:rPr>
        <w:t xml:space="preserve"> </w:t>
      </w:r>
      <w:proofErr w:type="gramStart"/>
      <w:r>
        <w:rPr>
          <w:rFonts w:asciiTheme="majorHAnsi" w:hAnsiTheme="majorHAnsi"/>
          <w:sz w:val="16"/>
          <w:szCs w:val="16"/>
        </w:rPr>
        <w:t>no</w:t>
      </w:r>
      <w:proofErr w:type="gramEnd"/>
      <w:r>
        <w:rPr>
          <w:rFonts w:asciiTheme="majorHAnsi" w:hAnsiTheme="majorHAnsi"/>
          <w:sz w:val="16"/>
          <w:szCs w:val="16"/>
        </w:rPr>
        <w:t xml:space="preserve">. 3309.0, 2012. </w:t>
      </w:r>
      <w:proofErr w:type="gramStart"/>
      <w:r>
        <w:rPr>
          <w:rFonts w:asciiTheme="majorHAnsi" w:hAnsiTheme="majorHAnsi"/>
          <w:sz w:val="16"/>
          <w:szCs w:val="16"/>
        </w:rPr>
        <w:t xml:space="preserve">URL </w:t>
      </w:r>
      <w:hyperlink r:id="rId59" w:history="1">
        <w:r w:rsidRPr="005656A6">
          <w:rPr>
            <w:rStyle w:val="Hyperlink"/>
            <w:rFonts w:asciiTheme="majorHAnsi" w:hAnsiTheme="majorHAnsi"/>
            <w:sz w:val="16"/>
            <w:szCs w:val="16"/>
          </w:rPr>
          <w:t>http://www.abs.gov.au/ausstats/abs@.nsf/Products/3309.0~2010~Chapter~Aboriginal+and+Torres+Strait+Islander+suicide+deaths?OpenDocument</w:t>
        </w:r>
      </w:hyperlink>
      <w:r>
        <w:rPr>
          <w:rFonts w:asciiTheme="majorHAnsi" w:hAnsiTheme="majorHAnsi"/>
          <w:sz w:val="16"/>
          <w:szCs w:val="16"/>
        </w:rPr>
        <w:t>.</w:t>
      </w:r>
      <w:proofErr w:type="gramEnd"/>
    </w:p>
  </w:endnote>
  <w:endnote w:id="210">
    <w:p w14:paraId="5DCC4CCA" w14:textId="77777777"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E405CC">
        <w:rPr>
          <w:rFonts w:asciiTheme="majorHAnsi" w:hAnsiTheme="majorHAnsi"/>
          <w:sz w:val="16"/>
          <w:szCs w:val="16"/>
          <w:lang w:val="en-US"/>
        </w:rPr>
        <w:t xml:space="preserve">Australian Bureau of </w:t>
      </w:r>
      <w:proofErr w:type="gramStart"/>
      <w:r w:rsidRPr="00E405CC">
        <w:rPr>
          <w:rFonts w:asciiTheme="majorHAnsi" w:hAnsiTheme="majorHAnsi"/>
          <w:sz w:val="16"/>
          <w:szCs w:val="16"/>
          <w:lang w:val="en-US"/>
        </w:rPr>
        <w:t>Statistics,</w:t>
      </w:r>
      <w:proofErr w:type="gramEnd"/>
      <w:r w:rsidRPr="00E405CC">
        <w:rPr>
          <w:rFonts w:asciiTheme="majorHAnsi" w:hAnsiTheme="majorHAnsi"/>
          <w:sz w:val="16"/>
          <w:szCs w:val="16"/>
          <w:lang w:val="en-US"/>
        </w:rPr>
        <w:t xml:space="preserve"> </w:t>
      </w:r>
      <w:r w:rsidRPr="00E405CC">
        <w:rPr>
          <w:rFonts w:asciiTheme="majorHAnsi" w:hAnsiTheme="majorHAnsi"/>
          <w:i/>
          <w:sz w:val="16"/>
          <w:szCs w:val="16"/>
          <w:lang w:val="en-US"/>
        </w:rPr>
        <w:t>Causes of Death 2012</w:t>
      </w:r>
      <w:r w:rsidRPr="00E405CC">
        <w:rPr>
          <w:rFonts w:asciiTheme="majorHAnsi" w:hAnsiTheme="majorHAnsi"/>
          <w:sz w:val="16"/>
          <w:szCs w:val="16"/>
          <w:lang w:val="en-US"/>
        </w:rPr>
        <w:t xml:space="preserve">, ABS cat. </w:t>
      </w:r>
      <w:proofErr w:type="gramStart"/>
      <w:r w:rsidRPr="00E405CC">
        <w:rPr>
          <w:rFonts w:asciiTheme="majorHAnsi" w:hAnsiTheme="majorHAnsi"/>
          <w:sz w:val="16"/>
          <w:szCs w:val="16"/>
          <w:lang w:val="en-US"/>
        </w:rPr>
        <w:t>no</w:t>
      </w:r>
      <w:proofErr w:type="gramEnd"/>
      <w:r w:rsidRPr="00E405CC">
        <w:rPr>
          <w:rFonts w:asciiTheme="majorHAnsi" w:hAnsiTheme="majorHAnsi"/>
          <w:sz w:val="16"/>
          <w:szCs w:val="16"/>
          <w:lang w:val="en-US"/>
        </w:rPr>
        <w:t xml:space="preserve">. 3303.0, </w:t>
      </w:r>
      <w:r>
        <w:rPr>
          <w:rFonts w:asciiTheme="majorHAnsi" w:hAnsiTheme="majorHAnsi"/>
          <w:sz w:val="16"/>
          <w:szCs w:val="16"/>
          <w:lang w:val="en-US"/>
        </w:rPr>
        <w:t xml:space="preserve">2014. </w:t>
      </w:r>
      <w:proofErr w:type="gramStart"/>
      <w:r>
        <w:rPr>
          <w:rFonts w:asciiTheme="majorHAnsi" w:hAnsiTheme="majorHAnsi"/>
          <w:sz w:val="16"/>
          <w:szCs w:val="16"/>
          <w:lang w:val="en-US"/>
        </w:rPr>
        <w:t xml:space="preserve">URL </w:t>
      </w:r>
      <w:hyperlink r:id="rId60" w:history="1">
        <w:r w:rsidRPr="005656A6">
          <w:rPr>
            <w:rStyle w:val="Hyperlink"/>
            <w:rFonts w:asciiTheme="majorHAnsi" w:hAnsiTheme="majorHAnsi"/>
            <w:sz w:val="16"/>
            <w:szCs w:val="16"/>
            <w:lang w:val="en-US"/>
          </w:rPr>
          <w:t>http://www.abs.gov.au/ausstats/abs@.nsf/Lookup/3303.0main+features100002012</w:t>
        </w:r>
      </w:hyperlink>
      <w:r>
        <w:rPr>
          <w:rFonts w:asciiTheme="majorHAnsi" w:hAnsiTheme="majorHAnsi"/>
          <w:sz w:val="16"/>
          <w:szCs w:val="16"/>
          <w:lang w:val="en-US"/>
        </w:rPr>
        <w:t>.</w:t>
      </w:r>
      <w:proofErr w:type="gramEnd"/>
      <w:r>
        <w:rPr>
          <w:rFonts w:asciiTheme="majorHAnsi" w:hAnsiTheme="majorHAnsi"/>
          <w:sz w:val="16"/>
          <w:szCs w:val="16"/>
          <w:lang w:val="en-US"/>
        </w:rPr>
        <w:t xml:space="preserve"> </w:t>
      </w:r>
    </w:p>
  </w:endnote>
  <w:endnote w:id="211">
    <w:p w14:paraId="01AAB9BA" w14:textId="77777777" w:rsidR="00EB2441" w:rsidRPr="00D91E86" w:rsidRDefault="00EB2441" w:rsidP="00814869">
      <w:pPr>
        <w:pStyle w:val="NormalWeb"/>
        <w:rPr>
          <w:rFonts w:asciiTheme="majorHAnsi" w:eastAsia="Times New Roman" w:hAnsiTheme="majorHAnsi"/>
          <w:color w:val="000000" w:themeColor="text1"/>
          <w:sz w:val="16"/>
          <w:szCs w:val="16"/>
          <w:lang w:val="en-AU" w:eastAsia="en-AU"/>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eastAsia="Times New Roman" w:hAnsiTheme="majorHAnsi"/>
          <w:color w:val="000000" w:themeColor="text1"/>
          <w:sz w:val="16"/>
          <w:szCs w:val="16"/>
          <w:lang w:val="en-AU" w:eastAsia="en-AU"/>
        </w:rPr>
        <w:t xml:space="preserve">Steering Committee for the Review of </w:t>
      </w:r>
      <w:r w:rsidRPr="00D91E86">
        <w:rPr>
          <w:rFonts w:asciiTheme="majorHAnsi" w:eastAsia="Times New Roman" w:hAnsiTheme="majorHAnsi"/>
          <w:color w:val="000000" w:themeColor="text1"/>
          <w:sz w:val="16"/>
          <w:szCs w:val="16"/>
          <w:lang w:val="en-AU" w:eastAsia="en-AU"/>
        </w:rPr>
        <w:t>Government Service Provision, above note 4.</w:t>
      </w:r>
      <w:proofErr w:type="gramEnd"/>
    </w:p>
  </w:endnote>
  <w:endnote w:id="212">
    <w:p w14:paraId="60215BD1" w14:textId="77777777" w:rsidR="00EB2441" w:rsidRPr="00E405CC" w:rsidRDefault="00EB2441" w:rsidP="00560FB2">
      <w:pPr>
        <w:pStyle w:val="EndnoteText"/>
        <w:rPr>
          <w:rFonts w:asciiTheme="majorHAnsi" w:hAnsiTheme="majorHAnsi" w:cs="Calibri"/>
          <w:color w:val="000000" w:themeColor="text1"/>
          <w:sz w:val="16"/>
          <w:szCs w:val="16"/>
        </w:rPr>
      </w:pPr>
      <w:r w:rsidRPr="00E405CC">
        <w:rPr>
          <w:rStyle w:val="EndnoteReference"/>
          <w:rFonts w:asciiTheme="majorHAnsi" w:hAnsiTheme="majorHAnsi" w:cs="Calibri"/>
          <w:color w:val="000000" w:themeColor="text1"/>
          <w:sz w:val="16"/>
          <w:szCs w:val="16"/>
        </w:rPr>
        <w:endnoteRef/>
      </w:r>
      <w:r w:rsidRPr="00E405CC">
        <w:rPr>
          <w:rFonts w:asciiTheme="majorHAnsi" w:hAnsiTheme="majorHAnsi" w:cs="Calibri"/>
          <w:color w:val="000000" w:themeColor="text1"/>
          <w:sz w:val="16"/>
          <w:szCs w:val="16"/>
        </w:rPr>
        <w:t xml:space="preserve"> Australian Bureau of Statistic, </w:t>
      </w:r>
      <w:proofErr w:type="gramStart"/>
      <w:r w:rsidRPr="00E405CC">
        <w:rPr>
          <w:rFonts w:asciiTheme="majorHAnsi" w:hAnsiTheme="majorHAnsi" w:cs="Calibri"/>
          <w:i/>
          <w:color w:val="000000" w:themeColor="text1"/>
          <w:sz w:val="16"/>
          <w:szCs w:val="16"/>
        </w:rPr>
        <w:t>The</w:t>
      </w:r>
      <w:proofErr w:type="gramEnd"/>
      <w:r w:rsidRPr="00E405CC">
        <w:rPr>
          <w:rFonts w:asciiTheme="majorHAnsi" w:hAnsiTheme="majorHAnsi" w:cs="Calibri"/>
          <w:i/>
          <w:color w:val="000000" w:themeColor="text1"/>
          <w:sz w:val="16"/>
          <w:szCs w:val="16"/>
        </w:rPr>
        <w:t xml:space="preserve"> Health and Welfare of Australia's Aboriginal and Torres Strait Islander Peoples Oct 2010</w:t>
      </w:r>
      <w:r>
        <w:rPr>
          <w:rFonts w:asciiTheme="majorHAnsi" w:hAnsiTheme="majorHAnsi" w:cs="Calibri"/>
          <w:color w:val="000000" w:themeColor="text1"/>
          <w:sz w:val="16"/>
          <w:szCs w:val="16"/>
        </w:rPr>
        <w:t xml:space="preserve">, ABS cat. </w:t>
      </w:r>
      <w:proofErr w:type="gramStart"/>
      <w:r>
        <w:rPr>
          <w:rFonts w:asciiTheme="majorHAnsi" w:hAnsiTheme="majorHAnsi" w:cs="Calibri"/>
          <w:color w:val="000000" w:themeColor="text1"/>
          <w:sz w:val="16"/>
          <w:szCs w:val="16"/>
        </w:rPr>
        <w:t>no</w:t>
      </w:r>
      <w:proofErr w:type="gramEnd"/>
      <w:r>
        <w:rPr>
          <w:rFonts w:asciiTheme="majorHAnsi" w:hAnsiTheme="majorHAnsi" w:cs="Calibri"/>
          <w:color w:val="000000" w:themeColor="text1"/>
          <w:sz w:val="16"/>
          <w:szCs w:val="16"/>
        </w:rPr>
        <w:t xml:space="preserve">. 4704.0, 2011. </w:t>
      </w:r>
      <w:proofErr w:type="gramStart"/>
      <w:r>
        <w:rPr>
          <w:rFonts w:asciiTheme="majorHAnsi" w:hAnsiTheme="majorHAnsi" w:cs="Calibri"/>
          <w:color w:val="000000" w:themeColor="text1"/>
          <w:sz w:val="16"/>
          <w:szCs w:val="16"/>
        </w:rPr>
        <w:t xml:space="preserve">URL </w:t>
      </w:r>
      <w:hyperlink r:id="rId61" w:history="1">
        <w:r w:rsidRPr="005656A6">
          <w:rPr>
            <w:rStyle w:val="Hyperlink"/>
            <w:rFonts w:asciiTheme="majorHAnsi" w:hAnsiTheme="majorHAnsi" w:cs="Calibri"/>
            <w:sz w:val="16"/>
            <w:szCs w:val="16"/>
          </w:rPr>
          <w:t>http://www.abs.gov.au/ausstats/abs@.nsf/mf/4704.0</w:t>
        </w:r>
      </w:hyperlink>
      <w:r>
        <w:rPr>
          <w:rFonts w:asciiTheme="majorHAnsi" w:hAnsiTheme="majorHAnsi" w:cs="Calibri"/>
          <w:color w:val="000000" w:themeColor="text1"/>
          <w:sz w:val="16"/>
          <w:szCs w:val="16"/>
        </w:rPr>
        <w:t>.</w:t>
      </w:r>
      <w:proofErr w:type="gramEnd"/>
      <w:r>
        <w:rPr>
          <w:rFonts w:asciiTheme="majorHAnsi" w:hAnsiTheme="majorHAnsi" w:cs="Calibri"/>
          <w:color w:val="000000" w:themeColor="text1"/>
          <w:sz w:val="16"/>
          <w:szCs w:val="16"/>
        </w:rPr>
        <w:t xml:space="preserve"> </w:t>
      </w:r>
    </w:p>
  </w:endnote>
  <w:endnote w:id="213">
    <w:p w14:paraId="7ACC3EA8" w14:textId="77183C11" w:rsidR="00EB2441" w:rsidRPr="00E405CC" w:rsidRDefault="00EB2441" w:rsidP="00560FB2">
      <w:pPr>
        <w:pStyle w:val="EndnoteText"/>
        <w:rPr>
          <w:rFonts w:asciiTheme="majorHAnsi" w:hAnsiTheme="majorHAnsi" w:cs="Calibr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E405CC">
        <w:rPr>
          <w:rFonts w:asciiTheme="majorHAnsi" w:hAnsiTheme="majorHAnsi" w:cs="Calibri"/>
          <w:color w:val="000000" w:themeColor="text1"/>
          <w:sz w:val="16"/>
          <w:szCs w:val="16"/>
        </w:rPr>
        <w:t>Australian Bureau of Statistic</w:t>
      </w:r>
      <w:r>
        <w:rPr>
          <w:rFonts w:asciiTheme="majorHAnsi" w:hAnsiTheme="majorHAnsi" w:cs="Calibri"/>
          <w:color w:val="000000" w:themeColor="text1"/>
          <w:sz w:val="16"/>
          <w:szCs w:val="16"/>
        </w:rPr>
        <w:t>, above note 212.</w:t>
      </w:r>
    </w:p>
  </w:endnote>
  <w:endnote w:id="214">
    <w:p w14:paraId="088CBC27" w14:textId="672486D8" w:rsidR="00EB2441" w:rsidRPr="00E405CC" w:rsidRDefault="00EB2441" w:rsidP="00560FB2">
      <w:pPr>
        <w:rPr>
          <w:rFonts w:asciiTheme="majorHAnsi" w:hAnsiTheme="majorHAnsi"/>
          <w:color w:val="000000" w:themeColor="text1"/>
          <w:sz w:val="16"/>
          <w:szCs w:val="16"/>
        </w:rPr>
      </w:pPr>
      <w:r w:rsidRPr="00E405CC">
        <w:rPr>
          <w:rStyle w:val="EndnoteReference"/>
          <w:rFonts w:asciiTheme="majorHAnsi" w:hAnsiTheme="majorHAnsi"/>
          <w:color w:val="000000" w:themeColor="text1"/>
          <w:sz w:val="16"/>
          <w:szCs w:val="16"/>
        </w:rPr>
        <w:endnoteRef/>
      </w:r>
      <w:r w:rsidRPr="00E405CC">
        <w:rPr>
          <w:rFonts w:asciiTheme="majorHAnsi" w:hAnsiTheme="majorHAnsi"/>
          <w:color w:val="000000" w:themeColor="text1"/>
          <w:sz w:val="16"/>
          <w:szCs w:val="16"/>
        </w:rPr>
        <w:t xml:space="preserve"> </w:t>
      </w:r>
      <w:r w:rsidRPr="00D91E86">
        <w:rPr>
          <w:rFonts w:asciiTheme="majorHAnsi" w:hAnsiTheme="majorHAnsi"/>
          <w:color w:val="000000" w:themeColor="text1"/>
          <w:sz w:val="16"/>
          <w:szCs w:val="16"/>
        </w:rPr>
        <w:t>Australian Bur</w:t>
      </w:r>
      <w:r>
        <w:rPr>
          <w:rFonts w:asciiTheme="majorHAnsi" w:hAnsiTheme="majorHAnsi"/>
          <w:color w:val="000000" w:themeColor="text1"/>
          <w:sz w:val="16"/>
          <w:szCs w:val="16"/>
        </w:rPr>
        <w:t>eau of Statistic, above note 212</w:t>
      </w:r>
      <w:r w:rsidRPr="00D91E86">
        <w:rPr>
          <w:rFonts w:asciiTheme="majorHAnsi" w:hAnsiTheme="majorHAnsi"/>
          <w:color w:val="000000" w:themeColor="text1"/>
          <w:sz w:val="16"/>
          <w:szCs w:val="16"/>
        </w:rPr>
        <w:t>.</w:t>
      </w:r>
    </w:p>
  </w:endnote>
  <w:endnote w:id="215">
    <w:p w14:paraId="6CF9BE9E" w14:textId="73F6838D" w:rsidR="00EB2441" w:rsidRPr="00F40461" w:rsidRDefault="00EB2441">
      <w:pPr>
        <w:pStyle w:val="EndnoteText"/>
        <w:rPr>
          <w:rFonts w:asciiTheme="majorHAnsi" w:hAnsiTheme="majorHAnsi"/>
          <w:sz w:val="16"/>
          <w:szCs w:val="16"/>
          <w:lang w:val="en-US"/>
        </w:rPr>
      </w:pPr>
      <w:r w:rsidRPr="00761B1A">
        <w:rPr>
          <w:rStyle w:val="EndnoteReference"/>
          <w:rFonts w:asciiTheme="majorHAnsi" w:hAnsiTheme="majorHAnsi"/>
          <w:sz w:val="16"/>
          <w:szCs w:val="16"/>
        </w:rPr>
        <w:endnoteRef/>
      </w:r>
      <w:r w:rsidRPr="00761B1A">
        <w:rPr>
          <w:rFonts w:asciiTheme="majorHAnsi" w:hAnsiTheme="majorHAnsi"/>
          <w:sz w:val="16"/>
          <w:szCs w:val="16"/>
        </w:rPr>
        <w:t xml:space="preserve"> Telethon Kids Institute,</w:t>
      </w:r>
      <w:r>
        <w:rPr>
          <w:rFonts w:asciiTheme="majorHAnsi" w:hAnsiTheme="majorHAnsi"/>
          <w:sz w:val="16"/>
          <w:szCs w:val="16"/>
        </w:rPr>
        <w:t xml:space="preserve"> </w:t>
      </w:r>
      <w:r w:rsidRPr="00761B1A">
        <w:rPr>
          <w:rFonts w:asciiTheme="majorHAnsi" w:hAnsiTheme="majorHAnsi"/>
          <w:i/>
          <w:sz w:val="16"/>
          <w:szCs w:val="16"/>
          <w:lang w:val="en"/>
        </w:rPr>
        <w:t>National Aboriginal and Torres Strait Islander Suicide Prevention Evaluation Project</w:t>
      </w:r>
      <w:r>
        <w:rPr>
          <w:rFonts w:asciiTheme="majorHAnsi" w:hAnsiTheme="majorHAnsi"/>
          <w:sz w:val="16"/>
          <w:szCs w:val="16"/>
          <w:lang w:val="en"/>
        </w:rPr>
        <w:t xml:space="preserve">. </w:t>
      </w:r>
      <w:proofErr w:type="gramStart"/>
      <w:r>
        <w:rPr>
          <w:rFonts w:asciiTheme="majorHAnsi" w:hAnsiTheme="majorHAnsi"/>
          <w:sz w:val="16"/>
          <w:szCs w:val="16"/>
          <w:lang w:val="en"/>
        </w:rPr>
        <w:t xml:space="preserve">URL </w:t>
      </w:r>
      <w:hyperlink r:id="rId62" w:history="1">
        <w:r w:rsidRPr="00C21029">
          <w:rPr>
            <w:rStyle w:val="Hyperlink"/>
            <w:rFonts w:asciiTheme="majorHAnsi" w:hAnsiTheme="majorHAnsi"/>
            <w:sz w:val="16"/>
            <w:szCs w:val="16"/>
            <w:lang w:val="en"/>
          </w:rPr>
          <w:t>http://aboriginal.telethonkids.org.au/centre-for-research-excellence-(cre)/suicide-prevention/</w:t>
        </w:r>
      </w:hyperlink>
      <w:r>
        <w:rPr>
          <w:rFonts w:asciiTheme="majorHAnsi" w:hAnsiTheme="majorHAnsi"/>
          <w:sz w:val="16"/>
          <w:szCs w:val="16"/>
          <w:lang w:val="en"/>
        </w:rPr>
        <w:t>.</w:t>
      </w:r>
      <w:proofErr w:type="gramEnd"/>
      <w:r>
        <w:rPr>
          <w:rFonts w:asciiTheme="majorHAnsi" w:hAnsiTheme="majorHAnsi"/>
          <w:sz w:val="16"/>
          <w:szCs w:val="16"/>
          <w:lang w:val="en"/>
        </w:rPr>
        <w:t xml:space="preserve"> </w:t>
      </w:r>
    </w:p>
  </w:endnote>
  <w:endnote w:id="216">
    <w:p w14:paraId="04F803AA" w14:textId="0A603500" w:rsidR="00EB2441" w:rsidRPr="00350A53" w:rsidRDefault="00EB2441">
      <w:pPr>
        <w:pStyle w:val="EndnoteText"/>
        <w:rPr>
          <w:rFonts w:asciiTheme="majorHAnsi" w:hAnsiTheme="majorHAnsi" w:cstheme="majorHAnsi"/>
          <w:sz w:val="16"/>
          <w:szCs w:val="16"/>
        </w:rPr>
      </w:pPr>
      <w:r w:rsidRPr="00350A53">
        <w:rPr>
          <w:rStyle w:val="EndnoteReference"/>
          <w:rFonts w:asciiTheme="majorHAnsi" w:hAnsiTheme="majorHAnsi" w:cstheme="majorHAnsi"/>
          <w:sz w:val="16"/>
          <w:szCs w:val="16"/>
        </w:rPr>
        <w:endnoteRef/>
      </w:r>
      <w:r w:rsidRPr="00350A53">
        <w:rPr>
          <w:rFonts w:asciiTheme="majorHAnsi" w:hAnsiTheme="majorHAnsi" w:cstheme="majorHAnsi"/>
          <w:sz w:val="16"/>
          <w:szCs w:val="16"/>
        </w:rPr>
        <w:t xml:space="preserve"> </w:t>
      </w:r>
      <w:r>
        <w:rPr>
          <w:rFonts w:asciiTheme="majorHAnsi" w:hAnsiTheme="majorHAnsi" w:cstheme="majorHAnsi"/>
          <w:sz w:val="16"/>
          <w:szCs w:val="16"/>
        </w:rPr>
        <w:t xml:space="preserve">Information provided to the Close the Gap Campaign Steering Committee by </w:t>
      </w:r>
      <w:proofErr w:type="spellStart"/>
      <w:r>
        <w:rPr>
          <w:rFonts w:asciiTheme="majorHAnsi" w:hAnsiTheme="majorHAnsi" w:cstheme="majorHAnsi"/>
          <w:sz w:val="16"/>
          <w:szCs w:val="16"/>
        </w:rPr>
        <w:t>beyondblue</w:t>
      </w:r>
      <w:proofErr w:type="spellEnd"/>
      <w:r>
        <w:rPr>
          <w:rFonts w:asciiTheme="majorHAnsi" w:hAnsiTheme="majorHAnsi" w:cstheme="majorHAnsi"/>
          <w:sz w:val="16"/>
          <w:szCs w:val="16"/>
        </w:rPr>
        <w:t>.</w:t>
      </w:r>
    </w:p>
  </w:endnote>
  <w:endnote w:id="217">
    <w:p w14:paraId="1A1AE73B" w14:textId="4A1B82B7" w:rsidR="00EB2441" w:rsidRPr="00E405CC" w:rsidRDefault="00EB2441" w:rsidP="00560FB2">
      <w:pPr>
        <w:pStyle w:val="EndnoteText"/>
        <w:rPr>
          <w:rFonts w:asciiTheme="majorHAnsi" w:hAnsiTheme="majorHAnsi"/>
          <w:sz w:val="16"/>
          <w:szCs w:val="16"/>
          <w:lang w:val="en-US"/>
        </w:rPr>
      </w:pPr>
      <w:r w:rsidRPr="00D94208">
        <w:rPr>
          <w:rStyle w:val="EndnoteReference"/>
          <w:rFonts w:asciiTheme="majorHAnsi" w:hAnsiTheme="majorHAnsi"/>
          <w:sz w:val="16"/>
          <w:szCs w:val="16"/>
        </w:rPr>
        <w:endnoteRef/>
      </w:r>
      <w:r w:rsidRPr="00D94208">
        <w:rPr>
          <w:rFonts w:asciiTheme="majorHAnsi" w:hAnsiTheme="majorHAnsi"/>
          <w:sz w:val="16"/>
          <w:szCs w:val="16"/>
        </w:rPr>
        <w:t xml:space="preserve"> </w:t>
      </w:r>
      <w:proofErr w:type="gramStart"/>
      <w:r w:rsidRPr="00D94208">
        <w:rPr>
          <w:rFonts w:asciiTheme="majorHAnsi" w:hAnsiTheme="majorHAnsi"/>
          <w:sz w:val="16"/>
          <w:szCs w:val="16"/>
        </w:rPr>
        <w:t xml:space="preserve">Calma T, </w:t>
      </w:r>
      <w:r w:rsidRPr="00D94208">
        <w:rPr>
          <w:rFonts w:asciiTheme="majorHAnsi" w:hAnsiTheme="majorHAnsi"/>
          <w:i/>
          <w:sz w:val="16"/>
          <w:szCs w:val="16"/>
        </w:rPr>
        <w:t>Social Justice Report 2009</w:t>
      </w:r>
      <w:r w:rsidRPr="00D94208">
        <w:rPr>
          <w:rFonts w:asciiTheme="majorHAnsi" w:hAnsiTheme="majorHAnsi"/>
          <w:sz w:val="16"/>
          <w:szCs w:val="16"/>
        </w:rPr>
        <w:t>, 2010.</w:t>
      </w:r>
      <w:proofErr w:type="gramEnd"/>
      <w:r w:rsidRPr="00D94208">
        <w:rPr>
          <w:rFonts w:asciiTheme="majorHAnsi" w:hAnsiTheme="majorHAnsi"/>
          <w:sz w:val="16"/>
          <w:szCs w:val="16"/>
        </w:rPr>
        <w:t xml:space="preserve"> </w:t>
      </w:r>
      <w:proofErr w:type="gramStart"/>
      <w:r w:rsidRPr="00D94208">
        <w:rPr>
          <w:rFonts w:asciiTheme="majorHAnsi" w:hAnsiTheme="majorHAnsi"/>
          <w:sz w:val="16"/>
          <w:szCs w:val="16"/>
        </w:rPr>
        <w:t>URL</w:t>
      </w:r>
      <w:r>
        <w:rPr>
          <w:rFonts w:asciiTheme="majorHAnsi" w:hAnsiTheme="majorHAnsi"/>
          <w:sz w:val="16"/>
          <w:szCs w:val="16"/>
        </w:rPr>
        <w:t xml:space="preserve"> </w:t>
      </w:r>
      <w:hyperlink r:id="rId63" w:history="1">
        <w:r w:rsidRPr="00C21029">
          <w:rPr>
            <w:rStyle w:val="Hyperlink"/>
            <w:rFonts w:asciiTheme="majorHAnsi" w:hAnsiTheme="majorHAnsi"/>
            <w:sz w:val="16"/>
            <w:szCs w:val="16"/>
          </w:rPr>
          <w:t>https://www.humanrights.gov.au/publications/social-justice-report-2009</w:t>
        </w:r>
      </w:hyperlink>
      <w:r>
        <w:rPr>
          <w:rFonts w:asciiTheme="majorHAnsi" w:hAnsiTheme="majorHAnsi"/>
          <w:sz w:val="16"/>
          <w:szCs w:val="16"/>
        </w:rPr>
        <w:t>.</w:t>
      </w:r>
      <w:proofErr w:type="gramEnd"/>
      <w:r>
        <w:rPr>
          <w:rFonts w:asciiTheme="majorHAnsi" w:hAnsiTheme="majorHAnsi"/>
          <w:sz w:val="16"/>
          <w:szCs w:val="16"/>
        </w:rPr>
        <w:t xml:space="preserve"> </w:t>
      </w:r>
    </w:p>
  </w:endnote>
  <w:endnote w:id="218">
    <w:p w14:paraId="15258BB7" w14:textId="77777777" w:rsidR="00EB2441" w:rsidRPr="00E405CC" w:rsidRDefault="00EB2441" w:rsidP="007C778C">
      <w:pPr>
        <w:widowControl w:val="0"/>
        <w:autoSpaceDE w:val="0"/>
        <w:autoSpaceDN w:val="0"/>
        <w:adjustRightInd w:val="0"/>
        <w:rPr>
          <w:rFonts w:asciiTheme="majorHAnsi" w:eastAsia="Times New Roman" w:hAnsiTheme="majorHAnsi"/>
          <w:i/>
          <w:sz w:val="16"/>
          <w:szCs w:val="16"/>
          <w:lang w:val="en-AU" w:eastAsia="en-AU"/>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r w:rsidRPr="00E405CC">
        <w:rPr>
          <w:rFonts w:asciiTheme="majorHAnsi" w:eastAsia="Times New Roman" w:hAnsiTheme="majorHAnsi"/>
          <w:sz w:val="16"/>
          <w:szCs w:val="16"/>
          <w:lang w:val="en-AU" w:eastAsia="en-AU"/>
        </w:rPr>
        <w:t xml:space="preserve">House of Representatives Standing Committee on Aboriginal and Torres Strait Islander Affairs, </w:t>
      </w:r>
      <w:r w:rsidRPr="00E405CC">
        <w:rPr>
          <w:rFonts w:asciiTheme="majorHAnsi" w:eastAsia="Times New Roman" w:hAnsiTheme="majorHAnsi"/>
          <w:i/>
          <w:sz w:val="16"/>
          <w:szCs w:val="16"/>
          <w:lang w:val="en-AU" w:eastAsia="en-AU"/>
        </w:rPr>
        <w:t>Doing Time - Time for Doing</w:t>
      </w:r>
    </w:p>
    <w:p w14:paraId="5C6DB7AE" w14:textId="77777777" w:rsidR="00EB2441" w:rsidRPr="00E405CC" w:rsidRDefault="00EB2441" w:rsidP="007C778C">
      <w:pPr>
        <w:pStyle w:val="EndnoteText"/>
        <w:rPr>
          <w:rFonts w:asciiTheme="majorHAnsi" w:hAnsiTheme="majorHAnsi"/>
          <w:sz w:val="16"/>
          <w:szCs w:val="16"/>
        </w:rPr>
      </w:pPr>
      <w:proofErr w:type="gramStart"/>
      <w:r w:rsidRPr="00E405CC">
        <w:rPr>
          <w:rFonts w:asciiTheme="majorHAnsi" w:hAnsiTheme="majorHAnsi"/>
          <w:i/>
          <w:sz w:val="16"/>
          <w:szCs w:val="16"/>
        </w:rPr>
        <w:t>Indigenous youth in the criminal justice system</w:t>
      </w:r>
      <w:r w:rsidRPr="00E405CC">
        <w:rPr>
          <w:rFonts w:asciiTheme="majorHAnsi" w:hAnsiTheme="majorHAnsi"/>
          <w:sz w:val="16"/>
          <w:szCs w:val="16"/>
        </w:rPr>
        <w:t>, 2011.</w:t>
      </w:r>
      <w:proofErr w:type="gramEnd"/>
      <w:r>
        <w:rPr>
          <w:rFonts w:asciiTheme="majorHAnsi" w:hAnsiTheme="majorHAnsi"/>
          <w:sz w:val="16"/>
          <w:szCs w:val="16"/>
        </w:rPr>
        <w:t xml:space="preserve"> </w:t>
      </w:r>
      <w:proofErr w:type="gramStart"/>
      <w:r>
        <w:rPr>
          <w:rFonts w:asciiTheme="majorHAnsi" w:hAnsiTheme="majorHAnsi"/>
          <w:sz w:val="16"/>
          <w:szCs w:val="16"/>
        </w:rPr>
        <w:t xml:space="preserve">URL </w:t>
      </w:r>
      <w:hyperlink r:id="rId64" w:history="1">
        <w:r w:rsidRPr="005656A6">
          <w:rPr>
            <w:rStyle w:val="Hyperlink"/>
            <w:rFonts w:asciiTheme="majorHAnsi" w:hAnsiTheme="majorHAnsi"/>
            <w:sz w:val="16"/>
            <w:szCs w:val="16"/>
          </w:rPr>
          <w:t>http://www.aph.gov.au/parliamentary_business/committees/house_of_representatives_committees?url=atsia/sentencing/report.htm</w:t>
        </w:r>
      </w:hyperlink>
      <w:r>
        <w:rPr>
          <w:rFonts w:asciiTheme="majorHAnsi" w:hAnsiTheme="majorHAnsi"/>
          <w:sz w:val="16"/>
          <w:szCs w:val="16"/>
        </w:rPr>
        <w:t>.</w:t>
      </w:r>
      <w:proofErr w:type="gramEnd"/>
      <w:r>
        <w:rPr>
          <w:rFonts w:asciiTheme="majorHAnsi" w:hAnsiTheme="majorHAnsi"/>
          <w:sz w:val="16"/>
          <w:szCs w:val="16"/>
        </w:rPr>
        <w:t xml:space="preserve"> </w:t>
      </w:r>
    </w:p>
  </w:endnote>
  <w:endnote w:id="219">
    <w:p w14:paraId="782C83FF" w14:textId="77777777"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rPr>
        <w:t xml:space="preserve">Steering Committee for the Review of Government Service Provision, </w:t>
      </w:r>
      <w:r w:rsidRPr="00D91E86">
        <w:rPr>
          <w:rFonts w:asciiTheme="majorHAnsi" w:hAnsiTheme="majorHAnsi"/>
          <w:color w:val="000000" w:themeColor="text1"/>
          <w:sz w:val="16"/>
          <w:szCs w:val="16"/>
        </w:rPr>
        <w:t>above note 4,</w:t>
      </w:r>
      <w:r w:rsidRPr="00E405CC">
        <w:rPr>
          <w:rFonts w:asciiTheme="majorHAnsi" w:hAnsiTheme="majorHAnsi"/>
          <w:color w:val="000000" w:themeColor="text1"/>
          <w:sz w:val="16"/>
          <w:szCs w:val="16"/>
        </w:rPr>
        <w:t xml:space="preserve"> p</w:t>
      </w:r>
      <w:r>
        <w:rPr>
          <w:rFonts w:asciiTheme="majorHAnsi" w:hAnsiTheme="majorHAnsi"/>
          <w:color w:val="000000" w:themeColor="text1"/>
          <w:sz w:val="16"/>
          <w:szCs w:val="16"/>
        </w:rPr>
        <w:t xml:space="preserve"> </w:t>
      </w:r>
      <w:r w:rsidRPr="00E405CC">
        <w:rPr>
          <w:rFonts w:asciiTheme="majorHAnsi" w:hAnsiTheme="majorHAnsi"/>
          <w:color w:val="000000" w:themeColor="text1"/>
          <w:sz w:val="16"/>
          <w:szCs w:val="16"/>
        </w:rPr>
        <w:t>48.</w:t>
      </w:r>
      <w:proofErr w:type="gramEnd"/>
    </w:p>
  </w:endnote>
  <w:endnote w:id="220">
    <w:p w14:paraId="5ED0BC28" w14:textId="21FA8220" w:rsidR="00EB2441" w:rsidRPr="00E405CC" w:rsidRDefault="00EB2441" w:rsidP="00560FB2">
      <w:pPr>
        <w:pStyle w:val="EndnoteText"/>
        <w:rPr>
          <w:rFonts w:asciiTheme="majorHAnsi" w:hAnsiTheme="majorHAnsi"/>
          <w:sz w:val="16"/>
          <w:szCs w:val="16"/>
          <w:lang w:val="en-US"/>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gramStart"/>
      <w:r w:rsidRPr="00E405CC">
        <w:rPr>
          <w:rFonts w:asciiTheme="majorHAnsi" w:hAnsiTheme="majorHAnsi"/>
          <w:color w:val="000000" w:themeColor="text1"/>
          <w:sz w:val="16"/>
          <w:szCs w:val="16"/>
        </w:rPr>
        <w:t xml:space="preserve">Steering Committee for the Review of Government Service </w:t>
      </w:r>
      <w:r w:rsidRPr="00D91E86">
        <w:rPr>
          <w:rFonts w:asciiTheme="majorHAnsi" w:hAnsiTheme="majorHAnsi"/>
          <w:color w:val="000000" w:themeColor="text1"/>
          <w:sz w:val="16"/>
          <w:szCs w:val="16"/>
        </w:rPr>
        <w:t xml:space="preserve">Provision, </w:t>
      </w:r>
      <w:r w:rsidRPr="00D91E86">
        <w:rPr>
          <w:rFonts w:asciiTheme="majorHAnsi" w:hAnsiTheme="majorHAnsi"/>
          <w:color w:val="000000" w:themeColor="text1"/>
          <w:sz w:val="16"/>
          <w:szCs w:val="16"/>
          <w:lang w:val="en-US"/>
        </w:rPr>
        <w:t>above note 4,</w:t>
      </w:r>
      <w:r w:rsidRPr="00D91E86">
        <w:rPr>
          <w:rFonts w:asciiTheme="majorHAnsi" w:hAnsiTheme="majorHAnsi"/>
          <w:i/>
          <w:color w:val="000000" w:themeColor="text1"/>
          <w:sz w:val="16"/>
          <w:szCs w:val="16"/>
          <w:lang w:val="en-US"/>
        </w:rPr>
        <w:t xml:space="preserve"> </w:t>
      </w:r>
      <w:r>
        <w:rPr>
          <w:rFonts w:asciiTheme="majorHAnsi" w:hAnsiTheme="majorHAnsi"/>
          <w:color w:val="000000" w:themeColor="text1"/>
          <w:sz w:val="16"/>
          <w:szCs w:val="16"/>
        </w:rPr>
        <w:t xml:space="preserve">p </w:t>
      </w:r>
      <w:r w:rsidRPr="00E405CC">
        <w:rPr>
          <w:rFonts w:asciiTheme="majorHAnsi" w:hAnsiTheme="majorHAnsi"/>
          <w:color w:val="000000" w:themeColor="text1"/>
          <w:sz w:val="16"/>
          <w:szCs w:val="16"/>
        </w:rPr>
        <w:t>25.</w:t>
      </w:r>
      <w:proofErr w:type="gramEnd"/>
    </w:p>
  </w:endnote>
  <w:endnote w:id="221">
    <w:p w14:paraId="08CF2160" w14:textId="386BA0C9"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spellStart"/>
      <w:r>
        <w:rPr>
          <w:rFonts w:asciiTheme="majorHAnsi" w:hAnsiTheme="majorHAnsi" w:cs="Calibri"/>
          <w:sz w:val="16"/>
          <w:szCs w:val="16"/>
        </w:rPr>
        <w:t>Indig</w:t>
      </w:r>
      <w:proofErr w:type="spellEnd"/>
      <w:r>
        <w:rPr>
          <w:rFonts w:asciiTheme="majorHAnsi" w:hAnsiTheme="majorHAnsi" w:cs="Calibri"/>
          <w:sz w:val="16"/>
          <w:szCs w:val="16"/>
        </w:rPr>
        <w:t xml:space="preserve"> D, </w:t>
      </w:r>
      <w:proofErr w:type="spellStart"/>
      <w:r>
        <w:rPr>
          <w:rFonts w:asciiTheme="majorHAnsi" w:hAnsiTheme="majorHAnsi" w:cs="Calibri"/>
          <w:sz w:val="16"/>
          <w:szCs w:val="16"/>
        </w:rPr>
        <w:t>McEntyre</w:t>
      </w:r>
      <w:proofErr w:type="spellEnd"/>
      <w:r>
        <w:rPr>
          <w:rFonts w:asciiTheme="majorHAnsi" w:hAnsiTheme="majorHAnsi" w:cs="Calibri"/>
          <w:sz w:val="16"/>
          <w:szCs w:val="16"/>
        </w:rPr>
        <w:t xml:space="preserve"> E, Page J and</w:t>
      </w:r>
      <w:r w:rsidRPr="00E405CC">
        <w:rPr>
          <w:rFonts w:asciiTheme="majorHAnsi" w:hAnsiTheme="majorHAnsi" w:cs="Calibri"/>
          <w:sz w:val="16"/>
          <w:szCs w:val="16"/>
        </w:rPr>
        <w:t xml:space="preserve"> Ross B, </w:t>
      </w:r>
      <w:r w:rsidRPr="00E405CC">
        <w:rPr>
          <w:rFonts w:asciiTheme="majorHAnsi" w:hAnsiTheme="majorHAnsi" w:cs="Calibri"/>
          <w:i/>
          <w:sz w:val="16"/>
          <w:szCs w:val="16"/>
        </w:rPr>
        <w:t>2009 NSW Inmate Health Survey: Aboriginal Health Report Appendix of Results</w:t>
      </w:r>
      <w:r w:rsidRPr="00E405CC">
        <w:rPr>
          <w:rFonts w:asciiTheme="majorHAnsi" w:hAnsiTheme="majorHAnsi" w:cs="Calibri"/>
          <w:sz w:val="16"/>
          <w:szCs w:val="16"/>
        </w:rPr>
        <w:t>, 2</w:t>
      </w:r>
      <w:r>
        <w:rPr>
          <w:rFonts w:asciiTheme="majorHAnsi" w:hAnsiTheme="majorHAnsi" w:cs="Calibri"/>
          <w:sz w:val="16"/>
          <w:szCs w:val="16"/>
        </w:rPr>
        <w:t xml:space="preserve">010, p 69 (Table 5.6.33). </w:t>
      </w:r>
      <w:proofErr w:type="gramStart"/>
      <w:r>
        <w:rPr>
          <w:rFonts w:asciiTheme="majorHAnsi" w:hAnsiTheme="majorHAnsi" w:cs="Calibri"/>
          <w:sz w:val="16"/>
          <w:szCs w:val="16"/>
        </w:rPr>
        <w:t xml:space="preserve">URL </w:t>
      </w:r>
      <w:hyperlink r:id="rId65" w:history="1">
        <w:r w:rsidRPr="00E405CC">
          <w:rPr>
            <w:rStyle w:val="Hyperlink"/>
            <w:rFonts w:asciiTheme="majorHAnsi" w:hAnsiTheme="majorHAnsi" w:cs="Calibri"/>
            <w:sz w:val="16"/>
            <w:szCs w:val="16"/>
          </w:rPr>
          <w:t>www.justicehealth.nsw.gov.au/about-us/publications/inmate-health-survey-aboriginal-health-report-appendix.pdf</w:t>
        </w:r>
      </w:hyperlink>
      <w:r w:rsidRPr="00E405CC">
        <w:rPr>
          <w:rStyle w:val="Hyperlink"/>
          <w:rFonts w:asciiTheme="majorHAnsi" w:hAnsiTheme="majorHAnsi" w:cs="Calibri"/>
          <w:sz w:val="16"/>
          <w:szCs w:val="16"/>
        </w:rPr>
        <w:t>.</w:t>
      </w:r>
      <w:proofErr w:type="gramEnd"/>
      <w:r w:rsidRPr="00E405CC">
        <w:rPr>
          <w:rFonts w:asciiTheme="majorHAnsi" w:hAnsiTheme="majorHAnsi" w:cs="Calibri"/>
          <w:sz w:val="16"/>
          <w:szCs w:val="16"/>
        </w:rPr>
        <w:t xml:space="preserve"> </w:t>
      </w:r>
    </w:p>
  </w:endnote>
  <w:endnote w:id="222">
    <w:p w14:paraId="0D40275C" w14:textId="791885AC" w:rsidR="00EB2441" w:rsidRPr="00E405CC" w:rsidRDefault="00EB2441" w:rsidP="00560FB2">
      <w:pPr>
        <w:pStyle w:val="EndnoteText"/>
        <w:rPr>
          <w:rFonts w:asciiTheme="majorHAnsi" w:hAnsiTheme="majorHAnsi"/>
          <w:sz w:val="16"/>
          <w:szCs w:val="16"/>
        </w:rPr>
      </w:pPr>
      <w:r w:rsidRPr="00E405CC">
        <w:rPr>
          <w:rStyle w:val="EndnoteReference"/>
          <w:rFonts w:asciiTheme="majorHAnsi" w:hAnsiTheme="majorHAnsi"/>
          <w:sz w:val="16"/>
          <w:szCs w:val="16"/>
        </w:rPr>
        <w:endnoteRef/>
      </w:r>
      <w:r w:rsidRPr="00E405CC">
        <w:rPr>
          <w:rFonts w:asciiTheme="majorHAnsi" w:hAnsiTheme="majorHAnsi"/>
          <w:sz w:val="16"/>
          <w:szCs w:val="16"/>
        </w:rPr>
        <w:t xml:space="preserve"> </w:t>
      </w:r>
      <w:proofErr w:type="spellStart"/>
      <w:proofErr w:type="gramStart"/>
      <w:r w:rsidRPr="00E405CC">
        <w:rPr>
          <w:rFonts w:asciiTheme="majorHAnsi" w:hAnsiTheme="majorHAnsi" w:cs="Calibri"/>
          <w:sz w:val="16"/>
          <w:szCs w:val="16"/>
        </w:rPr>
        <w:t>Indig</w:t>
      </w:r>
      <w:proofErr w:type="spellEnd"/>
      <w:r w:rsidRPr="00E405CC">
        <w:rPr>
          <w:rFonts w:asciiTheme="majorHAnsi" w:hAnsiTheme="majorHAnsi" w:cs="Calibri"/>
          <w:sz w:val="16"/>
          <w:szCs w:val="16"/>
        </w:rPr>
        <w:t xml:space="preserve"> </w:t>
      </w:r>
      <w:r>
        <w:rPr>
          <w:rFonts w:asciiTheme="majorHAnsi" w:hAnsiTheme="majorHAnsi" w:cs="Calibri"/>
          <w:sz w:val="16"/>
          <w:szCs w:val="16"/>
        </w:rPr>
        <w:t>et al, above note 221, p 81 (Table 6.1.2).</w:t>
      </w:r>
      <w:proofErr w:type="gramEnd"/>
    </w:p>
  </w:endnote>
  <w:endnote w:id="223">
    <w:p w14:paraId="7132B2D6" w14:textId="46277B85" w:rsidR="00EB2441" w:rsidRPr="00E405CC" w:rsidRDefault="00EB2441">
      <w:pPr>
        <w:pStyle w:val="EndnoteText"/>
        <w:rPr>
          <w:rFonts w:asciiTheme="majorHAnsi" w:hAnsiTheme="majorHAnsi" w:cstheme="majorHAnsi"/>
          <w:sz w:val="16"/>
          <w:szCs w:val="16"/>
        </w:rPr>
      </w:pPr>
      <w:r w:rsidRPr="00761B1A">
        <w:rPr>
          <w:rStyle w:val="EndnoteReference"/>
          <w:rFonts w:asciiTheme="majorHAnsi" w:hAnsiTheme="majorHAnsi" w:cstheme="majorHAnsi"/>
          <w:sz w:val="16"/>
          <w:szCs w:val="16"/>
        </w:rPr>
        <w:endnoteRef/>
      </w:r>
      <w:r w:rsidRPr="00761B1A">
        <w:rPr>
          <w:rFonts w:asciiTheme="majorHAnsi" w:hAnsiTheme="majorHAnsi" w:cstheme="majorHAnsi"/>
          <w:sz w:val="16"/>
          <w:szCs w:val="16"/>
        </w:rPr>
        <w:t xml:space="preserve"> </w:t>
      </w:r>
      <w:proofErr w:type="gramStart"/>
      <w:r w:rsidRPr="00761B1A">
        <w:rPr>
          <w:rFonts w:asciiTheme="majorHAnsi" w:hAnsiTheme="majorHAnsi" w:cstheme="majorHAnsi"/>
          <w:sz w:val="16"/>
          <w:szCs w:val="16"/>
        </w:rPr>
        <w:t xml:space="preserve">Australian Institute of Health and Welfare, </w:t>
      </w:r>
      <w:r w:rsidRPr="00761B1A">
        <w:rPr>
          <w:rFonts w:asciiTheme="majorHAnsi" w:hAnsiTheme="majorHAnsi" w:cstheme="majorHAnsi"/>
          <w:i/>
          <w:sz w:val="16"/>
          <w:szCs w:val="16"/>
        </w:rPr>
        <w:t>Australia’s health 2014</w:t>
      </w:r>
      <w:r w:rsidRPr="00761B1A">
        <w:rPr>
          <w:rFonts w:asciiTheme="majorHAnsi" w:hAnsiTheme="majorHAnsi" w:cstheme="majorHAnsi"/>
          <w:sz w:val="16"/>
          <w:szCs w:val="16"/>
        </w:rPr>
        <w:t>, AIHW cat.</w:t>
      </w:r>
      <w:proofErr w:type="gramEnd"/>
      <w:r w:rsidRPr="00761B1A">
        <w:rPr>
          <w:rFonts w:asciiTheme="majorHAnsi" w:hAnsiTheme="majorHAnsi" w:cstheme="majorHAnsi"/>
          <w:sz w:val="16"/>
          <w:szCs w:val="16"/>
        </w:rPr>
        <w:t xml:space="preserve"> </w:t>
      </w:r>
      <w:proofErr w:type="gramStart"/>
      <w:r w:rsidRPr="00761B1A">
        <w:rPr>
          <w:rFonts w:asciiTheme="majorHAnsi" w:hAnsiTheme="majorHAnsi" w:cstheme="majorHAnsi"/>
          <w:sz w:val="16"/>
          <w:szCs w:val="16"/>
        </w:rPr>
        <w:t>no</w:t>
      </w:r>
      <w:proofErr w:type="gramEnd"/>
      <w:r w:rsidRPr="00761B1A">
        <w:rPr>
          <w:rFonts w:asciiTheme="majorHAnsi" w:hAnsiTheme="majorHAnsi" w:cstheme="majorHAnsi"/>
          <w:sz w:val="16"/>
          <w:szCs w:val="16"/>
        </w:rPr>
        <w:t xml:space="preserve">. </w:t>
      </w:r>
      <w:proofErr w:type="gramStart"/>
      <w:r w:rsidRPr="00761B1A">
        <w:rPr>
          <w:rFonts w:asciiTheme="majorHAnsi" w:hAnsiTheme="majorHAnsi" w:cstheme="majorHAnsi"/>
          <w:sz w:val="16"/>
          <w:szCs w:val="16"/>
        </w:rPr>
        <w:t>AUS 178, 2014</w:t>
      </w:r>
      <w:r>
        <w:rPr>
          <w:rFonts w:asciiTheme="majorHAnsi" w:hAnsiTheme="majorHAnsi" w:cstheme="majorHAnsi"/>
          <w:sz w:val="16"/>
          <w:szCs w:val="16"/>
        </w:rPr>
        <w:t>, p 336</w:t>
      </w:r>
      <w:r w:rsidRPr="00761B1A">
        <w:rPr>
          <w:rFonts w:asciiTheme="majorHAnsi" w:hAnsiTheme="majorHAnsi" w:cstheme="majorHAnsi"/>
          <w:sz w:val="16"/>
          <w:szCs w:val="16"/>
        </w:rPr>
        <w:t>.</w:t>
      </w:r>
      <w:proofErr w:type="gramEnd"/>
      <w:r w:rsidRPr="00761B1A">
        <w:rPr>
          <w:rFonts w:asciiTheme="majorHAnsi" w:hAnsiTheme="majorHAnsi" w:cstheme="majorHAnsi"/>
          <w:sz w:val="16"/>
          <w:szCs w:val="16"/>
        </w:rPr>
        <w:t xml:space="preserve"> </w:t>
      </w:r>
      <w:proofErr w:type="gramStart"/>
      <w:r w:rsidRPr="00761B1A">
        <w:rPr>
          <w:rFonts w:asciiTheme="majorHAnsi" w:hAnsiTheme="majorHAnsi" w:cstheme="majorHAnsi"/>
          <w:sz w:val="16"/>
          <w:szCs w:val="16"/>
        </w:rPr>
        <w:t xml:space="preserve">URL </w:t>
      </w:r>
      <w:hyperlink r:id="rId66" w:history="1">
        <w:r w:rsidRPr="00761B1A">
          <w:rPr>
            <w:rStyle w:val="Hyperlink"/>
            <w:rFonts w:asciiTheme="majorHAnsi" w:hAnsiTheme="majorHAnsi" w:cstheme="majorHAnsi"/>
            <w:sz w:val="16"/>
            <w:szCs w:val="16"/>
          </w:rPr>
          <w:t>http://aihw.gov.au/publication-detail/?id=60129547205</w:t>
        </w:r>
      </w:hyperlink>
      <w:r>
        <w:rPr>
          <w:rFonts w:asciiTheme="majorHAnsi" w:hAnsiTheme="majorHAnsi" w:cstheme="majorHAnsi"/>
          <w:sz w:val="16"/>
          <w:szCs w:val="16"/>
        </w:rPr>
        <w:t>.</w:t>
      </w:r>
      <w:proofErr w:type="gramEnd"/>
    </w:p>
  </w:endnote>
  <w:endnote w:id="224">
    <w:p w14:paraId="4103A158" w14:textId="7764F397" w:rsidR="00EB2441" w:rsidRPr="00E405CC" w:rsidRDefault="00EB2441">
      <w:pPr>
        <w:pStyle w:val="EndnoteText"/>
        <w:rPr>
          <w:rFonts w:asciiTheme="majorHAnsi" w:hAnsiTheme="majorHAnsi" w:cstheme="majorHAnsi"/>
          <w:sz w:val="16"/>
          <w:szCs w:val="16"/>
        </w:rPr>
      </w:pPr>
      <w:r w:rsidRPr="00761B1A">
        <w:rPr>
          <w:rFonts w:asciiTheme="majorHAnsi" w:hAnsiTheme="majorHAnsi" w:cstheme="majorHAnsi"/>
          <w:sz w:val="16"/>
          <w:szCs w:val="16"/>
          <w:vertAlign w:val="superscript"/>
        </w:rPr>
        <w:endnoteRef/>
      </w:r>
      <w:r w:rsidRPr="00761B1A">
        <w:rPr>
          <w:rFonts w:asciiTheme="majorHAnsi" w:hAnsiTheme="majorHAnsi" w:cstheme="majorHAnsi"/>
          <w:sz w:val="16"/>
          <w:szCs w:val="16"/>
          <w:vertAlign w:val="superscript"/>
        </w:rPr>
        <w:t xml:space="preserve"> </w:t>
      </w:r>
      <w:proofErr w:type="gramStart"/>
      <w:r w:rsidRPr="00761B1A">
        <w:rPr>
          <w:rFonts w:asciiTheme="majorHAnsi" w:hAnsiTheme="majorHAnsi" w:cstheme="majorHAnsi"/>
          <w:sz w:val="16"/>
          <w:szCs w:val="16"/>
          <w:lang w:val="en-US"/>
        </w:rPr>
        <w:t>Australian Institute of Health and Welfare, above note 223, p 336.</w:t>
      </w:r>
      <w:proofErr w:type="gramEnd"/>
    </w:p>
  </w:endnote>
  <w:endnote w:id="225">
    <w:p w14:paraId="2B6DF0B3" w14:textId="6EF50ECD" w:rsidR="00EB2441" w:rsidRPr="00DF35AF" w:rsidRDefault="00EB2441" w:rsidP="00560FB2">
      <w:pPr>
        <w:pStyle w:val="EndnoteText"/>
        <w:rPr>
          <w:rFonts w:asciiTheme="majorHAnsi" w:hAnsiTheme="majorHAnsi"/>
          <w:color w:val="000000" w:themeColor="text1"/>
          <w:sz w:val="16"/>
          <w:szCs w:val="16"/>
        </w:rPr>
      </w:pPr>
      <w:r w:rsidRPr="00DF35AF">
        <w:rPr>
          <w:rStyle w:val="EndnoteReference"/>
          <w:rFonts w:asciiTheme="majorHAnsi" w:hAnsiTheme="majorHAnsi"/>
          <w:sz w:val="16"/>
          <w:szCs w:val="16"/>
        </w:rPr>
        <w:endnoteRef/>
      </w:r>
      <w:r w:rsidRPr="00DF35AF">
        <w:rPr>
          <w:rFonts w:asciiTheme="majorHAnsi" w:hAnsiTheme="majorHAnsi"/>
          <w:sz w:val="16"/>
          <w:szCs w:val="16"/>
        </w:rPr>
        <w:t xml:space="preserve"> </w:t>
      </w:r>
      <w:proofErr w:type="gramStart"/>
      <w:r>
        <w:rPr>
          <w:rFonts w:asciiTheme="majorHAnsi" w:hAnsiTheme="majorHAnsi"/>
          <w:color w:val="000000" w:themeColor="text1"/>
          <w:sz w:val="16"/>
          <w:szCs w:val="16"/>
        </w:rPr>
        <w:t xml:space="preserve">NSW </w:t>
      </w:r>
      <w:r w:rsidRPr="00DF35AF">
        <w:rPr>
          <w:rFonts w:asciiTheme="majorHAnsi" w:hAnsiTheme="majorHAnsi"/>
          <w:color w:val="000000" w:themeColor="text1"/>
          <w:sz w:val="16"/>
          <w:szCs w:val="16"/>
        </w:rPr>
        <w:t xml:space="preserve">Health, </w:t>
      </w:r>
      <w:r w:rsidRPr="00DF35AF">
        <w:rPr>
          <w:rFonts w:asciiTheme="majorHAnsi" w:hAnsiTheme="majorHAnsi"/>
          <w:i/>
          <w:color w:val="000000" w:themeColor="text1"/>
          <w:sz w:val="16"/>
          <w:szCs w:val="16"/>
        </w:rPr>
        <w:t>Aboriginal Health Impact Statement and Guidelines</w:t>
      </w:r>
      <w:r>
        <w:rPr>
          <w:rFonts w:asciiTheme="majorHAnsi" w:hAnsiTheme="majorHAnsi"/>
          <w:color w:val="000000" w:themeColor="text1"/>
          <w:sz w:val="16"/>
          <w:szCs w:val="16"/>
        </w:rPr>
        <w:t>, 2007.</w:t>
      </w:r>
      <w:proofErr w:type="gramEnd"/>
      <w:r>
        <w:rPr>
          <w:rFonts w:asciiTheme="majorHAnsi" w:hAnsiTheme="majorHAnsi"/>
          <w:color w:val="000000" w:themeColor="text1"/>
          <w:sz w:val="16"/>
          <w:szCs w:val="16"/>
        </w:rPr>
        <w:t xml:space="preserve"> URL </w:t>
      </w:r>
      <w:hyperlink r:id="rId67" w:history="1">
        <w:r w:rsidRPr="005176A0">
          <w:rPr>
            <w:rStyle w:val="Hyperlink"/>
            <w:rFonts w:asciiTheme="majorHAnsi" w:hAnsiTheme="majorHAnsi"/>
            <w:sz w:val="16"/>
            <w:szCs w:val="16"/>
          </w:rPr>
          <w:t>http://www0.health.nsw.gov.au/policies/pd/2007/PD2007_082.html</w:t>
        </w:r>
      </w:hyperlink>
      <w:r>
        <w:rPr>
          <w:rFonts w:asciiTheme="majorHAnsi" w:hAnsiTheme="majorHAnsi"/>
          <w:color w:val="000000" w:themeColor="text1"/>
          <w:sz w:val="16"/>
          <w:szCs w:val="16"/>
        </w:rPr>
        <w:t xml:space="preserve">; </w:t>
      </w:r>
    </w:p>
  </w:endnote>
  <w:endnote w:id="226">
    <w:p w14:paraId="49D3DA3B" w14:textId="13184D69" w:rsidR="00EB2441" w:rsidRPr="00267B75" w:rsidRDefault="00EB2441">
      <w:pPr>
        <w:pStyle w:val="EndnoteText"/>
        <w:rPr>
          <w:rFonts w:asciiTheme="majorHAnsi" w:hAnsiTheme="majorHAnsi"/>
          <w:color w:val="000000" w:themeColor="text1"/>
          <w:sz w:val="16"/>
          <w:szCs w:val="16"/>
        </w:rPr>
      </w:pPr>
      <w:r w:rsidRPr="00267B75">
        <w:rPr>
          <w:rStyle w:val="EndnoteReference"/>
          <w:rFonts w:asciiTheme="majorHAnsi" w:hAnsiTheme="majorHAnsi"/>
          <w:sz w:val="16"/>
          <w:szCs w:val="16"/>
        </w:rPr>
        <w:endnoteRef/>
      </w:r>
      <w:r w:rsidRPr="00267B75">
        <w:rPr>
          <w:rFonts w:asciiTheme="majorHAnsi" w:hAnsiTheme="majorHAnsi"/>
          <w:sz w:val="16"/>
          <w:szCs w:val="16"/>
        </w:rPr>
        <w:t xml:space="preserve"> </w:t>
      </w:r>
      <w:proofErr w:type="gramStart"/>
      <w:r w:rsidRPr="00267B75">
        <w:rPr>
          <w:rFonts w:asciiTheme="majorHAnsi" w:hAnsiTheme="majorHAnsi"/>
          <w:color w:val="000000" w:themeColor="text1"/>
          <w:sz w:val="16"/>
          <w:szCs w:val="16"/>
        </w:rPr>
        <w:t xml:space="preserve">Department of Health (WA), </w:t>
      </w:r>
      <w:r w:rsidRPr="00267B75">
        <w:rPr>
          <w:rFonts w:asciiTheme="majorHAnsi" w:hAnsiTheme="majorHAnsi"/>
          <w:i/>
          <w:color w:val="000000" w:themeColor="text1"/>
          <w:sz w:val="16"/>
          <w:szCs w:val="16"/>
        </w:rPr>
        <w:t>Aboriginal Health Impact Statement and Declaration for WA Health</w:t>
      </w:r>
      <w:r w:rsidRPr="00267B75">
        <w:rPr>
          <w:rFonts w:asciiTheme="majorHAnsi" w:hAnsiTheme="majorHAnsi"/>
          <w:color w:val="000000" w:themeColor="text1"/>
          <w:sz w:val="16"/>
          <w:szCs w:val="16"/>
        </w:rPr>
        <w:t>, 2014.</w:t>
      </w:r>
      <w:proofErr w:type="gramEnd"/>
      <w:r w:rsidRPr="00267B75">
        <w:rPr>
          <w:rFonts w:asciiTheme="majorHAnsi" w:hAnsiTheme="majorHAnsi"/>
          <w:color w:val="000000" w:themeColor="text1"/>
          <w:sz w:val="16"/>
          <w:szCs w:val="16"/>
        </w:rPr>
        <w:t xml:space="preserve"> </w:t>
      </w:r>
      <w:proofErr w:type="gramStart"/>
      <w:r w:rsidRPr="00267B75">
        <w:rPr>
          <w:rFonts w:asciiTheme="majorHAnsi" w:hAnsiTheme="majorHAnsi"/>
          <w:color w:val="000000" w:themeColor="text1"/>
          <w:sz w:val="16"/>
          <w:szCs w:val="16"/>
        </w:rPr>
        <w:t xml:space="preserve">URL </w:t>
      </w:r>
      <w:hyperlink r:id="rId68" w:history="1">
        <w:r w:rsidRPr="00267B75">
          <w:rPr>
            <w:rStyle w:val="Hyperlink"/>
            <w:rFonts w:asciiTheme="majorHAnsi" w:hAnsiTheme="majorHAnsi"/>
            <w:sz w:val="16"/>
            <w:szCs w:val="16"/>
          </w:rPr>
          <w:t>http://www.aboriginal.health.wa.gov.au/docs/AboriginalHealthImpactStatementandDeclarationforWAHealth.pdf</w:t>
        </w:r>
      </w:hyperlink>
      <w:r w:rsidRPr="00267B75">
        <w:rPr>
          <w:rFonts w:asciiTheme="majorHAnsi" w:hAnsiTheme="majorHAnsi"/>
          <w:color w:val="000000" w:themeColor="text1"/>
          <w:sz w:val="16"/>
          <w:szCs w:val="16"/>
        </w:rPr>
        <w:t>.</w:t>
      </w:r>
      <w:proofErr w:type="gramEnd"/>
      <w:r w:rsidRPr="00267B75">
        <w:rPr>
          <w:rFonts w:asciiTheme="majorHAnsi" w:hAnsiTheme="majorHAnsi"/>
          <w:color w:val="000000" w:themeColor="text1"/>
          <w:sz w:val="16"/>
          <w:szCs w:val="16"/>
        </w:rPr>
        <w:t xml:space="preserve"> </w:t>
      </w:r>
    </w:p>
  </w:endnote>
  <w:endnote w:id="227">
    <w:p w14:paraId="1683E443" w14:textId="59B32D90" w:rsidR="00EB2441" w:rsidRPr="00267B75" w:rsidRDefault="00EB2441" w:rsidP="00267B75">
      <w:pPr>
        <w:pStyle w:val="EndnoteText"/>
        <w:rPr>
          <w:rFonts w:asciiTheme="majorHAnsi" w:hAnsiTheme="majorHAnsi"/>
          <w:color w:val="000000" w:themeColor="text1"/>
          <w:sz w:val="16"/>
          <w:szCs w:val="16"/>
        </w:rPr>
      </w:pPr>
      <w:r w:rsidRPr="00267B75">
        <w:rPr>
          <w:rFonts w:asciiTheme="majorHAnsi" w:hAnsiTheme="majorHAnsi"/>
          <w:color w:val="000000" w:themeColor="text1"/>
          <w:sz w:val="16"/>
          <w:szCs w:val="16"/>
          <w:vertAlign w:val="superscript"/>
        </w:rPr>
        <w:endnoteRef/>
      </w:r>
      <w:r w:rsidRPr="00267B75">
        <w:rPr>
          <w:rFonts w:asciiTheme="majorHAnsi" w:hAnsiTheme="majorHAnsi"/>
          <w:color w:val="000000" w:themeColor="text1"/>
          <w:sz w:val="16"/>
          <w:szCs w:val="16"/>
          <w:vertAlign w:val="superscript"/>
        </w:rPr>
        <w:t xml:space="preserve"> </w:t>
      </w:r>
      <w:r w:rsidRPr="00267B75">
        <w:rPr>
          <w:rFonts w:asciiTheme="majorHAnsi" w:hAnsiTheme="majorHAnsi"/>
          <w:color w:val="000000" w:themeColor="text1"/>
          <w:sz w:val="16"/>
          <w:szCs w:val="16"/>
        </w:rPr>
        <w:t xml:space="preserve">SA Health, </w:t>
      </w:r>
      <w:r w:rsidRPr="00267B75">
        <w:rPr>
          <w:rFonts w:asciiTheme="majorHAnsi" w:hAnsiTheme="majorHAnsi"/>
          <w:i/>
          <w:color w:val="000000" w:themeColor="text1"/>
          <w:sz w:val="16"/>
          <w:szCs w:val="16"/>
        </w:rPr>
        <w:t>Aboriginal Health Impact Statement Policy Directive</w:t>
      </w:r>
      <w:r w:rsidRPr="00267B75">
        <w:rPr>
          <w:rFonts w:asciiTheme="majorHAnsi" w:hAnsiTheme="majorHAnsi"/>
          <w:color w:val="000000" w:themeColor="text1"/>
          <w:sz w:val="16"/>
          <w:szCs w:val="16"/>
        </w:rPr>
        <w:t xml:space="preserve">, 2014. </w:t>
      </w:r>
      <w:proofErr w:type="gramStart"/>
      <w:r w:rsidRPr="00267B75">
        <w:rPr>
          <w:rFonts w:asciiTheme="majorHAnsi" w:hAnsiTheme="majorHAnsi"/>
          <w:color w:val="000000" w:themeColor="text1"/>
          <w:sz w:val="16"/>
          <w:szCs w:val="16"/>
        </w:rPr>
        <w:t xml:space="preserve">URL </w:t>
      </w:r>
      <w:hyperlink r:id="rId69" w:history="1">
        <w:r w:rsidRPr="00267B75">
          <w:rPr>
            <w:rStyle w:val="Hyperlink"/>
            <w:rFonts w:asciiTheme="majorHAnsi" w:hAnsiTheme="majorHAnsi"/>
            <w:sz w:val="16"/>
            <w:szCs w:val="16"/>
          </w:rPr>
          <w:t>http://www.sahealth.sa.gov.au/wps/wcm/connect/public+content/sa+health+internet/about+us/about+sa+health/aboriginal+health/aboriginal+health+impact+statement+policy+directive</w:t>
        </w:r>
      </w:hyperlink>
      <w:r w:rsidRPr="00267B75">
        <w:rPr>
          <w:rFonts w:asciiTheme="majorHAnsi" w:hAnsiTheme="majorHAnsi"/>
          <w:color w:val="000000" w:themeColor="text1"/>
          <w:sz w:val="16"/>
          <w:szCs w:val="16"/>
        </w:rPr>
        <w:t>.</w:t>
      </w:r>
      <w:proofErr w:type="gramEnd"/>
      <w:r w:rsidRPr="00267B75">
        <w:rPr>
          <w:rFonts w:asciiTheme="majorHAnsi" w:hAnsiTheme="majorHAnsi"/>
          <w:color w:val="000000" w:themeColor="text1"/>
          <w:sz w:val="16"/>
          <w:szCs w:val="16"/>
        </w:rPr>
        <w:t xml:space="preserve"> </w:t>
      </w:r>
    </w:p>
  </w:endnote>
  <w:endnote w:id="228">
    <w:p w14:paraId="5CD88C0B" w14:textId="35EB1193" w:rsidR="00EB2441" w:rsidRPr="00267B75" w:rsidRDefault="00EB2441" w:rsidP="00560FB2">
      <w:pPr>
        <w:pStyle w:val="EndnoteText"/>
        <w:rPr>
          <w:rFonts w:asciiTheme="majorHAnsi" w:hAnsiTheme="majorHAnsi"/>
          <w:color w:val="000000" w:themeColor="text1"/>
          <w:sz w:val="16"/>
          <w:szCs w:val="16"/>
        </w:rPr>
      </w:pPr>
      <w:r w:rsidRPr="00267B75">
        <w:rPr>
          <w:rFonts w:asciiTheme="majorHAnsi" w:hAnsiTheme="majorHAnsi"/>
          <w:color w:val="000000" w:themeColor="text1"/>
          <w:sz w:val="16"/>
          <w:szCs w:val="16"/>
          <w:vertAlign w:val="superscript"/>
        </w:rPr>
        <w:endnoteRef/>
      </w:r>
      <w:r w:rsidRPr="00267B75">
        <w:rPr>
          <w:rFonts w:asciiTheme="majorHAnsi" w:hAnsiTheme="majorHAnsi"/>
          <w:color w:val="000000" w:themeColor="text1"/>
          <w:sz w:val="16"/>
          <w:szCs w:val="16"/>
          <w:vertAlign w:val="superscript"/>
        </w:rPr>
        <w:t xml:space="preserve"> </w:t>
      </w:r>
      <w:proofErr w:type="gramStart"/>
      <w:r w:rsidRPr="00267B75">
        <w:rPr>
          <w:rFonts w:asciiTheme="majorHAnsi" w:hAnsiTheme="majorHAnsi"/>
          <w:color w:val="000000" w:themeColor="text1"/>
          <w:sz w:val="16"/>
          <w:szCs w:val="16"/>
        </w:rPr>
        <w:t>NSW Health, above note 225; Department of Health (WA), above note 226; SA Health, above note 227.</w:t>
      </w:r>
      <w:proofErr w:type="gramEnd"/>
    </w:p>
  </w:endnote>
  <w:endnote w:id="229">
    <w:p w14:paraId="30D08441" w14:textId="0B382F10" w:rsidR="00EB2441" w:rsidRPr="00646DB3" w:rsidRDefault="00EB2441">
      <w:pPr>
        <w:pStyle w:val="EndnoteText"/>
        <w:rPr>
          <w:rFonts w:asciiTheme="majorHAnsi" w:hAnsiTheme="majorHAnsi" w:cstheme="majorHAnsi"/>
          <w:sz w:val="16"/>
          <w:szCs w:val="16"/>
        </w:rPr>
      </w:pPr>
      <w:r w:rsidRPr="00646DB3">
        <w:rPr>
          <w:rStyle w:val="EndnoteReference"/>
          <w:rFonts w:asciiTheme="majorHAnsi" w:hAnsiTheme="majorHAnsi" w:cstheme="majorHAnsi"/>
          <w:sz w:val="16"/>
          <w:szCs w:val="16"/>
        </w:rPr>
        <w:endnoteRef/>
      </w:r>
      <w:r w:rsidRPr="00646DB3">
        <w:rPr>
          <w:rFonts w:asciiTheme="majorHAnsi" w:hAnsiTheme="majorHAnsi" w:cstheme="majorHAnsi"/>
          <w:sz w:val="16"/>
          <w:szCs w:val="16"/>
        </w:rPr>
        <w:t xml:space="preserve"> </w:t>
      </w:r>
      <w:r>
        <w:rPr>
          <w:rFonts w:asciiTheme="majorHAnsi" w:hAnsiTheme="majorHAnsi" w:cstheme="majorHAnsi"/>
          <w:sz w:val="16"/>
          <w:szCs w:val="16"/>
        </w:rPr>
        <w:t xml:space="preserve">Nash Hon. F, </w:t>
      </w:r>
      <w:r w:rsidRPr="00646DB3">
        <w:rPr>
          <w:rFonts w:asciiTheme="majorHAnsi" w:hAnsiTheme="majorHAnsi" w:cstheme="majorHAnsi"/>
          <w:i/>
          <w:sz w:val="16"/>
          <w:szCs w:val="16"/>
        </w:rPr>
        <w:t>National Indigenous Health Plan to Focus on Outcomes</w:t>
      </w:r>
      <w:r>
        <w:rPr>
          <w:rFonts w:asciiTheme="majorHAnsi" w:hAnsiTheme="majorHAnsi" w:cstheme="majorHAnsi"/>
          <w:sz w:val="16"/>
          <w:szCs w:val="16"/>
        </w:rPr>
        <w:t xml:space="preserve">, 30 May 2014, (Media Release). URL </w:t>
      </w:r>
      <w:hyperlink r:id="rId70" w:history="1">
        <w:r w:rsidRPr="005176A0">
          <w:rPr>
            <w:rStyle w:val="Hyperlink"/>
            <w:rFonts w:asciiTheme="majorHAnsi" w:hAnsiTheme="majorHAnsi" w:cstheme="majorHAnsi"/>
            <w:sz w:val="16"/>
            <w:szCs w:val="16"/>
          </w:rPr>
          <w:t>http://www.health.gov.au/internet/ministers/publishing.nsf/Content/health-mediarel-yr2014-nash023.htm?OpenDocument&amp;yr=2014&amp;mth=05</w:t>
        </w:r>
      </w:hyperlink>
      <w:r>
        <w:rPr>
          <w:rFonts w:asciiTheme="majorHAnsi" w:hAnsiTheme="majorHAnsi" w:cstheme="majorHAnsi"/>
          <w:sz w:val="16"/>
          <w:szCs w:val="16"/>
        </w:rPr>
        <w:t xml:space="preserve">; </w:t>
      </w:r>
      <w:r w:rsidRPr="00646DB3">
        <w:rPr>
          <w:rFonts w:asciiTheme="majorHAnsi" w:hAnsiTheme="majorHAnsi" w:cstheme="majorHAnsi"/>
          <w:sz w:val="16"/>
          <w:szCs w:val="16"/>
        </w:rPr>
        <w:t xml:space="preserve">Nash Hon. F, </w:t>
      </w:r>
      <w:r w:rsidRPr="00646DB3">
        <w:rPr>
          <w:rFonts w:asciiTheme="majorHAnsi" w:hAnsiTheme="majorHAnsi" w:cs="Times"/>
          <w:i/>
          <w:color w:val="1A1A1A"/>
          <w:sz w:val="16"/>
          <w:szCs w:val="16"/>
        </w:rPr>
        <w:t xml:space="preserve">Another Step </w:t>
      </w:r>
      <w:proofErr w:type="gramStart"/>
      <w:r w:rsidRPr="00646DB3">
        <w:rPr>
          <w:rFonts w:asciiTheme="majorHAnsi" w:hAnsiTheme="majorHAnsi" w:cs="Times"/>
          <w:i/>
          <w:color w:val="1A1A1A"/>
          <w:sz w:val="16"/>
          <w:szCs w:val="16"/>
        </w:rPr>
        <w:t>Towards</w:t>
      </w:r>
      <w:proofErr w:type="gramEnd"/>
      <w:r w:rsidRPr="00646DB3">
        <w:rPr>
          <w:rFonts w:asciiTheme="majorHAnsi" w:hAnsiTheme="majorHAnsi" w:cs="Times"/>
          <w:i/>
          <w:color w:val="1A1A1A"/>
          <w:sz w:val="16"/>
          <w:szCs w:val="16"/>
        </w:rPr>
        <w:t xml:space="preserve"> Indigenous Health Equality</w:t>
      </w:r>
      <w:r>
        <w:rPr>
          <w:rFonts w:asciiTheme="majorHAnsi" w:hAnsiTheme="majorHAnsi" w:cs="Times"/>
          <w:color w:val="1A1A1A"/>
          <w:sz w:val="16"/>
          <w:szCs w:val="16"/>
        </w:rPr>
        <w:t xml:space="preserve">, 24 June 2014, (Media Release). </w:t>
      </w:r>
      <w:proofErr w:type="gramStart"/>
      <w:r>
        <w:rPr>
          <w:rFonts w:asciiTheme="majorHAnsi" w:hAnsiTheme="majorHAnsi" w:cs="Times"/>
          <w:color w:val="1A1A1A"/>
          <w:sz w:val="16"/>
          <w:szCs w:val="16"/>
        </w:rPr>
        <w:t xml:space="preserve">URL </w:t>
      </w:r>
      <w:hyperlink r:id="rId71" w:history="1">
        <w:r w:rsidRPr="005176A0">
          <w:rPr>
            <w:rStyle w:val="Hyperlink"/>
            <w:rFonts w:asciiTheme="majorHAnsi" w:hAnsiTheme="majorHAnsi" w:cs="Times"/>
            <w:sz w:val="16"/>
            <w:szCs w:val="16"/>
          </w:rPr>
          <w:t>http://www.health.gov.au/internet/ministers/publishing.nsf/Content/health-mediarel-yr2014-nash030.htm?OpenDocument&amp;yr=2014&amp;mth=06</w:t>
        </w:r>
      </w:hyperlink>
      <w:r>
        <w:rPr>
          <w:rFonts w:asciiTheme="majorHAnsi" w:hAnsiTheme="majorHAnsi" w:cs="Times"/>
          <w:color w:val="1A1A1A"/>
          <w:sz w:val="16"/>
          <w:szCs w:val="16"/>
        </w:rPr>
        <w:t>.</w:t>
      </w:r>
      <w:proofErr w:type="gramEnd"/>
      <w:r>
        <w:rPr>
          <w:rFonts w:asciiTheme="majorHAnsi" w:hAnsiTheme="majorHAnsi" w:cs="Times"/>
          <w:color w:val="1A1A1A"/>
          <w:sz w:val="16"/>
          <w:szCs w:val="16"/>
        </w:rPr>
        <w:t xml:space="preserve"> </w:t>
      </w:r>
    </w:p>
  </w:endnote>
  <w:endnote w:id="230">
    <w:p w14:paraId="0370B27C" w14:textId="25EE062C" w:rsidR="00EB2441" w:rsidRPr="00A45302" w:rsidRDefault="00EB2441">
      <w:pPr>
        <w:pStyle w:val="EndnoteText"/>
        <w:rPr>
          <w:rFonts w:asciiTheme="majorHAnsi" w:hAnsiTheme="majorHAnsi" w:cstheme="majorHAnsi"/>
          <w:sz w:val="16"/>
          <w:szCs w:val="16"/>
        </w:rPr>
      </w:pPr>
      <w:r w:rsidRPr="00A45302">
        <w:rPr>
          <w:rStyle w:val="EndnoteReference"/>
          <w:rFonts w:asciiTheme="majorHAnsi" w:hAnsiTheme="majorHAnsi" w:cstheme="majorHAnsi"/>
          <w:sz w:val="16"/>
          <w:szCs w:val="16"/>
        </w:rPr>
        <w:endnoteRef/>
      </w:r>
      <w:r w:rsidRPr="00A45302">
        <w:rPr>
          <w:rFonts w:asciiTheme="majorHAnsi" w:hAnsiTheme="majorHAnsi" w:cstheme="majorHAnsi"/>
          <w:sz w:val="16"/>
          <w:szCs w:val="16"/>
        </w:rPr>
        <w:t xml:space="preserve"> </w:t>
      </w:r>
      <w:r w:rsidRPr="00A45302">
        <w:rPr>
          <w:rFonts w:asciiTheme="majorHAnsi" w:hAnsiTheme="majorHAnsi" w:cstheme="majorHAnsi"/>
          <w:sz w:val="16"/>
          <w:szCs w:val="16"/>
          <w:lang w:val="en-US"/>
        </w:rPr>
        <w:t>The NHLF members form the leadership group of the Campaign Steering Committee that supports the leadership of the Co-Chairs.</w:t>
      </w:r>
    </w:p>
  </w:endnote>
  <w:endnote w:id="231">
    <w:p w14:paraId="5875EFD3" w14:textId="2C55A1D5" w:rsidR="00EB2441" w:rsidRPr="00A45302" w:rsidRDefault="00EB2441">
      <w:pPr>
        <w:pStyle w:val="EndnoteText"/>
        <w:rPr>
          <w:rFonts w:asciiTheme="majorHAnsi" w:hAnsiTheme="majorHAnsi" w:cstheme="majorHAnsi"/>
          <w:sz w:val="16"/>
          <w:szCs w:val="16"/>
        </w:rPr>
      </w:pPr>
      <w:r w:rsidRPr="00A45302">
        <w:rPr>
          <w:rStyle w:val="EndnoteReference"/>
          <w:rFonts w:asciiTheme="majorHAnsi" w:hAnsiTheme="majorHAnsi" w:cstheme="majorHAnsi"/>
          <w:sz w:val="16"/>
          <w:szCs w:val="16"/>
        </w:rPr>
        <w:endnoteRef/>
      </w:r>
      <w:r w:rsidRPr="00A45302">
        <w:rPr>
          <w:rFonts w:asciiTheme="majorHAnsi" w:hAnsiTheme="majorHAnsi" w:cstheme="majorHAnsi"/>
          <w:sz w:val="16"/>
          <w:szCs w:val="16"/>
        </w:rPr>
        <w:t xml:space="preserve"> </w:t>
      </w:r>
      <w:r>
        <w:rPr>
          <w:rFonts w:asciiTheme="majorHAnsi" w:hAnsiTheme="majorHAnsi" w:cstheme="majorHAnsi"/>
          <w:sz w:val="16"/>
          <w:szCs w:val="16"/>
        </w:rPr>
        <w:t xml:space="preserve">Close the Gap Campaign Steering Committee, </w:t>
      </w:r>
      <w:r w:rsidRPr="00646DB3">
        <w:rPr>
          <w:rFonts w:asciiTheme="majorHAnsi" w:hAnsiTheme="majorHAnsi" w:cstheme="majorHAnsi"/>
          <w:i/>
          <w:sz w:val="16"/>
          <w:szCs w:val="16"/>
        </w:rPr>
        <w:t>National Indigenous Health Equality Targets</w:t>
      </w:r>
      <w:r>
        <w:rPr>
          <w:rFonts w:asciiTheme="majorHAnsi" w:hAnsiTheme="majorHAnsi" w:cstheme="majorHAnsi"/>
          <w:sz w:val="16"/>
          <w:szCs w:val="16"/>
        </w:rPr>
        <w:t xml:space="preserve">, 2008. </w:t>
      </w:r>
      <w:proofErr w:type="gramStart"/>
      <w:r>
        <w:rPr>
          <w:rFonts w:asciiTheme="majorHAnsi" w:hAnsiTheme="majorHAnsi" w:cstheme="majorHAnsi"/>
          <w:sz w:val="16"/>
          <w:szCs w:val="16"/>
        </w:rPr>
        <w:t xml:space="preserve">URL </w:t>
      </w:r>
      <w:hyperlink r:id="rId72" w:history="1">
        <w:r w:rsidRPr="005176A0">
          <w:rPr>
            <w:rStyle w:val="Hyperlink"/>
            <w:rFonts w:asciiTheme="majorHAnsi" w:hAnsiTheme="majorHAnsi" w:cstheme="majorHAnsi"/>
            <w:sz w:val="16"/>
            <w:szCs w:val="16"/>
          </w:rPr>
          <w:t>https://www.humanrights.gov.au/publications/closing-gap-national-indigenous-health-equality-targets-2008</w:t>
        </w:r>
      </w:hyperlink>
      <w:r>
        <w:rPr>
          <w:rFonts w:asciiTheme="majorHAnsi" w:hAnsiTheme="majorHAnsi" w:cstheme="majorHAnsi"/>
          <w:sz w:val="16"/>
          <w:szCs w:val="16"/>
        </w:rPr>
        <w:t>.</w:t>
      </w:r>
      <w:proofErr w:type="gramEnd"/>
      <w:r>
        <w:rPr>
          <w:rFonts w:asciiTheme="majorHAnsi" w:hAnsiTheme="majorHAnsi" w:cstheme="majorHAnsi"/>
          <w:sz w:val="16"/>
          <w:szCs w:val="16"/>
        </w:rPr>
        <w:t xml:space="preserve"> </w:t>
      </w:r>
    </w:p>
  </w:endnote>
  <w:endnote w:id="232">
    <w:p w14:paraId="7A817A8D" w14:textId="0151A8D0" w:rsidR="00EB2441" w:rsidRPr="00043646" w:rsidRDefault="00EB2441" w:rsidP="00454440">
      <w:pPr>
        <w:pStyle w:val="Default"/>
        <w:rPr>
          <w:rFonts w:asciiTheme="majorHAnsi" w:hAnsiTheme="majorHAnsi" w:cs="Calibri"/>
          <w:sz w:val="16"/>
          <w:szCs w:val="16"/>
        </w:rPr>
      </w:pPr>
      <w:r w:rsidRPr="00043646">
        <w:rPr>
          <w:rStyle w:val="EndnoteReference"/>
          <w:rFonts w:asciiTheme="majorHAnsi" w:hAnsiTheme="majorHAnsi" w:cs="Calibri"/>
          <w:sz w:val="16"/>
          <w:szCs w:val="16"/>
        </w:rPr>
        <w:endnoteRef/>
      </w:r>
      <w:r w:rsidRPr="00043646">
        <w:rPr>
          <w:rFonts w:asciiTheme="majorHAnsi" w:hAnsiTheme="majorHAnsi" w:cs="Calibri"/>
          <w:sz w:val="16"/>
          <w:szCs w:val="16"/>
        </w:rPr>
        <w:t xml:space="preserve"> </w:t>
      </w:r>
      <w:proofErr w:type="gramStart"/>
      <w:r w:rsidRPr="00043646">
        <w:rPr>
          <w:rFonts w:asciiTheme="majorHAnsi" w:hAnsiTheme="majorHAnsi"/>
          <w:sz w:val="16"/>
          <w:szCs w:val="16"/>
        </w:rPr>
        <w:t xml:space="preserve">Calma T, </w:t>
      </w:r>
      <w:r w:rsidRPr="00043646">
        <w:rPr>
          <w:rFonts w:asciiTheme="majorHAnsi" w:hAnsiTheme="majorHAnsi"/>
          <w:i/>
          <w:sz w:val="16"/>
          <w:szCs w:val="16"/>
        </w:rPr>
        <w:t>Social Justice Report 2005</w:t>
      </w:r>
      <w:r w:rsidRPr="00043646">
        <w:rPr>
          <w:rFonts w:asciiTheme="majorHAnsi" w:hAnsiTheme="majorHAnsi"/>
          <w:sz w:val="16"/>
          <w:szCs w:val="16"/>
        </w:rPr>
        <w:t>, 2005.</w:t>
      </w:r>
      <w:proofErr w:type="gramEnd"/>
      <w:r w:rsidRPr="00043646">
        <w:rPr>
          <w:rFonts w:asciiTheme="majorHAnsi" w:hAnsiTheme="majorHAnsi"/>
          <w:sz w:val="16"/>
          <w:szCs w:val="16"/>
        </w:rPr>
        <w:t xml:space="preserve"> </w:t>
      </w:r>
      <w:proofErr w:type="gramStart"/>
      <w:r w:rsidRPr="00043646">
        <w:rPr>
          <w:rFonts w:asciiTheme="majorHAnsi" w:hAnsiTheme="majorHAnsi"/>
          <w:sz w:val="16"/>
          <w:szCs w:val="16"/>
        </w:rPr>
        <w:t xml:space="preserve">URL </w:t>
      </w:r>
      <w:hyperlink r:id="rId73" w:history="1">
        <w:r w:rsidRPr="00043646">
          <w:rPr>
            <w:rStyle w:val="Hyperlink"/>
            <w:rFonts w:asciiTheme="majorHAnsi" w:hAnsiTheme="majorHAnsi"/>
            <w:sz w:val="16"/>
            <w:szCs w:val="16"/>
          </w:rPr>
          <w:t>https://www.humanrights.gov.au/publications/social-justice-report-2005-home</w:t>
        </w:r>
      </w:hyperlink>
      <w:r w:rsidRPr="00043646">
        <w:rPr>
          <w:rFonts w:asciiTheme="majorHAnsi" w:hAnsiTheme="majorHAnsi"/>
          <w:sz w:val="16"/>
          <w:szCs w:val="16"/>
        </w:rPr>
        <w:t>.</w:t>
      </w:r>
      <w:proofErr w:type="gramEnd"/>
    </w:p>
  </w:endnote>
  <w:endnote w:id="233">
    <w:p w14:paraId="54477D64" w14:textId="51EC76E2" w:rsidR="00EB2441" w:rsidRPr="00575B60" w:rsidRDefault="00EB2441" w:rsidP="00454440">
      <w:pPr>
        <w:pStyle w:val="EndnoteText"/>
        <w:rPr>
          <w:rFonts w:ascii="Calibri" w:hAnsi="Calibri"/>
          <w:sz w:val="16"/>
        </w:rPr>
      </w:pPr>
      <w:r w:rsidRPr="00B73434">
        <w:rPr>
          <w:rStyle w:val="EndnoteReference"/>
          <w:sz w:val="16"/>
          <w:szCs w:val="16"/>
        </w:rPr>
        <w:endnoteRef/>
      </w:r>
      <w:r w:rsidRPr="00B73434">
        <w:rPr>
          <w:rFonts w:ascii="Calibri" w:hAnsi="Calibri"/>
          <w:sz w:val="16"/>
          <w:szCs w:val="16"/>
        </w:rPr>
        <w:t xml:space="preserve"> More than 195,000 people have signed the pledge at the time of writing: Oxfam Australia, </w:t>
      </w:r>
      <w:r w:rsidRPr="00B73434">
        <w:rPr>
          <w:rFonts w:ascii="Calibri" w:hAnsi="Calibri"/>
          <w:i/>
          <w:sz w:val="16"/>
          <w:szCs w:val="16"/>
        </w:rPr>
        <w:t>Sign the Close the Gap Pledge</w:t>
      </w:r>
      <w:r w:rsidRPr="00B73434">
        <w:rPr>
          <w:rFonts w:ascii="Calibri" w:hAnsi="Calibri"/>
          <w:sz w:val="16"/>
          <w:szCs w:val="16"/>
        </w:rPr>
        <w:t xml:space="preserve">. </w:t>
      </w:r>
      <w:proofErr w:type="gramStart"/>
      <w:r w:rsidRPr="00B73434">
        <w:rPr>
          <w:rFonts w:ascii="Calibri" w:hAnsi="Calibri"/>
          <w:sz w:val="16"/>
          <w:szCs w:val="16"/>
        </w:rPr>
        <w:t>URL</w:t>
      </w:r>
      <w:r w:rsidRPr="00B73434">
        <w:rPr>
          <w:rFonts w:ascii="Calibri" w:hAnsi="Calibri"/>
          <w:sz w:val="16"/>
        </w:rPr>
        <w:t xml:space="preserve"> </w:t>
      </w:r>
      <w:hyperlink r:id="rId74" w:history="1">
        <w:r w:rsidRPr="00B73434">
          <w:rPr>
            <w:rStyle w:val="Hyperlink"/>
            <w:rFonts w:ascii="Calibri" w:hAnsi="Calibri"/>
            <w:sz w:val="16"/>
          </w:rPr>
          <w:t>https://www.oxfam.org.au/my/act/sign-the-close-the-gap-pledge</w:t>
        </w:r>
      </w:hyperlink>
      <w:r w:rsidRPr="00B73434">
        <w:rPr>
          <w:rFonts w:ascii="Calibri" w:hAnsi="Calibri"/>
          <w:sz w:val="16"/>
        </w:rPr>
        <w:t>.</w:t>
      </w:r>
      <w:proofErr w:type="gramEnd"/>
      <w:r>
        <w:rPr>
          <w:rFonts w:ascii="Calibri" w:hAnsi="Calibri"/>
          <w:sz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yriad Pro">
    <w:charset w:val="00"/>
    <w:family w:val="auto"/>
    <w:pitch w:val="variable"/>
    <w:sig w:usb0="20000287" w:usb1="00000001" w:usb2="00000000" w:usb3="00000000" w:csb0="0000019F" w:csb1="00000000"/>
  </w:font>
  <w:font w:name="Myriad Pro Light">
    <w:altName w:val="Myriad Pro Semibold It"/>
    <w:panose1 w:val="00000000000000000000"/>
    <w:charset w:val="4D"/>
    <w:family w:val="swiss"/>
    <w:notTrueType/>
    <w:pitch w:val="default"/>
    <w:sig w:usb0="00000003" w:usb1="00000000" w:usb2="00000000" w:usb3="00000000" w:csb0="00000001" w:csb1="00000000"/>
  </w:font>
  <w:font w:name="Archer">
    <w:altName w:val="Cambria"/>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yriadPro">
    <w:altName w:val="Times New Roman"/>
    <w:panose1 w:val="00000000000000000000"/>
    <w:charset w:val="00"/>
    <w:family w:val="roman"/>
    <w:notTrueType/>
    <w:pitch w:val="default"/>
  </w:font>
  <w:font w:name="Myriad-Roman">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New Roman">
    <w:altName w:val="Roman"/>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1DF41" w14:textId="77777777" w:rsidR="00EB2441" w:rsidRDefault="00EB24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5293F" w14:textId="77777777" w:rsidR="00EB2441" w:rsidRDefault="00EB2441" w:rsidP="00CF288A">
    <w:pPr>
      <w:pStyle w:val="Footer"/>
    </w:pPr>
    <w:r w:rsidRPr="0090165F">
      <w:fldChar w:fldCharType="begin"/>
    </w:r>
    <w:r>
      <w:instrText xml:space="preserve"> PAGE   \* MERGEFORMAT </w:instrText>
    </w:r>
    <w:r w:rsidRPr="0090165F">
      <w:fldChar w:fldCharType="separate"/>
    </w:r>
    <w:r w:rsidR="00FB0D9D">
      <w:rPr>
        <w:noProof/>
      </w:rPr>
      <w:t>40</w:t>
    </w:r>
    <w:r w:rsidRPr="0090165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4F514" w14:textId="77777777" w:rsidR="00EB2441" w:rsidRDefault="00EB2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7B1A6" w14:textId="77777777" w:rsidR="00EB2441" w:rsidRDefault="00EB2441" w:rsidP="00CF288A">
      <w:r>
        <w:separator/>
      </w:r>
    </w:p>
  </w:footnote>
  <w:footnote w:type="continuationSeparator" w:id="0">
    <w:p w14:paraId="472C5A55" w14:textId="77777777" w:rsidR="00EB2441" w:rsidRDefault="00EB2441" w:rsidP="00CF2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FD536" w14:textId="26C3FED7" w:rsidR="00EB2441" w:rsidRDefault="00EB2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D32A8" w14:textId="48143973" w:rsidR="00EB2441" w:rsidRDefault="00EB24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C5BB1" w14:textId="6764F2D0" w:rsidR="00EB2441" w:rsidRDefault="00EB2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329CA"/>
    <w:multiLevelType w:val="multilevel"/>
    <w:tmpl w:val="004A8DE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DA946A7"/>
    <w:multiLevelType w:val="hybridMultilevel"/>
    <w:tmpl w:val="72EAF4E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5B5F2F"/>
    <w:multiLevelType w:val="hybridMultilevel"/>
    <w:tmpl w:val="FDBA6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3962877"/>
    <w:multiLevelType w:val="hybridMultilevel"/>
    <w:tmpl w:val="D1B0CB74"/>
    <w:lvl w:ilvl="0" w:tplc="04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412D67"/>
    <w:multiLevelType w:val="hybridMultilevel"/>
    <w:tmpl w:val="1F2AF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4034815"/>
    <w:multiLevelType w:val="hybridMultilevel"/>
    <w:tmpl w:val="3C480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Tahom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Tahom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Tahoma"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70B7FBC"/>
    <w:multiLevelType w:val="multilevel"/>
    <w:tmpl w:val="28EC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627A6"/>
    <w:multiLevelType w:val="hybridMultilevel"/>
    <w:tmpl w:val="AE520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8DC2BDD"/>
    <w:multiLevelType w:val="hybridMultilevel"/>
    <w:tmpl w:val="E3A25E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993"/>
        </w:tabs>
        <w:ind w:left="993" w:hanging="851"/>
      </w:pPr>
      <w:rPr>
        <w:rFonts w:hint="default"/>
      </w:rPr>
    </w:lvl>
    <w:lvl w:ilvl="2">
      <w:start w:val="1"/>
      <w:numFmt w:val="lowerLetter"/>
      <w:pStyle w:val="Heading3"/>
      <w:lvlText w:val="(%3)"/>
      <w:lvlJc w:val="left"/>
      <w:pPr>
        <w:tabs>
          <w:tab w:val="num" w:pos="993"/>
        </w:tabs>
        <w:ind w:left="993"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917D64"/>
    <w:multiLevelType w:val="hybridMultilevel"/>
    <w:tmpl w:val="5DA88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4E55BC"/>
    <w:multiLevelType w:val="hybridMultilevel"/>
    <w:tmpl w:val="BBFA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377673D"/>
    <w:multiLevelType w:val="hybridMultilevel"/>
    <w:tmpl w:val="C246A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8D962F3"/>
    <w:multiLevelType w:val="hybridMultilevel"/>
    <w:tmpl w:val="7FAEC0F6"/>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3">
      <w:start w:val="1"/>
      <w:numFmt w:val="upperRoman"/>
      <w:lvlText w:val="%3."/>
      <w:lvlJc w:val="right"/>
      <w:pPr>
        <w:ind w:left="2160" w:hanging="360"/>
      </w:pPr>
      <w:rPr>
        <w:rFont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513102E8"/>
    <w:multiLevelType w:val="hybridMultilevel"/>
    <w:tmpl w:val="756E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9821AE5"/>
    <w:multiLevelType w:val="hybridMultilevel"/>
    <w:tmpl w:val="E9445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0F90D48"/>
    <w:multiLevelType w:val="hybridMultilevel"/>
    <w:tmpl w:val="6160FA32"/>
    <w:lvl w:ilvl="0" w:tplc="7C20F054">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1C1880"/>
    <w:multiLevelType w:val="hybridMultilevel"/>
    <w:tmpl w:val="36642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982A28"/>
    <w:multiLevelType w:val="hybridMultilevel"/>
    <w:tmpl w:val="09E014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85F5460"/>
    <w:multiLevelType w:val="hybridMultilevel"/>
    <w:tmpl w:val="E286C7D2"/>
    <w:lvl w:ilvl="0" w:tplc="7C20F054">
      <w:start w:val="1"/>
      <w:numFmt w:val="bullet"/>
      <w:lvlText w:val=""/>
      <w:lvlJc w:val="left"/>
      <w:pPr>
        <w:tabs>
          <w:tab w:val="num" w:pos="360"/>
        </w:tabs>
        <w:ind w:left="360" w:hanging="360"/>
      </w:pPr>
      <w:rPr>
        <w:rFonts w:ascii="Symbol" w:eastAsia="Times New Roman"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7C20F054">
      <w:start w:val="1"/>
      <w:numFmt w:val="bullet"/>
      <w:lvlText w:val=""/>
      <w:lvlJc w:val="left"/>
      <w:pPr>
        <w:tabs>
          <w:tab w:val="num" w:pos="1800"/>
        </w:tabs>
        <w:ind w:left="1800" w:hanging="360"/>
      </w:pPr>
      <w:rPr>
        <w:rFonts w:ascii="Symbol" w:eastAsia="Times New Roman"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4">
    <w:nsid w:val="7183082D"/>
    <w:multiLevelType w:val="hybridMultilevel"/>
    <w:tmpl w:val="A0009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7124FAF"/>
    <w:multiLevelType w:val="hybridMultilevel"/>
    <w:tmpl w:val="63C8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8A943D2"/>
    <w:multiLevelType w:val="hybridMultilevel"/>
    <w:tmpl w:val="3F1EEEB6"/>
    <w:lvl w:ilvl="0" w:tplc="7C20F054">
      <w:start w:val="1"/>
      <w:numFmt w:val="bullet"/>
      <w:lvlText w:val=""/>
      <w:lvlJc w:val="left"/>
      <w:pPr>
        <w:tabs>
          <w:tab w:val="num" w:pos="936"/>
        </w:tabs>
        <w:ind w:left="936" w:hanging="360"/>
      </w:pPr>
      <w:rPr>
        <w:rFonts w:ascii="Symbol" w:eastAsia="Times New Roman" w:hAnsi="Symbol" w:hint="default"/>
      </w:rPr>
    </w:lvl>
    <w:lvl w:ilvl="1" w:tplc="00030409" w:tentative="1">
      <w:start w:val="1"/>
      <w:numFmt w:val="bullet"/>
      <w:lvlText w:val="o"/>
      <w:lvlJc w:val="left"/>
      <w:pPr>
        <w:tabs>
          <w:tab w:val="num" w:pos="1656"/>
        </w:tabs>
        <w:ind w:left="1656" w:hanging="360"/>
      </w:pPr>
      <w:rPr>
        <w:rFonts w:ascii="Courier New" w:hAnsi="Courier New"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37">
    <w:nsid w:val="7C10375A"/>
    <w:multiLevelType w:val="hybridMultilevel"/>
    <w:tmpl w:val="5EE62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7"/>
  </w:num>
  <w:num w:numId="12">
    <w:abstractNumId w:val="23"/>
  </w:num>
  <w:num w:numId="13">
    <w:abstractNumId w:val="15"/>
  </w:num>
  <w:num w:numId="14">
    <w:abstractNumId w:val="26"/>
  </w:num>
  <w:num w:numId="15">
    <w:abstractNumId w:val="20"/>
  </w:num>
  <w:num w:numId="16">
    <w:abstractNumId w:val="10"/>
  </w:num>
  <w:num w:numId="17">
    <w:abstractNumId w:val="12"/>
  </w:num>
  <w:num w:numId="18">
    <w:abstractNumId w:val="30"/>
  </w:num>
  <w:num w:numId="19">
    <w:abstractNumId w:val="31"/>
  </w:num>
  <w:num w:numId="20">
    <w:abstractNumId w:val="28"/>
  </w:num>
  <w:num w:numId="21">
    <w:abstractNumId w:val="33"/>
  </w:num>
  <w:num w:numId="22">
    <w:abstractNumId w:val="19"/>
  </w:num>
  <w:num w:numId="23">
    <w:abstractNumId w:val="22"/>
  </w:num>
  <w:num w:numId="24">
    <w:abstractNumId w:val="14"/>
  </w:num>
  <w:num w:numId="25">
    <w:abstractNumId w:val="24"/>
  </w:num>
  <w:num w:numId="26">
    <w:abstractNumId w:val="13"/>
  </w:num>
  <w:num w:numId="27">
    <w:abstractNumId w:val="21"/>
  </w:num>
  <w:num w:numId="28">
    <w:abstractNumId w:val="36"/>
  </w:num>
  <w:num w:numId="29">
    <w:abstractNumId w:val="1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5"/>
  </w:num>
  <w:num w:numId="33">
    <w:abstractNumId w:val="34"/>
  </w:num>
  <w:num w:numId="34">
    <w:abstractNumId w:val="29"/>
  </w:num>
  <w:num w:numId="35">
    <w:abstractNumId w:val="35"/>
  </w:num>
  <w:num w:numId="36">
    <w:abstractNumId w:val="17"/>
  </w:num>
  <w:num w:numId="37">
    <w:abstractNumId w:val="16"/>
  </w:num>
  <w:num w:numId="38">
    <w:abstractNumId w:val="18"/>
  </w:num>
  <w:num w:numId="39">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A8"/>
    <w:rsid w:val="00002BE3"/>
    <w:rsid w:val="00004925"/>
    <w:rsid w:val="00011FDF"/>
    <w:rsid w:val="000141BB"/>
    <w:rsid w:val="00015233"/>
    <w:rsid w:val="000163D9"/>
    <w:rsid w:val="00020348"/>
    <w:rsid w:val="00023963"/>
    <w:rsid w:val="00024945"/>
    <w:rsid w:val="000255B4"/>
    <w:rsid w:val="00026373"/>
    <w:rsid w:val="00030A8A"/>
    <w:rsid w:val="00030C99"/>
    <w:rsid w:val="00034B66"/>
    <w:rsid w:val="000359E1"/>
    <w:rsid w:val="000404BD"/>
    <w:rsid w:val="00041868"/>
    <w:rsid w:val="0004193D"/>
    <w:rsid w:val="000424A8"/>
    <w:rsid w:val="00042C5A"/>
    <w:rsid w:val="00043646"/>
    <w:rsid w:val="000452A5"/>
    <w:rsid w:val="00045AB2"/>
    <w:rsid w:val="0005093E"/>
    <w:rsid w:val="0005286C"/>
    <w:rsid w:val="0005379F"/>
    <w:rsid w:val="00060D30"/>
    <w:rsid w:val="00062458"/>
    <w:rsid w:val="00063055"/>
    <w:rsid w:val="00063E63"/>
    <w:rsid w:val="00064C11"/>
    <w:rsid w:val="000652B2"/>
    <w:rsid w:val="0006537D"/>
    <w:rsid w:val="00066131"/>
    <w:rsid w:val="000671AF"/>
    <w:rsid w:val="00070878"/>
    <w:rsid w:val="0007112D"/>
    <w:rsid w:val="000720CA"/>
    <w:rsid w:val="00072EC3"/>
    <w:rsid w:val="00074BEF"/>
    <w:rsid w:val="00075C1D"/>
    <w:rsid w:val="00076DC9"/>
    <w:rsid w:val="00076F55"/>
    <w:rsid w:val="00081632"/>
    <w:rsid w:val="000835DE"/>
    <w:rsid w:val="000839BD"/>
    <w:rsid w:val="00083B2F"/>
    <w:rsid w:val="00084B59"/>
    <w:rsid w:val="00085F6A"/>
    <w:rsid w:val="000876A4"/>
    <w:rsid w:val="00087D0E"/>
    <w:rsid w:val="00090063"/>
    <w:rsid w:val="00096052"/>
    <w:rsid w:val="00097283"/>
    <w:rsid w:val="000A49D8"/>
    <w:rsid w:val="000A4AAE"/>
    <w:rsid w:val="000A4B89"/>
    <w:rsid w:val="000A7262"/>
    <w:rsid w:val="000A7E61"/>
    <w:rsid w:val="000B0583"/>
    <w:rsid w:val="000B06F0"/>
    <w:rsid w:val="000B1321"/>
    <w:rsid w:val="000B19B2"/>
    <w:rsid w:val="000B24ED"/>
    <w:rsid w:val="000B2756"/>
    <w:rsid w:val="000B335D"/>
    <w:rsid w:val="000B4411"/>
    <w:rsid w:val="000B469A"/>
    <w:rsid w:val="000B4968"/>
    <w:rsid w:val="000B56FE"/>
    <w:rsid w:val="000B635E"/>
    <w:rsid w:val="000B6B47"/>
    <w:rsid w:val="000B6D6F"/>
    <w:rsid w:val="000B7BF5"/>
    <w:rsid w:val="000C0C85"/>
    <w:rsid w:val="000C0F59"/>
    <w:rsid w:val="000C2671"/>
    <w:rsid w:val="000C3E17"/>
    <w:rsid w:val="000C58F8"/>
    <w:rsid w:val="000C5F1C"/>
    <w:rsid w:val="000D1142"/>
    <w:rsid w:val="000D198F"/>
    <w:rsid w:val="000D511D"/>
    <w:rsid w:val="000D5FFC"/>
    <w:rsid w:val="000D6C55"/>
    <w:rsid w:val="000E4221"/>
    <w:rsid w:val="000E4B3D"/>
    <w:rsid w:val="000E4B85"/>
    <w:rsid w:val="000E4B9A"/>
    <w:rsid w:val="000E51B7"/>
    <w:rsid w:val="000F2B02"/>
    <w:rsid w:val="000F2B3C"/>
    <w:rsid w:val="000F4498"/>
    <w:rsid w:val="000F4E95"/>
    <w:rsid w:val="000F5297"/>
    <w:rsid w:val="000F598F"/>
    <w:rsid w:val="0010031A"/>
    <w:rsid w:val="00100C79"/>
    <w:rsid w:val="0010141A"/>
    <w:rsid w:val="0010193D"/>
    <w:rsid w:val="00101B7E"/>
    <w:rsid w:val="0010288D"/>
    <w:rsid w:val="00102B25"/>
    <w:rsid w:val="0010543F"/>
    <w:rsid w:val="00105628"/>
    <w:rsid w:val="00105F8E"/>
    <w:rsid w:val="001076E5"/>
    <w:rsid w:val="00110561"/>
    <w:rsid w:val="0011064B"/>
    <w:rsid w:val="0011154B"/>
    <w:rsid w:val="00111F85"/>
    <w:rsid w:val="001131DB"/>
    <w:rsid w:val="0011352B"/>
    <w:rsid w:val="00113C40"/>
    <w:rsid w:val="00114A86"/>
    <w:rsid w:val="00117B0D"/>
    <w:rsid w:val="001202A6"/>
    <w:rsid w:val="00121B4D"/>
    <w:rsid w:val="00122363"/>
    <w:rsid w:val="00122ED1"/>
    <w:rsid w:val="00124743"/>
    <w:rsid w:val="001249BA"/>
    <w:rsid w:val="001258EA"/>
    <w:rsid w:val="00127386"/>
    <w:rsid w:val="00134B54"/>
    <w:rsid w:val="001355FE"/>
    <w:rsid w:val="001357F8"/>
    <w:rsid w:val="00135B68"/>
    <w:rsid w:val="00135BE1"/>
    <w:rsid w:val="00135CB0"/>
    <w:rsid w:val="00136595"/>
    <w:rsid w:val="0014042C"/>
    <w:rsid w:val="001407A1"/>
    <w:rsid w:val="00141775"/>
    <w:rsid w:val="0014216C"/>
    <w:rsid w:val="00142952"/>
    <w:rsid w:val="00142FFC"/>
    <w:rsid w:val="001457AF"/>
    <w:rsid w:val="0014590E"/>
    <w:rsid w:val="00146A5D"/>
    <w:rsid w:val="001507EC"/>
    <w:rsid w:val="00153761"/>
    <w:rsid w:val="0015385C"/>
    <w:rsid w:val="001540B3"/>
    <w:rsid w:val="001546A5"/>
    <w:rsid w:val="00155DC3"/>
    <w:rsid w:val="00156C1F"/>
    <w:rsid w:val="00157E91"/>
    <w:rsid w:val="00161B44"/>
    <w:rsid w:val="00162AA1"/>
    <w:rsid w:val="00162CAC"/>
    <w:rsid w:val="001647C8"/>
    <w:rsid w:val="00165F78"/>
    <w:rsid w:val="00165FA6"/>
    <w:rsid w:val="001668D5"/>
    <w:rsid w:val="0017088D"/>
    <w:rsid w:val="00172013"/>
    <w:rsid w:val="00174775"/>
    <w:rsid w:val="00175B11"/>
    <w:rsid w:val="00176BB4"/>
    <w:rsid w:val="0018031B"/>
    <w:rsid w:val="0018076A"/>
    <w:rsid w:val="00181A2F"/>
    <w:rsid w:val="00182048"/>
    <w:rsid w:val="00182071"/>
    <w:rsid w:val="00185836"/>
    <w:rsid w:val="00190392"/>
    <w:rsid w:val="00190C5D"/>
    <w:rsid w:val="0019122C"/>
    <w:rsid w:val="00191883"/>
    <w:rsid w:val="0019189D"/>
    <w:rsid w:val="00191DAB"/>
    <w:rsid w:val="001928CF"/>
    <w:rsid w:val="00192CFB"/>
    <w:rsid w:val="001936F1"/>
    <w:rsid w:val="001936F4"/>
    <w:rsid w:val="0019438E"/>
    <w:rsid w:val="00194A21"/>
    <w:rsid w:val="001962C8"/>
    <w:rsid w:val="001A1A2A"/>
    <w:rsid w:val="001A271A"/>
    <w:rsid w:val="001A2BCA"/>
    <w:rsid w:val="001A5EF4"/>
    <w:rsid w:val="001A5F62"/>
    <w:rsid w:val="001B032D"/>
    <w:rsid w:val="001B1130"/>
    <w:rsid w:val="001B17CF"/>
    <w:rsid w:val="001B1ABA"/>
    <w:rsid w:val="001B28AD"/>
    <w:rsid w:val="001B2F2F"/>
    <w:rsid w:val="001B3703"/>
    <w:rsid w:val="001B3878"/>
    <w:rsid w:val="001B395B"/>
    <w:rsid w:val="001B5088"/>
    <w:rsid w:val="001B648A"/>
    <w:rsid w:val="001B72F7"/>
    <w:rsid w:val="001C1FCC"/>
    <w:rsid w:val="001C29B3"/>
    <w:rsid w:val="001C323F"/>
    <w:rsid w:val="001C658D"/>
    <w:rsid w:val="001C6C2B"/>
    <w:rsid w:val="001D0870"/>
    <w:rsid w:val="001D1625"/>
    <w:rsid w:val="001D1B01"/>
    <w:rsid w:val="001D350C"/>
    <w:rsid w:val="001D3830"/>
    <w:rsid w:val="001D389A"/>
    <w:rsid w:val="001D4345"/>
    <w:rsid w:val="001D473E"/>
    <w:rsid w:val="001D76F4"/>
    <w:rsid w:val="001E10C7"/>
    <w:rsid w:val="001E149E"/>
    <w:rsid w:val="001E6C19"/>
    <w:rsid w:val="001F150D"/>
    <w:rsid w:val="001F1625"/>
    <w:rsid w:val="001F2623"/>
    <w:rsid w:val="001F413E"/>
    <w:rsid w:val="001F4FF2"/>
    <w:rsid w:val="00200E38"/>
    <w:rsid w:val="0020321F"/>
    <w:rsid w:val="00203AF0"/>
    <w:rsid w:val="00203DE9"/>
    <w:rsid w:val="0020427A"/>
    <w:rsid w:val="00204CE1"/>
    <w:rsid w:val="002052A7"/>
    <w:rsid w:val="00206718"/>
    <w:rsid w:val="00206FA0"/>
    <w:rsid w:val="00207171"/>
    <w:rsid w:val="00207EFC"/>
    <w:rsid w:val="00211081"/>
    <w:rsid w:val="002121D7"/>
    <w:rsid w:val="002165AE"/>
    <w:rsid w:val="002178E8"/>
    <w:rsid w:val="0022236D"/>
    <w:rsid w:val="00223803"/>
    <w:rsid w:val="00223BA8"/>
    <w:rsid w:val="00224EE0"/>
    <w:rsid w:val="00226537"/>
    <w:rsid w:val="00226EFF"/>
    <w:rsid w:val="002272DF"/>
    <w:rsid w:val="002279EA"/>
    <w:rsid w:val="00227ED7"/>
    <w:rsid w:val="00234B74"/>
    <w:rsid w:val="002352E7"/>
    <w:rsid w:val="002354A5"/>
    <w:rsid w:val="00236169"/>
    <w:rsid w:val="002362EF"/>
    <w:rsid w:val="00236D00"/>
    <w:rsid w:val="002375C4"/>
    <w:rsid w:val="002376DC"/>
    <w:rsid w:val="00240BB1"/>
    <w:rsid w:val="002416D4"/>
    <w:rsid w:val="002416DF"/>
    <w:rsid w:val="002416F6"/>
    <w:rsid w:val="002418E8"/>
    <w:rsid w:val="00243365"/>
    <w:rsid w:val="00243883"/>
    <w:rsid w:val="00247BEC"/>
    <w:rsid w:val="00250437"/>
    <w:rsid w:val="00250C79"/>
    <w:rsid w:val="002530C3"/>
    <w:rsid w:val="002531CA"/>
    <w:rsid w:val="002534D7"/>
    <w:rsid w:val="00253874"/>
    <w:rsid w:val="002543BA"/>
    <w:rsid w:val="002547CB"/>
    <w:rsid w:val="00255650"/>
    <w:rsid w:val="00256176"/>
    <w:rsid w:val="00256B2F"/>
    <w:rsid w:val="00256FFE"/>
    <w:rsid w:val="00257561"/>
    <w:rsid w:val="002579E4"/>
    <w:rsid w:val="002612A4"/>
    <w:rsid w:val="002612B5"/>
    <w:rsid w:val="002644D5"/>
    <w:rsid w:val="002658AD"/>
    <w:rsid w:val="00265D77"/>
    <w:rsid w:val="0026620A"/>
    <w:rsid w:val="002664A3"/>
    <w:rsid w:val="00266952"/>
    <w:rsid w:val="002678B2"/>
    <w:rsid w:val="00267B75"/>
    <w:rsid w:val="00267CEF"/>
    <w:rsid w:val="00270B56"/>
    <w:rsid w:val="00271A02"/>
    <w:rsid w:val="00271B91"/>
    <w:rsid w:val="00273F3F"/>
    <w:rsid w:val="0027452C"/>
    <w:rsid w:val="00275667"/>
    <w:rsid w:val="00276098"/>
    <w:rsid w:val="00276F0C"/>
    <w:rsid w:val="00277FB2"/>
    <w:rsid w:val="00280410"/>
    <w:rsid w:val="00281EC1"/>
    <w:rsid w:val="00282929"/>
    <w:rsid w:val="002847EE"/>
    <w:rsid w:val="002847F9"/>
    <w:rsid w:val="002852C5"/>
    <w:rsid w:val="002852FC"/>
    <w:rsid w:val="002853CD"/>
    <w:rsid w:val="0028661F"/>
    <w:rsid w:val="002874C1"/>
    <w:rsid w:val="002878EC"/>
    <w:rsid w:val="00291B1D"/>
    <w:rsid w:val="00291B5D"/>
    <w:rsid w:val="00292677"/>
    <w:rsid w:val="0029312E"/>
    <w:rsid w:val="00295314"/>
    <w:rsid w:val="00295A08"/>
    <w:rsid w:val="00296142"/>
    <w:rsid w:val="002964ED"/>
    <w:rsid w:val="0029751D"/>
    <w:rsid w:val="002975ED"/>
    <w:rsid w:val="002A0E5E"/>
    <w:rsid w:val="002A3144"/>
    <w:rsid w:val="002A3C78"/>
    <w:rsid w:val="002A404C"/>
    <w:rsid w:val="002A6933"/>
    <w:rsid w:val="002A6FD3"/>
    <w:rsid w:val="002B1E56"/>
    <w:rsid w:val="002B4AC2"/>
    <w:rsid w:val="002B4D48"/>
    <w:rsid w:val="002B4E85"/>
    <w:rsid w:val="002B5006"/>
    <w:rsid w:val="002B5F00"/>
    <w:rsid w:val="002C3F12"/>
    <w:rsid w:val="002C3FC5"/>
    <w:rsid w:val="002C4918"/>
    <w:rsid w:val="002C4C51"/>
    <w:rsid w:val="002C7532"/>
    <w:rsid w:val="002D2770"/>
    <w:rsid w:val="002D2F7A"/>
    <w:rsid w:val="002D35C1"/>
    <w:rsid w:val="002D3B7A"/>
    <w:rsid w:val="002D47EF"/>
    <w:rsid w:val="002D5491"/>
    <w:rsid w:val="002D630D"/>
    <w:rsid w:val="002D7C12"/>
    <w:rsid w:val="002E169D"/>
    <w:rsid w:val="002E487B"/>
    <w:rsid w:val="002F37FA"/>
    <w:rsid w:val="002F6426"/>
    <w:rsid w:val="002F797E"/>
    <w:rsid w:val="00301578"/>
    <w:rsid w:val="00301AD4"/>
    <w:rsid w:val="00301D01"/>
    <w:rsid w:val="00301D34"/>
    <w:rsid w:val="00304501"/>
    <w:rsid w:val="0030582B"/>
    <w:rsid w:val="00305D14"/>
    <w:rsid w:val="00306B67"/>
    <w:rsid w:val="00306F43"/>
    <w:rsid w:val="00307DD4"/>
    <w:rsid w:val="00310F27"/>
    <w:rsid w:val="00311A57"/>
    <w:rsid w:val="00311B83"/>
    <w:rsid w:val="003129B4"/>
    <w:rsid w:val="00312D83"/>
    <w:rsid w:val="00322014"/>
    <w:rsid w:val="003228C6"/>
    <w:rsid w:val="00324499"/>
    <w:rsid w:val="003267B2"/>
    <w:rsid w:val="00331882"/>
    <w:rsid w:val="0033574A"/>
    <w:rsid w:val="00336C53"/>
    <w:rsid w:val="00340833"/>
    <w:rsid w:val="003437E9"/>
    <w:rsid w:val="00347C96"/>
    <w:rsid w:val="00350A53"/>
    <w:rsid w:val="00352055"/>
    <w:rsid w:val="00352704"/>
    <w:rsid w:val="00352E93"/>
    <w:rsid w:val="00353E10"/>
    <w:rsid w:val="003544E3"/>
    <w:rsid w:val="00355DC6"/>
    <w:rsid w:val="003561A0"/>
    <w:rsid w:val="00357068"/>
    <w:rsid w:val="003579FD"/>
    <w:rsid w:val="003603E1"/>
    <w:rsid w:val="003634C3"/>
    <w:rsid w:val="0036393E"/>
    <w:rsid w:val="00364818"/>
    <w:rsid w:val="00364D3B"/>
    <w:rsid w:val="003651A3"/>
    <w:rsid w:val="00366D51"/>
    <w:rsid w:val="003707DA"/>
    <w:rsid w:val="003715E5"/>
    <w:rsid w:val="00371837"/>
    <w:rsid w:val="003722E4"/>
    <w:rsid w:val="00373C49"/>
    <w:rsid w:val="00374524"/>
    <w:rsid w:val="003771A2"/>
    <w:rsid w:val="00380A59"/>
    <w:rsid w:val="00381479"/>
    <w:rsid w:val="00384156"/>
    <w:rsid w:val="003853F8"/>
    <w:rsid w:val="0038740C"/>
    <w:rsid w:val="0038759E"/>
    <w:rsid w:val="00387E8D"/>
    <w:rsid w:val="00391D9C"/>
    <w:rsid w:val="00392183"/>
    <w:rsid w:val="0039428B"/>
    <w:rsid w:val="00394314"/>
    <w:rsid w:val="00394D53"/>
    <w:rsid w:val="00394ECF"/>
    <w:rsid w:val="003953B6"/>
    <w:rsid w:val="00395965"/>
    <w:rsid w:val="0039601D"/>
    <w:rsid w:val="00397556"/>
    <w:rsid w:val="003A00FC"/>
    <w:rsid w:val="003A0BAB"/>
    <w:rsid w:val="003A232C"/>
    <w:rsid w:val="003A2F56"/>
    <w:rsid w:val="003A3D95"/>
    <w:rsid w:val="003A56A1"/>
    <w:rsid w:val="003A5F1B"/>
    <w:rsid w:val="003A6828"/>
    <w:rsid w:val="003A74FE"/>
    <w:rsid w:val="003A750C"/>
    <w:rsid w:val="003A7E67"/>
    <w:rsid w:val="003B03A5"/>
    <w:rsid w:val="003B08FB"/>
    <w:rsid w:val="003B3FC3"/>
    <w:rsid w:val="003B501C"/>
    <w:rsid w:val="003B56A4"/>
    <w:rsid w:val="003B713B"/>
    <w:rsid w:val="003B73B3"/>
    <w:rsid w:val="003C00B0"/>
    <w:rsid w:val="003C1E89"/>
    <w:rsid w:val="003C3B18"/>
    <w:rsid w:val="003C4136"/>
    <w:rsid w:val="003C5A1E"/>
    <w:rsid w:val="003C7D7A"/>
    <w:rsid w:val="003D0F38"/>
    <w:rsid w:val="003D32B8"/>
    <w:rsid w:val="003D4966"/>
    <w:rsid w:val="003D5F20"/>
    <w:rsid w:val="003E22A9"/>
    <w:rsid w:val="003E3758"/>
    <w:rsid w:val="003E44E7"/>
    <w:rsid w:val="003E69FB"/>
    <w:rsid w:val="003F0BF0"/>
    <w:rsid w:val="003F1650"/>
    <w:rsid w:val="003F1C64"/>
    <w:rsid w:val="003F63CA"/>
    <w:rsid w:val="0040002C"/>
    <w:rsid w:val="0040056B"/>
    <w:rsid w:val="00400B79"/>
    <w:rsid w:val="0040193B"/>
    <w:rsid w:val="00401D26"/>
    <w:rsid w:val="00401EC1"/>
    <w:rsid w:val="00404585"/>
    <w:rsid w:val="0040620B"/>
    <w:rsid w:val="004072C4"/>
    <w:rsid w:val="004076AC"/>
    <w:rsid w:val="00407F2F"/>
    <w:rsid w:val="00410B3C"/>
    <w:rsid w:val="00411A29"/>
    <w:rsid w:val="00411E38"/>
    <w:rsid w:val="004123B8"/>
    <w:rsid w:val="004123DE"/>
    <w:rsid w:val="00415A44"/>
    <w:rsid w:val="00415DEE"/>
    <w:rsid w:val="00416F21"/>
    <w:rsid w:val="00420AD3"/>
    <w:rsid w:val="004221A1"/>
    <w:rsid w:val="0042250E"/>
    <w:rsid w:val="00422C31"/>
    <w:rsid w:val="004255E4"/>
    <w:rsid w:val="00425B43"/>
    <w:rsid w:val="00425D5C"/>
    <w:rsid w:val="004273BE"/>
    <w:rsid w:val="004279E1"/>
    <w:rsid w:val="00427E16"/>
    <w:rsid w:val="004303C7"/>
    <w:rsid w:val="00431F1A"/>
    <w:rsid w:val="0043275B"/>
    <w:rsid w:val="00433363"/>
    <w:rsid w:val="0043399E"/>
    <w:rsid w:val="00433EAC"/>
    <w:rsid w:val="00436ED4"/>
    <w:rsid w:val="00437B11"/>
    <w:rsid w:val="00437EE8"/>
    <w:rsid w:val="00440816"/>
    <w:rsid w:val="004411E7"/>
    <w:rsid w:val="00441A7F"/>
    <w:rsid w:val="00444A18"/>
    <w:rsid w:val="00445A2E"/>
    <w:rsid w:val="004460B9"/>
    <w:rsid w:val="00447825"/>
    <w:rsid w:val="00447D09"/>
    <w:rsid w:val="00450CF1"/>
    <w:rsid w:val="00451C0D"/>
    <w:rsid w:val="0045238D"/>
    <w:rsid w:val="00452F01"/>
    <w:rsid w:val="00453F37"/>
    <w:rsid w:val="00454440"/>
    <w:rsid w:val="00454EDB"/>
    <w:rsid w:val="004562B5"/>
    <w:rsid w:val="00456543"/>
    <w:rsid w:val="00460097"/>
    <w:rsid w:val="004601F7"/>
    <w:rsid w:val="00460260"/>
    <w:rsid w:val="0046105F"/>
    <w:rsid w:val="004631CD"/>
    <w:rsid w:val="00463DA9"/>
    <w:rsid w:val="004663E8"/>
    <w:rsid w:val="00470315"/>
    <w:rsid w:val="00470F7B"/>
    <w:rsid w:val="004721CA"/>
    <w:rsid w:val="0047224A"/>
    <w:rsid w:val="0047277D"/>
    <w:rsid w:val="00472F50"/>
    <w:rsid w:val="0047490E"/>
    <w:rsid w:val="0047544F"/>
    <w:rsid w:val="00476761"/>
    <w:rsid w:val="0047790C"/>
    <w:rsid w:val="00482474"/>
    <w:rsid w:val="0048496E"/>
    <w:rsid w:val="00484E5F"/>
    <w:rsid w:val="0048509B"/>
    <w:rsid w:val="0048544A"/>
    <w:rsid w:val="00485606"/>
    <w:rsid w:val="004865B5"/>
    <w:rsid w:val="00486C9F"/>
    <w:rsid w:val="004877EC"/>
    <w:rsid w:val="00487A5E"/>
    <w:rsid w:val="00492A42"/>
    <w:rsid w:val="0049665C"/>
    <w:rsid w:val="00496F45"/>
    <w:rsid w:val="00497E59"/>
    <w:rsid w:val="004A07C2"/>
    <w:rsid w:val="004A14BE"/>
    <w:rsid w:val="004A4789"/>
    <w:rsid w:val="004A4A15"/>
    <w:rsid w:val="004A55DF"/>
    <w:rsid w:val="004A7407"/>
    <w:rsid w:val="004A776F"/>
    <w:rsid w:val="004B0C22"/>
    <w:rsid w:val="004B172A"/>
    <w:rsid w:val="004B1EFC"/>
    <w:rsid w:val="004B2C9D"/>
    <w:rsid w:val="004B319F"/>
    <w:rsid w:val="004B32C7"/>
    <w:rsid w:val="004B34A8"/>
    <w:rsid w:val="004B71CF"/>
    <w:rsid w:val="004C0042"/>
    <w:rsid w:val="004C05E5"/>
    <w:rsid w:val="004C07DC"/>
    <w:rsid w:val="004C0890"/>
    <w:rsid w:val="004C38C6"/>
    <w:rsid w:val="004C591E"/>
    <w:rsid w:val="004C78A7"/>
    <w:rsid w:val="004C7BB4"/>
    <w:rsid w:val="004D1020"/>
    <w:rsid w:val="004D18CB"/>
    <w:rsid w:val="004D225B"/>
    <w:rsid w:val="004D2762"/>
    <w:rsid w:val="004D325E"/>
    <w:rsid w:val="004D359A"/>
    <w:rsid w:val="004D39F8"/>
    <w:rsid w:val="004D48BA"/>
    <w:rsid w:val="004D565D"/>
    <w:rsid w:val="004D5EC2"/>
    <w:rsid w:val="004D6036"/>
    <w:rsid w:val="004D6708"/>
    <w:rsid w:val="004D73FA"/>
    <w:rsid w:val="004D7745"/>
    <w:rsid w:val="004E104E"/>
    <w:rsid w:val="004E1574"/>
    <w:rsid w:val="004E3664"/>
    <w:rsid w:val="004E4410"/>
    <w:rsid w:val="004E63DA"/>
    <w:rsid w:val="004E6C05"/>
    <w:rsid w:val="004F15D4"/>
    <w:rsid w:val="004F1C32"/>
    <w:rsid w:val="004F4109"/>
    <w:rsid w:val="004F56FE"/>
    <w:rsid w:val="004F5C94"/>
    <w:rsid w:val="004F62AC"/>
    <w:rsid w:val="004F64C0"/>
    <w:rsid w:val="004F6E5E"/>
    <w:rsid w:val="004F7309"/>
    <w:rsid w:val="0050183D"/>
    <w:rsid w:val="00502411"/>
    <w:rsid w:val="00502C48"/>
    <w:rsid w:val="00504B2F"/>
    <w:rsid w:val="00506BBA"/>
    <w:rsid w:val="0050751B"/>
    <w:rsid w:val="0051063A"/>
    <w:rsid w:val="005118DC"/>
    <w:rsid w:val="00514E69"/>
    <w:rsid w:val="00517DF0"/>
    <w:rsid w:val="00517EE3"/>
    <w:rsid w:val="00520474"/>
    <w:rsid w:val="00520496"/>
    <w:rsid w:val="00523F7F"/>
    <w:rsid w:val="00524628"/>
    <w:rsid w:val="005246A3"/>
    <w:rsid w:val="005247C0"/>
    <w:rsid w:val="005251DE"/>
    <w:rsid w:val="00527BBB"/>
    <w:rsid w:val="00531B0E"/>
    <w:rsid w:val="005340BF"/>
    <w:rsid w:val="0053459C"/>
    <w:rsid w:val="0053490B"/>
    <w:rsid w:val="00535840"/>
    <w:rsid w:val="005368ED"/>
    <w:rsid w:val="005376E1"/>
    <w:rsid w:val="005436EC"/>
    <w:rsid w:val="005447CF"/>
    <w:rsid w:val="005448C4"/>
    <w:rsid w:val="005452C7"/>
    <w:rsid w:val="0054554C"/>
    <w:rsid w:val="00545F88"/>
    <w:rsid w:val="00546692"/>
    <w:rsid w:val="00547722"/>
    <w:rsid w:val="005479AC"/>
    <w:rsid w:val="00547F49"/>
    <w:rsid w:val="0055003C"/>
    <w:rsid w:val="00551CC6"/>
    <w:rsid w:val="00553EC6"/>
    <w:rsid w:val="00557735"/>
    <w:rsid w:val="00560F76"/>
    <w:rsid w:val="00560FB2"/>
    <w:rsid w:val="005623C0"/>
    <w:rsid w:val="00563A1A"/>
    <w:rsid w:val="005649ED"/>
    <w:rsid w:val="00567E08"/>
    <w:rsid w:val="00570328"/>
    <w:rsid w:val="005716A2"/>
    <w:rsid w:val="005725D2"/>
    <w:rsid w:val="0057355E"/>
    <w:rsid w:val="00573EC3"/>
    <w:rsid w:val="005741A8"/>
    <w:rsid w:val="0057583A"/>
    <w:rsid w:val="00575B73"/>
    <w:rsid w:val="00576616"/>
    <w:rsid w:val="005772F7"/>
    <w:rsid w:val="00577E83"/>
    <w:rsid w:val="00580395"/>
    <w:rsid w:val="0058176C"/>
    <w:rsid w:val="00582331"/>
    <w:rsid w:val="005840C6"/>
    <w:rsid w:val="00585F0D"/>
    <w:rsid w:val="00586163"/>
    <w:rsid w:val="00586DBF"/>
    <w:rsid w:val="00587870"/>
    <w:rsid w:val="00590D34"/>
    <w:rsid w:val="00590D88"/>
    <w:rsid w:val="00591072"/>
    <w:rsid w:val="005936C8"/>
    <w:rsid w:val="0059384F"/>
    <w:rsid w:val="00593F86"/>
    <w:rsid w:val="005942A7"/>
    <w:rsid w:val="00595256"/>
    <w:rsid w:val="00595750"/>
    <w:rsid w:val="00595AA7"/>
    <w:rsid w:val="00596434"/>
    <w:rsid w:val="00596ECB"/>
    <w:rsid w:val="005A14D7"/>
    <w:rsid w:val="005A2D13"/>
    <w:rsid w:val="005A3D9A"/>
    <w:rsid w:val="005A6B27"/>
    <w:rsid w:val="005B04AA"/>
    <w:rsid w:val="005B1898"/>
    <w:rsid w:val="005B20FE"/>
    <w:rsid w:val="005B27F1"/>
    <w:rsid w:val="005B36CF"/>
    <w:rsid w:val="005B49FC"/>
    <w:rsid w:val="005B51BB"/>
    <w:rsid w:val="005C07DC"/>
    <w:rsid w:val="005C0983"/>
    <w:rsid w:val="005C0A41"/>
    <w:rsid w:val="005C14B0"/>
    <w:rsid w:val="005C2447"/>
    <w:rsid w:val="005C2864"/>
    <w:rsid w:val="005C3514"/>
    <w:rsid w:val="005C54BF"/>
    <w:rsid w:val="005C5B81"/>
    <w:rsid w:val="005C5D44"/>
    <w:rsid w:val="005C672E"/>
    <w:rsid w:val="005C7FC0"/>
    <w:rsid w:val="005D0457"/>
    <w:rsid w:val="005D0802"/>
    <w:rsid w:val="005D24A9"/>
    <w:rsid w:val="005D2610"/>
    <w:rsid w:val="005D545D"/>
    <w:rsid w:val="005D54EF"/>
    <w:rsid w:val="005D7207"/>
    <w:rsid w:val="005D739E"/>
    <w:rsid w:val="005D73EF"/>
    <w:rsid w:val="005D76A1"/>
    <w:rsid w:val="005E13DF"/>
    <w:rsid w:val="005E3AE1"/>
    <w:rsid w:val="005E3E0B"/>
    <w:rsid w:val="005E3F74"/>
    <w:rsid w:val="005E52A5"/>
    <w:rsid w:val="005E74EA"/>
    <w:rsid w:val="005E791A"/>
    <w:rsid w:val="005F00BD"/>
    <w:rsid w:val="005F0E89"/>
    <w:rsid w:val="005F1A25"/>
    <w:rsid w:val="005F1ED7"/>
    <w:rsid w:val="005F25D6"/>
    <w:rsid w:val="005F44FC"/>
    <w:rsid w:val="005F6F99"/>
    <w:rsid w:val="005F78D2"/>
    <w:rsid w:val="006010A3"/>
    <w:rsid w:val="0060185C"/>
    <w:rsid w:val="00601DB4"/>
    <w:rsid w:val="006028E7"/>
    <w:rsid w:val="0060331B"/>
    <w:rsid w:val="00603B92"/>
    <w:rsid w:val="006069C2"/>
    <w:rsid w:val="0060739B"/>
    <w:rsid w:val="006105E5"/>
    <w:rsid w:val="00610A22"/>
    <w:rsid w:val="00611608"/>
    <w:rsid w:val="00611E79"/>
    <w:rsid w:val="006143EA"/>
    <w:rsid w:val="0061654D"/>
    <w:rsid w:val="00616DA2"/>
    <w:rsid w:val="00617A9F"/>
    <w:rsid w:val="00621ADE"/>
    <w:rsid w:val="006220E0"/>
    <w:rsid w:val="00625080"/>
    <w:rsid w:val="00626563"/>
    <w:rsid w:val="0062663C"/>
    <w:rsid w:val="006270E7"/>
    <w:rsid w:val="006307AA"/>
    <w:rsid w:val="00630FF6"/>
    <w:rsid w:val="006312E7"/>
    <w:rsid w:val="00632212"/>
    <w:rsid w:val="00632337"/>
    <w:rsid w:val="006323A0"/>
    <w:rsid w:val="00632870"/>
    <w:rsid w:val="0063287E"/>
    <w:rsid w:val="00633E65"/>
    <w:rsid w:val="006347C8"/>
    <w:rsid w:val="0063556B"/>
    <w:rsid w:val="006366C8"/>
    <w:rsid w:val="00636D46"/>
    <w:rsid w:val="00636F76"/>
    <w:rsid w:val="006401AB"/>
    <w:rsid w:val="00640416"/>
    <w:rsid w:val="006407CD"/>
    <w:rsid w:val="00640800"/>
    <w:rsid w:val="0064307D"/>
    <w:rsid w:val="00643EBC"/>
    <w:rsid w:val="00644563"/>
    <w:rsid w:val="0064573C"/>
    <w:rsid w:val="006466FC"/>
    <w:rsid w:val="00646DB3"/>
    <w:rsid w:val="00651BC2"/>
    <w:rsid w:val="00653326"/>
    <w:rsid w:val="00653618"/>
    <w:rsid w:val="00653E91"/>
    <w:rsid w:val="006543FE"/>
    <w:rsid w:val="00654E40"/>
    <w:rsid w:val="00656FBF"/>
    <w:rsid w:val="00657575"/>
    <w:rsid w:val="00661B5C"/>
    <w:rsid w:val="006647C1"/>
    <w:rsid w:val="00666A67"/>
    <w:rsid w:val="006740D0"/>
    <w:rsid w:val="00675A40"/>
    <w:rsid w:val="00675BEE"/>
    <w:rsid w:val="00676549"/>
    <w:rsid w:val="00676A8F"/>
    <w:rsid w:val="00677DA1"/>
    <w:rsid w:val="00680044"/>
    <w:rsid w:val="006806E8"/>
    <w:rsid w:val="00681EB0"/>
    <w:rsid w:val="00682E69"/>
    <w:rsid w:val="00683A6D"/>
    <w:rsid w:val="006852C3"/>
    <w:rsid w:val="00686EF4"/>
    <w:rsid w:val="00687447"/>
    <w:rsid w:val="006916AB"/>
    <w:rsid w:val="0069223B"/>
    <w:rsid w:val="006926F9"/>
    <w:rsid w:val="006950FB"/>
    <w:rsid w:val="0069581E"/>
    <w:rsid w:val="00697931"/>
    <w:rsid w:val="006A0950"/>
    <w:rsid w:val="006A185E"/>
    <w:rsid w:val="006A1AF6"/>
    <w:rsid w:val="006A1BBC"/>
    <w:rsid w:val="006A24D8"/>
    <w:rsid w:val="006A412B"/>
    <w:rsid w:val="006A432D"/>
    <w:rsid w:val="006A4635"/>
    <w:rsid w:val="006A473D"/>
    <w:rsid w:val="006A4906"/>
    <w:rsid w:val="006A5B52"/>
    <w:rsid w:val="006A5C3A"/>
    <w:rsid w:val="006A67DB"/>
    <w:rsid w:val="006A68DD"/>
    <w:rsid w:val="006A7E17"/>
    <w:rsid w:val="006B0D74"/>
    <w:rsid w:val="006B13F2"/>
    <w:rsid w:val="006B2404"/>
    <w:rsid w:val="006B2B19"/>
    <w:rsid w:val="006B44D8"/>
    <w:rsid w:val="006B4556"/>
    <w:rsid w:val="006B5699"/>
    <w:rsid w:val="006B5A0C"/>
    <w:rsid w:val="006B6101"/>
    <w:rsid w:val="006B6DA5"/>
    <w:rsid w:val="006B78F3"/>
    <w:rsid w:val="006C0474"/>
    <w:rsid w:val="006C0856"/>
    <w:rsid w:val="006C1DF2"/>
    <w:rsid w:val="006C3FE2"/>
    <w:rsid w:val="006C4CD6"/>
    <w:rsid w:val="006C5233"/>
    <w:rsid w:val="006C6445"/>
    <w:rsid w:val="006D1616"/>
    <w:rsid w:val="006D1814"/>
    <w:rsid w:val="006E0B0A"/>
    <w:rsid w:val="006E0C06"/>
    <w:rsid w:val="006E30C9"/>
    <w:rsid w:val="006E4A9F"/>
    <w:rsid w:val="006E4FBF"/>
    <w:rsid w:val="006E5DBD"/>
    <w:rsid w:val="006E6153"/>
    <w:rsid w:val="006E7978"/>
    <w:rsid w:val="006F00AA"/>
    <w:rsid w:val="006F273C"/>
    <w:rsid w:val="006F6170"/>
    <w:rsid w:val="006F623E"/>
    <w:rsid w:val="006F69FD"/>
    <w:rsid w:val="006F6F65"/>
    <w:rsid w:val="006F7E28"/>
    <w:rsid w:val="00700C91"/>
    <w:rsid w:val="0070304A"/>
    <w:rsid w:val="0070314F"/>
    <w:rsid w:val="0070384D"/>
    <w:rsid w:val="007045DB"/>
    <w:rsid w:val="007048C0"/>
    <w:rsid w:val="00704BBE"/>
    <w:rsid w:val="0070619B"/>
    <w:rsid w:val="007069E9"/>
    <w:rsid w:val="00707615"/>
    <w:rsid w:val="00710125"/>
    <w:rsid w:val="00712DFB"/>
    <w:rsid w:val="00712F7D"/>
    <w:rsid w:val="00713B2B"/>
    <w:rsid w:val="00713C93"/>
    <w:rsid w:val="0071401E"/>
    <w:rsid w:val="00714665"/>
    <w:rsid w:val="007160BB"/>
    <w:rsid w:val="00716750"/>
    <w:rsid w:val="00716F49"/>
    <w:rsid w:val="007220BB"/>
    <w:rsid w:val="0072253B"/>
    <w:rsid w:val="007242C6"/>
    <w:rsid w:val="00724418"/>
    <w:rsid w:val="00726869"/>
    <w:rsid w:val="007279EF"/>
    <w:rsid w:val="00730354"/>
    <w:rsid w:val="00732A86"/>
    <w:rsid w:val="00735996"/>
    <w:rsid w:val="00737D79"/>
    <w:rsid w:val="007438E1"/>
    <w:rsid w:val="007439FB"/>
    <w:rsid w:val="00744106"/>
    <w:rsid w:val="00744442"/>
    <w:rsid w:val="0074540C"/>
    <w:rsid w:val="00745C3D"/>
    <w:rsid w:val="00747580"/>
    <w:rsid w:val="00750C74"/>
    <w:rsid w:val="00754300"/>
    <w:rsid w:val="0075628B"/>
    <w:rsid w:val="00756737"/>
    <w:rsid w:val="00756961"/>
    <w:rsid w:val="007572F2"/>
    <w:rsid w:val="007573F3"/>
    <w:rsid w:val="00760F83"/>
    <w:rsid w:val="00761990"/>
    <w:rsid w:val="00761AF9"/>
    <w:rsid w:val="00761B1A"/>
    <w:rsid w:val="007623EC"/>
    <w:rsid w:val="00763A8C"/>
    <w:rsid w:val="00763D24"/>
    <w:rsid w:val="007644AE"/>
    <w:rsid w:val="0076519A"/>
    <w:rsid w:val="00765872"/>
    <w:rsid w:val="00765E7B"/>
    <w:rsid w:val="00766F98"/>
    <w:rsid w:val="00770255"/>
    <w:rsid w:val="00770697"/>
    <w:rsid w:val="00770D6A"/>
    <w:rsid w:val="00773122"/>
    <w:rsid w:val="0077399B"/>
    <w:rsid w:val="00773BA9"/>
    <w:rsid w:val="007741C6"/>
    <w:rsid w:val="00775978"/>
    <w:rsid w:val="0077688A"/>
    <w:rsid w:val="00777402"/>
    <w:rsid w:val="00781FCB"/>
    <w:rsid w:val="00783167"/>
    <w:rsid w:val="007839F2"/>
    <w:rsid w:val="00784085"/>
    <w:rsid w:val="0078742B"/>
    <w:rsid w:val="00787DEB"/>
    <w:rsid w:val="0079132A"/>
    <w:rsid w:val="0079224A"/>
    <w:rsid w:val="00792F60"/>
    <w:rsid w:val="0079357A"/>
    <w:rsid w:val="00793E41"/>
    <w:rsid w:val="0079419E"/>
    <w:rsid w:val="007951C9"/>
    <w:rsid w:val="00795892"/>
    <w:rsid w:val="00796E64"/>
    <w:rsid w:val="00797607"/>
    <w:rsid w:val="00797978"/>
    <w:rsid w:val="00797D8B"/>
    <w:rsid w:val="007A1906"/>
    <w:rsid w:val="007A3108"/>
    <w:rsid w:val="007A3C28"/>
    <w:rsid w:val="007A40C5"/>
    <w:rsid w:val="007A5CD3"/>
    <w:rsid w:val="007A7BC4"/>
    <w:rsid w:val="007B2FBA"/>
    <w:rsid w:val="007B390B"/>
    <w:rsid w:val="007B3EBD"/>
    <w:rsid w:val="007B62EB"/>
    <w:rsid w:val="007C06A9"/>
    <w:rsid w:val="007C42E5"/>
    <w:rsid w:val="007C4BB1"/>
    <w:rsid w:val="007C588A"/>
    <w:rsid w:val="007C5989"/>
    <w:rsid w:val="007C661D"/>
    <w:rsid w:val="007C778C"/>
    <w:rsid w:val="007D0032"/>
    <w:rsid w:val="007D1F6A"/>
    <w:rsid w:val="007D26F3"/>
    <w:rsid w:val="007D4A54"/>
    <w:rsid w:val="007D62E0"/>
    <w:rsid w:val="007D6527"/>
    <w:rsid w:val="007D7171"/>
    <w:rsid w:val="007D7616"/>
    <w:rsid w:val="007D76FF"/>
    <w:rsid w:val="007E0085"/>
    <w:rsid w:val="007E061F"/>
    <w:rsid w:val="007E1296"/>
    <w:rsid w:val="007E1591"/>
    <w:rsid w:val="007E1769"/>
    <w:rsid w:val="007E1E69"/>
    <w:rsid w:val="007E4214"/>
    <w:rsid w:val="007E46D0"/>
    <w:rsid w:val="007E543A"/>
    <w:rsid w:val="007E5D4B"/>
    <w:rsid w:val="007E6C9A"/>
    <w:rsid w:val="007E7399"/>
    <w:rsid w:val="007E7E9E"/>
    <w:rsid w:val="007F0695"/>
    <w:rsid w:val="007F0F69"/>
    <w:rsid w:val="007F103A"/>
    <w:rsid w:val="007F439C"/>
    <w:rsid w:val="007F4C30"/>
    <w:rsid w:val="007F64E7"/>
    <w:rsid w:val="007F7596"/>
    <w:rsid w:val="007F7FFC"/>
    <w:rsid w:val="0080151B"/>
    <w:rsid w:val="00801DCD"/>
    <w:rsid w:val="0080218E"/>
    <w:rsid w:val="00802AEF"/>
    <w:rsid w:val="00802E83"/>
    <w:rsid w:val="00802F49"/>
    <w:rsid w:val="008044DF"/>
    <w:rsid w:val="00804679"/>
    <w:rsid w:val="00804E3A"/>
    <w:rsid w:val="00805AEF"/>
    <w:rsid w:val="00806802"/>
    <w:rsid w:val="00806ADC"/>
    <w:rsid w:val="008071AB"/>
    <w:rsid w:val="008072DA"/>
    <w:rsid w:val="00813C3D"/>
    <w:rsid w:val="00814869"/>
    <w:rsid w:val="00816013"/>
    <w:rsid w:val="00816FEF"/>
    <w:rsid w:val="00820646"/>
    <w:rsid w:val="008221C5"/>
    <w:rsid w:val="0082225C"/>
    <w:rsid w:val="00822DC5"/>
    <w:rsid w:val="00824157"/>
    <w:rsid w:val="00824EC0"/>
    <w:rsid w:val="00825764"/>
    <w:rsid w:val="0082751B"/>
    <w:rsid w:val="00830462"/>
    <w:rsid w:val="00834325"/>
    <w:rsid w:val="00834A05"/>
    <w:rsid w:val="00834DBE"/>
    <w:rsid w:val="00834EF2"/>
    <w:rsid w:val="00835E5C"/>
    <w:rsid w:val="00842B0D"/>
    <w:rsid w:val="00842F17"/>
    <w:rsid w:val="00843500"/>
    <w:rsid w:val="00845428"/>
    <w:rsid w:val="00850DB8"/>
    <w:rsid w:val="00851201"/>
    <w:rsid w:val="00852357"/>
    <w:rsid w:val="00852CE7"/>
    <w:rsid w:val="00853597"/>
    <w:rsid w:val="00854036"/>
    <w:rsid w:val="00854E6B"/>
    <w:rsid w:val="00860F82"/>
    <w:rsid w:val="0086131F"/>
    <w:rsid w:val="00861615"/>
    <w:rsid w:val="008624CF"/>
    <w:rsid w:val="00863D45"/>
    <w:rsid w:val="00864B2D"/>
    <w:rsid w:val="008675D6"/>
    <w:rsid w:val="00871657"/>
    <w:rsid w:val="0087278D"/>
    <w:rsid w:val="00874048"/>
    <w:rsid w:val="00874352"/>
    <w:rsid w:val="00874D53"/>
    <w:rsid w:val="00874DAD"/>
    <w:rsid w:val="00875859"/>
    <w:rsid w:val="00875E79"/>
    <w:rsid w:val="0087723F"/>
    <w:rsid w:val="00877F4A"/>
    <w:rsid w:val="00880952"/>
    <w:rsid w:val="00880FE2"/>
    <w:rsid w:val="008821C8"/>
    <w:rsid w:val="00882F4C"/>
    <w:rsid w:val="008836C5"/>
    <w:rsid w:val="00883DC5"/>
    <w:rsid w:val="0088419B"/>
    <w:rsid w:val="00884536"/>
    <w:rsid w:val="00885C31"/>
    <w:rsid w:val="00886029"/>
    <w:rsid w:val="00886482"/>
    <w:rsid w:val="008864E5"/>
    <w:rsid w:val="00886643"/>
    <w:rsid w:val="0089094D"/>
    <w:rsid w:val="0089182A"/>
    <w:rsid w:val="008926F7"/>
    <w:rsid w:val="00893220"/>
    <w:rsid w:val="0089427B"/>
    <w:rsid w:val="0089444F"/>
    <w:rsid w:val="00897AC2"/>
    <w:rsid w:val="008A07FB"/>
    <w:rsid w:val="008A08C1"/>
    <w:rsid w:val="008A176E"/>
    <w:rsid w:val="008A253F"/>
    <w:rsid w:val="008A2885"/>
    <w:rsid w:val="008A3552"/>
    <w:rsid w:val="008A43B4"/>
    <w:rsid w:val="008A4A42"/>
    <w:rsid w:val="008A630B"/>
    <w:rsid w:val="008A67D8"/>
    <w:rsid w:val="008A6985"/>
    <w:rsid w:val="008A786B"/>
    <w:rsid w:val="008B067D"/>
    <w:rsid w:val="008B0D76"/>
    <w:rsid w:val="008B3431"/>
    <w:rsid w:val="008B399C"/>
    <w:rsid w:val="008B4DB7"/>
    <w:rsid w:val="008B5206"/>
    <w:rsid w:val="008B5DE3"/>
    <w:rsid w:val="008B66DF"/>
    <w:rsid w:val="008B6BFB"/>
    <w:rsid w:val="008B6E3E"/>
    <w:rsid w:val="008C1366"/>
    <w:rsid w:val="008C1740"/>
    <w:rsid w:val="008C35CF"/>
    <w:rsid w:val="008C5A82"/>
    <w:rsid w:val="008C63EF"/>
    <w:rsid w:val="008C76F9"/>
    <w:rsid w:val="008C7857"/>
    <w:rsid w:val="008D283F"/>
    <w:rsid w:val="008D2AA3"/>
    <w:rsid w:val="008D3674"/>
    <w:rsid w:val="008D4AAA"/>
    <w:rsid w:val="008E05AD"/>
    <w:rsid w:val="008E1346"/>
    <w:rsid w:val="008E2A4A"/>
    <w:rsid w:val="008E3B69"/>
    <w:rsid w:val="008E3E7A"/>
    <w:rsid w:val="008E549F"/>
    <w:rsid w:val="008E5F96"/>
    <w:rsid w:val="008E671A"/>
    <w:rsid w:val="008F185D"/>
    <w:rsid w:val="008F3210"/>
    <w:rsid w:val="008F3308"/>
    <w:rsid w:val="008F3B6C"/>
    <w:rsid w:val="008F3E99"/>
    <w:rsid w:val="008F3ED9"/>
    <w:rsid w:val="008F45DA"/>
    <w:rsid w:val="008F4B6A"/>
    <w:rsid w:val="008F6882"/>
    <w:rsid w:val="0090294F"/>
    <w:rsid w:val="0090669A"/>
    <w:rsid w:val="00906B62"/>
    <w:rsid w:val="009076D6"/>
    <w:rsid w:val="009103A3"/>
    <w:rsid w:val="0091063C"/>
    <w:rsid w:val="0091393D"/>
    <w:rsid w:val="009145B4"/>
    <w:rsid w:val="00915F0D"/>
    <w:rsid w:val="009160B7"/>
    <w:rsid w:val="009217EA"/>
    <w:rsid w:val="009227C9"/>
    <w:rsid w:val="00924B77"/>
    <w:rsid w:val="0092530F"/>
    <w:rsid w:val="00925FF0"/>
    <w:rsid w:val="009315E6"/>
    <w:rsid w:val="009325E2"/>
    <w:rsid w:val="00937790"/>
    <w:rsid w:val="00942DD3"/>
    <w:rsid w:val="00943755"/>
    <w:rsid w:val="00943799"/>
    <w:rsid w:val="00943805"/>
    <w:rsid w:val="00944438"/>
    <w:rsid w:val="00944B4B"/>
    <w:rsid w:val="00945540"/>
    <w:rsid w:val="00946DB0"/>
    <w:rsid w:val="0094739B"/>
    <w:rsid w:val="009477A8"/>
    <w:rsid w:val="0095004B"/>
    <w:rsid w:val="00950F91"/>
    <w:rsid w:val="00951E41"/>
    <w:rsid w:val="00952795"/>
    <w:rsid w:val="009527CF"/>
    <w:rsid w:val="00952933"/>
    <w:rsid w:val="00953FCC"/>
    <w:rsid w:val="00955BEE"/>
    <w:rsid w:val="00957443"/>
    <w:rsid w:val="00957447"/>
    <w:rsid w:val="00957843"/>
    <w:rsid w:val="00961B24"/>
    <w:rsid w:val="0096248A"/>
    <w:rsid w:val="009625BE"/>
    <w:rsid w:val="00963D92"/>
    <w:rsid w:val="00965DD7"/>
    <w:rsid w:val="009667D2"/>
    <w:rsid w:val="00966A89"/>
    <w:rsid w:val="00970095"/>
    <w:rsid w:val="00970927"/>
    <w:rsid w:val="0097258B"/>
    <w:rsid w:val="009729D9"/>
    <w:rsid w:val="00972B4C"/>
    <w:rsid w:val="00973477"/>
    <w:rsid w:val="00974414"/>
    <w:rsid w:val="0097460C"/>
    <w:rsid w:val="00976FAD"/>
    <w:rsid w:val="009816B3"/>
    <w:rsid w:val="00983315"/>
    <w:rsid w:val="009836E8"/>
    <w:rsid w:val="009861F3"/>
    <w:rsid w:val="00987C86"/>
    <w:rsid w:val="009909A2"/>
    <w:rsid w:val="0099227A"/>
    <w:rsid w:val="0099328C"/>
    <w:rsid w:val="00993C3A"/>
    <w:rsid w:val="009955D3"/>
    <w:rsid w:val="00995C22"/>
    <w:rsid w:val="009961B4"/>
    <w:rsid w:val="00996597"/>
    <w:rsid w:val="00996A4D"/>
    <w:rsid w:val="009973C4"/>
    <w:rsid w:val="009A201B"/>
    <w:rsid w:val="009A2A6C"/>
    <w:rsid w:val="009A2D42"/>
    <w:rsid w:val="009A6287"/>
    <w:rsid w:val="009A6D57"/>
    <w:rsid w:val="009A711C"/>
    <w:rsid w:val="009A737A"/>
    <w:rsid w:val="009B3B7A"/>
    <w:rsid w:val="009B438E"/>
    <w:rsid w:val="009B4C4D"/>
    <w:rsid w:val="009B4F58"/>
    <w:rsid w:val="009B5A6B"/>
    <w:rsid w:val="009B60C4"/>
    <w:rsid w:val="009B66AC"/>
    <w:rsid w:val="009B7505"/>
    <w:rsid w:val="009B7814"/>
    <w:rsid w:val="009C0542"/>
    <w:rsid w:val="009C1B9F"/>
    <w:rsid w:val="009C1E23"/>
    <w:rsid w:val="009C34B1"/>
    <w:rsid w:val="009C4726"/>
    <w:rsid w:val="009D050C"/>
    <w:rsid w:val="009D154C"/>
    <w:rsid w:val="009D2C98"/>
    <w:rsid w:val="009D3023"/>
    <w:rsid w:val="009D4477"/>
    <w:rsid w:val="009E0093"/>
    <w:rsid w:val="009E00D5"/>
    <w:rsid w:val="009E1456"/>
    <w:rsid w:val="009E1FF1"/>
    <w:rsid w:val="009E2585"/>
    <w:rsid w:val="009E4279"/>
    <w:rsid w:val="009E52AE"/>
    <w:rsid w:val="009E5F29"/>
    <w:rsid w:val="009E66E3"/>
    <w:rsid w:val="009E6F32"/>
    <w:rsid w:val="009E7324"/>
    <w:rsid w:val="009F15D2"/>
    <w:rsid w:val="009F17E0"/>
    <w:rsid w:val="009F659E"/>
    <w:rsid w:val="009F6DEE"/>
    <w:rsid w:val="009F7DC7"/>
    <w:rsid w:val="00A008A7"/>
    <w:rsid w:val="00A01EF7"/>
    <w:rsid w:val="00A03C22"/>
    <w:rsid w:val="00A0491B"/>
    <w:rsid w:val="00A056D7"/>
    <w:rsid w:val="00A05B98"/>
    <w:rsid w:val="00A063C5"/>
    <w:rsid w:val="00A07232"/>
    <w:rsid w:val="00A073A3"/>
    <w:rsid w:val="00A07E12"/>
    <w:rsid w:val="00A10155"/>
    <w:rsid w:val="00A1117C"/>
    <w:rsid w:val="00A114B0"/>
    <w:rsid w:val="00A134F4"/>
    <w:rsid w:val="00A14D1E"/>
    <w:rsid w:val="00A14DF3"/>
    <w:rsid w:val="00A15273"/>
    <w:rsid w:val="00A16A57"/>
    <w:rsid w:val="00A21AA4"/>
    <w:rsid w:val="00A23871"/>
    <w:rsid w:val="00A23891"/>
    <w:rsid w:val="00A2505E"/>
    <w:rsid w:val="00A26FB4"/>
    <w:rsid w:val="00A30FAB"/>
    <w:rsid w:val="00A32A16"/>
    <w:rsid w:val="00A33459"/>
    <w:rsid w:val="00A3452B"/>
    <w:rsid w:val="00A3461D"/>
    <w:rsid w:val="00A36835"/>
    <w:rsid w:val="00A3784B"/>
    <w:rsid w:val="00A37F23"/>
    <w:rsid w:val="00A40B91"/>
    <w:rsid w:val="00A40D19"/>
    <w:rsid w:val="00A41305"/>
    <w:rsid w:val="00A4190B"/>
    <w:rsid w:val="00A42EE7"/>
    <w:rsid w:val="00A45302"/>
    <w:rsid w:val="00A470B2"/>
    <w:rsid w:val="00A504FF"/>
    <w:rsid w:val="00A51115"/>
    <w:rsid w:val="00A52534"/>
    <w:rsid w:val="00A52629"/>
    <w:rsid w:val="00A530F1"/>
    <w:rsid w:val="00A5361F"/>
    <w:rsid w:val="00A53A11"/>
    <w:rsid w:val="00A55A77"/>
    <w:rsid w:val="00A55D9F"/>
    <w:rsid w:val="00A55FA8"/>
    <w:rsid w:val="00A56BDA"/>
    <w:rsid w:val="00A57A95"/>
    <w:rsid w:val="00A57F0D"/>
    <w:rsid w:val="00A60EB4"/>
    <w:rsid w:val="00A61489"/>
    <w:rsid w:val="00A638DA"/>
    <w:rsid w:val="00A64AAF"/>
    <w:rsid w:val="00A64C6A"/>
    <w:rsid w:val="00A66A94"/>
    <w:rsid w:val="00A66C0F"/>
    <w:rsid w:val="00A67DD9"/>
    <w:rsid w:val="00A73233"/>
    <w:rsid w:val="00A741B9"/>
    <w:rsid w:val="00A74745"/>
    <w:rsid w:val="00A75074"/>
    <w:rsid w:val="00A75416"/>
    <w:rsid w:val="00A75DB0"/>
    <w:rsid w:val="00A77531"/>
    <w:rsid w:val="00A77F9C"/>
    <w:rsid w:val="00A8040C"/>
    <w:rsid w:val="00A8099A"/>
    <w:rsid w:val="00A80DE3"/>
    <w:rsid w:val="00A81307"/>
    <w:rsid w:val="00A8138D"/>
    <w:rsid w:val="00A82294"/>
    <w:rsid w:val="00A83529"/>
    <w:rsid w:val="00A83655"/>
    <w:rsid w:val="00A83B24"/>
    <w:rsid w:val="00A846EB"/>
    <w:rsid w:val="00A85177"/>
    <w:rsid w:val="00A860A0"/>
    <w:rsid w:val="00A87767"/>
    <w:rsid w:val="00A87A17"/>
    <w:rsid w:val="00A90032"/>
    <w:rsid w:val="00A92860"/>
    <w:rsid w:val="00A95DFE"/>
    <w:rsid w:val="00A95ED0"/>
    <w:rsid w:val="00AA00E6"/>
    <w:rsid w:val="00AA0A7A"/>
    <w:rsid w:val="00AA2F8F"/>
    <w:rsid w:val="00AA30E8"/>
    <w:rsid w:val="00AA4180"/>
    <w:rsid w:val="00AA4A95"/>
    <w:rsid w:val="00AA5971"/>
    <w:rsid w:val="00AB06F8"/>
    <w:rsid w:val="00AB137A"/>
    <w:rsid w:val="00AB15C5"/>
    <w:rsid w:val="00AB4FFC"/>
    <w:rsid w:val="00AB6C08"/>
    <w:rsid w:val="00AB7B40"/>
    <w:rsid w:val="00AB7F82"/>
    <w:rsid w:val="00AC127E"/>
    <w:rsid w:val="00AC353D"/>
    <w:rsid w:val="00AC39C3"/>
    <w:rsid w:val="00AC586E"/>
    <w:rsid w:val="00AC6294"/>
    <w:rsid w:val="00AC6469"/>
    <w:rsid w:val="00AD0132"/>
    <w:rsid w:val="00AD09C3"/>
    <w:rsid w:val="00AD175B"/>
    <w:rsid w:val="00AD22A8"/>
    <w:rsid w:val="00AD320D"/>
    <w:rsid w:val="00AD4522"/>
    <w:rsid w:val="00AD53A9"/>
    <w:rsid w:val="00AD5DBC"/>
    <w:rsid w:val="00AE0A9B"/>
    <w:rsid w:val="00AE1754"/>
    <w:rsid w:val="00AE1A3A"/>
    <w:rsid w:val="00AE2C84"/>
    <w:rsid w:val="00AE3A4B"/>
    <w:rsid w:val="00AE42AC"/>
    <w:rsid w:val="00AE4759"/>
    <w:rsid w:val="00AE6075"/>
    <w:rsid w:val="00AE7F01"/>
    <w:rsid w:val="00AF07DB"/>
    <w:rsid w:val="00AF09F4"/>
    <w:rsid w:val="00AF16C3"/>
    <w:rsid w:val="00AF2122"/>
    <w:rsid w:val="00AF37D3"/>
    <w:rsid w:val="00AF4222"/>
    <w:rsid w:val="00AF6D6F"/>
    <w:rsid w:val="00AF7A64"/>
    <w:rsid w:val="00AF7AF8"/>
    <w:rsid w:val="00B0093A"/>
    <w:rsid w:val="00B01671"/>
    <w:rsid w:val="00B01D6F"/>
    <w:rsid w:val="00B030D9"/>
    <w:rsid w:val="00B03B57"/>
    <w:rsid w:val="00B04C0A"/>
    <w:rsid w:val="00B06196"/>
    <w:rsid w:val="00B07194"/>
    <w:rsid w:val="00B07215"/>
    <w:rsid w:val="00B0757A"/>
    <w:rsid w:val="00B102EF"/>
    <w:rsid w:val="00B104B9"/>
    <w:rsid w:val="00B11D08"/>
    <w:rsid w:val="00B1287C"/>
    <w:rsid w:val="00B13498"/>
    <w:rsid w:val="00B13DE2"/>
    <w:rsid w:val="00B144B1"/>
    <w:rsid w:val="00B161F3"/>
    <w:rsid w:val="00B17876"/>
    <w:rsid w:val="00B17A4A"/>
    <w:rsid w:val="00B2207C"/>
    <w:rsid w:val="00B227FA"/>
    <w:rsid w:val="00B24EBF"/>
    <w:rsid w:val="00B250FB"/>
    <w:rsid w:val="00B2564D"/>
    <w:rsid w:val="00B25BC6"/>
    <w:rsid w:val="00B303EA"/>
    <w:rsid w:val="00B3041E"/>
    <w:rsid w:val="00B30729"/>
    <w:rsid w:val="00B31DB1"/>
    <w:rsid w:val="00B3271E"/>
    <w:rsid w:val="00B3284C"/>
    <w:rsid w:val="00B33F6F"/>
    <w:rsid w:val="00B36918"/>
    <w:rsid w:val="00B37BE4"/>
    <w:rsid w:val="00B37FB4"/>
    <w:rsid w:val="00B41978"/>
    <w:rsid w:val="00B4613F"/>
    <w:rsid w:val="00B46C9E"/>
    <w:rsid w:val="00B518EC"/>
    <w:rsid w:val="00B51A77"/>
    <w:rsid w:val="00B52474"/>
    <w:rsid w:val="00B53C84"/>
    <w:rsid w:val="00B54B88"/>
    <w:rsid w:val="00B54C88"/>
    <w:rsid w:val="00B6047D"/>
    <w:rsid w:val="00B627C8"/>
    <w:rsid w:val="00B629BF"/>
    <w:rsid w:val="00B63734"/>
    <w:rsid w:val="00B638C2"/>
    <w:rsid w:val="00B63998"/>
    <w:rsid w:val="00B63F18"/>
    <w:rsid w:val="00B63F74"/>
    <w:rsid w:val="00B64323"/>
    <w:rsid w:val="00B6500F"/>
    <w:rsid w:val="00B65939"/>
    <w:rsid w:val="00B66468"/>
    <w:rsid w:val="00B6717B"/>
    <w:rsid w:val="00B70089"/>
    <w:rsid w:val="00B70293"/>
    <w:rsid w:val="00B70B26"/>
    <w:rsid w:val="00B70F32"/>
    <w:rsid w:val="00B7141C"/>
    <w:rsid w:val="00B716EE"/>
    <w:rsid w:val="00B72761"/>
    <w:rsid w:val="00B72CBE"/>
    <w:rsid w:val="00B73434"/>
    <w:rsid w:val="00B74C6C"/>
    <w:rsid w:val="00B75199"/>
    <w:rsid w:val="00B75921"/>
    <w:rsid w:val="00B76677"/>
    <w:rsid w:val="00B77BCE"/>
    <w:rsid w:val="00B77E05"/>
    <w:rsid w:val="00B8000B"/>
    <w:rsid w:val="00B8289C"/>
    <w:rsid w:val="00B847AA"/>
    <w:rsid w:val="00B84C80"/>
    <w:rsid w:val="00B84EB9"/>
    <w:rsid w:val="00B8501B"/>
    <w:rsid w:val="00B851C4"/>
    <w:rsid w:val="00B86CF2"/>
    <w:rsid w:val="00B879A9"/>
    <w:rsid w:val="00B918A5"/>
    <w:rsid w:val="00B92712"/>
    <w:rsid w:val="00B92DBE"/>
    <w:rsid w:val="00B93255"/>
    <w:rsid w:val="00B93D70"/>
    <w:rsid w:val="00B95914"/>
    <w:rsid w:val="00B95A94"/>
    <w:rsid w:val="00BA074B"/>
    <w:rsid w:val="00BA1204"/>
    <w:rsid w:val="00BA33C1"/>
    <w:rsid w:val="00BA3594"/>
    <w:rsid w:val="00BA3963"/>
    <w:rsid w:val="00BA51BB"/>
    <w:rsid w:val="00BA7C44"/>
    <w:rsid w:val="00BB14DA"/>
    <w:rsid w:val="00BB27E3"/>
    <w:rsid w:val="00BB3934"/>
    <w:rsid w:val="00BB3A4C"/>
    <w:rsid w:val="00BB5107"/>
    <w:rsid w:val="00BB5F4A"/>
    <w:rsid w:val="00BC006A"/>
    <w:rsid w:val="00BC3800"/>
    <w:rsid w:val="00BC44C1"/>
    <w:rsid w:val="00BC6C42"/>
    <w:rsid w:val="00BD11B3"/>
    <w:rsid w:val="00BD26C1"/>
    <w:rsid w:val="00BD28E3"/>
    <w:rsid w:val="00BD2D52"/>
    <w:rsid w:val="00BD2F72"/>
    <w:rsid w:val="00BD4532"/>
    <w:rsid w:val="00BD4EA5"/>
    <w:rsid w:val="00BD5A1E"/>
    <w:rsid w:val="00BD6946"/>
    <w:rsid w:val="00BE2A9A"/>
    <w:rsid w:val="00BE5568"/>
    <w:rsid w:val="00BE5C89"/>
    <w:rsid w:val="00BE5EBD"/>
    <w:rsid w:val="00BE79AA"/>
    <w:rsid w:val="00BF13EF"/>
    <w:rsid w:val="00BF2535"/>
    <w:rsid w:val="00BF443F"/>
    <w:rsid w:val="00BF46BC"/>
    <w:rsid w:val="00BF562C"/>
    <w:rsid w:val="00BF60F8"/>
    <w:rsid w:val="00BF6E57"/>
    <w:rsid w:val="00C0067C"/>
    <w:rsid w:val="00C02EC3"/>
    <w:rsid w:val="00C04D41"/>
    <w:rsid w:val="00C057DF"/>
    <w:rsid w:val="00C10313"/>
    <w:rsid w:val="00C115D7"/>
    <w:rsid w:val="00C11A07"/>
    <w:rsid w:val="00C13971"/>
    <w:rsid w:val="00C13A6D"/>
    <w:rsid w:val="00C14364"/>
    <w:rsid w:val="00C14741"/>
    <w:rsid w:val="00C15D07"/>
    <w:rsid w:val="00C165C9"/>
    <w:rsid w:val="00C2086B"/>
    <w:rsid w:val="00C20E16"/>
    <w:rsid w:val="00C24790"/>
    <w:rsid w:val="00C25CFF"/>
    <w:rsid w:val="00C26C15"/>
    <w:rsid w:val="00C31AD2"/>
    <w:rsid w:val="00C33949"/>
    <w:rsid w:val="00C33D8A"/>
    <w:rsid w:val="00C34B61"/>
    <w:rsid w:val="00C3549F"/>
    <w:rsid w:val="00C35A69"/>
    <w:rsid w:val="00C37249"/>
    <w:rsid w:val="00C404B1"/>
    <w:rsid w:val="00C40AA3"/>
    <w:rsid w:val="00C43C39"/>
    <w:rsid w:val="00C45686"/>
    <w:rsid w:val="00C47575"/>
    <w:rsid w:val="00C47940"/>
    <w:rsid w:val="00C4795E"/>
    <w:rsid w:val="00C50ABC"/>
    <w:rsid w:val="00C5183E"/>
    <w:rsid w:val="00C52376"/>
    <w:rsid w:val="00C523A0"/>
    <w:rsid w:val="00C52BC5"/>
    <w:rsid w:val="00C531A3"/>
    <w:rsid w:val="00C541FB"/>
    <w:rsid w:val="00C612E7"/>
    <w:rsid w:val="00C618B0"/>
    <w:rsid w:val="00C63066"/>
    <w:rsid w:val="00C63960"/>
    <w:rsid w:val="00C6594E"/>
    <w:rsid w:val="00C65F6D"/>
    <w:rsid w:val="00C6606C"/>
    <w:rsid w:val="00C66CF3"/>
    <w:rsid w:val="00C6792A"/>
    <w:rsid w:val="00C722AD"/>
    <w:rsid w:val="00C72C22"/>
    <w:rsid w:val="00C73B7D"/>
    <w:rsid w:val="00C743E7"/>
    <w:rsid w:val="00C75092"/>
    <w:rsid w:val="00C75511"/>
    <w:rsid w:val="00C75F6F"/>
    <w:rsid w:val="00C7640D"/>
    <w:rsid w:val="00C76AB2"/>
    <w:rsid w:val="00C81503"/>
    <w:rsid w:val="00C81522"/>
    <w:rsid w:val="00C8393D"/>
    <w:rsid w:val="00C87A7D"/>
    <w:rsid w:val="00C9107C"/>
    <w:rsid w:val="00C920DE"/>
    <w:rsid w:val="00C952A8"/>
    <w:rsid w:val="00C95782"/>
    <w:rsid w:val="00CA0A08"/>
    <w:rsid w:val="00CA138D"/>
    <w:rsid w:val="00CA2D70"/>
    <w:rsid w:val="00CA2EBF"/>
    <w:rsid w:val="00CA3A30"/>
    <w:rsid w:val="00CA5AF9"/>
    <w:rsid w:val="00CB1DA2"/>
    <w:rsid w:val="00CB2A97"/>
    <w:rsid w:val="00CB2D88"/>
    <w:rsid w:val="00CB3242"/>
    <w:rsid w:val="00CB4A5C"/>
    <w:rsid w:val="00CB54DE"/>
    <w:rsid w:val="00CC337E"/>
    <w:rsid w:val="00CD26AD"/>
    <w:rsid w:val="00CD31D3"/>
    <w:rsid w:val="00CD33FE"/>
    <w:rsid w:val="00CD38C6"/>
    <w:rsid w:val="00CD3E82"/>
    <w:rsid w:val="00CE00D8"/>
    <w:rsid w:val="00CE0127"/>
    <w:rsid w:val="00CE0D85"/>
    <w:rsid w:val="00CE2088"/>
    <w:rsid w:val="00CE20E2"/>
    <w:rsid w:val="00CE4324"/>
    <w:rsid w:val="00CE5495"/>
    <w:rsid w:val="00CE58A1"/>
    <w:rsid w:val="00CE6D34"/>
    <w:rsid w:val="00CE7663"/>
    <w:rsid w:val="00CE79C2"/>
    <w:rsid w:val="00CF0E7C"/>
    <w:rsid w:val="00CF1A58"/>
    <w:rsid w:val="00CF288A"/>
    <w:rsid w:val="00CF31E1"/>
    <w:rsid w:val="00CF37A1"/>
    <w:rsid w:val="00CF3AB8"/>
    <w:rsid w:val="00CF44AC"/>
    <w:rsid w:val="00CF65E9"/>
    <w:rsid w:val="00CF66D3"/>
    <w:rsid w:val="00D00529"/>
    <w:rsid w:val="00D0148B"/>
    <w:rsid w:val="00D014CF"/>
    <w:rsid w:val="00D03D9F"/>
    <w:rsid w:val="00D04841"/>
    <w:rsid w:val="00D06C94"/>
    <w:rsid w:val="00D06CE2"/>
    <w:rsid w:val="00D110E0"/>
    <w:rsid w:val="00D12CE1"/>
    <w:rsid w:val="00D12F1B"/>
    <w:rsid w:val="00D2028F"/>
    <w:rsid w:val="00D227B6"/>
    <w:rsid w:val="00D22DAE"/>
    <w:rsid w:val="00D22DE2"/>
    <w:rsid w:val="00D23056"/>
    <w:rsid w:val="00D237DE"/>
    <w:rsid w:val="00D2400A"/>
    <w:rsid w:val="00D25B08"/>
    <w:rsid w:val="00D26E91"/>
    <w:rsid w:val="00D27EB5"/>
    <w:rsid w:val="00D311DD"/>
    <w:rsid w:val="00D31FE6"/>
    <w:rsid w:val="00D3252E"/>
    <w:rsid w:val="00D33507"/>
    <w:rsid w:val="00D33D90"/>
    <w:rsid w:val="00D3702C"/>
    <w:rsid w:val="00D3717F"/>
    <w:rsid w:val="00D3767F"/>
    <w:rsid w:val="00D40AA9"/>
    <w:rsid w:val="00D40D3A"/>
    <w:rsid w:val="00D40DB7"/>
    <w:rsid w:val="00D41A00"/>
    <w:rsid w:val="00D424E9"/>
    <w:rsid w:val="00D43389"/>
    <w:rsid w:val="00D43CA7"/>
    <w:rsid w:val="00D4456E"/>
    <w:rsid w:val="00D455B9"/>
    <w:rsid w:val="00D46A34"/>
    <w:rsid w:val="00D5017B"/>
    <w:rsid w:val="00D51CF2"/>
    <w:rsid w:val="00D554FF"/>
    <w:rsid w:val="00D559E8"/>
    <w:rsid w:val="00D56432"/>
    <w:rsid w:val="00D56D67"/>
    <w:rsid w:val="00D65045"/>
    <w:rsid w:val="00D655E1"/>
    <w:rsid w:val="00D70F9C"/>
    <w:rsid w:val="00D715AB"/>
    <w:rsid w:val="00D717E4"/>
    <w:rsid w:val="00D722AB"/>
    <w:rsid w:val="00D72E09"/>
    <w:rsid w:val="00D74361"/>
    <w:rsid w:val="00D74799"/>
    <w:rsid w:val="00D7497F"/>
    <w:rsid w:val="00D74E3D"/>
    <w:rsid w:val="00D75085"/>
    <w:rsid w:val="00D77F3E"/>
    <w:rsid w:val="00D80D39"/>
    <w:rsid w:val="00D81CDC"/>
    <w:rsid w:val="00D8364C"/>
    <w:rsid w:val="00D91E86"/>
    <w:rsid w:val="00D923A5"/>
    <w:rsid w:val="00D94208"/>
    <w:rsid w:val="00D94BA7"/>
    <w:rsid w:val="00D95362"/>
    <w:rsid w:val="00D95C10"/>
    <w:rsid w:val="00DA23B3"/>
    <w:rsid w:val="00DA2AA7"/>
    <w:rsid w:val="00DA4037"/>
    <w:rsid w:val="00DA49CF"/>
    <w:rsid w:val="00DA7A25"/>
    <w:rsid w:val="00DA7F3B"/>
    <w:rsid w:val="00DB0833"/>
    <w:rsid w:val="00DB3A16"/>
    <w:rsid w:val="00DB410A"/>
    <w:rsid w:val="00DB5A71"/>
    <w:rsid w:val="00DB7579"/>
    <w:rsid w:val="00DC00E0"/>
    <w:rsid w:val="00DC072E"/>
    <w:rsid w:val="00DC0B88"/>
    <w:rsid w:val="00DC15FC"/>
    <w:rsid w:val="00DC1695"/>
    <w:rsid w:val="00DC228F"/>
    <w:rsid w:val="00DC2482"/>
    <w:rsid w:val="00DC24E2"/>
    <w:rsid w:val="00DC3CEA"/>
    <w:rsid w:val="00DC479E"/>
    <w:rsid w:val="00DC75C5"/>
    <w:rsid w:val="00DD1B85"/>
    <w:rsid w:val="00DD423C"/>
    <w:rsid w:val="00DD5423"/>
    <w:rsid w:val="00DD5F52"/>
    <w:rsid w:val="00DD63E7"/>
    <w:rsid w:val="00DD7786"/>
    <w:rsid w:val="00DE05DF"/>
    <w:rsid w:val="00DE06C1"/>
    <w:rsid w:val="00DE131C"/>
    <w:rsid w:val="00DE252B"/>
    <w:rsid w:val="00DE2D7F"/>
    <w:rsid w:val="00DE6510"/>
    <w:rsid w:val="00DE6886"/>
    <w:rsid w:val="00DE6A27"/>
    <w:rsid w:val="00DF00FA"/>
    <w:rsid w:val="00DF059D"/>
    <w:rsid w:val="00DF2349"/>
    <w:rsid w:val="00DF279A"/>
    <w:rsid w:val="00DF327A"/>
    <w:rsid w:val="00DF35AF"/>
    <w:rsid w:val="00DF72DA"/>
    <w:rsid w:val="00E00C33"/>
    <w:rsid w:val="00E00E8C"/>
    <w:rsid w:val="00E0258D"/>
    <w:rsid w:val="00E0264C"/>
    <w:rsid w:val="00E02F0C"/>
    <w:rsid w:val="00E0322F"/>
    <w:rsid w:val="00E047AD"/>
    <w:rsid w:val="00E04C7E"/>
    <w:rsid w:val="00E10DA4"/>
    <w:rsid w:val="00E12AE6"/>
    <w:rsid w:val="00E12B4F"/>
    <w:rsid w:val="00E15040"/>
    <w:rsid w:val="00E16C82"/>
    <w:rsid w:val="00E17A52"/>
    <w:rsid w:val="00E17E98"/>
    <w:rsid w:val="00E202B1"/>
    <w:rsid w:val="00E20C87"/>
    <w:rsid w:val="00E22E3F"/>
    <w:rsid w:val="00E24338"/>
    <w:rsid w:val="00E2464E"/>
    <w:rsid w:val="00E246CB"/>
    <w:rsid w:val="00E26755"/>
    <w:rsid w:val="00E2680A"/>
    <w:rsid w:val="00E2772D"/>
    <w:rsid w:val="00E31ECF"/>
    <w:rsid w:val="00E3251B"/>
    <w:rsid w:val="00E32529"/>
    <w:rsid w:val="00E33353"/>
    <w:rsid w:val="00E34587"/>
    <w:rsid w:val="00E35666"/>
    <w:rsid w:val="00E36542"/>
    <w:rsid w:val="00E366EA"/>
    <w:rsid w:val="00E405CC"/>
    <w:rsid w:val="00E4140D"/>
    <w:rsid w:val="00E41DCD"/>
    <w:rsid w:val="00E4271D"/>
    <w:rsid w:val="00E42EFB"/>
    <w:rsid w:val="00E4322A"/>
    <w:rsid w:val="00E4669A"/>
    <w:rsid w:val="00E468EB"/>
    <w:rsid w:val="00E47466"/>
    <w:rsid w:val="00E477F9"/>
    <w:rsid w:val="00E47A82"/>
    <w:rsid w:val="00E50A05"/>
    <w:rsid w:val="00E51B98"/>
    <w:rsid w:val="00E5303A"/>
    <w:rsid w:val="00E53828"/>
    <w:rsid w:val="00E5455A"/>
    <w:rsid w:val="00E5460F"/>
    <w:rsid w:val="00E54777"/>
    <w:rsid w:val="00E54EA4"/>
    <w:rsid w:val="00E61C96"/>
    <w:rsid w:val="00E62499"/>
    <w:rsid w:val="00E62E9E"/>
    <w:rsid w:val="00E6342B"/>
    <w:rsid w:val="00E64A1B"/>
    <w:rsid w:val="00E650C2"/>
    <w:rsid w:val="00E65C87"/>
    <w:rsid w:val="00E66554"/>
    <w:rsid w:val="00E6679C"/>
    <w:rsid w:val="00E728A8"/>
    <w:rsid w:val="00E74616"/>
    <w:rsid w:val="00E764DD"/>
    <w:rsid w:val="00E768A9"/>
    <w:rsid w:val="00E80BFC"/>
    <w:rsid w:val="00E80FBA"/>
    <w:rsid w:val="00E81275"/>
    <w:rsid w:val="00E82CF3"/>
    <w:rsid w:val="00E83F55"/>
    <w:rsid w:val="00E84F20"/>
    <w:rsid w:val="00E9094C"/>
    <w:rsid w:val="00E915E9"/>
    <w:rsid w:val="00E92300"/>
    <w:rsid w:val="00E924A0"/>
    <w:rsid w:val="00E92F9D"/>
    <w:rsid w:val="00E93F33"/>
    <w:rsid w:val="00E948F6"/>
    <w:rsid w:val="00E94C3A"/>
    <w:rsid w:val="00E95D39"/>
    <w:rsid w:val="00EA01AB"/>
    <w:rsid w:val="00EA14AD"/>
    <w:rsid w:val="00EA3478"/>
    <w:rsid w:val="00EA50D6"/>
    <w:rsid w:val="00EA61CA"/>
    <w:rsid w:val="00EA6843"/>
    <w:rsid w:val="00EA7B0E"/>
    <w:rsid w:val="00EB0FD7"/>
    <w:rsid w:val="00EB1FA3"/>
    <w:rsid w:val="00EB2441"/>
    <w:rsid w:val="00EB2719"/>
    <w:rsid w:val="00EB3BC2"/>
    <w:rsid w:val="00EB470A"/>
    <w:rsid w:val="00EB48B2"/>
    <w:rsid w:val="00EB6655"/>
    <w:rsid w:val="00EC1A18"/>
    <w:rsid w:val="00EC3EC4"/>
    <w:rsid w:val="00EC4289"/>
    <w:rsid w:val="00EC6712"/>
    <w:rsid w:val="00EC698A"/>
    <w:rsid w:val="00EC71A9"/>
    <w:rsid w:val="00ED0202"/>
    <w:rsid w:val="00ED0CA0"/>
    <w:rsid w:val="00ED3D21"/>
    <w:rsid w:val="00ED61CC"/>
    <w:rsid w:val="00ED6A25"/>
    <w:rsid w:val="00ED7E5D"/>
    <w:rsid w:val="00ED7F11"/>
    <w:rsid w:val="00EE0DE5"/>
    <w:rsid w:val="00EE4B98"/>
    <w:rsid w:val="00EE6876"/>
    <w:rsid w:val="00EE7C14"/>
    <w:rsid w:val="00EF1A09"/>
    <w:rsid w:val="00EF28B2"/>
    <w:rsid w:val="00EF2F0D"/>
    <w:rsid w:val="00EF3632"/>
    <w:rsid w:val="00EF5511"/>
    <w:rsid w:val="00EF7F60"/>
    <w:rsid w:val="00F00E0B"/>
    <w:rsid w:val="00F00E18"/>
    <w:rsid w:val="00F00F2B"/>
    <w:rsid w:val="00F01AA5"/>
    <w:rsid w:val="00F02124"/>
    <w:rsid w:val="00F022B4"/>
    <w:rsid w:val="00F02663"/>
    <w:rsid w:val="00F0303B"/>
    <w:rsid w:val="00F04F2E"/>
    <w:rsid w:val="00F0505B"/>
    <w:rsid w:val="00F06950"/>
    <w:rsid w:val="00F10223"/>
    <w:rsid w:val="00F11A02"/>
    <w:rsid w:val="00F1356E"/>
    <w:rsid w:val="00F138C5"/>
    <w:rsid w:val="00F13BD6"/>
    <w:rsid w:val="00F14360"/>
    <w:rsid w:val="00F15580"/>
    <w:rsid w:val="00F16DC8"/>
    <w:rsid w:val="00F16EF1"/>
    <w:rsid w:val="00F17351"/>
    <w:rsid w:val="00F217F0"/>
    <w:rsid w:val="00F23F02"/>
    <w:rsid w:val="00F2671B"/>
    <w:rsid w:val="00F27C1D"/>
    <w:rsid w:val="00F30152"/>
    <w:rsid w:val="00F317AD"/>
    <w:rsid w:val="00F320EF"/>
    <w:rsid w:val="00F3261D"/>
    <w:rsid w:val="00F3277A"/>
    <w:rsid w:val="00F33BA3"/>
    <w:rsid w:val="00F35D1A"/>
    <w:rsid w:val="00F361D0"/>
    <w:rsid w:val="00F40461"/>
    <w:rsid w:val="00F40FC5"/>
    <w:rsid w:val="00F435C0"/>
    <w:rsid w:val="00F440A6"/>
    <w:rsid w:val="00F44E02"/>
    <w:rsid w:val="00F4520A"/>
    <w:rsid w:val="00F453E7"/>
    <w:rsid w:val="00F45EAD"/>
    <w:rsid w:val="00F5063F"/>
    <w:rsid w:val="00F51652"/>
    <w:rsid w:val="00F55BFC"/>
    <w:rsid w:val="00F57789"/>
    <w:rsid w:val="00F60BDF"/>
    <w:rsid w:val="00F614FD"/>
    <w:rsid w:val="00F61586"/>
    <w:rsid w:val="00F61729"/>
    <w:rsid w:val="00F61873"/>
    <w:rsid w:val="00F6373F"/>
    <w:rsid w:val="00F66949"/>
    <w:rsid w:val="00F67635"/>
    <w:rsid w:val="00F710BD"/>
    <w:rsid w:val="00F71C8D"/>
    <w:rsid w:val="00F7255E"/>
    <w:rsid w:val="00F72A57"/>
    <w:rsid w:val="00F73252"/>
    <w:rsid w:val="00F73C13"/>
    <w:rsid w:val="00F77079"/>
    <w:rsid w:val="00F77522"/>
    <w:rsid w:val="00F80C8D"/>
    <w:rsid w:val="00F81D4C"/>
    <w:rsid w:val="00F82794"/>
    <w:rsid w:val="00F82D84"/>
    <w:rsid w:val="00F84E48"/>
    <w:rsid w:val="00F85133"/>
    <w:rsid w:val="00F852F0"/>
    <w:rsid w:val="00F86BBF"/>
    <w:rsid w:val="00F877F0"/>
    <w:rsid w:val="00F87952"/>
    <w:rsid w:val="00F90385"/>
    <w:rsid w:val="00F91099"/>
    <w:rsid w:val="00F92CAC"/>
    <w:rsid w:val="00F9302B"/>
    <w:rsid w:val="00F9339C"/>
    <w:rsid w:val="00F939DB"/>
    <w:rsid w:val="00F9560B"/>
    <w:rsid w:val="00F95CCA"/>
    <w:rsid w:val="00F96256"/>
    <w:rsid w:val="00FA139C"/>
    <w:rsid w:val="00FA2084"/>
    <w:rsid w:val="00FA24F0"/>
    <w:rsid w:val="00FB0D9D"/>
    <w:rsid w:val="00FB21C9"/>
    <w:rsid w:val="00FB249B"/>
    <w:rsid w:val="00FB3C5A"/>
    <w:rsid w:val="00FB42CD"/>
    <w:rsid w:val="00FB4DC6"/>
    <w:rsid w:val="00FB6644"/>
    <w:rsid w:val="00FB71C4"/>
    <w:rsid w:val="00FB7436"/>
    <w:rsid w:val="00FC1012"/>
    <w:rsid w:val="00FC3C8B"/>
    <w:rsid w:val="00FC56BE"/>
    <w:rsid w:val="00FC5D4C"/>
    <w:rsid w:val="00FC613A"/>
    <w:rsid w:val="00FC75C5"/>
    <w:rsid w:val="00FD1516"/>
    <w:rsid w:val="00FD2C13"/>
    <w:rsid w:val="00FD4A0F"/>
    <w:rsid w:val="00FD5B95"/>
    <w:rsid w:val="00FD6263"/>
    <w:rsid w:val="00FD6C62"/>
    <w:rsid w:val="00FE0539"/>
    <w:rsid w:val="00FE3352"/>
    <w:rsid w:val="00FE3ACA"/>
    <w:rsid w:val="00FE536A"/>
    <w:rsid w:val="00FE60DE"/>
    <w:rsid w:val="00FE62FD"/>
    <w:rsid w:val="00FE7786"/>
    <w:rsid w:val="00FE7DEF"/>
    <w:rsid w:val="00FF0679"/>
    <w:rsid w:val="00FF06E5"/>
    <w:rsid w:val="00FF0BCD"/>
    <w:rsid w:val="00FF1EE2"/>
    <w:rsid w:val="00FF21DE"/>
    <w:rsid w:val="00FF2CF5"/>
    <w:rsid w:val="00FF55DD"/>
    <w:rsid w:val="00FF5BF3"/>
    <w:rsid w:val="00FF730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3C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859"/>
    <w:rPr>
      <w:rFonts w:ascii="Calibri" w:eastAsia="Calibri" w:hAnsi="Calibri"/>
      <w:sz w:val="22"/>
      <w:szCs w:val="22"/>
      <w:lang w:val="en-US"/>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lang w:eastAsia="x-none"/>
    </w:rPr>
  </w:style>
  <w:style w:type="paragraph" w:styleId="Heading2">
    <w:name w:val="heading 2"/>
    <w:basedOn w:val="Heading1"/>
    <w:next w:val="Normal"/>
    <w:link w:val="Heading2Char"/>
    <w:qFormat/>
    <w:rsid w:val="00C40AA3"/>
    <w:pPr>
      <w:numPr>
        <w:ilvl w:val="1"/>
      </w:numPr>
      <w:tabs>
        <w:tab w:val="clear" w:pos="993"/>
        <w:tab w:val="num" w:pos="851"/>
      </w:tabs>
      <w:spacing w:before="240"/>
      <w:ind w:left="851"/>
      <w:outlineLvl w:val="1"/>
    </w:pPr>
    <w:rPr>
      <w:bCs w:val="0"/>
      <w:i/>
      <w:color w:val="000000"/>
      <w:szCs w:val="26"/>
    </w:rPr>
  </w:style>
  <w:style w:type="paragraph" w:styleId="Heading3">
    <w:name w:val="heading 3"/>
    <w:basedOn w:val="Heading2"/>
    <w:next w:val="Normal"/>
    <w:link w:val="Heading3Char"/>
    <w:qFormat/>
    <w:rsid w:val="00C40AA3"/>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eastAsia="Times New Roman" w:hAnsi="Cambria"/>
      <w:color w:val="243F60"/>
      <w:sz w:val="24"/>
      <w:szCs w:val="24"/>
      <w:lang w:val="en-AU" w:eastAsia="en-AU"/>
    </w:rPr>
  </w:style>
  <w:style w:type="paragraph" w:styleId="Heading6">
    <w:name w:val="heading 6"/>
    <w:basedOn w:val="Normal"/>
    <w:next w:val="Normal"/>
    <w:link w:val="Heading6Char"/>
    <w:qFormat/>
    <w:locked/>
    <w:rsid w:val="00F14C6D"/>
    <w:pPr>
      <w:keepNext/>
      <w:keepLines/>
      <w:spacing w:before="200"/>
      <w:outlineLvl w:val="5"/>
    </w:pPr>
    <w:rPr>
      <w:rFonts w:ascii="Cambria" w:eastAsia="Times New Roman" w:hAnsi="Cambria"/>
      <w:i/>
      <w:iCs/>
      <w:color w:val="243F60"/>
      <w:sz w:val="24"/>
      <w:szCs w:val="24"/>
      <w:lang w:val="en-AU" w:eastAsia="en-AU"/>
    </w:rPr>
  </w:style>
  <w:style w:type="paragraph" w:styleId="Heading7">
    <w:name w:val="heading 7"/>
    <w:basedOn w:val="Normal"/>
    <w:next w:val="Normal"/>
    <w:link w:val="Heading7Char"/>
    <w:qFormat/>
    <w:locked/>
    <w:rsid w:val="00F14C6D"/>
    <w:pPr>
      <w:keepNext/>
      <w:keepLines/>
      <w:spacing w:before="200"/>
      <w:outlineLvl w:val="6"/>
    </w:pPr>
    <w:rPr>
      <w:rFonts w:ascii="Cambria" w:eastAsia="Times New Roman" w:hAnsi="Cambria"/>
      <w:i/>
      <w:iCs/>
      <w:color w:val="404040"/>
      <w:sz w:val="24"/>
      <w:szCs w:val="24"/>
      <w:lang w:val="en-AU" w:eastAsia="en-AU"/>
    </w:rPr>
  </w:style>
  <w:style w:type="paragraph" w:styleId="Heading8">
    <w:name w:val="heading 8"/>
    <w:basedOn w:val="Normal"/>
    <w:next w:val="Normal"/>
    <w:link w:val="Heading8Char"/>
    <w:qFormat/>
    <w:locked/>
    <w:rsid w:val="00F14C6D"/>
    <w:pPr>
      <w:keepNext/>
      <w:keepLines/>
      <w:spacing w:before="200"/>
      <w:outlineLvl w:val="7"/>
    </w:pPr>
    <w:rPr>
      <w:rFonts w:ascii="Cambria" w:eastAsia="Times New Roman" w:hAnsi="Cambria"/>
      <w:color w:val="404040"/>
      <w:sz w:val="20"/>
      <w:szCs w:val="20"/>
      <w:lang w:val="en-AU" w:eastAsia="en-AU"/>
    </w:rPr>
  </w:style>
  <w:style w:type="paragraph" w:styleId="Heading9">
    <w:name w:val="heading 9"/>
    <w:basedOn w:val="Normal"/>
    <w:next w:val="Normal"/>
    <w:link w:val="Heading9Char"/>
    <w:qFormat/>
    <w:locked/>
    <w:rsid w:val="00F14C6D"/>
    <w:pPr>
      <w:keepNext/>
      <w:keepLines/>
      <w:spacing w:before="200"/>
      <w:outlineLvl w:val="8"/>
    </w:pPr>
    <w:rPr>
      <w:rFonts w:ascii="Cambria" w:eastAsia="Times New Roman" w:hAnsi="Cambria"/>
      <w:i/>
      <w:iCs/>
      <w:color w:val="404040"/>
      <w:sz w:val="20"/>
      <w:szCs w:val="20"/>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27AB"/>
    <w:rPr>
      <w:rFonts w:ascii="Calibri" w:eastAsia="Calibri" w:hAnsi="Calibri"/>
      <w:b/>
      <w:bCs/>
      <w:sz w:val="28"/>
      <w:szCs w:val="28"/>
      <w:lang w:val="en-US" w:eastAsia="x-none"/>
    </w:rPr>
  </w:style>
  <w:style w:type="character" w:customStyle="1" w:styleId="Heading2Char">
    <w:name w:val="Heading 2 Char"/>
    <w:link w:val="Heading2"/>
    <w:rsid w:val="00C40AA3"/>
    <w:rPr>
      <w:rFonts w:ascii="Calibri" w:eastAsia="Calibri" w:hAnsi="Calibri"/>
      <w:b/>
      <w:i/>
      <w:color w:val="000000"/>
      <w:sz w:val="28"/>
      <w:szCs w:val="26"/>
      <w:lang w:val="en-US" w:eastAsia="x-none"/>
    </w:rPr>
  </w:style>
  <w:style w:type="character" w:customStyle="1" w:styleId="Heading3Char">
    <w:name w:val="Heading 3 Char"/>
    <w:link w:val="Heading3"/>
    <w:rsid w:val="00C40AA3"/>
    <w:rPr>
      <w:rFonts w:ascii="Calibri" w:eastAsia="Calibri" w:hAnsi="Calibri"/>
      <w:bCs/>
      <w:i/>
      <w:szCs w:val="26"/>
      <w:lang w:val="en-US" w:eastAsia="x-none"/>
    </w:rPr>
  </w:style>
  <w:style w:type="character" w:customStyle="1" w:styleId="Heading4Char">
    <w:name w:val="Heading 4 Char"/>
    <w:link w:val="Heading4"/>
    <w:rsid w:val="00AC27AB"/>
    <w:rPr>
      <w:rFonts w:ascii="Calibri" w:eastAsia="Calibri" w:hAnsi="Calibri"/>
      <w:iCs/>
      <w:szCs w:val="26"/>
      <w:lang w:val="en-US" w:eastAsia="x-none"/>
    </w:rPr>
  </w:style>
  <w:style w:type="character" w:styleId="Strong">
    <w:name w:val="Strong"/>
    <w:qFormat/>
    <w:locked/>
    <w:rsid w:val="000B0A5D"/>
    <w:rPr>
      <w:b/>
      <w:bCs/>
    </w:rPr>
  </w:style>
  <w:style w:type="character" w:customStyle="1" w:styleId="Heading5Char">
    <w:name w:val="Heading 5 Char"/>
    <w:link w:val="Heading5"/>
    <w:semiHidden/>
    <w:rsid w:val="00F14C6D"/>
    <w:rPr>
      <w:rFonts w:ascii="Cambria" w:hAnsi="Cambria"/>
      <w:color w:val="243F60"/>
      <w:sz w:val="24"/>
      <w:szCs w:val="24"/>
      <w:lang w:val="en-AU" w:eastAsia="en-AU" w:bidi="ar-SA"/>
    </w:rPr>
  </w:style>
  <w:style w:type="character" w:customStyle="1" w:styleId="Heading6Char">
    <w:name w:val="Heading 6 Char"/>
    <w:link w:val="Heading6"/>
    <w:semiHidden/>
    <w:rsid w:val="00F14C6D"/>
    <w:rPr>
      <w:rFonts w:ascii="Cambria" w:hAnsi="Cambria"/>
      <w:i/>
      <w:iCs/>
      <w:color w:val="243F60"/>
      <w:sz w:val="24"/>
      <w:szCs w:val="24"/>
      <w:lang w:val="en-AU" w:eastAsia="en-AU" w:bidi="ar-SA"/>
    </w:rPr>
  </w:style>
  <w:style w:type="character" w:customStyle="1" w:styleId="Heading7Char">
    <w:name w:val="Heading 7 Char"/>
    <w:link w:val="Heading7"/>
    <w:semiHidden/>
    <w:rsid w:val="00F14C6D"/>
    <w:rPr>
      <w:rFonts w:ascii="Cambria" w:hAnsi="Cambria"/>
      <w:i/>
      <w:iCs/>
      <w:color w:val="404040"/>
      <w:sz w:val="24"/>
      <w:szCs w:val="24"/>
      <w:lang w:val="en-AU" w:eastAsia="en-AU" w:bidi="ar-SA"/>
    </w:rPr>
  </w:style>
  <w:style w:type="character" w:customStyle="1" w:styleId="Heading8Char">
    <w:name w:val="Heading 8 Char"/>
    <w:link w:val="Heading8"/>
    <w:semiHidden/>
    <w:rsid w:val="00F14C6D"/>
    <w:rPr>
      <w:rFonts w:ascii="Cambria" w:hAnsi="Cambria"/>
      <w:color w:val="404040"/>
      <w:lang w:val="en-AU" w:eastAsia="en-AU" w:bidi="ar-SA"/>
    </w:rPr>
  </w:style>
  <w:style w:type="character" w:customStyle="1" w:styleId="Heading9Char">
    <w:name w:val="Heading 9 Char"/>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jc w:val="right"/>
    </w:pPr>
    <w:rPr>
      <w:rFonts w:ascii="Arial" w:eastAsia="Times New Roman" w:hAnsi="Arial"/>
      <w:szCs w:val="24"/>
      <w:lang w:val="x-none" w:eastAsia="x-none"/>
    </w:rPr>
  </w:style>
  <w:style w:type="character" w:customStyle="1" w:styleId="HeaderChar">
    <w:name w:val="Header Char"/>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jc w:val="right"/>
    </w:pPr>
    <w:rPr>
      <w:rFonts w:ascii="Arial" w:eastAsia="Times New Roman" w:hAnsi="Arial"/>
      <w:szCs w:val="24"/>
      <w:lang w:val="x-none" w:eastAsia="x-none"/>
    </w:rPr>
  </w:style>
  <w:style w:type="character" w:customStyle="1" w:styleId="FooterChar">
    <w:name w:val="Footer Char"/>
    <w:link w:val="Footer"/>
    <w:uiPriority w:val="99"/>
    <w:semiHidden/>
    <w:rsid w:val="00E75D90"/>
    <w:rPr>
      <w:rFonts w:ascii="Arial" w:hAnsi="Arial"/>
      <w:sz w:val="22"/>
      <w:szCs w:val="24"/>
    </w:rPr>
  </w:style>
  <w:style w:type="paragraph" w:styleId="TOC3">
    <w:name w:val="toc 3"/>
    <w:basedOn w:val="Normal"/>
    <w:next w:val="Normal"/>
    <w:autoRedefine/>
    <w:uiPriority w:val="39"/>
    <w:qFormat/>
    <w:locked/>
    <w:rsid w:val="002702D9"/>
    <w:pPr>
      <w:ind w:left="1202" w:hanging="720"/>
    </w:pPr>
    <w:rPr>
      <w:rFonts w:eastAsia="MS Mincho" w:cs="Arial"/>
      <w:i/>
      <w:noProof/>
    </w:rPr>
  </w:style>
  <w:style w:type="character" w:styleId="PlaceholderText">
    <w:name w:val="Placeholder Text"/>
    <w:semiHidden/>
    <w:locked/>
    <w:rsid w:val="00DA536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ind w:left="720" w:hanging="720"/>
    </w:pPr>
    <w:rPr>
      <w:b/>
    </w:rPr>
  </w:style>
  <w:style w:type="paragraph" w:styleId="TOC2">
    <w:name w:val="toc 2"/>
    <w:basedOn w:val="Normal"/>
    <w:next w:val="Normal"/>
    <w:autoRedefine/>
    <w:uiPriority w:val="39"/>
    <w:qFormat/>
    <w:locked/>
    <w:rsid w:val="002702D9"/>
    <w:pPr>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25D5E"/>
    <w:rPr>
      <w:b/>
      <w:sz w:val="28"/>
    </w:rPr>
  </w:style>
  <w:style w:type="paragraph" w:styleId="EndnoteText">
    <w:name w:val="endnote text"/>
    <w:basedOn w:val="Normal"/>
    <w:link w:val="EndnoteTextChar"/>
    <w:rsid w:val="00706FAB"/>
    <w:rPr>
      <w:rFonts w:ascii="Arial" w:eastAsia="Times New Roman" w:hAnsi="Arial"/>
      <w:sz w:val="20"/>
      <w:szCs w:val="20"/>
      <w:lang w:val="en-AU" w:eastAsia="en-AU"/>
    </w:rPr>
  </w:style>
  <w:style w:type="character" w:customStyle="1" w:styleId="EndnoteTextChar">
    <w:name w:val="Endnote Text Char"/>
    <w:link w:val="EndnoteText"/>
    <w:rsid w:val="00706FAB"/>
    <w:rPr>
      <w:rFonts w:ascii="Arial" w:hAnsi="Arial"/>
      <w:lang w:val="en-AU" w:eastAsia="en-AU" w:bidi="ar-SA"/>
    </w:rPr>
  </w:style>
  <w:style w:type="character" w:styleId="EndnoteReference">
    <w:name w:val="endnote reference"/>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aliases w:val="Body Text Char1 Char,Body Text Char Char Char,Body Text Char1,Body Text Char Char,Body Text Char2,Body Text Char Char1,Body Text Char1 Char Char,Body Text Char Char Char Char,Body Text Char1 Char1,Body Text Char Char Char1,Body Text Char3 Char"/>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rsid w:val="00074CD6"/>
    <w:rPr>
      <w:rFonts w:ascii="Arial" w:hAnsi="Arial"/>
      <w:sz w:val="20"/>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 Char,Char, Ch"/>
    <w:basedOn w:val="Normal"/>
    <w:link w:val="FootnoteTextChar"/>
    <w:rsid w:val="00706FAB"/>
    <w:rPr>
      <w:rFonts w:ascii="Arial" w:eastAsia="Times New Roman" w:hAnsi="Arial"/>
      <w:sz w:val="20"/>
      <w:szCs w:val="20"/>
      <w:lang w:val="en-AU" w:eastAsia="en-AU"/>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locked/>
    <w:rsid w:val="00E45954"/>
  </w:style>
  <w:style w:type="paragraph" w:styleId="PlainText">
    <w:name w:val="Plain Text"/>
    <w:basedOn w:val="Normal"/>
    <w:link w:val="PlainTextChar"/>
    <w:uiPriority w:val="99"/>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uiPriority w:val="99"/>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bidi="en-US"/>
    </w:rPr>
  </w:style>
  <w:style w:type="character" w:customStyle="1" w:styleId="CharChar9">
    <w:name w:val="Char Char9"/>
    <w:semiHidden/>
    <w:locked/>
    <w:rsid w:val="001C451B"/>
    <w:rPr>
      <w:rFonts w:ascii="Arial" w:hAnsi="Arial"/>
      <w:bCs/>
      <w:i/>
      <w:sz w:val="24"/>
      <w:szCs w:val="26"/>
      <w:lang w:val="en-AU" w:eastAsia="en-AU" w:bidi="ar-SA"/>
    </w:rPr>
  </w:style>
  <w:style w:type="character" w:customStyle="1" w:styleId="CharChar8">
    <w:name w:val="Char Char8"/>
    <w:semiHidden/>
    <w:locked/>
    <w:rsid w:val="001C451B"/>
    <w:rPr>
      <w:rFonts w:ascii="Arial" w:hAnsi="Arial"/>
      <w:iCs/>
      <w:sz w:val="24"/>
      <w:szCs w:val="26"/>
      <w:lang w:val="en-AU" w:eastAsia="en-AU" w:bidi="ar-SA"/>
    </w:rPr>
  </w:style>
  <w:style w:type="character" w:customStyle="1" w:styleId="CharChar">
    <w:name w:val="Char Char"/>
    <w:semiHidden/>
    <w:locked/>
    <w:rsid w:val="001C451B"/>
    <w:rPr>
      <w:rFonts w:ascii="Arial" w:hAnsi="Arial" w:cs="Arial"/>
      <w:lang w:val="en-AU" w:eastAsia="en-AU" w:bidi="ar-SA"/>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link w:val="FootnoteText"/>
    <w:uiPriority w:val="99"/>
    <w:locked/>
    <w:rsid w:val="00706FAB"/>
    <w:rPr>
      <w:rFonts w:ascii="Arial" w:hAnsi="Arial"/>
      <w:lang w:val="en-AU" w:eastAsia="en-AU" w:bidi="ar-SA"/>
    </w:rPr>
  </w:style>
  <w:style w:type="paragraph" w:customStyle="1" w:styleId="ColorfulList-Accent11">
    <w:name w:val="Colorful List - Accent 11"/>
    <w:basedOn w:val="Normal"/>
    <w:uiPriority w:val="34"/>
    <w:qFormat/>
    <w:rsid w:val="00CC3E84"/>
    <w:pPr>
      <w:ind w:left="720"/>
      <w:contextualSpacing/>
    </w:pPr>
  </w:style>
  <w:style w:type="paragraph" w:customStyle="1" w:styleId="Default">
    <w:name w:val="Default"/>
    <w:link w:val="DefaultChar"/>
    <w:rsid w:val="00D07DD0"/>
    <w:pPr>
      <w:autoSpaceDE w:val="0"/>
      <w:autoSpaceDN w:val="0"/>
      <w:adjustRightInd w:val="0"/>
    </w:pPr>
    <w:rPr>
      <w:rFonts w:ascii="Arial" w:hAnsi="Arial"/>
      <w:color w:val="000000"/>
      <w:lang w:eastAsia="en-AU"/>
    </w:rPr>
  </w:style>
  <w:style w:type="character" w:customStyle="1" w:styleId="A3">
    <w:name w:val="A3"/>
    <w:uiPriority w:val="99"/>
    <w:rsid w:val="00D07DD0"/>
    <w:rPr>
      <w:color w:val="000000"/>
    </w:rPr>
  </w:style>
  <w:style w:type="character" w:customStyle="1" w:styleId="A35">
    <w:name w:val="A35"/>
    <w:uiPriority w:val="99"/>
    <w:rsid w:val="00D07DD0"/>
    <w:rPr>
      <w:color w:val="000000"/>
      <w:sz w:val="16"/>
      <w:szCs w:val="16"/>
      <w:u w:val="single"/>
    </w:rPr>
  </w:style>
  <w:style w:type="character" w:customStyle="1" w:styleId="apple-style-span">
    <w:name w:val="apple-style-span"/>
    <w:uiPriority w:val="99"/>
    <w:rsid w:val="00DD64C1"/>
  </w:style>
  <w:style w:type="paragraph" w:styleId="BalloonText">
    <w:name w:val="Balloon Text"/>
    <w:basedOn w:val="Normal"/>
    <w:link w:val="BalloonTextChar"/>
    <w:locked/>
    <w:rsid w:val="00A86989"/>
    <w:rPr>
      <w:rFonts w:ascii="Tahoma" w:hAnsi="Tahoma"/>
      <w:sz w:val="16"/>
      <w:szCs w:val="16"/>
    </w:rPr>
  </w:style>
  <w:style w:type="character" w:customStyle="1" w:styleId="BalloonTextChar">
    <w:name w:val="Balloon Text Char"/>
    <w:link w:val="BalloonText"/>
    <w:rsid w:val="00A86989"/>
    <w:rPr>
      <w:rFonts w:ascii="Tahoma" w:eastAsia="Calibri" w:hAnsi="Tahoma" w:cs="Tahoma"/>
      <w:sz w:val="16"/>
      <w:szCs w:val="16"/>
      <w:lang w:val="en-US" w:eastAsia="en-US"/>
    </w:rPr>
  </w:style>
  <w:style w:type="paragraph" w:customStyle="1" w:styleId="Pa29">
    <w:name w:val="Pa29"/>
    <w:basedOn w:val="Default"/>
    <w:next w:val="Default"/>
    <w:uiPriority w:val="99"/>
    <w:rsid w:val="003A08B9"/>
    <w:pPr>
      <w:spacing w:line="241" w:lineRule="atLeast"/>
    </w:pPr>
    <w:rPr>
      <w:color w:val="auto"/>
    </w:rPr>
  </w:style>
  <w:style w:type="character" w:customStyle="1" w:styleId="A5">
    <w:name w:val="A5"/>
    <w:uiPriority w:val="99"/>
    <w:rsid w:val="003A08B9"/>
    <w:rPr>
      <w:b/>
      <w:bCs/>
      <w:i/>
      <w:iCs/>
      <w:color w:val="000000"/>
      <w:sz w:val="18"/>
      <w:szCs w:val="18"/>
    </w:rPr>
  </w:style>
  <w:style w:type="paragraph" w:customStyle="1" w:styleId="Bullet">
    <w:name w:val="Bullet"/>
    <w:basedOn w:val="Normal"/>
    <w:rsid w:val="004C3859"/>
    <w:pPr>
      <w:numPr>
        <w:numId w:val="16"/>
      </w:numPr>
      <w:spacing w:after="240"/>
    </w:pPr>
    <w:rPr>
      <w:rFonts w:ascii="Times New Roman" w:eastAsia="Times New Roman" w:hAnsi="Times New Roman"/>
      <w:sz w:val="24"/>
      <w:szCs w:val="20"/>
      <w:lang w:val="en-AU" w:eastAsia="en-AU"/>
    </w:rPr>
  </w:style>
  <w:style w:type="paragraph" w:customStyle="1" w:styleId="Dash">
    <w:name w:val="Dash"/>
    <w:basedOn w:val="Normal"/>
    <w:rsid w:val="004C3859"/>
    <w:pPr>
      <w:numPr>
        <w:ilvl w:val="1"/>
        <w:numId w:val="16"/>
      </w:numPr>
      <w:spacing w:after="240"/>
    </w:pPr>
    <w:rPr>
      <w:rFonts w:ascii="Times New Roman" w:eastAsia="Times New Roman" w:hAnsi="Times New Roman"/>
      <w:sz w:val="24"/>
      <w:szCs w:val="20"/>
      <w:lang w:val="en-AU" w:eastAsia="en-AU"/>
    </w:rPr>
  </w:style>
  <w:style w:type="paragraph" w:customStyle="1" w:styleId="DoubleDot">
    <w:name w:val="Double Dot"/>
    <w:basedOn w:val="Normal"/>
    <w:rsid w:val="004C3859"/>
    <w:pPr>
      <w:numPr>
        <w:ilvl w:val="2"/>
        <w:numId w:val="16"/>
      </w:numPr>
      <w:spacing w:after="240"/>
    </w:pPr>
    <w:rPr>
      <w:rFonts w:ascii="Times New Roman" w:eastAsia="Times New Roman" w:hAnsi="Times New Roman"/>
      <w:sz w:val="24"/>
      <w:szCs w:val="20"/>
      <w:lang w:val="en-AU" w:eastAsia="en-AU"/>
    </w:rPr>
  </w:style>
  <w:style w:type="paragraph" w:customStyle="1" w:styleId="HdMemorandum">
    <w:name w:val="Hd Memorandum"/>
    <w:basedOn w:val="Header"/>
    <w:rsid w:val="004C3859"/>
    <w:pPr>
      <w:widowControl w:val="0"/>
      <w:tabs>
        <w:tab w:val="clear" w:pos="4513"/>
        <w:tab w:val="clear" w:pos="9026"/>
      </w:tabs>
      <w:spacing w:line="120" w:lineRule="exact"/>
    </w:pPr>
    <w:rPr>
      <w:rFonts w:ascii="Times New Roman" w:hAnsi="Times New Roman"/>
      <w:caps/>
      <w:noProof/>
      <w:spacing w:val="20"/>
      <w:w w:val="113"/>
      <w:kern w:val="12"/>
      <w:sz w:val="12"/>
      <w:szCs w:val="20"/>
    </w:rPr>
  </w:style>
  <w:style w:type="paragraph" w:customStyle="1" w:styleId="HdFirstPage">
    <w:name w:val="Hd FirstPage"/>
    <w:rsid w:val="004C3859"/>
    <w:pPr>
      <w:widowControl w:val="0"/>
      <w:spacing w:line="840" w:lineRule="exact"/>
      <w:jc w:val="right"/>
    </w:pPr>
    <w:rPr>
      <w:noProof/>
      <w:spacing w:val="-5"/>
      <w:w w:val="95"/>
      <w:kern w:val="44"/>
      <w:sz w:val="44"/>
      <w:lang w:val="en-US"/>
    </w:rPr>
  </w:style>
  <w:style w:type="character" w:customStyle="1" w:styleId="A8">
    <w:name w:val="A8"/>
    <w:rsid w:val="004C3859"/>
    <w:rPr>
      <w:b/>
      <w:bCs/>
      <w:color w:val="000000"/>
      <w:sz w:val="20"/>
      <w:szCs w:val="20"/>
    </w:rPr>
  </w:style>
  <w:style w:type="character" w:styleId="CommentReference">
    <w:name w:val="annotation reference"/>
    <w:uiPriority w:val="99"/>
    <w:unhideWhenUsed/>
    <w:rsid w:val="004A154B"/>
    <w:rPr>
      <w:sz w:val="18"/>
      <w:szCs w:val="18"/>
    </w:rPr>
  </w:style>
  <w:style w:type="paragraph" w:styleId="CommentText">
    <w:name w:val="annotation text"/>
    <w:basedOn w:val="Normal"/>
    <w:link w:val="CommentTextChar"/>
    <w:uiPriority w:val="99"/>
    <w:unhideWhenUsed/>
    <w:rsid w:val="004A154B"/>
    <w:rPr>
      <w:sz w:val="24"/>
      <w:szCs w:val="24"/>
      <w:lang w:val="x-none" w:eastAsia="x-none"/>
    </w:rPr>
  </w:style>
  <w:style w:type="character" w:customStyle="1" w:styleId="CommentTextChar">
    <w:name w:val="Comment Text Char"/>
    <w:link w:val="CommentText"/>
    <w:uiPriority w:val="99"/>
    <w:rsid w:val="004A154B"/>
    <w:rPr>
      <w:rFonts w:ascii="Calibri" w:eastAsia="Calibri" w:hAnsi="Calibri"/>
      <w:sz w:val="24"/>
      <w:szCs w:val="24"/>
    </w:rPr>
  </w:style>
  <w:style w:type="paragraph" w:styleId="CommentSubject">
    <w:name w:val="annotation subject"/>
    <w:basedOn w:val="CommentText"/>
    <w:next w:val="CommentText"/>
    <w:link w:val="CommentSubjectChar"/>
    <w:uiPriority w:val="99"/>
    <w:semiHidden/>
    <w:unhideWhenUsed/>
    <w:rsid w:val="004A154B"/>
    <w:rPr>
      <w:b/>
      <w:bCs/>
    </w:rPr>
  </w:style>
  <w:style w:type="character" w:customStyle="1" w:styleId="CommentSubjectChar">
    <w:name w:val="Comment Subject Char"/>
    <w:link w:val="CommentSubject"/>
    <w:uiPriority w:val="99"/>
    <w:semiHidden/>
    <w:rsid w:val="004A154B"/>
    <w:rPr>
      <w:rFonts w:ascii="Calibri" w:eastAsia="Calibri" w:hAnsi="Calibri"/>
      <w:b/>
      <w:bCs/>
      <w:sz w:val="24"/>
      <w:szCs w:val="24"/>
    </w:rPr>
  </w:style>
  <w:style w:type="paragraph" w:styleId="ListParagraph">
    <w:name w:val="List Paragraph"/>
    <w:aliases w:val="First level bullet point"/>
    <w:basedOn w:val="Normal"/>
    <w:link w:val="ListParagraphChar"/>
    <w:uiPriority w:val="34"/>
    <w:qFormat/>
    <w:rsid w:val="00C63120"/>
    <w:pPr>
      <w:ind w:left="720"/>
      <w:contextualSpacing/>
    </w:pPr>
  </w:style>
  <w:style w:type="character" w:customStyle="1" w:styleId="DefaultChar">
    <w:name w:val="Default Char"/>
    <w:link w:val="Default"/>
    <w:locked/>
    <w:rsid w:val="001C2B35"/>
    <w:rPr>
      <w:rFonts w:ascii="Arial" w:hAnsi="Arial"/>
      <w:color w:val="000000"/>
      <w:sz w:val="24"/>
      <w:szCs w:val="24"/>
      <w:lang w:bidi="ar-SA"/>
    </w:rPr>
  </w:style>
  <w:style w:type="table" w:customStyle="1" w:styleId="TableGrid10">
    <w:name w:val="Table Grid1"/>
    <w:basedOn w:val="TableNormal"/>
    <w:next w:val="TableGrid"/>
    <w:locked/>
    <w:rsid w:val="00A65B6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Grid11">
    <w:name w:val="Medium Grid 11"/>
    <w:semiHidden/>
    <w:locked/>
    <w:rsid w:val="00F53AC9"/>
    <w:rPr>
      <w:color w:val="808080"/>
    </w:rPr>
  </w:style>
  <w:style w:type="paragraph" w:customStyle="1" w:styleId="ColorfulList-Accent12">
    <w:name w:val="Colorful List - Accent 12"/>
    <w:basedOn w:val="Normal"/>
    <w:qFormat/>
    <w:rsid w:val="00F53AC9"/>
    <w:pPr>
      <w:ind w:left="720"/>
      <w:contextualSpacing/>
    </w:pPr>
  </w:style>
  <w:style w:type="paragraph" w:customStyle="1" w:styleId="MediumGrid1-Accent21">
    <w:name w:val="Medium Grid 1 - Accent 21"/>
    <w:basedOn w:val="Normal"/>
    <w:qFormat/>
    <w:rsid w:val="00DA5364"/>
    <w:pPr>
      <w:ind w:left="720"/>
      <w:contextualSpacing/>
    </w:pPr>
  </w:style>
  <w:style w:type="character" w:customStyle="1" w:styleId="A31">
    <w:name w:val="A31"/>
    <w:rsid w:val="00DA5364"/>
    <w:rPr>
      <w:i/>
      <w:iCs/>
      <w:color w:val="000000"/>
      <w:sz w:val="18"/>
      <w:szCs w:val="18"/>
    </w:rPr>
  </w:style>
  <w:style w:type="paragraph" w:styleId="Revision">
    <w:name w:val="Revision"/>
    <w:hidden/>
    <w:semiHidden/>
    <w:rsid w:val="00DA4BFF"/>
    <w:rPr>
      <w:rFonts w:ascii="Calibri" w:hAnsi="Calibri"/>
      <w:sz w:val="22"/>
      <w:lang w:eastAsia="en-AU"/>
    </w:rPr>
  </w:style>
  <w:style w:type="paragraph" w:styleId="DocumentMap">
    <w:name w:val="Document Map"/>
    <w:basedOn w:val="Normal"/>
    <w:link w:val="DocumentMapChar"/>
    <w:uiPriority w:val="99"/>
    <w:semiHidden/>
    <w:unhideWhenUsed/>
    <w:rsid w:val="007E40DA"/>
    <w:rPr>
      <w:rFonts w:ascii="Lucida Grande" w:hAnsi="Lucida Grande"/>
      <w:sz w:val="24"/>
      <w:szCs w:val="24"/>
      <w:lang w:val="x-none" w:eastAsia="x-none"/>
    </w:rPr>
  </w:style>
  <w:style w:type="character" w:customStyle="1" w:styleId="DocumentMapChar">
    <w:name w:val="Document Map Char"/>
    <w:link w:val="DocumentMap"/>
    <w:uiPriority w:val="99"/>
    <w:semiHidden/>
    <w:rsid w:val="007E40DA"/>
    <w:rPr>
      <w:rFonts w:ascii="Lucida Grande" w:eastAsia="Calibri" w:hAnsi="Lucida Grande"/>
      <w:sz w:val="24"/>
      <w:szCs w:val="24"/>
    </w:rPr>
  </w:style>
  <w:style w:type="character" w:customStyle="1" w:styleId="apple-converted-space">
    <w:name w:val="apple-converted-space"/>
    <w:basedOn w:val="DefaultParagraphFont"/>
    <w:rsid w:val="00F16EF1"/>
  </w:style>
  <w:style w:type="paragraph" w:customStyle="1" w:styleId="Pa0">
    <w:name w:val="Pa0"/>
    <w:basedOn w:val="Default"/>
    <w:next w:val="Default"/>
    <w:uiPriority w:val="99"/>
    <w:rsid w:val="00427E16"/>
    <w:pPr>
      <w:widowControl w:val="0"/>
      <w:spacing w:line="201" w:lineRule="atLeast"/>
    </w:pPr>
    <w:rPr>
      <w:rFonts w:ascii="Myriad Pro" w:eastAsiaTheme="minorEastAsia" w:hAnsi="Myriad Pro"/>
      <w:color w:val="auto"/>
      <w:lang w:val="en-US" w:eastAsia="ja-JP"/>
    </w:rPr>
  </w:style>
  <w:style w:type="character" w:customStyle="1" w:styleId="A2">
    <w:name w:val="A2"/>
    <w:uiPriority w:val="99"/>
    <w:rsid w:val="00427E16"/>
    <w:rPr>
      <w:rFonts w:ascii="Myriad Pro Light" w:hAnsi="Myriad Pro Light" w:cs="Myriad Pro Light"/>
      <w:color w:val="000000"/>
      <w:sz w:val="28"/>
      <w:szCs w:val="28"/>
    </w:rPr>
  </w:style>
  <w:style w:type="character" w:customStyle="1" w:styleId="ListParagraphChar">
    <w:name w:val="List Paragraph Char"/>
    <w:aliases w:val="First level bullet point Char"/>
    <w:link w:val="ListParagraph"/>
    <w:uiPriority w:val="34"/>
    <w:rsid w:val="00FD6263"/>
    <w:rPr>
      <w:rFonts w:ascii="Calibri" w:eastAsia="Calibri" w:hAnsi="Calibri"/>
      <w:sz w:val="22"/>
      <w:szCs w:val="22"/>
      <w:lang w:val="en-US"/>
    </w:rPr>
  </w:style>
  <w:style w:type="paragraph" w:customStyle="1" w:styleId="Pa3">
    <w:name w:val="Pa3"/>
    <w:basedOn w:val="Default"/>
    <w:next w:val="Default"/>
    <w:uiPriority w:val="99"/>
    <w:rsid w:val="006A5B52"/>
    <w:pPr>
      <w:widowControl w:val="0"/>
      <w:spacing w:line="241" w:lineRule="atLeast"/>
    </w:pPr>
    <w:rPr>
      <w:rFonts w:ascii="Archer" w:hAnsi="Archer"/>
      <w:color w:val="auto"/>
      <w:lang w:val="en-US" w:eastAsia="en-US"/>
    </w:rPr>
  </w:style>
  <w:style w:type="paragraph" w:customStyle="1" w:styleId="Pa4">
    <w:name w:val="Pa4"/>
    <w:basedOn w:val="Default"/>
    <w:next w:val="Default"/>
    <w:uiPriority w:val="99"/>
    <w:rsid w:val="006A5B52"/>
    <w:pPr>
      <w:widowControl w:val="0"/>
      <w:spacing w:line="181" w:lineRule="atLeast"/>
    </w:pPr>
    <w:rPr>
      <w:rFonts w:ascii="Archer" w:hAnsi="Archer"/>
      <w:color w:val="auto"/>
      <w:lang w:val="en-US" w:eastAsia="en-US"/>
    </w:rPr>
  </w:style>
  <w:style w:type="paragraph" w:customStyle="1" w:styleId="NormalArial">
    <w:name w:val="Normal + Arial"/>
    <w:basedOn w:val="Normal"/>
    <w:uiPriority w:val="99"/>
    <w:rsid w:val="005716A2"/>
    <w:rPr>
      <w:rFonts w:ascii="Arial" w:eastAsia="MS Mincho" w:hAnsi="Arial" w:cs="Arial"/>
      <w:b/>
      <w:sz w:val="32"/>
      <w:szCs w:val="32"/>
      <w:lang w:val="en-AU" w:eastAsia="ja-JP"/>
    </w:rPr>
  </w:style>
  <w:style w:type="character" w:customStyle="1" w:styleId="PlainTextChar">
    <w:name w:val="Plain Text Char"/>
    <w:basedOn w:val="DefaultParagraphFont"/>
    <w:link w:val="PlainText"/>
    <w:uiPriority w:val="99"/>
    <w:semiHidden/>
    <w:rsid w:val="00192CFB"/>
    <w:rPr>
      <w:rFonts w:ascii="Courier New" w:eastAsia="Calibri" w:hAnsi="Courier New" w:cs="Courier New"/>
      <w:sz w:val="20"/>
      <w:szCs w:val="20"/>
      <w:lang w:val="en-US"/>
    </w:rPr>
  </w:style>
  <w:style w:type="character" w:customStyle="1" w:styleId="SubtitleChar">
    <w:name w:val="Subtitle Char"/>
    <w:basedOn w:val="DefaultParagraphFont"/>
    <w:link w:val="Subtitle"/>
    <w:uiPriority w:val="99"/>
    <w:locked/>
    <w:rsid w:val="0074540C"/>
    <w:rPr>
      <w:rFonts w:ascii="Calibri" w:eastAsia="Calibri" w:hAnsi="Calibri"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859"/>
    <w:rPr>
      <w:rFonts w:ascii="Calibri" w:eastAsia="Calibri" w:hAnsi="Calibri"/>
      <w:sz w:val="22"/>
      <w:szCs w:val="22"/>
      <w:lang w:val="en-US"/>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lang w:eastAsia="x-none"/>
    </w:rPr>
  </w:style>
  <w:style w:type="paragraph" w:styleId="Heading2">
    <w:name w:val="heading 2"/>
    <w:basedOn w:val="Heading1"/>
    <w:next w:val="Normal"/>
    <w:link w:val="Heading2Char"/>
    <w:qFormat/>
    <w:rsid w:val="00C40AA3"/>
    <w:pPr>
      <w:numPr>
        <w:ilvl w:val="1"/>
      </w:numPr>
      <w:tabs>
        <w:tab w:val="clear" w:pos="993"/>
        <w:tab w:val="num" w:pos="851"/>
      </w:tabs>
      <w:spacing w:before="240"/>
      <w:ind w:left="851"/>
      <w:outlineLvl w:val="1"/>
    </w:pPr>
    <w:rPr>
      <w:bCs w:val="0"/>
      <w:i/>
      <w:color w:val="000000"/>
      <w:szCs w:val="26"/>
    </w:rPr>
  </w:style>
  <w:style w:type="paragraph" w:styleId="Heading3">
    <w:name w:val="heading 3"/>
    <w:basedOn w:val="Heading2"/>
    <w:next w:val="Normal"/>
    <w:link w:val="Heading3Char"/>
    <w:qFormat/>
    <w:rsid w:val="00C40AA3"/>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eastAsia="Times New Roman" w:hAnsi="Cambria"/>
      <w:color w:val="243F60"/>
      <w:sz w:val="24"/>
      <w:szCs w:val="24"/>
      <w:lang w:val="en-AU" w:eastAsia="en-AU"/>
    </w:rPr>
  </w:style>
  <w:style w:type="paragraph" w:styleId="Heading6">
    <w:name w:val="heading 6"/>
    <w:basedOn w:val="Normal"/>
    <w:next w:val="Normal"/>
    <w:link w:val="Heading6Char"/>
    <w:qFormat/>
    <w:locked/>
    <w:rsid w:val="00F14C6D"/>
    <w:pPr>
      <w:keepNext/>
      <w:keepLines/>
      <w:spacing w:before="200"/>
      <w:outlineLvl w:val="5"/>
    </w:pPr>
    <w:rPr>
      <w:rFonts w:ascii="Cambria" w:eastAsia="Times New Roman" w:hAnsi="Cambria"/>
      <w:i/>
      <w:iCs/>
      <w:color w:val="243F60"/>
      <w:sz w:val="24"/>
      <w:szCs w:val="24"/>
      <w:lang w:val="en-AU" w:eastAsia="en-AU"/>
    </w:rPr>
  </w:style>
  <w:style w:type="paragraph" w:styleId="Heading7">
    <w:name w:val="heading 7"/>
    <w:basedOn w:val="Normal"/>
    <w:next w:val="Normal"/>
    <w:link w:val="Heading7Char"/>
    <w:qFormat/>
    <w:locked/>
    <w:rsid w:val="00F14C6D"/>
    <w:pPr>
      <w:keepNext/>
      <w:keepLines/>
      <w:spacing w:before="200"/>
      <w:outlineLvl w:val="6"/>
    </w:pPr>
    <w:rPr>
      <w:rFonts w:ascii="Cambria" w:eastAsia="Times New Roman" w:hAnsi="Cambria"/>
      <w:i/>
      <w:iCs/>
      <w:color w:val="404040"/>
      <w:sz w:val="24"/>
      <w:szCs w:val="24"/>
      <w:lang w:val="en-AU" w:eastAsia="en-AU"/>
    </w:rPr>
  </w:style>
  <w:style w:type="paragraph" w:styleId="Heading8">
    <w:name w:val="heading 8"/>
    <w:basedOn w:val="Normal"/>
    <w:next w:val="Normal"/>
    <w:link w:val="Heading8Char"/>
    <w:qFormat/>
    <w:locked/>
    <w:rsid w:val="00F14C6D"/>
    <w:pPr>
      <w:keepNext/>
      <w:keepLines/>
      <w:spacing w:before="200"/>
      <w:outlineLvl w:val="7"/>
    </w:pPr>
    <w:rPr>
      <w:rFonts w:ascii="Cambria" w:eastAsia="Times New Roman" w:hAnsi="Cambria"/>
      <w:color w:val="404040"/>
      <w:sz w:val="20"/>
      <w:szCs w:val="20"/>
      <w:lang w:val="en-AU" w:eastAsia="en-AU"/>
    </w:rPr>
  </w:style>
  <w:style w:type="paragraph" w:styleId="Heading9">
    <w:name w:val="heading 9"/>
    <w:basedOn w:val="Normal"/>
    <w:next w:val="Normal"/>
    <w:link w:val="Heading9Char"/>
    <w:qFormat/>
    <w:locked/>
    <w:rsid w:val="00F14C6D"/>
    <w:pPr>
      <w:keepNext/>
      <w:keepLines/>
      <w:spacing w:before="200"/>
      <w:outlineLvl w:val="8"/>
    </w:pPr>
    <w:rPr>
      <w:rFonts w:ascii="Cambria" w:eastAsia="Times New Roman" w:hAnsi="Cambria"/>
      <w:i/>
      <w:iCs/>
      <w:color w:val="404040"/>
      <w:sz w:val="20"/>
      <w:szCs w:val="20"/>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27AB"/>
    <w:rPr>
      <w:rFonts w:ascii="Calibri" w:eastAsia="Calibri" w:hAnsi="Calibri"/>
      <w:b/>
      <w:bCs/>
      <w:sz w:val="28"/>
      <w:szCs w:val="28"/>
      <w:lang w:val="en-US" w:eastAsia="x-none"/>
    </w:rPr>
  </w:style>
  <w:style w:type="character" w:customStyle="1" w:styleId="Heading2Char">
    <w:name w:val="Heading 2 Char"/>
    <w:link w:val="Heading2"/>
    <w:rsid w:val="00C40AA3"/>
    <w:rPr>
      <w:rFonts w:ascii="Calibri" w:eastAsia="Calibri" w:hAnsi="Calibri"/>
      <w:b/>
      <w:i/>
      <w:color w:val="000000"/>
      <w:sz w:val="28"/>
      <w:szCs w:val="26"/>
      <w:lang w:val="en-US" w:eastAsia="x-none"/>
    </w:rPr>
  </w:style>
  <w:style w:type="character" w:customStyle="1" w:styleId="Heading3Char">
    <w:name w:val="Heading 3 Char"/>
    <w:link w:val="Heading3"/>
    <w:rsid w:val="00C40AA3"/>
    <w:rPr>
      <w:rFonts w:ascii="Calibri" w:eastAsia="Calibri" w:hAnsi="Calibri"/>
      <w:bCs/>
      <w:i/>
      <w:szCs w:val="26"/>
      <w:lang w:val="en-US" w:eastAsia="x-none"/>
    </w:rPr>
  </w:style>
  <w:style w:type="character" w:customStyle="1" w:styleId="Heading4Char">
    <w:name w:val="Heading 4 Char"/>
    <w:link w:val="Heading4"/>
    <w:rsid w:val="00AC27AB"/>
    <w:rPr>
      <w:rFonts w:ascii="Calibri" w:eastAsia="Calibri" w:hAnsi="Calibri"/>
      <w:iCs/>
      <w:szCs w:val="26"/>
      <w:lang w:val="en-US" w:eastAsia="x-none"/>
    </w:rPr>
  </w:style>
  <w:style w:type="character" w:styleId="Strong">
    <w:name w:val="Strong"/>
    <w:qFormat/>
    <w:locked/>
    <w:rsid w:val="000B0A5D"/>
    <w:rPr>
      <w:b/>
      <w:bCs/>
    </w:rPr>
  </w:style>
  <w:style w:type="character" w:customStyle="1" w:styleId="Heading5Char">
    <w:name w:val="Heading 5 Char"/>
    <w:link w:val="Heading5"/>
    <w:semiHidden/>
    <w:rsid w:val="00F14C6D"/>
    <w:rPr>
      <w:rFonts w:ascii="Cambria" w:hAnsi="Cambria"/>
      <w:color w:val="243F60"/>
      <w:sz w:val="24"/>
      <w:szCs w:val="24"/>
      <w:lang w:val="en-AU" w:eastAsia="en-AU" w:bidi="ar-SA"/>
    </w:rPr>
  </w:style>
  <w:style w:type="character" w:customStyle="1" w:styleId="Heading6Char">
    <w:name w:val="Heading 6 Char"/>
    <w:link w:val="Heading6"/>
    <w:semiHidden/>
    <w:rsid w:val="00F14C6D"/>
    <w:rPr>
      <w:rFonts w:ascii="Cambria" w:hAnsi="Cambria"/>
      <w:i/>
      <w:iCs/>
      <w:color w:val="243F60"/>
      <w:sz w:val="24"/>
      <w:szCs w:val="24"/>
      <w:lang w:val="en-AU" w:eastAsia="en-AU" w:bidi="ar-SA"/>
    </w:rPr>
  </w:style>
  <w:style w:type="character" w:customStyle="1" w:styleId="Heading7Char">
    <w:name w:val="Heading 7 Char"/>
    <w:link w:val="Heading7"/>
    <w:semiHidden/>
    <w:rsid w:val="00F14C6D"/>
    <w:rPr>
      <w:rFonts w:ascii="Cambria" w:hAnsi="Cambria"/>
      <w:i/>
      <w:iCs/>
      <w:color w:val="404040"/>
      <w:sz w:val="24"/>
      <w:szCs w:val="24"/>
      <w:lang w:val="en-AU" w:eastAsia="en-AU" w:bidi="ar-SA"/>
    </w:rPr>
  </w:style>
  <w:style w:type="character" w:customStyle="1" w:styleId="Heading8Char">
    <w:name w:val="Heading 8 Char"/>
    <w:link w:val="Heading8"/>
    <w:semiHidden/>
    <w:rsid w:val="00F14C6D"/>
    <w:rPr>
      <w:rFonts w:ascii="Cambria" w:hAnsi="Cambria"/>
      <w:color w:val="404040"/>
      <w:lang w:val="en-AU" w:eastAsia="en-AU" w:bidi="ar-SA"/>
    </w:rPr>
  </w:style>
  <w:style w:type="character" w:customStyle="1" w:styleId="Heading9Char">
    <w:name w:val="Heading 9 Char"/>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jc w:val="right"/>
    </w:pPr>
    <w:rPr>
      <w:rFonts w:ascii="Arial" w:eastAsia="Times New Roman" w:hAnsi="Arial"/>
      <w:szCs w:val="24"/>
      <w:lang w:val="x-none" w:eastAsia="x-none"/>
    </w:rPr>
  </w:style>
  <w:style w:type="character" w:customStyle="1" w:styleId="HeaderChar">
    <w:name w:val="Header Char"/>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jc w:val="right"/>
    </w:pPr>
    <w:rPr>
      <w:rFonts w:ascii="Arial" w:eastAsia="Times New Roman" w:hAnsi="Arial"/>
      <w:szCs w:val="24"/>
      <w:lang w:val="x-none" w:eastAsia="x-none"/>
    </w:rPr>
  </w:style>
  <w:style w:type="character" w:customStyle="1" w:styleId="FooterChar">
    <w:name w:val="Footer Char"/>
    <w:link w:val="Footer"/>
    <w:uiPriority w:val="99"/>
    <w:semiHidden/>
    <w:rsid w:val="00E75D90"/>
    <w:rPr>
      <w:rFonts w:ascii="Arial" w:hAnsi="Arial"/>
      <w:sz w:val="22"/>
      <w:szCs w:val="24"/>
    </w:rPr>
  </w:style>
  <w:style w:type="paragraph" w:styleId="TOC3">
    <w:name w:val="toc 3"/>
    <w:basedOn w:val="Normal"/>
    <w:next w:val="Normal"/>
    <w:autoRedefine/>
    <w:uiPriority w:val="39"/>
    <w:qFormat/>
    <w:locked/>
    <w:rsid w:val="002702D9"/>
    <w:pPr>
      <w:ind w:left="1202" w:hanging="720"/>
    </w:pPr>
    <w:rPr>
      <w:rFonts w:eastAsia="MS Mincho" w:cs="Arial"/>
      <w:i/>
      <w:noProof/>
    </w:rPr>
  </w:style>
  <w:style w:type="character" w:styleId="PlaceholderText">
    <w:name w:val="Placeholder Text"/>
    <w:semiHidden/>
    <w:locked/>
    <w:rsid w:val="00DA536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ind w:left="720" w:hanging="720"/>
    </w:pPr>
    <w:rPr>
      <w:b/>
    </w:rPr>
  </w:style>
  <w:style w:type="paragraph" w:styleId="TOC2">
    <w:name w:val="toc 2"/>
    <w:basedOn w:val="Normal"/>
    <w:next w:val="Normal"/>
    <w:autoRedefine/>
    <w:uiPriority w:val="39"/>
    <w:qFormat/>
    <w:locked/>
    <w:rsid w:val="002702D9"/>
    <w:pPr>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25D5E"/>
    <w:rPr>
      <w:b/>
      <w:sz w:val="28"/>
    </w:rPr>
  </w:style>
  <w:style w:type="paragraph" w:styleId="EndnoteText">
    <w:name w:val="endnote text"/>
    <w:basedOn w:val="Normal"/>
    <w:link w:val="EndnoteTextChar"/>
    <w:rsid w:val="00706FAB"/>
    <w:rPr>
      <w:rFonts w:ascii="Arial" w:eastAsia="Times New Roman" w:hAnsi="Arial"/>
      <w:sz w:val="20"/>
      <w:szCs w:val="20"/>
      <w:lang w:val="en-AU" w:eastAsia="en-AU"/>
    </w:rPr>
  </w:style>
  <w:style w:type="character" w:customStyle="1" w:styleId="EndnoteTextChar">
    <w:name w:val="Endnote Text Char"/>
    <w:link w:val="EndnoteText"/>
    <w:rsid w:val="00706FAB"/>
    <w:rPr>
      <w:rFonts w:ascii="Arial" w:hAnsi="Arial"/>
      <w:lang w:val="en-AU" w:eastAsia="en-AU" w:bidi="ar-SA"/>
    </w:rPr>
  </w:style>
  <w:style w:type="character" w:styleId="EndnoteReference">
    <w:name w:val="endnote reference"/>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aliases w:val="Body Text Char1 Char,Body Text Char Char Char,Body Text Char1,Body Text Char Char,Body Text Char2,Body Text Char Char1,Body Text Char1 Char Char,Body Text Char Char Char Char,Body Text Char1 Char1,Body Text Char Char Char1,Body Text Char3 Char"/>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rsid w:val="00074CD6"/>
    <w:rPr>
      <w:rFonts w:ascii="Arial" w:hAnsi="Arial"/>
      <w:sz w:val="20"/>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 Char,Char, Ch"/>
    <w:basedOn w:val="Normal"/>
    <w:link w:val="FootnoteTextChar"/>
    <w:rsid w:val="00706FAB"/>
    <w:rPr>
      <w:rFonts w:ascii="Arial" w:eastAsia="Times New Roman" w:hAnsi="Arial"/>
      <w:sz w:val="20"/>
      <w:szCs w:val="20"/>
      <w:lang w:val="en-AU" w:eastAsia="en-AU"/>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locked/>
    <w:rsid w:val="00E45954"/>
  </w:style>
  <w:style w:type="paragraph" w:styleId="PlainText">
    <w:name w:val="Plain Text"/>
    <w:basedOn w:val="Normal"/>
    <w:link w:val="PlainTextChar"/>
    <w:uiPriority w:val="99"/>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uiPriority w:val="99"/>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bidi="en-US"/>
    </w:rPr>
  </w:style>
  <w:style w:type="character" w:customStyle="1" w:styleId="CharChar9">
    <w:name w:val="Char Char9"/>
    <w:semiHidden/>
    <w:locked/>
    <w:rsid w:val="001C451B"/>
    <w:rPr>
      <w:rFonts w:ascii="Arial" w:hAnsi="Arial"/>
      <w:bCs/>
      <w:i/>
      <w:sz w:val="24"/>
      <w:szCs w:val="26"/>
      <w:lang w:val="en-AU" w:eastAsia="en-AU" w:bidi="ar-SA"/>
    </w:rPr>
  </w:style>
  <w:style w:type="character" w:customStyle="1" w:styleId="CharChar8">
    <w:name w:val="Char Char8"/>
    <w:semiHidden/>
    <w:locked/>
    <w:rsid w:val="001C451B"/>
    <w:rPr>
      <w:rFonts w:ascii="Arial" w:hAnsi="Arial"/>
      <w:iCs/>
      <w:sz w:val="24"/>
      <w:szCs w:val="26"/>
      <w:lang w:val="en-AU" w:eastAsia="en-AU" w:bidi="ar-SA"/>
    </w:rPr>
  </w:style>
  <w:style w:type="character" w:customStyle="1" w:styleId="CharChar">
    <w:name w:val="Char Char"/>
    <w:semiHidden/>
    <w:locked/>
    <w:rsid w:val="001C451B"/>
    <w:rPr>
      <w:rFonts w:ascii="Arial" w:hAnsi="Arial" w:cs="Arial"/>
      <w:lang w:val="en-AU" w:eastAsia="en-AU" w:bidi="ar-SA"/>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link w:val="FootnoteText"/>
    <w:uiPriority w:val="99"/>
    <w:locked/>
    <w:rsid w:val="00706FAB"/>
    <w:rPr>
      <w:rFonts w:ascii="Arial" w:hAnsi="Arial"/>
      <w:lang w:val="en-AU" w:eastAsia="en-AU" w:bidi="ar-SA"/>
    </w:rPr>
  </w:style>
  <w:style w:type="paragraph" w:customStyle="1" w:styleId="ColorfulList-Accent11">
    <w:name w:val="Colorful List - Accent 11"/>
    <w:basedOn w:val="Normal"/>
    <w:uiPriority w:val="34"/>
    <w:qFormat/>
    <w:rsid w:val="00CC3E84"/>
    <w:pPr>
      <w:ind w:left="720"/>
      <w:contextualSpacing/>
    </w:pPr>
  </w:style>
  <w:style w:type="paragraph" w:customStyle="1" w:styleId="Default">
    <w:name w:val="Default"/>
    <w:link w:val="DefaultChar"/>
    <w:rsid w:val="00D07DD0"/>
    <w:pPr>
      <w:autoSpaceDE w:val="0"/>
      <w:autoSpaceDN w:val="0"/>
      <w:adjustRightInd w:val="0"/>
    </w:pPr>
    <w:rPr>
      <w:rFonts w:ascii="Arial" w:hAnsi="Arial"/>
      <w:color w:val="000000"/>
      <w:lang w:eastAsia="en-AU"/>
    </w:rPr>
  </w:style>
  <w:style w:type="character" w:customStyle="1" w:styleId="A3">
    <w:name w:val="A3"/>
    <w:uiPriority w:val="99"/>
    <w:rsid w:val="00D07DD0"/>
    <w:rPr>
      <w:color w:val="000000"/>
    </w:rPr>
  </w:style>
  <w:style w:type="character" w:customStyle="1" w:styleId="A35">
    <w:name w:val="A35"/>
    <w:uiPriority w:val="99"/>
    <w:rsid w:val="00D07DD0"/>
    <w:rPr>
      <w:color w:val="000000"/>
      <w:sz w:val="16"/>
      <w:szCs w:val="16"/>
      <w:u w:val="single"/>
    </w:rPr>
  </w:style>
  <w:style w:type="character" w:customStyle="1" w:styleId="apple-style-span">
    <w:name w:val="apple-style-span"/>
    <w:uiPriority w:val="99"/>
    <w:rsid w:val="00DD64C1"/>
  </w:style>
  <w:style w:type="paragraph" w:styleId="BalloonText">
    <w:name w:val="Balloon Text"/>
    <w:basedOn w:val="Normal"/>
    <w:link w:val="BalloonTextChar"/>
    <w:locked/>
    <w:rsid w:val="00A86989"/>
    <w:rPr>
      <w:rFonts w:ascii="Tahoma" w:hAnsi="Tahoma"/>
      <w:sz w:val="16"/>
      <w:szCs w:val="16"/>
    </w:rPr>
  </w:style>
  <w:style w:type="character" w:customStyle="1" w:styleId="BalloonTextChar">
    <w:name w:val="Balloon Text Char"/>
    <w:link w:val="BalloonText"/>
    <w:rsid w:val="00A86989"/>
    <w:rPr>
      <w:rFonts w:ascii="Tahoma" w:eastAsia="Calibri" w:hAnsi="Tahoma" w:cs="Tahoma"/>
      <w:sz w:val="16"/>
      <w:szCs w:val="16"/>
      <w:lang w:val="en-US" w:eastAsia="en-US"/>
    </w:rPr>
  </w:style>
  <w:style w:type="paragraph" w:customStyle="1" w:styleId="Pa29">
    <w:name w:val="Pa29"/>
    <w:basedOn w:val="Default"/>
    <w:next w:val="Default"/>
    <w:uiPriority w:val="99"/>
    <w:rsid w:val="003A08B9"/>
    <w:pPr>
      <w:spacing w:line="241" w:lineRule="atLeast"/>
    </w:pPr>
    <w:rPr>
      <w:color w:val="auto"/>
    </w:rPr>
  </w:style>
  <w:style w:type="character" w:customStyle="1" w:styleId="A5">
    <w:name w:val="A5"/>
    <w:uiPriority w:val="99"/>
    <w:rsid w:val="003A08B9"/>
    <w:rPr>
      <w:b/>
      <w:bCs/>
      <w:i/>
      <w:iCs/>
      <w:color w:val="000000"/>
      <w:sz w:val="18"/>
      <w:szCs w:val="18"/>
    </w:rPr>
  </w:style>
  <w:style w:type="paragraph" w:customStyle="1" w:styleId="Bullet">
    <w:name w:val="Bullet"/>
    <w:basedOn w:val="Normal"/>
    <w:rsid w:val="004C3859"/>
    <w:pPr>
      <w:numPr>
        <w:numId w:val="16"/>
      </w:numPr>
      <w:spacing w:after="240"/>
    </w:pPr>
    <w:rPr>
      <w:rFonts w:ascii="Times New Roman" w:eastAsia="Times New Roman" w:hAnsi="Times New Roman"/>
      <w:sz w:val="24"/>
      <w:szCs w:val="20"/>
      <w:lang w:val="en-AU" w:eastAsia="en-AU"/>
    </w:rPr>
  </w:style>
  <w:style w:type="paragraph" w:customStyle="1" w:styleId="Dash">
    <w:name w:val="Dash"/>
    <w:basedOn w:val="Normal"/>
    <w:rsid w:val="004C3859"/>
    <w:pPr>
      <w:numPr>
        <w:ilvl w:val="1"/>
        <w:numId w:val="16"/>
      </w:numPr>
      <w:spacing w:after="240"/>
    </w:pPr>
    <w:rPr>
      <w:rFonts w:ascii="Times New Roman" w:eastAsia="Times New Roman" w:hAnsi="Times New Roman"/>
      <w:sz w:val="24"/>
      <w:szCs w:val="20"/>
      <w:lang w:val="en-AU" w:eastAsia="en-AU"/>
    </w:rPr>
  </w:style>
  <w:style w:type="paragraph" w:customStyle="1" w:styleId="DoubleDot">
    <w:name w:val="Double Dot"/>
    <w:basedOn w:val="Normal"/>
    <w:rsid w:val="004C3859"/>
    <w:pPr>
      <w:numPr>
        <w:ilvl w:val="2"/>
        <w:numId w:val="16"/>
      </w:numPr>
      <w:spacing w:after="240"/>
    </w:pPr>
    <w:rPr>
      <w:rFonts w:ascii="Times New Roman" w:eastAsia="Times New Roman" w:hAnsi="Times New Roman"/>
      <w:sz w:val="24"/>
      <w:szCs w:val="20"/>
      <w:lang w:val="en-AU" w:eastAsia="en-AU"/>
    </w:rPr>
  </w:style>
  <w:style w:type="paragraph" w:customStyle="1" w:styleId="HdMemorandum">
    <w:name w:val="Hd Memorandum"/>
    <w:basedOn w:val="Header"/>
    <w:rsid w:val="004C3859"/>
    <w:pPr>
      <w:widowControl w:val="0"/>
      <w:tabs>
        <w:tab w:val="clear" w:pos="4513"/>
        <w:tab w:val="clear" w:pos="9026"/>
      </w:tabs>
      <w:spacing w:line="120" w:lineRule="exact"/>
    </w:pPr>
    <w:rPr>
      <w:rFonts w:ascii="Times New Roman" w:hAnsi="Times New Roman"/>
      <w:caps/>
      <w:noProof/>
      <w:spacing w:val="20"/>
      <w:w w:val="113"/>
      <w:kern w:val="12"/>
      <w:sz w:val="12"/>
      <w:szCs w:val="20"/>
    </w:rPr>
  </w:style>
  <w:style w:type="paragraph" w:customStyle="1" w:styleId="HdFirstPage">
    <w:name w:val="Hd FirstPage"/>
    <w:rsid w:val="004C3859"/>
    <w:pPr>
      <w:widowControl w:val="0"/>
      <w:spacing w:line="840" w:lineRule="exact"/>
      <w:jc w:val="right"/>
    </w:pPr>
    <w:rPr>
      <w:noProof/>
      <w:spacing w:val="-5"/>
      <w:w w:val="95"/>
      <w:kern w:val="44"/>
      <w:sz w:val="44"/>
      <w:lang w:val="en-US"/>
    </w:rPr>
  </w:style>
  <w:style w:type="character" w:customStyle="1" w:styleId="A8">
    <w:name w:val="A8"/>
    <w:rsid w:val="004C3859"/>
    <w:rPr>
      <w:b/>
      <w:bCs/>
      <w:color w:val="000000"/>
      <w:sz w:val="20"/>
      <w:szCs w:val="20"/>
    </w:rPr>
  </w:style>
  <w:style w:type="character" w:styleId="CommentReference">
    <w:name w:val="annotation reference"/>
    <w:uiPriority w:val="99"/>
    <w:unhideWhenUsed/>
    <w:rsid w:val="004A154B"/>
    <w:rPr>
      <w:sz w:val="18"/>
      <w:szCs w:val="18"/>
    </w:rPr>
  </w:style>
  <w:style w:type="paragraph" w:styleId="CommentText">
    <w:name w:val="annotation text"/>
    <w:basedOn w:val="Normal"/>
    <w:link w:val="CommentTextChar"/>
    <w:uiPriority w:val="99"/>
    <w:unhideWhenUsed/>
    <w:rsid w:val="004A154B"/>
    <w:rPr>
      <w:sz w:val="24"/>
      <w:szCs w:val="24"/>
      <w:lang w:val="x-none" w:eastAsia="x-none"/>
    </w:rPr>
  </w:style>
  <w:style w:type="character" w:customStyle="1" w:styleId="CommentTextChar">
    <w:name w:val="Comment Text Char"/>
    <w:link w:val="CommentText"/>
    <w:uiPriority w:val="99"/>
    <w:rsid w:val="004A154B"/>
    <w:rPr>
      <w:rFonts w:ascii="Calibri" w:eastAsia="Calibri" w:hAnsi="Calibri"/>
      <w:sz w:val="24"/>
      <w:szCs w:val="24"/>
    </w:rPr>
  </w:style>
  <w:style w:type="paragraph" w:styleId="CommentSubject">
    <w:name w:val="annotation subject"/>
    <w:basedOn w:val="CommentText"/>
    <w:next w:val="CommentText"/>
    <w:link w:val="CommentSubjectChar"/>
    <w:uiPriority w:val="99"/>
    <w:semiHidden/>
    <w:unhideWhenUsed/>
    <w:rsid w:val="004A154B"/>
    <w:rPr>
      <w:b/>
      <w:bCs/>
    </w:rPr>
  </w:style>
  <w:style w:type="character" w:customStyle="1" w:styleId="CommentSubjectChar">
    <w:name w:val="Comment Subject Char"/>
    <w:link w:val="CommentSubject"/>
    <w:uiPriority w:val="99"/>
    <w:semiHidden/>
    <w:rsid w:val="004A154B"/>
    <w:rPr>
      <w:rFonts w:ascii="Calibri" w:eastAsia="Calibri" w:hAnsi="Calibri"/>
      <w:b/>
      <w:bCs/>
      <w:sz w:val="24"/>
      <w:szCs w:val="24"/>
    </w:rPr>
  </w:style>
  <w:style w:type="paragraph" w:styleId="ListParagraph">
    <w:name w:val="List Paragraph"/>
    <w:aliases w:val="First level bullet point"/>
    <w:basedOn w:val="Normal"/>
    <w:link w:val="ListParagraphChar"/>
    <w:uiPriority w:val="34"/>
    <w:qFormat/>
    <w:rsid w:val="00C63120"/>
    <w:pPr>
      <w:ind w:left="720"/>
      <w:contextualSpacing/>
    </w:pPr>
  </w:style>
  <w:style w:type="character" w:customStyle="1" w:styleId="DefaultChar">
    <w:name w:val="Default Char"/>
    <w:link w:val="Default"/>
    <w:locked/>
    <w:rsid w:val="001C2B35"/>
    <w:rPr>
      <w:rFonts w:ascii="Arial" w:hAnsi="Arial"/>
      <w:color w:val="000000"/>
      <w:sz w:val="24"/>
      <w:szCs w:val="24"/>
      <w:lang w:bidi="ar-SA"/>
    </w:rPr>
  </w:style>
  <w:style w:type="table" w:customStyle="1" w:styleId="TableGrid10">
    <w:name w:val="Table Grid1"/>
    <w:basedOn w:val="TableNormal"/>
    <w:next w:val="TableGrid"/>
    <w:locked/>
    <w:rsid w:val="00A65B6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Grid11">
    <w:name w:val="Medium Grid 11"/>
    <w:semiHidden/>
    <w:locked/>
    <w:rsid w:val="00F53AC9"/>
    <w:rPr>
      <w:color w:val="808080"/>
    </w:rPr>
  </w:style>
  <w:style w:type="paragraph" w:customStyle="1" w:styleId="ColorfulList-Accent12">
    <w:name w:val="Colorful List - Accent 12"/>
    <w:basedOn w:val="Normal"/>
    <w:qFormat/>
    <w:rsid w:val="00F53AC9"/>
    <w:pPr>
      <w:ind w:left="720"/>
      <w:contextualSpacing/>
    </w:pPr>
  </w:style>
  <w:style w:type="paragraph" w:customStyle="1" w:styleId="MediumGrid1-Accent21">
    <w:name w:val="Medium Grid 1 - Accent 21"/>
    <w:basedOn w:val="Normal"/>
    <w:qFormat/>
    <w:rsid w:val="00DA5364"/>
    <w:pPr>
      <w:ind w:left="720"/>
      <w:contextualSpacing/>
    </w:pPr>
  </w:style>
  <w:style w:type="character" w:customStyle="1" w:styleId="A31">
    <w:name w:val="A31"/>
    <w:rsid w:val="00DA5364"/>
    <w:rPr>
      <w:i/>
      <w:iCs/>
      <w:color w:val="000000"/>
      <w:sz w:val="18"/>
      <w:szCs w:val="18"/>
    </w:rPr>
  </w:style>
  <w:style w:type="paragraph" w:styleId="Revision">
    <w:name w:val="Revision"/>
    <w:hidden/>
    <w:semiHidden/>
    <w:rsid w:val="00DA4BFF"/>
    <w:rPr>
      <w:rFonts w:ascii="Calibri" w:hAnsi="Calibri"/>
      <w:sz w:val="22"/>
      <w:lang w:eastAsia="en-AU"/>
    </w:rPr>
  </w:style>
  <w:style w:type="paragraph" w:styleId="DocumentMap">
    <w:name w:val="Document Map"/>
    <w:basedOn w:val="Normal"/>
    <w:link w:val="DocumentMapChar"/>
    <w:uiPriority w:val="99"/>
    <w:semiHidden/>
    <w:unhideWhenUsed/>
    <w:rsid w:val="007E40DA"/>
    <w:rPr>
      <w:rFonts w:ascii="Lucida Grande" w:hAnsi="Lucida Grande"/>
      <w:sz w:val="24"/>
      <w:szCs w:val="24"/>
      <w:lang w:val="x-none" w:eastAsia="x-none"/>
    </w:rPr>
  </w:style>
  <w:style w:type="character" w:customStyle="1" w:styleId="DocumentMapChar">
    <w:name w:val="Document Map Char"/>
    <w:link w:val="DocumentMap"/>
    <w:uiPriority w:val="99"/>
    <w:semiHidden/>
    <w:rsid w:val="007E40DA"/>
    <w:rPr>
      <w:rFonts w:ascii="Lucida Grande" w:eastAsia="Calibri" w:hAnsi="Lucida Grande"/>
      <w:sz w:val="24"/>
      <w:szCs w:val="24"/>
    </w:rPr>
  </w:style>
  <w:style w:type="character" w:customStyle="1" w:styleId="apple-converted-space">
    <w:name w:val="apple-converted-space"/>
    <w:basedOn w:val="DefaultParagraphFont"/>
    <w:rsid w:val="00F16EF1"/>
  </w:style>
  <w:style w:type="paragraph" w:customStyle="1" w:styleId="Pa0">
    <w:name w:val="Pa0"/>
    <w:basedOn w:val="Default"/>
    <w:next w:val="Default"/>
    <w:uiPriority w:val="99"/>
    <w:rsid w:val="00427E16"/>
    <w:pPr>
      <w:widowControl w:val="0"/>
      <w:spacing w:line="201" w:lineRule="atLeast"/>
    </w:pPr>
    <w:rPr>
      <w:rFonts w:ascii="Myriad Pro" w:eastAsiaTheme="minorEastAsia" w:hAnsi="Myriad Pro"/>
      <w:color w:val="auto"/>
      <w:lang w:val="en-US" w:eastAsia="ja-JP"/>
    </w:rPr>
  </w:style>
  <w:style w:type="character" w:customStyle="1" w:styleId="A2">
    <w:name w:val="A2"/>
    <w:uiPriority w:val="99"/>
    <w:rsid w:val="00427E16"/>
    <w:rPr>
      <w:rFonts w:ascii="Myriad Pro Light" w:hAnsi="Myriad Pro Light" w:cs="Myriad Pro Light"/>
      <w:color w:val="000000"/>
      <w:sz w:val="28"/>
      <w:szCs w:val="28"/>
    </w:rPr>
  </w:style>
  <w:style w:type="character" w:customStyle="1" w:styleId="ListParagraphChar">
    <w:name w:val="List Paragraph Char"/>
    <w:aliases w:val="First level bullet point Char"/>
    <w:link w:val="ListParagraph"/>
    <w:uiPriority w:val="34"/>
    <w:rsid w:val="00FD6263"/>
    <w:rPr>
      <w:rFonts w:ascii="Calibri" w:eastAsia="Calibri" w:hAnsi="Calibri"/>
      <w:sz w:val="22"/>
      <w:szCs w:val="22"/>
      <w:lang w:val="en-US"/>
    </w:rPr>
  </w:style>
  <w:style w:type="paragraph" w:customStyle="1" w:styleId="Pa3">
    <w:name w:val="Pa3"/>
    <w:basedOn w:val="Default"/>
    <w:next w:val="Default"/>
    <w:uiPriority w:val="99"/>
    <w:rsid w:val="006A5B52"/>
    <w:pPr>
      <w:widowControl w:val="0"/>
      <w:spacing w:line="241" w:lineRule="atLeast"/>
    </w:pPr>
    <w:rPr>
      <w:rFonts w:ascii="Archer" w:hAnsi="Archer"/>
      <w:color w:val="auto"/>
      <w:lang w:val="en-US" w:eastAsia="en-US"/>
    </w:rPr>
  </w:style>
  <w:style w:type="paragraph" w:customStyle="1" w:styleId="Pa4">
    <w:name w:val="Pa4"/>
    <w:basedOn w:val="Default"/>
    <w:next w:val="Default"/>
    <w:uiPriority w:val="99"/>
    <w:rsid w:val="006A5B52"/>
    <w:pPr>
      <w:widowControl w:val="0"/>
      <w:spacing w:line="181" w:lineRule="atLeast"/>
    </w:pPr>
    <w:rPr>
      <w:rFonts w:ascii="Archer" w:hAnsi="Archer"/>
      <w:color w:val="auto"/>
      <w:lang w:val="en-US" w:eastAsia="en-US"/>
    </w:rPr>
  </w:style>
  <w:style w:type="paragraph" w:customStyle="1" w:styleId="NormalArial">
    <w:name w:val="Normal + Arial"/>
    <w:basedOn w:val="Normal"/>
    <w:uiPriority w:val="99"/>
    <w:rsid w:val="005716A2"/>
    <w:rPr>
      <w:rFonts w:ascii="Arial" w:eastAsia="MS Mincho" w:hAnsi="Arial" w:cs="Arial"/>
      <w:b/>
      <w:sz w:val="32"/>
      <w:szCs w:val="32"/>
      <w:lang w:val="en-AU" w:eastAsia="ja-JP"/>
    </w:rPr>
  </w:style>
  <w:style w:type="character" w:customStyle="1" w:styleId="PlainTextChar">
    <w:name w:val="Plain Text Char"/>
    <w:basedOn w:val="DefaultParagraphFont"/>
    <w:link w:val="PlainText"/>
    <w:uiPriority w:val="99"/>
    <w:semiHidden/>
    <w:rsid w:val="00192CFB"/>
    <w:rPr>
      <w:rFonts w:ascii="Courier New" w:eastAsia="Calibri" w:hAnsi="Courier New" w:cs="Courier New"/>
      <w:sz w:val="20"/>
      <w:szCs w:val="20"/>
      <w:lang w:val="en-US"/>
    </w:rPr>
  </w:style>
  <w:style w:type="character" w:customStyle="1" w:styleId="SubtitleChar">
    <w:name w:val="Subtitle Char"/>
    <w:basedOn w:val="DefaultParagraphFont"/>
    <w:link w:val="Subtitle"/>
    <w:uiPriority w:val="99"/>
    <w:locked/>
    <w:rsid w:val="0074540C"/>
    <w:rPr>
      <w:rFonts w:ascii="Calibri" w:eastAsia="Calibri" w:hAnsi="Calibri"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808">
      <w:bodyDiv w:val="1"/>
      <w:marLeft w:val="0"/>
      <w:marRight w:val="0"/>
      <w:marTop w:val="0"/>
      <w:marBottom w:val="0"/>
      <w:divBdr>
        <w:top w:val="none" w:sz="0" w:space="0" w:color="auto"/>
        <w:left w:val="none" w:sz="0" w:space="0" w:color="auto"/>
        <w:bottom w:val="none" w:sz="0" w:space="0" w:color="auto"/>
        <w:right w:val="none" w:sz="0" w:space="0" w:color="auto"/>
      </w:divBdr>
    </w:div>
    <w:div w:id="95565257">
      <w:bodyDiv w:val="1"/>
      <w:marLeft w:val="0"/>
      <w:marRight w:val="0"/>
      <w:marTop w:val="0"/>
      <w:marBottom w:val="0"/>
      <w:divBdr>
        <w:top w:val="none" w:sz="0" w:space="0" w:color="auto"/>
        <w:left w:val="none" w:sz="0" w:space="0" w:color="auto"/>
        <w:bottom w:val="none" w:sz="0" w:space="0" w:color="auto"/>
        <w:right w:val="none" w:sz="0" w:space="0" w:color="auto"/>
      </w:divBdr>
      <w:divsChild>
        <w:div w:id="2147357617">
          <w:marLeft w:val="0"/>
          <w:marRight w:val="0"/>
          <w:marTop w:val="0"/>
          <w:marBottom w:val="0"/>
          <w:divBdr>
            <w:top w:val="none" w:sz="0" w:space="0" w:color="auto"/>
            <w:left w:val="none" w:sz="0" w:space="0" w:color="auto"/>
            <w:bottom w:val="none" w:sz="0" w:space="0" w:color="auto"/>
            <w:right w:val="none" w:sz="0" w:space="0" w:color="auto"/>
          </w:divBdr>
          <w:divsChild>
            <w:div w:id="1507747654">
              <w:marLeft w:val="0"/>
              <w:marRight w:val="0"/>
              <w:marTop w:val="0"/>
              <w:marBottom w:val="0"/>
              <w:divBdr>
                <w:top w:val="none" w:sz="0" w:space="0" w:color="auto"/>
                <w:left w:val="none" w:sz="0" w:space="0" w:color="auto"/>
                <w:bottom w:val="none" w:sz="0" w:space="0" w:color="auto"/>
                <w:right w:val="none" w:sz="0" w:space="0" w:color="auto"/>
              </w:divBdr>
              <w:divsChild>
                <w:div w:id="2110352794">
                  <w:marLeft w:val="0"/>
                  <w:marRight w:val="0"/>
                  <w:marTop w:val="0"/>
                  <w:marBottom w:val="0"/>
                  <w:divBdr>
                    <w:top w:val="none" w:sz="0" w:space="0" w:color="auto"/>
                    <w:left w:val="none" w:sz="0" w:space="0" w:color="auto"/>
                    <w:bottom w:val="none" w:sz="0" w:space="0" w:color="auto"/>
                    <w:right w:val="none" w:sz="0" w:space="0" w:color="auto"/>
                  </w:divBdr>
                </w:div>
              </w:divsChild>
            </w:div>
            <w:div w:id="2047832609">
              <w:marLeft w:val="0"/>
              <w:marRight w:val="0"/>
              <w:marTop w:val="0"/>
              <w:marBottom w:val="0"/>
              <w:divBdr>
                <w:top w:val="none" w:sz="0" w:space="0" w:color="auto"/>
                <w:left w:val="none" w:sz="0" w:space="0" w:color="auto"/>
                <w:bottom w:val="none" w:sz="0" w:space="0" w:color="auto"/>
                <w:right w:val="none" w:sz="0" w:space="0" w:color="auto"/>
              </w:divBdr>
              <w:divsChild>
                <w:div w:id="8065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8923">
      <w:bodyDiv w:val="1"/>
      <w:marLeft w:val="0"/>
      <w:marRight w:val="0"/>
      <w:marTop w:val="0"/>
      <w:marBottom w:val="0"/>
      <w:divBdr>
        <w:top w:val="none" w:sz="0" w:space="0" w:color="auto"/>
        <w:left w:val="none" w:sz="0" w:space="0" w:color="auto"/>
        <w:bottom w:val="none" w:sz="0" w:space="0" w:color="auto"/>
        <w:right w:val="none" w:sz="0" w:space="0" w:color="auto"/>
      </w:divBdr>
      <w:divsChild>
        <w:div w:id="1796093532">
          <w:marLeft w:val="0"/>
          <w:marRight w:val="0"/>
          <w:marTop w:val="0"/>
          <w:marBottom w:val="0"/>
          <w:divBdr>
            <w:top w:val="none" w:sz="0" w:space="0" w:color="auto"/>
            <w:left w:val="none" w:sz="0" w:space="0" w:color="auto"/>
            <w:bottom w:val="none" w:sz="0" w:space="0" w:color="auto"/>
            <w:right w:val="none" w:sz="0" w:space="0" w:color="auto"/>
          </w:divBdr>
          <w:divsChild>
            <w:div w:id="828209467">
              <w:marLeft w:val="0"/>
              <w:marRight w:val="0"/>
              <w:marTop w:val="0"/>
              <w:marBottom w:val="0"/>
              <w:divBdr>
                <w:top w:val="none" w:sz="0" w:space="0" w:color="auto"/>
                <w:left w:val="none" w:sz="0" w:space="0" w:color="auto"/>
                <w:bottom w:val="none" w:sz="0" w:space="0" w:color="auto"/>
                <w:right w:val="none" w:sz="0" w:space="0" w:color="auto"/>
              </w:divBdr>
              <w:divsChild>
                <w:div w:id="17043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4874">
      <w:bodyDiv w:val="1"/>
      <w:marLeft w:val="0"/>
      <w:marRight w:val="0"/>
      <w:marTop w:val="0"/>
      <w:marBottom w:val="0"/>
      <w:divBdr>
        <w:top w:val="none" w:sz="0" w:space="0" w:color="auto"/>
        <w:left w:val="none" w:sz="0" w:space="0" w:color="auto"/>
        <w:bottom w:val="none" w:sz="0" w:space="0" w:color="auto"/>
        <w:right w:val="none" w:sz="0" w:space="0" w:color="auto"/>
      </w:divBdr>
      <w:divsChild>
        <w:div w:id="1776291931">
          <w:marLeft w:val="0"/>
          <w:marRight w:val="0"/>
          <w:marTop w:val="0"/>
          <w:marBottom w:val="0"/>
          <w:divBdr>
            <w:top w:val="none" w:sz="0" w:space="0" w:color="auto"/>
            <w:left w:val="none" w:sz="0" w:space="0" w:color="auto"/>
            <w:bottom w:val="none" w:sz="0" w:space="0" w:color="auto"/>
            <w:right w:val="none" w:sz="0" w:space="0" w:color="auto"/>
          </w:divBdr>
          <w:divsChild>
            <w:div w:id="1208300584">
              <w:marLeft w:val="0"/>
              <w:marRight w:val="0"/>
              <w:marTop w:val="0"/>
              <w:marBottom w:val="0"/>
              <w:divBdr>
                <w:top w:val="none" w:sz="0" w:space="0" w:color="auto"/>
                <w:left w:val="none" w:sz="0" w:space="0" w:color="auto"/>
                <w:bottom w:val="none" w:sz="0" w:space="0" w:color="auto"/>
                <w:right w:val="none" w:sz="0" w:space="0" w:color="auto"/>
              </w:divBdr>
              <w:divsChild>
                <w:div w:id="11017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27767">
      <w:bodyDiv w:val="1"/>
      <w:marLeft w:val="0"/>
      <w:marRight w:val="0"/>
      <w:marTop w:val="0"/>
      <w:marBottom w:val="0"/>
      <w:divBdr>
        <w:top w:val="none" w:sz="0" w:space="0" w:color="auto"/>
        <w:left w:val="none" w:sz="0" w:space="0" w:color="auto"/>
        <w:bottom w:val="none" w:sz="0" w:space="0" w:color="auto"/>
        <w:right w:val="none" w:sz="0" w:space="0" w:color="auto"/>
      </w:divBdr>
      <w:divsChild>
        <w:div w:id="1602571253">
          <w:marLeft w:val="0"/>
          <w:marRight w:val="0"/>
          <w:marTop w:val="0"/>
          <w:marBottom w:val="0"/>
          <w:divBdr>
            <w:top w:val="none" w:sz="0" w:space="0" w:color="auto"/>
            <w:left w:val="none" w:sz="0" w:space="0" w:color="auto"/>
            <w:bottom w:val="none" w:sz="0" w:space="0" w:color="auto"/>
            <w:right w:val="none" w:sz="0" w:space="0" w:color="auto"/>
          </w:divBdr>
          <w:divsChild>
            <w:div w:id="1245720105">
              <w:marLeft w:val="0"/>
              <w:marRight w:val="0"/>
              <w:marTop w:val="0"/>
              <w:marBottom w:val="0"/>
              <w:divBdr>
                <w:top w:val="none" w:sz="0" w:space="0" w:color="auto"/>
                <w:left w:val="none" w:sz="0" w:space="0" w:color="auto"/>
                <w:bottom w:val="none" w:sz="0" w:space="0" w:color="auto"/>
                <w:right w:val="none" w:sz="0" w:space="0" w:color="auto"/>
              </w:divBdr>
              <w:divsChild>
                <w:div w:id="18499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05650">
      <w:bodyDiv w:val="1"/>
      <w:marLeft w:val="0"/>
      <w:marRight w:val="0"/>
      <w:marTop w:val="0"/>
      <w:marBottom w:val="0"/>
      <w:divBdr>
        <w:top w:val="none" w:sz="0" w:space="0" w:color="auto"/>
        <w:left w:val="none" w:sz="0" w:space="0" w:color="auto"/>
        <w:bottom w:val="none" w:sz="0" w:space="0" w:color="auto"/>
        <w:right w:val="none" w:sz="0" w:space="0" w:color="auto"/>
      </w:divBdr>
      <w:divsChild>
        <w:div w:id="2121145720">
          <w:marLeft w:val="0"/>
          <w:marRight w:val="0"/>
          <w:marTop w:val="0"/>
          <w:marBottom w:val="0"/>
          <w:divBdr>
            <w:top w:val="none" w:sz="0" w:space="0" w:color="auto"/>
            <w:left w:val="none" w:sz="0" w:space="0" w:color="auto"/>
            <w:bottom w:val="none" w:sz="0" w:space="0" w:color="auto"/>
            <w:right w:val="none" w:sz="0" w:space="0" w:color="auto"/>
          </w:divBdr>
          <w:divsChild>
            <w:div w:id="1519854841">
              <w:marLeft w:val="0"/>
              <w:marRight w:val="0"/>
              <w:marTop w:val="0"/>
              <w:marBottom w:val="0"/>
              <w:divBdr>
                <w:top w:val="none" w:sz="0" w:space="0" w:color="auto"/>
                <w:left w:val="none" w:sz="0" w:space="0" w:color="auto"/>
                <w:bottom w:val="none" w:sz="0" w:space="0" w:color="auto"/>
                <w:right w:val="none" w:sz="0" w:space="0" w:color="auto"/>
              </w:divBdr>
              <w:divsChild>
                <w:div w:id="11786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08977">
      <w:bodyDiv w:val="1"/>
      <w:marLeft w:val="0"/>
      <w:marRight w:val="0"/>
      <w:marTop w:val="0"/>
      <w:marBottom w:val="0"/>
      <w:divBdr>
        <w:top w:val="none" w:sz="0" w:space="0" w:color="auto"/>
        <w:left w:val="none" w:sz="0" w:space="0" w:color="auto"/>
        <w:bottom w:val="none" w:sz="0" w:space="0" w:color="auto"/>
        <w:right w:val="none" w:sz="0" w:space="0" w:color="auto"/>
      </w:divBdr>
      <w:divsChild>
        <w:div w:id="1626503207">
          <w:marLeft w:val="0"/>
          <w:marRight w:val="0"/>
          <w:marTop w:val="0"/>
          <w:marBottom w:val="0"/>
          <w:divBdr>
            <w:top w:val="none" w:sz="0" w:space="0" w:color="auto"/>
            <w:left w:val="none" w:sz="0" w:space="0" w:color="auto"/>
            <w:bottom w:val="none" w:sz="0" w:space="0" w:color="auto"/>
            <w:right w:val="none" w:sz="0" w:space="0" w:color="auto"/>
          </w:divBdr>
          <w:divsChild>
            <w:div w:id="1957521711">
              <w:marLeft w:val="0"/>
              <w:marRight w:val="0"/>
              <w:marTop w:val="0"/>
              <w:marBottom w:val="0"/>
              <w:divBdr>
                <w:top w:val="none" w:sz="0" w:space="0" w:color="auto"/>
                <w:left w:val="none" w:sz="0" w:space="0" w:color="auto"/>
                <w:bottom w:val="none" w:sz="0" w:space="0" w:color="auto"/>
                <w:right w:val="none" w:sz="0" w:space="0" w:color="auto"/>
              </w:divBdr>
              <w:divsChild>
                <w:div w:id="1849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2569">
      <w:bodyDiv w:val="1"/>
      <w:marLeft w:val="0"/>
      <w:marRight w:val="0"/>
      <w:marTop w:val="0"/>
      <w:marBottom w:val="0"/>
      <w:divBdr>
        <w:top w:val="none" w:sz="0" w:space="0" w:color="auto"/>
        <w:left w:val="none" w:sz="0" w:space="0" w:color="auto"/>
        <w:bottom w:val="none" w:sz="0" w:space="0" w:color="auto"/>
        <w:right w:val="none" w:sz="0" w:space="0" w:color="auto"/>
      </w:divBdr>
      <w:divsChild>
        <w:div w:id="1465268725">
          <w:marLeft w:val="0"/>
          <w:marRight w:val="0"/>
          <w:marTop w:val="0"/>
          <w:marBottom w:val="0"/>
          <w:divBdr>
            <w:top w:val="none" w:sz="0" w:space="0" w:color="auto"/>
            <w:left w:val="none" w:sz="0" w:space="0" w:color="auto"/>
            <w:bottom w:val="none" w:sz="0" w:space="0" w:color="auto"/>
            <w:right w:val="none" w:sz="0" w:space="0" w:color="auto"/>
          </w:divBdr>
          <w:divsChild>
            <w:div w:id="869954634">
              <w:marLeft w:val="0"/>
              <w:marRight w:val="0"/>
              <w:marTop w:val="0"/>
              <w:marBottom w:val="0"/>
              <w:divBdr>
                <w:top w:val="none" w:sz="0" w:space="0" w:color="auto"/>
                <w:left w:val="none" w:sz="0" w:space="0" w:color="auto"/>
                <w:bottom w:val="none" w:sz="0" w:space="0" w:color="auto"/>
                <w:right w:val="none" w:sz="0" w:space="0" w:color="auto"/>
              </w:divBdr>
              <w:divsChild>
                <w:div w:id="6153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10888">
      <w:bodyDiv w:val="1"/>
      <w:marLeft w:val="0"/>
      <w:marRight w:val="0"/>
      <w:marTop w:val="0"/>
      <w:marBottom w:val="0"/>
      <w:divBdr>
        <w:top w:val="none" w:sz="0" w:space="0" w:color="auto"/>
        <w:left w:val="none" w:sz="0" w:space="0" w:color="auto"/>
        <w:bottom w:val="none" w:sz="0" w:space="0" w:color="auto"/>
        <w:right w:val="none" w:sz="0" w:space="0" w:color="auto"/>
      </w:divBdr>
      <w:divsChild>
        <w:div w:id="2109767002">
          <w:marLeft w:val="0"/>
          <w:marRight w:val="0"/>
          <w:marTop w:val="0"/>
          <w:marBottom w:val="0"/>
          <w:divBdr>
            <w:top w:val="none" w:sz="0" w:space="0" w:color="auto"/>
            <w:left w:val="none" w:sz="0" w:space="0" w:color="auto"/>
            <w:bottom w:val="none" w:sz="0" w:space="0" w:color="auto"/>
            <w:right w:val="none" w:sz="0" w:space="0" w:color="auto"/>
          </w:divBdr>
          <w:divsChild>
            <w:div w:id="829713612">
              <w:marLeft w:val="0"/>
              <w:marRight w:val="0"/>
              <w:marTop w:val="0"/>
              <w:marBottom w:val="0"/>
              <w:divBdr>
                <w:top w:val="none" w:sz="0" w:space="0" w:color="auto"/>
                <w:left w:val="none" w:sz="0" w:space="0" w:color="auto"/>
                <w:bottom w:val="none" w:sz="0" w:space="0" w:color="auto"/>
                <w:right w:val="none" w:sz="0" w:space="0" w:color="auto"/>
              </w:divBdr>
              <w:divsChild>
                <w:div w:id="1332639560">
                  <w:marLeft w:val="0"/>
                  <w:marRight w:val="0"/>
                  <w:marTop w:val="0"/>
                  <w:marBottom w:val="0"/>
                  <w:divBdr>
                    <w:top w:val="none" w:sz="0" w:space="0" w:color="auto"/>
                    <w:left w:val="none" w:sz="0" w:space="0" w:color="auto"/>
                    <w:bottom w:val="none" w:sz="0" w:space="0" w:color="auto"/>
                    <w:right w:val="none" w:sz="0" w:space="0" w:color="auto"/>
                  </w:divBdr>
                  <w:divsChild>
                    <w:div w:id="21072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03838">
      <w:bodyDiv w:val="1"/>
      <w:marLeft w:val="0"/>
      <w:marRight w:val="0"/>
      <w:marTop w:val="0"/>
      <w:marBottom w:val="0"/>
      <w:divBdr>
        <w:top w:val="none" w:sz="0" w:space="0" w:color="auto"/>
        <w:left w:val="none" w:sz="0" w:space="0" w:color="auto"/>
        <w:bottom w:val="none" w:sz="0" w:space="0" w:color="auto"/>
        <w:right w:val="none" w:sz="0" w:space="0" w:color="auto"/>
      </w:divBdr>
      <w:divsChild>
        <w:div w:id="387388191">
          <w:marLeft w:val="0"/>
          <w:marRight w:val="0"/>
          <w:marTop w:val="0"/>
          <w:marBottom w:val="0"/>
          <w:divBdr>
            <w:top w:val="none" w:sz="0" w:space="0" w:color="auto"/>
            <w:left w:val="none" w:sz="0" w:space="0" w:color="auto"/>
            <w:bottom w:val="none" w:sz="0" w:space="0" w:color="auto"/>
            <w:right w:val="none" w:sz="0" w:space="0" w:color="auto"/>
          </w:divBdr>
          <w:divsChild>
            <w:div w:id="2080325063">
              <w:marLeft w:val="0"/>
              <w:marRight w:val="0"/>
              <w:marTop w:val="0"/>
              <w:marBottom w:val="0"/>
              <w:divBdr>
                <w:top w:val="none" w:sz="0" w:space="0" w:color="auto"/>
                <w:left w:val="none" w:sz="0" w:space="0" w:color="auto"/>
                <w:bottom w:val="none" w:sz="0" w:space="0" w:color="auto"/>
                <w:right w:val="none" w:sz="0" w:space="0" w:color="auto"/>
              </w:divBdr>
              <w:divsChild>
                <w:div w:id="6664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675">
      <w:bodyDiv w:val="1"/>
      <w:marLeft w:val="0"/>
      <w:marRight w:val="0"/>
      <w:marTop w:val="0"/>
      <w:marBottom w:val="0"/>
      <w:divBdr>
        <w:top w:val="none" w:sz="0" w:space="0" w:color="auto"/>
        <w:left w:val="none" w:sz="0" w:space="0" w:color="auto"/>
        <w:bottom w:val="none" w:sz="0" w:space="0" w:color="auto"/>
        <w:right w:val="none" w:sz="0" w:space="0" w:color="auto"/>
      </w:divBdr>
      <w:divsChild>
        <w:div w:id="200285870">
          <w:marLeft w:val="0"/>
          <w:marRight w:val="0"/>
          <w:marTop w:val="0"/>
          <w:marBottom w:val="0"/>
          <w:divBdr>
            <w:top w:val="none" w:sz="0" w:space="0" w:color="auto"/>
            <w:left w:val="none" w:sz="0" w:space="0" w:color="auto"/>
            <w:bottom w:val="none" w:sz="0" w:space="0" w:color="auto"/>
            <w:right w:val="none" w:sz="0" w:space="0" w:color="auto"/>
          </w:divBdr>
          <w:divsChild>
            <w:div w:id="44721129">
              <w:marLeft w:val="0"/>
              <w:marRight w:val="0"/>
              <w:marTop w:val="0"/>
              <w:marBottom w:val="0"/>
              <w:divBdr>
                <w:top w:val="none" w:sz="0" w:space="0" w:color="auto"/>
                <w:left w:val="none" w:sz="0" w:space="0" w:color="auto"/>
                <w:bottom w:val="none" w:sz="0" w:space="0" w:color="auto"/>
                <w:right w:val="none" w:sz="0" w:space="0" w:color="auto"/>
              </w:divBdr>
              <w:divsChild>
                <w:div w:id="1761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29719">
      <w:bodyDiv w:val="1"/>
      <w:marLeft w:val="0"/>
      <w:marRight w:val="0"/>
      <w:marTop w:val="0"/>
      <w:marBottom w:val="0"/>
      <w:divBdr>
        <w:top w:val="none" w:sz="0" w:space="0" w:color="auto"/>
        <w:left w:val="none" w:sz="0" w:space="0" w:color="auto"/>
        <w:bottom w:val="none" w:sz="0" w:space="0" w:color="auto"/>
        <w:right w:val="none" w:sz="0" w:space="0" w:color="auto"/>
      </w:divBdr>
      <w:divsChild>
        <w:div w:id="481310805">
          <w:marLeft w:val="0"/>
          <w:marRight w:val="0"/>
          <w:marTop w:val="0"/>
          <w:marBottom w:val="0"/>
          <w:divBdr>
            <w:top w:val="none" w:sz="0" w:space="0" w:color="auto"/>
            <w:left w:val="none" w:sz="0" w:space="0" w:color="auto"/>
            <w:bottom w:val="none" w:sz="0" w:space="0" w:color="auto"/>
            <w:right w:val="none" w:sz="0" w:space="0" w:color="auto"/>
          </w:divBdr>
          <w:divsChild>
            <w:div w:id="1976985511">
              <w:marLeft w:val="0"/>
              <w:marRight w:val="0"/>
              <w:marTop w:val="0"/>
              <w:marBottom w:val="0"/>
              <w:divBdr>
                <w:top w:val="none" w:sz="0" w:space="0" w:color="auto"/>
                <w:left w:val="none" w:sz="0" w:space="0" w:color="auto"/>
                <w:bottom w:val="none" w:sz="0" w:space="0" w:color="auto"/>
                <w:right w:val="none" w:sz="0" w:space="0" w:color="auto"/>
              </w:divBdr>
              <w:divsChild>
                <w:div w:id="6981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30446">
      <w:bodyDiv w:val="1"/>
      <w:marLeft w:val="0"/>
      <w:marRight w:val="0"/>
      <w:marTop w:val="0"/>
      <w:marBottom w:val="0"/>
      <w:divBdr>
        <w:top w:val="none" w:sz="0" w:space="0" w:color="auto"/>
        <w:left w:val="none" w:sz="0" w:space="0" w:color="auto"/>
        <w:bottom w:val="none" w:sz="0" w:space="0" w:color="auto"/>
        <w:right w:val="none" w:sz="0" w:space="0" w:color="auto"/>
      </w:divBdr>
      <w:divsChild>
        <w:div w:id="638416508">
          <w:marLeft w:val="0"/>
          <w:marRight w:val="0"/>
          <w:marTop w:val="0"/>
          <w:marBottom w:val="0"/>
          <w:divBdr>
            <w:top w:val="none" w:sz="0" w:space="0" w:color="auto"/>
            <w:left w:val="none" w:sz="0" w:space="0" w:color="auto"/>
            <w:bottom w:val="none" w:sz="0" w:space="0" w:color="auto"/>
            <w:right w:val="none" w:sz="0" w:space="0" w:color="auto"/>
          </w:divBdr>
          <w:divsChild>
            <w:div w:id="117142247">
              <w:marLeft w:val="0"/>
              <w:marRight w:val="0"/>
              <w:marTop w:val="0"/>
              <w:marBottom w:val="0"/>
              <w:divBdr>
                <w:top w:val="none" w:sz="0" w:space="0" w:color="auto"/>
                <w:left w:val="none" w:sz="0" w:space="0" w:color="auto"/>
                <w:bottom w:val="none" w:sz="0" w:space="0" w:color="auto"/>
                <w:right w:val="none" w:sz="0" w:space="0" w:color="auto"/>
              </w:divBdr>
              <w:divsChild>
                <w:div w:id="21221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71876">
      <w:bodyDiv w:val="1"/>
      <w:marLeft w:val="0"/>
      <w:marRight w:val="0"/>
      <w:marTop w:val="0"/>
      <w:marBottom w:val="0"/>
      <w:divBdr>
        <w:top w:val="none" w:sz="0" w:space="0" w:color="auto"/>
        <w:left w:val="none" w:sz="0" w:space="0" w:color="auto"/>
        <w:bottom w:val="none" w:sz="0" w:space="0" w:color="auto"/>
        <w:right w:val="none" w:sz="0" w:space="0" w:color="auto"/>
      </w:divBdr>
      <w:divsChild>
        <w:div w:id="1271426590">
          <w:marLeft w:val="0"/>
          <w:marRight w:val="0"/>
          <w:marTop w:val="0"/>
          <w:marBottom w:val="0"/>
          <w:divBdr>
            <w:top w:val="none" w:sz="0" w:space="0" w:color="auto"/>
            <w:left w:val="none" w:sz="0" w:space="0" w:color="auto"/>
            <w:bottom w:val="none" w:sz="0" w:space="0" w:color="auto"/>
            <w:right w:val="none" w:sz="0" w:space="0" w:color="auto"/>
          </w:divBdr>
          <w:divsChild>
            <w:div w:id="2026176747">
              <w:marLeft w:val="0"/>
              <w:marRight w:val="0"/>
              <w:marTop w:val="0"/>
              <w:marBottom w:val="0"/>
              <w:divBdr>
                <w:top w:val="none" w:sz="0" w:space="0" w:color="auto"/>
                <w:left w:val="none" w:sz="0" w:space="0" w:color="auto"/>
                <w:bottom w:val="none" w:sz="0" w:space="0" w:color="auto"/>
                <w:right w:val="none" w:sz="0" w:space="0" w:color="auto"/>
              </w:divBdr>
              <w:divsChild>
                <w:div w:id="12293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4275">
      <w:bodyDiv w:val="1"/>
      <w:marLeft w:val="0"/>
      <w:marRight w:val="0"/>
      <w:marTop w:val="0"/>
      <w:marBottom w:val="0"/>
      <w:divBdr>
        <w:top w:val="none" w:sz="0" w:space="0" w:color="auto"/>
        <w:left w:val="none" w:sz="0" w:space="0" w:color="auto"/>
        <w:bottom w:val="none" w:sz="0" w:space="0" w:color="auto"/>
        <w:right w:val="none" w:sz="0" w:space="0" w:color="auto"/>
      </w:divBdr>
      <w:divsChild>
        <w:div w:id="477847126">
          <w:marLeft w:val="0"/>
          <w:marRight w:val="0"/>
          <w:marTop w:val="0"/>
          <w:marBottom w:val="0"/>
          <w:divBdr>
            <w:top w:val="none" w:sz="0" w:space="0" w:color="auto"/>
            <w:left w:val="none" w:sz="0" w:space="0" w:color="auto"/>
            <w:bottom w:val="none" w:sz="0" w:space="0" w:color="auto"/>
            <w:right w:val="none" w:sz="0" w:space="0" w:color="auto"/>
          </w:divBdr>
          <w:divsChild>
            <w:div w:id="239143851">
              <w:marLeft w:val="0"/>
              <w:marRight w:val="0"/>
              <w:marTop w:val="0"/>
              <w:marBottom w:val="0"/>
              <w:divBdr>
                <w:top w:val="none" w:sz="0" w:space="0" w:color="auto"/>
                <w:left w:val="none" w:sz="0" w:space="0" w:color="auto"/>
                <w:bottom w:val="none" w:sz="0" w:space="0" w:color="auto"/>
                <w:right w:val="none" w:sz="0" w:space="0" w:color="auto"/>
              </w:divBdr>
              <w:divsChild>
                <w:div w:id="2013219512">
                  <w:marLeft w:val="0"/>
                  <w:marRight w:val="0"/>
                  <w:marTop w:val="0"/>
                  <w:marBottom w:val="0"/>
                  <w:divBdr>
                    <w:top w:val="none" w:sz="0" w:space="0" w:color="auto"/>
                    <w:left w:val="none" w:sz="0" w:space="0" w:color="auto"/>
                    <w:bottom w:val="none" w:sz="0" w:space="0" w:color="auto"/>
                    <w:right w:val="none" w:sz="0" w:space="0" w:color="auto"/>
                  </w:divBdr>
                  <w:divsChild>
                    <w:div w:id="20078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385322">
      <w:bodyDiv w:val="1"/>
      <w:marLeft w:val="0"/>
      <w:marRight w:val="0"/>
      <w:marTop w:val="0"/>
      <w:marBottom w:val="0"/>
      <w:divBdr>
        <w:top w:val="none" w:sz="0" w:space="0" w:color="auto"/>
        <w:left w:val="none" w:sz="0" w:space="0" w:color="auto"/>
        <w:bottom w:val="none" w:sz="0" w:space="0" w:color="auto"/>
        <w:right w:val="none" w:sz="0" w:space="0" w:color="auto"/>
      </w:divBdr>
      <w:divsChild>
        <w:div w:id="47579270">
          <w:marLeft w:val="0"/>
          <w:marRight w:val="0"/>
          <w:marTop w:val="0"/>
          <w:marBottom w:val="0"/>
          <w:divBdr>
            <w:top w:val="none" w:sz="0" w:space="0" w:color="auto"/>
            <w:left w:val="none" w:sz="0" w:space="0" w:color="auto"/>
            <w:bottom w:val="none" w:sz="0" w:space="0" w:color="auto"/>
            <w:right w:val="none" w:sz="0" w:space="0" w:color="auto"/>
          </w:divBdr>
          <w:divsChild>
            <w:div w:id="937057720">
              <w:marLeft w:val="0"/>
              <w:marRight w:val="0"/>
              <w:marTop w:val="0"/>
              <w:marBottom w:val="0"/>
              <w:divBdr>
                <w:top w:val="none" w:sz="0" w:space="0" w:color="auto"/>
                <w:left w:val="none" w:sz="0" w:space="0" w:color="auto"/>
                <w:bottom w:val="none" w:sz="0" w:space="0" w:color="auto"/>
                <w:right w:val="none" w:sz="0" w:space="0" w:color="auto"/>
              </w:divBdr>
              <w:divsChild>
                <w:div w:id="17503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4456">
      <w:bodyDiv w:val="1"/>
      <w:marLeft w:val="0"/>
      <w:marRight w:val="0"/>
      <w:marTop w:val="0"/>
      <w:marBottom w:val="0"/>
      <w:divBdr>
        <w:top w:val="none" w:sz="0" w:space="0" w:color="auto"/>
        <w:left w:val="none" w:sz="0" w:space="0" w:color="auto"/>
        <w:bottom w:val="none" w:sz="0" w:space="0" w:color="auto"/>
        <w:right w:val="none" w:sz="0" w:space="0" w:color="auto"/>
      </w:divBdr>
    </w:div>
    <w:div w:id="585772364">
      <w:bodyDiv w:val="1"/>
      <w:marLeft w:val="0"/>
      <w:marRight w:val="0"/>
      <w:marTop w:val="0"/>
      <w:marBottom w:val="0"/>
      <w:divBdr>
        <w:top w:val="none" w:sz="0" w:space="0" w:color="auto"/>
        <w:left w:val="none" w:sz="0" w:space="0" w:color="auto"/>
        <w:bottom w:val="none" w:sz="0" w:space="0" w:color="auto"/>
        <w:right w:val="none" w:sz="0" w:space="0" w:color="auto"/>
      </w:divBdr>
      <w:divsChild>
        <w:div w:id="1786729505">
          <w:marLeft w:val="0"/>
          <w:marRight w:val="0"/>
          <w:marTop w:val="0"/>
          <w:marBottom w:val="0"/>
          <w:divBdr>
            <w:top w:val="none" w:sz="0" w:space="0" w:color="auto"/>
            <w:left w:val="none" w:sz="0" w:space="0" w:color="auto"/>
            <w:bottom w:val="none" w:sz="0" w:space="0" w:color="auto"/>
            <w:right w:val="none" w:sz="0" w:space="0" w:color="auto"/>
          </w:divBdr>
          <w:divsChild>
            <w:div w:id="866019204">
              <w:marLeft w:val="0"/>
              <w:marRight w:val="0"/>
              <w:marTop w:val="0"/>
              <w:marBottom w:val="0"/>
              <w:divBdr>
                <w:top w:val="none" w:sz="0" w:space="0" w:color="auto"/>
                <w:left w:val="none" w:sz="0" w:space="0" w:color="auto"/>
                <w:bottom w:val="none" w:sz="0" w:space="0" w:color="auto"/>
                <w:right w:val="none" w:sz="0" w:space="0" w:color="auto"/>
              </w:divBdr>
              <w:divsChild>
                <w:div w:id="10280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84038">
      <w:bodyDiv w:val="1"/>
      <w:marLeft w:val="0"/>
      <w:marRight w:val="0"/>
      <w:marTop w:val="0"/>
      <w:marBottom w:val="0"/>
      <w:divBdr>
        <w:top w:val="none" w:sz="0" w:space="0" w:color="auto"/>
        <w:left w:val="none" w:sz="0" w:space="0" w:color="auto"/>
        <w:bottom w:val="none" w:sz="0" w:space="0" w:color="auto"/>
        <w:right w:val="none" w:sz="0" w:space="0" w:color="auto"/>
      </w:divBdr>
      <w:divsChild>
        <w:div w:id="1985045855">
          <w:marLeft w:val="0"/>
          <w:marRight w:val="0"/>
          <w:marTop w:val="0"/>
          <w:marBottom w:val="0"/>
          <w:divBdr>
            <w:top w:val="none" w:sz="0" w:space="0" w:color="auto"/>
            <w:left w:val="none" w:sz="0" w:space="0" w:color="auto"/>
            <w:bottom w:val="none" w:sz="0" w:space="0" w:color="auto"/>
            <w:right w:val="none" w:sz="0" w:space="0" w:color="auto"/>
          </w:divBdr>
          <w:divsChild>
            <w:div w:id="1772696873">
              <w:marLeft w:val="0"/>
              <w:marRight w:val="0"/>
              <w:marTop w:val="0"/>
              <w:marBottom w:val="0"/>
              <w:divBdr>
                <w:top w:val="none" w:sz="0" w:space="0" w:color="auto"/>
                <w:left w:val="none" w:sz="0" w:space="0" w:color="auto"/>
                <w:bottom w:val="none" w:sz="0" w:space="0" w:color="auto"/>
                <w:right w:val="none" w:sz="0" w:space="0" w:color="auto"/>
              </w:divBdr>
              <w:divsChild>
                <w:div w:id="13794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7336">
      <w:bodyDiv w:val="1"/>
      <w:marLeft w:val="0"/>
      <w:marRight w:val="0"/>
      <w:marTop w:val="0"/>
      <w:marBottom w:val="0"/>
      <w:divBdr>
        <w:top w:val="none" w:sz="0" w:space="0" w:color="auto"/>
        <w:left w:val="none" w:sz="0" w:space="0" w:color="auto"/>
        <w:bottom w:val="none" w:sz="0" w:space="0" w:color="auto"/>
        <w:right w:val="none" w:sz="0" w:space="0" w:color="auto"/>
      </w:divBdr>
    </w:div>
    <w:div w:id="749735134">
      <w:bodyDiv w:val="1"/>
      <w:marLeft w:val="0"/>
      <w:marRight w:val="0"/>
      <w:marTop w:val="0"/>
      <w:marBottom w:val="0"/>
      <w:divBdr>
        <w:top w:val="none" w:sz="0" w:space="0" w:color="auto"/>
        <w:left w:val="none" w:sz="0" w:space="0" w:color="auto"/>
        <w:bottom w:val="none" w:sz="0" w:space="0" w:color="auto"/>
        <w:right w:val="none" w:sz="0" w:space="0" w:color="auto"/>
      </w:divBdr>
      <w:divsChild>
        <w:div w:id="1244726584">
          <w:marLeft w:val="0"/>
          <w:marRight w:val="0"/>
          <w:marTop w:val="0"/>
          <w:marBottom w:val="0"/>
          <w:divBdr>
            <w:top w:val="none" w:sz="0" w:space="0" w:color="auto"/>
            <w:left w:val="none" w:sz="0" w:space="0" w:color="auto"/>
            <w:bottom w:val="none" w:sz="0" w:space="0" w:color="auto"/>
            <w:right w:val="none" w:sz="0" w:space="0" w:color="auto"/>
          </w:divBdr>
          <w:divsChild>
            <w:div w:id="133372668">
              <w:marLeft w:val="0"/>
              <w:marRight w:val="0"/>
              <w:marTop w:val="0"/>
              <w:marBottom w:val="0"/>
              <w:divBdr>
                <w:top w:val="none" w:sz="0" w:space="0" w:color="auto"/>
                <w:left w:val="none" w:sz="0" w:space="0" w:color="auto"/>
                <w:bottom w:val="none" w:sz="0" w:space="0" w:color="auto"/>
                <w:right w:val="none" w:sz="0" w:space="0" w:color="auto"/>
              </w:divBdr>
              <w:divsChild>
                <w:div w:id="11773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4388">
      <w:bodyDiv w:val="1"/>
      <w:marLeft w:val="0"/>
      <w:marRight w:val="0"/>
      <w:marTop w:val="0"/>
      <w:marBottom w:val="0"/>
      <w:divBdr>
        <w:top w:val="none" w:sz="0" w:space="0" w:color="auto"/>
        <w:left w:val="none" w:sz="0" w:space="0" w:color="auto"/>
        <w:bottom w:val="none" w:sz="0" w:space="0" w:color="auto"/>
        <w:right w:val="none" w:sz="0" w:space="0" w:color="auto"/>
      </w:divBdr>
      <w:divsChild>
        <w:div w:id="287513887">
          <w:marLeft w:val="0"/>
          <w:marRight w:val="0"/>
          <w:marTop w:val="0"/>
          <w:marBottom w:val="0"/>
          <w:divBdr>
            <w:top w:val="none" w:sz="0" w:space="0" w:color="auto"/>
            <w:left w:val="none" w:sz="0" w:space="0" w:color="auto"/>
            <w:bottom w:val="none" w:sz="0" w:space="0" w:color="auto"/>
            <w:right w:val="none" w:sz="0" w:space="0" w:color="auto"/>
          </w:divBdr>
          <w:divsChild>
            <w:div w:id="497886494">
              <w:marLeft w:val="0"/>
              <w:marRight w:val="0"/>
              <w:marTop w:val="0"/>
              <w:marBottom w:val="0"/>
              <w:divBdr>
                <w:top w:val="none" w:sz="0" w:space="0" w:color="auto"/>
                <w:left w:val="none" w:sz="0" w:space="0" w:color="auto"/>
                <w:bottom w:val="none" w:sz="0" w:space="0" w:color="auto"/>
                <w:right w:val="none" w:sz="0" w:space="0" w:color="auto"/>
              </w:divBdr>
              <w:divsChild>
                <w:div w:id="4212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0450">
      <w:bodyDiv w:val="1"/>
      <w:marLeft w:val="0"/>
      <w:marRight w:val="0"/>
      <w:marTop w:val="0"/>
      <w:marBottom w:val="0"/>
      <w:divBdr>
        <w:top w:val="none" w:sz="0" w:space="0" w:color="auto"/>
        <w:left w:val="none" w:sz="0" w:space="0" w:color="auto"/>
        <w:bottom w:val="none" w:sz="0" w:space="0" w:color="auto"/>
        <w:right w:val="none" w:sz="0" w:space="0" w:color="auto"/>
      </w:divBdr>
    </w:div>
    <w:div w:id="813369745">
      <w:bodyDiv w:val="1"/>
      <w:marLeft w:val="0"/>
      <w:marRight w:val="0"/>
      <w:marTop w:val="0"/>
      <w:marBottom w:val="0"/>
      <w:divBdr>
        <w:top w:val="none" w:sz="0" w:space="0" w:color="auto"/>
        <w:left w:val="none" w:sz="0" w:space="0" w:color="auto"/>
        <w:bottom w:val="none" w:sz="0" w:space="0" w:color="auto"/>
        <w:right w:val="none" w:sz="0" w:space="0" w:color="auto"/>
      </w:divBdr>
      <w:divsChild>
        <w:div w:id="726952021">
          <w:marLeft w:val="0"/>
          <w:marRight w:val="0"/>
          <w:marTop w:val="0"/>
          <w:marBottom w:val="0"/>
          <w:divBdr>
            <w:top w:val="none" w:sz="0" w:space="0" w:color="auto"/>
            <w:left w:val="none" w:sz="0" w:space="0" w:color="auto"/>
            <w:bottom w:val="none" w:sz="0" w:space="0" w:color="auto"/>
            <w:right w:val="none" w:sz="0" w:space="0" w:color="auto"/>
          </w:divBdr>
          <w:divsChild>
            <w:div w:id="192614686">
              <w:marLeft w:val="0"/>
              <w:marRight w:val="0"/>
              <w:marTop w:val="0"/>
              <w:marBottom w:val="0"/>
              <w:divBdr>
                <w:top w:val="none" w:sz="0" w:space="0" w:color="auto"/>
                <w:left w:val="none" w:sz="0" w:space="0" w:color="auto"/>
                <w:bottom w:val="none" w:sz="0" w:space="0" w:color="auto"/>
                <w:right w:val="none" w:sz="0" w:space="0" w:color="auto"/>
              </w:divBdr>
              <w:divsChild>
                <w:div w:id="1044017714">
                  <w:marLeft w:val="0"/>
                  <w:marRight w:val="0"/>
                  <w:marTop w:val="0"/>
                  <w:marBottom w:val="0"/>
                  <w:divBdr>
                    <w:top w:val="none" w:sz="0" w:space="0" w:color="auto"/>
                    <w:left w:val="none" w:sz="0" w:space="0" w:color="auto"/>
                    <w:bottom w:val="none" w:sz="0" w:space="0" w:color="auto"/>
                    <w:right w:val="none" w:sz="0" w:space="0" w:color="auto"/>
                  </w:divBdr>
                  <w:divsChild>
                    <w:div w:id="1221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3217">
      <w:bodyDiv w:val="1"/>
      <w:marLeft w:val="0"/>
      <w:marRight w:val="0"/>
      <w:marTop w:val="0"/>
      <w:marBottom w:val="0"/>
      <w:divBdr>
        <w:top w:val="none" w:sz="0" w:space="0" w:color="auto"/>
        <w:left w:val="none" w:sz="0" w:space="0" w:color="auto"/>
        <w:bottom w:val="none" w:sz="0" w:space="0" w:color="auto"/>
        <w:right w:val="none" w:sz="0" w:space="0" w:color="auto"/>
      </w:divBdr>
      <w:divsChild>
        <w:div w:id="778765961">
          <w:marLeft w:val="0"/>
          <w:marRight w:val="0"/>
          <w:marTop w:val="0"/>
          <w:marBottom w:val="0"/>
          <w:divBdr>
            <w:top w:val="none" w:sz="0" w:space="0" w:color="auto"/>
            <w:left w:val="none" w:sz="0" w:space="0" w:color="auto"/>
            <w:bottom w:val="none" w:sz="0" w:space="0" w:color="auto"/>
            <w:right w:val="none" w:sz="0" w:space="0" w:color="auto"/>
          </w:divBdr>
          <w:divsChild>
            <w:div w:id="1764523435">
              <w:marLeft w:val="0"/>
              <w:marRight w:val="0"/>
              <w:marTop w:val="0"/>
              <w:marBottom w:val="0"/>
              <w:divBdr>
                <w:top w:val="none" w:sz="0" w:space="0" w:color="auto"/>
                <w:left w:val="none" w:sz="0" w:space="0" w:color="auto"/>
                <w:bottom w:val="none" w:sz="0" w:space="0" w:color="auto"/>
                <w:right w:val="none" w:sz="0" w:space="0" w:color="auto"/>
              </w:divBdr>
              <w:divsChild>
                <w:div w:id="20574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5447">
      <w:bodyDiv w:val="1"/>
      <w:marLeft w:val="0"/>
      <w:marRight w:val="0"/>
      <w:marTop w:val="0"/>
      <w:marBottom w:val="0"/>
      <w:divBdr>
        <w:top w:val="none" w:sz="0" w:space="0" w:color="auto"/>
        <w:left w:val="none" w:sz="0" w:space="0" w:color="auto"/>
        <w:bottom w:val="none" w:sz="0" w:space="0" w:color="auto"/>
        <w:right w:val="none" w:sz="0" w:space="0" w:color="auto"/>
      </w:divBdr>
    </w:div>
    <w:div w:id="852576264">
      <w:bodyDiv w:val="1"/>
      <w:marLeft w:val="0"/>
      <w:marRight w:val="0"/>
      <w:marTop w:val="0"/>
      <w:marBottom w:val="0"/>
      <w:divBdr>
        <w:top w:val="none" w:sz="0" w:space="0" w:color="auto"/>
        <w:left w:val="none" w:sz="0" w:space="0" w:color="auto"/>
        <w:bottom w:val="none" w:sz="0" w:space="0" w:color="auto"/>
        <w:right w:val="none" w:sz="0" w:space="0" w:color="auto"/>
      </w:divBdr>
    </w:div>
    <w:div w:id="922109858">
      <w:bodyDiv w:val="1"/>
      <w:marLeft w:val="0"/>
      <w:marRight w:val="0"/>
      <w:marTop w:val="0"/>
      <w:marBottom w:val="0"/>
      <w:divBdr>
        <w:top w:val="none" w:sz="0" w:space="0" w:color="auto"/>
        <w:left w:val="none" w:sz="0" w:space="0" w:color="auto"/>
        <w:bottom w:val="none" w:sz="0" w:space="0" w:color="auto"/>
        <w:right w:val="none" w:sz="0" w:space="0" w:color="auto"/>
      </w:divBdr>
      <w:divsChild>
        <w:div w:id="4023268">
          <w:marLeft w:val="0"/>
          <w:marRight w:val="0"/>
          <w:marTop w:val="0"/>
          <w:marBottom w:val="0"/>
          <w:divBdr>
            <w:top w:val="none" w:sz="0" w:space="0" w:color="auto"/>
            <w:left w:val="none" w:sz="0" w:space="0" w:color="auto"/>
            <w:bottom w:val="none" w:sz="0" w:space="0" w:color="auto"/>
            <w:right w:val="none" w:sz="0" w:space="0" w:color="auto"/>
          </w:divBdr>
          <w:divsChild>
            <w:div w:id="229734545">
              <w:marLeft w:val="0"/>
              <w:marRight w:val="0"/>
              <w:marTop w:val="0"/>
              <w:marBottom w:val="0"/>
              <w:divBdr>
                <w:top w:val="none" w:sz="0" w:space="0" w:color="auto"/>
                <w:left w:val="none" w:sz="0" w:space="0" w:color="auto"/>
                <w:bottom w:val="none" w:sz="0" w:space="0" w:color="auto"/>
                <w:right w:val="none" w:sz="0" w:space="0" w:color="auto"/>
              </w:divBdr>
              <w:divsChild>
                <w:div w:id="785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3365">
      <w:bodyDiv w:val="1"/>
      <w:marLeft w:val="0"/>
      <w:marRight w:val="0"/>
      <w:marTop w:val="0"/>
      <w:marBottom w:val="0"/>
      <w:divBdr>
        <w:top w:val="none" w:sz="0" w:space="0" w:color="auto"/>
        <w:left w:val="none" w:sz="0" w:space="0" w:color="auto"/>
        <w:bottom w:val="none" w:sz="0" w:space="0" w:color="auto"/>
        <w:right w:val="none" w:sz="0" w:space="0" w:color="auto"/>
      </w:divBdr>
      <w:divsChild>
        <w:div w:id="443112329">
          <w:marLeft w:val="0"/>
          <w:marRight w:val="0"/>
          <w:marTop w:val="0"/>
          <w:marBottom w:val="0"/>
          <w:divBdr>
            <w:top w:val="none" w:sz="0" w:space="0" w:color="auto"/>
            <w:left w:val="none" w:sz="0" w:space="0" w:color="auto"/>
            <w:bottom w:val="none" w:sz="0" w:space="0" w:color="auto"/>
            <w:right w:val="none" w:sz="0" w:space="0" w:color="auto"/>
          </w:divBdr>
          <w:divsChild>
            <w:div w:id="1197308163">
              <w:marLeft w:val="0"/>
              <w:marRight w:val="0"/>
              <w:marTop w:val="0"/>
              <w:marBottom w:val="0"/>
              <w:divBdr>
                <w:top w:val="none" w:sz="0" w:space="0" w:color="auto"/>
                <w:left w:val="none" w:sz="0" w:space="0" w:color="auto"/>
                <w:bottom w:val="none" w:sz="0" w:space="0" w:color="auto"/>
                <w:right w:val="none" w:sz="0" w:space="0" w:color="auto"/>
              </w:divBdr>
              <w:divsChild>
                <w:div w:id="135034300">
                  <w:marLeft w:val="0"/>
                  <w:marRight w:val="0"/>
                  <w:marTop w:val="0"/>
                  <w:marBottom w:val="0"/>
                  <w:divBdr>
                    <w:top w:val="none" w:sz="0" w:space="0" w:color="auto"/>
                    <w:left w:val="none" w:sz="0" w:space="0" w:color="auto"/>
                    <w:bottom w:val="none" w:sz="0" w:space="0" w:color="auto"/>
                    <w:right w:val="none" w:sz="0" w:space="0" w:color="auto"/>
                  </w:divBdr>
                  <w:divsChild>
                    <w:div w:id="6926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046321">
      <w:bodyDiv w:val="1"/>
      <w:marLeft w:val="0"/>
      <w:marRight w:val="0"/>
      <w:marTop w:val="0"/>
      <w:marBottom w:val="0"/>
      <w:divBdr>
        <w:top w:val="none" w:sz="0" w:space="0" w:color="auto"/>
        <w:left w:val="none" w:sz="0" w:space="0" w:color="auto"/>
        <w:bottom w:val="none" w:sz="0" w:space="0" w:color="auto"/>
        <w:right w:val="none" w:sz="0" w:space="0" w:color="auto"/>
      </w:divBdr>
      <w:divsChild>
        <w:div w:id="180432777">
          <w:marLeft w:val="0"/>
          <w:marRight w:val="0"/>
          <w:marTop w:val="0"/>
          <w:marBottom w:val="0"/>
          <w:divBdr>
            <w:top w:val="none" w:sz="0" w:space="0" w:color="auto"/>
            <w:left w:val="none" w:sz="0" w:space="0" w:color="auto"/>
            <w:bottom w:val="none" w:sz="0" w:space="0" w:color="auto"/>
            <w:right w:val="none" w:sz="0" w:space="0" w:color="auto"/>
          </w:divBdr>
          <w:divsChild>
            <w:div w:id="1038434786">
              <w:marLeft w:val="0"/>
              <w:marRight w:val="0"/>
              <w:marTop w:val="0"/>
              <w:marBottom w:val="0"/>
              <w:divBdr>
                <w:top w:val="none" w:sz="0" w:space="0" w:color="auto"/>
                <w:left w:val="none" w:sz="0" w:space="0" w:color="auto"/>
                <w:bottom w:val="none" w:sz="0" w:space="0" w:color="auto"/>
                <w:right w:val="none" w:sz="0" w:space="0" w:color="auto"/>
              </w:divBdr>
              <w:divsChild>
                <w:div w:id="18945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3322">
      <w:bodyDiv w:val="1"/>
      <w:marLeft w:val="0"/>
      <w:marRight w:val="0"/>
      <w:marTop w:val="0"/>
      <w:marBottom w:val="0"/>
      <w:divBdr>
        <w:top w:val="none" w:sz="0" w:space="0" w:color="auto"/>
        <w:left w:val="none" w:sz="0" w:space="0" w:color="auto"/>
        <w:bottom w:val="none" w:sz="0" w:space="0" w:color="auto"/>
        <w:right w:val="none" w:sz="0" w:space="0" w:color="auto"/>
      </w:divBdr>
      <w:divsChild>
        <w:div w:id="2096628361">
          <w:marLeft w:val="0"/>
          <w:marRight w:val="0"/>
          <w:marTop w:val="0"/>
          <w:marBottom w:val="0"/>
          <w:divBdr>
            <w:top w:val="none" w:sz="0" w:space="0" w:color="auto"/>
            <w:left w:val="none" w:sz="0" w:space="0" w:color="auto"/>
            <w:bottom w:val="none" w:sz="0" w:space="0" w:color="auto"/>
            <w:right w:val="none" w:sz="0" w:space="0" w:color="auto"/>
          </w:divBdr>
          <w:divsChild>
            <w:div w:id="1026250334">
              <w:marLeft w:val="0"/>
              <w:marRight w:val="0"/>
              <w:marTop w:val="0"/>
              <w:marBottom w:val="0"/>
              <w:divBdr>
                <w:top w:val="none" w:sz="0" w:space="0" w:color="auto"/>
                <w:left w:val="none" w:sz="0" w:space="0" w:color="auto"/>
                <w:bottom w:val="none" w:sz="0" w:space="0" w:color="auto"/>
                <w:right w:val="none" w:sz="0" w:space="0" w:color="auto"/>
              </w:divBdr>
              <w:divsChild>
                <w:div w:id="19767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4971">
      <w:bodyDiv w:val="1"/>
      <w:marLeft w:val="0"/>
      <w:marRight w:val="0"/>
      <w:marTop w:val="0"/>
      <w:marBottom w:val="0"/>
      <w:divBdr>
        <w:top w:val="none" w:sz="0" w:space="0" w:color="auto"/>
        <w:left w:val="none" w:sz="0" w:space="0" w:color="auto"/>
        <w:bottom w:val="none" w:sz="0" w:space="0" w:color="auto"/>
        <w:right w:val="none" w:sz="0" w:space="0" w:color="auto"/>
      </w:divBdr>
      <w:divsChild>
        <w:div w:id="44106667">
          <w:marLeft w:val="0"/>
          <w:marRight w:val="0"/>
          <w:marTop w:val="0"/>
          <w:marBottom w:val="0"/>
          <w:divBdr>
            <w:top w:val="none" w:sz="0" w:space="0" w:color="auto"/>
            <w:left w:val="none" w:sz="0" w:space="0" w:color="auto"/>
            <w:bottom w:val="none" w:sz="0" w:space="0" w:color="auto"/>
            <w:right w:val="none" w:sz="0" w:space="0" w:color="auto"/>
          </w:divBdr>
          <w:divsChild>
            <w:div w:id="1784499202">
              <w:marLeft w:val="0"/>
              <w:marRight w:val="0"/>
              <w:marTop w:val="0"/>
              <w:marBottom w:val="0"/>
              <w:divBdr>
                <w:top w:val="none" w:sz="0" w:space="0" w:color="auto"/>
                <w:left w:val="none" w:sz="0" w:space="0" w:color="auto"/>
                <w:bottom w:val="none" w:sz="0" w:space="0" w:color="auto"/>
                <w:right w:val="none" w:sz="0" w:space="0" w:color="auto"/>
              </w:divBdr>
              <w:divsChild>
                <w:div w:id="12792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51711">
      <w:bodyDiv w:val="1"/>
      <w:marLeft w:val="0"/>
      <w:marRight w:val="0"/>
      <w:marTop w:val="0"/>
      <w:marBottom w:val="0"/>
      <w:divBdr>
        <w:top w:val="none" w:sz="0" w:space="0" w:color="auto"/>
        <w:left w:val="none" w:sz="0" w:space="0" w:color="auto"/>
        <w:bottom w:val="none" w:sz="0" w:space="0" w:color="auto"/>
        <w:right w:val="none" w:sz="0" w:space="0" w:color="auto"/>
      </w:divBdr>
      <w:divsChild>
        <w:div w:id="1862741464">
          <w:marLeft w:val="0"/>
          <w:marRight w:val="0"/>
          <w:marTop w:val="0"/>
          <w:marBottom w:val="0"/>
          <w:divBdr>
            <w:top w:val="none" w:sz="0" w:space="0" w:color="auto"/>
            <w:left w:val="none" w:sz="0" w:space="0" w:color="auto"/>
            <w:bottom w:val="none" w:sz="0" w:space="0" w:color="auto"/>
            <w:right w:val="none" w:sz="0" w:space="0" w:color="auto"/>
          </w:divBdr>
          <w:divsChild>
            <w:div w:id="1005549449">
              <w:marLeft w:val="0"/>
              <w:marRight w:val="0"/>
              <w:marTop w:val="0"/>
              <w:marBottom w:val="0"/>
              <w:divBdr>
                <w:top w:val="none" w:sz="0" w:space="0" w:color="auto"/>
                <w:left w:val="none" w:sz="0" w:space="0" w:color="auto"/>
                <w:bottom w:val="none" w:sz="0" w:space="0" w:color="auto"/>
                <w:right w:val="none" w:sz="0" w:space="0" w:color="auto"/>
              </w:divBdr>
              <w:divsChild>
                <w:div w:id="928583295">
                  <w:marLeft w:val="0"/>
                  <w:marRight w:val="0"/>
                  <w:marTop w:val="0"/>
                  <w:marBottom w:val="0"/>
                  <w:divBdr>
                    <w:top w:val="none" w:sz="0" w:space="0" w:color="auto"/>
                    <w:left w:val="none" w:sz="0" w:space="0" w:color="auto"/>
                    <w:bottom w:val="none" w:sz="0" w:space="0" w:color="auto"/>
                    <w:right w:val="none" w:sz="0" w:space="0" w:color="auto"/>
                  </w:divBdr>
                  <w:divsChild>
                    <w:div w:id="15195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48116">
      <w:bodyDiv w:val="1"/>
      <w:marLeft w:val="0"/>
      <w:marRight w:val="0"/>
      <w:marTop w:val="0"/>
      <w:marBottom w:val="0"/>
      <w:divBdr>
        <w:top w:val="none" w:sz="0" w:space="0" w:color="auto"/>
        <w:left w:val="none" w:sz="0" w:space="0" w:color="auto"/>
        <w:bottom w:val="none" w:sz="0" w:space="0" w:color="auto"/>
        <w:right w:val="none" w:sz="0" w:space="0" w:color="auto"/>
      </w:divBdr>
      <w:divsChild>
        <w:div w:id="1119106537">
          <w:marLeft w:val="0"/>
          <w:marRight w:val="0"/>
          <w:marTop w:val="0"/>
          <w:marBottom w:val="0"/>
          <w:divBdr>
            <w:top w:val="none" w:sz="0" w:space="0" w:color="auto"/>
            <w:left w:val="none" w:sz="0" w:space="0" w:color="auto"/>
            <w:bottom w:val="none" w:sz="0" w:space="0" w:color="auto"/>
            <w:right w:val="none" w:sz="0" w:space="0" w:color="auto"/>
          </w:divBdr>
          <w:divsChild>
            <w:div w:id="1557817576">
              <w:marLeft w:val="0"/>
              <w:marRight w:val="0"/>
              <w:marTop w:val="0"/>
              <w:marBottom w:val="0"/>
              <w:divBdr>
                <w:top w:val="none" w:sz="0" w:space="0" w:color="auto"/>
                <w:left w:val="none" w:sz="0" w:space="0" w:color="auto"/>
                <w:bottom w:val="none" w:sz="0" w:space="0" w:color="auto"/>
                <w:right w:val="none" w:sz="0" w:space="0" w:color="auto"/>
              </w:divBdr>
              <w:divsChild>
                <w:div w:id="11130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4490">
      <w:bodyDiv w:val="1"/>
      <w:marLeft w:val="0"/>
      <w:marRight w:val="0"/>
      <w:marTop w:val="0"/>
      <w:marBottom w:val="0"/>
      <w:divBdr>
        <w:top w:val="none" w:sz="0" w:space="0" w:color="auto"/>
        <w:left w:val="none" w:sz="0" w:space="0" w:color="auto"/>
        <w:bottom w:val="none" w:sz="0" w:space="0" w:color="auto"/>
        <w:right w:val="none" w:sz="0" w:space="0" w:color="auto"/>
      </w:divBdr>
      <w:divsChild>
        <w:div w:id="2063937998">
          <w:marLeft w:val="0"/>
          <w:marRight w:val="0"/>
          <w:marTop w:val="0"/>
          <w:marBottom w:val="0"/>
          <w:divBdr>
            <w:top w:val="none" w:sz="0" w:space="0" w:color="auto"/>
            <w:left w:val="none" w:sz="0" w:space="0" w:color="auto"/>
            <w:bottom w:val="none" w:sz="0" w:space="0" w:color="auto"/>
            <w:right w:val="none" w:sz="0" w:space="0" w:color="auto"/>
          </w:divBdr>
          <w:divsChild>
            <w:div w:id="365259126">
              <w:marLeft w:val="0"/>
              <w:marRight w:val="0"/>
              <w:marTop w:val="0"/>
              <w:marBottom w:val="0"/>
              <w:divBdr>
                <w:top w:val="none" w:sz="0" w:space="0" w:color="auto"/>
                <w:left w:val="none" w:sz="0" w:space="0" w:color="auto"/>
                <w:bottom w:val="none" w:sz="0" w:space="0" w:color="auto"/>
                <w:right w:val="none" w:sz="0" w:space="0" w:color="auto"/>
              </w:divBdr>
              <w:divsChild>
                <w:div w:id="20134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67701">
      <w:bodyDiv w:val="1"/>
      <w:marLeft w:val="0"/>
      <w:marRight w:val="0"/>
      <w:marTop w:val="0"/>
      <w:marBottom w:val="0"/>
      <w:divBdr>
        <w:top w:val="none" w:sz="0" w:space="0" w:color="auto"/>
        <w:left w:val="none" w:sz="0" w:space="0" w:color="auto"/>
        <w:bottom w:val="none" w:sz="0" w:space="0" w:color="auto"/>
        <w:right w:val="none" w:sz="0" w:space="0" w:color="auto"/>
      </w:divBdr>
      <w:divsChild>
        <w:div w:id="530069767">
          <w:marLeft w:val="0"/>
          <w:marRight w:val="0"/>
          <w:marTop w:val="0"/>
          <w:marBottom w:val="0"/>
          <w:divBdr>
            <w:top w:val="none" w:sz="0" w:space="0" w:color="auto"/>
            <w:left w:val="none" w:sz="0" w:space="0" w:color="auto"/>
            <w:bottom w:val="none" w:sz="0" w:space="0" w:color="auto"/>
            <w:right w:val="none" w:sz="0" w:space="0" w:color="auto"/>
          </w:divBdr>
          <w:divsChild>
            <w:div w:id="1306663665">
              <w:marLeft w:val="0"/>
              <w:marRight w:val="0"/>
              <w:marTop w:val="0"/>
              <w:marBottom w:val="0"/>
              <w:divBdr>
                <w:top w:val="none" w:sz="0" w:space="0" w:color="auto"/>
                <w:left w:val="none" w:sz="0" w:space="0" w:color="auto"/>
                <w:bottom w:val="none" w:sz="0" w:space="0" w:color="auto"/>
                <w:right w:val="none" w:sz="0" w:space="0" w:color="auto"/>
              </w:divBdr>
              <w:divsChild>
                <w:div w:id="10026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57689">
      <w:bodyDiv w:val="1"/>
      <w:marLeft w:val="0"/>
      <w:marRight w:val="0"/>
      <w:marTop w:val="0"/>
      <w:marBottom w:val="0"/>
      <w:divBdr>
        <w:top w:val="none" w:sz="0" w:space="0" w:color="auto"/>
        <w:left w:val="none" w:sz="0" w:space="0" w:color="auto"/>
        <w:bottom w:val="none" w:sz="0" w:space="0" w:color="auto"/>
        <w:right w:val="none" w:sz="0" w:space="0" w:color="auto"/>
      </w:divBdr>
      <w:divsChild>
        <w:div w:id="682365268">
          <w:marLeft w:val="0"/>
          <w:marRight w:val="0"/>
          <w:marTop w:val="0"/>
          <w:marBottom w:val="0"/>
          <w:divBdr>
            <w:top w:val="none" w:sz="0" w:space="0" w:color="auto"/>
            <w:left w:val="none" w:sz="0" w:space="0" w:color="auto"/>
            <w:bottom w:val="none" w:sz="0" w:space="0" w:color="auto"/>
            <w:right w:val="none" w:sz="0" w:space="0" w:color="auto"/>
          </w:divBdr>
          <w:divsChild>
            <w:div w:id="1801797621">
              <w:marLeft w:val="0"/>
              <w:marRight w:val="0"/>
              <w:marTop w:val="0"/>
              <w:marBottom w:val="0"/>
              <w:divBdr>
                <w:top w:val="none" w:sz="0" w:space="0" w:color="auto"/>
                <w:left w:val="none" w:sz="0" w:space="0" w:color="auto"/>
                <w:bottom w:val="none" w:sz="0" w:space="0" w:color="auto"/>
                <w:right w:val="none" w:sz="0" w:space="0" w:color="auto"/>
              </w:divBdr>
              <w:divsChild>
                <w:div w:id="474874382">
                  <w:marLeft w:val="0"/>
                  <w:marRight w:val="0"/>
                  <w:marTop w:val="0"/>
                  <w:marBottom w:val="0"/>
                  <w:divBdr>
                    <w:top w:val="none" w:sz="0" w:space="0" w:color="auto"/>
                    <w:left w:val="none" w:sz="0" w:space="0" w:color="auto"/>
                    <w:bottom w:val="none" w:sz="0" w:space="0" w:color="auto"/>
                    <w:right w:val="none" w:sz="0" w:space="0" w:color="auto"/>
                  </w:divBdr>
                  <w:divsChild>
                    <w:div w:id="9631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104">
      <w:bodyDiv w:val="1"/>
      <w:marLeft w:val="0"/>
      <w:marRight w:val="0"/>
      <w:marTop w:val="0"/>
      <w:marBottom w:val="0"/>
      <w:divBdr>
        <w:top w:val="none" w:sz="0" w:space="0" w:color="auto"/>
        <w:left w:val="none" w:sz="0" w:space="0" w:color="auto"/>
        <w:bottom w:val="none" w:sz="0" w:space="0" w:color="auto"/>
        <w:right w:val="none" w:sz="0" w:space="0" w:color="auto"/>
      </w:divBdr>
    </w:div>
    <w:div w:id="1358196149">
      <w:bodyDiv w:val="1"/>
      <w:marLeft w:val="0"/>
      <w:marRight w:val="0"/>
      <w:marTop w:val="0"/>
      <w:marBottom w:val="0"/>
      <w:divBdr>
        <w:top w:val="none" w:sz="0" w:space="0" w:color="auto"/>
        <w:left w:val="none" w:sz="0" w:space="0" w:color="auto"/>
        <w:bottom w:val="none" w:sz="0" w:space="0" w:color="auto"/>
        <w:right w:val="none" w:sz="0" w:space="0" w:color="auto"/>
      </w:divBdr>
      <w:divsChild>
        <w:div w:id="2004044043">
          <w:marLeft w:val="0"/>
          <w:marRight w:val="0"/>
          <w:marTop w:val="0"/>
          <w:marBottom w:val="0"/>
          <w:divBdr>
            <w:top w:val="none" w:sz="0" w:space="0" w:color="auto"/>
            <w:left w:val="none" w:sz="0" w:space="0" w:color="auto"/>
            <w:bottom w:val="none" w:sz="0" w:space="0" w:color="auto"/>
            <w:right w:val="none" w:sz="0" w:space="0" w:color="auto"/>
          </w:divBdr>
          <w:divsChild>
            <w:div w:id="1493645837">
              <w:marLeft w:val="0"/>
              <w:marRight w:val="0"/>
              <w:marTop w:val="0"/>
              <w:marBottom w:val="0"/>
              <w:divBdr>
                <w:top w:val="none" w:sz="0" w:space="0" w:color="auto"/>
                <w:left w:val="none" w:sz="0" w:space="0" w:color="auto"/>
                <w:bottom w:val="none" w:sz="0" w:space="0" w:color="auto"/>
                <w:right w:val="none" w:sz="0" w:space="0" w:color="auto"/>
              </w:divBdr>
              <w:divsChild>
                <w:div w:id="1778717586">
                  <w:marLeft w:val="0"/>
                  <w:marRight w:val="0"/>
                  <w:marTop w:val="0"/>
                  <w:marBottom w:val="0"/>
                  <w:divBdr>
                    <w:top w:val="none" w:sz="0" w:space="0" w:color="auto"/>
                    <w:left w:val="none" w:sz="0" w:space="0" w:color="auto"/>
                    <w:bottom w:val="none" w:sz="0" w:space="0" w:color="auto"/>
                    <w:right w:val="none" w:sz="0" w:space="0" w:color="auto"/>
                  </w:divBdr>
                </w:div>
              </w:divsChild>
            </w:div>
            <w:div w:id="2066369534">
              <w:marLeft w:val="0"/>
              <w:marRight w:val="0"/>
              <w:marTop w:val="0"/>
              <w:marBottom w:val="0"/>
              <w:divBdr>
                <w:top w:val="none" w:sz="0" w:space="0" w:color="auto"/>
                <w:left w:val="none" w:sz="0" w:space="0" w:color="auto"/>
                <w:bottom w:val="none" w:sz="0" w:space="0" w:color="auto"/>
                <w:right w:val="none" w:sz="0" w:space="0" w:color="auto"/>
              </w:divBdr>
              <w:divsChild>
                <w:div w:id="218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75012">
      <w:bodyDiv w:val="1"/>
      <w:marLeft w:val="0"/>
      <w:marRight w:val="0"/>
      <w:marTop w:val="0"/>
      <w:marBottom w:val="0"/>
      <w:divBdr>
        <w:top w:val="none" w:sz="0" w:space="0" w:color="auto"/>
        <w:left w:val="none" w:sz="0" w:space="0" w:color="auto"/>
        <w:bottom w:val="none" w:sz="0" w:space="0" w:color="auto"/>
        <w:right w:val="none" w:sz="0" w:space="0" w:color="auto"/>
      </w:divBdr>
      <w:divsChild>
        <w:div w:id="247927478">
          <w:marLeft w:val="0"/>
          <w:marRight w:val="0"/>
          <w:marTop w:val="0"/>
          <w:marBottom w:val="0"/>
          <w:divBdr>
            <w:top w:val="none" w:sz="0" w:space="0" w:color="auto"/>
            <w:left w:val="none" w:sz="0" w:space="0" w:color="auto"/>
            <w:bottom w:val="none" w:sz="0" w:space="0" w:color="auto"/>
            <w:right w:val="none" w:sz="0" w:space="0" w:color="auto"/>
          </w:divBdr>
          <w:divsChild>
            <w:div w:id="1060521175">
              <w:marLeft w:val="0"/>
              <w:marRight w:val="0"/>
              <w:marTop w:val="0"/>
              <w:marBottom w:val="0"/>
              <w:divBdr>
                <w:top w:val="none" w:sz="0" w:space="0" w:color="auto"/>
                <w:left w:val="none" w:sz="0" w:space="0" w:color="auto"/>
                <w:bottom w:val="none" w:sz="0" w:space="0" w:color="auto"/>
                <w:right w:val="none" w:sz="0" w:space="0" w:color="auto"/>
              </w:divBdr>
              <w:divsChild>
                <w:div w:id="8818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90146">
      <w:bodyDiv w:val="1"/>
      <w:marLeft w:val="0"/>
      <w:marRight w:val="0"/>
      <w:marTop w:val="0"/>
      <w:marBottom w:val="0"/>
      <w:divBdr>
        <w:top w:val="none" w:sz="0" w:space="0" w:color="auto"/>
        <w:left w:val="none" w:sz="0" w:space="0" w:color="auto"/>
        <w:bottom w:val="none" w:sz="0" w:space="0" w:color="auto"/>
        <w:right w:val="none" w:sz="0" w:space="0" w:color="auto"/>
      </w:divBdr>
      <w:divsChild>
        <w:div w:id="2069919558">
          <w:marLeft w:val="0"/>
          <w:marRight w:val="0"/>
          <w:marTop w:val="0"/>
          <w:marBottom w:val="0"/>
          <w:divBdr>
            <w:top w:val="none" w:sz="0" w:space="0" w:color="auto"/>
            <w:left w:val="none" w:sz="0" w:space="0" w:color="auto"/>
            <w:bottom w:val="none" w:sz="0" w:space="0" w:color="auto"/>
            <w:right w:val="none" w:sz="0" w:space="0" w:color="auto"/>
          </w:divBdr>
          <w:divsChild>
            <w:div w:id="325791453">
              <w:marLeft w:val="0"/>
              <w:marRight w:val="0"/>
              <w:marTop w:val="0"/>
              <w:marBottom w:val="0"/>
              <w:divBdr>
                <w:top w:val="none" w:sz="0" w:space="0" w:color="auto"/>
                <w:left w:val="none" w:sz="0" w:space="0" w:color="auto"/>
                <w:bottom w:val="none" w:sz="0" w:space="0" w:color="auto"/>
                <w:right w:val="none" w:sz="0" w:space="0" w:color="auto"/>
              </w:divBdr>
              <w:divsChild>
                <w:div w:id="4663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3953">
      <w:bodyDiv w:val="1"/>
      <w:marLeft w:val="0"/>
      <w:marRight w:val="0"/>
      <w:marTop w:val="0"/>
      <w:marBottom w:val="0"/>
      <w:divBdr>
        <w:top w:val="none" w:sz="0" w:space="0" w:color="auto"/>
        <w:left w:val="none" w:sz="0" w:space="0" w:color="auto"/>
        <w:bottom w:val="none" w:sz="0" w:space="0" w:color="auto"/>
        <w:right w:val="none" w:sz="0" w:space="0" w:color="auto"/>
      </w:divBdr>
    </w:div>
    <w:div w:id="1498616005">
      <w:bodyDiv w:val="1"/>
      <w:marLeft w:val="0"/>
      <w:marRight w:val="0"/>
      <w:marTop w:val="0"/>
      <w:marBottom w:val="0"/>
      <w:divBdr>
        <w:top w:val="none" w:sz="0" w:space="0" w:color="auto"/>
        <w:left w:val="none" w:sz="0" w:space="0" w:color="auto"/>
        <w:bottom w:val="none" w:sz="0" w:space="0" w:color="auto"/>
        <w:right w:val="none" w:sz="0" w:space="0" w:color="auto"/>
      </w:divBdr>
      <w:divsChild>
        <w:div w:id="1032151289">
          <w:marLeft w:val="0"/>
          <w:marRight w:val="0"/>
          <w:marTop w:val="0"/>
          <w:marBottom w:val="0"/>
          <w:divBdr>
            <w:top w:val="none" w:sz="0" w:space="0" w:color="auto"/>
            <w:left w:val="none" w:sz="0" w:space="0" w:color="auto"/>
            <w:bottom w:val="none" w:sz="0" w:space="0" w:color="auto"/>
            <w:right w:val="none" w:sz="0" w:space="0" w:color="auto"/>
          </w:divBdr>
          <w:divsChild>
            <w:div w:id="1577590147">
              <w:marLeft w:val="0"/>
              <w:marRight w:val="0"/>
              <w:marTop w:val="0"/>
              <w:marBottom w:val="0"/>
              <w:divBdr>
                <w:top w:val="none" w:sz="0" w:space="0" w:color="auto"/>
                <w:left w:val="none" w:sz="0" w:space="0" w:color="auto"/>
                <w:bottom w:val="none" w:sz="0" w:space="0" w:color="auto"/>
                <w:right w:val="none" w:sz="0" w:space="0" w:color="auto"/>
              </w:divBdr>
              <w:divsChild>
                <w:div w:id="7867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1547">
      <w:bodyDiv w:val="1"/>
      <w:marLeft w:val="0"/>
      <w:marRight w:val="0"/>
      <w:marTop w:val="0"/>
      <w:marBottom w:val="0"/>
      <w:divBdr>
        <w:top w:val="none" w:sz="0" w:space="0" w:color="auto"/>
        <w:left w:val="none" w:sz="0" w:space="0" w:color="auto"/>
        <w:bottom w:val="none" w:sz="0" w:space="0" w:color="auto"/>
        <w:right w:val="none" w:sz="0" w:space="0" w:color="auto"/>
      </w:divBdr>
      <w:divsChild>
        <w:div w:id="1581524086">
          <w:marLeft w:val="0"/>
          <w:marRight w:val="0"/>
          <w:marTop w:val="0"/>
          <w:marBottom w:val="0"/>
          <w:divBdr>
            <w:top w:val="none" w:sz="0" w:space="0" w:color="auto"/>
            <w:left w:val="none" w:sz="0" w:space="0" w:color="auto"/>
            <w:bottom w:val="none" w:sz="0" w:space="0" w:color="auto"/>
            <w:right w:val="none" w:sz="0" w:space="0" w:color="auto"/>
          </w:divBdr>
          <w:divsChild>
            <w:div w:id="1868448315">
              <w:marLeft w:val="0"/>
              <w:marRight w:val="0"/>
              <w:marTop w:val="0"/>
              <w:marBottom w:val="0"/>
              <w:divBdr>
                <w:top w:val="none" w:sz="0" w:space="0" w:color="auto"/>
                <w:left w:val="none" w:sz="0" w:space="0" w:color="auto"/>
                <w:bottom w:val="none" w:sz="0" w:space="0" w:color="auto"/>
                <w:right w:val="none" w:sz="0" w:space="0" w:color="auto"/>
              </w:divBdr>
              <w:divsChild>
                <w:div w:id="1715881585">
                  <w:marLeft w:val="0"/>
                  <w:marRight w:val="0"/>
                  <w:marTop w:val="0"/>
                  <w:marBottom w:val="0"/>
                  <w:divBdr>
                    <w:top w:val="none" w:sz="0" w:space="0" w:color="auto"/>
                    <w:left w:val="none" w:sz="0" w:space="0" w:color="auto"/>
                    <w:bottom w:val="none" w:sz="0" w:space="0" w:color="auto"/>
                    <w:right w:val="none" w:sz="0" w:space="0" w:color="auto"/>
                  </w:divBdr>
                  <w:divsChild>
                    <w:div w:id="1237283424">
                      <w:marLeft w:val="0"/>
                      <w:marRight w:val="0"/>
                      <w:marTop w:val="0"/>
                      <w:marBottom w:val="0"/>
                      <w:divBdr>
                        <w:top w:val="none" w:sz="0" w:space="0" w:color="auto"/>
                        <w:left w:val="none" w:sz="0" w:space="0" w:color="auto"/>
                        <w:bottom w:val="none" w:sz="0" w:space="0" w:color="auto"/>
                        <w:right w:val="none" w:sz="0" w:space="0" w:color="auto"/>
                      </w:divBdr>
                    </w:div>
                  </w:divsChild>
                </w:div>
                <w:div w:id="1731416826">
                  <w:marLeft w:val="0"/>
                  <w:marRight w:val="0"/>
                  <w:marTop w:val="0"/>
                  <w:marBottom w:val="0"/>
                  <w:divBdr>
                    <w:top w:val="none" w:sz="0" w:space="0" w:color="auto"/>
                    <w:left w:val="none" w:sz="0" w:space="0" w:color="auto"/>
                    <w:bottom w:val="none" w:sz="0" w:space="0" w:color="auto"/>
                    <w:right w:val="none" w:sz="0" w:space="0" w:color="auto"/>
                  </w:divBdr>
                  <w:divsChild>
                    <w:div w:id="19569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79414">
      <w:bodyDiv w:val="1"/>
      <w:marLeft w:val="0"/>
      <w:marRight w:val="0"/>
      <w:marTop w:val="0"/>
      <w:marBottom w:val="0"/>
      <w:divBdr>
        <w:top w:val="none" w:sz="0" w:space="0" w:color="auto"/>
        <w:left w:val="none" w:sz="0" w:space="0" w:color="auto"/>
        <w:bottom w:val="none" w:sz="0" w:space="0" w:color="auto"/>
        <w:right w:val="none" w:sz="0" w:space="0" w:color="auto"/>
      </w:divBdr>
      <w:divsChild>
        <w:div w:id="1522814827">
          <w:marLeft w:val="0"/>
          <w:marRight w:val="0"/>
          <w:marTop w:val="0"/>
          <w:marBottom w:val="0"/>
          <w:divBdr>
            <w:top w:val="none" w:sz="0" w:space="0" w:color="auto"/>
            <w:left w:val="none" w:sz="0" w:space="0" w:color="auto"/>
            <w:bottom w:val="none" w:sz="0" w:space="0" w:color="auto"/>
            <w:right w:val="none" w:sz="0" w:space="0" w:color="auto"/>
          </w:divBdr>
          <w:divsChild>
            <w:div w:id="169224544">
              <w:marLeft w:val="0"/>
              <w:marRight w:val="0"/>
              <w:marTop w:val="0"/>
              <w:marBottom w:val="0"/>
              <w:divBdr>
                <w:top w:val="none" w:sz="0" w:space="0" w:color="auto"/>
                <w:left w:val="none" w:sz="0" w:space="0" w:color="auto"/>
                <w:bottom w:val="none" w:sz="0" w:space="0" w:color="auto"/>
                <w:right w:val="none" w:sz="0" w:space="0" w:color="auto"/>
              </w:divBdr>
              <w:divsChild>
                <w:div w:id="15629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0574">
      <w:bodyDiv w:val="1"/>
      <w:marLeft w:val="0"/>
      <w:marRight w:val="0"/>
      <w:marTop w:val="0"/>
      <w:marBottom w:val="0"/>
      <w:divBdr>
        <w:top w:val="none" w:sz="0" w:space="0" w:color="auto"/>
        <w:left w:val="none" w:sz="0" w:space="0" w:color="auto"/>
        <w:bottom w:val="none" w:sz="0" w:space="0" w:color="auto"/>
        <w:right w:val="none" w:sz="0" w:space="0" w:color="auto"/>
      </w:divBdr>
      <w:divsChild>
        <w:div w:id="694963158">
          <w:marLeft w:val="0"/>
          <w:marRight w:val="0"/>
          <w:marTop w:val="0"/>
          <w:marBottom w:val="0"/>
          <w:divBdr>
            <w:top w:val="none" w:sz="0" w:space="0" w:color="auto"/>
            <w:left w:val="none" w:sz="0" w:space="0" w:color="auto"/>
            <w:bottom w:val="none" w:sz="0" w:space="0" w:color="auto"/>
            <w:right w:val="none" w:sz="0" w:space="0" w:color="auto"/>
          </w:divBdr>
          <w:divsChild>
            <w:div w:id="1032920240">
              <w:marLeft w:val="0"/>
              <w:marRight w:val="0"/>
              <w:marTop w:val="0"/>
              <w:marBottom w:val="0"/>
              <w:divBdr>
                <w:top w:val="none" w:sz="0" w:space="0" w:color="auto"/>
                <w:left w:val="none" w:sz="0" w:space="0" w:color="auto"/>
                <w:bottom w:val="none" w:sz="0" w:space="0" w:color="auto"/>
                <w:right w:val="none" w:sz="0" w:space="0" w:color="auto"/>
              </w:divBdr>
              <w:divsChild>
                <w:div w:id="9686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11910">
      <w:bodyDiv w:val="1"/>
      <w:marLeft w:val="0"/>
      <w:marRight w:val="0"/>
      <w:marTop w:val="0"/>
      <w:marBottom w:val="0"/>
      <w:divBdr>
        <w:top w:val="none" w:sz="0" w:space="0" w:color="auto"/>
        <w:left w:val="none" w:sz="0" w:space="0" w:color="auto"/>
        <w:bottom w:val="none" w:sz="0" w:space="0" w:color="auto"/>
        <w:right w:val="none" w:sz="0" w:space="0" w:color="auto"/>
      </w:divBdr>
      <w:divsChild>
        <w:div w:id="2113277402">
          <w:marLeft w:val="0"/>
          <w:marRight w:val="0"/>
          <w:marTop w:val="0"/>
          <w:marBottom w:val="0"/>
          <w:divBdr>
            <w:top w:val="none" w:sz="0" w:space="0" w:color="auto"/>
            <w:left w:val="none" w:sz="0" w:space="0" w:color="auto"/>
            <w:bottom w:val="none" w:sz="0" w:space="0" w:color="auto"/>
            <w:right w:val="none" w:sz="0" w:space="0" w:color="auto"/>
          </w:divBdr>
          <w:divsChild>
            <w:div w:id="259528702">
              <w:marLeft w:val="0"/>
              <w:marRight w:val="0"/>
              <w:marTop w:val="0"/>
              <w:marBottom w:val="0"/>
              <w:divBdr>
                <w:top w:val="none" w:sz="0" w:space="0" w:color="auto"/>
                <w:left w:val="none" w:sz="0" w:space="0" w:color="auto"/>
                <w:bottom w:val="none" w:sz="0" w:space="0" w:color="auto"/>
                <w:right w:val="none" w:sz="0" w:space="0" w:color="auto"/>
              </w:divBdr>
              <w:divsChild>
                <w:div w:id="786385809">
                  <w:marLeft w:val="0"/>
                  <w:marRight w:val="0"/>
                  <w:marTop w:val="0"/>
                  <w:marBottom w:val="0"/>
                  <w:divBdr>
                    <w:top w:val="none" w:sz="0" w:space="0" w:color="auto"/>
                    <w:left w:val="none" w:sz="0" w:space="0" w:color="auto"/>
                    <w:bottom w:val="none" w:sz="0" w:space="0" w:color="auto"/>
                    <w:right w:val="none" w:sz="0" w:space="0" w:color="auto"/>
                  </w:divBdr>
                  <w:divsChild>
                    <w:div w:id="8544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04912">
      <w:bodyDiv w:val="1"/>
      <w:marLeft w:val="0"/>
      <w:marRight w:val="0"/>
      <w:marTop w:val="0"/>
      <w:marBottom w:val="0"/>
      <w:divBdr>
        <w:top w:val="none" w:sz="0" w:space="0" w:color="auto"/>
        <w:left w:val="none" w:sz="0" w:space="0" w:color="auto"/>
        <w:bottom w:val="none" w:sz="0" w:space="0" w:color="auto"/>
        <w:right w:val="none" w:sz="0" w:space="0" w:color="auto"/>
      </w:divBdr>
      <w:divsChild>
        <w:div w:id="227348641">
          <w:marLeft w:val="0"/>
          <w:marRight w:val="0"/>
          <w:marTop w:val="0"/>
          <w:marBottom w:val="0"/>
          <w:divBdr>
            <w:top w:val="none" w:sz="0" w:space="0" w:color="auto"/>
            <w:left w:val="none" w:sz="0" w:space="0" w:color="auto"/>
            <w:bottom w:val="none" w:sz="0" w:space="0" w:color="auto"/>
            <w:right w:val="none" w:sz="0" w:space="0" w:color="auto"/>
          </w:divBdr>
          <w:divsChild>
            <w:div w:id="2012101533">
              <w:marLeft w:val="0"/>
              <w:marRight w:val="0"/>
              <w:marTop w:val="0"/>
              <w:marBottom w:val="0"/>
              <w:divBdr>
                <w:top w:val="none" w:sz="0" w:space="0" w:color="auto"/>
                <w:left w:val="none" w:sz="0" w:space="0" w:color="auto"/>
                <w:bottom w:val="none" w:sz="0" w:space="0" w:color="auto"/>
                <w:right w:val="none" w:sz="0" w:space="0" w:color="auto"/>
              </w:divBdr>
              <w:divsChild>
                <w:div w:id="1022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39042">
      <w:bodyDiv w:val="1"/>
      <w:marLeft w:val="0"/>
      <w:marRight w:val="0"/>
      <w:marTop w:val="0"/>
      <w:marBottom w:val="0"/>
      <w:divBdr>
        <w:top w:val="none" w:sz="0" w:space="0" w:color="auto"/>
        <w:left w:val="none" w:sz="0" w:space="0" w:color="auto"/>
        <w:bottom w:val="none" w:sz="0" w:space="0" w:color="auto"/>
        <w:right w:val="none" w:sz="0" w:space="0" w:color="auto"/>
      </w:divBdr>
      <w:divsChild>
        <w:div w:id="352806008">
          <w:marLeft w:val="0"/>
          <w:marRight w:val="0"/>
          <w:marTop w:val="0"/>
          <w:marBottom w:val="0"/>
          <w:divBdr>
            <w:top w:val="none" w:sz="0" w:space="0" w:color="auto"/>
            <w:left w:val="none" w:sz="0" w:space="0" w:color="auto"/>
            <w:bottom w:val="none" w:sz="0" w:space="0" w:color="auto"/>
            <w:right w:val="none" w:sz="0" w:space="0" w:color="auto"/>
          </w:divBdr>
          <w:divsChild>
            <w:div w:id="950893477">
              <w:marLeft w:val="0"/>
              <w:marRight w:val="0"/>
              <w:marTop w:val="0"/>
              <w:marBottom w:val="0"/>
              <w:divBdr>
                <w:top w:val="none" w:sz="0" w:space="0" w:color="auto"/>
                <w:left w:val="none" w:sz="0" w:space="0" w:color="auto"/>
                <w:bottom w:val="none" w:sz="0" w:space="0" w:color="auto"/>
                <w:right w:val="none" w:sz="0" w:space="0" w:color="auto"/>
              </w:divBdr>
              <w:divsChild>
                <w:div w:id="1936665131">
                  <w:marLeft w:val="0"/>
                  <w:marRight w:val="0"/>
                  <w:marTop w:val="0"/>
                  <w:marBottom w:val="0"/>
                  <w:divBdr>
                    <w:top w:val="none" w:sz="0" w:space="0" w:color="auto"/>
                    <w:left w:val="none" w:sz="0" w:space="0" w:color="auto"/>
                    <w:bottom w:val="none" w:sz="0" w:space="0" w:color="auto"/>
                    <w:right w:val="none" w:sz="0" w:space="0" w:color="auto"/>
                  </w:divBdr>
                  <w:divsChild>
                    <w:div w:id="4248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69172">
      <w:bodyDiv w:val="1"/>
      <w:marLeft w:val="0"/>
      <w:marRight w:val="0"/>
      <w:marTop w:val="0"/>
      <w:marBottom w:val="0"/>
      <w:divBdr>
        <w:top w:val="none" w:sz="0" w:space="0" w:color="auto"/>
        <w:left w:val="none" w:sz="0" w:space="0" w:color="auto"/>
        <w:bottom w:val="none" w:sz="0" w:space="0" w:color="auto"/>
        <w:right w:val="none" w:sz="0" w:space="0" w:color="auto"/>
      </w:divBdr>
    </w:div>
    <w:div w:id="1868832969">
      <w:bodyDiv w:val="1"/>
      <w:marLeft w:val="0"/>
      <w:marRight w:val="0"/>
      <w:marTop w:val="0"/>
      <w:marBottom w:val="0"/>
      <w:divBdr>
        <w:top w:val="none" w:sz="0" w:space="0" w:color="auto"/>
        <w:left w:val="none" w:sz="0" w:space="0" w:color="auto"/>
        <w:bottom w:val="none" w:sz="0" w:space="0" w:color="auto"/>
        <w:right w:val="none" w:sz="0" w:space="0" w:color="auto"/>
      </w:divBdr>
      <w:divsChild>
        <w:div w:id="1718314568">
          <w:marLeft w:val="0"/>
          <w:marRight w:val="0"/>
          <w:marTop w:val="0"/>
          <w:marBottom w:val="0"/>
          <w:divBdr>
            <w:top w:val="none" w:sz="0" w:space="0" w:color="auto"/>
            <w:left w:val="none" w:sz="0" w:space="0" w:color="auto"/>
            <w:bottom w:val="none" w:sz="0" w:space="0" w:color="auto"/>
            <w:right w:val="none" w:sz="0" w:space="0" w:color="auto"/>
          </w:divBdr>
          <w:divsChild>
            <w:div w:id="1154370788">
              <w:marLeft w:val="0"/>
              <w:marRight w:val="0"/>
              <w:marTop w:val="0"/>
              <w:marBottom w:val="0"/>
              <w:divBdr>
                <w:top w:val="none" w:sz="0" w:space="0" w:color="auto"/>
                <w:left w:val="none" w:sz="0" w:space="0" w:color="auto"/>
                <w:bottom w:val="none" w:sz="0" w:space="0" w:color="auto"/>
                <w:right w:val="none" w:sz="0" w:space="0" w:color="auto"/>
              </w:divBdr>
              <w:divsChild>
                <w:div w:id="2124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3094">
      <w:bodyDiv w:val="1"/>
      <w:marLeft w:val="0"/>
      <w:marRight w:val="0"/>
      <w:marTop w:val="0"/>
      <w:marBottom w:val="0"/>
      <w:divBdr>
        <w:top w:val="none" w:sz="0" w:space="0" w:color="auto"/>
        <w:left w:val="none" w:sz="0" w:space="0" w:color="auto"/>
        <w:bottom w:val="none" w:sz="0" w:space="0" w:color="auto"/>
        <w:right w:val="none" w:sz="0" w:space="0" w:color="auto"/>
      </w:divBdr>
      <w:divsChild>
        <w:div w:id="615060875">
          <w:marLeft w:val="0"/>
          <w:marRight w:val="0"/>
          <w:marTop w:val="0"/>
          <w:marBottom w:val="0"/>
          <w:divBdr>
            <w:top w:val="none" w:sz="0" w:space="0" w:color="auto"/>
            <w:left w:val="none" w:sz="0" w:space="0" w:color="auto"/>
            <w:bottom w:val="none" w:sz="0" w:space="0" w:color="auto"/>
            <w:right w:val="none" w:sz="0" w:space="0" w:color="auto"/>
          </w:divBdr>
          <w:divsChild>
            <w:div w:id="274366030">
              <w:marLeft w:val="0"/>
              <w:marRight w:val="0"/>
              <w:marTop w:val="0"/>
              <w:marBottom w:val="0"/>
              <w:divBdr>
                <w:top w:val="none" w:sz="0" w:space="0" w:color="auto"/>
                <w:left w:val="none" w:sz="0" w:space="0" w:color="auto"/>
                <w:bottom w:val="none" w:sz="0" w:space="0" w:color="auto"/>
                <w:right w:val="none" w:sz="0" w:space="0" w:color="auto"/>
              </w:divBdr>
              <w:divsChild>
                <w:div w:id="1899632045">
                  <w:marLeft w:val="0"/>
                  <w:marRight w:val="0"/>
                  <w:marTop w:val="0"/>
                  <w:marBottom w:val="0"/>
                  <w:divBdr>
                    <w:top w:val="none" w:sz="0" w:space="0" w:color="auto"/>
                    <w:left w:val="none" w:sz="0" w:space="0" w:color="auto"/>
                    <w:bottom w:val="none" w:sz="0" w:space="0" w:color="auto"/>
                    <w:right w:val="none" w:sz="0" w:space="0" w:color="auto"/>
                  </w:divBdr>
                  <w:divsChild>
                    <w:div w:id="14952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79823">
      <w:bodyDiv w:val="1"/>
      <w:marLeft w:val="0"/>
      <w:marRight w:val="0"/>
      <w:marTop w:val="0"/>
      <w:marBottom w:val="0"/>
      <w:divBdr>
        <w:top w:val="none" w:sz="0" w:space="0" w:color="auto"/>
        <w:left w:val="none" w:sz="0" w:space="0" w:color="auto"/>
        <w:bottom w:val="none" w:sz="0" w:space="0" w:color="auto"/>
        <w:right w:val="none" w:sz="0" w:space="0" w:color="auto"/>
      </w:divBdr>
      <w:divsChild>
        <w:div w:id="1973250772">
          <w:marLeft w:val="0"/>
          <w:marRight w:val="0"/>
          <w:marTop w:val="0"/>
          <w:marBottom w:val="0"/>
          <w:divBdr>
            <w:top w:val="none" w:sz="0" w:space="0" w:color="auto"/>
            <w:left w:val="none" w:sz="0" w:space="0" w:color="auto"/>
            <w:bottom w:val="none" w:sz="0" w:space="0" w:color="auto"/>
            <w:right w:val="none" w:sz="0" w:space="0" w:color="auto"/>
          </w:divBdr>
          <w:divsChild>
            <w:div w:id="538934691">
              <w:marLeft w:val="0"/>
              <w:marRight w:val="0"/>
              <w:marTop w:val="0"/>
              <w:marBottom w:val="0"/>
              <w:divBdr>
                <w:top w:val="none" w:sz="0" w:space="0" w:color="auto"/>
                <w:left w:val="none" w:sz="0" w:space="0" w:color="auto"/>
                <w:bottom w:val="none" w:sz="0" w:space="0" w:color="auto"/>
                <w:right w:val="none" w:sz="0" w:space="0" w:color="auto"/>
              </w:divBdr>
              <w:divsChild>
                <w:div w:id="4236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2723">
      <w:bodyDiv w:val="1"/>
      <w:marLeft w:val="0"/>
      <w:marRight w:val="0"/>
      <w:marTop w:val="0"/>
      <w:marBottom w:val="0"/>
      <w:divBdr>
        <w:top w:val="none" w:sz="0" w:space="0" w:color="auto"/>
        <w:left w:val="none" w:sz="0" w:space="0" w:color="auto"/>
        <w:bottom w:val="none" w:sz="0" w:space="0" w:color="auto"/>
        <w:right w:val="none" w:sz="0" w:space="0" w:color="auto"/>
      </w:divBdr>
      <w:divsChild>
        <w:div w:id="547183919">
          <w:marLeft w:val="0"/>
          <w:marRight w:val="0"/>
          <w:marTop w:val="0"/>
          <w:marBottom w:val="0"/>
          <w:divBdr>
            <w:top w:val="none" w:sz="0" w:space="0" w:color="auto"/>
            <w:left w:val="none" w:sz="0" w:space="0" w:color="auto"/>
            <w:bottom w:val="none" w:sz="0" w:space="0" w:color="auto"/>
            <w:right w:val="none" w:sz="0" w:space="0" w:color="auto"/>
          </w:divBdr>
          <w:divsChild>
            <w:div w:id="1841043709">
              <w:marLeft w:val="0"/>
              <w:marRight w:val="0"/>
              <w:marTop w:val="0"/>
              <w:marBottom w:val="0"/>
              <w:divBdr>
                <w:top w:val="none" w:sz="0" w:space="0" w:color="auto"/>
                <w:left w:val="none" w:sz="0" w:space="0" w:color="auto"/>
                <w:bottom w:val="none" w:sz="0" w:space="0" w:color="auto"/>
                <w:right w:val="none" w:sz="0" w:space="0" w:color="auto"/>
              </w:divBdr>
              <w:divsChild>
                <w:div w:id="1242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07768">
      <w:bodyDiv w:val="1"/>
      <w:marLeft w:val="0"/>
      <w:marRight w:val="0"/>
      <w:marTop w:val="0"/>
      <w:marBottom w:val="0"/>
      <w:divBdr>
        <w:top w:val="none" w:sz="0" w:space="0" w:color="auto"/>
        <w:left w:val="none" w:sz="0" w:space="0" w:color="auto"/>
        <w:bottom w:val="none" w:sz="0" w:space="0" w:color="auto"/>
        <w:right w:val="none" w:sz="0" w:space="0" w:color="auto"/>
      </w:divBdr>
    </w:div>
    <w:div w:id="2067097236">
      <w:bodyDiv w:val="1"/>
      <w:marLeft w:val="0"/>
      <w:marRight w:val="0"/>
      <w:marTop w:val="0"/>
      <w:marBottom w:val="0"/>
      <w:divBdr>
        <w:top w:val="none" w:sz="0" w:space="0" w:color="auto"/>
        <w:left w:val="none" w:sz="0" w:space="0" w:color="auto"/>
        <w:bottom w:val="none" w:sz="0" w:space="0" w:color="auto"/>
        <w:right w:val="none" w:sz="0" w:space="0" w:color="auto"/>
      </w:divBdr>
    </w:div>
    <w:div w:id="2067485853">
      <w:bodyDiv w:val="1"/>
      <w:marLeft w:val="0"/>
      <w:marRight w:val="0"/>
      <w:marTop w:val="0"/>
      <w:marBottom w:val="0"/>
      <w:divBdr>
        <w:top w:val="none" w:sz="0" w:space="0" w:color="auto"/>
        <w:left w:val="none" w:sz="0" w:space="0" w:color="auto"/>
        <w:bottom w:val="none" w:sz="0" w:space="0" w:color="auto"/>
        <w:right w:val="none" w:sz="0" w:space="0" w:color="auto"/>
      </w:divBdr>
    </w:div>
    <w:div w:id="2068454205">
      <w:bodyDiv w:val="1"/>
      <w:marLeft w:val="0"/>
      <w:marRight w:val="0"/>
      <w:marTop w:val="0"/>
      <w:marBottom w:val="0"/>
      <w:divBdr>
        <w:top w:val="none" w:sz="0" w:space="0" w:color="auto"/>
        <w:left w:val="none" w:sz="0" w:space="0" w:color="auto"/>
        <w:bottom w:val="none" w:sz="0" w:space="0" w:color="auto"/>
        <w:right w:val="none" w:sz="0" w:space="0" w:color="auto"/>
      </w:divBdr>
      <w:divsChild>
        <w:div w:id="211962184">
          <w:marLeft w:val="0"/>
          <w:marRight w:val="0"/>
          <w:marTop w:val="0"/>
          <w:marBottom w:val="0"/>
          <w:divBdr>
            <w:top w:val="none" w:sz="0" w:space="0" w:color="auto"/>
            <w:left w:val="none" w:sz="0" w:space="0" w:color="auto"/>
            <w:bottom w:val="none" w:sz="0" w:space="0" w:color="auto"/>
            <w:right w:val="none" w:sz="0" w:space="0" w:color="auto"/>
          </w:divBdr>
          <w:divsChild>
            <w:div w:id="1273904549">
              <w:marLeft w:val="0"/>
              <w:marRight w:val="0"/>
              <w:marTop w:val="0"/>
              <w:marBottom w:val="0"/>
              <w:divBdr>
                <w:top w:val="none" w:sz="0" w:space="0" w:color="auto"/>
                <w:left w:val="none" w:sz="0" w:space="0" w:color="auto"/>
                <w:bottom w:val="none" w:sz="0" w:space="0" w:color="auto"/>
                <w:right w:val="none" w:sz="0" w:space="0" w:color="auto"/>
              </w:divBdr>
              <w:divsChild>
                <w:div w:id="17149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44086">
      <w:bodyDiv w:val="1"/>
      <w:marLeft w:val="0"/>
      <w:marRight w:val="0"/>
      <w:marTop w:val="0"/>
      <w:marBottom w:val="0"/>
      <w:divBdr>
        <w:top w:val="none" w:sz="0" w:space="0" w:color="auto"/>
        <w:left w:val="none" w:sz="0" w:space="0" w:color="auto"/>
        <w:bottom w:val="none" w:sz="0" w:space="0" w:color="auto"/>
        <w:right w:val="none" w:sz="0" w:space="0" w:color="auto"/>
      </w:divBdr>
      <w:divsChild>
        <w:div w:id="1584681699">
          <w:marLeft w:val="0"/>
          <w:marRight w:val="0"/>
          <w:marTop w:val="0"/>
          <w:marBottom w:val="0"/>
          <w:divBdr>
            <w:top w:val="none" w:sz="0" w:space="0" w:color="auto"/>
            <w:left w:val="none" w:sz="0" w:space="0" w:color="auto"/>
            <w:bottom w:val="none" w:sz="0" w:space="0" w:color="auto"/>
            <w:right w:val="none" w:sz="0" w:space="0" w:color="auto"/>
          </w:divBdr>
          <w:divsChild>
            <w:div w:id="1641181157">
              <w:marLeft w:val="0"/>
              <w:marRight w:val="0"/>
              <w:marTop w:val="0"/>
              <w:marBottom w:val="0"/>
              <w:divBdr>
                <w:top w:val="none" w:sz="0" w:space="0" w:color="auto"/>
                <w:left w:val="none" w:sz="0" w:space="0" w:color="auto"/>
                <w:bottom w:val="none" w:sz="0" w:space="0" w:color="auto"/>
                <w:right w:val="none" w:sz="0" w:space="0" w:color="auto"/>
              </w:divBdr>
              <w:divsChild>
                <w:div w:id="1905674037">
                  <w:marLeft w:val="0"/>
                  <w:marRight w:val="0"/>
                  <w:marTop w:val="0"/>
                  <w:marBottom w:val="0"/>
                  <w:divBdr>
                    <w:top w:val="none" w:sz="0" w:space="0" w:color="auto"/>
                    <w:left w:val="none" w:sz="0" w:space="0" w:color="auto"/>
                    <w:bottom w:val="none" w:sz="0" w:space="0" w:color="auto"/>
                    <w:right w:val="none" w:sz="0" w:space="0" w:color="auto"/>
                  </w:divBdr>
                  <w:divsChild>
                    <w:div w:id="4578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52832">
      <w:bodyDiv w:val="1"/>
      <w:marLeft w:val="0"/>
      <w:marRight w:val="0"/>
      <w:marTop w:val="0"/>
      <w:marBottom w:val="0"/>
      <w:divBdr>
        <w:top w:val="none" w:sz="0" w:space="0" w:color="auto"/>
        <w:left w:val="none" w:sz="0" w:space="0" w:color="auto"/>
        <w:bottom w:val="none" w:sz="0" w:space="0" w:color="auto"/>
        <w:right w:val="none" w:sz="0" w:space="0" w:color="auto"/>
      </w:divBdr>
      <w:divsChild>
        <w:div w:id="1087848866">
          <w:marLeft w:val="0"/>
          <w:marRight w:val="0"/>
          <w:marTop w:val="0"/>
          <w:marBottom w:val="0"/>
          <w:divBdr>
            <w:top w:val="none" w:sz="0" w:space="0" w:color="auto"/>
            <w:left w:val="none" w:sz="0" w:space="0" w:color="auto"/>
            <w:bottom w:val="none" w:sz="0" w:space="0" w:color="auto"/>
            <w:right w:val="none" w:sz="0" w:space="0" w:color="auto"/>
          </w:divBdr>
          <w:divsChild>
            <w:div w:id="315107589">
              <w:marLeft w:val="0"/>
              <w:marRight w:val="0"/>
              <w:marTop w:val="0"/>
              <w:marBottom w:val="0"/>
              <w:divBdr>
                <w:top w:val="none" w:sz="0" w:space="0" w:color="auto"/>
                <w:left w:val="none" w:sz="0" w:space="0" w:color="auto"/>
                <w:bottom w:val="none" w:sz="0" w:space="0" w:color="auto"/>
                <w:right w:val="none" w:sz="0" w:space="0" w:color="auto"/>
              </w:divBdr>
              <w:divsChild>
                <w:div w:id="2011906096">
                  <w:marLeft w:val="0"/>
                  <w:marRight w:val="0"/>
                  <w:marTop w:val="0"/>
                  <w:marBottom w:val="0"/>
                  <w:divBdr>
                    <w:top w:val="none" w:sz="0" w:space="0" w:color="auto"/>
                    <w:left w:val="none" w:sz="0" w:space="0" w:color="auto"/>
                    <w:bottom w:val="none" w:sz="0" w:space="0" w:color="auto"/>
                    <w:right w:val="none" w:sz="0" w:space="0" w:color="auto"/>
                  </w:divBdr>
                  <w:divsChild>
                    <w:div w:id="7266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260100">
      <w:bodyDiv w:val="1"/>
      <w:marLeft w:val="0"/>
      <w:marRight w:val="0"/>
      <w:marTop w:val="0"/>
      <w:marBottom w:val="0"/>
      <w:divBdr>
        <w:top w:val="none" w:sz="0" w:space="0" w:color="auto"/>
        <w:left w:val="none" w:sz="0" w:space="0" w:color="auto"/>
        <w:bottom w:val="none" w:sz="0" w:space="0" w:color="auto"/>
        <w:right w:val="none" w:sz="0" w:space="0" w:color="auto"/>
      </w:divBdr>
      <w:divsChild>
        <w:div w:id="2122719998">
          <w:marLeft w:val="0"/>
          <w:marRight w:val="0"/>
          <w:marTop w:val="0"/>
          <w:marBottom w:val="0"/>
          <w:divBdr>
            <w:top w:val="none" w:sz="0" w:space="0" w:color="auto"/>
            <w:left w:val="none" w:sz="0" w:space="0" w:color="auto"/>
            <w:bottom w:val="none" w:sz="0" w:space="0" w:color="auto"/>
            <w:right w:val="none" w:sz="0" w:space="0" w:color="auto"/>
          </w:divBdr>
          <w:divsChild>
            <w:div w:id="1041051394">
              <w:marLeft w:val="0"/>
              <w:marRight w:val="0"/>
              <w:marTop w:val="0"/>
              <w:marBottom w:val="0"/>
              <w:divBdr>
                <w:top w:val="none" w:sz="0" w:space="0" w:color="auto"/>
                <w:left w:val="none" w:sz="0" w:space="0" w:color="auto"/>
                <w:bottom w:val="none" w:sz="0" w:space="0" w:color="auto"/>
                <w:right w:val="none" w:sz="0" w:space="0" w:color="auto"/>
              </w:divBdr>
              <w:divsChild>
                <w:div w:id="728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s.gov.au/AUSSTATS/abs@.nsf/lookup/4704.0Glossary1Oct+201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gislation.govt.nz/act/public/2000/0091/latest/DLM80051.html?search=ta_act_N_ac%40ainf%40anif_an%40bn%40rn_25_a&amp;p=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agreformcouncil.gov.au/agenda/indigenou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xfam.org.au/closethegap"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humanrights.gov.au/social_justice/health/index.html" TargetMode="External"/><Relationship Id="rId14" Type="http://schemas.openxmlformats.org/officeDocument/2006/relationships/hyperlink" Target="http://www.abs.gov.au/AUSSTATS/abs@.nsf/lookup/4704.0Glossary1Oct+2010"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www.abs.gov.au/ausstats/abs@.nsf/Lookup/39E15DC7E770A144CA257C2F00145A66?opendocument" TargetMode="External"/><Relationship Id="rId18" Type="http://schemas.openxmlformats.org/officeDocument/2006/relationships/hyperlink" Target="http://www.apunipima.org.au/images/Publications/Baby_Basket_Fact_Sheet_web.pdf" TargetMode="External"/><Relationship Id="rId26" Type="http://schemas.openxmlformats.org/officeDocument/2006/relationships/hyperlink" Target="https://www.humanrights.gov.au/close-gap-indigenous-health-campaign" TargetMode="External"/><Relationship Id="rId39" Type="http://schemas.openxmlformats.org/officeDocument/2006/relationships/hyperlink" Target="http://www.dpmc.gov.au/sites/default/files/publications/ias_guidelines.pdf" TargetMode="External"/><Relationship Id="rId21" Type="http://schemas.openxmlformats.org/officeDocument/2006/relationships/hyperlink" Target="http://www.liberal.org.au/latest-news/2014/06/28/prime-minister-white-paper-reform-federation" TargetMode="External"/><Relationship Id="rId34" Type="http://schemas.openxmlformats.org/officeDocument/2006/relationships/hyperlink" Target="http://www.budget.gov.au/2014-15/content/myefo/html/index.htm" TargetMode="External"/><Relationship Id="rId42" Type="http://schemas.openxmlformats.org/officeDocument/2006/relationships/hyperlink" Target="http://www.health.gov.au/internet/budget/publishing.nsf/Content/2014-2015_Health_PBS" TargetMode="External"/><Relationship Id="rId47" Type="http://schemas.openxmlformats.org/officeDocument/2006/relationships/hyperlink" Target="http://www.legislation.govt.nz/act/public/2000/0091/latest/DLM80051.html?search=ta_act_N_ac%40ainf%40anif_an%40bn%40rn_25_a&amp;p=4" TargetMode="External"/><Relationship Id="rId50" Type="http://schemas.openxmlformats.org/officeDocument/2006/relationships/hyperlink" Target="http://www.health.gov.au/natsihp" TargetMode="External"/><Relationship Id="rId55" Type="http://schemas.openxmlformats.org/officeDocument/2006/relationships/hyperlink" Target="http://www.indigenouschamber.org.au/congress-lowitja-2014-the-future-of-indigenous-health/" TargetMode="External"/><Relationship Id="rId63" Type="http://schemas.openxmlformats.org/officeDocument/2006/relationships/hyperlink" Target="https://www.humanrights.gov.au/publications/social-justice-report-2009" TargetMode="External"/><Relationship Id="rId68" Type="http://schemas.openxmlformats.org/officeDocument/2006/relationships/hyperlink" Target="http://www.aboriginal.health.wa.gov.au/docs/AboriginalHealthImpactStatementandDeclarationforWAHealth.pdf" TargetMode="External"/><Relationship Id="rId7" Type="http://schemas.openxmlformats.org/officeDocument/2006/relationships/hyperlink" Target="http://aihw.gov.au/publication-detail/?id=60129549287" TargetMode="External"/><Relationship Id="rId71" Type="http://schemas.openxmlformats.org/officeDocument/2006/relationships/hyperlink" Target="http://www.health.gov.au/internet/ministers/publishing.nsf/Content/health-mediarel-yr2014-nash030.htm?OpenDocument&amp;yr=2014&amp;mth=06" TargetMode="External"/><Relationship Id="rId2" Type="http://schemas.openxmlformats.org/officeDocument/2006/relationships/hyperlink" Target="http://www.coag.gov.au/node/145" TargetMode="External"/><Relationship Id="rId16" Type="http://schemas.openxmlformats.org/officeDocument/2006/relationships/hyperlink" Target="https://ama.com.au/media/ama-national-alcohol-summit-communique" TargetMode="External"/><Relationship Id="rId29" Type="http://schemas.openxmlformats.org/officeDocument/2006/relationships/hyperlink" Target="http://www.adelaidenow.com.au/news/south-australia/nursing-positions-to-be-cut-from-south-australian-hospitals-in-health-department-savings-blitz/story-fni6uo1m-1226730350856?nk=b6848603ab8065ebb244f332d6086d67" TargetMode="External"/><Relationship Id="rId11" Type="http://schemas.openxmlformats.org/officeDocument/2006/relationships/hyperlink" Target="https://www.vichealth.vic.gov.au/media-and-resources/publications/victorians-attitudes-to-race-and-cultural-diversity" TargetMode="External"/><Relationship Id="rId24" Type="http://schemas.openxmlformats.org/officeDocument/2006/relationships/hyperlink" Target="http://www.health.gov.au/internet/main/publishing.nsf/Content/596E9445127A4683CA257BF0001D7A79/$File/q&amp;a%20indigenous%20health%20budget%20280514.pdf" TargetMode="External"/><Relationship Id="rId32" Type="http://schemas.openxmlformats.org/officeDocument/2006/relationships/hyperlink" Target="http://www.budget.gov.au/2014-15/content/bp2/html/index.htm" TargetMode="External"/><Relationship Id="rId37" Type="http://schemas.openxmlformats.org/officeDocument/2006/relationships/hyperlink" Target="https://www.humanrights.gov.au/news/opinions/engage-us-says-commissioner-gooda" TargetMode="External"/><Relationship Id="rId40" Type="http://schemas.openxmlformats.org/officeDocument/2006/relationships/hyperlink" Target="https://indigenousjobsandtrainingreview.dpmc.gov.au/forrest-review" TargetMode="External"/><Relationship Id="rId45" Type="http://schemas.openxmlformats.org/officeDocument/2006/relationships/hyperlink" Target="http://www.stats.govt.nz/browse_for_stats/health/life_expectancy/NZLifeTables_HOTP05-07.aspx" TargetMode="External"/><Relationship Id="rId53" Type="http://schemas.openxmlformats.org/officeDocument/2006/relationships/hyperlink" Target="http://www.aph.gov.au/binaries/senate/committee/ecita_ctte/completed_inquiries/2004-07/indigenous_arts/report/report.pdf" TargetMode="External"/><Relationship Id="rId58" Type="http://schemas.openxmlformats.org/officeDocument/2006/relationships/hyperlink" Target="http://mhsa.aihw.gov.au/services/disability-support/" TargetMode="External"/><Relationship Id="rId66" Type="http://schemas.openxmlformats.org/officeDocument/2006/relationships/hyperlink" Target="http://aihw.gov.au/publication-detail/?id=60129547205" TargetMode="External"/><Relationship Id="rId74" Type="http://schemas.openxmlformats.org/officeDocument/2006/relationships/hyperlink" Target="https://www.oxfam.org.au/my/act/sign-the-close-the-gap-pledge" TargetMode="External"/><Relationship Id="rId5" Type="http://schemas.openxmlformats.org/officeDocument/2006/relationships/hyperlink" Target="http://www.abs.gov.au/ausstats/abs@.nsf/mf/3302.0.55.003" TargetMode="External"/><Relationship Id="rId15" Type="http://schemas.openxmlformats.org/officeDocument/2006/relationships/hyperlink" Target="http://www.nidac.org.au/images/PDFs/activities/AttorneyGeneralsDept.pdf" TargetMode="External"/><Relationship Id="rId23" Type="http://schemas.openxmlformats.org/officeDocument/2006/relationships/hyperlink" Target="https://federation.dpmc.gov.au/issues-paper-3" TargetMode="External"/><Relationship Id="rId28" Type="http://schemas.openxmlformats.org/officeDocument/2006/relationships/hyperlink" Target="http://www.abc.net.au/news/2012-09-14/243-billion-squeezed-from-nsw-health-budget/4260814" TargetMode="External"/><Relationship Id="rId36" Type="http://schemas.openxmlformats.org/officeDocument/2006/relationships/hyperlink" Target="http://www.abc.net.au/news/2014-05-20/gooda-this-budget-could-devastate-indigenous-australians/5462748" TargetMode="External"/><Relationship Id="rId49" Type="http://schemas.openxmlformats.org/officeDocument/2006/relationships/hyperlink" Target="http://www.health.govt.nz/our-work/populations/maori-health" TargetMode="External"/><Relationship Id="rId57" Type="http://schemas.openxmlformats.org/officeDocument/2006/relationships/hyperlink" Target="http://www.aihw.gov.au/publication-detail/?id=60129543821" TargetMode="External"/><Relationship Id="rId61" Type="http://schemas.openxmlformats.org/officeDocument/2006/relationships/hyperlink" Target="http://www.abs.gov.au/ausstats/abs@.nsf/mf/4704.0" TargetMode="External"/><Relationship Id="rId10" Type="http://schemas.openxmlformats.org/officeDocument/2006/relationships/hyperlink" Target="http://abs.gov.au/ausstats/abs@.nsf/mf/4727.0.55.006" TargetMode="External"/><Relationship Id="rId19" Type="http://schemas.openxmlformats.org/officeDocument/2006/relationships/hyperlink" Target="http://www.cgris.gov.au/userfiles/file/ogris_9th_report.pdf" TargetMode="External"/><Relationship Id="rId31" Type="http://schemas.openxmlformats.org/officeDocument/2006/relationships/hyperlink" Target="http://www.theaustralian.com.au/national-affairs/opinion/aborigines-will-bleed-from-cuts/story-e6frgd0x-1226474433823" TargetMode="External"/><Relationship Id="rId44" Type="http://schemas.openxmlformats.org/officeDocument/2006/relationships/hyperlink" Target="http://www.health.gov.au/internet/ministers/publishing.nsf/Content/health-mediarel-yr2015-ley002.htm" TargetMode="External"/><Relationship Id="rId52" Type="http://schemas.openxmlformats.org/officeDocument/2006/relationships/hyperlink" Target="http://ceebi.curtin.edu.au/local/docs/2009.01_CultureWellbeing.pdf" TargetMode="External"/><Relationship Id="rId60" Type="http://schemas.openxmlformats.org/officeDocument/2006/relationships/hyperlink" Target="http://www.abs.gov.au/ausstats/abs@.nsf/Lookup/3303.0main+features100002012" TargetMode="External"/><Relationship Id="rId65" Type="http://schemas.openxmlformats.org/officeDocument/2006/relationships/hyperlink" Target="http://www.justicehealth.nsw.gov.au/about-us/publications/inmate-health-survey-aboriginal-health-report-appendix.pdf" TargetMode="External"/><Relationship Id="rId73" Type="http://schemas.openxmlformats.org/officeDocument/2006/relationships/hyperlink" Target="https://www.humanrights.gov.au/publications/social-justice-report-2005-home" TargetMode="External"/><Relationship Id="rId4" Type="http://schemas.openxmlformats.org/officeDocument/2006/relationships/hyperlink" Target="http://www.abs.gov.au/ausstats/abs@.nsf/mf/4727.0.55.003" TargetMode="External"/><Relationship Id="rId9" Type="http://schemas.openxmlformats.org/officeDocument/2006/relationships/hyperlink" Target="http://www.aihw.gov.au/publication-detail/?id=6442467898" TargetMode="External"/><Relationship Id="rId14" Type="http://schemas.openxmlformats.org/officeDocument/2006/relationships/hyperlink" Target="http://www.tobaccoinaustralia.org.au/introduction" TargetMode="External"/><Relationship Id="rId22" Type="http://schemas.openxmlformats.org/officeDocument/2006/relationships/hyperlink" Target="https://federation.dpmc.gov.au/issues-paper-1" TargetMode="External"/><Relationship Id="rId27" Type="http://schemas.openxmlformats.org/officeDocument/2006/relationships/hyperlink" Target="http://www.brisbanetimes.com.au/queensland/healthy-lifestyle-programs-funding-cut-20120924-26fsf.html" TargetMode="External"/><Relationship Id="rId30" Type="http://schemas.openxmlformats.org/officeDocument/2006/relationships/hyperlink" Target="http://www.abc.net.au/news/2013-08-09/health-sector-cuts-jack-snelling-jobs-mental-health-report-/4875228" TargetMode="External"/><Relationship Id="rId35" Type="http://schemas.openxmlformats.org/officeDocument/2006/relationships/hyperlink" Target="http://www.dpmc.gov.au/indigenous-affairs/about/indigenous-advancement-strategy" TargetMode="External"/><Relationship Id="rId43" Type="http://schemas.openxmlformats.org/officeDocument/2006/relationships/hyperlink" Target="http://www.health.gov.au/internet/ministers/publishing.nsf/Content/health-mediarel-yr2014-dutton111.htm?OpenDocument&amp;yr=2014&amp;mth=12" TargetMode="External"/><Relationship Id="rId48" Type="http://schemas.openxmlformats.org/officeDocument/2006/relationships/hyperlink" Target="http://www.legislation.govt.nz/act/public/2000/0091/latest/DLM80051.html?search=ta_act_N_ac%40ainf%40anif_an%40bn%40rn_25_a&amp;p=4" TargetMode="External"/><Relationship Id="rId56" Type="http://schemas.openxmlformats.org/officeDocument/2006/relationships/hyperlink" Target="http://www.aihw.gov.au/publication-detail/?id=60129548237" TargetMode="External"/><Relationship Id="rId64" Type="http://schemas.openxmlformats.org/officeDocument/2006/relationships/hyperlink" Target="http://www.aph.gov.au/parliamentary_business/committees/house_of_representatives_committees?url=atsia/sentencing/report.htm" TargetMode="External"/><Relationship Id="rId69" Type="http://schemas.openxmlformats.org/officeDocument/2006/relationships/hyperlink" Target="http://www.sahealth.sa.gov.au/wps/wcm/connect/public+content/sa+health+internet/about+us/about+sa+health/aboriginal+health/aboriginal+health+impact+statement+policy+directive" TargetMode="External"/><Relationship Id="rId8" Type="http://schemas.openxmlformats.org/officeDocument/2006/relationships/hyperlink" Target="http://www.heartfoundation.org.au/SiteCollectionDocuments/Smoking-your-health.pdf" TargetMode="External"/><Relationship Id="rId51" Type="http://schemas.openxmlformats.org/officeDocument/2006/relationships/hyperlink" Target="http://caepr.anu.edu.au/Publications/WP/2014WP94.php" TargetMode="External"/><Relationship Id="rId72" Type="http://schemas.openxmlformats.org/officeDocument/2006/relationships/hyperlink" Target="https://www.humanrights.gov.au/publications/closing-gap-national-indigenous-health-equality-targets-2008" TargetMode="External"/><Relationship Id="rId3" Type="http://schemas.openxmlformats.org/officeDocument/2006/relationships/hyperlink" Target="http://www.pc.gov.au/research/recurring/overcoming-indigenous-disadvantage/key-indicators-2014" TargetMode="External"/><Relationship Id="rId12" Type="http://schemas.openxmlformats.org/officeDocument/2006/relationships/hyperlink" Target="http://www.aihw.gov.au/publication-detail/?id=6442467990" TargetMode="External"/><Relationship Id="rId17" Type="http://schemas.openxmlformats.org/officeDocument/2006/relationships/hyperlink" Target="http://www.aihw.gov.au/publication-detail/?id=60129548202" TargetMode="External"/><Relationship Id="rId25" Type="http://schemas.openxmlformats.org/officeDocument/2006/relationships/hyperlink" Target="https://www.humanrights.gov.au/publications/close-gap-progress-and-priorities-report-2014" TargetMode="External"/><Relationship Id="rId33" Type="http://schemas.openxmlformats.org/officeDocument/2006/relationships/hyperlink" Target="http://www.aihw.gov.au/closingthegap/" TargetMode="External"/><Relationship Id="rId38" Type="http://schemas.openxmlformats.org/officeDocument/2006/relationships/hyperlink" Target="http://www.nigelscullion.com/media-hub/indigenous-affairs/indigenous-grant-round" TargetMode="External"/><Relationship Id="rId46" Type="http://schemas.openxmlformats.org/officeDocument/2006/relationships/hyperlink" Target="http://www.health.govt.nz/about-ministry/ministry-business-units/maori-health-business-unit/our-history-and-current-position" TargetMode="External"/><Relationship Id="rId59" Type="http://schemas.openxmlformats.org/officeDocument/2006/relationships/hyperlink" Target="http://www.abs.gov.au/ausstats/abs@.nsf/Products/3309.0~2010~Chapter~Aboriginal+and+Torres+Strait+Islander+suicide+deaths?OpenDocument" TargetMode="External"/><Relationship Id="rId67" Type="http://schemas.openxmlformats.org/officeDocument/2006/relationships/hyperlink" Target="http://www0.health.nsw.gov.au/policies/pd/2007/PD2007_082.html" TargetMode="External"/><Relationship Id="rId20" Type="http://schemas.openxmlformats.org/officeDocument/2006/relationships/hyperlink" Target="http://www.papertracker.com.au/pdfs/cgris_report09.pdf" TargetMode="External"/><Relationship Id="rId41" Type="http://schemas.openxmlformats.org/officeDocument/2006/relationships/hyperlink" Target="http://www.abs.gov.au/websitedbs/censushome.nsf/home/CO-64?opendocument&amp;navpos=620" TargetMode="External"/><Relationship Id="rId54" Type="http://schemas.openxmlformats.org/officeDocument/2006/relationships/hyperlink" Target="http://www.abs.gov.au/AUSSTATS/abs@.nsf/ProductsbyTopic/B028A2127779CC74CA2571D50017A0DF" TargetMode="External"/><Relationship Id="rId62" Type="http://schemas.openxmlformats.org/officeDocument/2006/relationships/hyperlink" Target="http://aboriginal.telethonkids.org.au/centre-for-research-excellence-(cre)/suicide-prevention/" TargetMode="External"/><Relationship Id="rId70" Type="http://schemas.openxmlformats.org/officeDocument/2006/relationships/hyperlink" Target="http://www.health.gov.au/internet/ministers/publishing.nsf/Content/health-mediarel-yr2014-nash023.htm?OpenDocument&amp;yr=2014&amp;mth=05" TargetMode="External"/><Relationship Id="rId1" Type="http://schemas.openxmlformats.org/officeDocument/2006/relationships/hyperlink" Target="http://www.dpmc.gov.au/indigenous-affairs/publication/closing-gap-prime-ministers-report-2014" TargetMode="External"/><Relationship Id="rId6" Type="http://schemas.openxmlformats.org/officeDocument/2006/relationships/hyperlink" Target="http://www.abs.gov.au/ausstats/abs@.nsf/mf/3302.0.55.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FE4A-23C9-4BA2-975D-F5E44645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46</Pages>
  <Words>19047</Words>
  <Characters>108572</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127365</CharactersWithSpaces>
  <SharedDoc>false</SharedDoc>
  <HLinks>
    <vt:vector size="468" baseType="variant">
      <vt:variant>
        <vt:i4>6684760</vt:i4>
      </vt:variant>
      <vt:variant>
        <vt:i4>3</vt:i4>
      </vt:variant>
      <vt:variant>
        <vt:i4>0</vt:i4>
      </vt:variant>
      <vt:variant>
        <vt:i4>5</vt:i4>
      </vt:variant>
      <vt:variant>
        <vt:lpwstr>http://www.oxfam.org.au/closethegap</vt:lpwstr>
      </vt:variant>
      <vt:variant>
        <vt:lpwstr/>
      </vt:variant>
      <vt:variant>
        <vt:i4>8192077</vt:i4>
      </vt:variant>
      <vt:variant>
        <vt:i4>0</vt:i4>
      </vt:variant>
      <vt:variant>
        <vt:i4>0</vt:i4>
      </vt:variant>
      <vt:variant>
        <vt:i4>5</vt:i4>
      </vt:variant>
      <vt:variant>
        <vt:lpwstr>http://www.humanrights.gov.au/social_justice/health/index.html</vt:lpwstr>
      </vt:variant>
      <vt:variant>
        <vt:lpwstr/>
      </vt:variant>
      <vt:variant>
        <vt:i4>786482</vt:i4>
      </vt:variant>
      <vt:variant>
        <vt:i4>225</vt:i4>
      </vt:variant>
      <vt:variant>
        <vt:i4>0</vt:i4>
      </vt:variant>
      <vt:variant>
        <vt:i4>5</vt:i4>
      </vt:variant>
      <vt:variant>
        <vt:lpwstr>http://www.federalfinancialrelations.gov.au/content/npa/health_indigenous/indigenous-reform/national-agreement_sept_12.pdf</vt:lpwstr>
      </vt:variant>
      <vt:variant>
        <vt:lpwstr/>
      </vt:variant>
      <vt:variant>
        <vt:i4>65646</vt:i4>
      </vt:variant>
      <vt:variant>
        <vt:i4>222</vt:i4>
      </vt:variant>
      <vt:variant>
        <vt:i4>0</vt:i4>
      </vt:variant>
      <vt:variant>
        <vt:i4>5</vt:i4>
      </vt:variant>
      <vt:variant>
        <vt:lpwstr>http://www.nidac.org.au/images/PDFs/NIDACIpublications/prison_vs_residential_treatment.pdf</vt:lpwstr>
      </vt:variant>
      <vt:variant>
        <vt:lpwstr/>
      </vt:variant>
      <vt:variant>
        <vt:i4>2687038</vt:i4>
      </vt:variant>
      <vt:variant>
        <vt:i4>219</vt:i4>
      </vt:variant>
      <vt:variant>
        <vt:i4>0</vt:i4>
      </vt:variant>
      <vt:variant>
        <vt:i4>5</vt:i4>
      </vt:variant>
      <vt:variant>
        <vt:lpwstr>http://www.mentalhealthcommission.gov.au/media/56367/27 May 2013 FINAL SUPPLEMENTARY PAPER (2).pdf</vt:lpwstr>
      </vt:variant>
      <vt:variant>
        <vt:lpwstr/>
      </vt:variant>
      <vt:variant>
        <vt:i4>1048614</vt:i4>
      </vt:variant>
      <vt:variant>
        <vt:i4>216</vt:i4>
      </vt:variant>
      <vt:variant>
        <vt:i4>0</vt:i4>
      </vt:variant>
      <vt:variant>
        <vt:i4>5</vt:i4>
      </vt:variant>
      <vt:variant>
        <vt:lpwstr>http://www.humanrights.gov.au/publications/social-justice-report-2009</vt:lpwstr>
      </vt:variant>
      <vt:variant>
        <vt:lpwstr/>
      </vt:variant>
      <vt:variant>
        <vt:i4>2293835</vt:i4>
      </vt:variant>
      <vt:variant>
        <vt:i4>213</vt:i4>
      </vt:variant>
      <vt:variant>
        <vt:i4>0</vt:i4>
      </vt:variant>
      <vt:variant>
        <vt:i4>5</vt:i4>
      </vt:variant>
      <vt:variant>
        <vt:lpwstr>http://nationalcongress.com.au/wp-content/uploads/2012/10/CongressJusticePolicyCommentDraft.pdf</vt:lpwstr>
      </vt:variant>
      <vt:variant>
        <vt:lpwstr/>
      </vt:variant>
      <vt:variant>
        <vt:i4>6422639</vt:i4>
      </vt:variant>
      <vt:variant>
        <vt:i4>210</vt:i4>
      </vt:variant>
      <vt:variant>
        <vt:i4>0</vt:i4>
      </vt:variant>
      <vt:variant>
        <vt:i4>5</vt:i4>
      </vt:variant>
      <vt:variant>
        <vt:lpwstr>https://www.mja.com.au/journal/2012/197/1/prevalence-mental-illness-among-aboriginal-and-torres-strait-islander-people</vt:lpwstr>
      </vt:variant>
      <vt:variant>
        <vt:lpwstr/>
      </vt:variant>
      <vt:variant>
        <vt:i4>4390984</vt:i4>
      </vt:variant>
      <vt:variant>
        <vt:i4>207</vt:i4>
      </vt:variant>
      <vt:variant>
        <vt:i4>0</vt:i4>
      </vt:variant>
      <vt:variant>
        <vt:i4>5</vt:i4>
      </vt:variant>
      <vt:variant>
        <vt:lpwstr>http://www.justicehealth.nsw.gov.au/about-us/publications/inmate-health-survey-aboriginal-health-report-appendix.pdf</vt:lpwstr>
      </vt:variant>
      <vt:variant>
        <vt:lpwstr/>
      </vt:variant>
      <vt:variant>
        <vt:i4>3342428</vt:i4>
      </vt:variant>
      <vt:variant>
        <vt:i4>204</vt:i4>
      </vt:variant>
      <vt:variant>
        <vt:i4>0</vt:i4>
      </vt:variant>
      <vt:variant>
        <vt:i4>5</vt:i4>
      </vt:variant>
      <vt:variant>
        <vt:lpwstr>http://www.abs.gov.au/ausstats/abs@.nsf/Products/F1D32866F5634F83CA257ACB001316BA?opendocument</vt:lpwstr>
      </vt:variant>
      <vt:variant>
        <vt:lpwstr/>
      </vt:variant>
      <vt:variant>
        <vt:i4>7143471</vt:i4>
      </vt:variant>
      <vt:variant>
        <vt:i4>201</vt:i4>
      </vt:variant>
      <vt:variant>
        <vt:i4>0</vt:i4>
      </vt:variant>
      <vt:variant>
        <vt:i4>5</vt:i4>
      </vt:variant>
      <vt:variant>
        <vt:lpwstr>http://www.pc.gov.au/gsp/rogs/2011</vt:lpwstr>
      </vt:variant>
      <vt:variant>
        <vt:lpwstr/>
      </vt:variant>
      <vt:variant>
        <vt:i4>7143537</vt:i4>
      </vt:variant>
      <vt:variant>
        <vt:i4>198</vt:i4>
      </vt:variant>
      <vt:variant>
        <vt:i4>0</vt:i4>
      </vt:variant>
      <vt:variant>
        <vt:i4>5</vt:i4>
      </vt:variant>
      <vt:variant>
        <vt:lpwstr>http://www.health.gov.au/internet/publications/publishing.nsf/Content/mental-pubs-f-plan09-toc</vt:lpwstr>
      </vt:variant>
      <vt:variant>
        <vt:lpwstr/>
      </vt:variant>
      <vt:variant>
        <vt:i4>7602230</vt:i4>
      </vt:variant>
      <vt:variant>
        <vt:i4>195</vt:i4>
      </vt:variant>
      <vt:variant>
        <vt:i4>0</vt:i4>
      </vt:variant>
      <vt:variant>
        <vt:i4>5</vt:i4>
      </vt:variant>
      <vt:variant>
        <vt:lpwstr>http://www.mentalhealthcommission.gov.au/our-report-card/2012-report-card.aspx</vt:lpwstr>
      </vt:variant>
      <vt:variant>
        <vt:lpwstr/>
      </vt:variant>
      <vt:variant>
        <vt:i4>4980842</vt:i4>
      </vt:variant>
      <vt:variant>
        <vt:i4>192</vt:i4>
      </vt:variant>
      <vt:variant>
        <vt:i4>0</vt:i4>
      </vt:variant>
      <vt:variant>
        <vt:i4>5</vt:i4>
      </vt:variant>
      <vt:variant>
        <vt:lpwstr>http://www.abs.gov.au/ausstats/abs@.nsf/Latestproducts/DE7BD4BEC2293FD4CA257C2F00145B19?opendocument</vt:lpwstr>
      </vt:variant>
      <vt:variant>
        <vt:lpwstr/>
      </vt:variant>
      <vt:variant>
        <vt:i4>4718654</vt:i4>
      </vt:variant>
      <vt:variant>
        <vt:i4>189</vt:i4>
      </vt:variant>
      <vt:variant>
        <vt:i4>0</vt:i4>
      </vt:variant>
      <vt:variant>
        <vt:i4>5</vt:i4>
      </vt:variant>
      <vt:variant>
        <vt:lpwstr>http://www.abs.gov.au/ausstats/abs@.nsf/Latestproducts/3D7CEBB5503A110ECA257C2F00145AB4?opendocument</vt:lpwstr>
      </vt:variant>
      <vt:variant>
        <vt:lpwstr/>
      </vt:variant>
      <vt:variant>
        <vt:i4>2031664</vt:i4>
      </vt:variant>
      <vt:variant>
        <vt:i4>186</vt:i4>
      </vt:variant>
      <vt:variant>
        <vt:i4>0</vt:i4>
      </vt:variant>
      <vt:variant>
        <vt:i4>5</vt:i4>
      </vt:variant>
      <vt:variant>
        <vt:lpwstr>http://www.abs.gov.au/ausstats/abs@.nsf/Latestproducts/39E15DC7E770A144CA257C2F00145A66?opendocument</vt:lpwstr>
      </vt:variant>
      <vt:variant>
        <vt:lpwstr/>
      </vt:variant>
      <vt:variant>
        <vt:i4>1376309</vt:i4>
      </vt:variant>
      <vt:variant>
        <vt:i4>183</vt:i4>
      </vt:variant>
      <vt:variant>
        <vt:i4>0</vt:i4>
      </vt:variant>
      <vt:variant>
        <vt:i4>5</vt:i4>
      </vt:variant>
      <vt:variant>
        <vt:lpwstr>http://www.abs.gov.au/ausstats/abs@.nsf/Latestproducts/9F3C9BDE98B3C5F1CA257C2F00145721?opendocument</vt:lpwstr>
      </vt:variant>
      <vt:variant>
        <vt:lpwstr/>
      </vt:variant>
      <vt:variant>
        <vt:i4>1114210</vt:i4>
      </vt:variant>
      <vt:variant>
        <vt:i4>180</vt:i4>
      </vt:variant>
      <vt:variant>
        <vt:i4>0</vt:i4>
      </vt:variant>
      <vt:variant>
        <vt:i4>5</vt:i4>
      </vt:variant>
      <vt:variant>
        <vt:lpwstr>http://www.abs.gov.au/ausstats/abs@.nsf/Latestproducts/C0E1AC36B1E28917CA257C2F001456E3?opendocument</vt:lpwstr>
      </vt:variant>
      <vt:variant>
        <vt:lpwstr/>
      </vt:variant>
      <vt:variant>
        <vt:i4>458775</vt:i4>
      </vt:variant>
      <vt:variant>
        <vt:i4>177</vt:i4>
      </vt:variant>
      <vt:variant>
        <vt:i4>0</vt:i4>
      </vt:variant>
      <vt:variant>
        <vt:i4>5</vt:i4>
      </vt:variant>
      <vt:variant>
        <vt:lpwstr>http://iaha.com.au/wp-content/uploads/2013/06/20130429-CTG-position-paper_436824_2.pdf</vt:lpwstr>
      </vt:variant>
      <vt:variant>
        <vt:lpwstr/>
      </vt:variant>
      <vt:variant>
        <vt:i4>983149</vt:i4>
      </vt:variant>
      <vt:variant>
        <vt:i4>174</vt:i4>
      </vt:variant>
      <vt:variant>
        <vt:i4>0</vt:i4>
      </vt:variant>
      <vt:variant>
        <vt:i4>5</vt:i4>
      </vt:variant>
      <vt:variant>
        <vt:lpwstr>http://www.budget.gov.au/2013-14/content/overview/html/overview_36.htm</vt:lpwstr>
      </vt:variant>
      <vt:variant>
        <vt:lpwstr/>
      </vt:variant>
      <vt:variant>
        <vt:i4>2097260</vt:i4>
      </vt:variant>
      <vt:variant>
        <vt:i4>171</vt:i4>
      </vt:variant>
      <vt:variant>
        <vt:i4>0</vt:i4>
      </vt:variant>
      <vt:variant>
        <vt:i4>5</vt:i4>
      </vt:variant>
      <vt:variant>
        <vt:lpwstr>http://greens.org.au/first-peoples</vt:lpwstr>
      </vt:variant>
      <vt:variant>
        <vt:lpwstr/>
      </vt:variant>
      <vt:variant>
        <vt:i4>7536746</vt:i4>
      </vt:variant>
      <vt:variant>
        <vt:i4>168</vt:i4>
      </vt:variant>
      <vt:variant>
        <vt:i4>0</vt:i4>
      </vt:variant>
      <vt:variant>
        <vt:i4>5</vt:i4>
      </vt:variant>
      <vt:variant>
        <vt:lpwstr>http://www.alp.org.au/national_platform</vt:lpwstr>
      </vt:variant>
      <vt:variant>
        <vt:lpwstr/>
      </vt:variant>
      <vt:variant>
        <vt:i4>4522025</vt:i4>
      </vt:variant>
      <vt:variant>
        <vt:i4>165</vt:i4>
      </vt:variant>
      <vt:variant>
        <vt:i4>0</vt:i4>
      </vt:variant>
      <vt:variant>
        <vt:i4>5</vt:i4>
      </vt:variant>
      <vt:variant>
        <vt:lpwstr>http://lpaweb-static.s3.amazonaws.com/Coalition 2013 Election Policy %E2%80%93 Indigenous - final.pdf</vt:lpwstr>
      </vt:variant>
      <vt:variant>
        <vt:lpwstr/>
      </vt:variant>
      <vt:variant>
        <vt:i4>4784144</vt:i4>
      </vt:variant>
      <vt:variant>
        <vt:i4>162</vt:i4>
      </vt:variant>
      <vt:variant>
        <vt:i4>0</vt:i4>
      </vt:variant>
      <vt:variant>
        <vt:i4>5</vt:i4>
      </vt:variant>
      <vt:variant>
        <vt:lpwstr>http://www.liberal.org.au/latest-news/2013/03/15/tony-abbott-address-sydney-institute-sydney</vt:lpwstr>
      </vt:variant>
      <vt:variant>
        <vt:lpwstr/>
      </vt:variant>
      <vt:variant>
        <vt:i4>4456508</vt:i4>
      </vt:variant>
      <vt:variant>
        <vt:i4>159</vt:i4>
      </vt:variant>
      <vt:variant>
        <vt:i4>0</vt:i4>
      </vt:variant>
      <vt:variant>
        <vt:i4>5</vt:i4>
      </vt:variant>
      <vt:variant>
        <vt:lpwstr>http://www.news.com.au/national/commonwealth-agencies-to-be-cut-by-abbott-government/story-fncynjr2-1226724733088</vt:lpwstr>
      </vt:variant>
      <vt:variant>
        <vt:lpwstr/>
      </vt:variant>
      <vt:variant>
        <vt:i4>4784140</vt:i4>
      </vt:variant>
      <vt:variant>
        <vt:i4>156</vt:i4>
      </vt:variant>
      <vt:variant>
        <vt:i4>0</vt:i4>
      </vt:variant>
      <vt:variant>
        <vt:i4>5</vt:i4>
      </vt:variant>
      <vt:variant>
        <vt:lpwstr>http://www.theaustralian.com.au/national-affairs/policy/health-costs-under-microscope/story-fn59nokw-1226769098588</vt:lpwstr>
      </vt:variant>
      <vt:variant>
        <vt:lpwstr>sthash.RXp1mCcQ.dpufhttp://www.theaustralian.com.au/national-affairs/policy/health-costs-under-microscope/story-fn59nokw-1226769098588</vt:lpwstr>
      </vt:variant>
      <vt:variant>
        <vt:i4>7995423</vt:i4>
      </vt:variant>
      <vt:variant>
        <vt:i4>153</vt:i4>
      </vt:variant>
      <vt:variant>
        <vt:i4>0</vt:i4>
      </vt:variant>
      <vt:variant>
        <vt:i4>5</vt:i4>
      </vt:variant>
      <vt:variant>
        <vt:lpwstr>http://www.liberal.org.au/latest-news/2013/09/05/final-update-federal-coalition-election-policy-commitments</vt:lpwstr>
      </vt:variant>
      <vt:variant>
        <vt:lpwstr/>
      </vt:variant>
      <vt:variant>
        <vt:i4>1638511</vt:i4>
      </vt:variant>
      <vt:variant>
        <vt:i4>150</vt:i4>
      </vt:variant>
      <vt:variant>
        <vt:i4>0</vt:i4>
      </vt:variant>
      <vt:variant>
        <vt:i4>5</vt:i4>
      </vt:variant>
      <vt:variant>
        <vt:lpwstr>http://www.abc.net.au/news/2013-08-09/health-sector-cuts-jack-snelling-jobs-mental-health-report-/4875228</vt:lpwstr>
      </vt:variant>
      <vt:variant>
        <vt:lpwstr/>
      </vt:variant>
      <vt:variant>
        <vt:i4>7798841</vt:i4>
      </vt:variant>
      <vt:variant>
        <vt:i4>147</vt:i4>
      </vt:variant>
      <vt:variant>
        <vt:i4>0</vt:i4>
      </vt:variant>
      <vt:variant>
        <vt:i4>5</vt:i4>
      </vt:variant>
      <vt:variant>
        <vt:lpwstr>http://www.adelaidenow.com.au/news/south-australia/nursing-positions-to-be-cut-from-south-australian-hospitals-in-health-department-savings-blitz/story-fni6uo1m-1226730350856</vt:lpwstr>
      </vt:variant>
      <vt:variant>
        <vt:lpwstr/>
      </vt:variant>
      <vt:variant>
        <vt:i4>5373986</vt:i4>
      </vt:variant>
      <vt:variant>
        <vt:i4>144</vt:i4>
      </vt:variant>
      <vt:variant>
        <vt:i4>0</vt:i4>
      </vt:variant>
      <vt:variant>
        <vt:i4>5</vt:i4>
      </vt:variant>
      <vt:variant>
        <vt:lpwstr>http://www.abc.net.au/news/2012-09-14/243-billion-squeezed-from-nsw-health-budget/4260814</vt:lpwstr>
      </vt:variant>
      <vt:variant>
        <vt:lpwstr/>
      </vt:variant>
      <vt:variant>
        <vt:i4>4849712</vt:i4>
      </vt:variant>
      <vt:variant>
        <vt:i4>141</vt:i4>
      </vt:variant>
      <vt:variant>
        <vt:i4>0</vt:i4>
      </vt:variant>
      <vt:variant>
        <vt:i4>5</vt:i4>
      </vt:variant>
      <vt:variant>
        <vt:lpwstr>http://images.brisbanetimes.com.au/file/2012/09/24/3660778/health.pdf</vt:lpwstr>
      </vt:variant>
      <vt:variant>
        <vt:lpwstr/>
      </vt:variant>
      <vt:variant>
        <vt:i4>1966120</vt:i4>
      </vt:variant>
      <vt:variant>
        <vt:i4>138</vt:i4>
      </vt:variant>
      <vt:variant>
        <vt:i4>0</vt:i4>
      </vt:variant>
      <vt:variant>
        <vt:i4>5</vt:i4>
      </vt:variant>
      <vt:variant>
        <vt:lpwstr>http://www.brisbanetimes.com.au/queensland/healthy-lifestyle-programs-funding-cut-20120924-26fsf.html</vt:lpwstr>
      </vt:variant>
      <vt:variant>
        <vt:lpwstr/>
      </vt:variant>
      <vt:variant>
        <vt:i4>1704036</vt:i4>
      </vt:variant>
      <vt:variant>
        <vt:i4>135</vt:i4>
      </vt:variant>
      <vt:variant>
        <vt:i4>0</vt:i4>
      </vt:variant>
      <vt:variant>
        <vt:i4>5</vt:i4>
      </vt:variant>
      <vt:variant>
        <vt:lpwstr>http://www.aihw.gov.au/publication-detail/?id=60129542787</vt:lpwstr>
      </vt:variant>
      <vt:variant>
        <vt:lpwstr/>
      </vt:variant>
      <vt:variant>
        <vt:i4>5701743</vt:i4>
      </vt:variant>
      <vt:variant>
        <vt:i4>132</vt:i4>
      </vt:variant>
      <vt:variant>
        <vt:i4>0</vt:i4>
      </vt:variant>
      <vt:variant>
        <vt:i4>5</vt:i4>
      </vt:variant>
      <vt:variant>
        <vt:lpwstr>http://www.pc.gov.au/__data/assets/pdf_file/0007/119356/indigenous-expenditure-report-2012.pdf</vt:lpwstr>
      </vt:variant>
      <vt:variant>
        <vt:lpwstr/>
      </vt:variant>
      <vt:variant>
        <vt:i4>7864445</vt:i4>
      </vt:variant>
      <vt:variant>
        <vt:i4>129</vt:i4>
      </vt:variant>
      <vt:variant>
        <vt:i4>0</vt:i4>
      </vt:variant>
      <vt:variant>
        <vt:i4>5</vt:i4>
      </vt:variant>
      <vt:variant>
        <vt:lpwstr>http://www.naccho.org.au/download/naccho_health_futures/NACCHO AIHW healthy for Life Report Card.pdf</vt:lpwstr>
      </vt:variant>
      <vt:variant>
        <vt:lpwstr/>
      </vt:variant>
      <vt:variant>
        <vt:i4>393312</vt:i4>
      </vt:variant>
      <vt:variant>
        <vt:i4>126</vt:i4>
      </vt:variant>
      <vt:variant>
        <vt:i4>0</vt:i4>
      </vt:variant>
      <vt:variant>
        <vt:i4>5</vt:i4>
      </vt:variant>
      <vt:variant>
        <vt:lpwstr>http://www.federalfinancialrelations.gov.au/content/npa/healthcare/national-agreement.pdf</vt:lpwstr>
      </vt:variant>
      <vt:variant>
        <vt:lpwstr/>
      </vt:variant>
      <vt:variant>
        <vt:i4>2228238</vt:i4>
      </vt:variant>
      <vt:variant>
        <vt:i4>123</vt:i4>
      </vt:variant>
      <vt:variant>
        <vt:i4>0</vt:i4>
      </vt:variant>
      <vt:variant>
        <vt:i4>5</vt:i4>
      </vt:variant>
      <vt:variant>
        <vt:lpwstr>http://www.coag.gov.au/node/447</vt:lpwstr>
      </vt:variant>
      <vt:variant>
        <vt:lpwstr/>
      </vt:variant>
      <vt:variant>
        <vt:i4>5242889</vt:i4>
      </vt:variant>
      <vt:variant>
        <vt:i4>120</vt:i4>
      </vt:variant>
      <vt:variant>
        <vt:i4>0</vt:i4>
      </vt:variant>
      <vt:variant>
        <vt:i4>5</vt:i4>
      </vt:variant>
      <vt:variant>
        <vt:lpwstr>http://www.humanrights.gov.au/close-gap-indigenous-health-campaign</vt:lpwstr>
      </vt:variant>
      <vt:variant>
        <vt:lpwstr>shadow</vt:lpwstr>
      </vt:variant>
      <vt:variant>
        <vt:i4>1769514</vt:i4>
      </vt:variant>
      <vt:variant>
        <vt:i4>117</vt:i4>
      </vt:variant>
      <vt:variant>
        <vt:i4>0</vt:i4>
      </vt:variant>
      <vt:variant>
        <vt:i4>5</vt:i4>
      </vt:variant>
      <vt:variant>
        <vt:lpwstr>http://www.health.gov.au/internet/publications/publishing.nsf/Content/oatsih-hpf-2012-toc</vt:lpwstr>
      </vt:variant>
      <vt:variant>
        <vt:lpwstr/>
      </vt:variant>
      <vt:variant>
        <vt:i4>5111916</vt:i4>
      </vt:variant>
      <vt:variant>
        <vt:i4>114</vt:i4>
      </vt:variant>
      <vt:variant>
        <vt:i4>0</vt:i4>
      </vt:variant>
      <vt:variant>
        <vt:i4>5</vt:i4>
      </vt:variant>
      <vt:variant>
        <vt:lpwstr>http://www.abs.gov.au/ausstats/abs@.nsf/Latestproducts/D2ACE34A8487C1C7CA257C2F00145B46?opendocument</vt:lpwstr>
      </vt:variant>
      <vt:variant>
        <vt:lpwstr/>
      </vt:variant>
      <vt:variant>
        <vt:i4>1835119</vt:i4>
      </vt:variant>
      <vt:variant>
        <vt:i4>111</vt:i4>
      </vt:variant>
      <vt:variant>
        <vt:i4>0</vt:i4>
      </vt:variant>
      <vt:variant>
        <vt:i4>5</vt:i4>
      </vt:variant>
      <vt:variant>
        <vt:lpwstr>http://www.abs.gov.au/ausstats/abs@.nsf/Latestproducts/A07BD8674C37D838CA257C2F001459FA?opendocument</vt:lpwstr>
      </vt:variant>
      <vt:variant>
        <vt:lpwstr/>
      </vt:variant>
      <vt:variant>
        <vt:i4>4718654</vt:i4>
      </vt:variant>
      <vt:variant>
        <vt:i4>108</vt:i4>
      </vt:variant>
      <vt:variant>
        <vt:i4>0</vt:i4>
      </vt:variant>
      <vt:variant>
        <vt:i4>5</vt:i4>
      </vt:variant>
      <vt:variant>
        <vt:lpwstr>http://www.abs.gov.au/ausstats/abs@.nsf/Latestproducts/3D7CEBB5503A110ECA257C2F00145AB4?opendocument</vt:lpwstr>
      </vt:variant>
      <vt:variant>
        <vt:lpwstr/>
      </vt:variant>
      <vt:variant>
        <vt:i4>2031664</vt:i4>
      </vt:variant>
      <vt:variant>
        <vt:i4>105</vt:i4>
      </vt:variant>
      <vt:variant>
        <vt:i4>0</vt:i4>
      </vt:variant>
      <vt:variant>
        <vt:i4>5</vt:i4>
      </vt:variant>
      <vt:variant>
        <vt:lpwstr>http://www.abs.gov.au/ausstats/abs@.nsf/Latestproducts/39E15DC7E770A144CA257C2F00145A66?opendocument</vt:lpwstr>
      </vt:variant>
      <vt:variant>
        <vt:lpwstr/>
      </vt:variant>
      <vt:variant>
        <vt:i4>7995459</vt:i4>
      </vt:variant>
      <vt:variant>
        <vt:i4>102</vt:i4>
      </vt:variant>
      <vt:variant>
        <vt:i4>0</vt:i4>
      </vt:variant>
      <vt:variant>
        <vt:i4>5</vt:i4>
      </vt:variant>
      <vt:variant>
        <vt:lpwstr>http://www.abs.gov.au/ausstats/abs@.nsf/Latestproducts/4727.0.55.001Main Features99992012-13?opendocument&amp;tabname=Summary&amp;prodno=4727.0.55.001&amp;issue=2012-13&amp;num=&amp;view</vt:lpwstr>
      </vt:variant>
      <vt:variant>
        <vt:lpwstr/>
      </vt:variant>
      <vt:variant>
        <vt:i4>917604</vt:i4>
      </vt:variant>
      <vt:variant>
        <vt:i4>99</vt:i4>
      </vt:variant>
      <vt:variant>
        <vt:i4>0</vt:i4>
      </vt:variant>
      <vt:variant>
        <vt:i4>5</vt:i4>
      </vt:variant>
      <vt:variant>
        <vt:lpwstr>http://www.ausstats.abs.gov.au/ausstats/subscriber.nsf/0/BD51C922BFB7C6C1CA257C230011C97F/$File/3302055003_2010-2012.pdf</vt:lpwstr>
      </vt:variant>
      <vt:variant>
        <vt:lpwstr/>
      </vt:variant>
      <vt:variant>
        <vt:i4>2424956</vt:i4>
      </vt:variant>
      <vt:variant>
        <vt:i4>96</vt:i4>
      </vt:variant>
      <vt:variant>
        <vt:i4>0</vt:i4>
      </vt:variant>
      <vt:variant>
        <vt:i4>5</vt:i4>
      </vt:variant>
      <vt:variant>
        <vt:lpwstr>http://www.coagreformcouncil.gov.au/reports/indigenous-reform/indigenous-reform-2011-12-comparing-performance-across-australia</vt:lpwstr>
      </vt:variant>
      <vt:variant>
        <vt:lpwstr/>
      </vt:variant>
      <vt:variant>
        <vt:i4>5701738</vt:i4>
      </vt:variant>
      <vt:variant>
        <vt:i4>93</vt:i4>
      </vt:variant>
      <vt:variant>
        <vt:i4>0</vt:i4>
      </vt:variant>
      <vt:variant>
        <vt:i4>5</vt:i4>
      </vt:variant>
      <vt:variant>
        <vt:lpwstr>http://www.coagreformcouncil.gov.au/reports/indigenous-reform/national-indigenous-reform-agreement-performance-report-2009-10</vt:lpwstr>
      </vt:variant>
      <vt:variant>
        <vt:lpwstr/>
      </vt:variant>
      <vt:variant>
        <vt:i4>6684769</vt:i4>
      </vt:variant>
      <vt:variant>
        <vt:i4>90</vt:i4>
      </vt:variant>
      <vt:variant>
        <vt:i4>0</vt:i4>
      </vt:variant>
      <vt:variant>
        <vt:i4>5</vt:i4>
      </vt:variant>
      <vt:variant>
        <vt:lpwstr>http://www.indigenouschamber.org.au/wp-content/uploads/2013/10/Published-Baker-IDI-Oration.pdf</vt:lpwstr>
      </vt:variant>
      <vt:variant>
        <vt:lpwstr/>
      </vt:variant>
      <vt:variant>
        <vt:i4>1966089</vt:i4>
      </vt:variant>
      <vt:variant>
        <vt:i4>87</vt:i4>
      </vt:variant>
      <vt:variant>
        <vt:i4>0</vt:i4>
      </vt:variant>
      <vt:variant>
        <vt:i4>5</vt:i4>
      </vt:variant>
      <vt:variant>
        <vt:lpwstr>http://humanrights.gov.au/social_justice/health/OAus-CloseTheGapShadowReport-0212.pdf?ref=687.See</vt:lpwstr>
      </vt:variant>
      <vt:variant>
        <vt:lpwstr/>
      </vt:variant>
      <vt:variant>
        <vt:i4>1704015</vt:i4>
      </vt:variant>
      <vt:variant>
        <vt:i4>84</vt:i4>
      </vt:variant>
      <vt:variant>
        <vt:i4>0</vt:i4>
      </vt:variant>
      <vt:variant>
        <vt:i4>5</vt:i4>
      </vt:variant>
      <vt:variant>
        <vt:lpwstr>http://iaha.com.au/about-us/history-of-iaha/</vt:lpwstr>
      </vt:variant>
      <vt:variant>
        <vt:lpwstr/>
      </vt:variant>
      <vt:variant>
        <vt:i4>3080198</vt:i4>
      </vt:variant>
      <vt:variant>
        <vt:i4>81</vt:i4>
      </vt:variant>
      <vt:variant>
        <vt:i4>0</vt:i4>
      </vt:variant>
      <vt:variant>
        <vt:i4>5</vt:i4>
      </vt:variant>
      <vt:variant>
        <vt:lpwstr>http://naatsip.org/</vt:lpwstr>
      </vt:variant>
      <vt:variant>
        <vt:lpwstr/>
      </vt:variant>
      <vt:variant>
        <vt:i4>3997773</vt:i4>
      </vt:variant>
      <vt:variant>
        <vt:i4>78</vt:i4>
      </vt:variant>
      <vt:variant>
        <vt:i4>0</vt:i4>
      </vt:variant>
      <vt:variant>
        <vt:i4>5</vt:i4>
      </vt:variant>
      <vt:variant>
        <vt:lpwstr>http://www.indigenouspsychology.com.au/page/2973/background-history</vt:lpwstr>
      </vt:variant>
      <vt:variant>
        <vt:lpwstr/>
      </vt:variant>
      <vt:variant>
        <vt:i4>1114147</vt:i4>
      </vt:variant>
      <vt:variant>
        <vt:i4>75</vt:i4>
      </vt:variant>
      <vt:variant>
        <vt:i4>0</vt:i4>
      </vt:variant>
      <vt:variant>
        <vt:i4>5</vt:i4>
      </vt:variant>
      <vt:variant>
        <vt:lpwstr>http://www.idaa.com.au/IDAA/Home.html</vt:lpwstr>
      </vt:variant>
      <vt:variant>
        <vt:lpwstr/>
      </vt:variant>
      <vt:variant>
        <vt:i4>1048660</vt:i4>
      </vt:variant>
      <vt:variant>
        <vt:i4>72</vt:i4>
      </vt:variant>
      <vt:variant>
        <vt:i4>0</vt:i4>
      </vt:variant>
      <vt:variant>
        <vt:i4>5</vt:i4>
      </vt:variant>
      <vt:variant>
        <vt:lpwstr>http://www.natsihwa.org.au/about-us/our-history/</vt:lpwstr>
      </vt:variant>
      <vt:variant>
        <vt:lpwstr/>
      </vt:variant>
      <vt:variant>
        <vt:i4>7471226</vt:i4>
      </vt:variant>
      <vt:variant>
        <vt:i4>69</vt:i4>
      </vt:variant>
      <vt:variant>
        <vt:i4>0</vt:i4>
      </vt:variant>
      <vt:variant>
        <vt:i4>5</vt:i4>
      </vt:variant>
      <vt:variant>
        <vt:lpwstr>http://catsin.org.au/about-us/</vt:lpwstr>
      </vt:variant>
      <vt:variant>
        <vt:lpwstr/>
      </vt:variant>
      <vt:variant>
        <vt:i4>3473492</vt:i4>
      </vt:variant>
      <vt:variant>
        <vt:i4>66</vt:i4>
      </vt:variant>
      <vt:variant>
        <vt:i4>0</vt:i4>
      </vt:variant>
      <vt:variant>
        <vt:i4>5</vt:i4>
      </vt:variant>
      <vt:variant>
        <vt:lpwstr>http://www.aida.org.au/history.aspx</vt:lpwstr>
      </vt:variant>
      <vt:variant>
        <vt:lpwstr/>
      </vt:variant>
      <vt:variant>
        <vt:i4>4391034</vt:i4>
      </vt:variant>
      <vt:variant>
        <vt:i4>63</vt:i4>
      </vt:variant>
      <vt:variant>
        <vt:i4>0</vt:i4>
      </vt:variant>
      <vt:variant>
        <vt:i4>5</vt:i4>
      </vt:variant>
      <vt:variant>
        <vt:lpwstr>http://humanrights.gov.au/social_justice/health/OAus-CloseTheGapShadowReport-0212.pdf?ref=687SEe</vt:lpwstr>
      </vt:variant>
      <vt:variant>
        <vt:lpwstr/>
      </vt:variant>
      <vt:variant>
        <vt:i4>8257557</vt:i4>
      </vt:variant>
      <vt:variant>
        <vt:i4>60</vt:i4>
      </vt:variant>
      <vt:variant>
        <vt:i4>0</vt:i4>
      </vt:variant>
      <vt:variant>
        <vt:i4>5</vt:i4>
      </vt:variant>
      <vt:variant>
        <vt:lpwstr>http://www.health.nsw.gov.au/publications/Publications/NSW-Aboriginal-Health-Plan-2013-2023.pdf</vt:lpwstr>
      </vt:variant>
      <vt:variant>
        <vt:lpwstr/>
      </vt:variant>
      <vt:variant>
        <vt:i4>5242889</vt:i4>
      </vt:variant>
      <vt:variant>
        <vt:i4>57</vt:i4>
      </vt:variant>
      <vt:variant>
        <vt:i4>0</vt:i4>
      </vt:variant>
      <vt:variant>
        <vt:i4>5</vt:i4>
      </vt:variant>
      <vt:variant>
        <vt:lpwstr>http://www.humanrights.gov.au/close-gap-indigenous-health-campaign</vt:lpwstr>
      </vt:variant>
      <vt:variant>
        <vt:lpwstr>shadow</vt:lpwstr>
      </vt:variant>
      <vt:variant>
        <vt:i4>3538998</vt:i4>
      </vt:variant>
      <vt:variant>
        <vt:i4>54</vt:i4>
      </vt:variant>
      <vt:variant>
        <vt:i4>0</vt:i4>
      </vt:variant>
      <vt:variant>
        <vt:i4>5</vt:i4>
      </vt:variant>
      <vt:variant>
        <vt:lpwstr>http://www.abs.gov.au/websitedbs/censushome.nsf/home/CO-64?opendocument&amp;navpos=620</vt:lpwstr>
      </vt:variant>
      <vt:variant>
        <vt:lpwstr>industry</vt:lpwstr>
      </vt:variant>
      <vt:variant>
        <vt:i4>2031716</vt:i4>
      </vt:variant>
      <vt:variant>
        <vt:i4>51</vt:i4>
      </vt:variant>
      <vt:variant>
        <vt:i4>0</vt:i4>
      </vt:variant>
      <vt:variant>
        <vt:i4>5</vt:i4>
      </vt:variant>
      <vt:variant>
        <vt:lpwstr>http://www.caaps.org.au/services/</vt:lpwstr>
      </vt:variant>
      <vt:variant>
        <vt:lpwstr/>
      </vt:variant>
      <vt:variant>
        <vt:i4>7667818</vt:i4>
      </vt:variant>
      <vt:variant>
        <vt:i4>48</vt:i4>
      </vt:variant>
      <vt:variant>
        <vt:i4>0</vt:i4>
      </vt:variant>
      <vt:variant>
        <vt:i4>5</vt:i4>
      </vt:variant>
      <vt:variant>
        <vt:lpwstr>http://aboriginal.childhealthresearch.org.au/media/394426/hear_our_voices_final_report.pdf</vt:lpwstr>
      </vt:variant>
      <vt:variant>
        <vt:lpwstr/>
      </vt:variant>
      <vt:variant>
        <vt:i4>1835096</vt:i4>
      </vt:variant>
      <vt:variant>
        <vt:i4>45</vt:i4>
      </vt:variant>
      <vt:variant>
        <vt:i4>0</vt:i4>
      </vt:variant>
      <vt:variant>
        <vt:i4>5</vt:i4>
      </vt:variant>
      <vt:variant>
        <vt:lpwstr>http://www.aihw.gov.au/publication-detail/?id=6442468388</vt:lpwstr>
      </vt:variant>
      <vt:variant>
        <vt:lpwstr/>
      </vt:variant>
      <vt:variant>
        <vt:i4>1441903</vt:i4>
      </vt:variant>
      <vt:variant>
        <vt:i4>42</vt:i4>
      </vt:variant>
      <vt:variant>
        <vt:i4>0</vt:i4>
      </vt:variant>
      <vt:variant>
        <vt:i4>5</vt:i4>
      </vt:variant>
      <vt:variant>
        <vt:lpwstr>http://www.aihw.gov.au/publication-detail/?id=10737423052</vt:lpwstr>
      </vt:variant>
      <vt:variant>
        <vt:lpwstr/>
      </vt:variant>
      <vt:variant>
        <vt:i4>589882</vt:i4>
      </vt:variant>
      <vt:variant>
        <vt:i4>39</vt:i4>
      </vt:variant>
      <vt:variant>
        <vt:i4>0</vt:i4>
      </vt:variant>
      <vt:variant>
        <vt:i4>5</vt:i4>
      </vt:variant>
      <vt:variant>
        <vt:lpwstr>http://www.naccho.org.au/about-us/naccho-history/</vt:lpwstr>
      </vt:variant>
      <vt:variant>
        <vt:lpwstr/>
      </vt:variant>
      <vt:variant>
        <vt:i4>8060974</vt:i4>
      </vt:variant>
      <vt:variant>
        <vt:i4>36</vt:i4>
      </vt:variant>
      <vt:variant>
        <vt:i4>0</vt:i4>
      </vt:variant>
      <vt:variant>
        <vt:i4>5</vt:i4>
      </vt:variant>
      <vt:variant>
        <vt:lpwstr>http://www.finance.gov.au/sites/default/files/foi_10-27_strategic_review_indigenous_expenditure.pdf</vt:lpwstr>
      </vt:variant>
      <vt:variant>
        <vt:lpwstr/>
      </vt:variant>
      <vt:variant>
        <vt:i4>6488116</vt:i4>
      </vt:variant>
      <vt:variant>
        <vt:i4>33</vt:i4>
      </vt:variant>
      <vt:variant>
        <vt:i4>0</vt:i4>
      </vt:variant>
      <vt:variant>
        <vt:i4>5</vt:i4>
      </vt:variant>
      <vt:variant>
        <vt:lpwstr>http://www.smh.com.au/federal-politics/political-opinion/mind-the-gap-right-the-wrongs-20130209-2e4yt.html</vt:lpwstr>
      </vt:variant>
      <vt:variant>
        <vt:lpwstr/>
      </vt:variant>
      <vt:variant>
        <vt:i4>1114239</vt:i4>
      </vt:variant>
      <vt:variant>
        <vt:i4>30</vt:i4>
      </vt:variant>
      <vt:variant>
        <vt:i4>0</vt:i4>
      </vt:variant>
      <vt:variant>
        <vt:i4>5</vt:i4>
      </vt:variant>
      <vt:variant>
        <vt:lpwstr>http://iehu.unimelb.edu.au/publications/?a=538656</vt:lpwstr>
      </vt:variant>
      <vt:variant>
        <vt:lpwstr/>
      </vt:variant>
      <vt:variant>
        <vt:i4>3670102</vt:i4>
      </vt:variant>
      <vt:variant>
        <vt:i4>27</vt:i4>
      </vt:variant>
      <vt:variant>
        <vt:i4>0</vt:i4>
      </vt:variant>
      <vt:variant>
        <vt:i4>5</vt:i4>
      </vt:variant>
      <vt:variant>
        <vt:lpwstr>http://www.naccho.org.au/download/aboriginal-health/Leader of the Oposition Tony Abbott.pdf</vt:lpwstr>
      </vt:variant>
      <vt:variant>
        <vt:lpwstr/>
      </vt:variant>
      <vt:variant>
        <vt:i4>3604527</vt:i4>
      </vt:variant>
      <vt:variant>
        <vt:i4>24</vt:i4>
      </vt:variant>
      <vt:variant>
        <vt:i4>0</vt:i4>
      </vt:variant>
      <vt:variant>
        <vt:i4>5</vt:i4>
      </vt:variant>
      <vt:variant>
        <vt:lpwstr>http://www.humanrights.gov.au/publications/social-justice-report-2005-home</vt:lpwstr>
      </vt:variant>
      <vt:variant>
        <vt:lpwstr/>
      </vt:variant>
      <vt:variant>
        <vt:i4>3407878</vt:i4>
      </vt:variant>
      <vt:variant>
        <vt:i4>21</vt:i4>
      </vt:variant>
      <vt:variant>
        <vt:i4>0</vt:i4>
      </vt:variant>
      <vt:variant>
        <vt:i4>5</vt:i4>
      </vt:variant>
      <vt:variant>
        <vt:lpwstr>http://www.nigelscullion.com/electorate/speeches/ministerial-statements-closing-gap-prime-ministers-report-2012</vt:lpwstr>
      </vt:variant>
      <vt:variant>
        <vt:lpwstr/>
      </vt:variant>
      <vt:variant>
        <vt:i4>4980736</vt:i4>
      </vt:variant>
      <vt:variant>
        <vt:i4>18</vt:i4>
      </vt:variant>
      <vt:variant>
        <vt:i4>0</vt:i4>
      </vt:variant>
      <vt:variant>
        <vt:i4>5</vt:i4>
      </vt:variant>
      <vt:variant>
        <vt:lpwstr>http://www.federalfinancialrelations.gov.au/content/npa/health_indigenous/ctg-early-childhood/national_partnership_superseded.pdf</vt:lpwstr>
      </vt:variant>
      <vt:variant>
        <vt:lpwstr/>
      </vt:variant>
      <vt:variant>
        <vt:i4>3276851</vt:i4>
      </vt:variant>
      <vt:variant>
        <vt:i4>15</vt:i4>
      </vt:variant>
      <vt:variant>
        <vt:i4>0</vt:i4>
      </vt:variant>
      <vt:variant>
        <vt:i4>5</vt:i4>
      </vt:variant>
      <vt:variant>
        <vt:lpwstr>http://www.federalfinancialrelations.gov.au/content/npa/health_indigenous/ctg-health-outcomes/national_partnership.pdf</vt:lpwstr>
      </vt:variant>
      <vt:variant>
        <vt:lpwstr/>
      </vt:variant>
      <vt:variant>
        <vt:i4>2162706</vt:i4>
      </vt:variant>
      <vt:variant>
        <vt:i4>12</vt:i4>
      </vt:variant>
      <vt:variant>
        <vt:i4>0</vt:i4>
      </vt:variant>
      <vt:variant>
        <vt:i4>5</vt:i4>
      </vt:variant>
      <vt:variant>
        <vt:lpwstr>http://www.health.gov.au/internet/publications/publishing.nsf/Content/indig-sew-frame04-toc</vt:lpwstr>
      </vt:variant>
      <vt:variant>
        <vt:lpwstr/>
      </vt:variant>
      <vt:variant>
        <vt:i4>1179669</vt:i4>
      </vt:variant>
      <vt:variant>
        <vt:i4>9</vt:i4>
      </vt:variant>
      <vt:variant>
        <vt:i4>0</vt:i4>
      </vt:variant>
      <vt:variant>
        <vt:i4>5</vt:i4>
      </vt:variant>
      <vt:variant>
        <vt:lpwstr>https://www.sprc.unsw.edu.au/about-us/doha-sewb-framework-consultation/discussion-paper/</vt:lpwstr>
      </vt:variant>
      <vt:variant>
        <vt:lpwstr/>
      </vt:variant>
      <vt:variant>
        <vt:i4>2752514</vt:i4>
      </vt:variant>
      <vt:variant>
        <vt:i4>6</vt:i4>
      </vt:variant>
      <vt:variant>
        <vt:i4>0</vt:i4>
      </vt:variant>
      <vt:variant>
        <vt:i4>5</vt:i4>
      </vt:variant>
      <vt:variant>
        <vt:lpwstr>http://www.health.gov.au/internet/publications/publishing.nsf/Content/mental-natsisps-strat-toc</vt:lpwstr>
      </vt:variant>
      <vt:variant>
        <vt:lpwstr/>
      </vt:variant>
      <vt:variant>
        <vt:i4>786468</vt:i4>
      </vt:variant>
      <vt:variant>
        <vt:i4>3</vt:i4>
      </vt:variant>
      <vt:variant>
        <vt:i4>0</vt:i4>
      </vt:variant>
      <vt:variant>
        <vt:i4>5</vt:i4>
      </vt:variant>
      <vt:variant>
        <vt:lpwstr>https://www.health.gov.au/natsihp</vt:lpwstr>
      </vt:variant>
      <vt:variant>
        <vt:lpwstr/>
      </vt:variant>
      <vt:variant>
        <vt:i4>8126500</vt:i4>
      </vt:variant>
      <vt:variant>
        <vt:i4>0</vt:i4>
      </vt:variant>
      <vt:variant>
        <vt:i4>0</vt:i4>
      </vt:variant>
      <vt:variant>
        <vt:i4>5</vt:i4>
      </vt:variant>
      <vt:variant>
        <vt:lpwstr>https://www.oxfam.org.au/my/act/sign-the-close-the-gap-pledge/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Christopher Holland</dc:creator>
  <cp:lastModifiedBy>Andrew Gargett</cp:lastModifiedBy>
  <cp:revision>4</cp:revision>
  <cp:lastPrinted>2015-01-23T05:47:00Z</cp:lastPrinted>
  <dcterms:created xsi:type="dcterms:W3CDTF">2015-01-26T22:35:00Z</dcterms:created>
  <dcterms:modified xsi:type="dcterms:W3CDTF">2015-02-05T05:04:00Z</dcterms:modified>
</cp:coreProperties>
</file>