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30CA" w14:textId="378A4E7F" w:rsidR="007B2DB2" w:rsidRPr="004C0B7E" w:rsidRDefault="00456809" w:rsidP="003D51B6">
      <w:pPr>
        <w:pStyle w:val="Title"/>
        <w:rPr>
          <w:lang w:val="en-AU"/>
        </w:rPr>
      </w:pPr>
      <w:r>
        <w:rPr>
          <w:lang w:val="en-AU"/>
        </w:rPr>
        <w:t>C</w:t>
      </w:r>
      <w:r w:rsidR="00DD4488">
        <w:rPr>
          <w:lang w:val="en-AU"/>
        </w:rPr>
        <w:t>omment</w:t>
      </w:r>
      <w:r w:rsidR="007A1D50">
        <w:rPr>
          <w:lang w:val="en-AU"/>
        </w:rPr>
        <w:t>s</w:t>
      </w:r>
      <w:r w:rsidR="009A6F20">
        <w:rPr>
          <w:lang w:val="en-AU"/>
        </w:rPr>
        <w:t>:</w:t>
      </w:r>
      <w:r w:rsidR="00DD4488">
        <w:rPr>
          <w:lang w:val="en-AU"/>
        </w:rPr>
        <w:t xml:space="preserve"> Exposure Draft </w:t>
      </w:r>
      <w:r w:rsidR="00902DBA">
        <w:rPr>
          <w:lang w:val="en-AU"/>
        </w:rPr>
        <w:t>of the Treasury Laws Amendment Bill 2025</w:t>
      </w:r>
    </w:p>
    <w:p w14:paraId="68456F60" w14:textId="68B9C12C" w:rsidR="00D425F6" w:rsidRPr="00BF39B2" w:rsidRDefault="00C53832" w:rsidP="00861142">
      <w:pPr>
        <w:pStyle w:val="Subtitle"/>
      </w:pPr>
      <w:r w:rsidRPr="00BF39B2">
        <w:t xml:space="preserve">Submission to </w:t>
      </w:r>
      <w:r w:rsidR="00D425F6" w:rsidRPr="00BF39B2">
        <w:t xml:space="preserve">the </w:t>
      </w:r>
      <w:r w:rsidR="00C85551" w:rsidRPr="00BF39B2">
        <w:t>Treasur</w:t>
      </w:r>
      <w:r w:rsidR="008A12A3" w:rsidRPr="00BF39B2">
        <w:t>y</w:t>
      </w:r>
    </w:p>
    <w:p w14:paraId="4ACEA658" w14:textId="4966E087" w:rsidR="0036065F" w:rsidRPr="004C0B7E" w:rsidRDefault="00743FF5" w:rsidP="00861142">
      <w:pPr>
        <w:pStyle w:val="Subtitle"/>
      </w:pPr>
      <w:r w:rsidRPr="00BF39B2">
        <w:t>14</w:t>
      </w:r>
      <w:r w:rsidR="00C85551" w:rsidRPr="00BF39B2">
        <w:t xml:space="preserve"> October 2025</w:t>
      </w:r>
    </w:p>
    <w:sdt>
      <w:sdtPr>
        <w:rPr>
          <w:rFonts w:ascii="Open Sans" w:eastAsiaTheme="minorEastAsia" w:hAnsi="Open Sans" w:cstheme="minorBidi"/>
          <w:b w:val="0"/>
          <w:noProof/>
          <w:color w:val="000000" w:themeColor="text1"/>
          <w:sz w:val="24"/>
          <w:szCs w:val="24"/>
          <w:lang w:val="en-AU" w:eastAsia="ja-JP"/>
        </w:rPr>
        <w:id w:val="672380359"/>
        <w:docPartObj>
          <w:docPartGallery w:val="Table of Contents"/>
          <w:docPartUnique/>
        </w:docPartObj>
      </w:sdtPr>
      <w:sdtEndPr>
        <w:rPr>
          <w:b/>
          <w:color w:val="143C65" w:themeColor="accent1"/>
        </w:rPr>
      </w:sdtEndPr>
      <w:sdtContent>
        <w:p w14:paraId="74D04A18" w14:textId="77777777" w:rsidR="00AA0C6A" w:rsidRPr="004C0B7E" w:rsidRDefault="00AA0C6A" w:rsidP="008E6114">
          <w:pPr>
            <w:pStyle w:val="TOCHeading"/>
            <w:rPr>
              <w:lang w:val="en-AU"/>
            </w:rPr>
          </w:pPr>
          <w:r w:rsidRPr="004C0B7E">
            <w:rPr>
              <w:lang w:val="en-AU"/>
            </w:rPr>
            <w:t>Contents</w:t>
          </w:r>
        </w:p>
        <w:p w14:paraId="46A5D8B8" w14:textId="2E1F86A6" w:rsidR="002A5CCF" w:rsidRDefault="0069742B">
          <w:pPr>
            <w:pStyle w:val="TOC1"/>
            <w:rPr>
              <w:rFonts w:asciiTheme="minorHAnsi" w:hAnsiTheme="minorHAnsi"/>
              <w:b w:val="0"/>
              <w:color w:val="auto"/>
              <w:kern w:val="2"/>
              <w:lang w:eastAsia="en-AU"/>
              <w14:ligatures w14:val="standardContextual"/>
            </w:rPr>
          </w:pPr>
          <w:r>
            <w:rPr>
              <w:b w:val="0"/>
              <w:sz w:val="22"/>
            </w:rPr>
            <w:fldChar w:fldCharType="begin"/>
          </w:r>
          <w:r>
            <w:rPr>
              <w:b w:val="0"/>
              <w:sz w:val="22"/>
            </w:rPr>
            <w:instrText xml:space="preserve"> TOC \o "1-1" \h \z \t "Heading 2,2" </w:instrText>
          </w:r>
          <w:r>
            <w:rPr>
              <w:b w:val="0"/>
              <w:sz w:val="22"/>
            </w:rPr>
            <w:fldChar w:fldCharType="separate"/>
          </w:r>
          <w:hyperlink w:anchor="_Toc211325944" w:history="1">
            <w:r w:rsidR="002A5CCF" w:rsidRPr="00CB3CF7">
              <w:rPr>
                <w:rStyle w:val="Hyperlink"/>
              </w:rPr>
              <w:t>Overview</w:t>
            </w:r>
            <w:r w:rsidR="002A5CCF">
              <w:rPr>
                <w:webHidden/>
              </w:rPr>
              <w:tab/>
            </w:r>
            <w:r w:rsidR="002A5CCF">
              <w:rPr>
                <w:webHidden/>
              </w:rPr>
              <w:fldChar w:fldCharType="begin"/>
            </w:r>
            <w:r w:rsidR="002A5CCF">
              <w:rPr>
                <w:webHidden/>
              </w:rPr>
              <w:instrText xml:space="preserve"> PAGEREF _Toc211325944 \h </w:instrText>
            </w:r>
            <w:r w:rsidR="002A5CCF">
              <w:rPr>
                <w:webHidden/>
              </w:rPr>
            </w:r>
            <w:r w:rsidR="002A5CCF">
              <w:rPr>
                <w:webHidden/>
              </w:rPr>
              <w:fldChar w:fldCharType="separate"/>
            </w:r>
            <w:r w:rsidR="00E55878">
              <w:rPr>
                <w:webHidden/>
              </w:rPr>
              <w:t>4</w:t>
            </w:r>
            <w:r w:rsidR="002A5CCF">
              <w:rPr>
                <w:webHidden/>
              </w:rPr>
              <w:fldChar w:fldCharType="end"/>
            </w:r>
          </w:hyperlink>
        </w:p>
        <w:p w14:paraId="6377DEC3" w14:textId="70338A68" w:rsidR="002A5CCF" w:rsidRDefault="002A5CCF">
          <w:pPr>
            <w:pStyle w:val="TOC2"/>
            <w:rPr>
              <w:rFonts w:asciiTheme="minorHAnsi" w:hAnsiTheme="minorHAnsi"/>
              <w:color w:val="auto"/>
              <w:kern w:val="2"/>
              <w:lang w:val="en-AU" w:eastAsia="en-AU"/>
              <w14:ligatures w14:val="standardContextual"/>
            </w:rPr>
          </w:pPr>
          <w:hyperlink w:anchor="_Toc211325945" w:history="1">
            <w:r w:rsidRPr="00CB3CF7">
              <w:rPr>
                <w:rStyle w:val="Hyperlink"/>
              </w:rPr>
              <w:t>Summary</w:t>
            </w:r>
            <w:r>
              <w:rPr>
                <w:webHidden/>
              </w:rPr>
              <w:tab/>
            </w:r>
            <w:r>
              <w:rPr>
                <w:webHidden/>
              </w:rPr>
              <w:fldChar w:fldCharType="begin"/>
            </w:r>
            <w:r>
              <w:rPr>
                <w:webHidden/>
              </w:rPr>
              <w:instrText xml:space="preserve"> PAGEREF _Toc211325945 \h </w:instrText>
            </w:r>
            <w:r>
              <w:rPr>
                <w:webHidden/>
              </w:rPr>
            </w:r>
            <w:r>
              <w:rPr>
                <w:webHidden/>
              </w:rPr>
              <w:fldChar w:fldCharType="separate"/>
            </w:r>
            <w:r w:rsidR="00E55878">
              <w:rPr>
                <w:webHidden/>
              </w:rPr>
              <w:t>4</w:t>
            </w:r>
            <w:r>
              <w:rPr>
                <w:webHidden/>
              </w:rPr>
              <w:fldChar w:fldCharType="end"/>
            </w:r>
          </w:hyperlink>
        </w:p>
        <w:p w14:paraId="08A9C977" w14:textId="4B3D70A0" w:rsidR="002A5CCF" w:rsidRDefault="002A5CCF">
          <w:pPr>
            <w:pStyle w:val="TOC2"/>
            <w:rPr>
              <w:rFonts w:asciiTheme="minorHAnsi" w:hAnsiTheme="minorHAnsi"/>
              <w:color w:val="auto"/>
              <w:kern w:val="2"/>
              <w:lang w:val="en-AU" w:eastAsia="en-AU"/>
              <w14:ligatures w14:val="standardContextual"/>
            </w:rPr>
          </w:pPr>
          <w:hyperlink w:anchor="_Toc211325946" w:history="1">
            <w:r w:rsidRPr="00CB3CF7">
              <w:rPr>
                <w:rStyle w:val="Hyperlink"/>
              </w:rPr>
              <w:t>Recommendations</w:t>
            </w:r>
            <w:r>
              <w:rPr>
                <w:webHidden/>
              </w:rPr>
              <w:tab/>
            </w:r>
            <w:r>
              <w:rPr>
                <w:webHidden/>
              </w:rPr>
              <w:fldChar w:fldCharType="begin"/>
            </w:r>
            <w:r>
              <w:rPr>
                <w:webHidden/>
              </w:rPr>
              <w:instrText xml:space="preserve"> PAGEREF _Toc211325946 \h </w:instrText>
            </w:r>
            <w:r>
              <w:rPr>
                <w:webHidden/>
              </w:rPr>
            </w:r>
            <w:r>
              <w:rPr>
                <w:webHidden/>
              </w:rPr>
              <w:fldChar w:fldCharType="separate"/>
            </w:r>
            <w:r w:rsidR="00E55878">
              <w:rPr>
                <w:webHidden/>
              </w:rPr>
              <w:t>5</w:t>
            </w:r>
            <w:r>
              <w:rPr>
                <w:webHidden/>
              </w:rPr>
              <w:fldChar w:fldCharType="end"/>
            </w:r>
          </w:hyperlink>
        </w:p>
        <w:p w14:paraId="74A29FE9" w14:textId="6DF6CAB8" w:rsidR="002A5CCF" w:rsidRDefault="002A5CCF">
          <w:pPr>
            <w:pStyle w:val="TOC1"/>
            <w:rPr>
              <w:rFonts w:asciiTheme="minorHAnsi" w:hAnsiTheme="minorHAnsi"/>
              <w:b w:val="0"/>
              <w:color w:val="auto"/>
              <w:kern w:val="2"/>
              <w:lang w:eastAsia="en-AU"/>
              <w14:ligatures w14:val="standardContextual"/>
            </w:rPr>
          </w:pPr>
          <w:hyperlink w:anchor="_Toc211325947" w:history="1">
            <w:r w:rsidRPr="00CB3CF7">
              <w:rPr>
                <w:rStyle w:val="Hyperlink"/>
              </w:rPr>
              <w:t>1</w:t>
            </w:r>
            <w:r>
              <w:rPr>
                <w:rFonts w:asciiTheme="minorHAnsi" w:hAnsiTheme="minorHAnsi"/>
                <w:b w:val="0"/>
                <w:color w:val="auto"/>
                <w:kern w:val="2"/>
                <w:lang w:eastAsia="en-AU"/>
                <w14:ligatures w14:val="standardContextual"/>
              </w:rPr>
              <w:tab/>
            </w:r>
            <w:r w:rsidRPr="00CB3CF7">
              <w:rPr>
                <w:rStyle w:val="Hyperlink"/>
              </w:rPr>
              <w:t>Specific concerns about the Exposure Draft</w:t>
            </w:r>
            <w:r>
              <w:rPr>
                <w:webHidden/>
              </w:rPr>
              <w:tab/>
            </w:r>
            <w:r>
              <w:rPr>
                <w:webHidden/>
              </w:rPr>
              <w:fldChar w:fldCharType="begin"/>
            </w:r>
            <w:r>
              <w:rPr>
                <w:webHidden/>
              </w:rPr>
              <w:instrText xml:space="preserve"> PAGEREF _Toc211325947 \h </w:instrText>
            </w:r>
            <w:r>
              <w:rPr>
                <w:webHidden/>
              </w:rPr>
            </w:r>
            <w:r>
              <w:rPr>
                <w:webHidden/>
              </w:rPr>
              <w:fldChar w:fldCharType="separate"/>
            </w:r>
            <w:r w:rsidR="00E55878">
              <w:rPr>
                <w:webHidden/>
              </w:rPr>
              <w:t>6</w:t>
            </w:r>
            <w:r>
              <w:rPr>
                <w:webHidden/>
              </w:rPr>
              <w:fldChar w:fldCharType="end"/>
            </w:r>
          </w:hyperlink>
        </w:p>
        <w:p w14:paraId="1DDDAB01" w14:textId="3C2BDA36" w:rsidR="002A5CCF" w:rsidRDefault="002A5CCF">
          <w:pPr>
            <w:pStyle w:val="TOC2"/>
            <w:rPr>
              <w:rFonts w:asciiTheme="minorHAnsi" w:hAnsiTheme="minorHAnsi"/>
              <w:color w:val="auto"/>
              <w:kern w:val="2"/>
              <w:lang w:val="en-AU" w:eastAsia="en-AU"/>
              <w14:ligatures w14:val="standardContextual"/>
            </w:rPr>
          </w:pPr>
          <w:hyperlink w:anchor="_Toc211325948" w:history="1">
            <w:r w:rsidRPr="00CB3CF7">
              <w:rPr>
                <w:rStyle w:val="Hyperlink"/>
              </w:rPr>
              <w:t>The meaning of protected genetic information</w:t>
            </w:r>
            <w:r>
              <w:rPr>
                <w:webHidden/>
              </w:rPr>
              <w:tab/>
            </w:r>
            <w:r>
              <w:rPr>
                <w:webHidden/>
              </w:rPr>
              <w:fldChar w:fldCharType="begin"/>
            </w:r>
            <w:r>
              <w:rPr>
                <w:webHidden/>
              </w:rPr>
              <w:instrText xml:space="preserve"> PAGEREF _Toc211325948 \h </w:instrText>
            </w:r>
            <w:r>
              <w:rPr>
                <w:webHidden/>
              </w:rPr>
            </w:r>
            <w:r>
              <w:rPr>
                <w:webHidden/>
              </w:rPr>
              <w:fldChar w:fldCharType="separate"/>
            </w:r>
            <w:r w:rsidR="00E55878">
              <w:rPr>
                <w:webHidden/>
              </w:rPr>
              <w:t>6</w:t>
            </w:r>
            <w:r>
              <w:rPr>
                <w:webHidden/>
              </w:rPr>
              <w:fldChar w:fldCharType="end"/>
            </w:r>
          </w:hyperlink>
        </w:p>
        <w:p w14:paraId="5BF5F47E" w14:textId="50BDBE3D" w:rsidR="002A5CCF" w:rsidRDefault="002A5CCF">
          <w:pPr>
            <w:pStyle w:val="TOC2"/>
            <w:rPr>
              <w:rFonts w:asciiTheme="minorHAnsi" w:hAnsiTheme="minorHAnsi"/>
              <w:color w:val="auto"/>
              <w:kern w:val="2"/>
              <w:lang w:val="en-AU" w:eastAsia="en-AU"/>
              <w14:ligatures w14:val="standardContextual"/>
            </w:rPr>
          </w:pPr>
          <w:hyperlink w:anchor="_Toc211325949" w:history="1">
            <w:r w:rsidRPr="00CB3CF7">
              <w:rPr>
                <w:rStyle w:val="Hyperlink"/>
              </w:rPr>
              <w:t>Consent is not defined, and can be provided by an agent</w:t>
            </w:r>
            <w:r>
              <w:rPr>
                <w:webHidden/>
              </w:rPr>
              <w:tab/>
            </w:r>
            <w:r>
              <w:rPr>
                <w:webHidden/>
              </w:rPr>
              <w:fldChar w:fldCharType="begin"/>
            </w:r>
            <w:r>
              <w:rPr>
                <w:webHidden/>
              </w:rPr>
              <w:instrText xml:space="preserve"> PAGEREF _Toc211325949 \h </w:instrText>
            </w:r>
            <w:r>
              <w:rPr>
                <w:webHidden/>
              </w:rPr>
            </w:r>
            <w:r>
              <w:rPr>
                <w:webHidden/>
              </w:rPr>
              <w:fldChar w:fldCharType="separate"/>
            </w:r>
            <w:r w:rsidR="00E55878">
              <w:rPr>
                <w:webHidden/>
              </w:rPr>
              <w:t>7</w:t>
            </w:r>
            <w:r>
              <w:rPr>
                <w:webHidden/>
              </w:rPr>
              <w:fldChar w:fldCharType="end"/>
            </w:r>
          </w:hyperlink>
        </w:p>
        <w:p w14:paraId="05B16948" w14:textId="71129046" w:rsidR="002A5CCF" w:rsidRDefault="002A5CCF">
          <w:pPr>
            <w:pStyle w:val="TOC2"/>
            <w:rPr>
              <w:rFonts w:asciiTheme="minorHAnsi" w:hAnsiTheme="minorHAnsi"/>
              <w:color w:val="auto"/>
              <w:kern w:val="2"/>
              <w:lang w:val="en-AU" w:eastAsia="en-AU"/>
              <w14:ligatures w14:val="standardContextual"/>
            </w:rPr>
          </w:pPr>
          <w:hyperlink w:anchor="_Toc211325950" w:history="1">
            <w:r w:rsidRPr="00CB3CF7">
              <w:rPr>
                <w:rStyle w:val="Hyperlink"/>
              </w:rPr>
              <w:t>Commencement and application of the ban excludes existing policies</w:t>
            </w:r>
            <w:r>
              <w:rPr>
                <w:webHidden/>
              </w:rPr>
              <w:tab/>
            </w:r>
            <w:r>
              <w:rPr>
                <w:webHidden/>
              </w:rPr>
              <w:fldChar w:fldCharType="begin"/>
            </w:r>
            <w:r>
              <w:rPr>
                <w:webHidden/>
              </w:rPr>
              <w:instrText xml:space="preserve"> PAGEREF _Toc211325950 \h </w:instrText>
            </w:r>
            <w:r>
              <w:rPr>
                <w:webHidden/>
              </w:rPr>
            </w:r>
            <w:r>
              <w:rPr>
                <w:webHidden/>
              </w:rPr>
              <w:fldChar w:fldCharType="separate"/>
            </w:r>
            <w:r w:rsidR="00E55878">
              <w:rPr>
                <w:webHidden/>
              </w:rPr>
              <w:t>9</w:t>
            </w:r>
            <w:r>
              <w:rPr>
                <w:webHidden/>
              </w:rPr>
              <w:fldChar w:fldCharType="end"/>
            </w:r>
          </w:hyperlink>
        </w:p>
        <w:p w14:paraId="0220AB07" w14:textId="59F39F0C" w:rsidR="002A5CCF" w:rsidRDefault="002A5CCF">
          <w:pPr>
            <w:pStyle w:val="TOC2"/>
            <w:rPr>
              <w:rFonts w:asciiTheme="minorHAnsi" w:hAnsiTheme="minorHAnsi"/>
              <w:color w:val="auto"/>
              <w:kern w:val="2"/>
              <w:lang w:val="en-AU" w:eastAsia="en-AU"/>
              <w14:ligatures w14:val="standardContextual"/>
            </w:rPr>
          </w:pPr>
          <w:hyperlink w:anchor="_Toc211325951" w:history="1">
            <w:r w:rsidRPr="00CB3CF7">
              <w:rPr>
                <w:rStyle w:val="Hyperlink"/>
              </w:rPr>
              <w:t>Regulation-making power affecting meaning of key terms</w:t>
            </w:r>
            <w:r>
              <w:rPr>
                <w:webHidden/>
              </w:rPr>
              <w:tab/>
            </w:r>
            <w:r>
              <w:rPr>
                <w:webHidden/>
              </w:rPr>
              <w:fldChar w:fldCharType="begin"/>
            </w:r>
            <w:r>
              <w:rPr>
                <w:webHidden/>
              </w:rPr>
              <w:instrText xml:space="preserve"> PAGEREF _Toc211325951 \h </w:instrText>
            </w:r>
            <w:r>
              <w:rPr>
                <w:webHidden/>
              </w:rPr>
            </w:r>
            <w:r>
              <w:rPr>
                <w:webHidden/>
              </w:rPr>
              <w:fldChar w:fldCharType="separate"/>
            </w:r>
            <w:r w:rsidR="00E55878">
              <w:rPr>
                <w:webHidden/>
              </w:rPr>
              <w:t>10</w:t>
            </w:r>
            <w:r>
              <w:rPr>
                <w:webHidden/>
              </w:rPr>
              <w:fldChar w:fldCharType="end"/>
            </w:r>
          </w:hyperlink>
        </w:p>
        <w:p w14:paraId="3A4DE40A" w14:textId="3BAF8470" w:rsidR="002A5CCF" w:rsidRDefault="002A5CCF">
          <w:pPr>
            <w:pStyle w:val="TOC2"/>
            <w:rPr>
              <w:rFonts w:asciiTheme="minorHAnsi" w:hAnsiTheme="minorHAnsi"/>
              <w:color w:val="auto"/>
              <w:kern w:val="2"/>
              <w:lang w:val="en-AU" w:eastAsia="en-AU"/>
              <w14:ligatures w14:val="standardContextual"/>
            </w:rPr>
          </w:pPr>
          <w:hyperlink w:anchor="_Toc211325952" w:history="1">
            <w:r w:rsidRPr="00CB3CF7">
              <w:rPr>
                <w:rStyle w:val="Hyperlink"/>
              </w:rPr>
              <w:t>Periodic review of the operation of the ban</w:t>
            </w:r>
            <w:r>
              <w:rPr>
                <w:webHidden/>
              </w:rPr>
              <w:tab/>
            </w:r>
            <w:r>
              <w:rPr>
                <w:webHidden/>
              </w:rPr>
              <w:fldChar w:fldCharType="begin"/>
            </w:r>
            <w:r>
              <w:rPr>
                <w:webHidden/>
              </w:rPr>
              <w:instrText xml:space="preserve"> PAGEREF _Toc211325952 \h </w:instrText>
            </w:r>
            <w:r>
              <w:rPr>
                <w:webHidden/>
              </w:rPr>
            </w:r>
            <w:r>
              <w:rPr>
                <w:webHidden/>
              </w:rPr>
              <w:fldChar w:fldCharType="separate"/>
            </w:r>
            <w:r w:rsidR="00E55878">
              <w:rPr>
                <w:webHidden/>
              </w:rPr>
              <w:t>10</w:t>
            </w:r>
            <w:r>
              <w:rPr>
                <w:webHidden/>
              </w:rPr>
              <w:fldChar w:fldCharType="end"/>
            </w:r>
          </w:hyperlink>
        </w:p>
        <w:p w14:paraId="59322BD3" w14:textId="48B20506" w:rsidR="002A5CCF" w:rsidRDefault="002A5CCF">
          <w:pPr>
            <w:pStyle w:val="TOC1"/>
            <w:rPr>
              <w:rFonts w:asciiTheme="minorHAnsi" w:hAnsiTheme="minorHAnsi"/>
              <w:b w:val="0"/>
              <w:color w:val="auto"/>
              <w:kern w:val="2"/>
              <w:lang w:eastAsia="en-AU"/>
              <w14:ligatures w14:val="standardContextual"/>
            </w:rPr>
          </w:pPr>
          <w:hyperlink w:anchor="_Toc211325953" w:history="1">
            <w:r w:rsidRPr="00CB3CF7">
              <w:rPr>
                <w:rStyle w:val="Hyperlink"/>
              </w:rPr>
              <w:t>Endnotes</w:t>
            </w:r>
            <w:r>
              <w:rPr>
                <w:webHidden/>
              </w:rPr>
              <w:tab/>
            </w:r>
            <w:r>
              <w:rPr>
                <w:webHidden/>
              </w:rPr>
              <w:fldChar w:fldCharType="begin"/>
            </w:r>
            <w:r>
              <w:rPr>
                <w:webHidden/>
              </w:rPr>
              <w:instrText xml:space="preserve"> PAGEREF _Toc211325953 \h </w:instrText>
            </w:r>
            <w:r>
              <w:rPr>
                <w:webHidden/>
              </w:rPr>
            </w:r>
            <w:r>
              <w:rPr>
                <w:webHidden/>
              </w:rPr>
              <w:fldChar w:fldCharType="separate"/>
            </w:r>
            <w:r w:rsidR="00E55878">
              <w:rPr>
                <w:webHidden/>
              </w:rPr>
              <w:t>12</w:t>
            </w:r>
            <w:r>
              <w:rPr>
                <w:webHidden/>
              </w:rPr>
              <w:fldChar w:fldCharType="end"/>
            </w:r>
          </w:hyperlink>
        </w:p>
        <w:p w14:paraId="782F4E48" w14:textId="74C82679" w:rsidR="00AA0C6A" w:rsidRPr="004C0B7E" w:rsidRDefault="0069742B" w:rsidP="00C214AA">
          <w:pPr>
            <w:pStyle w:val="TOC1"/>
          </w:pPr>
          <w:r>
            <w:rPr>
              <w:b w:val="0"/>
              <w:sz w:val="22"/>
            </w:rPr>
            <w:fldChar w:fldCharType="end"/>
          </w:r>
        </w:p>
      </w:sdtContent>
    </w:sdt>
    <w:p w14:paraId="57C75D35" w14:textId="77777777" w:rsidR="006D78DD" w:rsidRDefault="006D78DD">
      <w:pPr>
        <w:numPr>
          <w:ilvl w:val="0"/>
          <w:numId w:val="0"/>
        </w:numPr>
        <w:spacing w:before="0" w:after="160" w:line="278" w:lineRule="auto"/>
        <w:rPr>
          <w:szCs w:val="22"/>
        </w:rPr>
      </w:pPr>
      <w:r>
        <w:br w:type="page"/>
      </w:r>
    </w:p>
    <w:p w14:paraId="42658391" w14:textId="77777777" w:rsidR="007970E2" w:rsidRPr="00365FFF" w:rsidRDefault="007970E2" w:rsidP="007970E2">
      <w:pPr>
        <w:pStyle w:val="Heading3"/>
      </w:pPr>
      <w:r w:rsidRPr="00365FFF">
        <w:lastRenderedPageBreak/>
        <w:t>About the Australian Human Rights Commission</w:t>
      </w:r>
    </w:p>
    <w:p w14:paraId="4B7539D3" w14:textId="77777777" w:rsidR="007970E2" w:rsidRPr="002D7DA0" w:rsidRDefault="007970E2" w:rsidP="007970E2">
      <w:pPr>
        <w:pStyle w:val="Frontmatter"/>
      </w:pPr>
      <w:r w:rsidRPr="002D7DA0">
        <w:t>Our vision is an Australian society where human rights are respected, promoted and protected and where every person is equal in dignity and rights.</w:t>
      </w:r>
    </w:p>
    <w:p w14:paraId="6B383FEC" w14:textId="77777777" w:rsidR="007970E2" w:rsidRPr="002D7DA0" w:rsidRDefault="007970E2" w:rsidP="007970E2">
      <w:pPr>
        <w:pStyle w:val="Frontmatter"/>
      </w:pPr>
      <w:r w:rsidRPr="002D7DA0">
        <w:t>The Commission’s key functions include:</w:t>
      </w:r>
    </w:p>
    <w:p w14:paraId="67F92CA1" w14:textId="17096C26" w:rsidR="007970E2" w:rsidRPr="002D7DA0" w:rsidRDefault="007970E2" w:rsidP="00A376AE">
      <w:pPr>
        <w:pStyle w:val="Frontmatter"/>
        <w:numPr>
          <w:ilvl w:val="0"/>
          <w:numId w:val="37"/>
        </w:numPr>
      </w:pPr>
      <w:r w:rsidRPr="00A376AE">
        <w:rPr>
          <w:b/>
          <w:bCs/>
        </w:rPr>
        <w:t>Access to justice</w:t>
      </w:r>
      <w:r w:rsidRPr="002D7DA0">
        <w:t>: We help people to resolve complaints of discrimination and human rights breaches through our investigation and conciliation services.</w:t>
      </w:r>
    </w:p>
    <w:p w14:paraId="5D320BE8" w14:textId="4AFA4EED" w:rsidR="007970E2" w:rsidRPr="002D7DA0" w:rsidRDefault="007970E2" w:rsidP="00A376AE">
      <w:pPr>
        <w:pStyle w:val="Frontmatter"/>
        <w:numPr>
          <w:ilvl w:val="0"/>
          <w:numId w:val="37"/>
        </w:numPr>
      </w:pPr>
      <w:r w:rsidRPr="00A376AE">
        <w:rPr>
          <w:b/>
          <w:bCs/>
        </w:rPr>
        <w:t>Fairer laws, policies and practices</w:t>
      </w:r>
      <w:r w:rsidRPr="002D7DA0">
        <w:t>: We review existing and proposed laws, policies and practices and provide expert advice on how they can better protect people’s human rights. We help organisations to protect human rights in their work. We publish reports on human rights problems and how to fix them.</w:t>
      </w:r>
    </w:p>
    <w:p w14:paraId="63FFA0F1" w14:textId="05ADCFDD" w:rsidR="007970E2" w:rsidRPr="002D7DA0" w:rsidRDefault="007970E2" w:rsidP="00A376AE">
      <w:pPr>
        <w:pStyle w:val="Frontmatter"/>
        <w:numPr>
          <w:ilvl w:val="0"/>
          <w:numId w:val="37"/>
        </w:numPr>
      </w:pPr>
      <w:r w:rsidRPr="00A376AE">
        <w:rPr>
          <w:b/>
          <w:bCs/>
        </w:rPr>
        <w:t>Education and understanding</w:t>
      </w:r>
      <w:r w:rsidRPr="002D7DA0">
        <w:t xml:space="preserve">: We </w:t>
      </w:r>
      <w:r>
        <w:t>promote</w:t>
      </w:r>
      <w:r w:rsidRPr="002D7DA0">
        <w:t xml:space="preserve"> understanding, acceptance and public discussion of human rights. We deliver workplace and community human rights education and training.</w:t>
      </w:r>
    </w:p>
    <w:p w14:paraId="60CE1956" w14:textId="0013FF09" w:rsidR="007970E2" w:rsidRPr="002D7DA0" w:rsidRDefault="007970E2" w:rsidP="00A376AE">
      <w:pPr>
        <w:pStyle w:val="Frontmatter"/>
        <w:numPr>
          <w:ilvl w:val="0"/>
          <w:numId w:val="37"/>
        </w:numPr>
      </w:pPr>
      <w:r w:rsidRPr="00A376AE">
        <w:rPr>
          <w:b/>
          <w:bCs/>
        </w:rPr>
        <w:t>Compliance</w:t>
      </w:r>
      <w:r w:rsidRPr="002D7DA0">
        <w:t>: We are the regulator for positive duty laws requiring employers and others to address sexual harassment, sex discrimination and other unlawful conduct.</w:t>
      </w:r>
    </w:p>
    <w:p w14:paraId="22BF150F" w14:textId="5B5A1364" w:rsidR="00135D60" w:rsidRPr="00135D60" w:rsidRDefault="00135D60" w:rsidP="00E8000D">
      <w:pPr>
        <w:pStyle w:val="Frontmatter"/>
      </w:pPr>
    </w:p>
    <w:p w14:paraId="145D46FE" w14:textId="77777777" w:rsidR="00695368" w:rsidRDefault="00695368" w:rsidP="00C214AA">
      <w:pPr>
        <w:pStyle w:val="Frontmatter"/>
      </w:pPr>
    </w:p>
    <w:p w14:paraId="66B73A08" w14:textId="77777777" w:rsidR="00695368" w:rsidRDefault="00695368" w:rsidP="00C214AA">
      <w:pPr>
        <w:pStyle w:val="Frontmatter"/>
      </w:pPr>
    </w:p>
    <w:p w14:paraId="49DB193D" w14:textId="56611D8B" w:rsidR="00FE19D1" w:rsidRPr="00893A0F" w:rsidRDefault="00A11470" w:rsidP="00C214AA">
      <w:pPr>
        <w:pStyle w:val="Frontmatter"/>
      </w:pPr>
      <w:r w:rsidRPr="00893A0F">
        <w:t>Australian Human Rights Commission</w:t>
      </w:r>
      <w:r w:rsidR="00FE19D1" w:rsidRPr="00893A0F">
        <w:t xml:space="preserve"> </w:t>
      </w:r>
      <w:hyperlink r:id="rId15" w:history="1">
        <w:r w:rsidR="00FE19D1" w:rsidRPr="00893A0F">
          <w:rPr>
            <w:rStyle w:val="Hyperlink"/>
            <w:sz w:val="22"/>
          </w:rPr>
          <w:t>www.humanrights.gov.au</w:t>
        </w:r>
      </w:hyperlink>
      <w:r w:rsidR="00FE19D1" w:rsidRPr="00893A0F">
        <w:t xml:space="preserve"> </w:t>
      </w:r>
    </w:p>
    <w:p w14:paraId="75642760" w14:textId="77777777" w:rsidR="00FF6AEC" w:rsidRPr="00893A0F" w:rsidRDefault="00A11470" w:rsidP="00C214AA">
      <w:pPr>
        <w:pStyle w:val="Frontmatter"/>
      </w:pPr>
      <w:r w:rsidRPr="00893A0F">
        <w:t>ABN</w:t>
      </w:r>
      <w:r w:rsidR="00D81BD3" w:rsidRPr="00893A0F">
        <w:t xml:space="preserve"> 47 996 232 602</w:t>
      </w:r>
    </w:p>
    <w:p w14:paraId="1E47957F" w14:textId="17D9AB71" w:rsidR="00601842" w:rsidRPr="00893A0F" w:rsidRDefault="00601842" w:rsidP="00C214AA">
      <w:pPr>
        <w:pStyle w:val="Frontmatter"/>
      </w:pPr>
      <w:r w:rsidRPr="00893A0F">
        <w:br/>
        <w:t>GPO Box 5218 Sydney NSW 2001</w:t>
      </w:r>
    </w:p>
    <w:p w14:paraId="3B3EFA49" w14:textId="627B1BD9" w:rsidR="009E6F98" w:rsidRPr="00893A0F" w:rsidRDefault="00FF6AEC" w:rsidP="00C214AA">
      <w:pPr>
        <w:pStyle w:val="Frontmatter"/>
      </w:pPr>
      <w:r w:rsidRPr="00893A0F">
        <w:t>For general enquiries, call us on 1300 369 711</w:t>
      </w:r>
      <w:r w:rsidR="009E6F98" w:rsidRPr="00893A0F">
        <w:br/>
      </w:r>
      <w:r w:rsidRPr="00893A0F">
        <w:t>For complaints, call us on 1300 656 419</w:t>
      </w:r>
      <w:r w:rsidR="00FA2B1D" w:rsidRPr="00893A0F">
        <w:br/>
      </w:r>
      <w:r w:rsidR="009E6F98" w:rsidRPr="00893A0F">
        <w:t xml:space="preserve">For TTY, call </w:t>
      </w:r>
      <w:r w:rsidR="006F384B" w:rsidRPr="00893A0F">
        <w:t>1800 620 241</w:t>
      </w:r>
    </w:p>
    <w:p w14:paraId="7A14917E" w14:textId="77777777" w:rsidR="00A11470" w:rsidRPr="00FD0E91" w:rsidRDefault="00A11470" w:rsidP="00C214AA">
      <w:pPr>
        <w:pStyle w:val="Frontmatter"/>
      </w:pPr>
    </w:p>
    <w:p w14:paraId="021E79DA" w14:textId="77777777" w:rsidR="00A418E2" w:rsidRPr="00FD0E91" w:rsidRDefault="00A418E2" w:rsidP="00295318">
      <w:pPr>
        <w:pStyle w:val="Frontmatter"/>
        <w:sectPr w:rsidR="00A418E2" w:rsidRPr="00FD0E91" w:rsidSect="003D23EE">
          <w:headerReference w:type="first" r:id="rId16"/>
          <w:endnotePr>
            <w:numFmt w:val="decimal"/>
          </w:endnotePr>
          <w:pgSz w:w="11906" w:h="16838" w:code="9"/>
          <w:pgMar w:top="1440" w:right="1440" w:bottom="1440" w:left="1440" w:header="720" w:footer="720" w:gutter="0"/>
          <w:cols w:space="720"/>
          <w:titlePg/>
          <w:docGrid w:linePitch="360"/>
        </w:sectPr>
      </w:pPr>
    </w:p>
    <w:bookmarkStart w:id="0" w:name="_Toc211325944" w:displacedByCustomXml="next"/>
    <w:sdt>
      <w:sdtPr>
        <w:id w:val="-1881473845"/>
        <w:placeholder>
          <w:docPart w:val="CDBCCB2783FD4EC0874CF61975A4FD7E"/>
        </w:placeholder>
        <w:dataBinding w:prefixMappings="xmlns:ns0='http://AHRCheadings.htm' " w:xpath="/ns0:headings[1]/ns0:Overview[1]" w:storeItemID="{59E40458-85DB-4B58-AD7F-ED1E21A92441}"/>
        <w:text/>
      </w:sdtPr>
      <w:sdtEndPr/>
      <w:sdtContent>
        <w:p w14:paraId="66354309" w14:textId="77777777" w:rsidR="004024FD" w:rsidRPr="0036451C" w:rsidRDefault="00FF3BE7" w:rsidP="00983065">
          <w:pPr>
            <w:pStyle w:val="Heading1unnumbered"/>
          </w:pPr>
          <w:r>
            <w:t>Overview</w:t>
          </w:r>
        </w:p>
      </w:sdtContent>
    </w:sdt>
    <w:bookmarkEnd w:id="0" w:displacedByCustomXml="prev"/>
    <w:p w14:paraId="2C9F293E" w14:textId="769CB88D" w:rsidR="00D20DC1" w:rsidRPr="00780E60" w:rsidRDefault="00436BCF" w:rsidP="00F774CB">
      <w:pPr>
        <w:pStyle w:val="Heading2"/>
      </w:pPr>
      <w:bookmarkStart w:id="1" w:name="_Toc211325945"/>
      <w:r>
        <w:t>Summary</w:t>
      </w:r>
      <w:bookmarkEnd w:id="1"/>
    </w:p>
    <w:p w14:paraId="020B7E36" w14:textId="004CBA03" w:rsidR="00546485" w:rsidRDefault="00DF35F6" w:rsidP="00053733">
      <w:pPr>
        <w:numPr>
          <w:ilvl w:val="0"/>
          <w:numId w:val="0"/>
        </w:numPr>
        <w:ind w:left="29"/>
      </w:pPr>
      <w:r>
        <w:t xml:space="preserve">The Australian Human Rights Commission (Commission) welcomes the opportunity to provide a written submission to the Australian Government Treasury (Treasury) on the </w:t>
      </w:r>
      <w:r w:rsidR="004A1CD7">
        <w:t xml:space="preserve">Exposure Draft </w:t>
      </w:r>
      <w:r w:rsidR="00163DC4">
        <w:t xml:space="preserve">of the </w:t>
      </w:r>
      <w:r w:rsidR="00163DC4" w:rsidRPr="006C22C8">
        <w:rPr>
          <w:i/>
          <w:iCs/>
        </w:rPr>
        <w:t>Treasury Laws Amendment Bill 2025: Limiting the use of genetic information by life insurers</w:t>
      </w:r>
      <w:r w:rsidR="00163DC4">
        <w:t xml:space="preserve"> (</w:t>
      </w:r>
      <w:r w:rsidR="00BD4FE2">
        <w:t>the Bill</w:t>
      </w:r>
      <w:r w:rsidR="00163DC4">
        <w:t>).</w:t>
      </w:r>
      <w:r w:rsidR="006A206A">
        <w:t xml:space="preserve"> The Bill will amend the </w:t>
      </w:r>
      <w:r w:rsidR="006A206A">
        <w:rPr>
          <w:i/>
          <w:iCs/>
        </w:rPr>
        <w:t xml:space="preserve">Insurance Contracts Act 1984 </w:t>
      </w:r>
      <w:r w:rsidR="006A206A">
        <w:t>(Cth) (</w:t>
      </w:r>
      <w:r w:rsidR="00A163A8">
        <w:t xml:space="preserve">the Act) to establish a ban on the </w:t>
      </w:r>
      <w:r w:rsidR="00E46E39">
        <w:t>use of genetic information by life insurers.</w:t>
      </w:r>
      <w:r w:rsidR="00163DC4">
        <w:t xml:space="preserve"> </w:t>
      </w:r>
    </w:p>
    <w:p w14:paraId="30E241B1" w14:textId="1F5D2D16" w:rsidR="002477F3" w:rsidRDefault="002477F3" w:rsidP="00053733">
      <w:pPr>
        <w:numPr>
          <w:ilvl w:val="0"/>
          <w:numId w:val="0"/>
        </w:numPr>
        <w:ind w:left="29"/>
      </w:pPr>
      <w:r>
        <w:t xml:space="preserve">The Commission </w:t>
      </w:r>
      <w:r w:rsidR="003B71C5">
        <w:t xml:space="preserve">previously </w:t>
      </w:r>
      <w:r w:rsidR="00D40EB9">
        <w:t>made</w:t>
      </w:r>
      <w:r w:rsidR="003B71C5">
        <w:t xml:space="preserve"> submissions</w:t>
      </w:r>
      <w:r w:rsidR="009D49EC">
        <w:t xml:space="preserve"> to consultations by Treasury on</w:t>
      </w:r>
      <w:r w:rsidR="003B71C5">
        <w:t xml:space="preserve"> the </w:t>
      </w:r>
      <w:r w:rsidR="009D49EC">
        <w:t>ban</w:t>
      </w:r>
      <w:r w:rsidR="00DF235A">
        <w:t>:</w:t>
      </w:r>
    </w:p>
    <w:p w14:paraId="2370B947" w14:textId="01454BE9" w:rsidR="00DF235A" w:rsidRDefault="00324A56" w:rsidP="00DF235A">
      <w:pPr>
        <w:pStyle w:val="Bodylistbullets"/>
      </w:pPr>
      <w:r>
        <w:t>‘</w:t>
      </w:r>
      <w:hyperlink r:id="rId17" w:history="1">
        <w:r w:rsidR="006A0074" w:rsidRPr="00693B77">
          <w:rPr>
            <w:rStyle w:val="Hyperlink"/>
          </w:rPr>
          <w:t>Use of genetic testing results in life insurance underwriting</w:t>
        </w:r>
      </w:hyperlink>
      <w:r>
        <w:t>’</w:t>
      </w:r>
      <w:r w:rsidR="00773F52">
        <w:t xml:space="preserve"> (February 2024 Submission)</w:t>
      </w:r>
    </w:p>
    <w:p w14:paraId="099115F2" w14:textId="2F943A0D" w:rsidR="006A0074" w:rsidRPr="00092246" w:rsidRDefault="00324A56" w:rsidP="00DF235A">
      <w:pPr>
        <w:pStyle w:val="Bodylistbullets"/>
      </w:pPr>
      <w:r w:rsidRPr="00092246">
        <w:t>‘</w:t>
      </w:r>
      <w:r w:rsidR="00893B99" w:rsidRPr="00092246">
        <w:t>Ban on the use of adverse genetic testing results in life insurance</w:t>
      </w:r>
      <w:r w:rsidRPr="00092246">
        <w:t>’</w:t>
      </w:r>
      <w:r w:rsidR="007E1AA6" w:rsidRPr="00092246">
        <w:t xml:space="preserve"> (</w:t>
      </w:r>
      <w:r w:rsidR="004A6989" w:rsidRPr="00092246">
        <w:t xml:space="preserve">March </w:t>
      </w:r>
      <w:r w:rsidR="007E1AA6" w:rsidRPr="00092246">
        <w:t>2025 Submission)</w:t>
      </w:r>
      <w:r w:rsidR="0016284B" w:rsidRPr="00092246">
        <w:t>.</w:t>
      </w:r>
    </w:p>
    <w:p w14:paraId="642F3DB0" w14:textId="16DDFC2F" w:rsidR="004230A6" w:rsidRDefault="004230A6" w:rsidP="00053733">
      <w:pPr>
        <w:numPr>
          <w:ilvl w:val="0"/>
          <w:numId w:val="0"/>
        </w:numPr>
        <w:ind w:left="29"/>
      </w:pPr>
      <w:r>
        <w:t xml:space="preserve">The Commission supports </w:t>
      </w:r>
      <w:r w:rsidR="00020C6D">
        <w:t xml:space="preserve">the ban on the use of </w:t>
      </w:r>
      <w:r w:rsidR="001010D9">
        <w:t>genetic information in life insurance</w:t>
      </w:r>
      <w:r w:rsidR="005524AE">
        <w:t xml:space="preserve"> contracts, including the </w:t>
      </w:r>
      <w:r w:rsidR="00330576">
        <w:t xml:space="preserve">decision to </w:t>
      </w:r>
      <w:proofErr w:type="gramStart"/>
      <w:r w:rsidR="00330576">
        <w:t>enter into</w:t>
      </w:r>
      <w:proofErr w:type="gramEnd"/>
      <w:r w:rsidR="00330576">
        <w:t xml:space="preserve"> a life insurance contract</w:t>
      </w:r>
      <w:r w:rsidR="00D811D8">
        <w:t xml:space="preserve"> and</w:t>
      </w:r>
      <w:r w:rsidR="00330576">
        <w:t xml:space="preserve"> the terms and conditions of the life insurance contra</w:t>
      </w:r>
      <w:r w:rsidR="00D811D8">
        <w:t>ct</w:t>
      </w:r>
      <w:r w:rsidR="00DB1A10">
        <w:t xml:space="preserve">. </w:t>
      </w:r>
    </w:p>
    <w:p w14:paraId="78E917A7" w14:textId="5629800D" w:rsidR="008604CA" w:rsidRDefault="002A0043" w:rsidP="00053733">
      <w:pPr>
        <w:numPr>
          <w:ilvl w:val="0"/>
          <w:numId w:val="0"/>
        </w:numPr>
        <w:ind w:left="29" w:hanging="29"/>
      </w:pPr>
      <w:r>
        <w:t>The Commission is encouraged to see that</w:t>
      </w:r>
      <w:r w:rsidR="00452462">
        <w:t xml:space="preserve"> some of </w:t>
      </w:r>
      <w:r w:rsidR="00EA36BF">
        <w:t xml:space="preserve">its </w:t>
      </w:r>
      <w:r w:rsidR="00452462">
        <w:t xml:space="preserve">recommendations </w:t>
      </w:r>
      <w:r w:rsidR="00883DB8">
        <w:t xml:space="preserve">from previous submissions </w:t>
      </w:r>
      <w:r w:rsidR="00452462">
        <w:t xml:space="preserve">have been </w:t>
      </w:r>
      <w:r w:rsidR="005F6827">
        <w:t xml:space="preserve">accepted and reflected in the Exposure Draft, </w:t>
      </w:r>
      <w:r w:rsidR="00005433">
        <w:t xml:space="preserve">such as </w:t>
      </w:r>
      <w:r w:rsidR="00683D68">
        <w:t xml:space="preserve">the prohibition on the use of protected genetic information </w:t>
      </w:r>
      <w:r w:rsidR="003D45E6">
        <w:t xml:space="preserve">in any way that disadvantages the insured, any life insured or any </w:t>
      </w:r>
      <w:r w:rsidR="0049123E">
        <w:t>third-party</w:t>
      </w:r>
      <w:r w:rsidR="003D45E6">
        <w:t xml:space="preserve"> beneficiary. </w:t>
      </w:r>
    </w:p>
    <w:p w14:paraId="2B7B6AA5" w14:textId="65261D56" w:rsidR="00B2091E" w:rsidRPr="00920590" w:rsidRDefault="00B2091E" w:rsidP="00053733">
      <w:pPr>
        <w:numPr>
          <w:ilvl w:val="0"/>
          <w:numId w:val="0"/>
        </w:numPr>
        <w:ind w:left="29"/>
      </w:pPr>
      <w:r w:rsidRPr="00920590">
        <w:t>The Commission continues to have concerns about disability discrimination in life insurance more broadly</w:t>
      </w:r>
      <w:r w:rsidR="00444057" w:rsidRPr="00920590">
        <w:t xml:space="preserve">, but for the purposes of this submission, </w:t>
      </w:r>
      <w:r w:rsidR="0004246A" w:rsidRPr="00920590">
        <w:t>focuses on the following specific concerns:</w:t>
      </w:r>
    </w:p>
    <w:p w14:paraId="61DF0BEB" w14:textId="29294C62" w:rsidR="004D2668" w:rsidRDefault="004D2668" w:rsidP="003F567D">
      <w:pPr>
        <w:pStyle w:val="Bodylistbullets"/>
      </w:pPr>
      <w:r>
        <w:t>the meaning of protected genetic information</w:t>
      </w:r>
    </w:p>
    <w:p w14:paraId="3FC5F38B" w14:textId="2D52F072" w:rsidR="003F567D" w:rsidRDefault="00D747A6" w:rsidP="003F567D">
      <w:pPr>
        <w:pStyle w:val="Bodylistbullets"/>
      </w:pPr>
      <w:r>
        <w:t>consent is not a defined term, and can be provided by an agent</w:t>
      </w:r>
    </w:p>
    <w:p w14:paraId="3D3FDADD" w14:textId="4E93F4F8" w:rsidR="00324A56" w:rsidRDefault="000C2A9F" w:rsidP="003F567D">
      <w:pPr>
        <w:pStyle w:val="Bodylistbullets"/>
      </w:pPr>
      <w:r>
        <w:t>the commencement and application of the ban</w:t>
      </w:r>
    </w:p>
    <w:p w14:paraId="5A62A081" w14:textId="2C61A5C1" w:rsidR="00324A56" w:rsidRDefault="00326E19" w:rsidP="003F567D">
      <w:pPr>
        <w:pStyle w:val="Bodylistbullets"/>
      </w:pPr>
      <w:r>
        <w:t>the regulation-making power affecting the meaning of key terms</w:t>
      </w:r>
    </w:p>
    <w:p w14:paraId="7B2A95B4" w14:textId="0A93CFA8" w:rsidR="004D0AF8" w:rsidRDefault="004D0AF8" w:rsidP="003F567D">
      <w:pPr>
        <w:pStyle w:val="Bodylistbullets"/>
      </w:pPr>
      <w:r>
        <w:t>periodic review of the operation of the ban</w:t>
      </w:r>
      <w:r w:rsidR="00631C58">
        <w:t>.</w:t>
      </w:r>
    </w:p>
    <w:p w14:paraId="3C5CC711" w14:textId="6B27FBDA" w:rsidR="00324A56" w:rsidRDefault="00775ADA" w:rsidP="00053733">
      <w:pPr>
        <w:numPr>
          <w:ilvl w:val="0"/>
          <w:numId w:val="0"/>
        </w:numPr>
        <w:ind w:left="29"/>
      </w:pPr>
      <w:r>
        <w:t xml:space="preserve">The Commission notes concurrent reform of the </w:t>
      </w:r>
      <w:r w:rsidRPr="006663CB">
        <w:rPr>
          <w:i/>
        </w:rPr>
        <w:t>Disability Discrimination Act</w:t>
      </w:r>
      <w:r w:rsidR="00502B56">
        <w:rPr>
          <w:i/>
          <w:iCs/>
        </w:rPr>
        <w:t xml:space="preserve"> 1992 </w:t>
      </w:r>
      <w:r w:rsidR="00502B56">
        <w:t>(Cth)</w:t>
      </w:r>
      <w:r w:rsidR="0005370A">
        <w:t xml:space="preserve"> (Disability Discrimination Act</w:t>
      </w:r>
      <w:r w:rsidR="00502B56">
        <w:t>)</w:t>
      </w:r>
      <w:r>
        <w:t>,</w:t>
      </w:r>
      <w:r>
        <w:rPr>
          <w:rStyle w:val="EndnoteReference"/>
        </w:rPr>
        <w:endnoteReference w:id="2"/>
      </w:r>
      <w:r>
        <w:t xml:space="preserve"> and the next suite of reforms to the </w:t>
      </w:r>
      <w:r>
        <w:rPr>
          <w:i/>
          <w:iCs/>
        </w:rPr>
        <w:t>Privacy Act 1988</w:t>
      </w:r>
      <w:r>
        <w:t xml:space="preserve"> (Cth) </w:t>
      </w:r>
      <w:r w:rsidR="00CF1E3D">
        <w:t>(Privacy Act)</w:t>
      </w:r>
      <w:r>
        <w:t xml:space="preserve"> will interact with aspects of this ban and life insurance practices. The Australian Government must consider the impact of these reforms across the regulatory environment to ensure a cohesive and consistent legislative framework with clear timelines for implementation.</w:t>
      </w:r>
    </w:p>
    <w:p w14:paraId="48901C52" w14:textId="77777777" w:rsidR="004024FD" w:rsidRDefault="008E6114" w:rsidP="00F774CB">
      <w:pPr>
        <w:pStyle w:val="Heading2"/>
      </w:pPr>
      <w:bookmarkStart w:id="2" w:name="_Toc211325946"/>
      <w:r w:rsidRPr="40FC4559">
        <w:lastRenderedPageBreak/>
        <w:t>Recommendations</w:t>
      </w:r>
      <w:bookmarkEnd w:id="2"/>
    </w:p>
    <w:p w14:paraId="5B9B63A2" w14:textId="5F50514E" w:rsidR="00D77273" w:rsidRPr="00D77273" w:rsidRDefault="00117AAC" w:rsidP="00053733">
      <w:pPr>
        <w:numPr>
          <w:ilvl w:val="0"/>
          <w:numId w:val="0"/>
        </w:numPr>
        <w:spacing w:after="120"/>
        <w:ind w:left="29"/>
      </w:pPr>
      <w:r>
        <w:t xml:space="preserve">The Commission makes the following recommendations: </w:t>
      </w:r>
    </w:p>
    <w:tbl>
      <w:tblPr>
        <w:tblStyle w:val="AHRCtable"/>
        <w:tblW w:w="5000" w:type="pct"/>
        <w:tblLook w:val="04A0" w:firstRow="1" w:lastRow="0" w:firstColumn="1" w:lastColumn="0" w:noHBand="0" w:noVBand="1"/>
      </w:tblPr>
      <w:tblGrid>
        <w:gridCol w:w="9026"/>
      </w:tblGrid>
      <w:tr w:rsidR="007A7B9C" w14:paraId="7E1F6016" w14:textId="77777777" w:rsidTr="007A7B9C">
        <w:trPr>
          <w:cnfStyle w:val="100000000000" w:firstRow="1" w:lastRow="0" w:firstColumn="0" w:lastColumn="0" w:oddVBand="0" w:evenVBand="0" w:oddHBand="0" w:evenHBand="0" w:firstRowFirstColumn="0" w:firstRowLastColumn="0" w:lastRowFirstColumn="0" w:lastRowLastColumn="0"/>
        </w:trPr>
        <w:tc>
          <w:tcPr>
            <w:tcW w:w="5000" w:type="pct"/>
          </w:tcPr>
          <w:p w14:paraId="734A22A1" w14:textId="77777777" w:rsidR="007A7B9C" w:rsidRDefault="007A7B9C" w:rsidP="00D20DC1">
            <w:pPr>
              <w:pStyle w:val="Tableheading"/>
            </w:pPr>
            <w:r>
              <w:t>Recommendation</w:t>
            </w:r>
            <w:r w:rsidR="000737E1">
              <w:t>s</w:t>
            </w:r>
          </w:p>
        </w:tc>
      </w:tr>
      <w:tr w:rsidR="00472643" w14:paraId="2D8AB7BD" w14:textId="77777777" w:rsidTr="007A7B9C">
        <w:tblPrEx>
          <w:tblCellMar>
            <w:top w:w="0" w:type="dxa"/>
          </w:tblCellMar>
        </w:tblPrEx>
        <w:tc>
          <w:tcPr>
            <w:tcW w:w="5000" w:type="pct"/>
          </w:tcPr>
          <w:p w14:paraId="38CE21C2" w14:textId="034155C6" w:rsidR="00AD0EFC" w:rsidRPr="00AD0EFC" w:rsidRDefault="00AD0EFC" w:rsidP="00AD0EFC">
            <w:pPr>
              <w:pStyle w:val="Tablelistnumbers"/>
            </w:pPr>
            <w:r w:rsidRPr="00AD0EFC">
              <w:t>The meaning of ‘protected genetic information’ in s 33F of the Bill should be amended to include ‘inferred genetic information based on information about a person’s ongoing medical care, including risk surveillance activities, prescribed medications, participation in preventative health care (such as clinical trials), or any other indirect method of inferring increased risk or genetic test results.’</w:t>
            </w:r>
          </w:p>
          <w:p w14:paraId="735DB49E" w14:textId="77777777" w:rsidR="00472643" w:rsidRPr="00A76E37" w:rsidRDefault="00A76E37" w:rsidP="00472643">
            <w:pPr>
              <w:pStyle w:val="Tablelistnumbers"/>
            </w:pPr>
            <w:r w:rsidRPr="00A76E37">
              <w:t xml:space="preserve">‘Consent’ should be defined under s 11 of the </w:t>
            </w:r>
            <w:r w:rsidRPr="00A76E37">
              <w:rPr>
                <w:i/>
                <w:iCs/>
              </w:rPr>
              <w:t xml:space="preserve">Insurance Contracts Act 1984 </w:t>
            </w:r>
            <w:r w:rsidRPr="00A76E37">
              <w:t>(Cth)</w:t>
            </w:r>
            <w:r w:rsidRPr="00A76E37">
              <w:rPr>
                <w:i/>
                <w:iCs/>
              </w:rPr>
              <w:t xml:space="preserve"> </w:t>
            </w:r>
            <w:r w:rsidRPr="00A76E37">
              <w:t>in such a way as to ensure express, full, free and informed consent is a requirement.</w:t>
            </w:r>
          </w:p>
          <w:p w14:paraId="15A0B6CA" w14:textId="77777777" w:rsidR="00A76E37" w:rsidRPr="00A76E37" w:rsidRDefault="00A76E37" w:rsidP="00472643">
            <w:pPr>
              <w:pStyle w:val="Tablelistnumbers"/>
            </w:pPr>
            <w:r w:rsidRPr="00A76E37">
              <w:t>Subsections 33H(3)(a) and (c) of the Bill should be amended to remove the ability of an insurance broker to act as an agent of the life insured.</w:t>
            </w:r>
          </w:p>
          <w:p w14:paraId="6D520B03" w14:textId="77777777" w:rsidR="00A76E37" w:rsidRPr="00A76E37" w:rsidRDefault="00A76E37" w:rsidP="00472643">
            <w:pPr>
              <w:pStyle w:val="Tablelistnumbers"/>
            </w:pPr>
            <w:r w:rsidRPr="00A76E37">
              <w:t>The ban on the use of genetic information should apply to existing policies and in-progress applications from the commencement of the ban, so that any existing penalties, loading, exclusions or other adverse underwriting outcomes imposed due to the use of protected genetic information are removed.</w:t>
            </w:r>
          </w:p>
          <w:p w14:paraId="4383649E" w14:textId="77777777" w:rsidR="00A76E37" w:rsidRPr="00A76E37" w:rsidRDefault="00A76E37" w:rsidP="00472643">
            <w:pPr>
              <w:pStyle w:val="Tablelistnumbers"/>
            </w:pPr>
            <w:r w:rsidRPr="00A76E37">
              <w:t>Sections 33</w:t>
            </w:r>
            <w:proofErr w:type="gramStart"/>
            <w:r w:rsidRPr="00A76E37">
              <w:t>E(</w:t>
            </w:r>
            <w:proofErr w:type="gramEnd"/>
            <w:r w:rsidRPr="00A76E37">
              <w:t>2) and 33</w:t>
            </w:r>
            <w:proofErr w:type="gramStart"/>
            <w:r w:rsidRPr="00A76E37">
              <w:t>F(</w:t>
            </w:r>
            <w:proofErr w:type="gramEnd"/>
            <w:r w:rsidRPr="00A76E37">
              <w:t>5) of the Bill should be amended to remove the words ‘</w:t>
            </w:r>
            <w:r w:rsidRPr="00A76E37">
              <w:rPr>
                <w:lang w:eastAsia="en-US"/>
              </w:rPr>
              <w:t>Regulations made for the purposes of this subsection have effect despite anything else in this section’.</w:t>
            </w:r>
          </w:p>
          <w:p w14:paraId="14B637E3" w14:textId="22B7CB94" w:rsidR="00A76E37" w:rsidRDefault="00A76E37" w:rsidP="00472643">
            <w:pPr>
              <w:pStyle w:val="Tablelistnumbers"/>
            </w:pPr>
            <w:r w:rsidRPr="00A76E37">
              <w:t>Section 33J of the Bill should include a requirement that the review of the ban consider the effectiveness of the provisions to eliminate discrimination.</w:t>
            </w:r>
          </w:p>
        </w:tc>
      </w:tr>
    </w:tbl>
    <w:p w14:paraId="3DB790F2" w14:textId="2C19EEA3" w:rsidR="0033613E" w:rsidRDefault="0033613E" w:rsidP="00C4222D">
      <w:pPr>
        <w:numPr>
          <w:ilvl w:val="0"/>
          <w:numId w:val="0"/>
        </w:numPr>
        <w:ind w:left="29" w:hanging="29"/>
      </w:pPr>
    </w:p>
    <w:p w14:paraId="5D95D77D" w14:textId="77777777" w:rsidR="00983065" w:rsidRDefault="00983065" w:rsidP="00C4222D">
      <w:pPr>
        <w:numPr>
          <w:ilvl w:val="0"/>
          <w:numId w:val="0"/>
        </w:numPr>
        <w:ind w:left="29"/>
        <w:sectPr w:rsidR="00983065" w:rsidSect="003D23EE">
          <w:headerReference w:type="default" r:id="rId18"/>
          <w:footerReference w:type="default" r:id="rId19"/>
          <w:footerReference w:type="first" r:id="rId20"/>
          <w:endnotePr>
            <w:numFmt w:val="decimal"/>
          </w:endnotePr>
          <w:pgSz w:w="11906" w:h="16838" w:code="9"/>
          <w:pgMar w:top="1440" w:right="1440" w:bottom="1440" w:left="1440" w:header="720" w:footer="720" w:gutter="0"/>
          <w:cols w:space="720"/>
          <w:docGrid w:linePitch="360"/>
        </w:sectPr>
      </w:pPr>
    </w:p>
    <w:bookmarkStart w:id="3" w:name="_Toc211325947"/>
    <w:p w14:paraId="5878AC5A" w14:textId="66C6E7E5" w:rsidR="00FF3BE7" w:rsidRDefault="00131218" w:rsidP="00FF3BE7">
      <w:pPr>
        <w:pStyle w:val="Heading1"/>
      </w:pPr>
      <w:sdt>
        <w:sdtPr>
          <w:id w:val="-687982485"/>
          <w:placeholder>
            <w:docPart w:val="CDBCCB2783FD4EC0874CF61975A4FD7E"/>
          </w:placeholder>
          <w:dataBinding w:prefixMappings="xmlns:ns0='http://AHRCheadings.htm' " w:xpath="/ns0:headings[1]/ns0:Topic1[1]" w:storeItemID="{59E40458-85DB-4B58-AD7F-ED1E21A92441}"/>
          <w:text/>
        </w:sdtPr>
        <w:sdtEndPr/>
        <w:sdtContent>
          <w:r w:rsidR="00843F20">
            <w:t>Specific concerns about</w:t>
          </w:r>
          <w:r w:rsidR="00021065">
            <w:t xml:space="preserve"> the Exposure Draft</w:t>
          </w:r>
        </w:sdtContent>
      </w:sdt>
      <w:bookmarkEnd w:id="3"/>
    </w:p>
    <w:p w14:paraId="2878DFA6" w14:textId="4A769394" w:rsidR="00176BE5" w:rsidRDefault="00646F55" w:rsidP="00EF1B48">
      <w:pPr>
        <w:pStyle w:val="Sectionsummarybody"/>
      </w:pPr>
      <w:r>
        <w:t xml:space="preserve">This section describes </w:t>
      </w:r>
      <w:r w:rsidR="00E31620">
        <w:t>the Commission’s concerns</w:t>
      </w:r>
      <w:r w:rsidR="00BB2C42">
        <w:t xml:space="preserve"> about specific provisions in the Exposure Draft. </w:t>
      </w:r>
      <w:r w:rsidR="00C23C17">
        <w:t>It sets out the Commissions concerns regarding the following:</w:t>
      </w:r>
    </w:p>
    <w:p w14:paraId="7A949CDE" w14:textId="5DA19773" w:rsidR="00C23C17" w:rsidRDefault="00C23C17" w:rsidP="00B4524D">
      <w:pPr>
        <w:pStyle w:val="Sectionsummarylistbullets"/>
      </w:pPr>
      <w:r>
        <w:t>the meaning of protected genetic information</w:t>
      </w:r>
      <w:r w:rsidR="00667A0A">
        <w:t xml:space="preserve"> does not </w:t>
      </w:r>
      <w:r w:rsidR="00BF3918">
        <w:t>include inferred</w:t>
      </w:r>
      <w:r w:rsidR="00E20F75">
        <w:t xml:space="preserve"> genetic information</w:t>
      </w:r>
    </w:p>
    <w:p w14:paraId="3252F559" w14:textId="19D6A988" w:rsidR="00C23C17" w:rsidRDefault="00C23C17" w:rsidP="00B4524D">
      <w:pPr>
        <w:pStyle w:val="Sectionsummarylistbullets"/>
      </w:pPr>
      <w:r>
        <w:t>consent is not a defined term, and can be provided by an agent</w:t>
      </w:r>
      <w:r w:rsidR="00E20F75">
        <w:t xml:space="preserve"> such as an insurance broker</w:t>
      </w:r>
    </w:p>
    <w:p w14:paraId="339B252F" w14:textId="1C211B10" w:rsidR="00C23C17" w:rsidRDefault="0078167D" w:rsidP="00B4524D">
      <w:pPr>
        <w:pStyle w:val="Sectionsummarylistbullets"/>
      </w:pPr>
      <w:r>
        <w:t>the</w:t>
      </w:r>
      <w:r w:rsidR="000C2A9F">
        <w:t xml:space="preserve"> application of the ban</w:t>
      </w:r>
      <w:r w:rsidR="00EE482C">
        <w:t xml:space="preserve"> does not include </w:t>
      </w:r>
      <w:r w:rsidR="00353DF0">
        <w:t>life insurance contracts</w:t>
      </w:r>
      <w:r w:rsidR="00AE3D5A">
        <w:t xml:space="preserve"> that exist prior to </w:t>
      </w:r>
      <w:r w:rsidR="00192B7D">
        <w:t xml:space="preserve">the </w:t>
      </w:r>
      <w:r w:rsidR="00AE3D5A">
        <w:t>commencement</w:t>
      </w:r>
      <w:r w:rsidR="00192B7D">
        <w:t xml:space="preserve"> date</w:t>
      </w:r>
    </w:p>
    <w:p w14:paraId="59039C6B" w14:textId="5A7EE1CF" w:rsidR="00C23C17" w:rsidRDefault="00C23C17" w:rsidP="00B4524D">
      <w:pPr>
        <w:pStyle w:val="Sectionsummarylistbullets"/>
      </w:pPr>
      <w:r>
        <w:t xml:space="preserve">the regulation-making power </w:t>
      </w:r>
      <w:r w:rsidR="0050443C">
        <w:t xml:space="preserve">can affect </w:t>
      </w:r>
      <w:r>
        <w:t>the meaning of key terms</w:t>
      </w:r>
    </w:p>
    <w:p w14:paraId="562BC07F" w14:textId="3E19DDB3" w:rsidR="004D0AF8" w:rsidRDefault="004D0AF8" w:rsidP="00B4524D">
      <w:pPr>
        <w:pStyle w:val="Sectionsummarylistbullets"/>
      </w:pPr>
      <w:r>
        <w:t>periodic review of the operation of the ban</w:t>
      </w:r>
      <w:r w:rsidR="0050443C">
        <w:t xml:space="preserve"> </w:t>
      </w:r>
      <w:r w:rsidR="00CB23ED">
        <w:t>criteria</w:t>
      </w:r>
      <w:r>
        <w:t>.</w:t>
      </w:r>
    </w:p>
    <w:p w14:paraId="6951AC8B" w14:textId="6DF90D3A" w:rsidR="00655C57" w:rsidRPr="0058707A" w:rsidRDefault="00B545CD" w:rsidP="0058707A">
      <w:pPr>
        <w:pStyle w:val="Heading2"/>
      </w:pPr>
      <w:bookmarkStart w:id="4" w:name="_Toc211325948"/>
      <w:r>
        <w:t>The meaning of protected genetic information</w:t>
      </w:r>
      <w:bookmarkEnd w:id="4"/>
    </w:p>
    <w:p w14:paraId="10054B26" w14:textId="4D10CDFA" w:rsidR="00127A86" w:rsidRDefault="00127A86" w:rsidP="00053733">
      <w:pPr>
        <w:numPr>
          <w:ilvl w:val="0"/>
          <w:numId w:val="0"/>
        </w:numPr>
        <w:ind w:left="29"/>
      </w:pPr>
      <w:r>
        <w:t>The</w:t>
      </w:r>
      <w:r w:rsidR="00196D3B">
        <w:t xml:space="preserve"> </w:t>
      </w:r>
      <w:r w:rsidR="003C2343">
        <w:t xml:space="preserve">Exposure Draft defines </w:t>
      </w:r>
      <w:r w:rsidR="00857EA0">
        <w:t>‘</w:t>
      </w:r>
      <w:r w:rsidR="003C2343">
        <w:t>protected genetic information</w:t>
      </w:r>
      <w:r w:rsidR="00857EA0">
        <w:t>’</w:t>
      </w:r>
      <w:r w:rsidR="003C2343">
        <w:t xml:space="preserve"> </w:t>
      </w:r>
      <w:r w:rsidR="00FD7C52">
        <w:t>to include information regarding genetic testing (including whether a person has undergone, intends to undergo or has been recommended genetic testing)</w:t>
      </w:r>
      <w:r w:rsidR="00D269D4">
        <w:t>, or information about genetic testing</w:t>
      </w:r>
      <w:r w:rsidR="00683928">
        <w:t xml:space="preserve"> carried out</w:t>
      </w:r>
      <w:r w:rsidR="00D269D4">
        <w:t xml:space="preserve"> and the results. </w:t>
      </w:r>
      <w:r w:rsidR="00DA45F2">
        <w:t>The Exposure Draft excludes from ‘protected genetic information’ a clinical</w:t>
      </w:r>
      <w:r w:rsidR="001B5779">
        <w:t>ly</w:t>
      </w:r>
      <w:r w:rsidR="00DA45F2">
        <w:t xml:space="preserve"> diagnos</w:t>
      </w:r>
      <w:r w:rsidR="001B5779">
        <w:t>ed disease</w:t>
      </w:r>
      <w:r w:rsidR="00147772">
        <w:t xml:space="preserve"> and information about the characteristics, natural history or prognosis of the </w:t>
      </w:r>
      <w:r w:rsidR="001B5779">
        <w:t>clinically diagnosed disease</w:t>
      </w:r>
      <w:r w:rsidR="00147772">
        <w:t xml:space="preserve">. </w:t>
      </w:r>
    </w:p>
    <w:p w14:paraId="0637B7E5" w14:textId="77777777" w:rsidR="001B1613" w:rsidRDefault="001B1613" w:rsidP="00053733">
      <w:pPr>
        <w:numPr>
          <w:ilvl w:val="0"/>
          <w:numId w:val="0"/>
        </w:numPr>
        <w:ind w:left="29"/>
      </w:pPr>
      <w:r>
        <w:t>In its March 2025 Submission, the Commission recommended that insurers are prohibited from making adverse inferences based on a person’s ongoing medical care information, including risk surveillance activities, prescribed medications, participation in preventative health care (such as clinical trials), or any other indirect method of inferring increased risk or genetic test results.</w:t>
      </w:r>
      <w:r>
        <w:rPr>
          <w:rStyle w:val="EndnoteReference"/>
        </w:rPr>
        <w:endnoteReference w:id="3"/>
      </w:r>
    </w:p>
    <w:p w14:paraId="279A3875" w14:textId="46777FA5" w:rsidR="00147772" w:rsidRDefault="00AA2B83" w:rsidP="00053733">
      <w:pPr>
        <w:numPr>
          <w:ilvl w:val="0"/>
          <w:numId w:val="0"/>
        </w:numPr>
        <w:ind w:left="29"/>
      </w:pPr>
      <w:r>
        <w:t xml:space="preserve">It is </w:t>
      </w:r>
      <w:r w:rsidR="00EB0BB9">
        <w:t>essential</w:t>
      </w:r>
      <w:r>
        <w:t xml:space="preserve"> that insurers are prevented from </w:t>
      </w:r>
      <w:r w:rsidR="008864F8">
        <w:t xml:space="preserve">sidestepping the ban on the use of genetic information through inferring genetic status based on a person’s </w:t>
      </w:r>
      <w:r w:rsidR="00AE26B0">
        <w:t xml:space="preserve">medical care. The legislation should therefore explicitly include </w:t>
      </w:r>
      <w:r w:rsidR="00857EA0">
        <w:t xml:space="preserve">such medical care information </w:t>
      </w:r>
      <w:r w:rsidR="00EB0BB9">
        <w:t>with</w:t>
      </w:r>
      <w:r w:rsidR="00857EA0">
        <w:t xml:space="preserve">in the definition of ‘protected genetic information’. </w:t>
      </w:r>
      <w:r w:rsidR="008348AC">
        <w:t xml:space="preserve">This aligns with the recommendations made by the A-GLIMMER </w:t>
      </w:r>
      <w:r w:rsidR="00427BC7">
        <w:t>report</w:t>
      </w:r>
      <w:r w:rsidR="008348AC">
        <w:t>.</w:t>
      </w:r>
      <w:r w:rsidR="008348AC">
        <w:rPr>
          <w:rStyle w:val="EndnoteReference"/>
        </w:rPr>
        <w:endnoteReference w:id="4"/>
      </w:r>
    </w:p>
    <w:p w14:paraId="51187F3F" w14:textId="4743C3F8" w:rsidR="00073EEB" w:rsidRDefault="00073EEB" w:rsidP="00053733">
      <w:pPr>
        <w:numPr>
          <w:ilvl w:val="0"/>
          <w:numId w:val="0"/>
        </w:numPr>
        <w:ind w:left="29"/>
      </w:pPr>
      <w:r>
        <w:rPr>
          <w:b/>
          <w:bCs/>
        </w:rPr>
        <w:t xml:space="preserve">Recommendation 1: </w:t>
      </w:r>
      <w:r w:rsidR="009D104E">
        <w:rPr>
          <w:b/>
          <w:bCs/>
        </w:rPr>
        <w:t>T</w:t>
      </w:r>
      <w:r>
        <w:rPr>
          <w:b/>
          <w:bCs/>
        </w:rPr>
        <w:t>he meaning of ‘protected genetic information’ in s</w:t>
      </w:r>
      <w:r w:rsidR="00584978">
        <w:rPr>
          <w:b/>
          <w:bCs/>
        </w:rPr>
        <w:t> </w:t>
      </w:r>
      <w:r w:rsidR="006C6CCB">
        <w:rPr>
          <w:b/>
          <w:bCs/>
        </w:rPr>
        <w:t>33F</w:t>
      </w:r>
      <w:r w:rsidR="00584978">
        <w:rPr>
          <w:b/>
          <w:bCs/>
        </w:rPr>
        <w:t xml:space="preserve"> </w:t>
      </w:r>
      <w:r w:rsidR="009D104E">
        <w:rPr>
          <w:b/>
          <w:bCs/>
        </w:rPr>
        <w:t>of the Bill should</w:t>
      </w:r>
      <w:r w:rsidR="006C6CCB">
        <w:rPr>
          <w:b/>
          <w:bCs/>
        </w:rPr>
        <w:t xml:space="preserve"> be amended to include</w:t>
      </w:r>
      <w:r w:rsidR="005474A0">
        <w:rPr>
          <w:b/>
          <w:bCs/>
        </w:rPr>
        <w:t xml:space="preserve"> </w:t>
      </w:r>
      <w:r w:rsidR="009D104E">
        <w:rPr>
          <w:b/>
          <w:bCs/>
        </w:rPr>
        <w:t>‘</w:t>
      </w:r>
      <w:r w:rsidR="005474A0">
        <w:rPr>
          <w:b/>
          <w:bCs/>
        </w:rPr>
        <w:t xml:space="preserve">inferred genetic information based on information about a person’s ongoing medical care, including </w:t>
      </w:r>
      <w:r w:rsidR="005474A0" w:rsidRPr="005474A0">
        <w:rPr>
          <w:b/>
          <w:bCs/>
        </w:rPr>
        <w:t>risk surveillance activities, prescribed medications, participation in preventative health care (such as clinical trials), or any other indirect method of inferring increased risk or genetic test results</w:t>
      </w:r>
      <w:r w:rsidR="005474A0">
        <w:rPr>
          <w:b/>
          <w:bCs/>
        </w:rPr>
        <w:t>.</w:t>
      </w:r>
      <w:r w:rsidR="009D104E">
        <w:rPr>
          <w:b/>
          <w:bCs/>
        </w:rPr>
        <w:t>’</w:t>
      </w:r>
    </w:p>
    <w:p w14:paraId="3373D06C" w14:textId="661E7A7F" w:rsidR="004A3819" w:rsidRDefault="00B15E14" w:rsidP="00B15E14">
      <w:pPr>
        <w:pStyle w:val="Heading2"/>
      </w:pPr>
      <w:bookmarkStart w:id="5" w:name="_Toc211325949"/>
      <w:r>
        <w:lastRenderedPageBreak/>
        <w:t>Consent is not defined, and can be provided by an agent</w:t>
      </w:r>
      <w:bookmarkEnd w:id="5"/>
    </w:p>
    <w:p w14:paraId="43FDE87C" w14:textId="2FACBF74" w:rsidR="00C04E15" w:rsidRDefault="00542C04" w:rsidP="00053733">
      <w:pPr>
        <w:numPr>
          <w:ilvl w:val="0"/>
          <w:numId w:val="0"/>
        </w:numPr>
        <w:ind w:left="29"/>
      </w:pPr>
      <w:r>
        <w:t xml:space="preserve">The </w:t>
      </w:r>
      <w:r w:rsidR="00D33507">
        <w:t>E</w:t>
      </w:r>
      <w:r>
        <w:t xml:space="preserve">xposure </w:t>
      </w:r>
      <w:r w:rsidR="00D33507">
        <w:t>D</w:t>
      </w:r>
      <w:r>
        <w:t xml:space="preserve">raft </w:t>
      </w:r>
      <w:r w:rsidR="003C5709">
        <w:t xml:space="preserve">provides </w:t>
      </w:r>
      <w:r w:rsidR="00AC1425">
        <w:t>an exception to</w:t>
      </w:r>
      <w:r w:rsidR="003C5709">
        <w:t xml:space="preserve"> the strict liability offence and civil penalty </w:t>
      </w:r>
      <w:r w:rsidR="00AC1425">
        <w:t>set out in ss 33</w:t>
      </w:r>
      <w:proofErr w:type="gramStart"/>
      <w:r w:rsidR="00AC1425">
        <w:t>H(</w:t>
      </w:r>
      <w:proofErr w:type="gramEnd"/>
      <w:r w:rsidR="00AC1425">
        <w:t>1) and (2)</w:t>
      </w:r>
      <w:r w:rsidR="00F67295">
        <w:t>, in circumstances where the</w:t>
      </w:r>
      <w:r w:rsidR="00D26C63">
        <w:t xml:space="preserve"> protected genetic information </w:t>
      </w:r>
      <w:r w:rsidR="002C5F20">
        <w:t>is</w:t>
      </w:r>
      <w:r w:rsidR="00D26C63">
        <w:t xml:space="preserve"> provided with written consent.</w:t>
      </w:r>
      <w:r w:rsidR="00791E46">
        <w:t xml:space="preserve"> Several conditions must be met </w:t>
      </w:r>
      <w:r w:rsidR="002C5F20">
        <w:t>for</w:t>
      </w:r>
      <w:r w:rsidR="00D969F0">
        <w:t xml:space="preserve"> this exception to apply. The Commission particularly welcomes the requirement that the use of the protected genetic information </w:t>
      </w:r>
      <w:r w:rsidR="002C41D3">
        <w:t>can</w:t>
      </w:r>
      <w:r w:rsidR="00D969F0">
        <w:t>not disadvantage the insured</w:t>
      </w:r>
      <w:r w:rsidR="002615E9">
        <w:t>.</w:t>
      </w:r>
    </w:p>
    <w:p w14:paraId="4231C1A4" w14:textId="2532F7B1" w:rsidR="002615E9" w:rsidRDefault="002A452A" w:rsidP="00053733">
      <w:pPr>
        <w:numPr>
          <w:ilvl w:val="0"/>
          <w:numId w:val="0"/>
        </w:numPr>
        <w:ind w:left="29"/>
      </w:pPr>
      <w:r>
        <w:t>The Commission has concerns, however, ab</w:t>
      </w:r>
      <w:r w:rsidR="00840593">
        <w:t>out the following:</w:t>
      </w:r>
    </w:p>
    <w:p w14:paraId="6E836B4F" w14:textId="34F596A5" w:rsidR="00840593" w:rsidRDefault="002C5F20" w:rsidP="00840593">
      <w:pPr>
        <w:pStyle w:val="Bodylistbullets"/>
      </w:pPr>
      <w:r>
        <w:t>c</w:t>
      </w:r>
      <w:r w:rsidR="00662F7F">
        <w:t xml:space="preserve">onsent is not a defined term in the </w:t>
      </w:r>
      <w:r w:rsidR="00651FFF">
        <w:t>E</w:t>
      </w:r>
      <w:r w:rsidR="00662F7F">
        <w:t xml:space="preserve">xposure </w:t>
      </w:r>
      <w:r w:rsidR="00651FFF">
        <w:t>D</w:t>
      </w:r>
      <w:r w:rsidR="00662F7F">
        <w:t>raft</w:t>
      </w:r>
    </w:p>
    <w:p w14:paraId="7AEA04DA" w14:textId="46524357" w:rsidR="00662F7F" w:rsidRDefault="00E07599" w:rsidP="00840593">
      <w:pPr>
        <w:pStyle w:val="Bodylistbullets"/>
      </w:pPr>
      <w:r>
        <w:t>c</w:t>
      </w:r>
      <w:r w:rsidR="00B72889">
        <w:t xml:space="preserve">onsent can be provided by an agent of the life insured acting on behalf of the life insured. </w:t>
      </w:r>
    </w:p>
    <w:p w14:paraId="5E4DA664" w14:textId="321143C6" w:rsidR="00134A7D" w:rsidRDefault="0015541B" w:rsidP="00053733">
      <w:pPr>
        <w:numPr>
          <w:ilvl w:val="0"/>
          <w:numId w:val="0"/>
        </w:numPr>
        <w:ind w:left="29"/>
      </w:pPr>
      <w:r>
        <w:t>Defining</w:t>
      </w:r>
      <w:r w:rsidR="00EE3014">
        <w:t xml:space="preserve"> ‘consent’ </w:t>
      </w:r>
      <w:r w:rsidR="00612264">
        <w:t xml:space="preserve">under s 11 of </w:t>
      </w:r>
      <w:r w:rsidR="00612264" w:rsidRPr="002D258B">
        <w:t xml:space="preserve">the Act </w:t>
      </w:r>
      <w:r w:rsidRPr="002D258B">
        <w:t>is</w:t>
      </w:r>
      <w:r>
        <w:t xml:space="preserve"> essential </w:t>
      </w:r>
      <w:r w:rsidR="00612264">
        <w:t xml:space="preserve">to ensure </w:t>
      </w:r>
      <w:r>
        <w:t xml:space="preserve">the requirement for </w:t>
      </w:r>
      <w:r w:rsidR="00EA7A2C">
        <w:t>express, full, free and informed consent</w:t>
      </w:r>
      <w:r w:rsidR="00861BDB">
        <w:t xml:space="preserve">. </w:t>
      </w:r>
      <w:r w:rsidR="003F41E2">
        <w:t xml:space="preserve">The Commission acknowledges that the </w:t>
      </w:r>
      <w:r w:rsidR="00EA044D">
        <w:t>exposure draft requires written consent</w:t>
      </w:r>
      <w:r w:rsidR="0005676E">
        <w:t xml:space="preserve">. However, </w:t>
      </w:r>
      <w:r w:rsidR="008A4EDF">
        <w:t xml:space="preserve">a defined term will </w:t>
      </w:r>
      <w:r w:rsidR="00134A7D">
        <w:t>ensure clarity</w:t>
      </w:r>
      <w:r w:rsidR="008936E4">
        <w:t xml:space="preserve"> and provide a safeguard</w:t>
      </w:r>
      <w:r w:rsidR="0005676E">
        <w:t xml:space="preserve"> </w:t>
      </w:r>
      <w:r w:rsidR="004050CC">
        <w:t xml:space="preserve">for those whose genetic information is being shared. </w:t>
      </w:r>
    </w:p>
    <w:p w14:paraId="0BF61225" w14:textId="4F9CAB21" w:rsidR="00C04E15" w:rsidRDefault="004B4074" w:rsidP="00053733">
      <w:pPr>
        <w:numPr>
          <w:ilvl w:val="0"/>
          <w:numId w:val="0"/>
        </w:numPr>
        <w:ind w:left="29"/>
      </w:pPr>
      <w:r>
        <w:t xml:space="preserve">When a word is not defined in legislation, </w:t>
      </w:r>
      <w:r w:rsidR="00584E71">
        <w:t xml:space="preserve">it </w:t>
      </w:r>
      <w:r w:rsidR="004050CC">
        <w:t>is</w:t>
      </w:r>
      <w:r w:rsidR="00584E71">
        <w:t xml:space="preserve"> taken </w:t>
      </w:r>
      <w:r w:rsidR="004050CC">
        <w:t>to have</w:t>
      </w:r>
      <w:r w:rsidR="00584E71">
        <w:t xml:space="preserve"> its ordinary meaning. </w:t>
      </w:r>
      <w:r w:rsidR="00813919">
        <w:t xml:space="preserve">Consent can </w:t>
      </w:r>
      <w:r w:rsidR="00C618C9">
        <w:t xml:space="preserve">in many contexts be express or implied. For </w:t>
      </w:r>
      <w:r w:rsidR="004050CC">
        <w:t>example,</w:t>
      </w:r>
      <w:r w:rsidR="00C618C9">
        <w:t xml:space="preserve"> in the </w:t>
      </w:r>
      <w:r w:rsidR="00C618C9" w:rsidRPr="00CF1E3D">
        <w:t>Privacy Act</w:t>
      </w:r>
      <w:r w:rsidR="00C618C9">
        <w:t xml:space="preserve">, </w:t>
      </w:r>
      <w:r w:rsidR="00AD27C4">
        <w:t xml:space="preserve">consent </w:t>
      </w:r>
      <w:r w:rsidR="00513A66">
        <w:t>means</w:t>
      </w:r>
      <w:r w:rsidR="0085510B">
        <w:t xml:space="preserve"> express or implied consent.</w:t>
      </w:r>
      <w:r w:rsidR="00F417A0">
        <w:rPr>
          <w:rStyle w:val="EndnoteReference"/>
        </w:rPr>
        <w:endnoteReference w:id="5"/>
      </w:r>
      <w:r w:rsidR="0085510B">
        <w:t xml:space="preserve"> </w:t>
      </w:r>
      <w:r w:rsidR="000C4E9B">
        <w:t>Given the sensitivity of genetic information,</w:t>
      </w:r>
      <w:r w:rsidR="00C90B05">
        <w:t xml:space="preserve"> protecting the privacy of individuals </w:t>
      </w:r>
      <w:r w:rsidR="00F93915">
        <w:t xml:space="preserve">should be a priority. </w:t>
      </w:r>
      <w:r w:rsidR="00A00A9D">
        <w:t xml:space="preserve">A </w:t>
      </w:r>
      <w:r w:rsidR="00F93915">
        <w:t>high bar required for consent</w:t>
      </w:r>
      <w:r w:rsidR="00513FEF">
        <w:t xml:space="preserve"> as defined</w:t>
      </w:r>
      <w:r w:rsidR="00F93915">
        <w:t xml:space="preserve"> will also </w:t>
      </w:r>
      <w:r w:rsidR="008A4EDF">
        <w:t>uphold universal standards of legal capacity.</w:t>
      </w:r>
    </w:p>
    <w:p w14:paraId="2DAEFBD1" w14:textId="7EFDF713" w:rsidR="009C70FC" w:rsidRDefault="009C70FC" w:rsidP="00053733">
      <w:pPr>
        <w:numPr>
          <w:ilvl w:val="0"/>
          <w:numId w:val="0"/>
        </w:numPr>
        <w:ind w:left="29"/>
      </w:pPr>
      <w:r>
        <w:rPr>
          <w:b/>
          <w:bCs/>
        </w:rPr>
        <w:t xml:space="preserve">Recommendation </w:t>
      </w:r>
      <w:r w:rsidR="0017206C">
        <w:rPr>
          <w:b/>
          <w:bCs/>
        </w:rPr>
        <w:t>2</w:t>
      </w:r>
      <w:r>
        <w:rPr>
          <w:b/>
          <w:bCs/>
        </w:rPr>
        <w:t xml:space="preserve">: </w:t>
      </w:r>
      <w:r w:rsidR="006C5000">
        <w:rPr>
          <w:b/>
          <w:bCs/>
        </w:rPr>
        <w:t xml:space="preserve">‘Consent’ </w:t>
      </w:r>
      <w:r w:rsidR="00A00A9D">
        <w:rPr>
          <w:b/>
          <w:bCs/>
        </w:rPr>
        <w:t xml:space="preserve">should </w:t>
      </w:r>
      <w:r w:rsidR="005B4824">
        <w:rPr>
          <w:b/>
          <w:bCs/>
        </w:rPr>
        <w:t xml:space="preserve">be defined under s </w:t>
      </w:r>
      <w:r w:rsidR="005B4824" w:rsidRPr="006C22C8">
        <w:rPr>
          <w:b/>
          <w:bCs/>
        </w:rPr>
        <w:t xml:space="preserve">11 of the </w:t>
      </w:r>
      <w:r w:rsidR="006C22C8" w:rsidRPr="006C22C8">
        <w:rPr>
          <w:b/>
          <w:bCs/>
          <w:i/>
          <w:iCs/>
        </w:rPr>
        <w:t xml:space="preserve">Insurance Contracts Act 1984 </w:t>
      </w:r>
      <w:r w:rsidR="006C22C8" w:rsidRPr="006C22C8">
        <w:rPr>
          <w:b/>
          <w:bCs/>
        </w:rPr>
        <w:t>(Cth)</w:t>
      </w:r>
      <w:r w:rsidR="006C22C8" w:rsidRPr="006C22C8">
        <w:rPr>
          <w:b/>
          <w:bCs/>
          <w:i/>
          <w:iCs/>
        </w:rPr>
        <w:t xml:space="preserve"> </w:t>
      </w:r>
      <w:r w:rsidR="005B4824" w:rsidRPr="006C22C8">
        <w:rPr>
          <w:b/>
          <w:bCs/>
        </w:rPr>
        <w:t>in such a way as to ensure express, full</w:t>
      </w:r>
      <w:r w:rsidR="005B4824">
        <w:rPr>
          <w:b/>
          <w:bCs/>
        </w:rPr>
        <w:t xml:space="preserve">, free and informed consent is </w:t>
      </w:r>
      <w:r w:rsidR="00513FEF">
        <w:rPr>
          <w:b/>
          <w:bCs/>
        </w:rPr>
        <w:t>a requirement</w:t>
      </w:r>
      <w:r w:rsidR="005B4824">
        <w:rPr>
          <w:b/>
          <w:bCs/>
        </w:rPr>
        <w:t>.</w:t>
      </w:r>
    </w:p>
    <w:p w14:paraId="27FEF57C" w14:textId="6AF630D2" w:rsidR="00A05C6F" w:rsidRDefault="00621D96" w:rsidP="00053733">
      <w:pPr>
        <w:numPr>
          <w:ilvl w:val="0"/>
          <w:numId w:val="0"/>
        </w:numPr>
        <w:ind w:left="29"/>
      </w:pPr>
      <w:r>
        <w:t xml:space="preserve">The Commission is concerned </w:t>
      </w:r>
      <w:r w:rsidR="00A726F7">
        <w:t>that consent can be provided</w:t>
      </w:r>
      <w:r w:rsidR="00D07EB1">
        <w:t xml:space="preserve"> to an insurer</w:t>
      </w:r>
      <w:r w:rsidR="00A726F7">
        <w:t xml:space="preserve"> by an agent</w:t>
      </w:r>
      <w:r w:rsidR="005904AD">
        <w:t xml:space="preserve">, </w:t>
      </w:r>
      <w:r w:rsidR="008A65B2">
        <w:t xml:space="preserve">particularly </w:t>
      </w:r>
      <w:r w:rsidR="00D33507">
        <w:t>an insurance broker</w:t>
      </w:r>
      <w:r w:rsidR="00035665">
        <w:t>,</w:t>
      </w:r>
      <w:r w:rsidR="007B4FD3">
        <w:t xml:space="preserve"> </w:t>
      </w:r>
      <w:r w:rsidR="00035665">
        <w:t>and questions whether</w:t>
      </w:r>
      <w:r w:rsidR="00207E50">
        <w:t xml:space="preserve"> it is appropriate that</w:t>
      </w:r>
      <w:r w:rsidR="00035665">
        <w:t xml:space="preserve"> </w:t>
      </w:r>
      <w:r w:rsidR="00207E50">
        <w:t xml:space="preserve">a third-party agent can provide written consent. </w:t>
      </w:r>
      <w:r w:rsidR="004F36E7">
        <w:t xml:space="preserve">According to the </w:t>
      </w:r>
      <w:r w:rsidR="00262ECC">
        <w:t>Exposure Draft Explanatory Materials (EM)</w:t>
      </w:r>
      <w:r w:rsidR="004F36E7">
        <w:t xml:space="preserve">, </w:t>
      </w:r>
      <w:r w:rsidR="00A01111">
        <w:t xml:space="preserve">an agent </w:t>
      </w:r>
      <w:r w:rsidR="0003643B">
        <w:t>may be a</w:t>
      </w:r>
      <w:r w:rsidR="00A01111">
        <w:t xml:space="preserve"> parent, guardian, power of attorney or an insurance broker</w:t>
      </w:r>
      <w:r w:rsidR="00245B68">
        <w:t>.</w:t>
      </w:r>
      <w:r w:rsidR="00A01111">
        <w:rPr>
          <w:rStyle w:val="EndnoteReference"/>
        </w:rPr>
        <w:endnoteReference w:id="6"/>
      </w:r>
    </w:p>
    <w:p w14:paraId="66172197" w14:textId="6F44457D" w:rsidR="001E6207" w:rsidRDefault="001E6207" w:rsidP="00053733">
      <w:pPr>
        <w:numPr>
          <w:ilvl w:val="0"/>
          <w:numId w:val="0"/>
        </w:numPr>
        <w:ind w:left="29"/>
      </w:pPr>
      <w:r>
        <w:t>Legislation that authorises personal information to be released</w:t>
      </w:r>
      <w:r w:rsidR="00651FFF">
        <w:t xml:space="preserve"> or consented</w:t>
      </w:r>
      <w:r>
        <w:t xml:space="preserve"> to by a third-party </w:t>
      </w:r>
      <w:r w:rsidR="000848C4">
        <w:t>can diminish</w:t>
      </w:r>
      <w:r>
        <w:t xml:space="preserve"> rights to legal capacity and </w:t>
      </w:r>
      <w:r w:rsidR="00651FFF">
        <w:t>privacy and</w:t>
      </w:r>
      <w:r>
        <w:t xml:space="preserve"> can create or promote conflicts of interest in insurance practices. The universal standard of legal capacity recognises that all people inherently possess legal capacity </w:t>
      </w:r>
      <w:r w:rsidR="00575DB4">
        <w:t xml:space="preserve">that </w:t>
      </w:r>
      <w:r>
        <w:t>must be upheld on an equal basis.</w:t>
      </w:r>
      <w:r>
        <w:rPr>
          <w:rStyle w:val="EndnoteReference"/>
        </w:rPr>
        <w:endnoteReference w:id="7"/>
      </w:r>
      <w:r>
        <w:t xml:space="preserve"> This includes the ability for a person to make decisions on behalf of themselves and to have those decisions legally recognised. Article 12 of the </w:t>
      </w:r>
      <w:r w:rsidR="00DA1F73">
        <w:t xml:space="preserve">United Nations </w:t>
      </w:r>
      <w:r w:rsidR="00DA1F73" w:rsidRPr="00406C7F">
        <w:rPr>
          <w:i/>
        </w:rPr>
        <w:t>Convention on the Rights of Persons with Disabilities</w:t>
      </w:r>
      <w:r w:rsidR="00DA1F73">
        <w:t xml:space="preserve"> </w:t>
      </w:r>
      <w:r>
        <w:t xml:space="preserve">guarantees this right for people with disability, including support </w:t>
      </w:r>
      <w:r>
        <w:lastRenderedPageBreak/>
        <w:t>for decision-making, as opposed to substitute decision-making, and safeguards to prevent abuse.</w:t>
      </w:r>
      <w:r>
        <w:rPr>
          <w:rStyle w:val="EndnoteReference"/>
        </w:rPr>
        <w:endnoteReference w:id="8"/>
      </w:r>
      <w:r>
        <w:t xml:space="preserve"> </w:t>
      </w:r>
    </w:p>
    <w:p w14:paraId="3D127851" w14:textId="5866E36F" w:rsidR="008F675D" w:rsidRDefault="004F58D0" w:rsidP="00053733">
      <w:pPr>
        <w:numPr>
          <w:ilvl w:val="0"/>
          <w:numId w:val="0"/>
        </w:numPr>
        <w:ind w:left="29"/>
      </w:pPr>
      <w:r>
        <w:t>Guardians are typically appointed through a State or Territory tribunal body and are bound to act in accordance with duties set out in legislation.</w:t>
      </w:r>
      <w:r>
        <w:rPr>
          <w:rStyle w:val="EndnoteReference"/>
        </w:rPr>
        <w:endnoteReference w:id="9"/>
      </w:r>
      <w:r>
        <w:t xml:space="preserve"> Similarly, </w:t>
      </w:r>
      <w:r w:rsidR="008B1487">
        <w:t>powers of attorney are regulated by State and Territory laws</w:t>
      </w:r>
      <w:r w:rsidR="00AD5027">
        <w:t xml:space="preserve"> </w:t>
      </w:r>
      <w:r w:rsidR="009624C2">
        <w:t>that</w:t>
      </w:r>
      <w:r w:rsidR="002B283C">
        <w:t xml:space="preserve"> establish how to make a power of attorney, the duties of an attorney</w:t>
      </w:r>
      <w:r w:rsidR="00B343E8">
        <w:t>, and provide</w:t>
      </w:r>
      <w:r w:rsidR="00583E61">
        <w:t xml:space="preserve"> jurisdiction to tribunals </w:t>
      </w:r>
      <w:r w:rsidR="00C73716">
        <w:t>and courts</w:t>
      </w:r>
      <w:r w:rsidR="00583E61">
        <w:t xml:space="preserve"> to ensure oversight.</w:t>
      </w:r>
      <w:r w:rsidR="00583E61">
        <w:rPr>
          <w:rStyle w:val="EndnoteReference"/>
        </w:rPr>
        <w:endnoteReference w:id="10"/>
      </w:r>
      <w:r w:rsidR="005D5CBB">
        <w:t xml:space="preserve"> </w:t>
      </w:r>
      <w:r w:rsidR="008F675D">
        <w:t>They are required to avoid conflicts of interest.</w:t>
      </w:r>
      <w:r w:rsidR="008F675D">
        <w:rPr>
          <w:rStyle w:val="EndnoteReference"/>
        </w:rPr>
        <w:endnoteReference w:id="11"/>
      </w:r>
      <w:r w:rsidR="008F675D">
        <w:t xml:space="preserve"> </w:t>
      </w:r>
    </w:p>
    <w:p w14:paraId="587D7303" w14:textId="56F16546" w:rsidR="004F58D0" w:rsidRDefault="005D5CBB" w:rsidP="000848C4">
      <w:pPr>
        <w:numPr>
          <w:ilvl w:val="0"/>
          <w:numId w:val="0"/>
        </w:numPr>
        <w:ind w:left="29"/>
      </w:pPr>
      <w:r>
        <w:t xml:space="preserve">Powers of attorney and guardians are generally required by law to act in the best interests </w:t>
      </w:r>
      <w:r w:rsidR="00C64216">
        <w:t>or</w:t>
      </w:r>
      <w:r w:rsidR="00C97111">
        <w:t>,</w:t>
      </w:r>
      <w:r w:rsidR="00C64216">
        <w:t xml:space="preserve"> in some jurisdictions, to give effect to the will and preferences of the person</w:t>
      </w:r>
      <w:r w:rsidR="00C97111">
        <w:t xml:space="preserve"> they represent</w:t>
      </w:r>
      <w:r w:rsidR="00CB083E">
        <w:t xml:space="preserve">. </w:t>
      </w:r>
      <w:r w:rsidR="008F675D" w:rsidRPr="008F675D">
        <w:t xml:space="preserve"> </w:t>
      </w:r>
      <w:r w:rsidR="008F675D">
        <w:t>The Commission’s March 2025 submission points to the Australian Law Reform Commission’s National Decision-Making Principles as a framework for aligning decision-making laws with CRPD standards and principles. Such a recommendation is beyond the scope of th</w:t>
      </w:r>
      <w:r w:rsidR="007B4FD3">
        <w:t xml:space="preserve">is </w:t>
      </w:r>
      <w:proofErr w:type="gramStart"/>
      <w:r w:rsidR="007B4FD3">
        <w:t>consultation</w:t>
      </w:r>
      <w:r w:rsidR="008F675D">
        <w:t>, but</w:t>
      </w:r>
      <w:proofErr w:type="gramEnd"/>
      <w:r w:rsidR="008F675D">
        <w:t xml:space="preserve"> remains relevant.</w:t>
      </w:r>
    </w:p>
    <w:p w14:paraId="7378BEF5" w14:textId="77777777" w:rsidR="00CC1FBA" w:rsidRDefault="008F675D" w:rsidP="00CC1FBA">
      <w:pPr>
        <w:numPr>
          <w:ilvl w:val="0"/>
          <w:numId w:val="0"/>
        </w:numPr>
      </w:pPr>
      <w:r>
        <w:t xml:space="preserve">In the absence of a comprehensive, nationally consistent supported decision-making mechanisms, the Commissions accepts the proposal for insurers to accept written consent from parents, guardians and powers of attorney. </w:t>
      </w:r>
    </w:p>
    <w:p w14:paraId="0EB8A92C" w14:textId="5C157EC2" w:rsidR="00AF05C0" w:rsidRDefault="00CC1FBA" w:rsidP="00053733">
      <w:pPr>
        <w:numPr>
          <w:ilvl w:val="0"/>
          <w:numId w:val="0"/>
        </w:numPr>
      </w:pPr>
      <w:r>
        <w:t>However, t</w:t>
      </w:r>
      <w:r w:rsidR="005D5CBB">
        <w:t xml:space="preserve">he Commission </w:t>
      </w:r>
      <w:r w:rsidR="00E62A76">
        <w:t>does not agree that</w:t>
      </w:r>
      <w:r w:rsidR="001E040F">
        <w:t xml:space="preserve"> agents such as insurance brokers </w:t>
      </w:r>
      <w:r w:rsidR="00E62A76">
        <w:t>should have</w:t>
      </w:r>
      <w:r w:rsidR="001E040F">
        <w:t xml:space="preserve"> the power to provide written consent</w:t>
      </w:r>
      <w:r w:rsidR="00F2445E">
        <w:t xml:space="preserve"> on behalf of a </w:t>
      </w:r>
      <w:r w:rsidR="00BA6FD7">
        <w:t>life</w:t>
      </w:r>
      <w:r w:rsidR="00F2445E">
        <w:t xml:space="preserve"> insure</w:t>
      </w:r>
      <w:r w:rsidR="00BA6FD7">
        <w:t>d</w:t>
      </w:r>
      <w:r w:rsidR="00E62A76">
        <w:t xml:space="preserve">. </w:t>
      </w:r>
      <w:r w:rsidR="00F4232D">
        <w:t>While there is a Code of Practice for insurance brokers,</w:t>
      </w:r>
      <w:r w:rsidR="00C91C47">
        <w:t xml:space="preserve"> the Code is not law and is only binding on those that voluntarily subscribe to it. </w:t>
      </w:r>
      <w:r w:rsidR="00E627D1">
        <w:t xml:space="preserve">Insurance brokers </w:t>
      </w:r>
      <w:r w:rsidR="00106FE7">
        <w:t>can</w:t>
      </w:r>
      <w:r w:rsidR="00E627D1">
        <w:t xml:space="preserve"> act for </w:t>
      </w:r>
      <w:r w:rsidR="00A06B10">
        <w:t>both</w:t>
      </w:r>
      <w:r w:rsidR="000C7AD5">
        <w:t xml:space="preserve"> a client seeking life insurance</w:t>
      </w:r>
      <w:r w:rsidR="00A06B10">
        <w:t xml:space="preserve"> and </w:t>
      </w:r>
      <w:r w:rsidR="000C7AD5">
        <w:t>the insurer</w:t>
      </w:r>
      <w:r w:rsidR="00A06B10">
        <w:t xml:space="preserve">, and </w:t>
      </w:r>
      <w:r w:rsidR="00AE0F6B">
        <w:t>according to the Code cannot</w:t>
      </w:r>
      <w:r w:rsidR="000236C0">
        <w:t xml:space="preserve"> act for both if it would be contrary to the client’s best interests.</w:t>
      </w:r>
      <w:r w:rsidR="000236C0">
        <w:rPr>
          <w:rStyle w:val="EndnoteReference"/>
        </w:rPr>
        <w:endnoteReference w:id="12"/>
      </w:r>
      <w:r w:rsidR="00B553AF">
        <w:t xml:space="preserve"> </w:t>
      </w:r>
      <w:r w:rsidR="00F61648">
        <w:t>Where guardians and powers of attorney are obliged not to profit for their position, insurance brokers derive financial benefit from theirs.</w:t>
      </w:r>
    </w:p>
    <w:p w14:paraId="16D1D310" w14:textId="77777777" w:rsidR="00F44EB0" w:rsidRDefault="00F44EB0" w:rsidP="000848C4">
      <w:pPr>
        <w:numPr>
          <w:ilvl w:val="0"/>
          <w:numId w:val="0"/>
        </w:numPr>
        <w:ind w:left="29"/>
      </w:pPr>
      <w:r>
        <w:t>The EM provides that written consent will be in a specific and self-contained document and that ASIC can approve a form for the purpose of providing written consent.</w:t>
      </w:r>
      <w:r>
        <w:rPr>
          <w:rStyle w:val="EndnoteReference"/>
        </w:rPr>
        <w:endnoteReference w:id="13"/>
      </w:r>
      <w:r>
        <w:t xml:space="preserve"> Written consent can, however, be obtained from an agent of the person seeking life insurance.</w:t>
      </w:r>
      <w:r>
        <w:rPr>
          <w:rStyle w:val="EndnoteReference"/>
        </w:rPr>
        <w:endnoteReference w:id="14"/>
      </w:r>
      <w:r>
        <w:t xml:space="preserve"> While the written consent may require a specific, approved form, the way an agent obtains legal authority to act in the shoes of the life insured depends on the nature of the agent relationship. A power of attorney, for example, requires the signing of a prescribed form in front of a prescribed witness. There is no standard process by which legal authority can be given to an insurance broker, and it is unlikely that such authority will need to be witnessed. </w:t>
      </w:r>
    </w:p>
    <w:p w14:paraId="3C0BA05B" w14:textId="1B787557" w:rsidR="00305B2E" w:rsidRDefault="003A53BB" w:rsidP="000848C4">
      <w:pPr>
        <w:numPr>
          <w:ilvl w:val="0"/>
          <w:numId w:val="0"/>
        </w:numPr>
        <w:ind w:left="29"/>
      </w:pPr>
      <w:r>
        <w:t xml:space="preserve">The expectation that written consent for the sharing of genetic information </w:t>
      </w:r>
      <w:r w:rsidR="00C36D2C">
        <w:t xml:space="preserve">provided by an agent </w:t>
      </w:r>
      <w:r w:rsidR="00000325">
        <w:t xml:space="preserve">is a specific, self-contained and prescribed form, is not </w:t>
      </w:r>
      <w:r w:rsidR="0015411E">
        <w:t xml:space="preserve">a </w:t>
      </w:r>
      <w:r w:rsidR="00000325">
        <w:t xml:space="preserve">sufficient safeguard. An insurer cannot be confident that consent is full, free and </w:t>
      </w:r>
      <w:r w:rsidR="00000325">
        <w:lastRenderedPageBreak/>
        <w:t>informed unless it is provided directly by the person to whom the genetic information relates.</w:t>
      </w:r>
    </w:p>
    <w:p w14:paraId="7136AF65" w14:textId="719C3465" w:rsidR="00D121FD" w:rsidRDefault="00EA3435" w:rsidP="000848C4">
      <w:pPr>
        <w:numPr>
          <w:ilvl w:val="0"/>
          <w:numId w:val="0"/>
        </w:numPr>
        <w:ind w:left="29"/>
        <w:rPr>
          <w:b/>
        </w:rPr>
      </w:pPr>
      <w:r>
        <w:rPr>
          <w:b/>
          <w:bCs/>
        </w:rPr>
        <w:t xml:space="preserve">Recommendation </w:t>
      </w:r>
      <w:r w:rsidR="0017206C">
        <w:rPr>
          <w:b/>
          <w:bCs/>
        </w:rPr>
        <w:t>3</w:t>
      </w:r>
      <w:r>
        <w:rPr>
          <w:b/>
          <w:bCs/>
        </w:rPr>
        <w:t>:</w:t>
      </w:r>
      <w:r w:rsidR="00C974D8">
        <w:rPr>
          <w:b/>
          <w:bCs/>
        </w:rPr>
        <w:t xml:space="preserve"> </w:t>
      </w:r>
      <w:r w:rsidR="009C0F9C">
        <w:rPr>
          <w:b/>
          <w:bCs/>
        </w:rPr>
        <w:t>Subsections</w:t>
      </w:r>
      <w:r w:rsidR="00493E6E">
        <w:rPr>
          <w:b/>
          <w:bCs/>
        </w:rPr>
        <w:t xml:space="preserve"> 33H(3)</w:t>
      </w:r>
      <w:r w:rsidR="009C0F9C">
        <w:rPr>
          <w:b/>
          <w:bCs/>
        </w:rPr>
        <w:t xml:space="preserve">(a) and (c) </w:t>
      </w:r>
      <w:r w:rsidR="006C22C8">
        <w:rPr>
          <w:b/>
          <w:bCs/>
        </w:rPr>
        <w:t xml:space="preserve">of the Bill </w:t>
      </w:r>
      <w:r w:rsidR="00730D06">
        <w:rPr>
          <w:b/>
          <w:bCs/>
        </w:rPr>
        <w:t xml:space="preserve">should </w:t>
      </w:r>
      <w:r w:rsidR="004F3818">
        <w:rPr>
          <w:b/>
          <w:bCs/>
        </w:rPr>
        <w:t xml:space="preserve">be amended </w:t>
      </w:r>
      <w:r w:rsidR="00C06712">
        <w:rPr>
          <w:b/>
          <w:bCs/>
        </w:rPr>
        <w:t>to remove the ability of an insurance</w:t>
      </w:r>
      <w:r w:rsidR="00CB083E">
        <w:rPr>
          <w:b/>
          <w:bCs/>
        </w:rPr>
        <w:t xml:space="preserve"> broker to act as an agent of the life insured</w:t>
      </w:r>
      <w:r w:rsidR="00AC1A14">
        <w:rPr>
          <w:b/>
          <w:bCs/>
        </w:rPr>
        <w:t>.</w:t>
      </w:r>
    </w:p>
    <w:p w14:paraId="148E1780" w14:textId="59EB0F0A" w:rsidR="003F7BBF" w:rsidRDefault="004D0AF8" w:rsidP="00053733">
      <w:pPr>
        <w:pStyle w:val="Heading2"/>
        <w:ind w:left="0" w:firstLine="0"/>
      </w:pPr>
      <w:bookmarkStart w:id="6" w:name="_Toc211325950"/>
      <w:r>
        <w:t xml:space="preserve">Commencement </w:t>
      </w:r>
      <w:r w:rsidR="000C2A9F">
        <w:t>and application of the ban</w:t>
      </w:r>
      <w:r w:rsidR="00150124">
        <w:t xml:space="preserve"> </w:t>
      </w:r>
      <w:proofErr w:type="gramStart"/>
      <w:r w:rsidR="00150124">
        <w:t>excludes</w:t>
      </w:r>
      <w:proofErr w:type="gramEnd"/>
      <w:r w:rsidR="00150124">
        <w:t xml:space="preserve"> existing policies</w:t>
      </w:r>
      <w:bookmarkEnd w:id="6"/>
    </w:p>
    <w:p w14:paraId="4A5FA928" w14:textId="63C5CE9D" w:rsidR="00244485" w:rsidRDefault="000F6DE8" w:rsidP="00690C6A">
      <w:pPr>
        <w:numPr>
          <w:ilvl w:val="0"/>
          <w:numId w:val="0"/>
        </w:numPr>
        <w:ind w:left="29"/>
      </w:pPr>
      <w:r>
        <w:t xml:space="preserve">The Exposure Draft proposes that the ban on the use of protected genetic information </w:t>
      </w:r>
      <w:r w:rsidR="00A87850">
        <w:t>should apply to life insurance contract decisions made on o</w:t>
      </w:r>
      <w:r w:rsidR="2771787A">
        <w:t>r</w:t>
      </w:r>
      <w:r w:rsidR="00A87850">
        <w:t xml:space="preserve"> after the </w:t>
      </w:r>
      <w:r w:rsidR="00B060E7">
        <w:t xml:space="preserve">date of commencement. </w:t>
      </w:r>
      <w:r w:rsidR="00CA0196">
        <w:t xml:space="preserve">The ban would only apply to life insurance contract decisions made before the commencement date </w:t>
      </w:r>
      <w:r w:rsidR="00103BE2">
        <w:t>if the contract is being varied, reinstated or extended</w:t>
      </w:r>
      <w:r w:rsidR="00A10415">
        <w:t xml:space="preserve"> by agreement</w:t>
      </w:r>
      <w:r w:rsidR="00103BE2">
        <w:t xml:space="preserve">. </w:t>
      </w:r>
      <w:r w:rsidR="000F171D">
        <w:t xml:space="preserve">According to the </w:t>
      </w:r>
      <w:r w:rsidR="00DE2AA0" w:rsidDel="000D1C6D">
        <w:t>EM</w:t>
      </w:r>
      <w:r w:rsidR="000F171D">
        <w:t xml:space="preserve">, the </w:t>
      </w:r>
      <w:r w:rsidR="00215083">
        <w:t xml:space="preserve">ban will not apply </w:t>
      </w:r>
      <w:r w:rsidR="00796CAB">
        <w:t>to</w:t>
      </w:r>
      <w:r w:rsidR="0020252F">
        <w:t xml:space="preserve"> </w:t>
      </w:r>
      <w:r w:rsidR="00F631F5">
        <w:t>life insurance contracts when there are</w:t>
      </w:r>
      <w:r w:rsidR="00796CAB">
        <w:t xml:space="preserve"> automatic variations.</w:t>
      </w:r>
      <w:r w:rsidR="00796CAB">
        <w:rPr>
          <w:rStyle w:val="EndnoteReference"/>
        </w:rPr>
        <w:endnoteReference w:id="15"/>
      </w:r>
      <w:r w:rsidR="009575E7">
        <w:t xml:space="preserve"> </w:t>
      </w:r>
      <w:r w:rsidR="00A87850">
        <w:t xml:space="preserve"> </w:t>
      </w:r>
    </w:p>
    <w:p w14:paraId="42F401FE" w14:textId="717CBBDB" w:rsidR="00DB47DB" w:rsidRDefault="007C5A05" w:rsidP="00690C6A">
      <w:pPr>
        <w:numPr>
          <w:ilvl w:val="0"/>
          <w:numId w:val="0"/>
        </w:numPr>
        <w:ind w:left="29"/>
      </w:pPr>
      <w:r>
        <w:t>This carve out</w:t>
      </w:r>
      <w:r w:rsidR="00F30E60">
        <w:t xml:space="preserve"> unfairly disadvantages those who have previously received adverse underwriting outcomes based on genetic information. </w:t>
      </w:r>
      <w:r w:rsidR="00DB47DB">
        <w:t>It is not sufficient that the ban applies to existing life insurance contracts only when there is express agreement between the insurer and the insured for a contract to be varied, including a reinstatement or extension of a policy.</w:t>
      </w:r>
      <w:r w:rsidR="00DB47DB">
        <w:rPr>
          <w:rStyle w:val="EndnoteReference"/>
        </w:rPr>
        <w:endnoteReference w:id="16"/>
      </w:r>
      <w:r w:rsidR="00DB47DB">
        <w:t xml:space="preserve"> The ban will not apply, for example, to ongoing long-term life insurance contracts with annual premium adjustments. </w:t>
      </w:r>
    </w:p>
    <w:p w14:paraId="43B96040" w14:textId="70D128CE" w:rsidR="00E66BF7" w:rsidRDefault="00DB47DB" w:rsidP="00690C6A">
      <w:pPr>
        <w:numPr>
          <w:ilvl w:val="0"/>
          <w:numId w:val="0"/>
        </w:numPr>
        <w:ind w:left="29"/>
      </w:pPr>
      <w:r>
        <w:t xml:space="preserve">Such an outcome goes against the intent of these amendments and the introduction of the ban. </w:t>
      </w:r>
      <w:r w:rsidR="00450342">
        <w:t xml:space="preserve">All genetic discrimination should be prohibited from the date of commencement of the ban, regardless of when the life insurance contract was entered into. </w:t>
      </w:r>
    </w:p>
    <w:p w14:paraId="1C8EFAB5" w14:textId="36EA9001" w:rsidR="003F0C26" w:rsidRDefault="00F81F62" w:rsidP="00690C6A">
      <w:pPr>
        <w:numPr>
          <w:ilvl w:val="0"/>
          <w:numId w:val="0"/>
        </w:numPr>
        <w:ind w:left="29"/>
      </w:pPr>
      <w:r>
        <w:t>The Commission is not suggesting that retrospective action</w:t>
      </w:r>
      <w:r w:rsidR="00D936E2">
        <w:t>,</w:t>
      </w:r>
      <w:r w:rsidR="009A0653">
        <w:t xml:space="preserve"> such as refunds for past premiums paid</w:t>
      </w:r>
      <w:r w:rsidR="00D936E2">
        <w:t>, is required. However, life insurance contracts that exist at commencement of the ban</w:t>
      </w:r>
      <w:r w:rsidR="00A92F12">
        <w:t xml:space="preserve"> should </w:t>
      </w:r>
      <w:r w:rsidR="00E30333">
        <w:t xml:space="preserve">not </w:t>
      </w:r>
      <w:r w:rsidR="00B62B24">
        <w:t xml:space="preserve">maintain </w:t>
      </w:r>
      <w:r w:rsidR="00A92F12">
        <w:t xml:space="preserve">any </w:t>
      </w:r>
      <w:r w:rsidR="00B9718B">
        <w:t xml:space="preserve">penalties, loading, exclusion or other adverse underwriting outcomes based on their protected genetic information </w:t>
      </w:r>
      <w:r w:rsidR="681A5838">
        <w:t xml:space="preserve">and </w:t>
      </w:r>
      <w:r w:rsidR="00BC043D">
        <w:t>these</w:t>
      </w:r>
      <w:r w:rsidR="681A5838">
        <w:t xml:space="preserve"> should be</w:t>
      </w:r>
      <w:r w:rsidR="00B9718B">
        <w:t xml:space="preserve"> </w:t>
      </w:r>
      <w:r w:rsidR="00263248">
        <w:t xml:space="preserve">proactively </w:t>
      </w:r>
      <w:r w:rsidR="003E0C3C">
        <w:t>removed from the commencement date.</w:t>
      </w:r>
      <w:r w:rsidR="00FE0867">
        <w:t xml:space="preserve"> This aligns with the recommendations </w:t>
      </w:r>
      <w:r w:rsidR="00D13AB5">
        <w:t xml:space="preserve">made </w:t>
      </w:r>
      <w:r w:rsidR="002107C5">
        <w:t xml:space="preserve">by the A-GLIMMER </w:t>
      </w:r>
      <w:r w:rsidR="008D0A32">
        <w:t>report</w:t>
      </w:r>
      <w:r w:rsidR="002107C5">
        <w:t>.</w:t>
      </w:r>
      <w:r w:rsidR="002107C5">
        <w:rPr>
          <w:rStyle w:val="EndnoteReference"/>
        </w:rPr>
        <w:endnoteReference w:id="17"/>
      </w:r>
    </w:p>
    <w:p w14:paraId="7D897AA3" w14:textId="457029D5" w:rsidR="00C467AF" w:rsidRDefault="003F0C26" w:rsidP="00690C6A">
      <w:pPr>
        <w:numPr>
          <w:ilvl w:val="0"/>
          <w:numId w:val="0"/>
        </w:numPr>
        <w:ind w:left="29"/>
      </w:pPr>
      <w:r>
        <w:t xml:space="preserve">The Commission appreciates that </w:t>
      </w:r>
      <w:r w:rsidR="00CB652E">
        <w:t>there is a n</w:t>
      </w:r>
      <w:r w:rsidR="00F8689F">
        <w:t xml:space="preserve">ecessary burden on insurers to </w:t>
      </w:r>
      <w:r>
        <w:t>proactively assess existing life insurance contracts</w:t>
      </w:r>
      <w:r w:rsidR="00F8689F">
        <w:t xml:space="preserve">. </w:t>
      </w:r>
      <w:r w:rsidR="007B1F3D">
        <w:t xml:space="preserve">To lessen the burden, </w:t>
      </w:r>
      <w:r w:rsidR="00DD3D6D">
        <w:t xml:space="preserve">a sufficient transition period can be prescribed to provide </w:t>
      </w:r>
      <w:r w:rsidR="008169FB">
        <w:t>adequate time for these assessments to take place</w:t>
      </w:r>
      <w:r w:rsidR="00441D24">
        <w:t>.</w:t>
      </w:r>
      <w:r w:rsidR="003E0C3C">
        <w:t xml:space="preserve"> </w:t>
      </w:r>
    </w:p>
    <w:p w14:paraId="14BEAFD3" w14:textId="5204B9F1" w:rsidR="00710B9F" w:rsidRDefault="00710B9F" w:rsidP="00690C6A">
      <w:pPr>
        <w:numPr>
          <w:ilvl w:val="0"/>
          <w:numId w:val="0"/>
        </w:numPr>
        <w:ind w:left="29"/>
      </w:pPr>
      <w:r>
        <w:rPr>
          <w:b/>
          <w:bCs/>
        </w:rPr>
        <w:t xml:space="preserve">Recommendation </w:t>
      </w:r>
      <w:r w:rsidR="0017206C">
        <w:rPr>
          <w:b/>
          <w:bCs/>
        </w:rPr>
        <w:t>4</w:t>
      </w:r>
      <w:r>
        <w:rPr>
          <w:b/>
          <w:bCs/>
        </w:rPr>
        <w:t>:</w:t>
      </w:r>
      <w:r w:rsidR="00EC0D8D" w:rsidRPr="00EC0D8D">
        <w:rPr>
          <w:b/>
          <w:bCs/>
        </w:rPr>
        <w:t xml:space="preserve"> </w:t>
      </w:r>
      <w:r w:rsidR="00EC0D8D">
        <w:rPr>
          <w:b/>
          <w:bCs/>
        </w:rPr>
        <w:t xml:space="preserve">The ban on the use of genetic </w:t>
      </w:r>
      <w:r w:rsidR="00E86F37">
        <w:rPr>
          <w:b/>
          <w:bCs/>
        </w:rPr>
        <w:t>information</w:t>
      </w:r>
      <w:r w:rsidR="00EC0D8D">
        <w:rPr>
          <w:b/>
          <w:bCs/>
        </w:rPr>
        <w:t xml:space="preserve"> should apply to existing policies</w:t>
      </w:r>
      <w:r w:rsidR="00292BA3">
        <w:rPr>
          <w:b/>
          <w:bCs/>
        </w:rPr>
        <w:t xml:space="preserve"> and</w:t>
      </w:r>
      <w:r w:rsidR="00EC0D8D">
        <w:rPr>
          <w:b/>
          <w:bCs/>
        </w:rPr>
        <w:t xml:space="preserve"> in-progress applications from the commencement of the ban</w:t>
      </w:r>
      <w:r w:rsidR="00604DEE">
        <w:rPr>
          <w:b/>
          <w:bCs/>
        </w:rPr>
        <w:t xml:space="preserve">, so that any </w:t>
      </w:r>
      <w:r w:rsidR="00292BA3">
        <w:rPr>
          <w:b/>
          <w:bCs/>
        </w:rPr>
        <w:t xml:space="preserve">existing </w:t>
      </w:r>
      <w:r w:rsidR="00F47654">
        <w:rPr>
          <w:b/>
          <w:bCs/>
        </w:rPr>
        <w:t xml:space="preserve">penalties, loading, </w:t>
      </w:r>
      <w:r w:rsidR="00F47654">
        <w:rPr>
          <w:b/>
          <w:bCs/>
        </w:rPr>
        <w:lastRenderedPageBreak/>
        <w:t xml:space="preserve">exclusions or other adverse underwriting outcomes </w:t>
      </w:r>
      <w:r w:rsidR="00292BA3">
        <w:rPr>
          <w:b/>
          <w:bCs/>
        </w:rPr>
        <w:t>imposed due to the use of p</w:t>
      </w:r>
      <w:r w:rsidR="00F47654">
        <w:rPr>
          <w:b/>
          <w:bCs/>
        </w:rPr>
        <w:t xml:space="preserve">rotected genetic information </w:t>
      </w:r>
      <w:r w:rsidR="00292BA3">
        <w:rPr>
          <w:b/>
          <w:bCs/>
        </w:rPr>
        <w:t>are removed.</w:t>
      </w:r>
    </w:p>
    <w:p w14:paraId="0A4E7A7B" w14:textId="46C6AE44" w:rsidR="004C75A1" w:rsidRDefault="00326E19" w:rsidP="004C75A1">
      <w:pPr>
        <w:pStyle w:val="Heading2"/>
      </w:pPr>
      <w:bookmarkStart w:id="7" w:name="_Toc211325951"/>
      <w:r>
        <w:t>Regulation-making power affecting meaning of key terms</w:t>
      </w:r>
      <w:bookmarkEnd w:id="7"/>
    </w:p>
    <w:p w14:paraId="49DD44E4" w14:textId="761F02DA" w:rsidR="004C75A1" w:rsidRDefault="00EE2F89" w:rsidP="00690C6A">
      <w:pPr>
        <w:numPr>
          <w:ilvl w:val="0"/>
          <w:numId w:val="0"/>
        </w:numPr>
        <w:ind w:left="29"/>
      </w:pPr>
      <w:r>
        <w:t>The Exposure Draft provides that the meaning</w:t>
      </w:r>
      <w:r w:rsidR="00E929B7">
        <w:t>s</w:t>
      </w:r>
      <w:r>
        <w:t xml:space="preserve"> of ‘genetic testing’ and ‘protected genetic information’ can be </w:t>
      </w:r>
      <w:r w:rsidR="00A9727B">
        <w:t xml:space="preserve">amended through the regulations </w:t>
      </w:r>
      <w:r w:rsidR="00E929B7">
        <w:t xml:space="preserve">and override the meanings as set out in the legislation. </w:t>
      </w:r>
    </w:p>
    <w:p w14:paraId="0149943F" w14:textId="693D4090" w:rsidR="00F40AFF" w:rsidRDefault="00007BE0" w:rsidP="00690C6A">
      <w:pPr>
        <w:numPr>
          <w:ilvl w:val="0"/>
          <w:numId w:val="0"/>
        </w:numPr>
        <w:ind w:left="29"/>
      </w:pPr>
      <w:r>
        <w:t xml:space="preserve">It is not appropriate for regulations to </w:t>
      </w:r>
      <w:r w:rsidR="00DA0FE7">
        <w:t>have the power to limit or expand</w:t>
      </w:r>
      <w:r w:rsidR="00683BDD">
        <w:t xml:space="preserve"> on the meaning of terms as defined in legislation.</w:t>
      </w:r>
      <w:r w:rsidR="00F32869">
        <w:t xml:space="preserve"> The Commission acknowledges that</w:t>
      </w:r>
      <w:r w:rsidR="00D97E59">
        <w:t xml:space="preserve"> the </w:t>
      </w:r>
      <w:r w:rsidR="007023E3">
        <w:t xml:space="preserve">meaning of terms such as ‘genetic testing’ and ‘protected genetic information’ must </w:t>
      </w:r>
      <w:r w:rsidR="00D64DA8">
        <w:t>be able</w:t>
      </w:r>
      <w:r w:rsidR="00402679">
        <w:t xml:space="preserve"> to keep </w:t>
      </w:r>
      <w:r w:rsidR="00496AC7">
        <w:t>pace</w:t>
      </w:r>
      <w:r w:rsidR="00402679">
        <w:t xml:space="preserve"> with medical advances</w:t>
      </w:r>
      <w:r w:rsidR="00C45829">
        <w:t xml:space="preserve">. The Commission recommended in its March 2025 </w:t>
      </w:r>
      <w:r w:rsidR="004A6989">
        <w:t>S</w:t>
      </w:r>
      <w:r w:rsidR="00C45829">
        <w:t>ubmission that</w:t>
      </w:r>
      <w:r w:rsidR="0006417F">
        <w:t xml:space="preserve"> regulations be allowed to prescribe tests to be included in the definition of ‘genetic test’.</w:t>
      </w:r>
      <w:r w:rsidR="0006417F">
        <w:rPr>
          <w:rStyle w:val="EndnoteReference"/>
        </w:rPr>
        <w:endnoteReference w:id="18"/>
      </w:r>
      <w:r w:rsidR="00556A34">
        <w:t xml:space="preserve"> Such provisions for regulation</w:t>
      </w:r>
      <w:r w:rsidR="0099074E">
        <w:t xml:space="preserve">-making provides a safety net for when there is progress in the field. </w:t>
      </w:r>
    </w:p>
    <w:p w14:paraId="2E6573AF" w14:textId="159C1E9A" w:rsidR="0099074E" w:rsidRDefault="0099074E" w:rsidP="00690C6A">
      <w:pPr>
        <w:numPr>
          <w:ilvl w:val="0"/>
          <w:numId w:val="0"/>
        </w:numPr>
        <w:ind w:left="29"/>
      </w:pPr>
      <w:r>
        <w:t>However, regulations should not have the ability to override the meaning as set out in th</w:t>
      </w:r>
      <w:r w:rsidR="00600676">
        <w:t>e Act. Sections 33</w:t>
      </w:r>
      <w:proofErr w:type="gramStart"/>
      <w:r w:rsidR="00600676">
        <w:t>E(</w:t>
      </w:r>
      <w:proofErr w:type="gramEnd"/>
      <w:r w:rsidR="00600676">
        <w:t>2) and 33</w:t>
      </w:r>
      <w:proofErr w:type="gramStart"/>
      <w:r w:rsidR="00600676">
        <w:t>F(</w:t>
      </w:r>
      <w:proofErr w:type="gramEnd"/>
      <w:r w:rsidR="00600676">
        <w:t xml:space="preserve">5) as currently drafted </w:t>
      </w:r>
      <w:r w:rsidR="0066057F">
        <w:t>provide that regulations will</w:t>
      </w:r>
      <w:r w:rsidR="00600676">
        <w:t xml:space="preserve"> have effect ‘despite anything else in this section’.</w:t>
      </w:r>
      <w:r w:rsidR="00483E16">
        <w:t xml:space="preserve"> This means, for example, that the regulations </w:t>
      </w:r>
      <w:r w:rsidR="00A52FDA">
        <w:t>can</w:t>
      </w:r>
      <w:r w:rsidR="00483E16">
        <w:t xml:space="preserve"> prescribe information that is or </w:t>
      </w:r>
      <w:r w:rsidR="00C71C04">
        <w:t>is not</w:t>
      </w:r>
      <w:r w:rsidR="00483E16">
        <w:t xml:space="preserve"> protected genetic information</w:t>
      </w:r>
      <w:r w:rsidR="00A52FDA">
        <w:t xml:space="preserve"> even if that </w:t>
      </w:r>
      <w:r w:rsidR="00AA2273">
        <w:t>contradicts or goes against how protected genetic information is defined in s 33</w:t>
      </w:r>
      <w:proofErr w:type="gramStart"/>
      <w:r w:rsidR="00AA2273">
        <w:t>F(</w:t>
      </w:r>
      <w:proofErr w:type="gramEnd"/>
      <w:r w:rsidR="00AA2273">
        <w:t xml:space="preserve">1). </w:t>
      </w:r>
      <w:r w:rsidR="006605C2">
        <w:t xml:space="preserve">This dilutes the protection of the ban. </w:t>
      </w:r>
    </w:p>
    <w:p w14:paraId="4693FE2C" w14:textId="50B1C78B" w:rsidR="0039346C" w:rsidRDefault="0039346C" w:rsidP="00690C6A">
      <w:pPr>
        <w:numPr>
          <w:ilvl w:val="0"/>
          <w:numId w:val="0"/>
        </w:numPr>
        <w:ind w:left="29"/>
      </w:pPr>
      <w:r>
        <w:t xml:space="preserve">The </w:t>
      </w:r>
      <w:r w:rsidR="00DE2AA0">
        <w:t>EM</w:t>
      </w:r>
      <w:r>
        <w:t xml:space="preserve"> justif</w:t>
      </w:r>
      <w:r w:rsidR="00DE2AA0">
        <w:t>ies</w:t>
      </w:r>
      <w:r>
        <w:t xml:space="preserve"> the extensive power of the regulations </w:t>
      </w:r>
      <w:r w:rsidR="00102883">
        <w:t xml:space="preserve">on the basis that it will allow the Government to keep up to date the meaning of genetic testing and reflect changes and advance in medicine in a timely manner. </w:t>
      </w:r>
      <w:r w:rsidR="0083737C">
        <w:t>It is noted that the regulation-making power will be subject to parliamentary scrutiny</w:t>
      </w:r>
      <w:r w:rsidR="001046C1">
        <w:t>.</w:t>
      </w:r>
      <w:r w:rsidR="001046C1">
        <w:rPr>
          <w:rStyle w:val="EndnoteReference"/>
        </w:rPr>
        <w:endnoteReference w:id="19"/>
      </w:r>
      <w:r w:rsidR="0016096D">
        <w:t xml:space="preserve"> This is not sufficient justification for such extensive power. </w:t>
      </w:r>
      <w:r w:rsidR="00B53597">
        <w:t xml:space="preserve">Substantial amendments to the meaning of prescribed terms should only be done through legislative processes and appropriate scrutiny. </w:t>
      </w:r>
    </w:p>
    <w:p w14:paraId="4ADDF982" w14:textId="592D0074" w:rsidR="008349C5" w:rsidRPr="003C167E" w:rsidRDefault="008349C5" w:rsidP="00690C6A">
      <w:pPr>
        <w:numPr>
          <w:ilvl w:val="0"/>
          <w:numId w:val="0"/>
        </w:numPr>
        <w:ind w:left="29"/>
      </w:pPr>
      <w:r>
        <w:rPr>
          <w:b/>
          <w:bCs/>
        </w:rPr>
        <w:t xml:space="preserve">Recommendation 5: </w:t>
      </w:r>
      <w:r w:rsidR="00D5212C">
        <w:rPr>
          <w:b/>
          <w:bCs/>
        </w:rPr>
        <w:t>Sections 33</w:t>
      </w:r>
      <w:proofErr w:type="gramStart"/>
      <w:r w:rsidR="00D5212C">
        <w:rPr>
          <w:b/>
          <w:bCs/>
        </w:rPr>
        <w:t>E(</w:t>
      </w:r>
      <w:proofErr w:type="gramEnd"/>
      <w:r w:rsidR="00D5212C">
        <w:rPr>
          <w:b/>
          <w:bCs/>
        </w:rPr>
        <w:t>2) and 33</w:t>
      </w:r>
      <w:proofErr w:type="gramStart"/>
      <w:r w:rsidR="00D5212C">
        <w:rPr>
          <w:b/>
          <w:bCs/>
        </w:rPr>
        <w:t>F(</w:t>
      </w:r>
      <w:proofErr w:type="gramEnd"/>
      <w:r w:rsidR="00D5212C">
        <w:rPr>
          <w:b/>
          <w:bCs/>
        </w:rPr>
        <w:t xml:space="preserve">5) </w:t>
      </w:r>
      <w:r w:rsidR="004325A1">
        <w:rPr>
          <w:b/>
          <w:bCs/>
        </w:rPr>
        <w:t xml:space="preserve">of the Bill should </w:t>
      </w:r>
      <w:r w:rsidR="00D5212C">
        <w:rPr>
          <w:b/>
          <w:bCs/>
        </w:rPr>
        <w:t xml:space="preserve">be amended </w:t>
      </w:r>
      <w:r w:rsidR="000B7F74">
        <w:rPr>
          <w:b/>
          <w:bCs/>
        </w:rPr>
        <w:t>to remove the words</w:t>
      </w:r>
      <w:r w:rsidR="00D5212C" w:rsidRPr="003C167E">
        <w:rPr>
          <w:b/>
          <w:bCs/>
        </w:rPr>
        <w:t xml:space="preserve"> ‘</w:t>
      </w:r>
      <w:r w:rsidR="00D5212C" w:rsidRPr="003C167E">
        <w:rPr>
          <w:b/>
          <w:bCs/>
          <w:lang w:eastAsia="en-US"/>
        </w:rPr>
        <w:t>Regulations made for the purposes of this subsection have effect despite anything else in this section’</w:t>
      </w:r>
      <w:r w:rsidR="003C167E" w:rsidRPr="003C167E">
        <w:rPr>
          <w:b/>
          <w:bCs/>
          <w:lang w:eastAsia="en-US"/>
        </w:rPr>
        <w:t>.</w:t>
      </w:r>
    </w:p>
    <w:p w14:paraId="64DA0A59" w14:textId="6DE2BAD0" w:rsidR="00BE34D2" w:rsidRDefault="004D0AF8" w:rsidP="00491AE6">
      <w:pPr>
        <w:pStyle w:val="Heading2"/>
      </w:pPr>
      <w:bookmarkStart w:id="8" w:name="_Toc211325952"/>
      <w:r>
        <w:t>Periodic r</w:t>
      </w:r>
      <w:r w:rsidR="0037516E">
        <w:t>eview</w:t>
      </w:r>
      <w:r w:rsidR="00AE2817">
        <w:t xml:space="preserve"> </w:t>
      </w:r>
      <w:r w:rsidR="00944E08">
        <w:t xml:space="preserve">of </w:t>
      </w:r>
      <w:r>
        <w:t xml:space="preserve">the </w:t>
      </w:r>
      <w:r w:rsidR="00944E08">
        <w:t>operation of the ban</w:t>
      </w:r>
      <w:bookmarkEnd w:id="8"/>
    </w:p>
    <w:p w14:paraId="351B797D" w14:textId="408E6B28" w:rsidR="00BE34D2" w:rsidRDefault="00AF2348" w:rsidP="00690C6A">
      <w:pPr>
        <w:numPr>
          <w:ilvl w:val="0"/>
          <w:numId w:val="0"/>
        </w:numPr>
        <w:ind w:left="29"/>
      </w:pPr>
      <w:r>
        <w:t xml:space="preserve">The Commission welcomes </w:t>
      </w:r>
      <w:r w:rsidR="009415EA">
        <w:t xml:space="preserve">the inclusion </w:t>
      </w:r>
      <w:r w:rsidR="003056D2">
        <w:t xml:space="preserve">in the Exposure Draft of provisions requiring </w:t>
      </w:r>
      <w:r w:rsidR="00547D7C">
        <w:t xml:space="preserve">periodic 5-year </w:t>
      </w:r>
      <w:r w:rsidR="003056D2">
        <w:t>review of the operation of the ba</w:t>
      </w:r>
      <w:r w:rsidR="00C43495">
        <w:t>n. The stated aims of the review are to consider whether the provisions are effective in providing certainty</w:t>
      </w:r>
      <w:r w:rsidR="00182EEF">
        <w:t xml:space="preserve"> to individuals on the use of protected genetic information and to identify any unintended consequences of the provisions.</w:t>
      </w:r>
      <w:r w:rsidR="00810CF0">
        <w:t xml:space="preserve"> The Commission is concerned that the scope of the review does not </w:t>
      </w:r>
      <w:r w:rsidR="00527F33">
        <w:t xml:space="preserve">specifically </w:t>
      </w:r>
      <w:r w:rsidR="00810CF0">
        <w:t xml:space="preserve">include </w:t>
      </w:r>
      <w:r w:rsidR="00527F33">
        <w:t xml:space="preserve">the </w:t>
      </w:r>
      <w:r w:rsidR="00527F33">
        <w:lastRenderedPageBreak/>
        <w:t>requirement to consider the effectiveness of the ban</w:t>
      </w:r>
      <w:r w:rsidR="00860C58">
        <w:t xml:space="preserve"> or </w:t>
      </w:r>
      <w:r w:rsidR="00FC15A1">
        <w:t>permanent exemption (relating to consent)</w:t>
      </w:r>
      <w:r w:rsidR="00182EEF">
        <w:t xml:space="preserve"> to eliminate discrimination</w:t>
      </w:r>
      <w:r w:rsidR="00527F33">
        <w:t xml:space="preserve">. </w:t>
      </w:r>
      <w:r w:rsidR="00E13780">
        <w:t xml:space="preserve"> </w:t>
      </w:r>
    </w:p>
    <w:p w14:paraId="49DC8806" w14:textId="24F92313" w:rsidR="004325A1" w:rsidRPr="001B57AD" w:rsidRDefault="004325A1" w:rsidP="00690C6A">
      <w:pPr>
        <w:numPr>
          <w:ilvl w:val="0"/>
          <w:numId w:val="0"/>
        </w:numPr>
        <w:ind w:left="29"/>
        <w:rPr>
          <w:b/>
          <w:bCs/>
        </w:rPr>
      </w:pPr>
      <w:r w:rsidRPr="001B57AD">
        <w:rPr>
          <w:b/>
          <w:bCs/>
        </w:rPr>
        <w:t xml:space="preserve">Recommendation 6: </w:t>
      </w:r>
      <w:r w:rsidR="00182EEF" w:rsidRPr="001B57AD">
        <w:rPr>
          <w:b/>
          <w:bCs/>
        </w:rPr>
        <w:t xml:space="preserve">Section </w:t>
      </w:r>
      <w:r w:rsidR="00291C86" w:rsidRPr="001B57AD">
        <w:rPr>
          <w:b/>
          <w:bCs/>
        </w:rPr>
        <w:t xml:space="preserve">33J of the Bill should include a requirement that the review of the ban </w:t>
      </w:r>
      <w:r w:rsidR="001B57AD" w:rsidRPr="001B57AD">
        <w:rPr>
          <w:b/>
          <w:bCs/>
        </w:rPr>
        <w:t>consider the effectiveness of the provisions to eliminate discrimination.</w:t>
      </w:r>
    </w:p>
    <w:p w14:paraId="46CBD1AC" w14:textId="57BDDD1D" w:rsidR="001B57AD" w:rsidRPr="003C167E" w:rsidRDefault="00CA3D1C" w:rsidP="00690C6A">
      <w:pPr>
        <w:numPr>
          <w:ilvl w:val="0"/>
          <w:numId w:val="0"/>
        </w:numPr>
        <w:ind w:left="29"/>
      </w:pPr>
      <w:r>
        <w:t>The Commission’s Free &amp; Equal report called for a review of all existing permanent exemptions under federal discrimination law, identifying the exemption in section 46 of the Disability Discrimination Act as one that warrants particular scrutiny.</w:t>
      </w:r>
      <w:r>
        <w:rPr>
          <w:rStyle w:val="EndnoteReference"/>
        </w:rPr>
        <w:endnoteReference w:id="20"/>
      </w:r>
      <w:r>
        <w:t xml:space="preserve"> </w:t>
      </w:r>
      <w:r w:rsidR="001B57AD">
        <w:t>The Commission</w:t>
      </w:r>
      <w:r w:rsidR="00082571">
        <w:t xml:space="preserve"> recommended</w:t>
      </w:r>
      <w:r w:rsidR="001B57AD">
        <w:t xml:space="preserve"> a broad review of section 46 in its submission to earlier consultations on the ban,</w:t>
      </w:r>
      <w:r w:rsidR="001B57AD">
        <w:rPr>
          <w:rStyle w:val="EndnoteReference"/>
        </w:rPr>
        <w:endnoteReference w:id="21"/>
      </w:r>
      <w:r w:rsidR="001B57AD">
        <w:t xml:space="preserve"> and in its submission to the review of the Disability Discrimination Act. </w:t>
      </w:r>
    </w:p>
    <w:p w14:paraId="102D06E0" w14:textId="34476B14" w:rsidR="00B22A8D" w:rsidRPr="003C167E" w:rsidRDefault="00D62340" w:rsidP="00690C6A">
      <w:pPr>
        <w:numPr>
          <w:ilvl w:val="0"/>
          <w:numId w:val="0"/>
        </w:numPr>
        <w:ind w:left="29"/>
      </w:pPr>
      <w:r>
        <w:t>R</w:t>
      </w:r>
      <w:r w:rsidR="001B135C">
        <w:t>eview</w:t>
      </w:r>
      <w:r>
        <w:t>s of</w:t>
      </w:r>
      <w:r w:rsidR="001B135C">
        <w:t xml:space="preserve"> permanent exemptions</w:t>
      </w:r>
      <w:r w:rsidR="00EC72BF">
        <w:t>, including section 46,</w:t>
      </w:r>
      <w:r w:rsidR="001B135C">
        <w:t xml:space="preserve"> </w:t>
      </w:r>
      <w:r w:rsidR="00EC72BF">
        <w:t>should</w:t>
      </w:r>
      <w:r w:rsidR="00454F18">
        <w:t xml:space="preserve"> be </w:t>
      </w:r>
      <w:r w:rsidR="002E2CB4">
        <w:t xml:space="preserve">carried </w:t>
      </w:r>
      <w:r w:rsidR="40662687">
        <w:t xml:space="preserve">out </w:t>
      </w:r>
      <w:r w:rsidR="002E2CB4">
        <w:t>on a periodic basis</w:t>
      </w:r>
      <w:r w:rsidR="00333F13">
        <w:t xml:space="preserve"> to ensure that the scope of</w:t>
      </w:r>
      <w:r w:rsidR="00225178">
        <w:t xml:space="preserve"> an exemption remains necessary, reasonable and proportionate in the circumstances</w:t>
      </w:r>
      <w:r w:rsidR="00836592">
        <w:t xml:space="preserve">. </w:t>
      </w:r>
      <w:r w:rsidR="00724BA8">
        <w:t>Any review</w:t>
      </w:r>
      <w:r w:rsidR="00836592">
        <w:t xml:space="preserve"> should</w:t>
      </w:r>
      <w:r w:rsidR="00766E1C">
        <w:t xml:space="preserve"> consider whether the exemption should be continued or removed, and if continued</w:t>
      </w:r>
      <w:r w:rsidR="009F191E">
        <w:t>, be time limited and regularly review</w:t>
      </w:r>
      <w:r w:rsidR="5A14B9F9">
        <w:t>ed</w:t>
      </w:r>
      <w:r w:rsidR="009F191E">
        <w:t>, or sunsetted.</w:t>
      </w:r>
    </w:p>
    <w:p w14:paraId="0901176C" w14:textId="29B2A704" w:rsidR="00EE2F89" w:rsidRDefault="00EE2F89" w:rsidP="00B42354">
      <w:pPr>
        <w:sectPr w:rsidR="00EE2F89" w:rsidSect="003D23EE">
          <w:headerReference w:type="default" r:id="rId21"/>
          <w:endnotePr>
            <w:numFmt w:val="decimal"/>
          </w:endnotePr>
          <w:pgSz w:w="11906" w:h="16838" w:code="9"/>
          <w:pgMar w:top="1440" w:right="1440" w:bottom="1440" w:left="1440" w:header="720" w:footer="720" w:gutter="0"/>
          <w:cols w:space="720"/>
          <w:docGrid w:linePitch="360"/>
        </w:sectPr>
      </w:pPr>
      <w:bookmarkStart w:id="9" w:name="_Pre-set_styles"/>
      <w:bookmarkEnd w:id="9"/>
    </w:p>
    <w:bookmarkStart w:id="10" w:name="_Toc211325953" w:displacedByCustomXml="next"/>
    <w:sdt>
      <w:sdtPr>
        <w:id w:val="1184715988"/>
        <w:placeholder>
          <w:docPart w:val="CDBCCB2783FD4EC0874CF61975A4FD7E"/>
        </w:placeholder>
        <w:dataBinding w:prefixMappings="xmlns:ns0='http://AHRCheadings.htm' " w:xpath="/ns0:headings[1]/ns0:Endnotes[1]" w:storeItemID="{59E40458-85DB-4B58-AD7F-ED1E21A92441}"/>
        <w:text/>
      </w:sdtPr>
      <w:sdtEndPr/>
      <w:sdtContent>
        <w:p w14:paraId="218CA45A" w14:textId="77777777" w:rsidR="00882C52" w:rsidRDefault="00882C52" w:rsidP="00882C52">
          <w:pPr>
            <w:pStyle w:val="Heading1unnumbered"/>
          </w:pPr>
          <w:r>
            <w:t>Endnotes</w:t>
          </w:r>
        </w:p>
      </w:sdtContent>
    </w:sdt>
    <w:bookmarkEnd w:id="10" w:displacedByCustomXml="prev"/>
    <w:sectPr w:rsidR="00882C52" w:rsidSect="003D23EE">
      <w:headerReference w:type="default" r:id="rId22"/>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7F1B" w14:textId="77777777" w:rsidR="00231C8D" w:rsidRDefault="00231C8D" w:rsidP="00404018">
      <w:pPr>
        <w:pStyle w:val="Frontmatter"/>
      </w:pPr>
      <w:r>
        <w:separator/>
      </w:r>
    </w:p>
  </w:endnote>
  <w:endnote w:type="continuationSeparator" w:id="0">
    <w:p w14:paraId="431FEAD8" w14:textId="77777777" w:rsidR="00231C8D" w:rsidRDefault="00231C8D" w:rsidP="00965614">
      <w:r>
        <w:continuationSeparator/>
      </w:r>
    </w:p>
  </w:endnote>
  <w:endnote w:type="continuationNotice" w:id="1">
    <w:p w14:paraId="0D10BE92" w14:textId="77777777" w:rsidR="00231C8D" w:rsidRDefault="00231C8D" w:rsidP="00965614"/>
  </w:endnote>
  <w:endnote w:id="2">
    <w:p w14:paraId="1E971A74" w14:textId="77777777" w:rsidR="00775ADA" w:rsidRDefault="00775ADA" w:rsidP="00775ADA">
      <w:pPr>
        <w:pStyle w:val="EndnoteText"/>
      </w:pPr>
      <w:r w:rsidRPr="00BF164B">
        <w:rPr>
          <w:rStyle w:val="EndnoteReference"/>
        </w:rPr>
        <w:endnoteRef/>
      </w:r>
      <w:r w:rsidRPr="00BF164B">
        <w:t xml:space="preserve"> See Attorney-General’s Department (Cth), ‘Review of the Disability Discrimination Act’ (Webpage, 2025) &lt;</w:t>
      </w:r>
      <w:hyperlink r:id="rId1" w:history="1">
        <w:r w:rsidRPr="00BF164B">
          <w:rPr>
            <w:rStyle w:val="Hyperlink"/>
          </w:rPr>
          <w:t>https://www.ag.gov.au/rights-and-protections/human-rights-and-anti-discrimination/australias-anti-discrimination-law/review-disability-discrimination-act</w:t>
        </w:r>
      </w:hyperlink>
      <w:r w:rsidRPr="00BF164B">
        <w:t>&gt;.</w:t>
      </w:r>
    </w:p>
  </w:endnote>
  <w:endnote w:id="3">
    <w:p w14:paraId="22967EEC" w14:textId="41F6284E" w:rsidR="001B1613" w:rsidRDefault="001B1613" w:rsidP="001B1613">
      <w:pPr>
        <w:pStyle w:val="EndnoteText"/>
      </w:pPr>
      <w:r>
        <w:rPr>
          <w:rStyle w:val="EndnoteReference"/>
        </w:rPr>
        <w:endnoteRef/>
      </w:r>
      <w:r>
        <w:t xml:space="preserve"> </w:t>
      </w:r>
      <w:r w:rsidR="00773F52">
        <w:t xml:space="preserve">Australian Human Rights Commission, </w:t>
      </w:r>
      <w:r w:rsidRPr="00092246">
        <w:rPr>
          <w:i/>
          <w:iCs/>
        </w:rPr>
        <w:t>Ban on the use of adverse genetic testing results in life insurance</w:t>
      </w:r>
      <w:r w:rsidR="005B01BA">
        <w:t>, Submission to Australian Treasury,</w:t>
      </w:r>
      <w:r>
        <w:t xml:space="preserve"> dated 26 March 2025 (March 2025 Submission), recommendation 4.</w:t>
      </w:r>
    </w:p>
  </w:endnote>
  <w:endnote w:id="4">
    <w:p w14:paraId="702922BB" w14:textId="1F85C3C0" w:rsidR="008348AC" w:rsidRDefault="008348AC" w:rsidP="008348AC">
      <w:pPr>
        <w:pStyle w:val="EndnoteText"/>
      </w:pPr>
      <w:r>
        <w:rPr>
          <w:rStyle w:val="EndnoteReference"/>
        </w:rPr>
        <w:endnoteRef/>
      </w:r>
      <w:r>
        <w:t xml:space="preserve"> See submission made by the </w:t>
      </w:r>
      <w:hyperlink r:id="rId2" w:history="1">
        <w:r w:rsidRPr="00C467AF">
          <w:rPr>
            <w:rStyle w:val="Hyperlink"/>
          </w:rPr>
          <w:t>Australian Genetics and Life Insurance Moratoriam: Monitoring the Effectiveness and Response (A-GLIMMER) project dated 13 March 2025</w:t>
        </w:r>
      </w:hyperlink>
      <w:r w:rsidR="00634676">
        <w:t xml:space="preserve"> (A-GLIMMER submission)</w:t>
      </w:r>
      <w:r w:rsidR="009329A0">
        <w:t xml:space="preserve">, recommendation </w:t>
      </w:r>
      <w:r w:rsidR="003C00DE">
        <w:t>1.8</w:t>
      </w:r>
      <w:r>
        <w:t>.</w:t>
      </w:r>
    </w:p>
  </w:endnote>
  <w:endnote w:id="5">
    <w:p w14:paraId="5919680F" w14:textId="14ED09CE" w:rsidR="00F417A0" w:rsidRPr="00F417A0" w:rsidRDefault="00F417A0">
      <w:pPr>
        <w:pStyle w:val="EndnoteText"/>
      </w:pPr>
      <w:r>
        <w:rPr>
          <w:rStyle w:val="EndnoteReference"/>
        </w:rPr>
        <w:endnoteRef/>
      </w:r>
      <w:r>
        <w:t xml:space="preserve"> </w:t>
      </w:r>
      <w:r>
        <w:rPr>
          <w:i/>
          <w:iCs/>
        </w:rPr>
        <w:t>Privacy Act 1988</w:t>
      </w:r>
      <w:r>
        <w:t xml:space="preserve"> (Cth) s 6.</w:t>
      </w:r>
    </w:p>
  </w:endnote>
  <w:endnote w:id="6">
    <w:p w14:paraId="737F2CD1" w14:textId="77777777" w:rsidR="00A01111" w:rsidRDefault="00A01111" w:rsidP="00A01111">
      <w:pPr>
        <w:pStyle w:val="EndnoteText"/>
      </w:pPr>
      <w:r>
        <w:rPr>
          <w:rStyle w:val="EndnoteReference"/>
        </w:rPr>
        <w:endnoteRef/>
      </w:r>
      <w:r>
        <w:t xml:space="preserve"> See Exposure Draft Explanatory Materials [1.32].</w:t>
      </w:r>
    </w:p>
  </w:endnote>
  <w:endnote w:id="7">
    <w:p w14:paraId="20709631" w14:textId="57DE0ADB" w:rsidR="001E6207" w:rsidRDefault="001E6207" w:rsidP="001E6207">
      <w:pPr>
        <w:pStyle w:val="EndnoteText"/>
      </w:pPr>
      <w:r>
        <w:rPr>
          <w:rStyle w:val="EndnoteReference"/>
        </w:rPr>
        <w:endnoteRef/>
      </w:r>
      <w:r>
        <w:t xml:space="preserve"> Committee on the Rights of Persons with Disabilities, </w:t>
      </w:r>
      <w:r>
        <w:rPr>
          <w:i/>
          <w:iCs/>
        </w:rPr>
        <w:t>General Comment No. 1 (2014) on Article 12: Equal recognition before the law</w:t>
      </w:r>
      <w:r>
        <w:t xml:space="preserve">, UN Doc CPRD/C/GC/1 (19 May 2014) [25]. </w:t>
      </w:r>
      <w:r w:rsidR="00356D84">
        <w:t xml:space="preserve">See also </w:t>
      </w:r>
      <w:r w:rsidR="00356D84" w:rsidRPr="007C64C3">
        <w:rPr>
          <w:i/>
          <w:iCs/>
        </w:rPr>
        <w:t>United Nations International Covenant on Civil and Political Rights</w:t>
      </w:r>
      <w:r w:rsidR="00356D84" w:rsidRPr="00D30DA1">
        <w:rPr>
          <w:i/>
          <w:iCs/>
        </w:rPr>
        <w:t xml:space="preserve">, </w:t>
      </w:r>
      <w:r w:rsidR="00356D84" w:rsidRPr="00F00D57">
        <w:t>GA 2200A (XXI) (23 March 1976, adopted 16 December 1966)</w:t>
      </w:r>
      <w:r w:rsidR="00356D84">
        <w:t xml:space="preserve"> art 16 (‘</w:t>
      </w:r>
      <w:r w:rsidR="00356D84">
        <w:rPr>
          <w:i/>
          <w:iCs/>
        </w:rPr>
        <w:t>ICCPR</w:t>
      </w:r>
      <w:r w:rsidR="00356D84">
        <w:t xml:space="preserve">’); </w:t>
      </w:r>
      <w:r w:rsidR="00356D84" w:rsidRPr="0067373D">
        <w:rPr>
          <w:i/>
          <w:iCs/>
        </w:rPr>
        <w:t>United Nations Universal Declaration of Human Rights</w:t>
      </w:r>
      <w:r w:rsidR="00356D84" w:rsidRPr="00F44C7C">
        <w:rPr>
          <w:i/>
          <w:iCs/>
        </w:rPr>
        <w:t>,</w:t>
      </w:r>
      <w:r w:rsidR="00356D84" w:rsidRPr="00F00D57">
        <w:rPr>
          <w:i/>
          <w:iCs/>
        </w:rPr>
        <w:t xml:space="preserve"> </w:t>
      </w:r>
      <w:r w:rsidR="00356D84" w:rsidRPr="00F00D57">
        <w:t>GA Res 217/A(III) (adopted 10 December 1948)</w:t>
      </w:r>
      <w:r w:rsidR="00356D84">
        <w:t xml:space="preserve"> art 6.</w:t>
      </w:r>
    </w:p>
  </w:endnote>
  <w:endnote w:id="8">
    <w:p w14:paraId="1A3EA4B4" w14:textId="3D3DBFFA" w:rsidR="001E6207" w:rsidRDefault="001E6207" w:rsidP="001E6207">
      <w:pPr>
        <w:pStyle w:val="EndnoteText"/>
      </w:pPr>
      <w:r>
        <w:rPr>
          <w:rStyle w:val="EndnoteReference"/>
        </w:rPr>
        <w:endnoteRef/>
      </w:r>
      <w:r>
        <w:t xml:space="preserve"> </w:t>
      </w:r>
      <w:r w:rsidR="00BA3200" w:rsidRPr="00CD4323">
        <w:rPr>
          <w:i/>
          <w:iCs/>
        </w:rPr>
        <w:t>United Nations Convention on the Rights of Persons with Disabilities</w:t>
      </w:r>
      <w:r w:rsidR="00BA3200" w:rsidRPr="003365B9">
        <w:t>,</w:t>
      </w:r>
      <w:r w:rsidR="00BA3200" w:rsidRPr="00F00D57">
        <w:t xml:space="preserve"> opened for signature 30 March 2007, 2515 UNTS 3 (entered into force 3 May 2008)</w:t>
      </w:r>
      <w:r w:rsidR="00BA3200">
        <w:t xml:space="preserve"> art 25(e) </w:t>
      </w:r>
      <w:r>
        <w:t>art 12.</w:t>
      </w:r>
    </w:p>
  </w:endnote>
  <w:endnote w:id="9">
    <w:p w14:paraId="1500C974" w14:textId="5419C936" w:rsidR="004F58D0" w:rsidRDefault="004F58D0" w:rsidP="004F58D0">
      <w:pPr>
        <w:pStyle w:val="EndnoteText"/>
      </w:pPr>
      <w:r>
        <w:rPr>
          <w:rStyle w:val="EndnoteReference"/>
        </w:rPr>
        <w:endnoteRef/>
      </w:r>
      <w:r>
        <w:t xml:space="preserve"> See for example s 41 of the </w:t>
      </w:r>
      <w:r w:rsidR="00A31677" w:rsidRPr="00A31677">
        <w:rPr>
          <w:i/>
          <w:iCs/>
        </w:rPr>
        <w:t>Guardianship and Administration Act 2019</w:t>
      </w:r>
      <w:r w:rsidR="00A31677">
        <w:t xml:space="preserve"> (Vic)</w:t>
      </w:r>
      <w:r>
        <w:t xml:space="preserve">, which includes the requirement to act in accordance with general principles and decision-making principles. </w:t>
      </w:r>
    </w:p>
  </w:endnote>
  <w:endnote w:id="10">
    <w:p w14:paraId="759DF09B" w14:textId="4CC13287" w:rsidR="00583E61" w:rsidRDefault="00583E61">
      <w:pPr>
        <w:pStyle w:val="EndnoteText"/>
      </w:pPr>
      <w:r>
        <w:rPr>
          <w:rStyle w:val="EndnoteReference"/>
        </w:rPr>
        <w:endnoteRef/>
      </w:r>
      <w:r>
        <w:t xml:space="preserve"> See for example the </w:t>
      </w:r>
      <w:r>
        <w:rPr>
          <w:i/>
          <w:iCs/>
        </w:rPr>
        <w:t>Powers of Attorney Act 2014</w:t>
      </w:r>
      <w:r>
        <w:t xml:space="preserve"> (Vic)</w:t>
      </w:r>
      <w:r w:rsidR="00C63600">
        <w:t xml:space="preserve">, </w:t>
      </w:r>
      <w:r w:rsidR="00C63600">
        <w:rPr>
          <w:i/>
          <w:iCs/>
        </w:rPr>
        <w:t>Powers of Attorney Act 1998</w:t>
      </w:r>
      <w:r w:rsidR="00C63600">
        <w:t xml:space="preserve"> (Qld)</w:t>
      </w:r>
      <w:r w:rsidR="002579B1">
        <w:t xml:space="preserve">, </w:t>
      </w:r>
      <w:r w:rsidR="002579B1">
        <w:rPr>
          <w:i/>
          <w:iCs/>
        </w:rPr>
        <w:t>Powers of Attorney Act 2003</w:t>
      </w:r>
      <w:r w:rsidR="002579B1">
        <w:t xml:space="preserve"> (NSW).</w:t>
      </w:r>
    </w:p>
  </w:endnote>
  <w:endnote w:id="11">
    <w:p w14:paraId="33D9D07C" w14:textId="77777777" w:rsidR="008F675D" w:rsidRPr="0098765B" w:rsidRDefault="008F675D" w:rsidP="008F675D">
      <w:pPr>
        <w:pStyle w:val="EndnoteText"/>
      </w:pPr>
      <w:r>
        <w:rPr>
          <w:rStyle w:val="EndnoteReference"/>
        </w:rPr>
        <w:endnoteRef/>
      </w:r>
      <w:r>
        <w:t xml:space="preserve"> See for example s 63(1) of the </w:t>
      </w:r>
      <w:r>
        <w:rPr>
          <w:i/>
          <w:iCs/>
        </w:rPr>
        <w:t>Powers of Attorney Act 2014</w:t>
      </w:r>
      <w:r>
        <w:t xml:space="preserve"> (Vic), s 41 of the </w:t>
      </w:r>
      <w:r w:rsidRPr="00A31677">
        <w:rPr>
          <w:i/>
          <w:iCs/>
        </w:rPr>
        <w:t>Guardianship and Administration Act 2019</w:t>
      </w:r>
      <w:r>
        <w:t xml:space="preserve"> (Vic), s 6C of the </w:t>
      </w:r>
      <w:r>
        <w:rPr>
          <w:i/>
          <w:iCs/>
        </w:rPr>
        <w:t>Powers of Attorney Act 1998</w:t>
      </w:r>
      <w:r>
        <w:t xml:space="preserve"> (Qld), s 4 of the </w:t>
      </w:r>
      <w:r>
        <w:rPr>
          <w:i/>
          <w:iCs/>
        </w:rPr>
        <w:t xml:space="preserve">Guardianship Act 1987 </w:t>
      </w:r>
      <w:r>
        <w:t>(NSW)</w:t>
      </w:r>
    </w:p>
  </w:endnote>
  <w:endnote w:id="12">
    <w:p w14:paraId="53F9BEA1" w14:textId="5036AE03" w:rsidR="000236C0" w:rsidRDefault="000236C0">
      <w:pPr>
        <w:pStyle w:val="EndnoteText"/>
      </w:pPr>
      <w:r>
        <w:rPr>
          <w:rStyle w:val="EndnoteReference"/>
        </w:rPr>
        <w:endnoteRef/>
      </w:r>
      <w:r>
        <w:t xml:space="preserve"> </w:t>
      </w:r>
      <w:r w:rsidR="009E64BF">
        <w:t>2022 Insurance Brokers Code of Practice</w:t>
      </w:r>
      <w:r w:rsidR="00F92006">
        <w:t>, [</w:t>
      </w:r>
      <w:r>
        <w:t>5.3</w:t>
      </w:r>
      <w:r w:rsidR="00F92006">
        <w:t>].</w:t>
      </w:r>
    </w:p>
  </w:endnote>
  <w:endnote w:id="13">
    <w:p w14:paraId="0A9AD486" w14:textId="77777777" w:rsidR="00F44EB0" w:rsidRDefault="00F44EB0" w:rsidP="00F44EB0">
      <w:pPr>
        <w:pStyle w:val="EndnoteText"/>
      </w:pPr>
      <w:r>
        <w:rPr>
          <w:rStyle w:val="EndnoteReference"/>
        </w:rPr>
        <w:endnoteRef/>
      </w:r>
      <w:r>
        <w:t xml:space="preserve"> Exposure Draft Explanatory Materials [1.33]-[1.34].</w:t>
      </w:r>
    </w:p>
  </w:endnote>
  <w:endnote w:id="14">
    <w:p w14:paraId="70D7C5A2" w14:textId="77777777" w:rsidR="00F44EB0" w:rsidRDefault="00F44EB0" w:rsidP="00F44EB0">
      <w:pPr>
        <w:pStyle w:val="EndnoteText"/>
      </w:pPr>
      <w:r>
        <w:rPr>
          <w:rStyle w:val="EndnoteReference"/>
        </w:rPr>
        <w:endnoteRef/>
      </w:r>
      <w:r>
        <w:t xml:space="preserve"> Ibid. </w:t>
      </w:r>
    </w:p>
  </w:endnote>
  <w:endnote w:id="15">
    <w:p w14:paraId="0AC01D36" w14:textId="1F60EAE0" w:rsidR="00796CAB" w:rsidRDefault="00796CAB">
      <w:pPr>
        <w:pStyle w:val="EndnoteText"/>
      </w:pPr>
      <w:r>
        <w:rPr>
          <w:rStyle w:val="EndnoteReference"/>
        </w:rPr>
        <w:endnoteRef/>
      </w:r>
      <w:r>
        <w:t xml:space="preserve"> </w:t>
      </w:r>
      <w:r w:rsidR="00634676">
        <w:t>Ibid</w:t>
      </w:r>
      <w:r>
        <w:t xml:space="preserve"> [1.101].</w:t>
      </w:r>
    </w:p>
  </w:endnote>
  <w:endnote w:id="16">
    <w:p w14:paraId="7713E4FC" w14:textId="77777777" w:rsidR="00DB47DB" w:rsidRDefault="00DB47DB" w:rsidP="00DB47DB">
      <w:pPr>
        <w:pStyle w:val="EndnoteText"/>
      </w:pPr>
      <w:r>
        <w:rPr>
          <w:rStyle w:val="EndnoteReference"/>
        </w:rPr>
        <w:endnoteRef/>
      </w:r>
      <w:r>
        <w:t xml:space="preserve"> See Exposure Draft Explanatory Materials [1.101].</w:t>
      </w:r>
    </w:p>
  </w:endnote>
  <w:endnote w:id="17">
    <w:p w14:paraId="242DE8E3" w14:textId="523C5F51" w:rsidR="002107C5" w:rsidRDefault="002107C5">
      <w:pPr>
        <w:pStyle w:val="EndnoteText"/>
      </w:pPr>
      <w:r>
        <w:rPr>
          <w:rStyle w:val="EndnoteReference"/>
        </w:rPr>
        <w:endnoteRef/>
      </w:r>
      <w:r>
        <w:t xml:space="preserve"> </w:t>
      </w:r>
      <w:r w:rsidR="00634676">
        <w:t>A-GLIMMER submission</w:t>
      </w:r>
      <w:r w:rsidR="0082626E">
        <w:t>.</w:t>
      </w:r>
    </w:p>
  </w:endnote>
  <w:endnote w:id="18">
    <w:p w14:paraId="52C54668" w14:textId="7918E040" w:rsidR="0006417F" w:rsidRDefault="0006417F">
      <w:pPr>
        <w:pStyle w:val="EndnoteText"/>
      </w:pPr>
      <w:r>
        <w:rPr>
          <w:rStyle w:val="EndnoteReference"/>
        </w:rPr>
        <w:endnoteRef/>
      </w:r>
      <w:r>
        <w:t xml:space="preserve"> </w:t>
      </w:r>
      <w:r w:rsidR="002E79D0">
        <w:t>March 2025 Submission, r</w:t>
      </w:r>
      <w:r>
        <w:t xml:space="preserve">ecommendation 7. </w:t>
      </w:r>
    </w:p>
  </w:endnote>
  <w:endnote w:id="19">
    <w:p w14:paraId="37C3185C" w14:textId="28993D20" w:rsidR="001046C1" w:rsidRDefault="001046C1">
      <w:pPr>
        <w:pStyle w:val="EndnoteText"/>
      </w:pPr>
      <w:r>
        <w:rPr>
          <w:rStyle w:val="EndnoteReference"/>
        </w:rPr>
        <w:endnoteRef/>
      </w:r>
      <w:r>
        <w:t xml:space="preserve"> Exposure Draft Explanatory Materials [1.61]-[1.62].</w:t>
      </w:r>
    </w:p>
  </w:endnote>
  <w:endnote w:id="20">
    <w:p w14:paraId="5BFE3079" w14:textId="2DB45749" w:rsidR="00CA3D1C" w:rsidRDefault="00CA3D1C" w:rsidP="00CA3D1C">
      <w:pPr>
        <w:pStyle w:val="EndnoteText"/>
      </w:pPr>
      <w:r>
        <w:rPr>
          <w:rStyle w:val="EndnoteReference"/>
        </w:rPr>
        <w:endnoteRef/>
      </w:r>
      <w:r>
        <w:t xml:space="preserve"> See </w:t>
      </w:r>
      <w:r w:rsidRPr="0016306F">
        <w:rPr>
          <w:rFonts w:cs="Open Sans"/>
        </w:rPr>
        <w:t xml:space="preserve">Australian Human Rights Commission, </w:t>
      </w:r>
      <w:r w:rsidRPr="00477305">
        <w:rPr>
          <w:rFonts w:cs="Open Sans"/>
          <w:i/>
          <w:iCs/>
        </w:rPr>
        <w:t>Free and Equal: A reform agenda for federal discrimination laws</w:t>
      </w:r>
      <w:r w:rsidRPr="0016306F">
        <w:rPr>
          <w:rFonts w:cs="Open Sans"/>
        </w:rPr>
        <w:t xml:space="preserve"> (Position Paper, December 2021)</w:t>
      </w:r>
      <w:r>
        <w:rPr>
          <w:rFonts w:cs="Open Sans"/>
        </w:rPr>
        <w:t xml:space="preserve"> 273-6</w:t>
      </w:r>
      <w:r>
        <w:rPr>
          <w:i/>
          <w:iCs/>
        </w:rPr>
        <w:t xml:space="preserve"> &lt;</w:t>
      </w:r>
      <w:hyperlink r:id="rId3" w:history="1">
        <w:r w:rsidRPr="0016306F">
          <w:rPr>
            <w:rStyle w:val="Hyperlink"/>
            <w:rFonts w:cs="Open Sans"/>
          </w:rPr>
          <w:t>Free and Equal: A reform agenda for federal discrimination laws (2021) | Australian Human Rights Commission</w:t>
        </w:r>
      </w:hyperlink>
      <w:r w:rsidRPr="0016306F">
        <w:rPr>
          <w:rFonts w:cs="Open Sans"/>
        </w:rPr>
        <w:t>&gt;</w:t>
      </w:r>
      <w:r>
        <w:rPr>
          <w:rFonts w:cs="Open Sans"/>
        </w:rPr>
        <w:t xml:space="preserve"> </w:t>
      </w:r>
    </w:p>
  </w:endnote>
  <w:endnote w:id="21">
    <w:p w14:paraId="575BCAA0" w14:textId="61AD7431" w:rsidR="00773F52" w:rsidRDefault="001B57AD" w:rsidP="00773F52">
      <w:pPr>
        <w:pStyle w:val="Bodylistbullets"/>
        <w:numPr>
          <w:ilvl w:val="0"/>
          <w:numId w:val="0"/>
        </w:numPr>
        <w:ind w:left="357" w:hanging="357"/>
      </w:pPr>
      <w:r>
        <w:rPr>
          <w:rStyle w:val="EndnoteReference"/>
        </w:rPr>
        <w:endnoteRef/>
      </w:r>
      <w:r>
        <w:t xml:space="preserve"> </w:t>
      </w:r>
      <w:r w:rsidR="005B01BA">
        <w:t xml:space="preserve">Australian Human Rights Commission, </w:t>
      </w:r>
      <w:r w:rsidR="005B01BA" w:rsidRPr="00092246">
        <w:rPr>
          <w:i/>
          <w:iCs/>
        </w:rPr>
        <w:t xml:space="preserve">Use of </w:t>
      </w:r>
      <w:r w:rsidR="00092246" w:rsidRPr="00092246">
        <w:rPr>
          <w:i/>
          <w:iCs/>
        </w:rPr>
        <w:t>genetic testing results in insurance underwriting</w:t>
      </w:r>
      <w:r w:rsidR="00092246">
        <w:t xml:space="preserve">, </w:t>
      </w:r>
      <w:r w:rsidR="005B01BA">
        <w:t xml:space="preserve">Submission to Australian Treasury, dated 16 February 2024 </w:t>
      </w:r>
      <w:r w:rsidR="00773F52">
        <w:t>(February 2024 Submission)</w:t>
      </w:r>
    </w:p>
    <w:p w14:paraId="33BF491C" w14:textId="77792E18" w:rsidR="001B57AD" w:rsidRDefault="001B57AD" w:rsidP="001B57A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Sitka Display Semibold">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61636"/>
      <w:docPartObj>
        <w:docPartGallery w:val="Page Numbers (Bottom of Page)"/>
        <w:docPartUnique/>
      </w:docPartObj>
    </w:sdtPr>
    <w:sdtEndPr>
      <w:rPr>
        <w:noProof/>
      </w:rPr>
    </w:sdtEndPr>
    <w:sdtContent>
      <w:p w14:paraId="51A364C3" w14:textId="77777777" w:rsidR="004024FD" w:rsidRPr="00A418E2" w:rsidRDefault="004024FD" w:rsidP="00861142">
        <w:pPr>
          <w:pStyle w:val="Footer"/>
        </w:pPr>
        <w:r w:rsidRPr="004024FD">
          <w:t>Australian Human Rights Commission</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EBB3" w14:textId="77777777" w:rsidR="00FD2D8A" w:rsidRPr="00FD2D8A" w:rsidRDefault="00FD2D8A" w:rsidP="00861142">
    <w:pPr>
      <w:pStyle w:val="Footer"/>
    </w:pPr>
    <w:r>
      <w:t>Australian Human Rights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965B" w14:textId="77777777" w:rsidR="00231C8D" w:rsidRDefault="00231C8D" w:rsidP="00965614">
      <w:r>
        <w:separator/>
      </w:r>
    </w:p>
  </w:footnote>
  <w:footnote w:type="continuationSeparator" w:id="0">
    <w:p w14:paraId="789F2FDC" w14:textId="77777777" w:rsidR="00231C8D" w:rsidRDefault="00231C8D" w:rsidP="00965614">
      <w:r>
        <w:continuationSeparator/>
      </w:r>
    </w:p>
  </w:footnote>
  <w:footnote w:type="continuationNotice" w:id="1">
    <w:p w14:paraId="179A2F84" w14:textId="77777777" w:rsidR="00231C8D" w:rsidRDefault="00231C8D" w:rsidP="0096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3FBE" w14:textId="77777777" w:rsidR="00173A76" w:rsidRDefault="00323621" w:rsidP="00323621">
    <w:pPr>
      <w:pStyle w:val="Header"/>
    </w:pPr>
    <w:r w:rsidRPr="00E94C73">
      <w:rPr>
        <w:noProof/>
      </w:rPr>
      <w:drawing>
        <wp:anchor distT="0" distB="0" distL="114300" distR="114300" simplePos="0" relativeHeight="251658240" behindDoc="1" locked="0" layoutInCell="1" allowOverlap="1" wp14:anchorId="3234DC93" wp14:editId="30FECAD8">
          <wp:simplePos x="0" y="0"/>
          <wp:positionH relativeFrom="margin">
            <wp:posOffset>3823855</wp:posOffset>
          </wp:positionH>
          <wp:positionV relativeFrom="margin">
            <wp:posOffset>-351450</wp:posOffset>
          </wp:positionV>
          <wp:extent cx="2113354" cy="662880"/>
          <wp:effectExtent l="0" t="0" r="1270" b="4445"/>
          <wp:wrapNone/>
          <wp:docPr id="1" name="Picture 3"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113354" cy="6628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98685"/>
      <w:placeholder>
        <w:docPart w:val="CDBCCB2783FD4EC0874CF61975A4FD7E"/>
      </w:placeholder>
      <w:dataBinding w:prefixMappings="xmlns:ns0='http://AHRCheadings.htm' " w:xpath="/ns0:headings[1]/ns0:Overview[1]" w:storeItemID="{59E40458-85DB-4B58-AD7F-ED1E21A92441}"/>
      <w:text/>
    </w:sdtPr>
    <w:sdtEndPr/>
    <w:sdtContent>
      <w:p w14:paraId="719E81F4" w14:textId="77777777" w:rsidR="00F14523" w:rsidRPr="0015672E" w:rsidRDefault="00FF3BE7" w:rsidP="00965614">
        <w:pPr>
          <w:pStyle w:val="Header"/>
        </w:pPr>
        <w:r>
          <w:t>Overview</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31459"/>
      <w:placeholder>
        <w:docPart w:val="CDBCCB2783FD4EC0874CF61975A4FD7E"/>
      </w:placeholder>
      <w:dataBinding w:prefixMappings="xmlns:ns0='http://AHRCheadings.htm' " w:xpath="/ns0:headings[1]/ns0:Topic2[1]" w:storeItemID="{59E40458-85DB-4B58-AD7F-ED1E21A92441}"/>
      <w:text/>
    </w:sdtPr>
    <w:sdtEndPr/>
    <w:sdtContent>
      <w:p w14:paraId="2888FCBE" w14:textId="7AF4729C" w:rsidR="00FF3BE7" w:rsidRPr="0015672E" w:rsidRDefault="00AD0EFC" w:rsidP="0015672E">
        <w:pPr>
          <w:pStyle w:val="Header"/>
        </w:pPr>
        <w:r>
          <w:t>Specific</w:t>
        </w:r>
        <w:r w:rsidR="00A77E06">
          <w:t xml:space="preserve"> concerns</w:t>
        </w:r>
        <w:r>
          <w:t xml:space="preserve"> about the Exposure Draft</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230751"/>
      <w:placeholder>
        <w:docPart w:val="CDBCCB2783FD4EC0874CF61975A4FD7E"/>
      </w:placeholder>
      <w:dataBinding w:prefixMappings="xmlns:ns0='http://AHRCheadings.htm' " w:xpath="/ns0:headings[1]/ns0:Endnotes[1]" w:storeItemID="{59E40458-85DB-4B58-AD7F-ED1E21A92441}"/>
      <w:text/>
    </w:sdtPr>
    <w:sdtEndPr/>
    <w:sdtContent>
      <w:p w14:paraId="21AF955C" w14:textId="77777777" w:rsidR="0015672E" w:rsidRPr="0015672E" w:rsidRDefault="00FF3BE7" w:rsidP="0015672E">
        <w:pPr>
          <w:pStyle w:val="Header"/>
        </w:pPr>
        <w:r>
          <w:t>Endnotes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112.85pt;height:112.85pt;visibility:visible" o:bullet="t">
        <v:imagedata r:id="rId1" o:title="Globe Australia"/>
      </v:shape>
    </w:pict>
  </w:numPicBullet>
  <w:abstractNum w:abstractNumId="0" w15:restartNumberingAfterBreak="0">
    <w:nsid w:val="E7172DE4"/>
    <w:multiLevelType w:val="hybridMultilevel"/>
    <w:tmpl w:val="442A5B4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63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44173"/>
    <w:multiLevelType w:val="hybridMultilevel"/>
    <w:tmpl w:val="97B0DC08"/>
    <w:lvl w:ilvl="0" w:tplc="D4AA12A0">
      <w:start w:val="1"/>
      <w:numFmt w:val="decimal"/>
      <w:lvlText w:val="%1."/>
      <w:lvlJc w:val="left"/>
      <w:pPr>
        <w:ind w:left="360" w:hanging="360"/>
      </w:pPr>
      <w:rPr>
        <w:rFonts w:hint="default"/>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EA138C"/>
    <w:multiLevelType w:val="hybridMultilevel"/>
    <w:tmpl w:val="B212100A"/>
    <w:lvl w:ilvl="0" w:tplc="A90493EE">
      <w:start w:val="1"/>
      <w:numFmt w:val="bullet"/>
      <w:lvlText w:val=""/>
      <w:lvlPicBulletId w:val="0"/>
      <w:lvlJc w:val="left"/>
      <w:pPr>
        <w:ind w:left="360" w:hanging="360"/>
      </w:pPr>
      <w:rPr>
        <w:rFonts w:ascii="Symbol" w:hAnsi="Symbol" w:hint="default"/>
        <w:color w:val="auto"/>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5A6DAF"/>
    <w:multiLevelType w:val="multilevel"/>
    <w:tmpl w:val="23CA5D0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4930905"/>
    <w:multiLevelType w:val="hybridMultilevel"/>
    <w:tmpl w:val="719A8ABE"/>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DF5E15"/>
    <w:multiLevelType w:val="hybridMultilevel"/>
    <w:tmpl w:val="511E5474"/>
    <w:lvl w:ilvl="0" w:tplc="3E243DC2">
      <w:start w:val="1"/>
      <w:numFmt w:val="bullet"/>
      <w:lvlText w:val=""/>
      <w:lvlJc w:val="left"/>
      <w:pPr>
        <w:ind w:left="720" w:hanging="360"/>
      </w:pPr>
      <w:rPr>
        <w:rFonts w:ascii="Symbol" w:hAnsi="Symbol"/>
      </w:rPr>
    </w:lvl>
    <w:lvl w:ilvl="1" w:tplc="9808DEE8">
      <w:start w:val="1"/>
      <w:numFmt w:val="bullet"/>
      <w:lvlText w:val=""/>
      <w:lvlJc w:val="left"/>
      <w:pPr>
        <w:ind w:left="720" w:hanging="360"/>
      </w:pPr>
      <w:rPr>
        <w:rFonts w:ascii="Symbol" w:hAnsi="Symbol"/>
      </w:rPr>
    </w:lvl>
    <w:lvl w:ilvl="2" w:tplc="00007B38">
      <w:start w:val="1"/>
      <w:numFmt w:val="bullet"/>
      <w:lvlText w:val=""/>
      <w:lvlJc w:val="left"/>
      <w:pPr>
        <w:ind w:left="720" w:hanging="360"/>
      </w:pPr>
      <w:rPr>
        <w:rFonts w:ascii="Symbol" w:hAnsi="Symbol"/>
      </w:rPr>
    </w:lvl>
    <w:lvl w:ilvl="3" w:tplc="81344F60">
      <w:start w:val="1"/>
      <w:numFmt w:val="bullet"/>
      <w:lvlText w:val=""/>
      <w:lvlJc w:val="left"/>
      <w:pPr>
        <w:ind w:left="720" w:hanging="360"/>
      </w:pPr>
      <w:rPr>
        <w:rFonts w:ascii="Symbol" w:hAnsi="Symbol"/>
      </w:rPr>
    </w:lvl>
    <w:lvl w:ilvl="4" w:tplc="63F4E086">
      <w:start w:val="1"/>
      <w:numFmt w:val="bullet"/>
      <w:lvlText w:val=""/>
      <w:lvlJc w:val="left"/>
      <w:pPr>
        <w:ind w:left="720" w:hanging="360"/>
      </w:pPr>
      <w:rPr>
        <w:rFonts w:ascii="Symbol" w:hAnsi="Symbol"/>
      </w:rPr>
    </w:lvl>
    <w:lvl w:ilvl="5" w:tplc="012647E2">
      <w:start w:val="1"/>
      <w:numFmt w:val="bullet"/>
      <w:lvlText w:val=""/>
      <w:lvlJc w:val="left"/>
      <w:pPr>
        <w:ind w:left="720" w:hanging="360"/>
      </w:pPr>
      <w:rPr>
        <w:rFonts w:ascii="Symbol" w:hAnsi="Symbol"/>
      </w:rPr>
    </w:lvl>
    <w:lvl w:ilvl="6" w:tplc="1C0EAC42">
      <w:start w:val="1"/>
      <w:numFmt w:val="bullet"/>
      <w:lvlText w:val=""/>
      <w:lvlJc w:val="left"/>
      <w:pPr>
        <w:ind w:left="720" w:hanging="360"/>
      </w:pPr>
      <w:rPr>
        <w:rFonts w:ascii="Symbol" w:hAnsi="Symbol"/>
      </w:rPr>
    </w:lvl>
    <w:lvl w:ilvl="7" w:tplc="0196231A">
      <w:start w:val="1"/>
      <w:numFmt w:val="bullet"/>
      <w:lvlText w:val=""/>
      <w:lvlJc w:val="left"/>
      <w:pPr>
        <w:ind w:left="720" w:hanging="360"/>
      </w:pPr>
      <w:rPr>
        <w:rFonts w:ascii="Symbol" w:hAnsi="Symbol"/>
      </w:rPr>
    </w:lvl>
    <w:lvl w:ilvl="8" w:tplc="DDA6D812">
      <w:start w:val="1"/>
      <w:numFmt w:val="bullet"/>
      <w:lvlText w:val=""/>
      <w:lvlJc w:val="left"/>
      <w:pPr>
        <w:ind w:left="720" w:hanging="360"/>
      </w:pPr>
      <w:rPr>
        <w:rFonts w:ascii="Symbol" w:hAnsi="Symbol"/>
      </w:rPr>
    </w:lvl>
  </w:abstractNum>
  <w:abstractNum w:abstractNumId="7" w15:restartNumberingAfterBreak="0">
    <w:nsid w:val="1E333FC3"/>
    <w:multiLevelType w:val="multilevel"/>
    <w:tmpl w:val="6C9AC8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E8F5D73"/>
    <w:multiLevelType w:val="hybridMultilevel"/>
    <w:tmpl w:val="8344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895F77"/>
    <w:multiLevelType w:val="multilevel"/>
    <w:tmpl w:val="2116C8C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761178B"/>
    <w:multiLevelType w:val="hybridMultilevel"/>
    <w:tmpl w:val="5CB282BE"/>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81342D2"/>
    <w:multiLevelType w:val="hybridMultilevel"/>
    <w:tmpl w:val="608AF268"/>
    <w:lvl w:ilvl="0" w:tplc="0F4C13EE">
      <w:start w:val="1"/>
      <w:numFmt w:val="decimal"/>
      <w:pStyle w:val="Normal"/>
      <w:lvlText w:val="%1."/>
      <w:lvlJc w:val="left"/>
      <w:pPr>
        <w:ind w:left="720" w:hanging="360"/>
      </w:pPr>
      <w:rPr>
        <w:rFonts w:hint="default"/>
        <w:color w:val="40404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35698F"/>
    <w:multiLevelType w:val="multilevel"/>
    <w:tmpl w:val="793A0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5C2C5CBF"/>
    <w:multiLevelType w:val="hybridMultilevel"/>
    <w:tmpl w:val="59569332"/>
    <w:lvl w:ilvl="0" w:tplc="7D56C5C6">
      <w:start w:val="1"/>
      <w:numFmt w:val="decimal"/>
      <w:pStyle w:val="Bodylistnumbers"/>
      <w:lvlText w:val="%1."/>
      <w:lvlJc w:val="left"/>
      <w:pPr>
        <w:ind w:left="-320" w:hanging="360"/>
      </w:pPr>
      <w:rPr>
        <w:color w:val="143C65" w:themeColor="accent1"/>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15" w15:restartNumberingAfterBreak="0">
    <w:nsid w:val="67700DB9"/>
    <w:multiLevelType w:val="hybridMultilevel"/>
    <w:tmpl w:val="3A76192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6" w15:restartNumberingAfterBreak="0">
    <w:nsid w:val="6EC82C6C"/>
    <w:multiLevelType w:val="hybridMultilevel"/>
    <w:tmpl w:val="103AE250"/>
    <w:lvl w:ilvl="0" w:tplc="BDECA6B6">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4116966">
    <w:abstractNumId w:val="5"/>
  </w:num>
  <w:num w:numId="2" w16cid:durableId="1576890948">
    <w:abstractNumId w:val="14"/>
  </w:num>
  <w:num w:numId="3" w16cid:durableId="1411004709">
    <w:abstractNumId w:val="16"/>
  </w:num>
  <w:num w:numId="4" w16cid:durableId="825244839">
    <w:abstractNumId w:val="3"/>
  </w:num>
  <w:num w:numId="5" w16cid:durableId="1025209766">
    <w:abstractNumId w:val="14"/>
    <w:lvlOverride w:ilvl="0">
      <w:startOverride w:val="1"/>
    </w:lvlOverride>
  </w:num>
  <w:num w:numId="6" w16cid:durableId="939065618">
    <w:abstractNumId w:val="10"/>
  </w:num>
  <w:num w:numId="7" w16cid:durableId="717818606">
    <w:abstractNumId w:val="2"/>
  </w:num>
  <w:num w:numId="8" w16cid:durableId="1196507562">
    <w:abstractNumId w:val="12"/>
  </w:num>
  <w:num w:numId="9" w16cid:durableId="1803845371">
    <w:abstractNumId w:val="1"/>
  </w:num>
  <w:num w:numId="10" w16cid:durableId="560750613">
    <w:abstractNumId w:val="12"/>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733509586">
    <w:abstractNumId w:val="2"/>
    <w:lvlOverride w:ilvl="0">
      <w:startOverride w:val="1"/>
    </w:lvlOverride>
  </w:num>
  <w:num w:numId="12" w16cid:durableId="1012686430">
    <w:abstractNumId w:val="12"/>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288821952">
    <w:abstractNumId w:val="9"/>
  </w:num>
  <w:num w:numId="14" w16cid:durableId="1833833636">
    <w:abstractNumId w:val="7"/>
  </w:num>
  <w:num w:numId="15" w16cid:durableId="529102834">
    <w:abstractNumId w:val="16"/>
  </w:num>
  <w:num w:numId="16" w16cid:durableId="1084760115">
    <w:abstractNumId w:val="16"/>
  </w:num>
  <w:num w:numId="17" w16cid:durableId="128208228">
    <w:abstractNumId w:val="14"/>
  </w:num>
  <w:num w:numId="18" w16cid:durableId="1266304166">
    <w:abstractNumId w:val="16"/>
  </w:num>
  <w:num w:numId="19" w16cid:durableId="1349524145">
    <w:abstractNumId w:val="4"/>
  </w:num>
  <w:num w:numId="20" w16cid:durableId="1920551438">
    <w:abstractNumId w:val="4"/>
  </w:num>
  <w:num w:numId="21" w16cid:durableId="945039616">
    <w:abstractNumId w:val="4"/>
  </w:num>
  <w:num w:numId="22" w16cid:durableId="684017697">
    <w:abstractNumId w:val="4"/>
  </w:num>
  <w:num w:numId="23" w16cid:durableId="1320958273">
    <w:abstractNumId w:val="4"/>
  </w:num>
  <w:num w:numId="24" w16cid:durableId="718431559">
    <w:abstractNumId w:val="4"/>
  </w:num>
  <w:num w:numId="25" w16cid:durableId="254556642">
    <w:abstractNumId w:val="4"/>
  </w:num>
  <w:num w:numId="26" w16cid:durableId="1248878576">
    <w:abstractNumId w:val="4"/>
  </w:num>
  <w:num w:numId="27" w16cid:durableId="840240824">
    <w:abstractNumId w:val="3"/>
  </w:num>
  <w:num w:numId="28" w16cid:durableId="1294823578">
    <w:abstractNumId w:val="5"/>
  </w:num>
  <w:num w:numId="29" w16cid:durableId="114954980">
    <w:abstractNumId w:val="10"/>
  </w:num>
  <w:num w:numId="30" w16cid:durableId="703598111">
    <w:abstractNumId w:val="10"/>
    <w:lvlOverride w:ilvl="0">
      <w:startOverride w:val="1"/>
    </w:lvlOverride>
  </w:num>
  <w:num w:numId="31" w16cid:durableId="1952469592">
    <w:abstractNumId w:val="10"/>
    <w:lvlOverride w:ilvl="0">
      <w:startOverride w:val="1"/>
    </w:lvlOverride>
  </w:num>
  <w:num w:numId="32" w16cid:durableId="34045168">
    <w:abstractNumId w:val="11"/>
  </w:num>
  <w:num w:numId="33" w16cid:durableId="1649822273">
    <w:abstractNumId w:val="6"/>
  </w:num>
  <w:num w:numId="34" w16cid:durableId="1585257206">
    <w:abstractNumId w:val="0"/>
  </w:num>
  <w:num w:numId="35" w16cid:durableId="665402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0872952">
    <w:abstractNumId w:val="15"/>
  </w:num>
  <w:num w:numId="37" w16cid:durableId="1330476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44"/>
    <w:rsid w:val="00000325"/>
    <w:rsid w:val="00004092"/>
    <w:rsid w:val="00005433"/>
    <w:rsid w:val="00007BE0"/>
    <w:rsid w:val="00010588"/>
    <w:rsid w:val="00014EE1"/>
    <w:rsid w:val="00015610"/>
    <w:rsid w:val="00016F9C"/>
    <w:rsid w:val="00020C6D"/>
    <w:rsid w:val="00020D5F"/>
    <w:rsid w:val="00021065"/>
    <w:rsid w:val="000236C0"/>
    <w:rsid w:val="00023AF9"/>
    <w:rsid w:val="0002505C"/>
    <w:rsid w:val="000258E8"/>
    <w:rsid w:val="0003105A"/>
    <w:rsid w:val="00033CDC"/>
    <w:rsid w:val="00034948"/>
    <w:rsid w:val="00035665"/>
    <w:rsid w:val="00035AF9"/>
    <w:rsid w:val="0003643B"/>
    <w:rsid w:val="000376E4"/>
    <w:rsid w:val="0004246A"/>
    <w:rsid w:val="0004668E"/>
    <w:rsid w:val="0004790E"/>
    <w:rsid w:val="00052BA3"/>
    <w:rsid w:val="0005370A"/>
    <w:rsid w:val="00053733"/>
    <w:rsid w:val="00053B33"/>
    <w:rsid w:val="00055458"/>
    <w:rsid w:val="0005676E"/>
    <w:rsid w:val="000637D0"/>
    <w:rsid w:val="0006417F"/>
    <w:rsid w:val="00066648"/>
    <w:rsid w:val="00071042"/>
    <w:rsid w:val="00071886"/>
    <w:rsid w:val="000737E1"/>
    <w:rsid w:val="00073EEB"/>
    <w:rsid w:val="00075D48"/>
    <w:rsid w:val="0007658D"/>
    <w:rsid w:val="000812B0"/>
    <w:rsid w:val="000817D9"/>
    <w:rsid w:val="00082571"/>
    <w:rsid w:val="000848C4"/>
    <w:rsid w:val="00084F8C"/>
    <w:rsid w:val="000858B7"/>
    <w:rsid w:val="00090096"/>
    <w:rsid w:val="00090A5D"/>
    <w:rsid w:val="00090AC7"/>
    <w:rsid w:val="00090B0D"/>
    <w:rsid w:val="00090B47"/>
    <w:rsid w:val="00092246"/>
    <w:rsid w:val="00092BE4"/>
    <w:rsid w:val="00093784"/>
    <w:rsid w:val="00097656"/>
    <w:rsid w:val="000A08D9"/>
    <w:rsid w:val="000B0B6B"/>
    <w:rsid w:val="000B193F"/>
    <w:rsid w:val="000B2F54"/>
    <w:rsid w:val="000B3AB3"/>
    <w:rsid w:val="000B58F9"/>
    <w:rsid w:val="000B5E94"/>
    <w:rsid w:val="000B7F74"/>
    <w:rsid w:val="000C0154"/>
    <w:rsid w:val="000C0B33"/>
    <w:rsid w:val="000C2A9F"/>
    <w:rsid w:val="000C340F"/>
    <w:rsid w:val="000C48D4"/>
    <w:rsid w:val="000C4E9B"/>
    <w:rsid w:val="000C6147"/>
    <w:rsid w:val="000C63B8"/>
    <w:rsid w:val="000C7AD5"/>
    <w:rsid w:val="000C7E86"/>
    <w:rsid w:val="000D1A73"/>
    <w:rsid w:val="000D1B6B"/>
    <w:rsid w:val="000D1C6D"/>
    <w:rsid w:val="000D28DD"/>
    <w:rsid w:val="000D30AA"/>
    <w:rsid w:val="000D42FB"/>
    <w:rsid w:val="000D4828"/>
    <w:rsid w:val="000D7A7C"/>
    <w:rsid w:val="000E2183"/>
    <w:rsid w:val="000E341B"/>
    <w:rsid w:val="000E615F"/>
    <w:rsid w:val="000F12BA"/>
    <w:rsid w:val="000F171D"/>
    <w:rsid w:val="000F3EB8"/>
    <w:rsid w:val="000F4A83"/>
    <w:rsid w:val="000F6DE8"/>
    <w:rsid w:val="000F7E19"/>
    <w:rsid w:val="001010D9"/>
    <w:rsid w:val="00101BF3"/>
    <w:rsid w:val="00102139"/>
    <w:rsid w:val="00102883"/>
    <w:rsid w:val="00102D53"/>
    <w:rsid w:val="00103BE2"/>
    <w:rsid w:val="001046C1"/>
    <w:rsid w:val="00105906"/>
    <w:rsid w:val="00105D74"/>
    <w:rsid w:val="00106FE7"/>
    <w:rsid w:val="0011348F"/>
    <w:rsid w:val="001173A0"/>
    <w:rsid w:val="00117AAC"/>
    <w:rsid w:val="00121865"/>
    <w:rsid w:val="00123828"/>
    <w:rsid w:val="00124405"/>
    <w:rsid w:val="00126523"/>
    <w:rsid w:val="00127A86"/>
    <w:rsid w:val="00131218"/>
    <w:rsid w:val="00133036"/>
    <w:rsid w:val="001345CB"/>
    <w:rsid w:val="00134A7D"/>
    <w:rsid w:val="00135D60"/>
    <w:rsid w:val="00147772"/>
    <w:rsid w:val="00150124"/>
    <w:rsid w:val="001525FA"/>
    <w:rsid w:val="0015411E"/>
    <w:rsid w:val="00154318"/>
    <w:rsid w:val="001544E2"/>
    <w:rsid w:val="00154F9D"/>
    <w:rsid w:val="0015541B"/>
    <w:rsid w:val="0015672E"/>
    <w:rsid w:val="00157353"/>
    <w:rsid w:val="0016096D"/>
    <w:rsid w:val="00161236"/>
    <w:rsid w:val="0016284B"/>
    <w:rsid w:val="00163B06"/>
    <w:rsid w:val="00163DC4"/>
    <w:rsid w:val="001649BB"/>
    <w:rsid w:val="00166F48"/>
    <w:rsid w:val="00167765"/>
    <w:rsid w:val="0017206C"/>
    <w:rsid w:val="001725A2"/>
    <w:rsid w:val="00173196"/>
    <w:rsid w:val="00173A76"/>
    <w:rsid w:val="00176482"/>
    <w:rsid w:val="00176BE5"/>
    <w:rsid w:val="001776EB"/>
    <w:rsid w:val="00180872"/>
    <w:rsid w:val="00182EEF"/>
    <w:rsid w:val="00183F3A"/>
    <w:rsid w:val="00187177"/>
    <w:rsid w:val="001877E9"/>
    <w:rsid w:val="00192B7D"/>
    <w:rsid w:val="00192C0E"/>
    <w:rsid w:val="00194D5D"/>
    <w:rsid w:val="00195ED3"/>
    <w:rsid w:val="00196D3B"/>
    <w:rsid w:val="001A5D57"/>
    <w:rsid w:val="001A6444"/>
    <w:rsid w:val="001B027C"/>
    <w:rsid w:val="001B1015"/>
    <w:rsid w:val="001B135C"/>
    <w:rsid w:val="001B1613"/>
    <w:rsid w:val="001B49F5"/>
    <w:rsid w:val="001B5779"/>
    <w:rsid w:val="001B57AD"/>
    <w:rsid w:val="001C231D"/>
    <w:rsid w:val="001C310D"/>
    <w:rsid w:val="001C52B8"/>
    <w:rsid w:val="001C75D8"/>
    <w:rsid w:val="001D0A36"/>
    <w:rsid w:val="001D5446"/>
    <w:rsid w:val="001D6115"/>
    <w:rsid w:val="001D7011"/>
    <w:rsid w:val="001D707F"/>
    <w:rsid w:val="001E040F"/>
    <w:rsid w:val="001E17CD"/>
    <w:rsid w:val="001E3910"/>
    <w:rsid w:val="001E576E"/>
    <w:rsid w:val="001E6207"/>
    <w:rsid w:val="001E639D"/>
    <w:rsid w:val="001E6B0C"/>
    <w:rsid w:val="001E7D46"/>
    <w:rsid w:val="001F0E51"/>
    <w:rsid w:val="001F26FF"/>
    <w:rsid w:val="001F2FE2"/>
    <w:rsid w:val="001F3060"/>
    <w:rsid w:val="001F36A7"/>
    <w:rsid w:val="001F39F2"/>
    <w:rsid w:val="001F4064"/>
    <w:rsid w:val="001F5157"/>
    <w:rsid w:val="001F5638"/>
    <w:rsid w:val="001F59ED"/>
    <w:rsid w:val="0020252F"/>
    <w:rsid w:val="0020319C"/>
    <w:rsid w:val="00205F34"/>
    <w:rsid w:val="00206498"/>
    <w:rsid w:val="002079CE"/>
    <w:rsid w:val="00207B8B"/>
    <w:rsid w:val="00207E50"/>
    <w:rsid w:val="002107C5"/>
    <w:rsid w:val="00210BE1"/>
    <w:rsid w:val="002110BC"/>
    <w:rsid w:val="00212879"/>
    <w:rsid w:val="00212CF7"/>
    <w:rsid w:val="002141FD"/>
    <w:rsid w:val="00215083"/>
    <w:rsid w:val="00215DBC"/>
    <w:rsid w:val="00221879"/>
    <w:rsid w:val="002221C4"/>
    <w:rsid w:val="00222682"/>
    <w:rsid w:val="002247F3"/>
    <w:rsid w:val="00225178"/>
    <w:rsid w:val="00225F5C"/>
    <w:rsid w:val="00231C8D"/>
    <w:rsid w:val="00234EAC"/>
    <w:rsid w:val="00240AE0"/>
    <w:rsid w:val="00244485"/>
    <w:rsid w:val="00245B68"/>
    <w:rsid w:val="002477F3"/>
    <w:rsid w:val="00247B12"/>
    <w:rsid w:val="00250E67"/>
    <w:rsid w:val="00252260"/>
    <w:rsid w:val="002547D5"/>
    <w:rsid w:val="00257142"/>
    <w:rsid w:val="002579B1"/>
    <w:rsid w:val="002615E9"/>
    <w:rsid w:val="00261DA0"/>
    <w:rsid w:val="00262ECC"/>
    <w:rsid w:val="00263248"/>
    <w:rsid w:val="00265690"/>
    <w:rsid w:val="00265923"/>
    <w:rsid w:val="00265F8A"/>
    <w:rsid w:val="0026603E"/>
    <w:rsid w:val="0026727A"/>
    <w:rsid w:val="0027114F"/>
    <w:rsid w:val="002725B6"/>
    <w:rsid w:val="00277E24"/>
    <w:rsid w:val="00284BF2"/>
    <w:rsid w:val="0028724D"/>
    <w:rsid w:val="002907C8"/>
    <w:rsid w:val="00291C86"/>
    <w:rsid w:val="00292BA3"/>
    <w:rsid w:val="00292E88"/>
    <w:rsid w:val="00293E79"/>
    <w:rsid w:val="00295247"/>
    <w:rsid w:val="00295318"/>
    <w:rsid w:val="00296DA4"/>
    <w:rsid w:val="002A0043"/>
    <w:rsid w:val="002A452A"/>
    <w:rsid w:val="002A5CCF"/>
    <w:rsid w:val="002A7868"/>
    <w:rsid w:val="002B035E"/>
    <w:rsid w:val="002B283C"/>
    <w:rsid w:val="002B71B8"/>
    <w:rsid w:val="002B7A5D"/>
    <w:rsid w:val="002B7AC0"/>
    <w:rsid w:val="002C1C2D"/>
    <w:rsid w:val="002C2CF8"/>
    <w:rsid w:val="002C327E"/>
    <w:rsid w:val="002C41D3"/>
    <w:rsid w:val="002C5F20"/>
    <w:rsid w:val="002C7388"/>
    <w:rsid w:val="002C7DF2"/>
    <w:rsid w:val="002D1E1A"/>
    <w:rsid w:val="002D258B"/>
    <w:rsid w:val="002D4FCA"/>
    <w:rsid w:val="002D67BB"/>
    <w:rsid w:val="002D7C7F"/>
    <w:rsid w:val="002E0E2E"/>
    <w:rsid w:val="002E1116"/>
    <w:rsid w:val="002E121D"/>
    <w:rsid w:val="002E1B48"/>
    <w:rsid w:val="002E26B2"/>
    <w:rsid w:val="002E2CB4"/>
    <w:rsid w:val="002E31B2"/>
    <w:rsid w:val="002E4575"/>
    <w:rsid w:val="002E74D3"/>
    <w:rsid w:val="002E79D0"/>
    <w:rsid w:val="002F1404"/>
    <w:rsid w:val="002F2443"/>
    <w:rsid w:val="002F5123"/>
    <w:rsid w:val="00300AB1"/>
    <w:rsid w:val="00302D2C"/>
    <w:rsid w:val="003056D2"/>
    <w:rsid w:val="00305B2E"/>
    <w:rsid w:val="003073FE"/>
    <w:rsid w:val="00307A3A"/>
    <w:rsid w:val="00307C6C"/>
    <w:rsid w:val="00310B25"/>
    <w:rsid w:val="00310C9D"/>
    <w:rsid w:val="003112D8"/>
    <w:rsid w:val="003128A7"/>
    <w:rsid w:val="00313EF8"/>
    <w:rsid w:val="00314F0D"/>
    <w:rsid w:val="00315E66"/>
    <w:rsid w:val="00316B9F"/>
    <w:rsid w:val="003230B9"/>
    <w:rsid w:val="00323621"/>
    <w:rsid w:val="00324A56"/>
    <w:rsid w:val="00325900"/>
    <w:rsid w:val="0032671E"/>
    <w:rsid w:val="00326E19"/>
    <w:rsid w:val="0032714B"/>
    <w:rsid w:val="00327B08"/>
    <w:rsid w:val="00330365"/>
    <w:rsid w:val="00330576"/>
    <w:rsid w:val="0033092B"/>
    <w:rsid w:val="00332BE4"/>
    <w:rsid w:val="00333F13"/>
    <w:rsid w:val="00335B8E"/>
    <w:rsid w:val="0033613E"/>
    <w:rsid w:val="003368B8"/>
    <w:rsid w:val="003368D0"/>
    <w:rsid w:val="00340955"/>
    <w:rsid w:val="00340FE0"/>
    <w:rsid w:val="003422E6"/>
    <w:rsid w:val="003427AB"/>
    <w:rsid w:val="003428AA"/>
    <w:rsid w:val="00345E40"/>
    <w:rsid w:val="00351F58"/>
    <w:rsid w:val="00353DF0"/>
    <w:rsid w:val="003561FD"/>
    <w:rsid w:val="00356D84"/>
    <w:rsid w:val="0036065F"/>
    <w:rsid w:val="0036160E"/>
    <w:rsid w:val="00363BF5"/>
    <w:rsid w:val="0036451C"/>
    <w:rsid w:val="00370E76"/>
    <w:rsid w:val="00370F44"/>
    <w:rsid w:val="00373AC9"/>
    <w:rsid w:val="0037428E"/>
    <w:rsid w:val="00374844"/>
    <w:rsid w:val="0037516E"/>
    <w:rsid w:val="00375820"/>
    <w:rsid w:val="00375B67"/>
    <w:rsid w:val="00376EDF"/>
    <w:rsid w:val="003773BE"/>
    <w:rsid w:val="00380B7B"/>
    <w:rsid w:val="00383153"/>
    <w:rsid w:val="003901BD"/>
    <w:rsid w:val="003905D0"/>
    <w:rsid w:val="003917D6"/>
    <w:rsid w:val="00391AA9"/>
    <w:rsid w:val="003927A7"/>
    <w:rsid w:val="0039346C"/>
    <w:rsid w:val="0039E86E"/>
    <w:rsid w:val="003A035C"/>
    <w:rsid w:val="003A30DD"/>
    <w:rsid w:val="003A53BB"/>
    <w:rsid w:val="003A5C90"/>
    <w:rsid w:val="003A5F86"/>
    <w:rsid w:val="003A6577"/>
    <w:rsid w:val="003A6F61"/>
    <w:rsid w:val="003A79FD"/>
    <w:rsid w:val="003B18E2"/>
    <w:rsid w:val="003B1B27"/>
    <w:rsid w:val="003B4285"/>
    <w:rsid w:val="003B5895"/>
    <w:rsid w:val="003B6F45"/>
    <w:rsid w:val="003B71C5"/>
    <w:rsid w:val="003C00DE"/>
    <w:rsid w:val="003C1091"/>
    <w:rsid w:val="003C167E"/>
    <w:rsid w:val="003C2343"/>
    <w:rsid w:val="003C3567"/>
    <w:rsid w:val="003C3923"/>
    <w:rsid w:val="003C5709"/>
    <w:rsid w:val="003C5DC5"/>
    <w:rsid w:val="003C6D75"/>
    <w:rsid w:val="003D1573"/>
    <w:rsid w:val="003D23EE"/>
    <w:rsid w:val="003D45E6"/>
    <w:rsid w:val="003D51B6"/>
    <w:rsid w:val="003D5473"/>
    <w:rsid w:val="003D6D3B"/>
    <w:rsid w:val="003E0C3C"/>
    <w:rsid w:val="003E13A6"/>
    <w:rsid w:val="003E19E3"/>
    <w:rsid w:val="003E3050"/>
    <w:rsid w:val="003E6E9C"/>
    <w:rsid w:val="003F0C26"/>
    <w:rsid w:val="003F41E2"/>
    <w:rsid w:val="003F567D"/>
    <w:rsid w:val="003F6875"/>
    <w:rsid w:val="003F7BBF"/>
    <w:rsid w:val="004024FD"/>
    <w:rsid w:val="00402679"/>
    <w:rsid w:val="00404018"/>
    <w:rsid w:val="004045CA"/>
    <w:rsid w:val="004050CC"/>
    <w:rsid w:val="00411D12"/>
    <w:rsid w:val="00413AF7"/>
    <w:rsid w:val="00413E77"/>
    <w:rsid w:val="00415EE6"/>
    <w:rsid w:val="00420A58"/>
    <w:rsid w:val="0042265D"/>
    <w:rsid w:val="004230A6"/>
    <w:rsid w:val="00423458"/>
    <w:rsid w:val="00423672"/>
    <w:rsid w:val="00423EF9"/>
    <w:rsid w:val="00427BC7"/>
    <w:rsid w:val="004325A1"/>
    <w:rsid w:val="00432B57"/>
    <w:rsid w:val="004343D2"/>
    <w:rsid w:val="004363A8"/>
    <w:rsid w:val="00436BCF"/>
    <w:rsid w:val="00440743"/>
    <w:rsid w:val="00441C84"/>
    <w:rsid w:val="00441D24"/>
    <w:rsid w:val="00444057"/>
    <w:rsid w:val="004463F9"/>
    <w:rsid w:val="00450342"/>
    <w:rsid w:val="00452462"/>
    <w:rsid w:val="004536C3"/>
    <w:rsid w:val="00454F18"/>
    <w:rsid w:val="00456809"/>
    <w:rsid w:val="00456E4A"/>
    <w:rsid w:val="00460856"/>
    <w:rsid w:val="00463EFF"/>
    <w:rsid w:val="00466B97"/>
    <w:rsid w:val="00471017"/>
    <w:rsid w:val="00472643"/>
    <w:rsid w:val="00473D03"/>
    <w:rsid w:val="00474C4A"/>
    <w:rsid w:val="00476318"/>
    <w:rsid w:val="00480104"/>
    <w:rsid w:val="004828E8"/>
    <w:rsid w:val="00483E16"/>
    <w:rsid w:val="0048457D"/>
    <w:rsid w:val="00484C41"/>
    <w:rsid w:val="00487381"/>
    <w:rsid w:val="00487CD1"/>
    <w:rsid w:val="0049123E"/>
    <w:rsid w:val="00491AE6"/>
    <w:rsid w:val="00493E6E"/>
    <w:rsid w:val="00496AC7"/>
    <w:rsid w:val="00496CBC"/>
    <w:rsid w:val="004A0857"/>
    <w:rsid w:val="004A1CD7"/>
    <w:rsid w:val="004A3819"/>
    <w:rsid w:val="004A382D"/>
    <w:rsid w:val="004A4C12"/>
    <w:rsid w:val="004A6989"/>
    <w:rsid w:val="004B2E02"/>
    <w:rsid w:val="004B4074"/>
    <w:rsid w:val="004B623A"/>
    <w:rsid w:val="004B6DFD"/>
    <w:rsid w:val="004B6EFF"/>
    <w:rsid w:val="004C0B7E"/>
    <w:rsid w:val="004C0D28"/>
    <w:rsid w:val="004C2C03"/>
    <w:rsid w:val="004C4134"/>
    <w:rsid w:val="004C61B7"/>
    <w:rsid w:val="004C75A1"/>
    <w:rsid w:val="004D0AF8"/>
    <w:rsid w:val="004D1258"/>
    <w:rsid w:val="004D1A17"/>
    <w:rsid w:val="004D2668"/>
    <w:rsid w:val="004D3359"/>
    <w:rsid w:val="004D6072"/>
    <w:rsid w:val="004D77A7"/>
    <w:rsid w:val="004E21D4"/>
    <w:rsid w:val="004E2F01"/>
    <w:rsid w:val="004E3520"/>
    <w:rsid w:val="004E4414"/>
    <w:rsid w:val="004E47DF"/>
    <w:rsid w:val="004E6BBB"/>
    <w:rsid w:val="004E740D"/>
    <w:rsid w:val="004E74DA"/>
    <w:rsid w:val="004F1D3A"/>
    <w:rsid w:val="004F2377"/>
    <w:rsid w:val="004F36E7"/>
    <w:rsid w:val="004F3818"/>
    <w:rsid w:val="004F417E"/>
    <w:rsid w:val="004F5490"/>
    <w:rsid w:val="004F55C9"/>
    <w:rsid w:val="004F58D0"/>
    <w:rsid w:val="004F6B40"/>
    <w:rsid w:val="00500864"/>
    <w:rsid w:val="00500980"/>
    <w:rsid w:val="00500CFB"/>
    <w:rsid w:val="00502B56"/>
    <w:rsid w:val="00504231"/>
    <w:rsid w:val="0050443C"/>
    <w:rsid w:val="00504711"/>
    <w:rsid w:val="00504EEE"/>
    <w:rsid w:val="00507691"/>
    <w:rsid w:val="00507BFF"/>
    <w:rsid w:val="00510BD9"/>
    <w:rsid w:val="00512496"/>
    <w:rsid w:val="00513420"/>
    <w:rsid w:val="00513A66"/>
    <w:rsid w:val="00513FEF"/>
    <w:rsid w:val="00514C95"/>
    <w:rsid w:val="00515E08"/>
    <w:rsid w:val="00515ED8"/>
    <w:rsid w:val="00522B43"/>
    <w:rsid w:val="005273AE"/>
    <w:rsid w:val="00527F33"/>
    <w:rsid w:val="00530BA0"/>
    <w:rsid w:val="00531EB6"/>
    <w:rsid w:val="00532763"/>
    <w:rsid w:val="00532FFF"/>
    <w:rsid w:val="00533B4F"/>
    <w:rsid w:val="005415EC"/>
    <w:rsid w:val="005422C9"/>
    <w:rsid w:val="00542816"/>
    <w:rsid w:val="00542C04"/>
    <w:rsid w:val="00542DFD"/>
    <w:rsid w:val="00544626"/>
    <w:rsid w:val="005455E3"/>
    <w:rsid w:val="00546485"/>
    <w:rsid w:val="005474A0"/>
    <w:rsid w:val="00547D7C"/>
    <w:rsid w:val="005506DA"/>
    <w:rsid w:val="005516C9"/>
    <w:rsid w:val="0055235A"/>
    <w:rsid w:val="005524AE"/>
    <w:rsid w:val="00554B93"/>
    <w:rsid w:val="005562DC"/>
    <w:rsid w:val="00556A34"/>
    <w:rsid w:val="005574F0"/>
    <w:rsid w:val="005617E5"/>
    <w:rsid w:val="005661F4"/>
    <w:rsid w:val="00572706"/>
    <w:rsid w:val="00574804"/>
    <w:rsid w:val="00574F6D"/>
    <w:rsid w:val="00575DB4"/>
    <w:rsid w:val="00577AF4"/>
    <w:rsid w:val="00583488"/>
    <w:rsid w:val="00583DE2"/>
    <w:rsid w:val="00583E61"/>
    <w:rsid w:val="00584978"/>
    <w:rsid w:val="00584E71"/>
    <w:rsid w:val="0058707A"/>
    <w:rsid w:val="005904AD"/>
    <w:rsid w:val="0059131B"/>
    <w:rsid w:val="00591A34"/>
    <w:rsid w:val="00592A72"/>
    <w:rsid w:val="00593138"/>
    <w:rsid w:val="00593B7B"/>
    <w:rsid w:val="00594541"/>
    <w:rsid w:val="0059486E"/>
    <w:rsid w:val="00594B60"/>
    <w:rsid w:val="00595A8A"/>
    <w:rsid w:val="00597B2F"/>
    <w:rsid w:val="005A3031"/>
    <w:rsid w:val="005A3174"/>
    <w:rsid w:val="005A3BF6"/>
    <w:rsid w:val="005A6887"/>
    <w:rsid w:val="005B01BA"/>
    <w:rsid w:val="005B4824"/>
    <w:rsid w:val="005B77F9"/>
    <w:rsid w:val="005C0FC7"/>
    <w:rsid w:val="005C12A7"/>
    <w:rsid w:val="005C1650"/>
    <w:rsid w:val="005C74EA"/>
    <w:rsid w:val="005C7998"/>
    <w:rsid w:val="005D1448"/>
    <w:rsid w:val="005D395A"/>
    <w:rsid w:val="005D3A1A"/>
    <w:rsid w:val="005D5CBB"/>
    <w:rsid w:val="005D6293"/>
    <w:rsid w:val="005D6CC5"/>
    <w:rsid w:val="005E51E6"/>
    <w:rsid w:val="005E6101"/>
    <w:rsid w:val="005F07F8"/>
    <w:rsid w:val="005F118E"/>
    <w:rsid w:val="005F46AB"/>
    <w:rsid w:val="005F6827"/>
    <w:rsid w:val="005F785E"/>
    <w:rsid w:val="00600676"/>
    <w:rsid w:val="00601842"/>
    <w:rsid w:val="00604C68"/>
    <w:rsid w:val="00604DEE"/>
    <w:rsid w:val="006052B7"/>
    <w:rsid w:val="00605A20"/>
    <w:rsid w:val="00605E47"/>
    <w:rsid w:val="00607BB7"/>
    <w:rsid w:val="00611615"/>
    <w:rsid w:val="00612264"/>
    <w:rsid w:val="00612563"/>
    <w:rsid w:val="0062022E"/>
    <w:rsid w:val="006209B0"/>
    <w:rsid w:val="00621D96"/>
    <w:rsid w:val="00625F63"/>
    <w:rsid w:val="00631C58"/>
    <w:rsid w:val="006327A0"/>
    <w:rsid w:val="00634676"/>
    <w:rsid w:val="00636F9D"/>
    <w:rsid w:val="006376D5"/>
    <w:rsid w:val="00637ED2"/>
    <w:rsid w:val="00640F68"/>
    <w:rsid w:val="00641598"/>
    <w:rsid w:val="00642334"/>
    <w:rsid w:val="006424C0"/>
    <w:rsid w:val="00642646"/>
    <w:rsid w:val="00645C85"/>
    <w:rsid w:val="00646F55"/>
    <w:rsid w:val="00647D48"/>
    <w:rsid w:val="006513CE"/>
    <w:rsid w:val="00651C26"/>
    <w:rsid w:val="00651FFF"/>
    <w:rsid w:val="006521C1"/>
    <w:rsid w:val="006525AB"/>
    <w:rsid w:val="00652CAA"/>
    <w:rsid w:val="00653F92"/>
    <w:rsid w:val="00655C57"/>
    <w:rsid w:val="00656289"/>
    <w:rsid w:val="0066057F"/>
    <w:rsid w:val="006605C2"/>
    <w:rsid w:val="00662E7F"/>
    <w:rsid w:val="00662F7F"/>
    <w:rsid w:val="00664A26"/>
    <w:rsid w:val="00666294"/>
    <w:rsid w:val="006663CB"/>
    <w:rsid w:val="00667A0A"/>
    <w:rsid w:val="00672E5F"/>
    <w:rsid w:val="00674E05"/>
    <w:rsid w:val="00676DF6"/>
    <w:rsid w:val="00683928"/>
    <w:rsid w:val="00683BDD"/>
    <w:rsid w:val="00683D68"/>
    <w:rsid w:val="00683E20"/>
    <w:rsid w:val="00690785"/>
    <w:rsid w:val="00690C6A"/>
    <w:rsid w:val="00691D72"/>
    <w:rsid w:val="006936EF"/>
    <w:rsid w:val="00693B77"/>
    <w:rsid w:val="00695368"/>
    <w:rsid w:val="00696371"/>
    <w:rsid w:val="0069742B"/>
    <w:rsid w:val="006A0074"/>
    <w:rsid w:val="006A206A"/>
    <w:rsid w:val="006A25DE"/>
    <w:rsid w:val="006A6C20"/>
    <w:rsid w:val="006B41A8"/>
    <w:rsid w:val="006B473B"/>
    <w:rsid w:val="006B6B0E"/>
    <w:rsid w:val="006C099A"/>
    <w:rsid w:val="006C0AD9"/>
    <w:rsid w:val="006C22C8"/>
    <w:rsid w:val="006C4F7A"/>
    <w:rsid w:val="006C5000"/>
    <w:rsid w:val="006C614B"/>
    <w:rsid w:val="006C647F"/>
    <w:rsid w:val="006C6CCB"/>
    <w:rsid w:val="006C7DD7"/>
    <w:rsid w:val="006D03A5"/>
    <w:rsid w:val="006D44CD"/>
    <w:rsid w:val="006D46A6"/>
    <w:rsid w:val="006D530A"/>
    <w:rsid w:val="006D54B9"/>
    <w:rsid w:val="006D557A"/>
    <w:rsid w:val="006D78DD"/>
    <w:rsid w:val="006E6002"/>
    <w:rsid w:val="006E6583"/>
    <w:rsid w:val="006E7E0F"/>
    <w:rsid w:val="006F145F"/>
    <w:rsid w:val="006F28A5"/>
    <w:rsid w:val="006F384B"/>
    <w:rsid w:val="006F4DC7"/>
    <w:rsid w:val="006F5887"/>
    <w:rsid w:val="00700D25"/>
    <w:rsid w:val="00701100"/>
    <w:rsid w:val="00701270"/>
    <w:rsid w:val="007023E3"/>
    <w:rsid w:val="00703FFD"/>
    <w:rsid w:val="00704267"/>
    <w:rsid w:val="007057D2"/>
    <w:rsid w:val="00705C65"/>
    <w:rsid w:val="00706922"/>
    <w:rsid w:val="00706B83"/>
    <w:rsid w:val="00706FFA"/>
    <w:rsid w:val="0070789C"/>
    <w:rsid w:val="00707D15"/>
    <w:rsid w:val="0071097F"/>
    <w:rsid w:val="00710B9F"/>
    <w:rsid w:val="00713E3F"/>
    <w:rsid w:val="00714A06"/>
    <w:rsid w:val="007200CA"/>
    <w:rsid w:val="00720DBF"/>
    <w:rsid w:val="007227B8"/>
    <w:rsid w:val="00722931"/>
    <w:rsid w:val="00724BA8"/>
    <w:rsid w:val="00726370"/>
    <w:rsid w:val="007273CE"/>
    <w:rsid w:val="00730D06"/>
    <w:rsid w:val="007334DA"/>
    <w:rsid w:val="0073421A"/>
    <w:rsid w:val="00735962"/>
    <w:rsid w:val="0073640B"/>
    <w:rsid w:val="00736729"/>
    <w:rsid w:val="00737BA8"/>
    <w:rsid w:val="007403E0"/>
    <w:rsid w:val="00741EAA"/>
    <w:rsid w:val="00743FF5"/>
    <w:rsid w:val="007446AB"/>
    <w:rsid w:val="00750BB7"/>
    <w:rsid w:val="0075150D"/>
    <w:rsid w:val="007549FF"/>
    <w:rsid w:val="007572D7"/>
    <w:rsid w:val="00761432"/>
    <w:rsid w:val="00761A28"/>
    <w:rsid w:val="0076338D"/>
    <w:rsid w:val="0076477B"/>
    <w:rsid w:val="00765861"/>
    <w:rsid w:val="00766E1C"/>
    <w:rsid w:val="00767341"/>
    <w:rsid w:val="00767D0E"/>
    <w:rsid w:val="00773F52"/>
    <w:rsid w:val="00775AC9"/>
    <w:rsid w:val="00775ADA"/>
    <w:rsid w:val="00780E60"/>
    <w:rsid w:val="0078167D"/>
    <w:rsid w:val="00781E99"/>
    <w:rsid w:val="007822EE"/>
    <w:rsid w:val="0078314A"/>
    <w:rsid w:val="00786B22"/>
    <w:rsid w:val="00787F91"/>
    <w:rsid w:val="00790ACA"/>
    <w:rsid w:val="00791E46"/>
    <w:rsid w:val="00794BB8"/>
    <w:rsid w:val="00794BC4"/>
    <w:rsid w:val="00794E0F"/>
    <w:rsid w:val="00795399"/>
    <w:rsid w:val="007965BF"/>
    <w:rsid w:val="00796CAB"/>
    <w:rsid w:val="007970E2"/>
    <w:rsid w:val="00797651"/>
    <w:rsid w:val="007A000C"/>
    <w:rsid w:val="007A1D50"/>
    <w:rsid w:val="007A260C"/>
    <w:rsid w:val="007A2E4C"/>
    <w:rsid w:val="007A3EB2"/>
    <w:rsid w:val="007A40BB"/>
    <w:rsid w:val="007A4C36"/>
    <w:rsid w:val="007A7B9C"/>
    <w:rsid w:val="007B0FE4"/>
    <w:rsid w:val="007B1F3D"/>
    <w:rsid w:val="007B2A3B"/>
    <w:rsid w:val="007B2DB2"/>
    <w:rsid w:val="007B3022"/>
    <w:rsid w:val="007B4FD3"/>
    <w:rsid w:val="007B5EFD"/>
    <w:rsid w:val="007B7094"/>
    <w:rsid w:val="007B7231"/>
    <w:rsid w:val="007C052E"/>
    <w:rsid w:val="007C5A05"/>
    <w:rsid w:val="007D3639"/>
    <w:rsid w:val="007D5A39"/>
    <w:rsid w:val="007D7D18"/>
    <w:rsid w:val="007E1AA6"/>
    <w:rsid w:val="007E1D2E"/>
    <w:rsid w:val="007E27B3"/>
    <w:rsid w:val="007E3267"/>
    <w:rsid w:val="007E43A5"/>
    <w:rsid w:val="007E68BB"/>
    <w:rsid w:val="007E7222"/>
    <w:rsid w:val="007E76B3"/>
    <w:rsid w:val="007F166B"/>
    <w:rsid w:val="00802E5F"/>
    <w:rsid w:val="00802F70"/>
    <w:rsid w:val="00803F3A"/>
    <w:rsid w:val="00810CF0"/>
    <w:rsid w:val="008118F3"/>
    <w:rsid w:val="00811ADA"/>
    <w:rsid w:val="00811C60"/>
    <w:rsid w:val="008124A4"/>
    <w:rsid w:val="00813919"/>
    <w:rsid w:val="00813E37"/>
    <w:rsid w:val="00816461"/>
    <w:rsid w:val="008169E8"/>
    <w:rsid w:val="008169FB"/>
    <w:rsid w:val="00817222"/>
    <w:rsid w:val="008174FB"/>
    <w:rsid w:val="0081755E"/>
    <w:rsid w:val="00817CE8"/>
    <w:rsid w:val="00821FFA"/>
    <w:rsid w:val="008227CC"/>
    <w:rsid w:val="0082579D"/>
    <w:rsid w:val="0082626E"/>
    <w:rsid w:val="00827291"/>
    <w:rsid w:val="0082772E"/>
    <w:rsid w:val="00833CF6"/>
    <w:rsid w:val="008348AC"/>
    <w:rsid w:val="008349C5"/>
    <w:rsid w:val="00834E33"/>
    <w:rsid w:val="00836592"/>
    <w:rsid w:val="008367E6"/>
    <w:rsid w:val="0083737C"/>
    <w:rsid w:val="00837613"/>
    <w:rsid w:val="00840518"/>
    <w:rsid w:val="00840593"/>
    <w:rsid w:val="008435D3"/>
    <w:rsid w:val="00843F20"/>
    <w:rsid w:val="00844328"/>
    <w:rsid w:val="008469B7"/>
    <w:rsid w:val="00847536"/>
    <w:rsid w:val="008505E6"/>
    <w:rsid w:val="00852A42"/>
    <w:rsid w:val="00854382"/>
    <w:rsid w:val="00854DEB"/>
    <w:rsid w:val="0085510B"/>
    <w:rsid w:val="00855B19"/>
    <w:rsid w:val="00857EA0"/>
    <w:rsid w:val="008604CA"/>
    <w:rsid w:val="00860C58"/>
    <w:rsid w:val="00861142"/>
    <w:rsid w:val="00861BDB"/>
    <w:rsid w:val="008624C2"/>
    <w:rsid w:val="008630A4"/>
    <w:rsid w:val="00863E61"/>
    <w:rsid w:val="00863EFA"/>
    <w:rsid w:val="0086596F"/>
    <w:rsid w:val="00867556"/>
    <w:rsid w:val="00867EB6"/>
    <w:rsid w:val="00870475"/>
    <w:rsid w:val="00871384"/>
    <w:rsid w:val="00872306"/>
    <w:rsid w:val="00874375"/>
    <w:rsid w:val="0087541B"/>
    <w:rsid w:val="008757D1"/>
    <w:rsid w:val="00880540"/>
    <w:rsid w:val="00881A42"/>
    <w:rsid w:val="00882C52"/>
    <w:rsid w:val="00883885"/>
    <w:rsid w:val="00883DB8"/>
    <w:rsid w:val="008864F8"/>
    <w:rsid w:val="00890DA6"/>
    <w:rsid w:val="008914BE"/>
    <w:rsid w:val="00891786"/>
    <w:rsid w:val="00891F35"/>
    <w:rsid w:val="0089258C"/>
    <w:rsid w:val="008936E4"/>
    <w:rsid w:val="008939C4"/>
    <w:rsid w:val="00893A0F"/>
    <w:rsid w:val="00893B99"/>
    <w:rsid w:val="00894CC1"/>
    <w:rsid w:val="008A12A3"/>
    <w:rsid w:val="008A3C93"/>
    <w:rsid w:val="008A3D74"/>
    <w:rsid w:val="008A4C0A"/>
    <w:rsid w:val="008A4EDF"/>
    <w:rsid w:val="008A65B2"/>
    <w:rsid w:val="008B05FF"/>
    <w:rsid w:val="008B0D30"/>
    <w:rsid w:val="008B1487"/>
    <w:rsid w:val="008B1CDC"/>
    <w:rsid w:val="008B2F96"/>
    <w:rsid w:val="008B402D"/>
    <w:rsid w:val="008B4075"/>
    <w:rsid w:val="008B46E8"/>
    <w:rsid w:val="008B71E3"/>
    <w:rsid w:val="008C0507"/>
    <w:rsid w:val="008C18E4"/>
    <w:rsid w:val="008C1C3C"/>
    <w:rsid w:val="008C3D5C"/>
    <w:rsid w:val="008C6894"/>
    <w:rsid w:val="008C7230"/>
    <w:rsid w:val="008C7C31"/>
    <w:rsid w:val="008D0A32"/>
    <w:rsid w:val="008D3299"/>
    <w:rsid w:val="008D3321"/>
    <w:rsid w:val="008D3C50"/>
    <w:rsid w:val="008D3D46"/>
    <w:rsid w:val="008D4109"/>
    <w:rsid w:val="008D4CF8"/>
    <w:rsid w:val="008D6E36"/>
    <w:rsid w:val="008E0096"/>
    <w:rsid w:val="008E15CB"/>
    <w:rsid w:val="008E1C6E"/>
    <w:rsid w:val="008E1F68"/>
    <w:rsid w:val="008E41A5"/>
    <w:rsid w:val="008E5323"/>
    <w:rsid w:val="008E6114"/>
    <w:rsid w:val="008F097A"/>
    <w:rsid w:val="008F259E"/>
    <w:rsid w:val="008F2654"/>
    <w:rsid w:val="008F4BB5"/>
    <w:rsid w:val="008F5493"/>
    <w:rsid w:val="008F61FF"/>
    <w:rsid w:val="008F675D"/>
    <w:rsid w:val="008F6E0F"/>
    <w:rsid w:val="008F704B"/>
    <w:rsid w:val="00901AFA"/>
    <w:rsid w:val="00902DBA"/>
    <w:rsid w:val="00905439"/>
    <w:rsid w:val="00907D39"/>
    <w:rsid w:val="00910379"/>
    <w:rsid w:val="009104B1"/>
    <w:rsid w:val="00910C3C"/>
    <w:rsid w:val="00912123"/>
    <w:rsid w:val="00912364"/>
    <w:rsid w:val="00912E7B"/>
    <w:rsid w:val="00913185"/>
    <w:rsid w:val="00913501"/>
    <w:rsid w:val="00913671"/>
    <w:rsid w:val="009141F6"/>
    <w:rsid w:val="0091668B"/>
    <w:rsid w:val="00916C37"/>
    <w:rsid w:val="00920590"/>
    <w:rsid w:val="00921866"/>
    <w:rsid w:val="009329A0"/>
    <w:rsid w:val="00933BA5"/>
    <w:rsid w:val="00935C10"/>
    <w:rsid w:val="009377FB"/>
    <w:rsid w:val="009415EA"/>
    <w:rsid w:val="00944E08"/>
    <w:rsid w:val="009458B7"/>
    <w:rsid w:val="009473A1"/>
    <w:rsid w:val="00952945"/>
    <w:rsid w:val="00953666"/>
    <w:rsid w:val="00954D90"/>
    <w:rsid w:val="00955259"/>
    <w:rsid w:val="00956FFA"/>
    <w:rsid w:val="009575E7"/>
    <w:rsid w:val="0095760B"/>
    <w:rsid w:val="00961966"/>
    <w:rsid w:val="009624C2"/>
    <w:rsid w:val="00964092"/>
    <w:rsid w:val="00965614"/>
    <w:rsid w:val="00966A48"/>
    <w:rsid w:val="00971971"/>
    <w:rsid w:val="00972138"/>
    <w:rsid w:val="0097301C"/>
    <w:rsid w:val="009824D3"/>
    <w:rsid w:val="009825F3"/>
    <w:rsid w:val="00983065"/>
    <w:rsid w:val="00985B9A"/>
    <w:rsid w:val="0098765B"/>
    <w:rsid w:val="0099074E"/>
    <w:rsid w:val="00991377"/>
    <w:rsid w:val="00992783"/>
    <w:rsid w:val="009942BD"/>
    <w:rsid w:val="009958A9"/>
    <w:rsid w:val="0099625C"/>
    <w:rsid w:val="009A0653"/>
    <w:rsid w:val="009A0868"/>
    <w:rsid w:val="009A22D0"/>
    <w:rsid w:val="009A3598"/>
    <w:rsid w:val="009A3FE2"/>
    <w:rsid w:val="009A58D9"/>
    <w:rsid w:val="009A6F20"/>
    <w:rsid w:val="009B069B"/>
    <w:rsid w:val="009B3033"/>
    <w:rsid w:val="009B5AB4"/>
    <w:rsid w:val="009B6579"/>
    <w:rsid w:val="009B6B60"/>
    <w:rsid w:val="009B7A5A"/>
    <w:rsid w:val="009C0F9C"/>
    <w:rsid w:val="009C13CB"/>
    <w:rsid w:val="009C1F59"/>
    <w:rsid w:val="009C70FC"/>
    <w:rsid w:val="009D06C4"/>
    <w:rsid w:val="009D104E"/>
    <w:rsid w:val="009D267F"/>
    <w:rsid w:val="009D49EC"/>
    <w:rsid w:val="009D4C52"/>
    <w:rsid w:val="009D6030"/>
    <w:rsid w:val="009D6C42"/>
    <w:rsid w:val="009E2D06"/>
    <w:rsid w:val="009E5F6F"/>
    <w:rsid w:val="009E64BF"/>
    <w:rsid w:val="009E68CD"/>
    <w:rsid w:val="009E6F98"/>
    <w:rsid w:val="009F191E"/>
    <w:rsid w:val="009F1D8C"/>
    <w:rsid w:val="009F2523"/>
    <w:rsid w:val="009F402B"/>
    <w:rsid w:val="009F439D"/>
    <w:rsid w:val="009F5839"/>
    <w:rsid w:val="009F5A9B"/>
    <w:rsid w:val="00A00A9D"/>
    <w:rsid w:val="00A01111"/>
    <w:rsid w:val="00A03746"/>
    <w:rsid w:val="00A039AA"/>
    <w:rsid w:val="00A05C6F"/>
    <w:rsid w:val="00A06B10"/>
    <w:rsid w:val="00A10415"/>
    <w:rsid w:val="00A11470"/>
    <w:rsid w:val="00A1561E"/>
    <w:rsid w:val="00A1634B"/>
    <w:rsid w:val="00A163A8"/>
    <w:rsid w:val="00A212B2"/>
    <w:rsid w:val="00A21DC2"/>
    <w:rsid w:val="00A23A43"/>
    <w:rsid w:val="00A31677"/>
    <w:rsid w:val="00A33A73"/>
    <w:rsid w:val="00A354D7"/>
    <w:rsid w:val="00A35FE4"/>
    <w:rsid w:val="00A376AE"/>
    <w:rsid w:val="00A418E2"/>
    <w:rsid w:val="00A41F8B"/>
    <w:rsid w:val="00A42CD5"/>
    <w:rsid w:val="00A44C5A"/>
    <w:rsid w:val="00A450C2"/>
    <w:rsid w:val="00A45251"/>
    <w:rsid w:val="00A461A5"/>
    <w:rsid w:val="00A466C2"/>
    <w:rsid w:val="00A476A2"/>
    <w:rsid w:val="00A50518"/>
    <w:rsid w:val="00A51050"/>
    <w:rsid w:val="00A52943"/>
    <w:rsid w:val="00A52FDA"/>
    <w:rsid w:val="00A560B1"/>
    <w:rsid w:val="00A635AF"/>
    <w:rsid w:val="00A64E7F"/>
    <w:rsid w:val="00A72627"/>
    <w:rsid w:val="00A726F7"/>
    <w:rsid w:val="00A73189"/>
    <w:rsid w:val="00A731B0"/>
    <w:rsid w:val="00A73FC6"/>
    <w:rsid w:val="00A757B1"/>
    <w:rsid w:val="00A7637F"/>
    <w:rsid w:val="00A76E37"/>
    <w:rsid w:val="00A77E06"/>
    <w:rsid w:val="00A84C9C"/>
    <w:rsid w:val="00A8521C"/>
    <w:rsid w:val="00A854BE"/>
    <w:rsid w:val="00A87850"/>
    <w:rsid w:val="00A90868"/>
    <w:rsid w:val="00A90A45"/>
    <w:rsid w:val="00A92F12"/>
    <w:rsid w:val="00A9402B"/>
    <w:rsid w:val="00A953D3"/>
    <w:rsid w:val="00A967C2"/>
    <w:rsid w:val="00A96FE2"/>
    <w:rsid w:val="00A9727B"/>
    <w:rsid w:val="00A97614"/>
    <w:rsid w:val="00A978CC"/>
    <w:rsid w:val="00A97A50"/>
    <w:rsid w:val="00AA0C6A"/>
    <w:rsid w:val="00AA2273"/>
    <w:rsid w:val="00AA2B83"/>
    <w:rsid w:val="00AA3C8F"/>
    <w:rsid w:val="00AA47D2"/>
    <w:rsid w:val="00AA4DFC"/>
    <w:rsid w:val="00AA4F69"/>
    <w:rsid w:val="00AA5AEF"/>
    <w:rsid w:val="00AA6BAC"/>
    <w:rsid w:val="00AB368E"/>
    <w:rsid w:val="00AB5CBA"/>
    <w:rsid w:val="00AB7342"/>
    <w:rsid w:val="00AC1425"/>
    <w:rsid w:val="00AC1A14"/>
    <w:rsid w:val="00AC200D"/>
    <w:rsid w:val="00AC3F25"/>
    <w:rsid w:val="00AD0EFC"/>
    <w:rsid w:val="00AD27C4"/>
    <w:rsid w:val="00AD5027"/>
    <w:rsid w:val="00AE00A8"/>
    <w:rsid w:val="00AE0D7A"/>
    <w:rsid w:val="00AE0F6B"/>
    <w:rsid w:val="00AE19FC"/>
    <w:rsid w:val="00AE22FF"/>
    <w:rsid w:val="00AE26B0"/>
    <w:rsid w:val="00AE2817"/>
    <w:rsid w:val="00AE339A"/>
    <w:rsid w:val="00AE3D5A"/>
    <w:rsid w:val="00AE66C7"/>
    <w:rsid w:val="00AF05C0"/>
    <w:rsid w:val="00AF089D"/>
    <w:rsid w:val="00AF2348"/>
    <w:rsid w:val="00AF5609"/>
    <w:rsid w:val="00B01482"/>
    <w:rsid w:val="00B04E62"/>
    <w:rsid w:val="00B060E7"/>
    <w:rsid w:val="00B06DDB"/>
    <w:rsid w:val="00B13753"/>
    <w:rsid w:val="00B15594"/>
    <w:rsid w:val="00B15E14"/>
    <w:rsid w:val="00B2091E"/>
    <w:rsid w:val="00B22A8D"/>
    <w:rsid w:val="00B24F5B"/>
    <w:rsid w:val="00B269B2"/>
    <w:rsid w:val="00B32A41"/>
    <w:rsid w:val="00B3380D"/>
    <w:rsid w:val="00B3387B"/>
    <w:rsid w:val="00B34110"/>
    <w:rsid w:val="00B343E8"/>
    <w:rsid w:val="00B42354"/>
    <w:rsid w:val="00B42DAD"/>
    <w:rsid w:val="00B4524D"/>
    <w:rsid w:val="00B45F58"/>
    <w:rsid w:val="00B47EFE"/>
    <w:rsid w:val="00B51499"/>
    <w:rsid w:val="00B53597"/>
    <w:rsid w:val="00B545CD"/>
    <w:rsid w:val="00B549B1"/>
    <w:rsid w:val="00B54B1E"/>
    <w:rsid w:val="00B54FB5"/>
    <w:rsid w:val="00B553AF"/>
    <w:rsid w:val="00B56913"/>
    <w:rsid w:val="00B56F71"/>
    <w:rsid w:val="00B57877"/>
    <w:rsid w:val="00B60501"/>
    <w:rsid w:val="00B60FDE"/>
    <w:rsid w:val="00B614A2"/>
    <w:rsid w:val="00B62B24"/>
    <w:rsid w:val="00B64A45"/>
    <w:rsid w:val="00B677DB"/>
    <w:rsid w:val="00B70B48"/>
    <w:rsid w:val="00B71131"/>
    <w:rsid w:val="00B713FF"/>
    <w:rsid w:val="00B718BC"/>
    <w:rsid w:val="00B71C9B"/>
    <w:rsid w:val="00B72889"/>
    <w:rsid w:val="00B76141"/>
    <w:rsid w:val="00B801B3"/>
    <w:rsid w:val="00B83AF9"/>
    <w:rsid w:val="00B8449B"/>
    <w:rsid w:val="00B87CD3"/>
    <w:rsid w:val="00B91E9F"/>
    <w:rsid w:val="00B9361D"/>
    <w:rsid w:val="00B94154"/>
    <w:rsid w:val="00B955FB"/>
    <w:rsid w:val="00B9718B"/>
    <w:rsid w:val="00BA0AF0"/>
    <w:rsid w:val="00BA2971"/>
    <w:rsid w:val="00BA3200"/>
    <w:rsid w:val="00BA3AA9"/>
    <w:rsid w:val="00BA4890"/>
    <w:rsid w:val="00BA696B"/>
    <w:rsid w:val="00BA6FD7"/>
    <w:rsid w:val="00BB0F71"/>
    <w:rsid w:val="00BB2104"/>
    <w:rsid w:val="00BB2C42"/>
    <w:rsid w:val="00BB4224"/>
    <w:rsid w:val="00BB6E90"/>
    <w:rsid w:val="00BC043D"/>
    <w:rsid w:val="00BC16D6"/>
    <w:rsid w:val="00BC1D48"/>
    <w:rsid w:val="00BC5861"/>
    <w:rsid w:val="00BC5CC4"/>
    <w:rsid w:val="00BC5FE0"/>
    <w:rsid w:val="00BC799F"/>
    <w:rsid w:val="00BD38E8"/>
    <w:rsid w:val="00BD4FE2"/>
    <w:rsid w:val="00BD5CAF"/>
    <w:rsid w:val="00BD5E35"/>
    <w:rsid w:val="00BD6075"/>
    <w:rsid w:val="00BD629F"/>
    <w:rsid w:val="00BE1D31"/>
    <w:rsid w:val="00BE2B42"/>
    <w:rsid w:val="00BE34D2"/>
    <w:rsid w:val="00BF1337"/>
    <w:rsid w:val="00BF3918"/>
    <w:rsid w:val="00BF39B2"/>
    <w:rsid w:val="00BF543A"/>
    <w:rsid w:val="00BF6845"/>
    <w:rsid w:val="00BF7958"/>
    <w:rsid w:val="00C006FC"/>
    <w:rsid w:val="00C00E3B"/>
    <w:rsid w:val="00C034D9"/>
    <w:rsid w:val="00C04E15"/>
    <w:rsid w:val="00C06705"/>
    <w:rsid w:val="00C06712"/>
    <w:rsid w:val="00C07E44"/>
    <w:rsid w:val="00C116E5"/>
    <w:rsid w:val="00C15A94"/>
    <w:rsid w:val="00C16B07"/>
    <w:rsid w:val="00C17CA0"/>
    <w:rsid w:val="00C214AA"/>
    <w:rsid w:val="00C224F0"/>
    <w:rsid w:val="00C22E50"/>
    <w:rsid w:val="00C23C17"/>
    <w:rsid w:val="00C261A5"/>
    <w:rsid w:val="00C265BB"/>
    <w:rsid w:val="00C30073"/>
    <w:rsid w:val="00C319A8"/>
    <w:rsid w:val="00C33D1B"/>
    <w:rsid w:val="00C36D2C"/>
    <w:rsid w:val="00C37DB8"/>
    <w:rsid w:val="00C40128"/>
    <w:rsid w:val="00C41C79"/>
    <w:rsid w:val="00C4222D"/>
    <w:rsid w:val="00C43495"/>
    <w:rsid w:val="00C44FB9"/>
    <w:rsid w:val="00C45829"/>
    <w:rsid w:val="00C467AF"/>
    <w:rsid w:val="00C46C5E"/>
    <w:rsid w:val="00C514F9"/>
    <w:rsid w:val="00C51717"/>
    <w:rsid w:val="00C5195E"/>
    <w:rsid w:val="00C53832"/>
    <w:rsid w:val="00C606AD"/>
    <w:rsid w:val="00C6158F"/>
    <w:rsid w:val="00C618C9"/>
    <w:rsid w:val="00C63600"/>
    <w:rsid w:val="00C64216"/>
    <w:rsid w:val="00C64681"/>
    <w:rsid w:val="00C6700D"/>
    <w:rsid w:val="00C71BFE"/>
    <w:rsid w:val="00C71C04"/>
    <w:rsid w:val="00C7348F"/>
    <w:rsid w:val="00C73716"/>
    <w:rsid w:val="00C75239"/>
    <w:rsid w:val="00C77881"/>
    <w:rsid w:val="00C77B7B"/>
    <w:rsid w:val="00C77D93"/>
    <w:rsid w:val="00C80314"/>
    <w:rsid w:val="00C84399"/>
    <w:rsid w:val="00C85551"/>
    <w:rsid w:val="00C86966"/>
    <w:rsid w:val="00C86D5B"/>
    <w:rsid w:val="00C90B05"/>
    <w:rsid w:val="00C90CBA"/>
    <w:rsid w:val="00C91934"/>
    <w:rsid w:val="00C91C47"/>
    <w:rsid w:val="00C93239"/>
    <w:rsid w:val="00C965F1"/>
    <w:rsid w:val="00C97111"/>
    <w:rsid w:val="00C974D8"/>
    <w:rsid w:val="00CA0196"/>
    <w:rsid w:val="00CA06D7"/>
    <w:rsid w:val="00CA2AA1"/>
    <w:rsid w:val="00CA3D1C"/>
    <w:rsid w:val="00CA4958"/>
    <w:rsid w:val="00CA68CD"/>
    <w:rsid w:val="00CB0001"/>
    <w:rsid w:val="00CB083E"/>
    <w:rsid w:val="00CB23ED"/>
    <w:rsid w:val="00CB44C9"/>
    <w:rsid w:val="00CB652E"/>
    <w:rsid w:val="00CC1793"/>
    <w:rsid w:val="00CC1FBA"/>
    <w:rsid w:val="00CC3E2A"/>
    <w:rsid w:val="00CC71B4"/>
    <w:rsid w:val="00CC7D30"/>
    <w:rsid w:val="00CD1BD1"/>
    <w:rsid w:val="00CD2779"/>
    <w:rsid w:val="00CD57AD"/>
    <w:rsid w:val="00CE07FD"/>
    <w:rsid w:val="00CE11F2"/>
    <w:rsid w:val="00CE182A"/>
    <w:rsid w:val="00CE1867"/>
    <w:rsid w:val="00CE1D45"/>
    <w:rsid w:val="00CE4F0E"/>
    <w:rsid w:val="00CE685C"/>
    <w:rsid w:val="00CE6A09"/>
    <w:rsid w:val="00CE6F87"/>
    <w:rsid w:val="00CF1E3D"/>
    <w:rsid w:val="00CF3F19"/>
    <w:rsid w:val="00CF43B1"/>
    <w:rsid w:val="00D00433"/>
    <w:rsid w:val="00D023E0"/>
    <w:rsid w:val="00D050BC"/>
    <w:rsid w:val="00D0514A"/>
    <w:rsid w:val="00D07EB1"/>
    <w:rsid w:val="00D11AFA"/>
    <w:rsid w:val="00D121FD"/>
    <w:rsid w:val="00D135A6"/>
    <w:rsid w:val="00D13727"/>
    <w:rsid w:val="00D13AB5"/>
    <w:rsid w:val="00D140D3"/>
    <w:rsid w:val="00D170DE"/>
    <w:rsid w:val="00D20698"/>
    <w:rsid w:val="00D20DC1"/>
    <w:rsid w:val="00D22943"/>
    <w:rsid w:val="00D23CB4"/>
    <w:rsid w:val="00D251A7"/>
    <w:rsid w:val="00D269D4"/>
    <w:rsid w:val="00D26C63"/>
    <w:rsid w:val="00D27007"/>
    <w:rsid w:val="00D3150B"/>
    <w:rsid w:val="00D3185F"/>
    <w:rsid w:val="00D321A5"/>
    <w:rsid w:val="00D325C8"/>
    <w:rsid w:val="00D33507"/>
    <w:rsid w:val="00D34AA2"/>
    <w:rsid w:val="00D35044"/>
    <w:rsid w:val="00D350BB"/>
    <w:rsid w:val="00D40AF7"/>
    <w:rsid w:val="00D40EB9"/>
    <w:rsid w:val="00D40EE6"/>
    <w:rsid w:val="00D425F6"/>
    <w:rsid w:val="00D42B14"/>
    <w:rsid w:val="00D44A55"/>
    <w:rsid w:val="00D473CC"/>
    <w:rsid w:val="00D5212C"/>
    <w:rsid w:val="00D5265C"/>
    <w:rsid w:val="00D53BA3"/>
    <w:rsid w:val="00D53CB2"/>
    <w:rsid w:val="00D53E2F"/>
    <w:rsid w:val="00D54F67"/>
    <w:rsid w:val="00D62340"/>
    <w:rsid w:val="00D623FA"/>
    <w:rsid w:val="00D64DA8"/>
    <w:rsid w:val="00D6508A"/>
    <w:rsid w:val="00D657B0"/>
    <w:rsid w:val="00D65887"/>
    <w:rsid w:val="00D65C51"/>
    <w:rsid w:val="00D719C7"/>
    <w:rsid w:val="00D71F21"/>
    <w:rsid w:val="00D744E7"/>
    <w:rsid w:val="00D747A6"/>
    <w:rsid w:val="00D77273"/>
    <w:rsid w:val="00D801C3"/>
    <w:rsid w:val="00D811D8"/>
    <w:rsid w:val="00D81BD3"/>
    <w:rsid w:val="00D820E8"/>
    <w:rsid w:val="00D91B68"/>
    <w:rsid w:val="00D9284D"/>
    <w:rsid w:val="00D936E2"/>
    <w:rsid w:val="00D939FB"/>
    <w:rsid w:val="00D9528C"/>
    <w:rsid w:val="00D969F0"/>
    <w:rsid w:val="00D97E59"/>
    <w:rsid w:val="00DA0FE7"/>
    <w:rsid w:val="00DA10F2"/>
    <w:rsid w:val="00DA1F73"/>
    <w:rsid w:val="00DA448F"/>
    <w:rsid w:val="00DA45F2"/>
    <w:rsid w:val="00DA59D3"/>
    <w:rsid w:val="00DA6A9C"/>
    <w:rsid w:val="00DB1A10"/>
    <w:rsid w:val="00DB1E0B"/>
    <w:rsid w:val="00DB2548"/>
    <w:rsid w:val="00DB47DB"/>
    <w:rsid w:val="00DB75CB"/>
    <w:rsid w:val="00DC07EF"/>
    <w:rsid w:val="00DC34A2"/>
    <w:rsid w:val="00DC3879"/>
    <w:rsid w:val="00DC58DD"/>
    <w:rsid w:val="00DD2463"/>
    <w:rsid w:val="00DD268B"/>
    <w:rsid w:val="00DD2D76"/>
    <w:rsid w:val="00DD3D6D"/>
    <w:rsid w:val="00DD4488"/>
    <w:rsid w:val="00DD4636"/>
    <w:rsid w:val="00DD7B04"/>
    <w:rsid w:val="00DE0AF6"/>
    <w:rsid w:val="00DE12D0"/>
    <w:rsid w:val="00DE1A49"/>
    <w:rsid w:val="00DE1A72"/>
    <w:rsid w:val="00DE21C1"/>
    <w:rsid w:val="00DE26E9"/>
    <w:rsid w:val="00DE2AA0"/>
    <w:rsid w:val="00DF0DCC"/>
    <w:rsid w:val="00DF235A"/>
    <w:rsid w:val="00DF35F6"/>
    <w:rsid w:val="00DF4E84"/>
    <w:rsid w:val="00DF5E75"/>
    <w:rsid w:val="00DF7E23"/>
    <w:rsid w:val="00E023D3"/>
    <w:rsid w:val="00E02859"/>
    <w:rsid w:val="00E05377"/>
    <w:rsid w:val="00E07599"/>
    <w:rsid w:val="00E10C1D"/>
    <w:rsid w:val="00E133E7"/>
    <w:rsid w:val="00E13546"/>
    <w:rsid w:val="00E13780"/>
    <w:rsid w:val="00E138D9"/>
    <w:rsid w:val="00E142DE"/>
    <w:rsid w:val="00E1438E"/>
    <w:rsid w:val="00E144A7"/>
    <w:rsid w:val="00E16606"/>
    <w:rsid w:val="00E16F6B"/>
    <w:rsid w:val="00E17F8E"/>
    <w:rsid w:val="00E20F75"/>
    <w:rsid w:val="00E21B11"/>
    <w:rsid w:val="00E26DBF"/>
    <w:rsid w:val="00E27CFA"/>
    <w:rsid w:val="00E30333"/>
    <w:rsid w:val="00E31620"/>
    <w:rsid w:val="00E35455"/>
    <w:rsid w:val="00E42B52"/>
    <w:rsid w:val="00E45665"/>
    <w:rsid w:val="00E45B63"/>
    <w:rsid w:val="00E46E39"/>
    <w:rsid w:val="00E54C33"/>
    <w:rsid w:val="00E55878"/>
    <w:rsid w:val="00E568D1"/>
    <w:rsid w:val="00E574D5"/>
    <w:rsid w:val="00E605AF"/>
    <w:rsid w:val="00E60CC7"/>
    <w:rsid w:val="00E62237"/>
    <w:rsid w:val="00E627D1"/>
    <w:rsid w:val="00E62A76"/>
    <w:rsid w:val="00E65786"/>
    <w:rsid w:val="00E65AC6"/>
    <w:rsid w:val="00E66BF7"/>
    <w:rsid w:val="00E71225"/>
    <w:rsid w:val="00E73035"/>
    <w:rsid w:val="00E737C6"/>
    <w:rsid w:val="00E7491A"/>
    <w:rsid w:val="00E74A1E"/>
    <w:rsid w:val="00E7698F"/>
    <w:rsid w:val="00E8000D"/>
    <w:rsid w:val="00E820BD"/>
    <w:rsid w:val="00E86F37"/>
    <w:rsid w:val="00E929B7"/>
    <w:rsid w:val="00E94758"/>
    <w:rsid w:val="00E950F7"/>
    <w:rsid w:val="00E97D6B"/>
    <w:rsid w:val="00EA044D"/>
    <w:rsid w:val="00EA221B"/>
    <w:rsid w:val="00EA2432"/>
    <w:rsid w:val="00EA3435"/>
    <w:rsid w:val="00EA36BF"/>
    <w:rsid w:val="00EA4FA0"/>
    <w:rsid w:val="00EA5AB5"/>
    <w:rsid w:val="00EA7564"/>
    <w:rsid w:val="00EA7A2C"/>
    <w:rsid w:val="00EB0BB9"/>
    <w:rsid w:val="00EB38E6"/>
    <w:rsid w:val="00EB435C"/>
    <w:rsid w:val="00EC066D"/>
    <w:rsid w:val="00EC0D8D"/>
    <w:rsid w:val="00EC2BE4"/>
    <w:rsid w:val="00EC2D0B"/>
    <w:rsid w:val="00EC4234"/>
    <w:rsid w:val="00EC6CD8"/>
    <w:rsid w:val="00EC72BF"/>
    <w:rsid w:val="00EC72D6"/>
    <w:rsid w:val="00ED1888"/>
    <w:rsid w:val="00ED31BB"/>
    <w:rsid w:val="00ED4271"/>
    <w:rsid w:val="00ED4E24"/>
    <w:rsid w:val="00EE093E"/>
    <w:rsid w:val="00EE279C"/>
    <w:rsid w:val="00EE2F89"/>
    <w:rsid w:val="00EE3014"/>
    <w:rsid w:val="00EE323B"/>
    <w:rsid w:val="00EE482C"/>
    <w:rsid w:val="00EE68C0"/>
    <w:rsid w:val="00EE729E"/>
    <w:rsid w:val="00EE7A0C"/>
    <w:rsid w:val="00EF0658"/>
    <w:rsid w:val="00EF1632"/>
    <w:rsid w:val="00EF1B48"/>
    <w:rsid w:val="00EF2432"/>
    <w:rsid w:val="00EF3A38"/>
    <w:rsid w:val="00EF707C"/>
    <w:rsid w:val="00F040E9"/>
    <w:rsid w:val="00F0786E"/>
    <w:rsid w:val="00F14523"/>
    <w:rsid w:val="00F14FB3"/>
    <w:rsid w:val="00F16D3D"/>
    <w:rsid w:val="00F20EAB"/>
    <w:rsid w:val="00F2445E"/>
    <w:rsid w:val="00F26DFE"/>
    <w:rsid w:val="00F2716F"/>
    <w:rsid w:val="00F30101"/>
    <w:rsid w:val="00F30E60"/>
    <w:rsid w:val="00F32869"/>
    <w:rsid w:val="00F4056A"/>
    <w:rsid w:val="00F40AFF"/>
    <w:rsid w:val="00F417A0"/>
    <w:rsid w:val="00F4232D"/>
    <w:rsid w:val="00F44CB9"/>
    <w:rsid w:val="00F44EB0"/>
    <w:rsid w:val="00F47654"/>
    <w:rsid w:val="00F50F9D"/>
    <w:rsid w:val="00F530B9"/>
    <w:rsid w:val="00F5476C"/>
    <w:rsid w:val="00F5643E"/>
    <w:rsid w:val="00F57486"/>
    <w:rsid w:val="00F60498"/>
    <w:rsid w:val="00F61648"/>
    <w:rsid w:val="00F631F5"/>
    <w:rsid w:val="00F64545"/>
    <w:rsid w:val="00F64FBC"/>
    <w:rsid w:val="00F65B06"/>
    <w:rsid w:val="00F67295"/>
    <w:rsid w:val="00F67520"/>
    <w:rsid w:val="00F67824"/>
    <w:rsid w:val="00F72F64"/>
    <w:rsid w:val="00F73102"/>
    <w:rsid w:val="00F774CB"/>
    <w:rsid w:val="00F81F62"/>
    <w:rsid w:val="00F85CB3"/>
    <w:rsid w:val="00F8689F"/>
    <w:rsid w:val="00F87A83"/>
    <w:rsid w:val="00F90989"/>
    <w:rsid w:val="00F92006"/>
    <w:rsid w:val="00F933B7"/>
    <w:rsid w:val="00F93915"/>
    <w:rsid w:val="00F94F7A"/>
    <w:rsid w:val="00F95E0B"/>
    <w:rsid w:val="00FA063E"/>
    <w:rsid w:val="00FA0FF7"/>
    <w:rsid w:val="00FA1A24"/>
    <w:rsid w:val="00FA2360"/>
    <w:rsid w:val="00FA2B1D"/>
    <w:rsid w:val="00FA3A9A"/>
    <w:rsid w:val="00FA73C5"/>
    <w:rsid w:val="00FA7E70"/>
    <w:rsid w:val="00FB1EF4"/>
    <w:rsid w:val="00FB2E69"/>
    <w:rsid w:val="00FB3F76"/>
    <w:rsid w:val="00FB5002"/>
    <w:rsid w:val="00FB561D"/>
    <w:rsid w:val="00FC0A7B"/>
    <w:rsid w:val="00FC0FC2"/>
    <w:rsid w:val="00FC15A1"/>
    <w:rsid w:val="00FC2FCD"/>
    <w:rsid w:val="00FC7394"/>
    <w:rsid w:val="00FC7932"/>
    <w:rsid w:val="00FD0E91"/>
    <w:rsid w:val="00FD2D8A"/>
    <w:rsid w:val="00FD3F64"/>
    <w:rsid w:val="00FD628D"/>
    <w:rsid w:val="00FD7C52"/>
    <w:rsid w:val="00FE0867"/>
    <w:rsid w:val="00FE0D82"/>
    <w:rsid w:val="00FE0DE5"/>
    <w:rsid w:val="00FE0FD8"/>
    <w:rsid w:val="00FE19D1"/>
    <w:rsid w:val="00FE59F9"/>
    <w:rsid w:val="00FE6F95"/>
    <w:rsid w:val="00FE793E"/>
    <w:rsid w:val="00FF0298"/>
    <w:rsid w:val="00FF3339"/>
    <w:rsid w:val="00FF3BE7"/>
    <w:rsid w:val="00FF5337"/>
    <w:rsid w:val="00FF64CF"/>
    <w:rsid w:val="00FF6AEC"/>
    <w:rsid w:val="0ECFAF49"/>
    <w:rsid w:val="2735BC94"/>
    <w:rsid w:val="2771787A"/>
    <w:rsid w:val="27C6F6CC"/>
    <w:rsid w:val="2ADE7290"/>
    <w:rsid w:val="2DA6A096"/>
    <w:rsid w:val="2F117CCA"/>
    <w:rsid w:val="3164F801"/>
    <w:rsid w:val="38D46760"/>
    <w:rsid w:val="40662687"/>
    <w:rsid w:val="40FC4559"/>
    <w:rsid w:val="4B833C32"/>
    <w:rsid w:val="54096BA8"/>
    <w:rsid w:val="58CF159C"/>
    <w:rsid w:val="5A14B9F9"/>
    <w:rsid w:val="60534513"/>
    <w:rsid w:val="654D455F"/>
    <w:rsid w:val="681A5838"/>
    <w:rsid w:val="6EF19045"/>
    <w:rsid w:val="7498DF30"/>
    <w:rsid w:val="76FD638D"/>
    <w:rsid w:val="7759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2156E5C"/>
  <w15:chartTrackingRefBased/>
  <w15:docId w15:val="{07BECB33-E407-48FD-B6A4-E0DB2430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4"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lsdException w:name="endnote reference" w:semiHidden="1" w:unhideWhenUsed="1" w:qFormat="1"/>
    <w:lsdException w:name="endnote text" w:semiHidden="1" w:unhideWhenUsed="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F774CB"/>
    <w:pPr>
      <w:numPr>
        <w:numId w:val="32"/>
      </w:numPr>
      <w:spacing w:before="120" w:after="0" w:line="280" w:lineRule="atLeast"/>
      <w:ind w:left="29" w:hanging="709"/>
    </w:pPr>
    <w:rPr>
      <w:rFonts w:ascii="Open Sans" w:hAnsi="Open Sans"/>
      <w:color w:val="000000" w:themeColor="text1"/>
      <w:lang w:val="en-AU"/>
    </w:rPr>
  </w:style>
  <w:style w:type="paragraph" w:styleId="Heading1">
    <w:name w:val="heading 1"/>
    <w:next w:val="Normal"/>
    <w:link w:val="Heading1Char"/>
    <w:uiPriority w:val="2"/>
    <w:qFormat/>
    <w:rsid w:val="00FF3BE7"/>
    <w:pPr>
      <w:keepNext/>
      <w:keepLines/>
      <w:pageBreakBefore/>
      <w:numPr>
        <w:numId w:val="26"/>
      </w:numPr>
      <w:spacing w:before="240" w:after="0" w:line="400" w:lineRule="atLeast"/>
      <w:ind w:left="431" w:hanging="431"/>
      <w:outlineLvl w:val="0"/>
    </w:pPr>
    <w:rPr>
      <w:rFonts w:asciiTheme="majorHAnsi" w:eastAsiaTheme="majorEastAsia" w:hAnsiTheme="majorHAnsi" w:cstheme="majorBidi"/>
      <w:b/>
      <w:color w:val="143C65" w:themeColor="accent1"/>
      <w:sz w:val="40"/>
      <w:szCs w:val="44"/>
      <w:lang w:val="en-AU"/>
    </w:rPr>
  </w:style>
  <w:style w:type="paragraph" w:styleId="Heading2">
    <w:name w:val="heading 2"/>
    <w:next w:val="Normal"/>
    <w:link w:val="Heading2Char"/>
    <w:uiPriority w:val="2"/>
    <w:qFormat/>
    <w:rsid w:val="0058707A"/>
    <w:pPr>
      <w:keepNext/>
      <w:keepLines/>
      <w:spacing w:before="240" w:after="0" w:line="320" w:lineRule="atLeast"/>
      <w:ind w:left="578" w:hanging="578"/>
      <w:outlineLvl w:val="1"/>
    </w:pPr>
    <w:rPr>
      <w:rFonts w:asciiTheme="majorHAnsi" w:eastAsiaTheme="majorEastAsia" w:hAnsiTheme="majorHAnsi" w:cstheme="majorBidi"/>
      <w:b/>
      <w:color w:val="0B78BE" w:themeColor="accent2"/>
      <w:sz w:val="30"/>
      <w:szCs w:val="30"/>
      <w:lang w:val="en-AU"/>
    </w:rPr>
  </w:style>
  <w:style w:type="paragraph" w:styleId="Heading3">
    <w:name w:val="heading 3"/>
    <w:next w:val="Normal"/>
    <w:link w:val="Heading3Char"/>
    <w:uiPriority w:val="2"/>
    <w:qFormat/>
    <w:rsid w:val="00B01482"/>
    <w:pPr>
      <w:keepNext/>
      <w:keepLines/>
      <w:spacing w:before="240" w:after="0" w:line="280" w:lineRule="atLeast"/>
      <w:outlineLvl w:val="2"/>
    </w:pPr>
    <w:rPr>
      <w:rFonts w:ascii="Open Sans" w:eastAsiaTheme="majorEastAsia" w:hAnsi="Open Sans" w:cstheme="majorBidi"/>
      <w:b/>
      <w:color w:val="000000" w:themeColor="text1"/>
      <w:szCs w:val="28"/>
      <w:lang w:val="en-AU"/>
    </w:rPr>
  </w:style>
  <w:style w:type="paragraph" w:styleId="Heading4">
    <w:name w:val="heading 4"/>
    <w:basedOn w:val="Normal"/>
    <w:next w:val="Normal"/>
    <w:link w:val="Heading4Char"/>
    <w:uiPriority w:val="99"/>
    <w:semiHidden/>
    <w:qFormat/>
    <w:rsid w:val="001A6444"/>
    <w:pPr>
      <w:keepNext/>
      <w:keepLines/>
      <w:numPr>
        <w:ilvl w:val="3"/>
        <w:numId w:val="26"/>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1A6444"/>
    <w:pPr>
      <w:keepNext/>
      <w:keepLines/>
      <w:numPr>
        <w:ilvl w:val="4"/>
        <w:numId w:val="26"/>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1A6444"/>
    <w:pPr>
      <w:keepNext/>
      <w:keepLines/>
      <w:numPr>
        <w:ilvl w:val="5"/>
        <w:numId w:val="26"/>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1A6444"/>
    <w:pPr>
      <w:keepNext/>
      <w:keepLines/>
      <w:numPr>
        <w:ilvl w:val="6"/>
        <w:numId w:val="26"/>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1A6444"/>
    <w:pPr>
      <w:keepNext/>
      <w:keepLines/>
      <w:numPr>
        <w:ilvl w:val="7"/>
        <w:numId w:val="26"/>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1A6444"/>
    <w:pPr>
      <w:keepNext/>
      <w:keepLines/>
      <w:numPr>
        <w:ilvl w:val="8"/>
        <w:numId w:val="2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F3BE7"/>
    <w:rPr>
      <w:rFonts w:asciiTheme="majorHAnsi" w:eastAsiaTheme="majorEastAsia" w:hAnsiTheme="majorHAnsi" w:cstheme="majorBidi"/>
      <w:b/>
      <w:color w:val="143C65" w:themeColor="accent1"/>
      <w:sz w:val="40"/>
      <w:szCs w:val="44"/>
      <w:lang w:val="en-AU"/>
    </w:rPr>
  </w:style>
  <w:style w:type="character" w:customStyle="1" w:styleId="Heading2Char">
    <w:name w:val="Heading 2 Char"/>
    <w:basedOn w:val="DefaultParagraphFont"/>
    <w:link w:val="Heading2"/>
    <w:uiPriority w:val="2"/>
    <w:rsid w:val="0058707A"/>
    <w:rPr>
      <w:rFonts w:asciiTheme="majorHAnsi" w:eastAsiaTheme="majorEastAsia" w:hAnsiTheme="majorHAnsi" w:cstheme="majorBidi"/>
      <w:b/>
      <w:color w:val="0B78BE" w:themeColor="accent2"/>
      <w:sz w:val="30"/>
      <w:szCs w:val="30"/>
      <w:lang w:val="en-AU"/>
    </w:rPr>
  </w:style>
  <w:style w:type="character" w:customStyle="1" w:styleId="Heading3Char">
    <w:name w:val="Heading 3 Char"/>
    <w:basedOn w:val="DefaultParagraphFont"/>
    <w:link w:val="Heading3"/>
    <w:uiPriority w:val="2"/>
    <w:rsid w:val="006F28A5"/>
    <w:rPr>
      <w:rFonts w:ascii="Open Sans" w:eastAsiaTheme="majorEastAsia" w:hAnsi="Open Sans" w:cstheme="majorBidi"/>
      <w:b/>
      <w:color w:val="000000" w:themeColor="text1"/>
      <w:szCs w:val="28"/>
      <w:lang w:val="en-AU"/>
    </w:rPr>
  </w:style>
  <w:style w:type="character" w:customStyle="1" w:styleId="Heading4Char">
    <w:name w:val="Heading 4 Char"/>
    <w:basedOn w:val="DefaultParagraphFont"/>
    <w:link w:val="Heading4"/>
    <w:uiPriority w:val="99"/>
    <w:semiHidden/>
    <w:rsid w:val="001A6444"/>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1A6444"/>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1A6444"/>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1A6444"/>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1A6444"/>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1A6444"/>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12"/>
    <w:rsid w:val="006F28A5"/>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12"/>
    <w:qFormat/>
    <w:rsid w:val="001A6444"/>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12"/>
    <w:rsid w:val="006F28A5"/>
    <w:rPr>
      <w:rFonts w:ascii="Open Sans" w:eastAsiaTheme="majorEastAsia" w:hAnsi="Open Sans" w:cstheme="majorBidi"/>
      <w:color w:val="0B78BE" w:themeColor="accent2"/>
      <w:spacing w:val="15"/>
      <w:sz w:val="36"/>
      <w:szCs w:val="28"/>
      <w:lang w:val="en-AU"/>
    </w:rPr>
  </w:style>
  <w:style w:type="paragraph" w:styleId="Subtitle">
    <w:name w:val="Subtitle"/>
    <w:next w:val="Normal"/>
    <w:link w:val="SubtitleChar"/>
    <w:uiPriority w:val="12"/>
    <w:qFormat/>
    <w:rsid w:val="00C214AA"/>
    <w:pPr>
      <w:numPr>
        <w:ilvl w:val="1"/>
      </w:numPr>
      <w:spacing w:before="120" w:after="0" w:line="400" w:lineRule="atLeast"/>
    </w:pPr>
    <w:rPr>
      <w:rFonts w:ascii="Open Sans" w:eastAsiaTheme="majorEastAsia" w:hAnsi="Open Sans" w:cstheme="majorBidi"/>
      <w:color w:val="0B78BE" w:themeColor="accent2"/>
      <w:spacing w:val="15"/>
      <w:sz w:val="36"/>
      <w:szCs w:val="28"/>
      <w:lang w:val="en-AU"/>
    </w:rPr>
  </w:style>
  <w:style w:type="character" w:styleId="IntenseEmphasis">
    <w:name w:val="Intense Emphasis"/>
    <w:basedOn w:val="DefaultParagraphFont"/>
    <w:uiPriority w:val="99"/>
    <w:semiHidden/>
    <w:qFormat/>
    <w:rsid w:val="001A6444"/>
    <w:rPr>
      <w:i/>
      <w:iCs/>
      <w:color w:val="0F2C4B" w:themeColor="accent1" w:themeShade="BF"/>
    </w:rPr>
  </w:style>
  <w:style w:type="character" w:customStyle="1" w:styleId="QuoteChar">
    <w:name w:val="Quote Char"/>
    <w:basedOn w:val="DefaultParagraphFont"/>
    <w:link w:val="Quote"/>
    <w:uiPriority w:val="99"/>
    <w:semiHidden/>
    <w:rsid w:val="001A6444"/>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1A644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1A6444"/>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1A6444"/>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1A6444"/>
    <w:rPr>
      <w:b/>
      <w:bCs/>
      <w:smallCaps/>
      <w:color w:val="0F2C4B" w:themeColor="accent1" w:themeShade="BF"/>
      <w:spacing w:val="5"/>
    </w:rPr>
  </w:style>
  <w:style w:type="paragraph" w:styleId="TOCHeading">
    <w:name w:val="TOC Heading"/>
    <w:next w:val="Normal"/>
    <w:uiPriority w:val="13"/>
    <w:qFormat/>
    <w:rsid w:val="001A6444"/>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next w:val="Normal"/>
    <w:autoRedefine/>
    <w:uiPriority w:val="39"/>
    <w:rsid w:val="002E31B2"/>
    <w:pPr>
      <w:tabs>
        <w:tab w:val="left" w:pos="284"/>
        <w:tab w:val="right" w:pos="9072"/>
      </w:tabs>
      <w:spacing w:before="60" w:after="0" w:line="260" w:lineRule="atLeast"/>
    </w:pPr>
    <w:rPr>
      <w:rFonts w:ascii="Open Sans" w:hAnsi="Open Sans"/>
      <w:b/>
      <w:noProof/>
      <w:color w:val="143C65" w:themeColor="accent1"/>
      <w:lang w:val="en-AU"/>
    </w:rPr>
  </w:style>
  <w:style w:type="paragraph" w:styleId="TOC2">
    <w:name w:val="toc 2"/>
    <w:next w:val="Normal"/>
    <w:autoRedefine/>
    <w:uiPriority w:val="39"/>
    <w:rsid w:val="002E31B2"/>
    <w:pPr>
      <w:tabs>
        <w:tab w:val="right" w:pos="9072"/>
      </w:tabs>
      <w:spacing w:before="60" w:after="0" w:line="260" w:lineRule="atLeast"/>
      <w:ind w:left="238"/>
    </w:pPr>
    <w:rPr>
      <w:rFonts w:ascii="Open Sans" w:hAnsi="Open Sans"/>
      <w:noProof/>
      <w:color w:val="0B78BE" w:themeColor="accent2"/>
    </w:rPr>
  </w:style>
  <w:style w:type="paragraph" w:styleId="TOC3">
    <w:name w:val="toc 3"/>
    <w:basedOn w:val="Normal"/>
    <w:next w:val="Normal"/>
    <w:autoRedefine/>
    <w:uiPriority w:val="99"/>
    <w:semiHidden/>
    <w:rsid w:val="001A6444"/>
    <w:pPr>
      <w:spacing w:after="100"/>
      <w:ind w:left="480"/>
    </w:pPr>
  </w:style>
  <w:style w:type="character" w:styleId="Hyperlink">
    <w:name w:val="Hyperlink"/>
    <w:basedOn w:val="DefaultParagraphFont"/>
    <w:uiPriority w:val="99"/>
    <w:rsid w:val="001A6444"/>
    <w:rPr>
      <w:color w:val="143C65" w:themeColor="hyperlink"/>
      <w:u w:val="single"/>
    </w:rPr>
  </w:style>
  <w:style w:type="paragraph" w:styleId="Header">
    <w:name w:val="header"/>
    <w:link w:val="Head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HeaderChar">
    <w:name w:val="Header Char"/>
    <w:basedOn w:val="DefaultParagraphFont"/>
    <w:link w:val="Header"/>
    <w:uiPriority w:val="14"/>
    <w:rsid w:val="006F28A5"/>
    <w:rPr>
      <w:rFonts w:ascii="Open Sans" w:hAnsi="Open Sans"/>
      <w:color w:val="143C65" w:themeColor="accent1"/>
      <w:sz w:val="20"/>
      <w:lang w:val="en-AU"/>
    </w:rPr>
  </w:style>
  <w:style w:type="paragraph" w:styleId="Footer">
    <w:name w:val="footer"/>
    <w:link w:val="Foot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FooterChar">
    <w:name w:val="Footer Char"/>
    <w:basedOn w:val="DefaultParagraphFont"/>
    <w:link w:val="Footer"/>
    <w:uiPriority w:val="14"/>
    <w:rsid w:val="006F28A5"/>
    <w:rPr>
      <w:rFonts w:ascii="Open Sans" w:hAnsi="Open Sans"/>
      <w:color w:val="143C65" w:themeColor="accent1"/>
      <w:sz w:val="20"/>
      <w:lang w:val="en-AU"/>
    </w:rPr>
  </w:style>
  <w:style w:type="table" w:customStyle="1" w:styleId="AHRCtable">
    <w:name w:val="AHRC table"/>
    <w:basedOn w:val="TableNormal"/>
    <w:uiPriority w:val="99"/>
    <w:rsid w:val="00F67824"/>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Sitka Display Semibold" w:hAnsi="Sitka Display Semibold"/>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Sitka Display Semibold" w:hAnsi="Sitka Display Semibold"/>
      </w:rPr>
    </w:tblStylePr>
  </w:style>
  <w:style w:type="table" w:styleId="TableGrid">
    <w:name w:val="Table Grid"/>
    <w:basedOn w:val="TableNormal"/>
    <w:uiPriority w:val="39"/>
    <w:rsid w:val="001A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B01482"/>
    <w:pPr>
      <w:spacing w:before="60" w:after="0" w:line="260" w:lineRule="atLeast"/>
    </w:pPr>
    <w:rPr>
      <w:rFonts w:ascii="Open Sans" w:eastAsia="Times New Roman" w:hAnsi="Open Sans"/>
      <w:b/>
      <w:color w:val="143C65" w:themeColor="accent1"/>
      <w:kern w:val="2"/>
      <w:szCs w:val="16"/>
      <w:lang w:val="en-AU"/>
      <w14:ligatures w14:val="standardContextual"/>
    </w:rPr>
  </w:style>
  <w:style w:type="paragraph" w:customStyle="1" w:styleId="Tabletext">
    <w:name w:val="Table text"/>
    <w:uiPriority w:val="3"/>
    <w:qFormat/>
    <w:rsid w:val="00B01482"/>
    <w:pPr>
      <w:spacing w:before="60" w:after="0" w:line="280" w:lineRule="atLeast"/>
    </w:pPr>
    <w:rPr>
      <w:rFonts w:ascii="Open Sans" w:eastAsia="Times New Roman" w:hAnsi="Open Sans"/>
      <w:color w:val="000000" w:themeColor="text1"/>
      <w:kern w:val="2"/>
      <w:szCs w:val="16"/>
      <w:lang w:val="en-AU"/>
      <w14:ligatures w14:val="standardContextual"/>
    </w:rPr>
  </w:style>
  <w:style w:type="paragraph" w:customStyle="1" w:styleId="Tablelistbullets">
    <w:name w:val="Table list bullets"/>
    <w:uiPriority w:val="3"/>
    <w:qFormat/>
    <w:rsid w:val="00B01482"/>
    <w:pPr>
      <w:numPr>
        <w:numId w:val="28"/>
      </w:numPr>
      <w:spacing w:after="0" w:line="260" w:lineRule="atLeast"/>
    </w:pPr>
    <w:rPr>
      <w:rFonts w:ascii="Open Sans" w:eastAsia="Times New Roman" w:hAnsi="Open Sans"/>
      <w:color w:val="000000" w:themeColor="text1"/>
      <w:kern w:val="2"/>
      <w:szCs w:val="16"/>
      <w:lang w:val="en-AU"/>
      <w14:ligatures w14:val="standardContextual"/>
    </w:rPr>
  </w:style>
  <w:style w:type="paragraph" w:styleId="EndnoteText">
    <w:name w:val="endnote text"/>
    <w:aliases w:val="2_G"/>
    <w:link w:val="EndnoteTextChar"/>
    <w:uiPriority w:val="99"/>
    <w:qFormat/>
    <w:rsid w:val="00C214AA"/>
    <w:pPr>
      <w:spacing w:before="120" w:after="0" w:line="280" w:lineRule="atLeast"/>
      <w:ind w:left="170" w:hanging="170"/>
    </w:pPr>
    <w:rPr>
      <w:rFonts w:ascii="Open Sans" w:hAnsi="Open Sans"/>
      <w:color w:val="000000" w:themeColor="text1"/>
      <w:szCs w:val="20"/>
      <w:lang w:val="en-AU"/>
    </w:rPr>
  </w:style>
  <w:style w:type="character" w:customStyle="1" w:styleId="EndnoteTextChar">
    <w:name w:val="Endnote Text Char"/>
    <w:aliases w:val="2_G Char1"/>
    <w:basedOn w:val="DefaultParagraphFont"/>
    <w:link w:val="EndnoteText"/>
    <w:uiPriority w:val="13"/>
    <w:rsid w:val="006F28A5"/>
    <w:rPr>
      <w:rFonts w:ascii="Open Sans" w:hAnsi="Open Sans"/>
      <w:color w:val="000000" w:themeColor="text1"/>
      <w:szCs w:val="20"/>
      <w:lang w:val="en-AU"/>
    </w:rPr>
  </w:style>
  <w:style w:type="character" w:styleId="EndnoteReference">
    <w:name w:val="endnote reference"/>
    <w:aliases w:val="QUOTE,1_G,Quote1"/>
    <w:basedOn w:val="DefaultParagraphFont"/>
    <w:uiPriority w:val="99"/>
    <w:qFormat/>
    <w:rsid w:val="001A6444"/>
    <w:rPr>
      <w:vertAlign w:val="superscript"/>
    </w:rPr>
  </w:style>
  <w:style w:type="paragraph" w:styleId="ListParagraph">
    <w:name w:val="List Paragraph"/>
    <w:aliases w:val="Brief List Paragraph 1,Bullet 1,Bullet Points,CV text,Colorful List - Accent 11,Dot pt,F5 List Paragraph,Indicator Text,L,List Paragraph Char Char Char,List Paragraph1,List Paragraph11,List Paragraph12,MAIN CONTENT,Recommendation,列出段"/>
    <w:basedOn w:val="Normal"/>
    <w:link w:val="ListParagraphChar"/>
    <w:uiPriority w:val="99"/>
    <w:qFormat/>
    <w:rsid w:val="001A6444"/>
    <w:pPr>
      <w:ind w:left="720"/>
      <w:contextualSpacing/>
    </w:pPr>
  </w:style>
  <w:style w:type="paragraph" w:customStyle="1" w:styleId="Bodylistbullets">
    <w:name w:val="Body list bullets"/>
    <w:basedOn w:val="ListParagraph"/>
    <w:uiPriority w:val="1"/>
    <w:qFormat/>
    <w:rsid w:val="0059486E"/>
    <w:pPr>
      <w:numPr>
        <w:numId w:val="18"/>
      </w:numPr>
      <w:spacing w:before="0"/>
      <w:ind w:left="357" w:hanging="357"/>
    </w:pPr>
  </w:style>
  <w:style w:type="paragraph" w:customStyle="1" w:styleId="Tablelistnumbers">
    <w:name w:val="Table list numbers"/>
    <w:uiPriority w:val="3"/>
    <w:qFormat/>
    <w:rsid w:val="00B01482"/>
    <w:pPr>
      <w:numPr>
        <w:numId w:val="29"/>
      </w:numPr>
      <w:spacing w:after="0" w:line="260" w:lineRule="atLeast"/>
    </w:pPr>
    <w:rPr>
      <w:rFonts w:ascii="Open Sans" w:eastAsia="Times New Roman" w:hAnsi="Open Sans"/>
      <w:color w:val="000000" w:themeColor="text1"/>
      <w:kern w:val="2"/>
      <w:szCs w:val="16"/>
      <w:lang w:val="en-AU"/>
      <w14:ligatures w14:val="standardContextual"/>
    </w:rPr>
  </w:style>
  <w:style w:type="paragraph" w:customStyle="1" w:styleId="Bodylistnumbers">
    <w:name w:val="Body list numbers"/>
    <w:uiPriority w:val="1"/>
    <w:qFormat/>
    <w:rsid w:val="0059486E"/>
    <w:pPr>
      <w:numPr>
        <w:numId w:val="17"/>
      </w:numPr>
      <w:spacing w:after="0" w:line="280" w:lineRule="atLeast"/>
      <w:ind w:left="357" w:hanging="357"/>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1A6444"/>
    <w:rPr>
      <w:color w:val="605E5C"/>
      <w:shd w:val="clear" w:color="auto" w:fill="E1DFDD"/>
    </w:rPr>
  </w:style>
  <w:style w:type="paragraph" w:customStyle="1" w:styleId="Blockquote">
    <w:name w:val="Block quote"/>
    <w:next w:val="Normal"/>
    <w:uiPriority w:val="10"/>
    <w:qFormat/>
    <w:rsid w:val="00683E20"/>
    <w:pPr>
      <w:spacing w:before="120" w:after="0" w:line="280" w:lineRule="atLeast"/>
      <w:ind w:left="567"/>
    </w:pPr>
    <w:rPr>
      <w:rFonts w:ascii="Open Sans" w:hAnsi="Open Sans"/>
      <w:color w:val="000000" w:themeColor="text1"/>
      <w:lang w:val="en-AU"/>
    </w:rPr>
  </w:style>
  <w:style w:type="paragraph" w:styleId="Caption">
    <w:name w:val="caption"/>
    <w:next w:val="Normal"/>
    <w:uiPriority w:val="10"/>
    <w:qFormat/>
    <w:rsid w:val="00C214AA"/>
    <w:pPr>
      <w:spacing w:before="120" w:after="0" w:line="280" w:lineRule="atLeast"/>
    </w:pPr>
    <w:rPr>
      <w:rFonts w:ascii="Open Sans" w:hAnsi="Open Sans"/>
      <w:iCs/>
      <w:color w:val="143C65" w:themeColor="accent1"/>
      <w:szCs w:val="18"/>
      <w:lang w:val="en-AU"/>
    </w:rPr>
  </w:style>
  <w:style w:type="character" w:styleId="CommentReference">
    <w:name w:val="annotation reference"/>
    <w:basedOn w:val="DefaultParagraphFont"/>
    <w:uiPriority w:val="99"/>
    <w:semiHidden/>
    <w:rsid w:val="001A6444"/>
    <w:rPr>
      <w:sz w:val="16"/>
      <w:szCs w:val="16"/>
    </w:rPr>
  </w:style>
  <w:style w:type="paragraph" w:styleId="CommentText">
    <w:name w:val="annotation text"/>
    <w:basedOn w:val="Normal"/>
    <w:link w:val="CommentTextChar"/>
    <w:uiPriority w:val="99"/>
    <w:semiHidden/>
    <w:rsid w:val="001A6444"/>
    <w:pPr>
      <w:spacing w:line="240" w:lineRule="auto"/>
    </w:pPr>
    <w:rPr>
      <w:sz w:val="20"/>
      <w:szCs w:val="20"/>
    </w:rPr>
  </w:style>
  <w:style w:type="character" w:customStyle="1" w:styleId="CommentTextChar">
    <w:name w:val="Comment Text Char"/>
    <w:basedOn w:val="DefaultParagraphFont"/>
    <w:link w:val="CommentText"/>
    <w:uiPriority w:val="99"/>
    <w:semiHidden/>
    <w:rsid w:val="001A6444"/>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1A6444"/>
    <w:rPr>
      <w:b/>
      <w:bCs/>
    </w:rPr>
  </w:style>
  <w:style w:type="character" w:customStyle="1" w:styleId="CommentSubjectChar">
    <w:name w:val="Comment Subject Char"/>
    <w:basedOn w:val="CommentTextChar"/>
    <w:link w:val="CommentSubject"/>
    <w:uiPriority w:val="99"/>
    <w:semiHidden/>
    <w:rsid w:val="001A6444"/>
    <w:rPr>
      <w:rFonts w:ascii="Open Sans" w:hAnsi="Open Sans"/>
      <w:b/>
      <w:bCs/>
      <w:color w:val="000000" w:themeColor="text1"/>
      <w:sz w:val="20"/>
      <w:szCs w:val="20"/>
      <w:lang w:val="en-AU"/>
    </w:rPr>
  </w:style>
  <w:style w:type="character" w:styleId="Mention">
    <w:name w:val="Mention"/>
    <w:basedOn w:val="DefaultParagraphFont"/>
    <w:uiPriority w:val="99"/>
    <w:semiHidden/>
    <w:rsid w:val="000817D9"/>
    <w:rPr>
      <w:color w:val="2B579A"/>
      <w:shd w:val="clear" w:color="auto" w:fill="E1DFDD"/>
    </w:rPr>
  </w:style>
  <w:style w:type="paragraph" w:customStyle="1" w:styleId="Blockquotelistbullets">
    <w:name w:val="Block quote list bullets"/>
    <w:basedOn w:val="Bodylistbullets"/>
    <w:uiPriority w:val="10"/>
    <w:qFormat/>
    <w:rsid w:val="00683E20"/>
    <w:pPr>
      <w:ind w:left="924"/>
    </w:pPr>
  </w:style>
  <w:style w:type="paragraph" w:customStyle="1" w:styleId="Sectionsummarybody">
    <w:name w:val="Section summary body"/>
    <w:uiPriority w:val="6"/>
    <w:qFormat/>
    <w:rsid w:val="00C214AA"/>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spacing w:before="120" w:after="0" w:line="280" w:lineRule="atLeast"/>
    </w:pPr>
    <w:rPr>
      <w:rFonts w:ascii="Open Sans" w:hAnsi="Open Sans"/>
      <w:color w:val="000000" w:themeColor="text1"/>
      <w:lang w:val="en-AU"/>
    </w:rPr>
  </w:style>
  <w:style w:type="paragraph" w:customStyle="1" w:styleId="Coremessagelistbullets">
    <w:name w:val="Core message list bullets"/>
    <w:basedOn w:val="Bodylistbullets"/>
    <w:uiPriority w:val="99"/>
    <w:semiHidden/>
    <w:qFormat/>
    <w:rsid w:val="001A6444"/>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pPr>
  </w:style>
  <w:style w:type="paragraph" w:customStyle="1" w:styleId="Heading1unnumbered">
    <w:name w:val="Heading 1 unnumbered"/>
    <w:basedOn w:val="Heading1"/>
    <w:next w:val="Normal"/>
    <w:uiPriority w:val="2"/>
    <w:qFormat/>
    <w:rsid w:val="001A6444"/>
    <w:pPr>
      <w:numPr>
        <w:numId w:val="0"/>
      </w:numPr>
      <w:ind w:left="431" w:hanging="431"/>
    </w:pPr>
  </w:style>
  <w:style w:type="paragraph" w:customStyle="1" w:styleId="Heading2unnumbered">
    <w:name w:val="Heading 2 unnumbered"/>
    <w:basedOn w:val="Heading2"/>
    <w:next w:val="Normal"/>
    <w:uiPriority w:val="2"/>
    <w:semiHidden/>
    <w:qFormat/>
    <w:rsid w:val="00C265BB"/>
  </w:style>
  <w:style w:type="paragraph" w:styleId="Revision">
    <w:name w:val="Revision"/>
    <w:hidden/>
    <w:uiPriority w:val="99"/>
    <w:semiHidden/>
    <w:rsid w:val="00A8521C"/>
    <w:pPr>
      <w:spacing w:after="0" w:line="240" w:lineRule="auto"/>
    </w:pPr>
    <w:rPr>
      <w:rFonts w:ascii="Open Sans" w:hAnsi="Open Sans"/>
      <w:color w:val="000000" w:themeColor="text1"/>
      <w:lang w:val="en-AU"/>
    </w:rPr>
  </w:style>
  <w:style w:type="character" w:styleId="FollowedHyperlink">
    <w:name w:val="FollowedHyperlink"/>
    <w:basedOn w:val="DefaultParagraphFont"/>
    <w:uiPriority w:val="15"/>
    <w:rsid w:val="004D3359"/>
    <w:rPr>
      <w:color w:val="61136C" w:themeColor="followedHyperlink"/>
      <w:u w:val="single"/>
    </w:rPr>
  </w:style>
  <w:style w:type="paragraph" w:customStyle="1" w:styleId="Sectionsummarylistbullets">
    <w:name w:val="Section summary list bullets"/>
    <w:basedOn w:val="Coremessagelistbullets"/>
    <w:uiPriority w:val="6"/>
    <w:qFormat/>
    <w:rsid w:val="00CA4958"/>
  </w:style>
  <w:style w:type="paragraph" w:customStyle="1" w:styleId="Frontmatter">
    <w:name w:val="Front matter"/>
    <w:uiPriority w:val="10"/>
    <w:qFormat/>
    <w:rsid w:val="00C214AA"/>
    <w:pPr>
      <w:spacing w:before="120" w:after="0" w:line="280" w:lineRule="atLeast"/>
    </w:pPr>
    <w:rPr>
      <w:rFonts w:ascii="Open Sans" w:hAnsi="Open Sans"/>
      <w:color w:val="000000" w:themeColor="text1"/>
      <w:szCs w:val="22"/>
      <w:lang w:val="en-AU"/>
    </w:rPr>
  </w:style>
  <w:style w:type="table" w:customStyle="1" w:styleId="AHRCfirstcolumn">
    <w:name w:val="AHRC first column"/>
    <w:basedOn w:val="TableNormal"/>
    <w:uiPriority w:val="99"/>
    <w:rsid w:val="00F67824"/>
    <w:pPr>
      <w:spacing w:after="0" w:line="240" w:lineRule="auto"/>
    </w:pPr>
    <w:tblPr>
      <w:tblBorders>
        <w:insideH w:val="single" w:sz="4" w:space="0" w:color="929497" w:themeColor="accent6"/>
        <w:insideV w:val="single" w:sz="4" w:space="0" w:color="929497" w:themeColor="accent6"/>
      </w:tblBorders>
      <w:tblCellMar>
        <w:bottom w:w="108" w:type="dxa"/>
      </w:tblCellMar>
    </w:tblPr>
    <w:tblStylePr w:type="firstCol">
      <w:tblPr/>
      <w:tcPr>
        <w:shd w:val="clear" w:color="auto" w:fill="EBE9E8" w:themeFill="background2"/>
      </w:tcPr>
    </w:tblStylePr>
  </w:style>
  <w:style w:type="character" w:styleId="PlaceholderText">
    <w:name w:val="Placeholder Text"/>
    <w:basedOn w:val="DefaultParagraphFont"/>
    <w:uiPriority w:val="99"/>
    <w:semiHidden/>
    <w:rsid w:val="00FF3BE7"/>
    <w:rPr>
      <w:color w:val="666666"/>
    </w:rPr>
  </w:style>
  <w:style w:type="character" w:customStyle="1" w:styleId="EndnoteTextChar1">
    <w:name w:val="Endnote Text Char1"/>
    <w:aliases w:val="2_G Char"/>
    <w:uiPriority w:val="99"/>
    <w:rsid w:val="001E6207"/>
    <w:rPr>
      <w:rFonts w:ascii="Open Sans" w:eastAsia="MS Mincho" w:hAnsi="Open Sans"/>
    </w:rPr>
  </w:style>
  <w:style w:type="character" w:customStyle="1" w:styleId="ListParagraphChar">
    <w:name w:val="List Paragraph Char"/>
    <w:aliases w:val="Brief List Paragraph 1 Char,Bullet 1 Char,Bullet Points Char,CV text Char,Colorful List - Accent 11 Char,Dot pt Char,F5 List Paragraph Char,Indicator Text Char,L Char,List Paragraph Char Char Char Char,List Paragraph1 Char,列出段 Char"/>
    <w:basedOn w:val="DefaultParagraphFont"/>
    <w:link w:val="ListParagraph"/>
    <w:uiPriority w:val="34"/>
    <w:qFormat/>
    <w:locked/>
    <w:rsid w:val="000637D0"/>
    <w:rPr>
      <w:rFonts w:ascii="Open Sans" w:hAnsi="Open Sans"/>
      <w:color w:val="000000" w:themeColor="text1"/>
      <w:lang w:val="en-AU"/>
    </w:rPr>
  </w:style>
  <w:style w:type="paragraph" w:customStyle="1" w:styleId="pf0">
    <w:name w:val="pf0"/>
    <w:basedOn w:val="Normal"/>
    <w:rsid w:val="0032671E"/>
    <w:pPr>
      <w:numPr>
        <w:numId w:val="0"/>
      </w:numPr>
      <w:spacing w:before="100" w:beforeAutospacing="1" w:after="100" w:afterAutospacing="1" w:line="240" w:lineRule="auto"/>
    </w:pPr>
    <w:rPr>
      <w:rFonts w:ascii="Times New Roman" w:eastAsia="Times New Roman" w:hAnsi="Times New Roman" w:cs="Times New Roman"/>
      <w:color w:val="auto"/>
      <w:lang w:eastAsia="en-AU"/>
    </w:rPr>
  </w:style>
  <w:style w:type="character" w:customStyle="1" w:styleId="cf01">
    <w:name w:val="cf01"/>
    <w:basedOn w:val="DefaultParagraphFont"/>
    <w:rsid w:val="003267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humanrights.gov.au/our-work/legal/submission/genetic-testing-insurance-underwri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humanrights.gov.au"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s://humanrights.gov.au/our-work/rights-and-freedoms/publications/free-and-equal-reform-agenda-federal-discrimination-laws" TargetMode="External"/><Relationship Id="rId2" Type="http://schemas.openxmlformats.org/officeDocument/2006/relationships/hyperlink" Target="https://financialrights.org.au/wp-content/uploads/2025/03/treasury-consultation-ban-use-adverse-genetic-testing-life-insurance.pdf" TargetMode="External"/><Relationship Id="rId1" Type="http://schemas.openxmlformats.org/officeDocument/2006/relationships/hyperlink" Target="https://www.ag.gov.au/rights-and-protections/human-rights-and-anti-discrimination/australias-anti-discrimination-law/review-disability-discrimination-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CCB2783FD4EC0874CF61975A4FD7E"/>
        <w:category>
          <w:name w:val="General"/>
          <w:gallery w:val="placeholder"/>
        </w:category>
        <w:types>
          <w:type w:val="bbPlcHdr"/>
        </w:types>
        <w:behaviors>
          <w:behavior w:val="content"/>
        </w:behaviors>
        <w:guid w:val="{7B7ADD20-66EB-4C57-9A26-418AC21ECBE2}"/>
      </w:docPartPr>
      <w:docPartBody>
        <w:p w:rsidR="00583DE2" w:rsidRDefault="00583DE2">
          <w:pPr>
            <w:pStyle w:val="CDBCCB2783FD4EC0874CF61975A4FD7E"/>
          </w:pPr>
          <w:r w:rsidRPr="00AD05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Sitka Display Semibold">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E2"/>
    <w:rsid w:val="00090096"/>
    <w:rsid w:val="001F59ED"/>
    <w:rsid w:val="004F3CBE"/>
    <w:rsid w:val="00504711"/>
    <w:rsid w:val="00583DE2"/>
    <w:rsid w:val="00676DF6"/>
    <w:rsid w:val="006A2CBF"/>
    <w:rsid w:val="006A6C20"/>
    <w:rsid w:val="00880BFA"/>
    <w:rsid w:val="00A354D7"/>
    <w:rsid w:val="00A70966"/>
    <w:rsid w:val="00B229ED"/>
    <w:rsid w:val="00BB2104"/>
    <w:rsid w:val="00E61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CBF"/>
    <w:rPr>
      <w:color w:val="666666"/>
    </w:rPr>
  </w:style>
  <w:style w:type="paragraph" w:customStyle="1" w:styleId="CDBCCB2783FD4EC0874CF61975A4FD7E">
    <w:name w:val="CDBCCB2783FD4EC0874CF61975A4F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headings xmlns="http://AHRCheadings.htm">
  <Overview>Overview</Overview>
  <Topic1>Specific concerns about the Exposure Draft</Topic1>
  <Topic2>Specific concerns about the Exposure Draft</Topic2>
  <Topic3>Topic 3</Topic3>
  <Topic4>Topic 4</Topic4>
  <Topic5>Topic 5</Topic5>
  <Topic6>Context</Topic6>
  <Endnotes>Endnotes</Endnotes>
</headings>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WEV44C3EEZP4-1056255319-11533</_dlc_DocId>
    <_dlc_DocIdUrl xmlns="6500fe01-343b-4fb9-a1b0-68ac19d62e01">
      <Url>https://australianhrc.sharepoint.com/sites/DisabilityRights/_layouts/15/DocIdRedir.aspx?ID=WEV44C3EEZP4-1056255319-11533</Url>
      <Description>WEV44C3EEZP4-1056255319-11533</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4DE90-639F-4BC8-AE29-34AB534813D7}">
  <ds:schemaRefs>
    <ds:schemaRef ds:uri="http://schemas.microsoft.com/sharepoint/events"/>
  </ds:schemaRefs>
</ds:datastoreItem>
</file>

<file path=customXml/itemProps2.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3.xml><?xml version="1.0" encoding="utf-8"?>
<ds:datastoreItem xmlns:ds="http://schemas.openxmlformats.org/officeDocument/2006/customXml" ds:itemID="{59E40458-85DB-4B58-AD7F-ED1E21A92441}">
  <ds:schemaRefs>
    <ds:schemaRef ds:uri="http://AHRCheadings.htm"/>
  </ds:schemaRefs>
</ds:datastoreItem>
</file>

<file path=customXml/itemProps4.xml><?xml version="1.0" encoding="utf-8"?>
<ds:datastoreItem xmlns:ds="http://schemas.openxmlformats.org/officeDocument/2006/customXml" ds:itemID="{3E782E5D-9A1A-4D44-9E82-87C03B019A0A}">
  <ds:schemaRefs>
    <ds:schemaRef ds:uri="Microsoft.SharePoint.Taxonomy.ContentTypeSync"/>
  </ds:schemaRefs>
</ds:datastoreItem>
</file>

<file path=customXml/itemProps5.xml><?xml version="1.0" encoding="utf-8"?>
<ds:datastoreItem xmlns:ds="http://schemas.openxmlformats.org/officeDocument/2006/customXml" ds:itemID="{59F97394-0F22-4A82-A234-3D4F685BB319}">
  <ds:schemaRefs>
    <ds:schemaRef ds:uri="http://purl.org/dc/dcmitype/"/>
    <ds:schemaRef ds:uri="d305f544-be6d-4a06-9182-35e488c047b9"/>
    <ds:schemaRef ds:uri="http://schemas.microsoft.com/office/2006/documentManagement/types"/>
    <ds:schemaRef ds:uri="http://purl.org/dc/elements/1.1/"/>
    <ds:schemaRef ds:uri="http://schemas.microsoft.com/office/2006/metadata/properties"/>
    <ds:schemaRef ds:uri="39d46e2e-af2c-4283-b2c0-dbe09d693c60"/>
    <ds:schemaRef ds:uri="http://schemas.microsoft.com/office/infopath/2007/PartnerControls"/>
    <ds:schemaRef ds:uri="http://purl.org/dc/terms/"/>
    <ds:schemaRef ds:uri="http://schemas.openxmlformats.org/package/2006/metadata/core-properties"/>
    <ds:schemaRef ds:uri="6500fe01-343b-4fb9-a1b0-68ac19d62e01"/>
    <ds:schemaRef ds:uri="http://www.w3.org/XML/1998/namespace"/>
  </ds:schemaRefs>
</ds:datastoreItem>
</file>

<file path=customXml/itemProps6.xml><?xml version="1.0" encoding="utf-8"?>
<ds:datastoreItem xmlns:ds="http://schemas.openxmlformats.org/officeDocument/2006/customXml" ds:itemID="{EEBCF49C-9574-490D-9FA0-31A2375C306F}">
  <ds:schemaRefs>
    <ds:schemaRef ds:uri="http://schemas.microsoft.com/office/2006/metadata/customXsn"/>
  </ds:schemaRefs>
</ds:datastoreItem>
</file>

<file path=customXml/itemProps7.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8.xml><?xml version="1.0" encoding="utf-8"?>
<ds:datastoreItem xmlns:ds="http://schemas.openxmlformats.org/officeDocument/2006/customXml" ds:itemID="{83BC6F0E-C9B6-466C-9604-231952A4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2965</Words>
  <Characters>17112</Characters>
  <Application>Microsoft Office Word</Application>
  <DocSecurity>0</DocSecurity>
  <Lines>311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Links>
    <vt:vector size="90" baseType="variant">
      <vt:variant>
        <vt:i4>7405608</vt:i4>
      </vt:variant>
      <vt:variant>
        <vt:i4>66</vt:i4>
      </vt:variant>
      <vt:variant>
        <vt:i4>0</vt:i4>
      </vt:variant>
      <vt:variant>
        <vt:i4>5</vt:i4>
      </vt:variant>
      <vt:variant>
        <vt:lpwstr>https://humanrights.gov.au/our-work/legal/submission/genetic-testing-insurance-underwriting</vt:lpwstr>
      </vt:variant>
      <vt:variant>
        <vt:lpwstr/>
      </vt:variant>
      <vt:variant>
        <vt:i4>7143487</vt:i4>
      </vt:variant>
      <vt:variant>
        <vt:i4>63</vt:i4>
      </vt:variant>
      <vt:variant>
        <vt:i4>0</vt:i4>
      </vt:variant>
      <vt:variant>
        <vt:i4>5</vt:i4>
      </vt:variant>
      <vt:variant>
        <vt:lpwstr>http://www.humanrights.gov.au/</vt:lpwstr>
      </vt:variant>
      <vt:variant>
        <vt:lpwstr/>
      </vt:variant>
      <vt:variant>
        <vt:i4>1114165</vt:i4>
      </vt:variant>
      <vt:variant>
        <vt:i4>56</vt:i4>
      </vt:variant>
      <vt:variant>
        <vt:i4>0</vt:i4>
      </vt:variant>
      <vt:variant>
        <vt:i4>5</vt:i4>
      </vt:variant>
      <vt:variant>
        <vt:lpwstr/>
      </vt:variant>
      <vt:variant>
        <vt:lpwstr>_Toc210819668</vt:lpwstr>
      </vt:variant>
      <vt:variant>
        <vt:i4>1114165</vt:i4>
      </vt:variant>
      <vt:variant>
        <vt:i4>50</vt:i4>
      </vt:variant>
      <vt:variant>
        <vt:i4>0</vt:i4>
      </vt:variant>
      <vt:variant>
        <vt:i4>5</vt:i4>
      </vt:variant>
      <vt:variant>
        <vt:lpwstr/>
      </vt:variant>
      <vt:variant>
        <vt:lpwstr>_Toc210819667</vt:lpwstr>
      </vt:variant>
      <vt:variant>
        <vt:i4>1114165</vt:i4>
      </vt:variant>
      <vt:variant>
        <vt:i4>44</vt:i4>
      </vt:variant>
      <vt:variant>
        <vt:i4>0</vt:i4>
      </vt:variant>
      <vt:variant>
        <vt:i4>5</vt:i4>
      </vt:variant>
      <vt:variant>
        <vt:lpwstr/>
      </vt:variant>
      <vt:variant>
        <vt:lpwstr>_Toc210819666</vt:lpwstr>
      </vt:variant>
      <vt:variant>
        <vt:i4>1114165</vt:i4>
      </vt:variant>
      <vt:variant>
        <vt:i4>38</vt:i4>
      </vt:variant>
      <vt:variant>
        <vt:i4>0</vt:i4>
      </vt:variant>
      <vt:variant>
        <vt:i4>5</vt:i4>
      </vt:variant>
      <vt:variant>
        <vt:lpwstr/>
      </vt:variant>
      <vt:variant>
        <vt:lpwstr>_Toc210819665</vt:lpwstr>
      </vt:variant>
      <vt:variant>
        <vt:i4>1114165</vt:i4>
      </vt:variant>
      <vt:variant>
        <vt:i4>32</vt:i4>
      </vt:variant>
      <vt:variant>
        <vt:i4>0</vt:i4>
      </vt:variant>
      <vt:variant>
        <vt:i4>5</vt:i4>
      </vt:variant>
      <vt:variant>
        <vt:lpwstr/>
      </vt:variant>
      <vt:variant>
        <vt:lpwstr>_Toc210819664</vt:lpwstr>
      </vt:variant>
      <vt:variant>
        <vt:i4>1114165</vt:i4>
      </vt:variant>
      <vt:variant>
        <vt:i4>26</vt:i4>
      </vt:variant>
      <vt:variant>
        <vt:i4>0</vt:i4>
      </vt:variant>
      <vt:variant>
        <vt:i4>5</vt:i4>
      </vt:variant>
      <vt:variant>
        <vt:lpwstr/>
      </vt:variant>
      <vt:variant>
        <vt:lpwstr>_Toc210819663</vt:lpwstr>
      </vt:variant>
      <vt:variant>
        <vt:i4>1114165</vt:i4>
      </vt:variant>
      <vt:variant>
        <vt:i4>20</vt:i4>
      </vt:variant>
      <vt:variant>
        <vt:i4>0</vt:i4>
      </vt:variant>
      <vt:variant>
        <vt:i4>5</vt:i4>
      </vt:variant>
      <vt:variant>
        <vt:lpwstr/>
      </vt:variant>
      <vt:variant>
        <vt:lpwstr>_Toc210819662</vt:lpwstr>
      </vt:variant>
      <vt:variant>
        <vt:i4>1114165</vt:i4>
      </vt:variant>
      <vt:variant>
        <vt:i4>14</vt:i4>
      </vt:variant>
      <vt:variant>
        <vt:i4>0</vt:i4>
      </vt:variant>
      <vt:variant>
        <vt:i4>5</vt:i4>
      </vt:variant>
      <vt:variant>
        <vt:lpwstr/>
      </vt:variant>
      <vt:variant>
        <vt:lpwstr>_Toc210819661</vt:lpwstr>
      </vt:variant>
      <vt:variant>
        <vt:i4>1114165</vt:i4>
      </vt:variant>
      <vt:variant>
        <vt:i4>8</vt:i4>
      </vt:variant>
      <vt:variant>
        <vt:i4>0</vt:i4>
      </vt:variant>
      <vt:variant>
        <vt:i4>5</vt:i4>
      </vt:variant>
      <vt:variant>
        <vt:lpwstr/>
      </vt:variant>
      <vt:variant>
        <vt:lpwstr>_Toc210819660</vt:lpwstr>
      </vt:variant>
      <vt:variant>
        <vt:i4>1179701</vt:i4>
      </vt:variant>
      <vt:variant>
        <vt:i4>2</vt:i4>
      </vt:variant>
      <vt:variant>
        <vt:i4>0</vt:i4>
      </vt:variant>
      <vt:variant>
        <vt:i4>5</vt:i4>
      </vt:variant>
      <vt:variant>
        <vt:lpwstr/>
      </vt:variant>
      <vt:variant>
        <vt:lpwstr>_Toc210819659</vt:lpwstr>
      </vt:variant>
      <vt:variant>
        <vt:i4>4718604</vt:i4>
      </vt:variant>
      <vt:variant>
        <vt:i4>6</vt:i4>
      </vt:variant>
      <vt:variant>
        <vt:i4>0</vt:i4>
      </vt:variant>
      <vt:variant>
        <vt:i4>5</vt:i4>
      </vt:variant>
      <vt:variant>
        <vt:lpwstr>https://humanrights.gov.au/our-work/rights-and-freedoms/publications/free-and-equal-reform-agenda-federal-discrimination-laws</vt:lpwstr>
      </vt:variant>
      <vt:variant>
        <vt:lpwstr/>
      </vt:variant>
      <vt:variant>
        <vt:i4>3407928</vt:i4>
      </vt:variant>
      <vt:variant>
        <vt:i4>3</vt:i4>
      </vt:variant>
      <vt:variant>
        <vt:i4>0</vt:i4>
      </vt:variant>
      <vt:variant>
        <vt:i4>5</vt:i4>
      </vt:variant>
      <vt:variant>
        <vt:lpwstr>https://financialrights.org.au/wp-content/uploads/2025/03/treasury-consultation-ban-use-adverse-genetic-testing-life-insurance.pdf</vt:lpwstr>
      </vt:variant>
      <vt:variant>
        <vt:lpwstr/>
      </vt:variant>
      <vt:variant>
        <vt:i4>2031628</vt:i4>
      </vt:variant>
      <vt:variant>
        <vt:i4>0</vt:i4>
      </vt:variant>
      <vt:variant>
        <vt:i4>0</vt:i4>
      </vt:variant>
      <vt:variant>
        <vt:i4>5</vt:i4>
      </vt:variant>
      <vt:variant>
        <vt:lpwstr>https://www.ag.gov.au/rights-and-protections/human-rights-and-anti-discrimination/australias-anti-discrimination-law/review-disability-discrimination-act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Wong</dc:creator>
  <cp:keywords/>
  <dc:description/>
  <cp:lastModifiedBy>Alexandra Dunn</cp:lastModifiedBy>
  <cp:revision>2</cp:revision>
  <cp:lastPrinted>2025-10-13T22:20:00Z</cp:lastPrinted>
  <dcterms:created xsi:type="dcterms:W3CDTF">2025-11-05T03:41:00Z</dcterms:created>
  <dcterms:modified xsi:type="dcterms:W3CDTF">2025-11-05T03:41:00Z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_dlc_DocIdItemGuid">
    <vt:lpwstr>e73bf626-e902-456d-af33-2f8f7c19365d</vt:lpwstr>
  </property>
</Properties>
</file>