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3BE3" w14:textId="1A2EAD0A" w:rsidR="00A355F9" w:rsidRDefault="00B333E2" w:rsidP="00A355F9">
      <w:pPr>
        <w:pStyle w:val="MainTitle"/>
      </w:pPr>
      <w:r>
        <w:t xml:space="preserve">Ban on the </w:t>
      </w:r>
      <w:r w:rsidR="00C800A1">
        <w:t>u</w:t>
      </w:r>
      <w:r>
        <w:t>se of</w:t>
      </w:r>
    </w:p>
    <w:p w14:paraId="46665ADE" w14:textId="3657CE9D" w:rsidR="00A355F9" w:rsidRDefault="00B333E2" w:rsidP="00A355F9">
      <w:pPr>
        <w:pStyle w:val="MainTitle"/>
      </w:pPr>
      <w:r>
        <w:t xml:space="preserve">Adverse Genetic Testing </w:t>
      </w:r>
    </w:p>
    <w:p w14:paraId="5FB8C399" w14:textId="321257B6" w:rsidR="00A355F9" w:rsidRDefault="00B333E2" w:rsidP="00A355F9">
      <w:pPr>
        <w:pStyle w:val="MainTitle"/>
      </w:pPr>
      <w:r>
        <w:t>Results in Life Insurance</w:t>
      </w:r>
    </w:p>
    <w:p w14:paraId="4E34B353" w14:textId="77777777" w:rsidR="00817C73" w:rsidRDefault="00817C73" w:rsidP="00817C73">
      <w:pPr>
        <w:pStyle w:val="Subtitle"/>
      </w:pPr>
      <w:bookmarkStart w:id="0" w:name="_Toc515873204"/>
      <w:bookmarkStart w:id="1" w:name="_Toc190786773"/>
      <w:bookmarkStart w:id="2" w:name="_Toc190965744"/>
      <w:bookmarkStart w:id="3" w:name="_Toc191392357"/>
      <w:bookmarkStart w:id="4" w:name="_Toc191486810"/>
      <w:bookmarkStart w:id="5" w:name="_Toc191486849"/>
      <w:bookmarkStart w:id="6" w:name="_Toc192095599"/>
      <w:bookmarkStart w:id="7" w:name="_Toc192577828"/>
      <w:bookmarkStart w:id="8" w:name="_Toc193285729"/>
      <w:bookmarkStart w:id="9" w:name="_Toc193353209"/>
      <w:bookmarkStart w:id="10" w:name="_Toc193872653"/>
      <w:r>
        <w:t>Australian Human Rights Commission</w:t>
      </w:r>
      <w:bookmarkEnd w:id="0"/>
      <w:bookmarkEnd w:id="1"/>
      <w:bookmarkEnd w:id="2"/>
      <w:bookmarkEnd w:id="3"/>
      <w:bookmarkEnd w:id="4"/>
      <w:bookmarkEnd w:id="5"/>
      <w:bookmarkEnd w:id="6"/>
      <w:bookmarkEnd w:id="7"/>
      <w:bookmarkEnd w:id="8"/>
      <w:bookmarkEnd w:id="9"/>
      <w:bookmarkEnd w:id="10"/>
    </w:p>
    <w:p w14:paraId="56D062D3" w14:textId="3E2911E1" w:rsidR="00817C73" w:rsidRDefault="00817C73" w:rsidP="00817C73">
      <w:pPr>
        <w:pStyle w:val="Subtitle"/>
      </w:pPr>
      <w:bookmarkStart w:id="11" w:name="_Toc515873205"/>
      <w:bookmarkStart w:id="12" w:name="_Toc190786774"/>
      <w:bookmarkStart w:id="13" w:name="_Toc190965745"/>
      <w:bookmarkStart w:id="14" w:name="_Toc191392358"/>
      <w:bookmarkStart w:id="15" w:name="_Toc191486811"/>
      <w:bookmarkStart w:id="16" w:name="_Toc191486850"/>
      <w:bookmarkStart w:id="17" w:name="_Toc192095600"/>
      <w:bookmarkStart w:id="18" w:name="_Toc192577829"/>
      <w:bookmarkStart w:id="19" w:name="_Toc193285730"/>
      <w:bookmarkStart w:id="20" w:name="_Toc193353210"/>
      <w:bookmarkStart w:id="21" w:name="_Toc193872654"/>
      <w:r>
        <w:t>Submission to</w:t>
      </w:r>
      <w:bookmarkEnd w:id="11"/>
      <w:r w:rsidR="00C800A1">
        <w:t xml:space="preserve"> Treasury</w:t>
      </w:r>
      <w:bookmarkEnd w:id="12"/>
      <w:bookmarkEnd w:id="13"/>
      <w:bookmarkEnd w:id="14"/>
      <w:bookmarkEnd w:id="15"/>
      <w:bookmarkEnd w:id="16"/>
      <w:bookmarkEnd w:id="17"/>
      <w:bookmarkEnd w:id="18"/>
      <w:bookmarkEnd w:id="19"/>
      <w:bookmarkEnd w:id="20"/>
      <w:bookmarkEnd w:id="21"/>
    </w:p>
    <w:p w14:paraId="136C132B" w14:textId="081F8A95" w:rsidR="00F220A5" w:rsidRPr="00817C73" w:rsidRDefault="009C4357" w:rsidP="00F220A5">
      <w:pPr>
        <w:pStyle w:val="Date"/>
      </w:pPr>
      <w:r w:rsidRPr="009C4357">
        <w:t>26</w:t>
      </w:r>
      <w:r w:rsidR="00C800A1" w:rsidRPr="009C4357">
        <w:t xml:space="preserve"> March 2025</w:t>
      </w:r>
    </w:p>
    <w:p w14:paraId="34281C48" w14:textId="77777777" w:rsidR="00AC636D" w:rsidRDefault="00AC636D" w:rsidP="00AC636D"/>
    <w:p w14:paraId="01D1D0D3" w14:textId="77777777" w:rsidR="009E4BD0" w:rsidRPr="00AC636D" w:rsidRDefault="009E4BD0" w:rsidP="00AC636D">
      <w:pPr>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692F2DFD" w14:textId="77777777" w:rsidR="008170E9" w:rsidRDefault="000B5B68" w:rsidP="00AE5C16">
      <w:pPr>
        <w:pStyle w:val="TOC2"/>
      </w:pPr>
      <w:r w:rsidRPr="00F06FBB">
        <w:rPr>
          <w:i w:val="0"/>
          <w:iCs/>
        </w:rPr>
        <w:lastRenderedPageBreak/>
        <w:t>Contents</w:t>
      </w:r>
      <w:r w:rsidRPr="000465F1">
        <w:rPr>
          <w:i w:val="0"/>
          <w:iCs/>
        </w:rPr>
        <w:fldChar w:fldCharType="begin"/>
      </w:r>
      <w:r w:rsidRPr="00F06FBB">
        <w:rPr>
          <w:i w:val="0"/>
          <w:iCs/>
        </w:rPr>
        <w:instrText xml:space="preserve"> TOC \o "1-3" \h \z \u </w:instrText>
      </w:r>
      <w:r w:rsidRPr="000465F1">
        <w:rPr>
          <w:i w:val="0"/>
          <w:iCs/>
        </w:rPr>
        <w:fldChar w:fldCharType="separate"/>
      </w:r>
    </w:p>
    <w:p w14:paraId="0311551E" w14:textId="6E96C434" w:rsidR="008170E9" w:rsidRDefault="008170E9">
      <w:pPr>
        <w:pStyle w:val="TOC1"/>
        <w:rPr>
          <w:rFonts w:asciiTheme="minorHAnsi" w:eastAsiaTheme="minorEastAsia" w:hAnsiTheme="minorHAnsi" w:cstheme="minorBidi"/>
          <w:b w:val="0"/>
          <w:kern w:val="2"/>
          <w14:ligatures w14:val="standardContextual"/>
        </w:rPr>
      </w:pPr>
      <w:hyperlink w:anchor="_Toc193872655" w:history="1">
        <w:r w:rsidRPr="00204AB1">
          <w:rPr>
            <w:rStyle w:val="Hyperlink"/>
          </w:rPr>
          <w:t>1</w:t>
        </w:r>
        <w:r>
          <w:rPr>
            <w:rFonts w:asciiTheme="minorHAnsi" w:eastAsiaTheme="minorEastAsia" w:hAnsiTheme="minorHAnsi" w:cstheme="minorBidi"/>
            <w:b w:val="0"/>
            <w:kern w:val="2"/>
            <w14:ligatures w14:val="standardContextual"/>
          </w:rPr>
          <w:tab/>
        </w:r>
        <w:r w:rsidRPr="00204AB1">
          <w:rPr>
            <w:rStyle w:val="Hyperlink"/>
          </w:rPr>
          <w:t>Introduction</w:t>
        </w:r>
        <w:r>
          <w:rPr>
            <w:webHidden/>
          </w:rPr>
          <w:tab/>
        </w:r>
        <w:r>
          <w:rPr>
            <w:webHidden/>
          </w:rPr>
          <w:fldChar w:fldCharType="begin"/>
        </w:r>
        <w:r>
          <w:rPr>
            <w:webHidden/>
          </w:rPr>
          <w:instrText xml:space="preserve"> PAGEREF _Toc193872655 \h </w:instrText>
        </w:r>
        <w:r>
          <w:rPr>
            <w:webHidden/>
          </w:rPr>
        </w:r>
        <w:r>
          <w:rPr>
            <w:webHidden/>
          </w:rPr>
          <w:fldChar w:fldCharType="separate"/>
        </w:r>
        <w:r w:rsidR="00B228EF">
          <w:rPr>
            <w:webHidden/>
          </w:rPr>
          <w:t>3</w:t>
        </w:r>
        <w:r>
          <w:rPr>
            <w:webHidden/>
          </w:rPr>
          <w:fldChar w:fldCharType="end"/>
        </w:r>
      </w:hyperlink>
    </w:p>
    <w:p w14:paraId="4AFB19F8" w14:textId="768048AE"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56" w:history="1">
        <w:r w:rsidRPr="00F810B9">
          <w:rPr>
            <w:rStyle w:val="Hyperlink"/>
            <w:b w:val="0"/>
            <w:bCs/>
            <w:i w:val="0"/>
            <w:iCs/>
          </w:rPr>
          <w:t>1.1</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Human rights-based approach</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_Toc193872656 \h </w:instrText>
        </w:r>
        <w:r w:rsidRPr="00F810B9">
          <w:rPr>
            <w:b w:val="0"/>
            <w:bCs/>
            <w:i w:val="0"/>
            <w:iCs/>
            <w:webHidden/>
          </w:rPr>
        </w:r>
        <w:r w:rsidRPr="00F810B9">
          <w:rPr>
            <w:b w:val="0"/>
            <w:bCs/>
            <w:i w:val="0"/>
            <w:iCs/>
            <w:webHidden/>
          </w:rPr>
          <w:fldChar w:fldCharType="separate"/>
        </w:r>
        <w:r w:rsidR="00B228EF">
          <w:rPr>
            <w:b w:val="0"/>
            <w:bCs/>
            <w:i w:val="0"/>
            <w:iCs/>
            <w:webHidden/>
          </w:rPr>
          <w:t>4</w:t>
        </w:r>
        <w:r w:rsidRPr="00F810B9">
          <w:rPr>
            <w:b w:val="0"/>
            <w:bCs/>
            <w:i w:val="0"/>
            <w:iCs/>
            <w:webHidden/>
          </w:rPr>
          <w:fldChar w:fldCharType="end"/>
        </w:r>
      </w:hyperlink>
    </w:p>
    <w:p w14:paraId="1E20102C" w14:textId="3ACDBC9A" w:rsidR="008170E9" w:rsidRDefault="008170E9">
      <w:pPr>
        <w:pStyle w:val="TOC1"/>
        <w:rPr>
          <w:rFonts w:asciiTheme="minorHAnsi" w:eastAsiaTheme="minorEastAsia" w:hAnsiTheme="minorHAnsi" w:cstheme="minorBidi"/>
          <w:b w:val="0"/>
          <w:kern w:val="2"/>
          <w14:ligatures w14:val="standardContextual"/>
        </w:rPr>
      </w:pPr>
      <w:hyperlink w:anchor="_Toc193872657" w:history="1">
        <w:r w:rsidRPr="00204AB1">
          <w:rPr>
            <w:rStyle w:val="Hyperlink"/>
          </w:rPr>
          <w:t>2</w:t>
        </w:r>
        <w:r>
          <w:rPr>
            <w:rFonts w:asciiTheme="minorHAnsi" w:eastAsiaTheme="minorEastAsia" w:hAnsiTheme="minorHAnsi" w:cstheme="minorBidi"/>
            <w:b w:val="0"/>
            <w:kern w:val="2"/>
            <w14:ligatures w14:val="standardContextual"/>
          </w:rPr>
          <w:tab/>
        </w:r>
        <w:r w:rsidRPr="00204AB1">
          <w:rPr>
            <w:rStyle w:val="Hyperlink"/>
          </w:rPr>
          <w:t>Recommendations</w:t>
        </w:r>
        <w:r>
          <w:rPr>
            <w:webHidden/>
          </w:rPr>
          <w:tab/>
        </w:r>
        <w:r>
          <w:rPr>
            <w:webHidden/>
          </w:rPr>
          <w:fldChar w:fldCharType="begin"/>
        </w:r>
        <w:r>
          <w:rPr>
            <w:webHidden/>
          </w:rPr>
          <w:instrText xml:space="preserve"> PAGEREF _Toc193872657 \h </w:instrText>
        </w:r>
        <w:r>
          <w:rPr>
            <w:webHidden/>
          </w:rPr>
        </w:r>
        <w:r>
          <w:rPr>
            <w:webHidden/>
          </w:rPr>
          <w:fldChar w:fldCharType="separate"/>
        </w:r>
        <w:r w:rsidR="00B228EF">
          <w:rPr>
            <w:webHidden/>
          </w:rPr>
          <w:t>5</w:t>
        </w:r>
        <w:r>
          <w:rPr>
            <w:webHidden/>
          </w:rPr>
          <w:fldChar w:fldCharType="end"/>
        </w:r>
      </w:hyperlink>
    </w:p>
    <w:p w14:paraId="4F1920A1" w14:textId="210536D2" w:rsidR="008170E9" w:rsidRDefault="008170E9">
      <w:pPr>
        <w:pStyle w:val="TOC1"/>
        <w:rPr>
          <w:rFonts w:asciiTheme="minorHAnsi" w:eastAsiaTheme="minorEastAsia" w:hAnsiTheme="minorHAnsi" w:cstheme="minorBidi"/>
          <w:b w:val="0"/>
          <w:kern w:val="2"/>
          <w14:ligatures w14:val="standardContextual"/>
        </w:rPr>
      </w:pPr>
      <w:hyperlink w:anchor="_Toc193872658" w:history="1">
        <w:r w:rsidRPr="00204AB1">
          <w:rPr>
            <w:rStyle w:val="Hyperlink"/>
          </w:rPr>
          <w:t>3</w:t>
        </w:r>
        <w:r>
          <w:rPr>
            <w:rFonts w:asciiTheme="minorHAnsi" w:eastAsiaTheme="minorEastAsia" w:hAnsiTheme="minorHAnsi" w:cstheme="minorBidi"/>
            <w:b w:val="0"/>
            <w:kern w:val="2"/>
            <w14:ligatures w14:val="standardContextual"/>
          </w:rPr>
          <w:tab/>
        </w:r>
        <w:r w:rsidRPr="00204AB1">
          <w:rPr>
            <w:rStyle w:val="Hyperlink"/>
          </w:rPr>
          <w:t>Design and Implementation of the Ban</w:t>
        </w:r>
        <w:r>
          <w:rPr>
            <w:webHidden/>
          </w:rPr>
          <w:tab/>
        </w:r>
        <w:r>
          <w:rPr>
            <w:webHidden/>
          </w:rPr>
          <w:fldChar w:fldCharType="begin"/>
        </w:r>
        <w:r>
          <w:rPr>
            <w:webHidden/>
          </w:rPr>
          <w:instrText xml:space="preserve"> PAGEREF _Toc193872658 \h </w:instrText>
        </w:r>
        <w:r>
          <w:rPr>
            <w:webHidden/>
          </w:rPr>
        </w:r>
        <w:r>
          <w:rPr>
            <w:webHidden/>
          </w:rPr>
          <w:fldChar w:fldCharType="separate"/>
        </w:r>
        <w:r w:rsidR="00B228EF">
          <w:rPr>
            <w:webHidden/>
          </w:rPr>
          <w:t>8</w:t>
        </w:r>
        <w:r>
          <w:rPr>
            <w:webHidden/>
          </w:rPr>
          <w:fldChar w:fldCharType="end"/>
        </w:r>
      </w:hyperlink>
    </w:p>
    <w:p w14:paraId="1205A69E" w14:textId="1C3382D9"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59" w:history="1">
        <w:r w:rsidRPr="00F810B9">
          <w:rPr>
            <w:rStyle w:val="Hyperlink"/>
            <w:b w:val="0"/>
            <w:bCs/>
            <w:i w:val="0"/>
            <w:iCs/>
          </w:rPr>
          <w:t>3.1</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Appropriately targeting the ban</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_Toc193872659 \h </w:instrText>
        </w:r>
        <w:r w:rsidRPr="00F810B9">
          <w:rPr>
            <w:b w:val="0"/>
            <w:bCs/>
            <w:i w:val="0"/>
            <w:iCs/>
            <w:webHidden/>
          </w:rPr>
        </w:r>
        <w:r w:rsidRPr="00F810B9">
          <w:rPr>
            <w:b w:val="0"/>
            <w:bCs/>
            <w:i w:val="0"/>
            <w:iCs/>
            <w:webHidden/>
          </w:rPr>
          <w:fldChar w:fldCharType="separate"/>
        </w:r>
        <w:r w:rsidR="00B228EF">
          <w:rPr>
            <w:b w:val="0"/>
            <w:bCs/>
            <w:i w:val="0"/>
            <w:iCs/>
            <w:webHidden/>
          </w:rPr>
          <w:t>9</w:t>
        </w:r>
        <w:r w:rsidRPr="00F810B9">
          <w:rPr>
            <w:b w:val="0"/>
            <w:bCs/>
            <w:i w:val="0"/>
            <w:iCs/>
            <w:webHidden/>
          </w:rPr>
          <w:fldChar w:fldCharType="end"/>
        </w:r>
      </w:hyperlink>
    </w:p>
    <w:p w14:paraId="7DD5C4F9" w14:textId="5F151AC2"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60" w:history="1">
        <w:r w:rsidRPr="00F810B9">
          <w:rPr>
            <w:rStyle w:val="Hyperlink"/>
            <w:b w:val="0"/>
            <w:bCs/>
            <w:i w:val="0"/>
            <w:iCs/>
          </w:rPr>
          <w:t>3.2</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Amending the Disability Discrimination Act</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_Toc193872660 \h </w:instrText>
        </w:r>
        <w:r w:rsidRPr="00F810B9">
          <w:rPr>
            <w:b w:val="0"/>
            <w:bCs/>
            <w:i w:val="0"/>
            <w:iCs/>
            <w:webHidden/>
          </w:rPr>
        </w:r>
        <w:r w:rsidRPr="00F810B9">
          <w:rPr>
            <w:b w:val="0"/>
            <w:bCs/>
            <w:i w:val="0"/>
            <w:iCs/>
            <w:webHidden/>
          </w:rPr>
          <w:fldChar w:fldCharType="separate"/>
        </w:r>
        <w:r w:rsidR="00B228EF">
          <w:rPr>
            <w:b w:val="0"/>
            <w:bCs/>
            <w:i w:val="0"/>
            <w:iCs/>
            <w:webHidden/>
          </w:rPr>
          <w:t>12</w:t>
        </w:r>
        <w:r w:rsidRPr="00F810B9">
          <w:rPr>
            <w:b w:val="0"/>
            <w:bCs/>
            <w:i w:val="0"/>
            <w:iCs/>
            <w:webHidden/>
          </w:rPr>
          <w:fldChar w:fldCharType="end"/>
        </w:r>
      </w:hyperlink>
    </w:p>
    <w:p w14:paraId="0CF292E6" w14:textId="58B3E655"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61" w:history="1">
        <w:r w:rsidRPr="00F810B9">
          <w:rPr>
            <w:rStyle w:val="Hyperlink"/>
            <w:b w:val="0"/>
            <w:bCs/>
            <w:i w:val="0"/>
            <w:iCs/>
          </w:rPr>
          <w:t>3.3</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Definition of ‘genetic test’</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_Toc193872661 \h </w:instrText>
        </w:r>
        <w:r w:rsidRPr="00F810B9">
          <w:rPr>
            <w:b w:val="0"/>
            <w:bCs/>
            <w:i w:val="0"/>
            <w:iCs/>
            <w:webHidden/>
          </w:rPr>
        </w:r>
        <w:r w:rsidRPr="00F810B9">
          <w:rPr>
            <w:b w:val="0"/>
            <w:bCs/>
            <w:i w:val="0"/>
            <w:iCs/>
            <w:webHidden/>
          </w:rPr>
          <w:fldChar w:fldCharType="separate"/>
        </w:r>
        <w:r w:rsidR="00B228EF">
          <w:rPr>
            <w:b w:val="0"/>
            <w:bCs/>
            <w:i w:val="0"/>
            <w:iCs/>
            <w:webHidden/>
          </w:rPr>
          <w:t>13</w:t>
        </w:r>
        <w:r w:rsidRPr="00F810B9">
          <w:rPr>
            <w:b w:val="0"/>
            <w:bCs/>
            <w:i w:val="0"/>
            <w:iCs/>
            <w:webHidden/>
          </w:rPr>
          <w:fldChar w:fldCharType="end"/>
        </w:r>
      </w:hyperlink>
    </w:p>
    <w:p w14:paraId="50FA4092" w14:textId="50B12DE9"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62" w:history="1">
        <w:r w:rsidRPr="00F810B9">
          <w:rPr>
            <w:rStyle w:val="Hyperlink"/>
            <w:b w:val="0"/>
            <w:bCs/>
            <w:i w:val="0"/>
            <w:iCs/>
          </w:rPr>
          <w:t>3.4</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Consent to use genetic testing results</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_Toc193872662 \h </w:instrText>
        </w:r>
        <w:r w:rsidRPr="00F810B9">
          <w:rPr>
            <w:b w:val="0"/>
            <w:bCs/>
            <w:i w:val="0"/>
            <w:iCs/>
            <w:webHidden/>
          </w:rPr>
        </w:r>
        <w:r w:rsidRPr="00F810B9">
          <w:rPr>
            <w:b w:val="0"/>
            <w:bCs/>
            <w:i w:val="0"/>
            <w:iCs/>
            <w:webHidden/>
          </w:rPr>
          <w:fldChar w:fldCharType="separate"/>
        </w:r>
        <w:r w:rsidR="00B228EF">
          <w:rPr>
            <w:b w:val="0"/>
            <w:bCs/>
            <w:i w:val="0"/>
            <w:iCs/>
            <w:webHidden/>
          </w:rPr>
          <w:t>14</w:t>
        </w:r>
        <w:r w:rsidRPr="00F810B9">
          <w:rPr>
            <w:b w:val="0"/>
            <w:bCs/>
            <w:i w:val="0"/>
            <w:iCs/>
            <w:webHidden/>
          </w:rPr>
          <w:fldChar w:fldCharType="end"/>
        </w:r>
      </w:hyperlink>
    </w:p>
    <w:p w14:paraId="2B8BF1AA" w14:textId="4FEF63D2"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63" w:history="1">
        <w:r w:rsidRPr="00F810B9">
          <w:rPr>
            <w:rStyle w:val="Hyperlink"/>
            <w:b w:val="0"/>
            <w:bCs/>
            <w:i w:val="0"/>
            <w:iCs/>
          </w:rPr>
          <w:t>3.5</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Regulation and enforcement</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_Toc193872663 \h </w:instrText>
        </w:r>
        <w:r w:rsidRPr="00F810B9">
          <w:rPr>
            <w:b w:val="0"/>
            <w:bCs/>
            <w:i w:val="0"/>
            <w:iCs/>
            <w:webHidden/>
          </w:rPr>
        </w:r>
        <w:r w:rsidRPr="00F810B9">
          <w:rPr>
            <w:b w:val="0"/>
            <w:bCs/>
            <w:i w:val="0"/>
            <w:iCs/>
            <w:webHidden/>
          </w:rPr>
          <w:fldChar w:fldCharType="separate"/>
        </w:r>
        <w:r w:rsidR="00B228EF">
          <w:rPr>
            <w:b w:val="0"/>
            <w:bCs/>
            <w:i w:val="0"/>
            <w:iCs/>
            <w:webHidden/>
          </w:rPr>
          <w:t>15</w:t>
        </w:r>
        <w:r w:rsidRPr="00F810B9">
          <w:rPr>
            <w:b w:val="0"/>
            <w:bCs/>
            <w:i w:val="0"/>
            <w:iCs/>
            <w:webHidden/>
          </w:rPr>
          <w:fldChar w:fldCharType="end"/>
        </w:r>
      </w:hyperlink>
    </w:p>
    <w:p w14:paraId="32C2CB51" w14:textId="6AFE81AD"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64" w:history="1">
        <w:r w:rsidRPr="00F810B9">
          <w:rPr>
            <w:rStyle w:val="Hyperlink"/>
            <w:b w:val="0"/>
            <w:bCs/>
            <w:i w:val="0"/>
            <w:iCs/>
          </w:rPr>
          <w:t>3.6</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Existing policies and tests – prospectivity nature and implementation</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_Toc193872664 \h </w:instrText>
        </w:r>
        <w:r w:rsidRPr="00F810B9">
          <w:rPr>
            <w:b w:val="0"/>
            <w:bCs/>
            <w:i w:val="0"/>
            <w:iCs/>
            <w:webHidden/>
          </w:rPr>
        </w:r>
        <w:r w:rsidRPr="00F810B9">
          <w:rPr>
            <w:b w:val="0"/>
            <w:bCs/>
            <w:i w:val="0"/>
            <w:iCs/>
            <w:webHidden/>
          </w:rPr>
          <w:fldChar w:fldCharType="separate"/>
        </w:r>
        <w:r w:rsidR="00B228EF">
          <w:rPr>
            <w:b w:val="0"/>
            <w:bCs/>
            <w:i w:val="0"/>
            <w:iCs/>
            <w:webHidden/>
          </w:rPr>
          <w:t>16</w:t>
        </w:r>
        <w:r w:rsidRPr="00F810B9">
          <w:rPr>
            <w:b w:val="0"/>
            <w:bCs/>
            <w:i w:val="0"/>
            <w:iCs/>
            <w:webHidden/>
          </w:rPr>
          <w:fldChar w:fldCharType="end"/>
        </w:r>
      </w:hyperlink>
    </w:p>
    <w:p w14:paraId="75FEC3FB" w14:textId="60C55C44" w:rsidR="008170E9" w:rsidRDefault="008170E9">
      <w:pPr>
        <w:pStyle w:val="TOC1"/>
        <w:rPr>
          <w:rFonts w:asciiTheme="minorHAnsi" w:eastAsiaTheme="minorEastAsia" w:hAnsiTheme="minorHAnsi" w:cstheme="minorBidi"/>
          <w:b w:val="0"/>
          <w:kern w:val="2"/>
          <w14:ligatures w14:val="standardContextual"/>
        </w:rPr>
      </w:pPr>
      <w:hyperlink w:anchor="_Toc193872665" w:history="1">
        <w:r w:rsidRPr="00204AB1">
          <w:rPr>
            <w:rStyle w:val="Hyperlink"/>
          </w:rPr>
          <w:t>4</w:t>
        </w:r>
        <w:r>
          <w:rPr>
            <w:rFonts w:asciiTheme="minorHAnsi" w:eastAsiaTheme="minorEastAsia" w:hAnsiTheme="minorHAnsi" w:cstheme="minorBidi"/>
            <w:b w:val="0"/>
            <w:kern w:val="2"/>
            <w14:ligatures w14:val="standardContextual"/>
          </w:rPr>
          <w:tab/>
        </w:r>
        <w:r w:rsidRPr="00204AB1">
          <w:rPr>
            <w:rStyle w:val="Hyperlink"/>
          </w:rPr>
          <w:t>Other considerations</w:t>
        </w:r>
        <w:r>
          <w:rPr>
            <w:webHidden/>
          </w:rPr>
          <w:tab/>
        </w:r>
        <w:r>
          <w:rPr>
            <w:webHidden/>
          </w:rPr>
          <w:fldChar w:fldCharType="begin"/>
        </w:r>
        <w:r>
          <w:rPr>
            <w:webHidden/>
          </w:rPr>
          <w:instrText xml:space="preserve"> PAGEREF _Toc193872665 \h </w:instrText>
        </w:r>
        <w:r>
          <w:rPr>
            <w:webHidden/>
          </w:rPr>
        </w:r>
        <w:r>
          <w:rPr>
            <w:webHidden/>
          </w:rPr>
          <w:fldChar w:fldCharType="separate"/>
        </w:r>
        <w:r w:rsidR="00B228EF">
          <w:rPr>
            <w:webHidden/>
          </w:rPr>
          <w:t>18</w:t>
        </w:r>
        <w:r>
          <w:rPr>
            <w:webHidden/>
          </w:rPr>
          <w:fldChar w:fldCharType="end"/>
        </w:r>
      </w:hyperlink>
    </w:p>
    <w:p w14:paraId="49B1610E" w14:textId="36CB6B65"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66" w:history="1">
        <w:r w:rsidRPr="00F810B9">
          <w:rPr>
            <w:rStyle w:val="Hyperlink"/>
            <w:b w:val="0"/>
            <w:bCs/>
            <w:i w:val="0"/>
            <w:iCs/>
          </w:rPr>
          <w:t>4.1</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Introduction of a positive duty</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_Toc193872666 \h </w:instrText>
        </w:r>
        <w:r w:rsidRPr="00F810B9">
          <w:rPr>
            <w:b w:val="0"/>
            <w:bCs/>
            <w:i w:val="0"/>
            <w:iCs/>
            <w:webHidden/>
          </w:rPr>
        </w:r>
        <w:r w:rsidRPr="00F810B9">
          <w:rPr>
            <w:b w:val="0"/>
            <w:bCs/>
            <w:i w:val="0"/>
            <w:iCs/>
            <w:webHidden/>
          </w:rPr>
          <w:fldChar w:fldCharType="separate"/>
        </w:r>
        <w:r w:rsidR="00B228EF">
          <w:rPr>
            <w:b w:val="0"/>
            <w:bCs/>
            <w:i w:val="0"/>
            <w:iCs/>
            <w:webHidden/>
          </w:rPr>
          <w:t>18</w:t>
        </w:r>
        <w:r w:rsidRPr="00F810B9">
          <w:rPr>
            <w:b w:val="0"/>
            <w:bCs/>
            <w:i w:val="0"/>
            <w:iCs/>
            <w:webHidden/>
          </w:rPr>
          <w:fldChar w:fldCharType="end"/>
        </w:r>
      </w:hyperlink>
    </w:p>
    <w:p w14:paraId="34E52D14" w14:textId="236FAD55"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67" w:history="1">
        <w:r w:rsidRPr="00F810B9">
          <w:rPr>
            <w:rStyle w:val="Hyperlink"/>
            <w:b w:val="0"/>
            <w:bCs/>
            <w:i w:val="0"/>
            <w:iCs/>
          </w:rPr>
          <w:t>4.2</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Functions to be allocated to the Commission</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_Toc193872667 \h </w:instrText>
        </w:r>
        <w:r w:rsidRPr="00F810B9">
          <w:rPr>
            <w:b w:val="0"/>
            <w:bCs/>
            <w:i w:val="0"/>
            <w:iCs/>
            <w:webHidden/>
          </w:rPr>
        </w:r>
        <w:r w:rsidRPr="00F810B9">
          <w:rPr>
            <w:b w:val="0"/>
            <w:bCs/>
            <w:i w:val="0"/>
            <w:iCs/>
            <w:webHidden/>
          </w:rPr>
          <w:fldChar w:fldCharType="separate"/>
        </w:r>
        <w:r w:rsidR="00B228EF">
          <w:rPr>
            <w:b w:val="0"/>
            <w:bCs/>
            <w:i w:val="0"/>
            <w:iCs/>
            <w:webHidden/>
          </w:rPr>
          <w:t>18</w:t>
        </w:r>
        <w:r w:rsidRPr="00F810B9">
          <w:rPr>
            <w:b w:val="0"/>
            <w:bCs/>
            <w:i w:val="0"/>
            <w:iCs/>
            <w:webHidden/>
          </w:rPr>
          <w:fldChar w:fldCharType="end"/>
        </w:r>
      </w:hyperlink>
    </w:p>
    <w:p w14:paraId="56FF2DAF" w14:textId="144B839E" w:rsidR="008170E9" w:rsidRPr="00F810B9" w:rsidRDefault="008170E9">
      <w:pPr>
        <w:pStyle w:val="TOC2"/>
        <w:rPr>
          <w:rFonts w:asciiTheme="minorHAnsi" w:eastAsiaTheme="minorEastAsia" w:hAnsiTheme="minorHAnsi" w:cstheme="minorBidi"/>
          <w:b w:val="0"/>
          <w:bCs/>
          <w:i w:val="0"/>
          <w:iCs/>
          <w:kern w:val="2"/>
          <w14:ligatures w14:val="standardContextual"/>
        </w:rPr>
      </w:pPr>
      <w:hyperlink w:anchor="_Toc193872668" w:history="1">
        <w:r w:rsidRPr="00F810B9">
          <w:rPr>
            <w:rStyle w:val="Hyperlink"/>
            <w:b w:val="0"/>
            <w:bCs/>
            <w:i w:val="0"/>
            <w:iCs/>
          </w:rPr>
          <w:t>4.3</w:t>
        </w:r>
        <w:r w:rsidRPr="00F810B9">
          <w:rPr>
            <w:rFonts w:asciiTheme="minorHAnsi" w:eastAsiaTheme="minorEastAsia" w:hAnsiTheme="minorHAnsi" w:cstheme="minorBidi"/>
            <w:b w:val="0"/>
            <w:bCs/>
            <w:i w:val="0"/>
            <w:iCs/>
            <w:kern w:val="2"/>
            <w14:ligatures w14:val="standardContextual"/>
          </w:rPr>
          <w:tab/>
        </w:r>
        <w:r w:rsidRPr="00F810B9">
          <w:rPr>
            <w:rStyle w:val="Hyperlink"/>
            <w:b w:val="0"/>
            <w:bCs/>
            <w:i w:val="0"/>
            <w:iCs/>
          </w:rPr>
          <w:t>Consideration of concurrent reforms</w:t>
        </w:r>
        <w:r w:rsidRPr="00F810B9">
          <w:rPr>
            <w:b w:val="0"/>
            <w:bCs/>
            <w:i w:val="0"/>
            <w:iCs/>
            <w:webHidden/>
          </w:rPr>
          <w:tab/>
        </w:r>
        <w:r w:rsidRPr="00F810B9">
          <w:rPr>
            <w:b w:val="0"/>
            <w:bCs/>
            <w:i w:val="0"/>
            <w:iCs/>
            <w:webHidden/>
          </w:rPr>
          <w:fldChar w:fldCharType="begin"/>
        </w:r>
        <w:r w:rsidRPr="00F810B9">
          <w:rPr>
            <w:b w:val="0"/>
            <w:bCs/>
            <w:i w:val="0"/>
            <w:iCs/>
            <w:webHidden/>
          </w:rPr>
          <w:instrText xml:space="preserve"> PAGEREF _Toc193872668 \h </w:instrText>
        </w:r>
        <w:r w:rsidRPr="00F810B9">
          <w:rPr>
            <w:b w:val="0"/>
            <w:bCs/>
            <w:i w:val="0"/>
            <w:iCs/>
            <w:webHidden/>
          </w:rPr>
        </w:r>
        <w:r w:rsidRPr="00F810B9">
          <w:rPr>
            <w:b w:val="0"/>
            <w:bCs/>
            <w:i w:val="0"/>
            <w:iCs/>
            <w:webHidden/>
          </w:rPr>
          <w:fldChar w:fldCharType="separate"/>
        </w:r>
        <w:r w:rsidR="00B228EF">
          <w:rPr>
            <w:b w:val="0"/>
            <w:bCs/>
            <w:i w:val="0"/>
            <w:iCs/>
            <w:webHidden/>
          </w:rPr>
          <w:t>19</w:t>
        </w:r>
        <w:r w:rsidRPr="00F810B9">
          <w:rPr>
            <w:b w:val="0"/>
            <w:bCs/>
            <w:i w:val="0"/>
            <w:iCs/>
            <w:webHidden/>
          </w:rPr>
          <w:fldChar w:fldCharType="end"/>
        </w:r>
      </w:hyperlink>
    </w:p>
    <w:p w14:paraId="16886F1D" w14:textId="4D35550D" w:rsidR="008170E9" w:rsidRPr="00F810B9" w:rsidRDefault="008170E9">
      <w:pPr>
        <w:pStyle w:val="TOC3"/>
        <w:rPr>
          <w:rFonts w:asciiTheme="minorHAnsi" w:eastAsiaTheme="minorEastAsia" w:hAnsiTheme="minorHAnsi" w:cstheme="minorBidi"/>
          <w:bCs/>
          <w:kern w:val="2"/>
          <w14:ligatures w14:val="standardContextual"/>
        </w:rPr>
      </w:pPr>
      <w:hyperlink w:anchor="_Toc193872669" w:history="1">
        <w:r w:rsidRPr="00F810B9">
          <w:rPr>
            <w:rStyle w:val="Hyperlink"/>
            <w:bCs/>
          </w:rPr>
          <w:t>(a)</w:t>
        </w:r>
        <w:r w:rsidRPr="00F810B9">
          <w:rPr>
            <w:rFonts w:asciiTheme="minorHAnsi" w:eastAsiaTheme="minorEastAsia" w:hAnsiTheme="minorHAnsi" w:cstheme="minorBidi"/>
            <w:bCs/>
            <w:kern w:val="2"/>
            <w14:ligatures w14:val="standardContextual"/>
          </w:rPr>
          <w:tab/>
        </w:r>
        <w:r w:rsidRPr="00F810B9">
          <w:rPr>
            <w:rStyle w:val="Hyperlink"/>
            <w:bCs/>
          </w:rPr>
          <w:t>Review of the Disability Discrimination Act 1992 (Cth)</w:t>
        </w:r>
        <w:r w:rsidRPr="00F810B9">
          <w:rPr>
            <w:bCs/>
            <w:webHidden/>
          </w:rPr>
          <w:tab/>
        </w:r>
        <w:r w:rsidRPr="00F810B9">
          <w:rPr>
            <w:bCs/>
            <w:webHidden/>
          </w:rPr>
          <w:fldChar w:fldCharType="begin"/>
        </w:r>
        <w:r w:rsidRPr="00F810B9">
          <w:rPr>
            <w:bCs/>
            <w:webHidden/>
          </w:rPr>
          <w:instrText xml:space="preserve"> PAGEREF _Toc193872669 \h </w:instrText>
        </w:r>
        <w:r w:rsidRPr="00F810B9">
          <w:rPr>
            <w:bCs/>
            <w:webHidden/>
          </w:rPr>
        </w:r>
        <w:r w:rsidRPr="00F810B9">
          <w:rPr>
            <w:bCs/>
            <w:webHidden/>
          </w:rPr>
          <w:fldChar w:fldCharType="separate"/>
        </w:r>
        <w:r w:rsidR="00B228EF">
          <w:rPr>
            <w:bCs/>
            <w:webHidden/>
          </w:rPr>
          <w:t>19</w:t>
        </w:r>
        <w:r w:rsidRPr="00F810B9">
          <w:rPr>
            <w:bCs/>
            <w:webHidden/>
          </w:rPr>
          <w:fldChar w:fldCharType="end"/>
        </w:r>
      </w:hyperlink>
    </w:p>
    <w:p w14:paraId="6BCD827D" w14:textId="0B0C6341" w:rsidR="0019650A" w:rsidRDefault="008170E9" w:rsidP="00F810B9">
      <w:pPr>
        <w:pStyle w:val="TOC3"/>
        <w:rPr>
          <w:b/>
          <w:bCs/>
          <w:sz w:val="36"/>
          <w:szCs w:val="28"/>
        </w:rPr>
      </w:pPr>
      <w:hyperlink w:anchor="_Toc193872670" w:history="1">
        <w:r w:rsidRPr="00F810B9">
          <w:rPr>
            <w:rStyle w:val="Hyperlink"/>
            <w:bCs/>
          </w:rPr>
          <w:t>(b)</w:t>
        </w:r>
        <w:r w:rsidRPr="00F810B9">
          <w:rPr>
            <w:rFonts w:asciiTheme="minorHAnsi" w:eastAsiaTheme="minorEastAsia" w:hAnsiTheme="minorHAnsi" w:cstheme="minorBidi"/>
            <w:bCs/>
            <w:kern w:val="2"/>
            <w14:ligatures w14:val="standardContextual"/>
          </w:rPr>
          <w:tab/>
        </w:r>
        <w:r w:rsidRPr="00F810B9">
          <w:rPr>
            <w:rStyle w:val="Hyperlink"/>
            <w:bCs/>
          </w:rPr>
          <w:t>Reform to the Privacy Act 1998 (Cth)</w:t>
        </w:r>
        <w:r w:rsidRPr="00F810B9">
          <w:rPr>
            <w:bCs/>
            <w:webHidden/>
          </w:rPr>
          <w:tab/>
        </w:r>
        <w:r w:rsidRPr="00F810B9">
          <w:rPr>
            <w:bCs/>
            <w:webHidden/>
          </w:rPr>
          <w:fldChar w:fldCharType="begin"/>
        </w:r>
        <w:r w:rsidRPr="00F810B9">
          <w:rPr>
            <w:bCs/>
            <w:webHidden/>
          </w:rPr>
          <w:instrText xml:space="preserve"> PAGEREF _Toc193872670 \h </w:instrText>
        </w:r>
        <w:r w:rsidRPr="00F810B9">
          <w:rPr>
            <w:bCs/>
            <w:webHidden/>
          </w:rPr>
        </w:r>
        <w:r w:rsidRPr="00F810B9">
          <w:rPr>
            <w:bCs/>
            <w:webHidden/>
          </w:rPr>
          <w:fldChar w:fldCharType="separate"/>
        </w:r>
        <w:r w:rsidR="00B228EF">
          <w:rPr>
            <w:bCs/>
            <w:webHidden/>
          </w:rPr>
          <w:t>20</w:t>
        </w:r>
        <w:r w:rsidRPr="00F810B9">
          <w:rPr>
            <w:bCs/>
            <w:webHidden/>
          </w:rPr>
          <w:fldChar w:fldCharType="end"/>
        </w:r>
      </w:hyperlink>
      <w:r w:rsidR="000B5B68" w:rsidRPr="000465F1">
        <w:fldChar w:fldCharType="end"/>
      </w:r>
      <w:r w:rsidR="0019650A">
        <w:br w:type="page"/>
      </w:r>
    </w:p>
    <w:p w14:paraId="4264A2C3" w14:textId="14E80E8F" w:rsidR="00510390" w:rsidRDefault="009F2764" w:rsidP="00A27ABE">
      <w:pPr>
        <w:pStyle w:val="Heading1"/>
      </w:pPr>
      <w:bookmarkStart w:id="22" w:name="_Toc193872655"/>
      <w:r w:rsidRPr="009E08D1">
        <w:lastRenderedPageBreak/>
        <w:t>Introduction</w:t>
      </w:r>
      <w:bookmarkEnd w:id="22"/>
    </w:p>
    <w:p w14:paraId="7ADBECEE" w14:textId="12D7B11A" w:rsidR="00796B25" w:rsidRDefault="00B3508C" w:rsidP="00D745FE">
      <w:r>
        <w:t xml:space="preserve">The Australian Human Rights Commission (Commission) welcomes the opportunity to provide a written submission </w:t>
      </w:r>
      <w:r w:rsidR="00981757">
        <w:t xml:space="preserve">to the Australian Government Treasury (Treasury) on </w:t>
      </w:r>
      <w:r w:rsidR="00476966">
        <w:t>the ban</w:t>
      </w:r>
      <w:r w:rsidR="0043723C">
        <w:t xml:space="preserve"> on the use of </w:t>
      </w:r>
      <w:r w:rsidR="00981757">
        <w:t xml:space="preserve">adverse genetic </w:t>
      </w:r>
      <w:r w:rsidR="00925EE7">
        <w:t xml:space="preserve">testing results in life insurance underwriting. </w:t>
      </w:r>
      <w:r w:rsidR="008266F0">
        <w:t>The Commission attache</w:t>
      </w:r>
      <w:r w:rsidR="00A80172">
        <w:t>s</w:t>
      </w:r>
      <w:r w:rsidR="008266F0">
        <w:t xml:space="preserve"> a copy of </w:t>
      </w:r>
      <w:r w:rsidR="00B948A1">
        <w:t>its 2024 submission to Treasury on this topic</w:t>
      </w:r>
      <w:r w:rsidR="00D745FE">
        <w:t xml:space="preserve">, referring Treasury to: </w:t>
      </w:r>
    </w:p>
    <w:p w14:paraId="5EA48DEE" w14:textId="5903A964" w:rsidR="00D745FE" w:rsidRDefault="001D363E" w:rsidP="001E211A">
      <w:pPr>
        <w:pStyle w:val="ListParagraph"/>
        <w:numPr>
          <w:ilvl w:val="0"/>
          <w:numId w:val="27"/>
        </w:numPr>
      </w:pPr>
      <w:r>
        <w:t>a</w:t>
      </w:r>
      <w:r w:rsidR="00D745FE">
        <w:t xml:space="preserve">n overview of the </w:t>
      </w:r>
      <w:r w:rsidR="00D745FE">
        <w:rPr>
          <w:i/>
          <w:iCs/>
        </w:rPr>
        <w:t xml:space="preserve">Disability Discrimination Act 1992 </w:t>
      </w:r>
      <w:r w:rsidR="00D745FE">
        <w:t>(Cth)</w:t>
      </w:r>
      <w:r w:rsidR="00AF1693">
        <w:t>, including the partial exemption at section 46, in relation to life insurance</w:t>
      </w:r>
    </w:p>
    <w:p w14:paraId="4D4D558B" w14:textId="7C864761" w:rsidR="00AF1693" w:rsidRDefault="001D363E" w:rsidP="001E211A">
      <w:pPr>
        <w:pStyle w:val="ListParagraph"/>
        <w:numPr>
          <w:ilvl w:val="0"/>
          <w:numId w:val="27"/>
        </w:numPr>
      </w:pPr>
      <w:r>
        <w:t>a</w:t>
      </w:r>
      <w:r w:rsidR="00AF1693">
        <w:t xml:space="preserve"> detailed overview of the international </w:t>
      </w:r>
      <w:r w:rsidR="0022291C">
        <w:t>h</w:t>
      </w:r>
      <w:r w:rsidR="00AF1693">
        <w:t xml:space="preserve">uman </w:t>
      </w:r>
      <w:r w:rsidR="0022291C">
        <w:t>ri</w:t>
      </w:r>
      <w:r w:rsidR="00AF1693">
        <w:t xml:space="preserve">ghts </w:t>
      </w:r>
      <w:r w:rsidR="0022291C">
        <w:t>f</w:t>
      </w:r>
      <w:r w:rsidR="00AF1693">
        <w:t>ramework</w:t>
      </w:r>
      <w:r w:rsidR="0010385E">
        <w:t xml:space="preserve"> </w:t>
      </w:r>
      <w:r w:rsidR="00AF1693">
        <w:t>relevant to this issue</w:t>
      </w:r>
      <w:r w:rsidR="00A4290D">
        <w:t>, including the human rights model of disability</w:t>
      </w:r>
    </w:p>
    <w:p w14:paraId="2068EF39" w14:textId="67D22CE3" w:rsidR="00DC5251" w:rsidRDefault="001D363E" w:rsidP="001E211A">
      <w:pPr>
        <w:pStyle w:val="ListParagraph"/>
        <w:numPr>
          <w:ilvl w:val="0"/>
          <w:numId w:val="27"/>
        </w:numPr>
      </w:pPr>
      <w:r>
        <w:t>h</w:t>
      </w:r>
      <w:r w:rsidR="00DC5251">
        <w:t xml:space="preserve">uman rights concerns and implications associated with risk-rated insurance models </w:t>
      </w:r>
    </w:p>
    <w:p w14:paraId="2ECC284D" w14:textId="77B739C3" w:rsidR="008223F3" w:rsidRDefault="001D363E" w:rsidP="001E211A">
      <w:pPr>
        <w:pStyle w:val="ListParagraph"/>
        <w:numPr>
          <w:ilvl w:val="0"/>
          <w:numId w:val="27"/>
        </w:numPr>
      </w:pPr>
      <w:r>
        <w:t>t</w:t>
      </w:r>
      <w:r w:rsidR="008223F3">
        <w:t>he Commission’s</w:t>
      </w:r>
      <w:r w:rsidR="00E46E8F">
        <w:t xml:space="preserve"> </w:t>
      </w:r>
      <w:r w:rsidR="008223F3">
        <w:t xml:space="preserve">position on the </w:t>
      </w:r>
      <w:r w:rsidR="00E862EB">
        <w:t>n</w:t>
      </w:r>
      <w:r w:rsidR="00B51B62">
        <w:t xml:space="preserve">eed for </w:t>
      </w:r>
      <w:r w:rsidR="00E862EB">
        <w:t>a broader examination</w:t>
      </w:r>
      <w:r w:rsidR="00807748">
        <w:t xml:space="preserve"> </w:t>
      </w:r>
      <w:r w:rsidR="00213978">
        <w:t xml:space="preserve">of </w:t>
      </w:r>
      <w:r w:rsidR="00807748">
        <w:t>the inherently discriminatory nature of risk</w:t>
      </w:r>
      <w:r w:rsidR="00AB00E5">
        <w:t>-</w:t>
      </w:r>
      <w:r w:rsidR="00807748">
        <w:t>rated insurance models</w:t>
      </w:r>
      <w:r w:rsidR="00623A12">
        <w:t xml:space="preserve"> in line with human rights obligations</w:t>
      </w:r>
      <w:r w:rsidR="0022291C">
        <w:t xml:space="preserve">, and </w:t>
      </w:r>
      <w:r w:rsidR="00E862EB">
        <w:t>sc</w:t>
      </w:r>
      <w:r w:rsidR="0011275C">
        <w:t>rutiny of the</w:t>
      </w:r>
      <w:r w:rsidR="0022291C">
        <w:t xml:space="preserve"> operation of section 46 of the Disability Discrimination Act,</w:t>
      </w:r>
      <w:r w:rsidR="00807748">
        <w:t xml:space="preserve"> </w:t>
      </w:r>
      <w:r w:rsidR="00E37DBD">
        <w:t xml:space="preserve">which </w:t>
      </w:r>
      <w:r w:rsidR="00CC2C79">
        <w:t>permits</w:t>
      </w:r>
      <w:r w:rsidR="00E37DBD">
        <w:t xml:space="preserve"> differential and unequal treatment of people with disabilit</w:t>
      </w:r>
      <w:r w:rsidR="00314D3D">
        <w:t>y</w:t>
      </w:r>
      <w:r w:rsidR="00112731">
        <w:t>.</w:t>
      </w:r>
    </w:p>
    <w:p w14:paraId="7B18D709" w14:textId="77777777" w:rsidR="008C3211" w:rsidRDefault="008C3211" w:rsidP="008C3211">
      <w:r>
        <w:t xml:space="preserve">The Commission is Australia’s National Human Rights Institution, established under the </w:t>
      </w:r>
      <w:r w:rsidRPr="008E1101">
        <w:rPr>
          <w:i/>
          <w:iCs/>
        </w:rPr>
        <w:t>Australian Human Rights Commission Act 1986</w:t>
      </w:r>
      <w:r>
        <w:t xml:space="preserve"> (Cth) (AHRC Act),</w:t>
      </w:r>
      <w:r>
        <w:rPr>
          <w:rStyle w:val="EndnoteReference"/>
        </w:rPr>
        <w:endnoteReference w:id="2"/>
      </w:r>
      <w:r>
        <w:t xml:space="preserve"> with recognised independent status and roles in United Nations human rights fora. The Commission’s operations are determined independently of the government through the President and Commissioners. </w:t>
      </w:r>
    </w:p>
    <w:p w14:paraId="03DB370C" w14:textId="2E5CADA0" w:rsidR="008C3211" w:rsidRDefault="008C3211" w:rsidP="00C04F3E">
      <w:r>
        <w:t>The Commission provides independent and impartial services to promote and protect human rights and fundamental freedoms in Australia. The Commission undertakes a range of policy development and research tasks that aim to promote compliance with Australia’s human rights obligations, while also investigating and conciliating complaints of unlawful discrimination and breaches of human rights. The Commission also has a role in promoting an understanding and acceptance of human rights in Australia.</w:t>
      </w:r>
      <w:r>
        <w:rPr>
          <w:rStyle w:val="EndnoteReference"/>
        </w:rPr>
        <w:endnoteReference w:id="3"/>
      </w:r>
    </w:p>
    <w:p w14:paraId="2E17CADD" w14:textId="77777777" w:rsidR="007E38E5" w:rsidRDefault="00E7258E" w:rsidP="00C04F3E">
      <w:r>
        <w:t xml:space="preserve">The </w:t>
      </w:r>
      <w:r w:rsidR="000D62E5" w:rsidRPr="00183B10">
        <w:t>D</w:t>
      </w:r>
      <w:r w:rsidR="00C11AB4" w:rsidRPr="00183B10">
        <w:t>isability Discrimination Act</w:t>
      </w:r>
      <w:r>
        <w:t xml:space="preserve"> prohibits discrimination </w:t>
      </w:r>
      <w:proofErr w:type="gramStart"/>
      <w:r>
        <w:t>on the basis of</w:t>
      </w:r>
      <w:proofErr w:type="gramEnd"/>
      <w:r>
        <w:t xml:space="preserve"> </w:t>
      </w:r>
      <w:r w:rsidR="00291D9E">
        <w:t xml:space="preserve">disability, including </w:t>
      </w:r>
      <w:r>
        <w:t>genetic predispositions to disability</w:t>
      </w:r>
      <w:r w:rsidR="00B45A11">
        <w:t>.</w:t>
      </w:r>
      <w:r>
        <w:rPr>
          <w:rStyle w:val="EndnoteReference"/>
        </w:rPr>
        <w:endnoteReference w:id="4"/>
      </w:r>
      <w:r w:rsidR="004312D7">
        <w:t xml:space="preserve"> </w:t>
      </w:r>
      <w:r w:rsidR="00B45A11">
        <w:t xml:space="preserve">However, </w:t>
      </w:r>
      <w:r w:rsidR="00B23F9A">
        <w:t>the partial exemption</w:t>
      </w:r>
      <w:r w:rsidR="006A00E4">
        <w:t xml:space="preserve"> under</w:t>
      </w:r>
      <w:r w:rsidR="00B45A11">
        <w:t xml:space="preserve"> section 46 </w:t>
      </w:r>
      <w:r w:rsidR="006A00E4">
        <w:t xml:space="preserve">permits </w:t>
      </w:r>
      <w:r w:rsidR="00B23F9A">
        <w:t>discriminat</w:t>
      </w:r>
      <w:r w:rsidR="00386343">
        <w:t xml:space="preserve">ion </w:t>
      </w:r>
      <w:r w:rsidR="00B23F9A">
        <w:t>in the provision</w:t>
      </w:r>
      <w:r w:rsidR="00C5175D">
        <w:t xml:space="preserve"> of life insurance</w:t>
      </w:r>
      <w:r w:rsidR="000051CB">
        <w:t xml:space="preserve"> in certain circumstances</w:t>
      </w:r>
      <w:r w:rsidR="00B45A11">
        <w:t>.</w:t>
      </w:r>
      <w:r w:rsidR="00B45A11">
        <w:rPr>
          <w:rStyle w:val="EndnoteReference"/>
        </w:rPr>
        <w:endnoteReference w:id="5"/>
      </w:r>
      <w:r>
        <w:t xml:space="preserve"> </w:t>
      </w:r>
    </w:p>
    <w:p w14:paraId="3DA4B68B" w14:textId="73B97DB0" w:rsidR="00E7258E" w:rsidRDefault="00E7258E" w:rsidP="00C04F3E">
      <w:r>
        <w:t xml:space="preserve">The use of genetic testing in life insurance underwriting raises significant concerns regarding life insurance policies and practices which may unfairly </w:t>
      </w:r>
      <w:r>
        <w:lastRenderedPageBreak/>
        <w:t xml:space="preserve">discriminate </w:t>
      </w:r>
      <w:proofErr w:type="gramStart"/>
      <w:r>
        <w:t>on the basis of</w:t>
      </w:r>
      <w:proofErr w:type="gramEnd"/>
      <w:r>
        <w:t xml:space="preserve"> a disability (or disabilities) that may exist, presently or in the future (due to a genetic predisposition), referred to as ‘genetic discrimination’. </w:t>
      </w:r>
    </w:p>
    <w:p w14:paraId="1F0004E9" w14:textId="378A6494" w:rsidR="00B44AAC" w:rsidRDefault="003736C3" w:rsidP="00C04F3E">
      <w:r>
        <w:t xml:space="preserve">The Commission </w:t>
      </w:r>
      <w:r w:rsidR="00D8626E">
        <w:t>supports and is encouraged by</w:t>
      </w:r>
      <w:r w:rsidR="007B39D0">
        <w:t xml:space="preserve"> </w:t>
      </w:r>
      <w:r w:rsidR="00D8626E">
        <w:t xml:space="preserve">the Government’s commitment to legislating </w:t>
      </w:r>
      <w:r w:rsidR="00214443">
        <w:t>a</w:t>
      </w:r>
      <w:r w:rsidR="00D8626E">
        <w:t xml:space="preserve"> ban</w:t>
      </w:r>
      <w:r w:rsidR="00214443">
        <w:t xml:space="preserve"> on the use of adverse genetic testing results</w:t>
      </w:r>
      <w:r w:rsidR="00503EF2">
        <w:t xml:space="preserve"> in life insurance,</w:t>
      </w:r>
      <w:r w:rsidR="00D8626E">
        <w:t xml:space="preserve"> </w:t>
      </w:r>
      <w:r w:rsidR="00FD626C">
        <w:t xml:space="preserve">including </w:t>
      </w:r>
      <w:r w:rsidR="00425B1E">
        <w:t>by making amendments</w:t>
      </w:r>
      <w:r w:rsidR="001F01FA">
        <w:t xml:space="preserve"> to the Disability Discrimination Act, </w:t>
      </w:r>
      <w:r w:rsidR="00D8626E">
        <w:t>which will go some way to protect people from disability discrimination</w:t>
      </w:r>
      <w:r w:rsidR="00D83E12">
        <w:t xml:space="preserve"> </w:t>
      </w:r>
      <w:r w:rsidR="00503EF2">
        <w:t>when taking out life insurance policies</w:t>
      </w:r>
      <w:r w:rsidR="00D8626E">
        <w:t xml:space="preserve">. </w:t>
      </w:r>
    </w:p>
    <w:p w14:paraId="7DDF8817" w14:textId="69BB8ACE" w:rsidR="00A92244" w:rsidRDefault="00A92244" w:rsidP="00A92244">
      <w:r>
        <w:t>While the Commission support</w:t>
      </w:r>
      <w:r w:rsidR="00333CFB">
        <w:t xml:space="preserve">s </w:t>
      </w:r>
      <w:r>
        <w:t>the policy objectives of the ban</w:t>
      </w:r>
      <w:r w:rsidR="00777CD4">
        <w:t>,</w:t>
      </w:r>
      <w:r>
        <w:t xml:space="preserve"> it </w:t>
      </w:r>
      <w:r w:rsidR="00A639F6">
        <w:t xml:space="preserve">is </w:t>
      </w:r>
      <w:r w:rsidR="001163A3">
        <w:t>concerned</w:t>
      </w:r>
      <w:r w:rsidR="0026782A">
        <w:t xml:space="preserve"> about </w:t>
      </w:r>
      <w:r>
        <w:t>disability discrimination in life insurance more broadly.</w:t>
      </w:r>
      <w:r>
        <w:rPr>
          <w:rStyle w:val="EndnoteReference"/>
        </w:rPr>
        <w:endnoteReference w:id="6"/>
      </w:r>
      <w:r>
        <w:t xml:space="preserve"> </w:t>
      </w:r>
      <w:r w:rsidRPr="00BD7798">
        <w:t xml:space="preserve">Prohibiting </w:t>
      </w:r>
      <w:r>
        <w:t xml:space="preserve">only </w:t>
      </w:r>
      <w:r w:rsidRPr="00BD7798">
        <w:t xml:space="preserve">the use of </w:t>
      </w:r>
      <w:r>
        <w:t>adverse genetic test results</w:t>
      </w:r>
      <w:r w:rsidRPr="00BD7798">
        <w:t xml:space="preserve"> allow</w:t>
      </w:r>
      <w:r>
        <w:t>s</w:t>
      </w:r>
      <w:r w:rsidRPr="00BD7798">
        <w:t xml:space="preserve"> </w:t>
      </w:r>
      <w:r w:rsidR="00F44E42">
        <w:t xml:space="preserve">other </w:t>
      </w:r>
      <w:r w:rsidR="00BE67F2">
        <w:t>relevant</w:t>
      </w:r>
      <w:r>
        <w:t xml:space="preserve"> </w:t>
      </w:r>
      <w:r w:rsidRPr="00BD7798">
        <w:t>information</w:t>
      </w:r>
      <w:r w:rsidR="00CA7126">
        <w:t>, such as diagnostic information,</w:t>
      </w:r>
      <w:r>
        <w:t xml:space="preserve"> to be used by insurers</w:t>
      </w:r>
      <w:r w:rsidR="00A81C2C">
        <w:t xml:space="preserve"> </w:t>
      </w:r>
      <w:r w:rsidR="00AF479B">
        <w:t>to infer risk</w:t>
      </w:r>
      <w:r w:rsidR="00DE2E09">
        <w:t xml:space="preserve">. </w:t>
      </w:r>
      <w:r w:rsidRPr="00DA4B68">
        <w:t xml:space="preserve">It is not consistent to discriminate </w:t>
      </w:r>
      <w:proofErr w:type="gramStart"/>
      <w:r w:rsidRPr="00DA4B68">
        <w:t>on the basis of</w:t>
      </w:r>
      <w:proofErr w:type="gramEnd"/>
      <w:r w:rsidRPr="00DA4B68">
        <w:t xml:space="preserve"> disability in some instances but not others</w:t>
      </w:r>
      <w:r>
        <w:t>, particularly when</w:t>
      </w:r>
      <w:r w:rsidRPr="0040087A">
        <w:t xml:space="preserve"> </w:t>
      </w:r>
      <w:r>
        <w:t>the existence of impairment is being justified as a legitimate ground for the denial or restriction of human rights and equal opportunity.</w:t>
      </w:r>
    </w:p>
    <w:p w14:paraId="658BFEB5" w14:textId="6A462385" w:rsidR="00E73BD7" w:rsidRDefault="00E73BD7" w:rsidP="00E73BD7">
      <w:r>
        <w:t xml:space="preserve">The proposed design and implementation of </w:t>
      </w:r>
      <w:r w:rsidR="003769B3">
        <w:t xml:space="preserve">a </w:t>
      </w:r>
      <w:r>
        <w:t xml:space="preserve">ban </w:t>
      </w:r>
      <w:proofErr w:type="gramStart"/>
      <w:r>
        <w:t>provide</w:t>
      </w:r>
      <w:r w:rsidR="003769B3">
        <w:t>s</w:t>
      </w:r>
      <w:proofErr w:type="gramEnd"/>
      <w:r>
        <w:t xml:space="preserve"> a good starting point</w:t>
      </w:r>
      <w:r w:rsidR="009604DC">
        <w:t xml:space="preserve"> that should be implemented without further delay. In addition,</w:t>
      </w:r>
      <w:r>
        <w:t xml:space="preserve"> there are </w:t>
      </w:r>
      <w:r w:rsidR="009604DC">
        <w:t xml:space="preserve">further </w:t>
      </w:r>
      <w:r>
        <w:t>opportunities to strengthen the provisions to ensure robust and effective regulation. It must also be considered and addressed in the context of international human rights law and obligations, including the right to non-discrimination, health and privacy.</w:t>
      </w:r>
      <w:r>
        <w:rPr>
          <w:rStyle w:val="EndnoteReference"/>
        </w:rPr>
        <w:endnoteReference w:id="7"/>
      </w:r>
      <w:r>
        <w:t xml:space="preserve"> </w:t>
      </w:r>
      <w:r w:rsidR="00656B8E" w:rsidRPr="00AD5DCE">
        <w:t>The Commission encourages insurers to move away from a deficit view of disability based on cost or risk assumptions, and instead to view disability through the lens of a human rights model and as a measure of diversity.</w:t>
      </w:r>
    </w:p>
    <w:p w14:paraId="57FBF4DF" w14:textId="757FEC10" w:rsidR="00A7677F" w:rsidRDefault="00A7677F" w:rsidP="006166BD">
      <w:r>
        <w:t xml:space="preserve">The Commission welcomes further opportunities to engage with the Department with respect to the issues raised in this </w:t>
      </w:r>
      <w:r w:rsidR="0037645F">
        <w:t xml:space="preserve">submission, particularly in relation to amendment of the Disability Discrimination Act. </w:t>
      </w:r>
    </w:p>
    <w:p w14:paraId="238ED035" w14:textId="108B67AD" w:rsidR="000F3893" w:rsidRPr="00A7677F" w:rsidRDefault="000F3893" w:rsidP="006166BD">
      <w:r>
        <w:t>The Commission notes</w:t>
      </w:r>
      <w:r w:rsidR="00CD2DA4">
        <w:t xml:space="preserve"> concurrent</w:t>
      </w:r>
      <w:r w:rsidR="00452534">
        <w:t xml:space="preserve"> reform of the Disability Discrimination Act,</w:t>
      </w:r>
      <w:r w:rsidR="00452534">
        <w:rPr>
          <w:rStyle w:val="EndnoteReference"/>
        </w:rPr>
        <w:endnoteReference w:id="8"/>
      </w:r>
      <w:r w:rsidR="00452534">
        <w:t xml:space="preserve"> and the next suite of reforms to the </w:t>
      </w:r>
      <w:r w:rsidR="00452534">
        <w:rPr>
          <w:i/>
          <w:iCs/>
        </w:rPr>
        <w:t>Privacy Act 1988</w:t>
      </w:r>
      <w:r w:rsidR="00452534">
        <w:t xml:space="preserve"> (Cth)</w:t>
      </w:r>
      <w:r>
        <w:t xml:space="preserve"> will interact with aspects of this ban and life insurance practices</w:t>
      </w:r>
      <w:r w:rsidR="00527830">
        <w:t xml:space="preserve"> (see section 4.</w:t>
      </w:r>
      <w:r w:rsidR="008170E9">
        <w:t>3</w:t>
      </w:r>
      <w:r w:rsidR="00527830">
        <w:t>)</w:t>
      </w:r>
      <w:r>
        <w:t xml:space="preserve">. </w:t>
      </w:r>
      <w:r w:rsidR="00CD2DA4">
        <w:t>The</w:t>
      </w:r>
      <w:r>
        <w:t xml:space="preserve"> Australian Government </w:t>
      </w:r>
      <w:r w:rsidR="00CD2DA4">
        <w:t xml:space="preserve">must </w:t>
      </w:r>
      <w:r>
        <w:t xml:space="preserve">consider the impact of these reforms across the regulatory environment to ensure a cohesive and consistent legislative framework with clear timelines for implementation. </w:t>
      </w:r>
    </w:p>
    <w:p w14:paraId="43A3BB3A" w14:textId="66EF4C7F" w:rsidR="006634DB" w:rsidRDefault="006634DB" w:rsidP="006634DB">
      <w:pPr>
        <w:pStyle w:val="Heading2"/>
      </w:pPr>
      <w:bookmarkStart w:id="23" w:name="_Toc158650109"/>
      <w:bookmarkStart w:id="24" w:name="_Toc193872656"/>
      <w:bookmarkEnd w:id="23"/>
      <w:r>
        <w:t xml:space="preserve">Human </w:t>
      </w:r>
      <w:r w:rsidR="00DF5EC6">
        <w:t>rights-based</w:t>
      </w:r>
      <w:r>
        <w:t xml:space="preserve"> approach</w:t>
      </w:r>
      <w:bookmarkEnd w:id="24"/>
      <w:r>
        <w:t xml:space="preserve"> </w:t>
      </w:r>
    </w:p>
    <w:p w14:paraId="0D693E44" w14:textId="035470C9" w:rsidR="00AF4FA8" w:rsidRDefault="00AF4FA8" w:rsidP="00AF4FA8">
      <w:pPr>
        <w:rPr>
          <w:rFonts w:cstheme="minorBidi"/>
          <w:i/>
        </w:rPr>
      </w:pPr>
      <w:r>
        <w:t>Australia has ratified a range of international human rights instruments that set out rights and obligations</w:t>
      </w:r>
      <w:r w:rsidR="00616819">
        <w:t xml:space="preserve">. </w:t>
      </w:r>
      <w:r>
        <w:t xml:space="preserve">Obligations contained in international treaties are </w:t>
      </w:r>
      <w:r>
        <w:lastRenderedPageBreak/>
        <w:t>binding as a matter of international law, but not as a matter of domestic law until their provisions are incorporated into domestic legislation.</w:t>
      </w:r>
      <w:r>
        <w:rPr>
          <w:rStyle w:val="EndnoteReference"/>
        </w:rPr>
        <w:endnoteReference w:id="9"/>
      </w:r>
      <w:r>
        <w:t xml:space="preserve"> </w:t>
      </w:r>
    </w:p>
    <w:p w14:paraId="21AF126D" w14:textId="59777801" w:rsidR="00CE4376" w:rsidRDefault="00AF4FA8" w:rsidP="006634DB">
      <w:r>
        <w:t xml:space="preserve">The </w:t>
      </w:r>
      <w:r w:rsidR="00616819">
        <w:t xml:space="preserve">United Nations </w:t>
      </w:r>
      <w:r w:rsidR="00616819" w:rsidRPr="00406C7F">
        <w:rPr>
          <w:i/>
        </w:rPr>
        <w:t>Convention on the Rights of Persons with Disabilities</w:t>
      </w:r>
      <w:r w:rsidR="00616819">
        <w:t xml:space="preserve"> (CRPD) </w:t>
      </w:r>
      <w:r>
        <w:t xml:space="preserve">is the principal binding international human rights instrument that explicitly addresses disability. Australia ratified the CRPD in 2008, accepting the obligation to protect and promote the rights of people with disability in domestic laws and </w:t>
      </w:r>
      <w:r w:rsidRPr="00075968">
        <w:t>policies</w:t>
      </w:r>
      <w:r w:rsidRPr="00C43561">
        <w:t>.</w:t>
      </w:r>
      <w:r>
        <w:t xml:space="preserve"> </w:t>
      </w:r>
    </w:p>
    <w:p w14:paraId="41BEFE38" w14:textId="231CE784" w:rsidR="006634DB" w:rsidRDefault="00DF5EC6" w:rsidP="006634DB">
      <w:r>
        <w:t>Article</w:t>
      </w:r>
      <w:r w:rsidR="00CB0524">
        <w:t>s</w:t>
      </w:r>
      <w:r w:rsidR="006634DB">
        <w:t xml:space="preserve"> 5 (equality and non-discrimination) and 25 (health) of the CRPD provide a framework to critically analyse insurance practices in Australia</w:t>
      </w:r>
      <w:r w:rsidR="00E17337">
        <w:t>.</w:t>
      </w:r>
      <w:r w:rsidR="006634DB">
        <w:t xml:space="preserve"> The obligation contained in article 25(e) to prohibit discrimination on the basis of disability in life insurance explicitly targets insurance practices that treat people with disability unfavourably.</w:t>
      </w:r>
      <w:r w:rsidR="006634DB">
        <w:rPr>
          <w:rStyle w:val="EndnoteReference"/>
        </w:rPr>
        <w:endnoteReference w:id="10"/>
      </w:r>
      <w:r w:rsidR="006634DB">
        <w:t xml:space="preserve"> Article 25(e) also obliges State Parties to ensure insurance is provided in a ‘fair and reasonable manner’.</w:t>
      </w:r>
      <w:r w:rsidR="006634DB">
        <w:rPr>
          <w:rStyle w:val="EndnoteReference"/>
        </w:rPr>
        <w:endnoteReference w:id="11"/>
      </w:r>
      <w:r w:rsidR="001B5660">
        <w:t xml:space="preserve"> </w:t>
      </w:r>
      <w:r w:rsidR="00CB0524">
        <w:t>CRPD</w:t>
      </w:r>
      <w:r w:rsidR="001B5660">
        <w:t xml:space="preserve"> Article 12 (equal recognition before the law) outlines rights and obligations regarding the exercise of legal capacity on an equal basis with others, including in making decisions about one</w:t>
      </w:r>
      <w:r w:rsidR="00C1558B">
        <w:t>’</w:t>
      </w:r>
      <w:r w:rsidR="001B5660">
        <w:t>s health</w:t>
      </w:r>
      <w:r w:rsidR="00B73FBD">
        <w:t>.</w:t>
      </w:r>
      <w:r w:rsidR="00B73FBD">
        <w:rPr>
          <w:rStyle w:val="EndnoteReference"/>
        </w:rPr>
        <w:endnoteReference w:id="12"/>
      </w:r>
    </w:p>
    <w:p w14:paraId="3AFC5206" w14:textId="42BE9FED" w:rsidR="00344674" w:rsidRDefault="00344674" w:rsidP="006634DB">
      <w:r>
        <w:t>The right to privacy</w:t>
      </w:r>
      <w:r w:rsidR="00BB09ED">
        <w:t>,</w:t>
      </w:r>
      <w:r>
        <w:t xml:space="preserve"> contained </w:t>
      </w:r>
      <w:r w:rsidR="004836C1">
        <w:t>in</w:t>
      </w:r>
      <w:r>
        <w:t xml:space="preserve"> Article 17 of the </w:t>
      </w:r>
      <w:r>
        <w:rPr>
          <w:i/>
          <w:iCs/>
        </w:rPr>
        <w:t xml:space="preserve">International </w:t>
      </w:r>
      <w:r w:rsidR="002B21DD">
        <w:rPr>
          <w:i/>
          <w:iCs/>
        </w:rPr>
        <w:t xml:space="preserve">Covenant </w:t>
      </w:r>
      <w:r>
        <w:rPr>
          <w:i/>
          <w:iCs/>
        </w:rPr>
        <w:t>o</w:t>
      </w:r>
      <w:r w:rsidR="0097702D">
        <w:rPr>
          <w:i/>
          <w:iCs/>
        </w:rPr>
        <w:t xml:space="preserve">n Civil and Political Rights </w:t>
      </w:r>
      <w:r w:rsidR="0097702D">
        <w:t>(ICCPR) and Article 22 of the CRPD</w:t>
      </w:r>
      <w:r w:rsidR="00BB09ED">
        <w:t>,</w:t>
      </w:r>
      <w:r w:rsidR="0097702D">
        <w:t xml:space="preserve"> is relevant </w:t>
      </w:r>
      <w:r w:rsidR="00BB09ED">
        <w:t xml:space="preserve">in </w:t>
      </w:r>
      <w:r w:rsidR="0097702D">
        <w:t xml:space="preserve">relation to the </w:t>
      </w:r>
      <w:r w:rsidR="00BB09ED">
        <w:t xml:space="preserve">handling, storage and use of personal and health-related information by life insurers. </w:t>
      </w:r>
    </w:p>
    <w:p w14:paraId="7E34F01E" w14:textId="2C2A38F0" w:rsidR="00CE4376" w:rsidRPr="00B93AEA" w:rsidRDefault="00CE4376" w:rsidP="00CE4376">
      <w:r>
        <w:t>The UNESCO</w:t>
      </w:r>
      <w:r>
        <w:rPr>
          <w:rStyle w:val="EndnoteReference"/>
        </w:rPr>
        <w:endnoteReference w:id="13"/>
      </w:r>
      <w:r>
        <w:t xml:space="preserve"> </w:t>
      </w:r>
      <w:r>
        <w:rPr>
          <w:i/>
          <w:iCs/>
        </w:rPr>
        <w:t>Universal Declaration on the Human Genome and Human Rights</w:t>
      </w:r>
      <w:r>
        <w:t xml:space="preserve"> </w:t>
      </w:r>
      <w:r w:rsidR="001D1335">
        <w:t xml:space="preserve">(UNESCO Declaration) </w:t>
      </w:r>
      <w:r>
        <w:t>is a non-binding international legal instrument</w:t>
      </w:r>
      <w:r w:rsidR="00653C95">
        <w:t xml:space="preserve"> </w:t>
      </w:r>
      <w:r>
        <w:t>emphasis</w:t>
      </w:r>
      <w:r w:rsidR="00653C95">
        <w:t>ing</w:t>
      </w:r>
      <w:r>
        <w:t xml:space="preserve"> the need to respect human dignity and prohibit all forms of discrimination based on genetic characteristics.</w:t>
      </w:r>
      <w:r>
        <w:rPr>
          <w:rStyle w:val="EndnoteReference"/>
        </w:rPr>
        <w:endnoteReference w:id="14"/>
      </w:r>
    </w:p>
    <w:p w14:paraId="01964DD7" w14:textId="3D590D02" w:rsidR="00CE4376" w:rsidRDefault="00CE4376" w:rsidP="006634DB">
      <w:r>
        <w:t xml:space="preserve">The United Nations </w:t>
      </w:r>
      <w:r>
        <w:rPr>
          <w:i/>
          <w:iCs/>
        </w:rPr>
        <w:t xml:space="preserve">Guiding Principles on Business and Human Rights </w:t>
      </w:r>
      <w:r>
        <w:t>are a global standard and internationally accepted framework to guide the practices of businesses to align with human rights obligations.</w:t>
      </w:r>
    </w:p>
    <w:p w14:paraId="4EC6F558" w14:textId="2D271ED9" w:rsidR="006634DB" w:rsidRPr="006634DB" w:rsidRDefault="006634DB" w:rsidP="006634DB">
      <w:r>
        <w:t xml:space="preserve">For </w:t>
      </w:r>
      <w:r w:rsidR="00C9413A">
        <w:t>a</w:t>
      </w:r>
      <w:r>
        <w:t xml:space="preserve"> more detailed overview of </w:t>
      </w:r>
      <w:r w:rsidR="00C54077">
        <w:t xml:space="preserve">relevant </w:t>
      </w:r>
      <w:r>
        <w:t>international</w:t>
      </w:r>
      <w:r w:rsidR="00C54077">
        <w:t xml:space="preserve"> h</w:t>
      </w:r>
      <w:r>
        <w:t xml:space="preserve">uman </w:t>
      </w:r>
      <w:r w:rsidR="00C54077">
        <w:t>r</w:t>
      </w:r>
      <w:r>
        <w:t xml:space="preserve">ights </w:t>
      </w:r>
      <w:r w:rsidR="00C54077">
        <w:t>obligations</w:t>
      </w:r>
      <w:r>
        <w:t>, including the application of the human rights model of disability, in relation to the issue of disability discrimination in life insurance, see the Commission’s 2024 submission to Treasury on this topic (attached to this submission).</w:t>
      </w:r>
    </w:p>
    <w:p w14:paraId="7F9984D5" w14:textId="0A1928DB" w:rsidR="00D03307" w:rsidRDefault="00D03307" w:rsidP="0015239E">
      <w:pPr>
        <w:pStyle w:val="Heading1"/>
      </w:pPr>
      <w:bookmarkStart w:id="25" w:name="_Toc193872657"/>
      <w:r w:rsidRPr="00C2176C">
        <w:t>Recommendations</w:t>
      </w:r>
      <w:bookmarkEnd w:id="25"/>
    </w:p>
    <w:p w14:paraId="4A76EDB4" w14:textId="77777777" w:rsidR="00666137" w:rsidRDefault="00871D73" w:rsidP="00871D73">
      <w:r>
        <w:t xml:space="preserve">The Commission </w:t>
      </w:r>
      <w:r w:rsidR="00666137">
        <w:t xml:space="preserve">makes the following recommendations: </w:t>
      </w:r>
    </w:p>
    <w:p w14:paraId="54C72E9A" w14:textId="77777777" w:rsidR="00FD47EE" w:rsidRDefault="00871D73" w:rsidP="00FD47EE">
      <w:pPr>
        <w:rPr>
          <w:b/>
          <w:bCs/>
        </w:rPr>
      </w:pPr>
      <w:r>
        <w:lastRenderedPageBreak/>
        <w:t xml:space="preserve"> </w:t>
      </w:r>
      <w:r w:rsidR="00FD47EE">
        <w:rPr>
          <w:b/>
          <w:bCs/>
        </w:rPr>
        <w:t>Recommendation 1: The legislation should explicitly prohibit the adverse use of genetic testing results in all circumstances including when they have been provided voluntarily with consent. (Question 1 and 6)</w:t>
      </w:r>
    </w:p>
    <w:p w14:paraId="7853A4AE" w14:textId="41AFB7F9" w:rsidR="00FD47EE" w:rsidRDefault="00FD47EE" w:rsidP="00FD47EE">
      <w:pPr>
        <w:rPr>
          <w:b/>
          <w:bCs/>
        </w:rPr>
      </w:pPr>
      <w:r w:rsidRPr="00B2342B">
        <w:rPr>
          <w:b/>
          <w:bCs/>
        </w:rPr>
        <w:t xml:space="preserve">Recommendation </w:t>
      </w:r>
      <w:r>
        <w:rPr>
          <w:b/>
          <w:bCs/>
        </w:rPr>
        <w:t>2</w:t>
      </w:r>
      <w:r w:rsidRPr="00B2342B">
        <w:rPr>
          <w:b/>
          <w:bCs/>
        </w:rPr>
        <w:t>: The legislation should prohibit the use of genetic test results, consented to be released by individuals, as an incentive to offer discounted or reduced insurance rates, below standard rates provided to other</w:t>
      </w:r>
      <w:r>
        <w:rPr>
          <w:b/>
          <w:bCs/>
        </w:rPr>
        <w:t xml:space="preserve">s. </w:t>
      </w:r>
      <w:r w:rsidR="0082408B">
        <w:rPr>
          <w:b/>
          <w:bCs/>
        </w:rPr>
        <w:t>(Question 1)</w:t>
      </w:r>
    </w:p>
    <w:p w14:paraId="3BE1A624" w14:textId="77777777" w:rsidR="00FD47EE" w:rsidRDefault="00FD47EE" w:rsidP="00FD47EE">
      <w:pPr>
        <w:rPr>
          <w:b/>
          <w:bCs/>
        </w:rPr>
      </w:pPr>
      <w:r>
        <w:rPr>
          <w:b/>
          <w:bCs/>
        </w:rPr>
        <w:t xml:space="preserve">Recommendation 3: The legislation should prohibit insurers from: </w:t>
      </w:r>
    </w:p>
    <w:p w14:paraId="5AAF8187" w14:textId="77777777" w:rsidR="00FD47EE" w:rsidRDefault="00FD47EE" w:rsidP="00FD47EE">
      <w:pPr>
        <w:pStyle w:val="ListParagraph"/>
        <w:numPr>
          <w:ilvl w:val="0"/>
          <w:numId w:val="20"/>
        </w:numPr>
        <w:rPr>
          <w:b/>
          <w:bCs/>
        </w:rPr>
      </w:pPr>
      <w:r w:rsidRPr="00430E23">
        <w:rPr>
          <w:b/>
        </w:rPr>
        <w:t>requesting, collecting, storing and using genetic testing results in life insurance underwriting</w:t>
      </w:r>
      <w:r>
        <w:rPr>
          <w:b/>
          <w:bCs/>
        </w:rPr>
        <w:t xml:space="preserve">, </w:t>
      </w:r>
      <w:r w:rsidRPr="00526728">
        <w:rPr>
          <w:b/>
          <w:bCs/>
        </w:rPr>
        <w:t>no matter how they are obtained</w:t>
      </w:r>
      <w:r>
        <w:rPr>
          <w:b/>
          <w:bCs/>
        </w:rPr>
        <w:t xml:space="preserve"> and regardless of the type or purpose of the test, unless the voluntary exemption applies. </w:t>
      </w:r>
    </w:p>
    <w:p w14:paraId="1A08F8B4" w14:textId="77777777" w:rsidR="00FD47EE" w:rsidRPr="00430E23" w:rsidRDefault="00FD47EE" w:rsidP="00FD47EE">
      <w:pPr>
        <w:pStyle w:val="ListParagraph"/>
        <w:numPr>
          <w:ilvl w:val="0"/>
          <w:numId w:val="20"/>
        </w:numPr>
        <w:rPr>
          <w:b/>
        </w:rPr>
      </w:pPr>
      <w:r>
        <w:rPr>
          <w:b/>
          <w:bCs/>
        </w:rPr>
        <w:t>d</w:t>
      </w:r>
      <w:r w:rsidRPr="00430E23">
        <w:rPr>
          <w:b/>
        </w:rPr>
        <w:t xml:space="preserve">isclosing genetic testing information to any third party without explicit consent from the individual. </w:t>
      </w:r>
      <w:r>
        <w:rPr>
          <w:b/>
        </w:rPr>
        <w:t>(Question 1 and 6)</w:t>
      </w:r>
    </w:p>
    <w:p w14:paraId="6539D101" w14:textId="77777777" w:rsidR="00FD47EE" w:rsidRDefault="00FD47EE" w:rsidP="00FD47EE">
      <w:pPr>
        <w:rPr>
          <w:b/>
          <w:bCs/>
        </w:rPr>
      </w:pPr>
      <w:r>
        <w:rPr>
          <w:b/>
          <w:bCs/>
        </w:rPr>
        <w:t xml:space="preserve">Recommendation 4: The legislation should prohibit insurers from refusing to consider, </w:t>
      </w:r>
      <w:r w:rsidRPr="555EDD4C">
        <w:rPr>
          <w:b/>
          <w:bCs/>
        </w:rPr>
        <w:t>progressing</w:t>
      </w:r>
      <w:r>
        <w:rPr>
          <w:b/>
          <w:bCs/>
        </w:rPr>
        <w:t xml:space="preserve">, </w:t>
      </w:r>
      <w:r w:rsidRPr="79C18D65">
        <w:rPr>
          <w:b/>
          <w:bCs/>
        </w:rPr>
        <w:t>declining</w:t>
      </w:r>
      <w:r>
        <w:rPr>
          <w:b/>
          <w:bCs/>
        </w:rPr>
        <w:t xml:space="preserve">, or </w:t>
      </w:r>
      <w:r w:rsidRPr="73EEE8A2">
        <w:rPr>
          <w:b/>
          <w:bCs/>
        </w:rPr>
        <w:t>penalising</w:t>
      </w:r>
      <w:r>
        <w:rPr>
          <w:b/>
          <w:bCs/>
        </w:rPr>
        <w:t xml:space="preserve"> applications for life insurance</w:t>
      </w:r>
      <w:r w:rsidDel="00F13F30">
        <w:rPr>
          <w:b/>
          <w:bCs/>
        </w:rPr>
        <w:t xml:space="preserve"> </w:t>
      </w:r>
      <w:r w:rsidRPr="35DB3BB1">
        <w:rPr>
          <w:b/>
          <w:bCs/>
        </w:rPr>
        <w:t xml:space="preserve">due to adverse </w:t>
      </w:r>
      <w:r w:rsidRPr="6106C8BB">
        <w:rPr>
          <w:b/>
          <w:bCs/>
        </w:rPr>
        <w:t>inferences</w:t>
      </w:r>
      <w:r w:rsidRPr="4FB8FDE0" w:rsidDel="00C84100">
        <w:rPr>
          <w:b/>
          <w:bCs/>
        </w:rPr>
        <w:t xml:space="preserve"> </w:t>
      </w:r>
      <w:r w:rsidRPr="2DFE264A">
        <w:rPr>
          <w:b/>
          <w:bCs/>
        </w:rPr>
        <w:t xml:space="preserve">made by the </w:t>
      </w:r>
      <w:r w:rsidRPr="30B752D9">
        <w:rPr>
          <w:b/>
          <w:bCs/>
        </w:rPr>
        <w:t>insurers based</w:t>
      </w:r>
      <w:r w:rsidRPr="58A8AA4D">
        <w:rPr>
          <w:b/>
          <w:bCs/>
        </w:rPr>
        <w:t xml:space="preserve"> on</w:t>
      </w:r>
      <w:r>
        <w:rPr>
          <w:b/>
          <w:bCs/>
        </w:rPr>
        <w:t xml:space="preserve">: </w:t>
      </w:r>
    </w:p>
    <w:p w14:paraId="7613F55E" w14:textId="77777777" w:rsidR="00FD47EE" w:rsidRDefault="00FD47EE" w:rsidP="00FD47EE">
      <w:pPr>
        <w:pStyle w:val="ListParagraph"/>
        <w:numPr>
          <w:ilvl w:val="0"/>
          <w:numId w:val="28"/>
        </w:numPr>
        <w:rPr>
          <w:b/>
          <w:bCs/>
        </w:rPr>
      </w:pPr>
      <w:r w:rsidRPr="00A8214C">
        <w:rPr>
          <w:b/>
          <w:bCs/>
        </w:rPr>
        <w:t xml:space="preserve">applicants not </w:t>
      </w:r>
      <w:r w:rsidRPr="66299D1F">
        <w:rPr>
          <w:b/>
          <w:bCs/>
        </w:rPr>
        <w:t>taking</w:t>
      </w:r>
      <w:r w:rsidRPr="00A8214C">
        <w:rPr>
          <w:b/>
          <w:bCs/>
        </w:rPr>
        <w:t xml:space="preserve"> or not provid</w:t>
      </w:r>
      <w:r w:rsidRPr="29A23BC3">
        <w:rPr>
          <w:b/>
          <w:bCs/>
        </w:rPr>
        <w:t>ing</w:t>
      </w:r>
      <w:r w:rsidRPr="00A8214C">
        <w:rPr>
          <w:b/>
          <w:bCs/>
        </w:rPr>
        <w:t xml:space="preserve"> genetic test results</w:t>
      </w:r>
    </w:p>
    <w:p w14:paraId="76B90777" w14:textId="77777777" w:rsidR="00FD47EE" w:rsidRPr="00A8214C" w:rsidRDefault="00FD47EE" w:rsidP="00FD47EE">
      <w:pPr>
        <w:pStyle w:val="ListParagraph"/>
        <w:numPr>
          <w:ilvl w:val="0"/>
          <w:numId w:val="28"/>
        </w:numPr>
        <w:rPr>
          <w:b/>
          <w:bCs/>
        </w:rPr>
      </w:pPr>
      <w:r>
        <w:rPr>
          <w:b/>
          <w:bCs/>
        </w:rPr>
        <w:t xml:space="preserve">the applicant or their families ongoing medical care information including risk surveillance activities, prescribed medications, participation in preventative health care (such as clinical trials), or any other indirect method of inferring </w:t>
      </w:r>
      <w:r w:rsidRPr="30B53A5C">
        <w:rPr>
          <w:b/>
          <w:bCs/>
        </w:rPr>
        <w:t>increased risk or genetic</w:t>
      </w:r>
      <w:r>
        <w:rPr>
          <w:b/>
          <w:bCs/>
        </w:rPr>
        <w:t xml:space="preserve"> test results. (Question 1 and 2)</w:t>
      </w:r>
    </w:p>
    <w:p w14:paraId="336044DC" w14:textId="77777777" w:rsidR="00FD47EE" w:rsidRDefault="00FD47EE" w:rsidP="00FD47EE">
      <w:pPr>
        <w:rPr>
          <w:b/>
          <w:bCs/>
        </w:rPr>
      </w:pPr>
      <w:r>
        <w:rPr>
          <w:b/>
          <w:bCs/>
        </w:rPr>
        <w:t xml:space="preserve">Recommendation 5: </w:t>
      </w:r>
      <w:r w:rsidRPr="4C8A33D1">
        <w:rPr>
          <w:b/>
          <w:bCs/>
        </w:rPr>
        <w:t>The</w:t>
      </w:r>
      <w:r>
        <w:rPr>
          <w:b/>
          <w:bCs/>
        </w:rPr>
        <w:t xml:space="preserve"> </w:t>
      </w:r>
      <w:r w:rsidRPr="004D3586">
        <w:rPr>
          <w:b/>
          <w:bCs/>
        </w:rPr>
        <w:t xml:space="preserve">duty to take reasonable care not to make a misrepresentation (s 20B) and the duty of disclosure (s 21) under the </w:t>
      </w:r>
      <w:r w:rsidRPr="004D3586">
        <w:rPr>
          <w:b/>
          <w:bCs/>
          <w:i/>
          <w:iCs/>
        </w:rPr>
        <w:t xml:space="preserve">Insurance Contracts Act 1984 </w:t>
      </w:r>
      <w:r w:rsidRPr="004D3586">
        <w:rPr>
          <w:b/>
          <w:bCs/>
        </w:rPr>
        <w:t>(Cth) should</w:t>
      </w:r>
      <w:r>
        <w:rPr>
          <w:b/>
          <w:bCs/>
        </w:rPr>
        <w:t xml:space="preserve"> be amended, where relevant, to exclude from the duties the following information: </w:t>
      </w:r>
    </w:p>
    <w:p w14:paraId="0F3E83AB" w14:textId="77777777" w:rsidR="00FD47EE" w:rsidRDefault="00FD47EE" w:rsidP="00FD47EE">
      <w:pPr>
        <w:pStyle w:val="ListParagraph"/>
        <w:numPr>
          <w:ilvl w:val="0"/>
          <w:numId w:val="29"/>
        </w:numPr>
        <w:rPr>
          <w:b/>
          <w:bCs/>
        </w:rPr>
      </w:pPr>
      <w:r>
        <w:rPr>
          <w:b/>
          <w:bCs/>
        </w:rPr>
        <w:t xml:space="preserve">Genetic test results, including the existence of such results </w:t>
      </w:r>
    </w:p>
    <w:p w14:paraId="6C4DDF21" w14:textId="77777777" w:rsidR="00FD47EE" w:rsidRPr="00272161" w:rsidRDefault="00FD47EE" w:rsidP="00FD47EE">
      <w:pPr>
        <w:pStyle w:val="ListParagraph"/>
        <w:numPr>
          <w:ilvl w:val="0"/>
          <w:numId w:val="29"/>
        </w:numPr>
        <w:rPr>
          <w:b/>
          <w:bCs/>
        </w:rPr>
      </w:pPr>
      <w:r>
        <w:rPr>
          <w:b/>
          <w:bCs/>
        </w:rPr>
        <w:t>Ongoing medical care information</w:t>
      </w:r>
      <w:r w:rsidRPr="00272161">
        <w:rPr>
          <w:b/>
          <w:bCs/>
        </w:rPr>
        <w:t xml:space="preserve"> (Question 2)</w:t>
      </w:r>
    </w:p>
    <w:p w14:paraId="0275F50B" w14:textId="77777777" w:rsidR="00FD47EE" w:rsidRDefault="00FD47EE" w:rsidP="00FD47EE">
      <w:pPr>
        <w:rPr>
          <w:b/>
          <w:bCs/>
        </w:rPr>
      </w:pPr>
      <w:r w:rsidRPr="004F14B9">
        <w:rPr>
          <w:b/>
          <w:bCs/>
        </w:rPr>
        <w:t>Recommendation 6: The legislation should clarify that a genetic predisposition or genetic variant does not amount to a ‘condition’, ‘diagnosis’ or ‘disease’. (Question 1)</w:t>
      </w:r>
    </w:p>
    <w:p w14:paraId="02466ACF" w14:textId="77777777" w:rsidR="00FD47EE" w:rsidRPr="004F14B9" w:rsidRDefault="00FD47EE" w:rsidP="00FD47EE">
      <w:pPr>
        <w:rPr>
          <w:b/>
          <w:bCs/>
        </w:rPr>
      </w:pPr>
    </w:p>
    <w:p w14:paraId="627C4970" w14:textId="797AC491" w:rsidR="00FD47EE" w:rsidRDefault="00FD47EE" w:rsidP="00FD47EE">
      <w:pPr>
        <w:rPr>
          <w:b/>
          <w:bCs/>
        </w:rPr>
      </w:pPr>
      <w:r>
        <w:rPr>
          <w:b/>
          <w:bCs/>
        </w:rPr>
        <w:lastRenderedPageBreak/>
        <w:t>Recommendation 7: The definition of ‘genetic test’ should be included in the main legislative instrument (</w:t>
      </w:r>
      <w:r>
        <w:rPr>
          <w:b/>
          <w:bCs/>
          <w:i/>
          <w:iCs/>
        </w:rPr>
        <w:t>Insurance Contracts Act 1984 (</w:t>
      </w:r>
      <w:r>
        <w:rPr>
          <w:b/>
          <w:bCs/>
        </w:rPr>
        <w:t>Cth)) with a clause allowing for regulations to be made that prescribe tests to be included in the definition. (Question</w:t>
      </w:r>
      <w:r w:rsidR="0082408B">
        <w:rPr>
          <w:b/>
          <w:bCs/>
        </w:rPr>
        <w:t xml:space="preserve"> 4 and 5</w:t>
      </w:r>
      <w:r>
        <w:rPr>
          <w:b/>
          <w:bCs/>
        </w:rPr>
        <w:t>)</w:t>
      </w:r>
    </w:p>
    <w:p w14:paraId="551A2E0A" w14:textId="75D3D94C" w:rsidR="00FD47EE" w:rsidRPr="006711EE" w:rsidRDefault="00FD47EE" w:rsidP="00FD47EE">
      <w:pPr>
        <w:rPr>
          <w:b/>
          <w:bCs/>
        </w:rPr>
      </w:pPr>
      <w:r>
        <w:rPr>
          <w:b/>
          <w:bCs/>
        </w:rPr>
        <w:t>Recommendation 8: Any changes should be subject to consultation and agreement with the Health Minister due to the cross-portfolio nature of the issue. (Question</w:t>
      </w:r>
      <w:r w:rsidR="0082408B">
        <w:rPr>
          <w:b/>
          <w:bCs/>
        </w:rPr>
        <w:t xml:space="preserve"> 4 and 5</w:t>
      </w:r>
      <w:r>
        <w:rPr>
          <w:b/>
          <w:bCs/>
        </w:rPr>
        <w:t>)</w:t>
      </w:r>
    </w:p>
    <w:p w14:paraId="68651E75" w14:textId="77777777" w:rsidR="00FD47EE" w:rsidRDefault="00FD47EE" w:rsidP="00FD47EE">
      <w:pPr>
        <w:rPr>
          <w:b/>
          <w:bCs/>
        </w:rPr>
      </w:pPr>
      <w:r>
        <w:rPr>
          <w:b/>
          <w:bCs/>
        </w:rPr>
        <w:t xml:space="preserve">Recommendation 9: The legislation should require that consent must be provided explicitly from the individual affected, not a third party or ‘agent’, and must be full, free and informed consent.  (Question 6) </w:t>
      </w:r>
    </w:p>
    <w:p w14:paraId="0A4E4CC4" w14:textId="77777777" w:rsidR="00FD47EE" w:rsidRDefault="00FD47EE" w:rsidP="00FD47EE">
      <w:pPr>
        <w:rPr>
          <w:b/>
          <w:bCs/>
        </w:rPr>
      </w:pPr>
      <w:r>
        <w:rPr>
          <w:b/>
          <w:bCs/>
        </w:rPr>
        <w:t>Recommendation 10: The Australian Government should give regard to the ALRC’s National Principles and Guidelines for decision-making, in the development of the legislation with regards to consent. (Question 7)</w:t>
      </w:r>
    </w:p>
    <w:p w14:paraId="78E3C202" w14:textId="77777777" w:rsidR="00FD47EE" w:rsidRDefault="00FD47EE" w:rsidP="00FD47EE">
      <w:pPr>
        <w:rPr>
          <w:b/>
          <w:bCs/>
        </w:rPr>
      </w:pPr>
      <w:r w:rsidRPr="086E053B">
        <w:rPr>
          <w:b/>
          <w:bCs/>
        </w:rPr>
        <w:t xml:space="preserve">Recommendation </w:t>
      </w:r>
      <w:r>
        <w:rPr>
          <w:b/>
          <w:bCs/>
        </w:rPr>
        <w:t>11</w:t>
      </w:r>
      <w:r w:rsidRPr="086E053B">
        <w:rPr>
          <w:b/>
          <w:bCs/>
        </w:rPr>
        <w:t>: The legislation should require insurers to not collect genetic test results, including by using terms and conditions as part of broad consent to access medical records, or as a requirement in the application process. (Question 7)</w:t>
      </w:r>
    </w:p>
    <w:p w14:paraId="5496B984" w14:textId="77777777" w:rsidR="00FD47EE" w:rsidRPr="0012364D" w:rsidRDefault="00FD47EE" w:rsidP="00FD47EE">
      <w:pPr>
        <w:rPr>
          <w:b/>
          <w:bCs/>
        </w:rPr>
      </w:pPr>
      <w:r w:rsidRPr="086E053B">
        <w:rPr>
          <w:b/>
          <w:bCs/>
        </w:rPr>
        <w:t xml:space="preserve">Recommendation </w:t>
      </w:r>
      <w:r>
        <w:rPr>
          <w:b/>
          <w:bCs/>
        </w:rPr>
        <w:t>12</w:t>
      </w:r>
      <w:r w:rsidRPr="086E053B">
        <w:rPr>
          <w:b/>
          <w:bCs/>
        </w:rPr>
        <w:t xml:space="preserve">: The legislation should require that insurers notify all applicants, and existing customers, about the prohibition on the use of genetic test results to ensure that individuals are aware that </w:t>
      </w:r>
      <w:r>
        <w:rPr>
          <w:b/>
          <w:bCs/>
        </w:rPr>
        <w:t xml:space="preserve">they are not required </w:t>
      </w:r>
      <w:r w:rsidRPr="086E053B">
        <w:rPr>
          <w:b/>
          <w:bCs/>
        </w:rPr>
        <w:t>to disclose the existence of genetic testing results or the results themselves. This includes information pertaining to insurers obligations and consumer rights. (Question 6 and 7)</w:t>
      </w:r>
    </w:p>
    <w:p w14:paraId="3557E148" w14:textId="5B4424BB" w:rsidR="00FD47EE" w:rsidRDefault="00FD47EE" w:rsidP="00FD47EE">
      <w:pPr>
        <w:rPr>
          <w:b/>
          <w:bCs/>
        </w:rPr>
      </w:pPr>
      <w:r>
        <w:rPr>
          <w:b/>
          <w:bCs/>
        </w:rPr>
        <w:t>Recommendation 13: The ban on the use of adverse genetic test results should apply to existing policies, in-progress applications and new policies from the commencement of the ban, so that no policies (existing or otherwise) can use adverse genetic test results including historic tests. (Question 10 – 13)</w:t>
      </w:r>
    </w:p>
    <w:p w14:paraId="076A6951" w14:textId="77777777" w:rsidR="00FD47EE" w:rsidRPr="00223519" w:rsidRDefault="00FD47EE" w:rsidP="00FD47EE">
      <w:pPr>
        <w:rPr>
          <w:b/>
          <w:bCs/>
        </w:rPr>
      </w:pPr>
      <w:r>
        <w:rPr>
          <w:b/>
          <w:bCs/>
        </w:rPr>
        <w:t>Recommendation 14: The legislation should require that insurers destroy any records of genetic data that no longer has any purpose for being held, unless explicit informed consent is obtained. (Question 6 and 10)</w:t>
      </w:r>
    </w:p>
    <w:p w14:paraId="1856F9F5" w14:textId="77777777" w:rsidR="00FD47EE" w:rsidRPr="0052431E" w:rsidRDefault="00FD47EE" w:rsidP="00FD47EE">
      <w:r>
        <w:rPr>
          <w:b/>
          <w:bCs/>
        </w:rPr>
        <w:t xml:space="preserve">Recommendation 15: the Australian Government should introduce a prohibition and/or positive duty in the appropriate financial services legislation, subject to enforcement actions by the relevant financial services regulator. </w:t>
      </w:r>
    </w:p>
    <w:p w14:paraId="5BBFE1F3" w14:textId="77777777" w:rsidR="00FD47EE" w:rsidRDefault="00FD47EE" w:rsidP="00FD47EE">
      <w:pPr>
        <w:rPr>
          <w:b/>
          <w:bCs/>
        </w:rPr>
      </w:pPr>
      <w:r>
        <w:rPr>
          <w:b/>
          <w:bCs/>
        </w:rPr>
        <w:lastRenderedPageBreak/>
        <w:t xml:space="preserve">Recommendation 16: The Australian Government should ensure the Australian Human Rights Commission has adequate resourcing to promote, educate and support relevant stakeholders to understand and meet any new legal obligations introduced under the </w:t>
      </w:r>
      <w:r w:rsidRPr="008C5FAE">
        <w:rPr>
          <w:b/>
          <w:bCs/>
          <w:i/>
          <w:iCs/>
        </w:rPr>
        <w:t>Disability Discrimination Act 1992</w:t>
      </w:r>
      <w:r>
        <w:rPr>
          <w:b/>
          <w:bCs/>
        </w:rPr>
        <w:t xml:space="preserve"> (Cth) if legislative change is made. </w:t>
      </w:r>
    </w:p>
    <w:p w14:paraId="6B4C1F16" w14:textId="77777777" w:rsidR="00FD47EE" w:rsidRDefault="00FD47EE" w:rsidP="00FD47EE">
      <w:pPr>
        <w:rPr>
          <w:b/>
          <w:bCs/>
        </w:rPr>
      </w:pPr>
      <w:r w:rsidRPr="00B747BE">
        <w:rPr>
          <w:b/>
          <w:bCs/>
        </w:rPr>
        <w:t xml:space="preserve">Recommendation </w:t>
      </w:r>
      <w:r>
        <w:rPr>
          <w:b/>
          <w:bCs/>
        </w:rPr>
        <w:t>17</w:t>
      </w:r>
      <w:r w:rsidRPr="00B747BE">
        <w:rPr>
          <w:b/>
          <w:bCs/>
        </w:rPr>
        <w:t>:</w:t>
      </w:r>
      <w:r>
        <w:rPr>
          <w:b/>
          <w:bCs/>
        </w:rPr>
        <w:t xml:space="preserve"> The Australian Government should review section 46 of the </w:t>
      </w:r>
      <w:r>
        <w:rPr>
          <w:b/>
          <w:bCs/>
          <w:i/>
          <w:iCs/>
        </w:rPr>
        <w:t xml:space="preserve">Disability Discrimination Act 1992 </w:t>
      </w:r>
      <w:r>
        <w:rPr>
          <w:b/>
          <w:bCs/>
        </w:rPr>
        <w:t>(Cth), taking into consideration:</w:t>
      </w:r>
    </w:p>
    <w:p w14:paraId="625179D7" w14:textId="77777777" w:rsidR="00FD47EE" w:rsidRPr="00BD7798" w:rsidRDefault="00FD47EE" w:rsidP="00FD47EE">
      <w:pPr>
        <w:pStyle w:val="ListParagraph"/>
        <w:numPr>
          <w:ilvl w:val="0"/>
          <w:numId w:val="18"/>
        </w:numPr>
        <w:rPr>
          <w:b/>
          <w:bCs/>
        </w:rPr>
      </w:pPr>
      <w:r w:rsidRPr="00BD7798">
        <w:rPr>
          <w:b/>
          <w:bCs/>
        </w:rPr>
        <w:t xml:space="preserve">Australia’s international human rights obligations, giving </w:t>
      </w:r>
      <w:r>
        <w:rPr>
          <w:b/>
          <w:bCs/>
        </w:rPr>
        <w:t xml:space="preserve">specific </w:t>
      </w:r>
      <w:r w:rsidRPr="00BD7798">
        <w:rPr>
          <w:b/>
          <w:bCs/>
        </w:rPr>
        <w:t>regard to</w:t>
      </w:r>
      <w:r>
        <w:rPr>
          <w:b/>
          <w:bCs/>
        </w:rPr>
        <w:t xml:space="preserve"> United Nations</w:t>
      </w:r>
      <w:r w:rsidRPr="00BD7798">
        <w:rPr>
          <w:b/>
          <w:bCs/>
        </w:rPr>
        <w:t xml:space="preserve"> </w:t>
      </w:r>
      <w:r w:rsidRPr="00BD7798">
        <w:rPr>
          <w:b/>
          <w:bCs/>
          <w:i/>
          <w:iCs/>
        </w:rPr>
        <w:t>Convention on the Rights of Persons with Disabilities</w:t>
      </w:r>
    </w:p>
    <w:p w14:paraId="6ABC07D7" w14:textId="77777777" w:rsidR="00FD47EE" w:rsidRPr="00B747BE" w:rsidRDefault="00FD47EE" w:rsidP="00FD47EE">
      <w:pPr>
        <w:pStyle w:val="ListParagraph"/>
        <w:numPr>
          <w:ilvl w:val="0"/>
          <w:numId w:val="18"/>
        </w:numPr>
        <w:rPr>
          <w:b/>
          <w:bCs/>
        </w:rPr>
      </w:pPr>
      <w:r w:rsidRPr="00BD7798">
        <w:rPr>
          <w:b/>
          <w:bCs/>
        </w:rPr>
        <w:t xml:space="preserve">the implications </w:t>
      </w:r>
      <w:r>
        <w:rPr>
          <w:b/>
          <w:bCs/>
        </w:rPr>
        <w:t>of risk-rated insurance</w:t>
      </w:r>
      <w:r w:rsidRPr="00BD7798">
        <w:rPr>
          <w:b/>
          <w:bCs/>
        </w:rPr>
        <w:t xml:space="preserve"> on disability discrimination protections. </w:t>
      </w:r>
    </w:p>
    <w:p w14:paraId="5BD4AF45" w14:textId="1EAD9509" w:rsidR="00871D73" w:rsidRPr="00FD47EE" w:rsidRDefault="00FD47EE" w:rsidP="00871D73">
      <w:pPr>
        <w:rPr>
          <w:b/>
          <w:bCs/>
        </w:rPr>
      </w:pPr>
      <w:r w:rsidRPr="004F14B9">
        <w:rPr>
          <w:b/>
          <w:bCs/>
        </w:rPr>
        <w:t xml:space="preserve">Recommendation 18: The Australian Government should set out a clear timeline for the introducing the second tranche of reforms to the </w:t>
      </w:r>
      <w:r w:rsidRPr="004F14B9">
        <w:rPr>
          <w:b/>
          <w:bCs/>
          <w:i/>
          <w:iCs/>
        </w:rPr>
        <w:t>Privacy Act 1988</w:t>
      </w:r>
      <w:r w:rsidRPr="004F14B9">
        <w:rPr>
          <w:b/>
          <w:bCs/>
        </w:rPr>
        <w:t xml:space="preserve"> (Cth) and align their passage with introducing this ban to provide certainty for insurance organisations who collect and handle sensitive information. </w:t>
      </w:r>
    </w:p>
    <w:p w14:paraId="3E3BC892" w14:textId="20C312F7" w:rsidR="00681691" w:rsidRDefault="005D31F7" w:rsidP="008D4771">
      <w:pPr>
        <w:pStyle w:val="Heading1"/>
      </w:pPr>
      <w:bookmarkStart w:id="26" w:name="_Toc193872658"/>
      <w:r>
        <w:t xml:space="preserve">Design and </w:t>
      </w:r>
      <w:r w:rsidR="008D4771">
        <w:t>Implementation</w:t>
      </w:r>
      <w:r w:rsidR="00464834">
        <w:t xml:space="preserve"> of the Ban</w:t>
      </w:r>
      <w:bookmarkEnd w:id="26"/>
      <w:r w:rsidR="00464834">
        <w:t xml:space="preserve"> </w:t>
      </w:r>
    </w:p>
    <w:p w14:paraId="06765216" w14:textId="1A9813CC" w:rsidR="00C02E6B" w:rsidRDefault="0067793D" w:rsidP="0067793D">
      <w:r>
        <w:t>The Commission support</w:t>
      </w:r>
      <w:r w:rsidR="00A27387">
        <w:t>s</w:t>
      </w:r>
      <w:r>
        <w:t xml:space="preserve"> </w:t>
      </w:r>
      <w:r w:rsidR="00585E95">
        <w:t>prohibiting</w:t>
      </w:r>
      <w:r>
        <w:t xml:space="preserve"> the use of adverse genetic testing results in life insurance underwriting, as well as the policy objectives outlined in the Consultation Paper.</w:t>
      </w:r>
      <w:r>
        <w:rPr>
          <w:rStyle w:val="EndnoteReference"/>
        </w:rPr>
        <w:endnoteReference w:id="15"/>
      </w:r>
      <w:r>
        <w:t xml:space="preserve"> The ban is a positive step forward to addressing disability discrimination in life insurance, and ensures people are not disincentivised from seeking health services such as genetic testing out of fear of discrimination. </w:t>
      </w:r>
    </w:p>
    <w:p w14:paraId="7D7394AE" w14:textId="573C3760" w:rsidR="0067793D" w:rsidRDefault="0067793D" w:rsidP="0067793D">
      <w:r>
        <w:t>The Commission generally support</w:t>
      </w:r>
      <w:r w:rsidR="00585E95">
        <w:t xml:space="preserve">s </w:t>
      </w:r>
      <w:r>
        <w:t xml:space="preserve">the proposed regulatory framework, including dual regulation across the financial services sector and the Australian Human Rights Commission. Five yearly reviews of the </w:t>
      </w:r>
      <w:r w:rsidR="00D91695">
        <w:t>ban</w:t>
      </w:r>
      <w:r w:rsidR="00A21DF5">
        <w:t xml:space="preserve"> are an appropriate mechanism to ensure</w:t>
      </w:r>
      <w:r>
        <w:t xml:space="preserve"> the ban</w:t>
      </w:r>
      <w:r w:rsidR="00F8739B">
        <w:t xml:space="preserve"> and regulatory environment</w:t>
      </w:r>
      <w:r>
        <w:t xml:space="preserve"> remain in line </w:t>
      </w:r>
      <w:r w:rsidR="008E7A9D">
        <w:t>with</w:t>
      </w:r>
      <w:r w:rsidR="00AF7FF4">
        <w:t xml:space="preserve"> community expectations</w:t>
      </w:r>
      <w:r w:rsidR="00B2045C">
        <w:t xml:space="preserve"> and </w:t>
      </w:r>
      <w:r w:rsidR="000D2460">
        <w:t>advances in medical/health technology and genetic research</w:t>
      </w:r>
      <w:r w:rsidR="00B2045C">
        <w:t xml:space="preserve">. Reviews should be conducted with the intent </w:t>
      </w:r>
      <w:r w:rsidR="00AF7FF4">
        <w:t xml:space="preserve">to protect human </w:t>
      </w:r>
      <w:r w:rsidR="00B2045C">
        <w:t>rights and</w:t>
      </w:r>
      <w:r w:rsidR="00AF7FF4">
        <w:t xml:space="preserve"> prevent discrimination and unethical practices. </w:t>
      </w:r>
    </w:p>
    <w:p w14:paraId="5453924E" w14:textId="2D844A16" w:rsidR="0067793D" w:rsidRPr="0067793D" w:rsidRDefault="007006FD" w:rsidP="0067793D">
      <w:r>
        <w:t>However,</w:t>
      </w:r>
      <w:r w:rsidR="0067793D">
        <w:t xml:space="preserve"> </w:t>
      </w:r>
      <w:r w:rsidR="0076597E">
        <w:t>as outlined in the following sections</w:t>
      </w:r>
      <w:r>
        <w:t>,</w:t>
      </w:r>
      <w:r w:rsidR="0067793D">
        <w:t xml:space="preserve"> the Commission has some concerns with the proposed design and targeting of the ban along with recommendations on how this can be improved to ensure consumers </w:t>
      </w:r>
      <w:r w:rsidR="4F238FA9">
        <w:t xml:space="preserve">human </w:t>
      </w:r>
      <w:r w:rsidR="0067793D">
        <w:t xml:space="preserve">rights are respected, protected and fulfilled. </w:t>
      </w:r>
    </w:p>
    <w:p w14:paraId="0AA18BBF" w14:textId="2645D2DB" w:rsidR="00865282" w:rsidRDefault="002100F2" w:rsidP="002A62A9">
      <w:pPr>
        <w:pStyle w:val="Heading2"/>
      </w:pPr>
      <w:bookmarkStart w:id="27" w:name="_Toc193872659"/>
      <w:r>
        <w:lastRenderedPageBreak/>
        <w:t>Appropriately targeting the ban</w:t>
      </w:r>
      <w:bookmarkEnd w:id="27"/>
    </w:p>
    <w:p w14:paraId="14131A8E" w14:textId="52153A48" w:rsidR="00C84100" w:rsidRPr="000917E0" w:rsidRDefault="00C84100" w:rsidP="00C84100">
      <w:r>
        <w:t xml:space="preserve">The proposed prohibition in the Consultation Paper </w:t>
      </w:r>
      <w:r w:rsidR="00197F98">
        <w:t>must</w:t>
      </w:r>
      <w:r>
        <w:t xml:space="preserve"> ensure the regulation operates effectively to eliminate discrimination </w:t>
      </w:r>
      <w:proofErr w:type="gramStart"/>
      <w:r>
        <w:t>on the basis of</w:t>
      </w:r>
      <w:proofErr w:type="gramEnd"/>
      <w:r>
        <w:t xml:space="preserve"> genetic information, protect personal data and information, prevent the misuse of any information, </w:t>
      </w:r>
      <w:r w:rsidR="00B82D84">
        <w:t xml:space="preserve">and </w:t>
      </w:r>
      <w:r>
        <w:t>avoid ambiguity and discretionary interpretation</w:t>
      </w:r>
      <w:r w:rsidR="00B82D84">
        <w:t>.</w:t>
      </w:r>
    </w:p>
    <w:p w14:paraId="6FADB019" w14:textId="7453D720" w:rsidR="00C52FB4" w:rsidRDefault="00F416DC" w:rsidP="00C52FB4">
      <w:r>
        <w:t>The proposed</w:t>
      </w:r>
      <w:r w:rsidR="001D1A65">
        <w:t xml:space="preserve"> legislative amendments must include robust</w:t>
      </w:r>
      <w:r w:rsidR="00C52FB4">
        <w:t xml:space="preserve"> protections against</w:t>
      </w:r>
      <w:r w:rsidR="00501CBA">
        <w:t>:</w:t>
      </w:r>
      <w:r w:rsidR="00C52FB4">
        <w:t xml:space="preserve"> </w:t>
      </w:r>
    </w:p>
    <w:p w14:paraId="09037546" w14:textId="3945C57C" w:rsidR="008B2B72" w:rsidRDefault="00501CBA" w:rsidP="001E211A">
      <w:pPr>
        <w:pStyle w:val="ListParagraph"/>
        <w:numPr>
          <w:ilvl w:val="0"/>
          <w:numId w:val="19"/>
        </w:numPr>
      </w:pPr>
      <w:r>
        <w:t>i</w:t>
      </w:r>
      <w:r w:rsidR="008131D7">
        <w:t>nsurers u</w:t>
      </w:r>
      <w:r w:rsidR="004A6D8F">
        <w:t xml:space="preserve">sing </w:t>
      </w:r>
      <w:r w:rsidR="007E6A0D">
        <w:t>genetic test results adversely on the basis that they have obtained consent</w:t>
      </w:r>
      <w:r w:rsidR="00297088">
        <w:t xml:space="preserve"> to their use</w:t>
      </w:r>
    </w:p>
    <w:p w14:paraId="12523A0A" w14:textId="5EC56CF5" w:rsidR="00064B01" w:rsidRDefault="00064B01" w:rsidP="001E211A">
      <w:pPr>
        <w:pStyle w:val="ListParagraph"/>
        <w:numPr>
          <w:ilvl w:val="0"/>
          <w:numId w:val="19"/>
        </w:numPr>
      </w:pPr>
      <w:r>
        <w:t>insurers offering discounted or r</w:t>
      </w:r>
      <w:r w:rsidR="00541628">
        <w:t xml:space="preserve">educed insurance rates, below standard rates provided to other applicants, </w:t>
      </w:r>
      <w:proofErr w:type="gramStart"/>
      <w:r w:rsidR="00541628">
        <w:t>on the basis of</w:t>
      </w:r>
      <w:proofErr w:type="gramEnd"/>
      <w:r w:rsidR="00541628">
        <w:t xml:space="preserve"> </w:t>
      </w:r>
      <w:r w:rsidR="009478D8">
        <w:t xml:space="preserve">a genetic test result </w:t>
      </w:r>
    </w:p>
    <w:p w14:paraId="0A337D7C" w14:textId="1482A083" w:rsidR="00137F6D" w:rsidRDefault="00501CBA" w:rsidP="001E211A">
      <w:pPr>
        <w:pStyle w:val="ListParagraph"/>
        <w:numPr>
          <w:ilvl w:val="0"/>
          <w:numId w:val="19"/>
        </w:numPr>
      </w:pPr>
      <w:r>
        <w:t>i</w:t>
      </w:r>
      <w:r w:rsidR="00137F6D">
        <w:t xml:space="preserve">nsurers collecting and storing genetic test results and information that </w:t>
      </w:r>
      <w:r w:rsidR="00C573E4">
        <w:t>have no purpose for being held by the insurer, no matter how they are obtained</w:t>
      </w:r>
      <w:r w:rsidR="006E26A7">
        <w:t xml:space="preserve">, </w:t>
      </w:r>
      <w:r w:rsidR="00C573E4">
        <w:t xml:space="preserve">except where the voluntary exemption applies </w:t>
      </w:r>
    </w:p>
    <w:p w14:paraId="7549914F" w14:textId="2DBFB77A" w:rsidR="00C52FB4" w:rsidRDefault="00501CBA" w:rsidP="001E211A">
      <w:pPr>
        <w:pStyle w:val="ListParagraph"/>
        <w:numPr>
          <w:ilvl w:val="0"/>
          <w:numId w:val="19"/>
        </w:numPr>
      </w:pPr>
      <w:r>
        <w:t>d</w:t>
      </w:r>
      <w:r w:rsidR="00C52FB4">
        <w:t>isclosure of results to third parties without individual consent</w:t>
      </w:r>
    </w:p>
    <w:p w14:paraId="22588900" w14:textId="3C25358B" w:rsidR="00C52FB4" w:rsidRPr="00CC7C2B" w:rsidRDefault="001C3147" w:rsidP="00AB1922">
      <w:pPr>
        <w:pStyle w:val="ListParagraph"/>
        <w:numPr>
          <w:ilvl w:val="0"/>
          <w:numId w:val="19"/>
        </w:numPr>
      </w:pPr>
      <w:r>
        <w:t xml:space="preserve">insurers </w:t>
      </w:r>
      <w:r w:rsidR="00501CBA">
        <w:t>r</w:t>
      </w:r>
      <w:r w:rsidR="00C52FB4">
        <w:t>efus</w:t>
      </w:r>
      <w:r>
        <w:t>ing</w:t>
      </w:r>
      <w:r w:rsidR="00C52FB4">
        <w:t xml:space="preserve"> to consider and progress applications or to provide life insurance on the basis </w:t>
      </w:r>
      <w:r w:rsidR="00C52FB4" w:rsidRPr="00CC7C2B">
        <w:t xml:space="preserve">that an individual has not undertaken, or provided the results of, a genetic test, </w:t>
      </w:r>
      <w:r w:rsidR="0025376D" w:rsidRPr="00CC7C2B">
        <w:t>or</w:t>
      </w:r>
      <w:r w:rsidR="00EF05B7" w:rsidRPr="00CC7C2B">
        <w:t xml:space="preserve"> based on </w:t>
      </w:r>
      <w:r w:rsidR="00B22D5C" w:rsidRPr="00CC7C2B">
        <w:t>ongoing medical care information, including planned risk-</w:t>
      </w:r>
      <w:r w:rsidR="00C52FB4" w:rsidRPr="00CC7C2B">
        <w:t>surveillance</w:t>
      </w:r>
      <w:r w:rsidR="0025376D" w:rsidRPr="00CC7C2B">
        <w:t xml:space="preserve">. </w:t>
      </w:r>
    </w:p>
    <w:p w14:paraId="5A62655A" w14:textId="1D181681" w:rsidR="003206E4" w:rsidRPr="00CC7C2B" w:rsidRDefault="00501CBA" w:rsidP="001E211A">
      <w:pPr>
        <w:pStyle w:val="ListParagraph"/>
        <w:numPr>
          <w:ilvl w:val="0"/>
          <w:numId w:val="19"/>
        </w:numPr>
      </w:pPr>
      <w:r w:rsidRPr="00CC7C2B">
        <w:t>t</w:t>
      </w:r>
      <w:r w:rsidR="003D3F8E" w:rsidRPr="00CC7C2B">
        <w:t>he consideration by insurers of</w:t>
      </w:r>
      <w:r w:rsidR="004347D6" w:rsidRPr="00CC7C2B">
        <w:t xml:space="preserve"> a genetic predisposition or </w:t>
      </w:r>
      <w:r w:rsidR="005B5D6A" w:rsidRPr="00CC7C2B">
        <w:t>genetic variant as a ‘condition’, ‘diagnosis’ or ‘disease’.</w:t>
      </w:r>
    </w:p>
    <w:p w14:paraId="3BEE8869" w14:textId="01FA3F29" w:rsidR="00C84100" w:rsidRDefault="00DE1AC3" w:rsidP="00C84100">
      <w:r>
        <w:t>The</w:t>
      </w:r>
      <w:r w:rsidR="00C84100">
        <w:t xml:space="preserve"> proposed design of the ban suggests that insurers </w:t>
      </w:r>
      <w:r w:rsidR="00CC02FD">
        <w:t xml:space="preserve">will be </w:t>
      </w:r>
      <w:r w:rsidR="00C84100">
        <w:t>prohibited from requesting access to or using genetic testing results except in cases where they have been consented to be released by an individual (or their agent).</w:t>
      </w:r>
      <w:r w:rsidR="00902AF6">
        <w:t xml:space="preserve"> T</w:t>
      </w:r>
      <w:r w:rsidR="00C84100">
        <w:t>his would create ambiguity as to whether insurers may then be able to use these tests adversely in the underwriting process. As noted in the Consultation Paper, this places undue burden on the individual consenting ‘to determine whether the test is favourable or detrimental to the underwriting assessment’.</w:t>
      </w:r>
      <w:r w:rsidR="00F07BE2">
        <w:rPr>
          <w:rStyle w:val="EndnoteReference"/>
        </w:rPr>
        <w:endnoteReference w:id="16"/>
      </w:r>
    </w:p>
    <w:p w14:paraId="48F40148" w14:textId="57230E87" w:rsidR="00C84100" w:rsidRDefault="00C84100" w:rsidP="00C84100">
      <w:r>
        <w:t xml:space="preserve">In situations where tests results have been consented to be released to an insurer, it is unclear from the proposed design of the ban what thresholds (if any) apply for the determination of ‘adverse’ versus ‘favourable’ genetic tests, and who can make this determination. This may result in discretionary and subjective practices. </w:t>
      </w:r>
    </w:p>
    <w:p w14:paraId="53E1F887" w14:textId="1369C270" w:rsidR="00C84100" w:rsidRDefault="00C84100" w:rsidP="00C84100">
      <w:r>
        <w:t xml:space="preserve">To address these concerns, the legislation should clearly prohibit the adverse use of genetic test results in </w:t>
      </w:r>
      <w:r>
        <w:rPr>
          <w:i/>
          <w:iCs/>
        </w:rPr>
        <w:t>all</w:t>
      </w:r>
      <w:r>
        <w:t xml:space="preserve"> circumstances, including when provided voluntarily </w:t>
      </w:r>
      <w:r>
        <w:lastRenderedPageBreak/>
        <w:t xml:space="preserve">with consent. </w:t>
      </w:r>
      <w:r w:rsidR="00807B34">
        <w:t>Where</w:t>
      </w:r>
      <w:r>
        <w:t xml:space="preserve"> an individual consents to the release of genetic testing results that include both favourable and adverse results, insurers should only be able to use the results</w:t>
      </w:r>
      <w:r w:rsidR="008E23E8">
        <w:t xml:space="preserve"> in a favourable way</w:t>
      </w:r>
      <w:r>
        <w:t xml:space="preserve">. </w:t>
      </w:r>
    </w:p>
    <w:p w14:paraId="1F0836ED" w14:textId="7849CFD6" w:rsidR="00C84100" w:rsidRDefault="00C84100" w:rsidP="00C84100">
      <w:pPr>
        <w:rPr>
          <w:b/>
          <w:bCs/>
        </w:rPr>
      </w:pPr>
      <w:r>
        <w:rPr>
          <w:b/>
          <w:bCs/>
        </w:rPr>
        <w:t xml:space="preserve">Recommendation </w:t>
      </w:r>
      <w:r w:rsidR="00666137">
        <w:rPr>
          <w:b/>
          <w:bCs/>
        </w:rPr>
        <w:t>1</w:t>
      </w:r>
      <w:r>
        <w:rPr>
          <w:b/>
          <w:bCs/>
        </w:rPr>
        <w:t>: The legislation should explicitly prohibit the adverse use of genetic testing results in all circumstances including when they have been provided voluntarily with consent.</w:t>
      </w:r>
      <w:r w:rsidR="0074124E">
        <w:rPr>
          <w:b/>
          <w:bCs/>
        </w:rPr>
        <w:t xml:space="preserve"> (Question 1</w:t>
      </w:r>
      <w:r w:rsidR="00ED1515">
        <w:rPr>
          <w:b/>
          <w:bCs/>
        </w:rPr>
        <w:t xml:space="preserve"> and 6</w:t>
      </w:r>
      <w:r w:rsidR="0074124E">
        <w:rPr>
          <w:b/>
          <w:bCs/>
        </w:rPr>
        <w:t>)</w:t>
      </w:r>
    </w:p>
    <w:p w14:paraId="1C14A669" w14:textId="3EB0164E" w:rsidR="00B2342B" w:rsidRPr="003A5AE5" w:rsidRDefault="00AD10DC" w:rsidP="00B2342B">
      <w:r>
        <w:t>F</w:t>
      </w:r>
      <w:r w:rsidR="00B2342B" w:rsidRPr="003A5AE5">
        <w:t>avourable genetic test results could be used (with consent) in circumstances where individuals would otherwise be discriminated</w:t>
      </w:r>
      <w:r w:rsidR="00B2342B">
        <w:t xml:space="preserve"> </w:t>
      </w:r>
      <w:r w:rsidR="00BB25D4">
        <w:t>against</w:t>
      </w:r>
      <w:r w:rsidR="00B2342B" w:rsidRPr="003A5AE5">
        <w:t xml:space="preserve"> on the basis of disability, such as family history information, </w:t>
      </w:r>
      <w:r w:rsidR="00E80C69">
        <w:t>to offset any penalty that is applied due to inferred risk that the genetic test</w:t>
      </w:r>
      <w:r w:rsidR="004155D8">
        <w:t xml:space="preserve"> disproves.</w:t>
      </w:r>
      <w:r w:rsidR="002B6015">
        <w:rPr>
          <w:rStyle w:val="EndnoteReference"/>
        </w:rPr>
        <w:endnoteReference w:id="17"/>
      </w:r>
      <w:r w:rsidR="004155D8">
        <w:t xml:space="preserve"> </w:t>
      </w:r>
      <w:r w:rsidR="00B2342B">
        <w:t xml:space="preserve">This would ensure that individuals in these circumstances are afforded a more favourable </w:t>
      </w:r>
      <w:r w:rsidR="00CB19B3">
        <w:t>outcome</w:t>
      </w:r>
      <w:r w:rsidR="00B2342B">
        <w:t xml:space="preserve"> and </w:t>
      </w:r>
      <w:r w:rsidR="00847BFA">
        <w:t xml:space="preserve">receive </w:t>
      </w:r>
      <w:r w:rsidR="00B2342B">
        <w:t xml:space="preserve">standard </w:t>
      </w:r>
      <w:r w:rsidR="00847BFA">
        <w:t>rates</w:t>
      </w:r>
      <w:r w:rsidR="00B2342B">
        <w:t xml:space="preserve"> of insurance, equal to others.</w:t>
      </w:r>
    </w:p>
    <w:p w14:paraId="6CD9D54B" w14:textId="20A8F1EA" w:rsidR="00B2342B" w:rsidRDefault="00B2342B" w:rsidP="00B2342B">
      <w:r w:rsidRPr="003A5AE5">
        <w:t xml:space="preserve">However, favourable genetic test results should not be used by insurers as an incentive to reduce or provide discounted rates below the standard rates provided to others, outside the context described above, even when voluntarily provided. </w:t>
      </w:r>
      <w:r w:rsidR="006E43F0">
        <w:t xml:space="preserve">Doing so could </w:t>
      </w:r>
      <w:r w:rsidRPr="003A5AE5">
        <w:t>penalise and disadvantage individuals who choose not to provide their genetic test results, or those who do not have genetic test results or are unable to access genetic testing. Consequently, any standard rate would become an indirect penalty for not disclosing genetic test results and could inadvertently create issues around privacy if people feel obliged to provide this information to receive a discount.</w:t>
      </w:r>
      <w:r w:rsidR="00B851E7">
        <w:t xml:space="preserve"> </w:t>
      </w:r>
      <w:r w:rsidR="004E123C">
        <w:t>T</w:t>
      </w:r>
      <w:r w:rsidR="00B851E7">
        <w:t xml:space="preserve">his practice would conflict with the UNESCO </w:t>
      </w:r>
      <w:r w:rsidR="004E123C">
        <w:t>D</w:t>
      </w:r>
      <w:r w:rsidR="00B851E7">
        <w:t xml:space="preserve">eclaration </w:t>
      </w:r>
      <w:r w:rsidR="00D60691">
        <w:t>which</w:t>
      </w:r>
      <w:r w:rsidR="00A97959" w:rsidRPr="00093CD1">
        <w:t xml:space="preserve"> requires that the ‘human genome i</w:t>
      </w:r>
      <w:r w:rsidR="00DA7477">
        <w:t>n</w:t>
      </w:r>
      <w:r w:rsidR="00A97959" w:rsidRPr="00093CD1">
        <w:t xml:space="preserve"> its natural state shall not give rise to financial gains’</w:t>
      </w:r>
      <w:r w:rsidR="008C4755">
        <w:t>.</w:t>
      </w:r>
      <w:r w:rsidR="00A97959" w:rsidRPr="00502701">
        <w:rPr>
          <w:rStyle w:val="EndnoteReference"/>
          <w:sz w:val="24"/>
        </w:rPr>
        <w:endnoteReference w:id="18"/>
      </w:r>
      <w:r>
        <w:t xml:space="preserve"> </w:t>
      </w:r>
    </w:p>
    <w:p w14:paraId="6E279DCD" w14:textId="271BB8BD" w:rsidR="00B2342B" w:rsidRDefault="00B2342B" w:rsidP="00C84100">
      <w:pPr>
        <w:rPr>
          <w:b/>
          <w:bCs/>
        </w:rPr>
      </w:pPr>
      <w:r w:rsidRPr="00B2342B">
        <w:rPr>
          <w:b/>
          <w:bCs/>
        </w:rPr>
        <w:t xml:space="preserve">Recommendation </w:t>
      </w:r>
      <w:r w:rsidR="006E2D6B">
        <w:rPr>
          <w:b/>
          <w:bCs/>
        </w:rPr>
        <w:t>2</w:t>
      </w:r>
      <w:r w:rsidRPr="00B2342B">
        <w:rPr>
          <w:b/>
          <w:bCs/>
        </w:rPr>
        <w:t>: The legislation should prohibit the use of genetic test results, consented to be released by individuals, as an incentive to offer discounted or reduced insurance rates, below standard rates provided to other</w:t>
      </w:r>
      <w:r w:rsidR="0073745E">
        <w:rPr>
          <w:b/>
          <w:bCs/>
        </w:rPr>
        <w:t>s</w:t>
      </w:r>
      <w:r w:rsidR="00C30381">
        <w:rPr>
          <w:b/>
          <w:bCs/>
        </w:rPr>
        <w:t xml:space="preserve">. </w:t>
      </w:r>
      <w:r w:rsidR="0082408B">
        <w:rPr>
          <w:b/>
          <w:bCs/>
        </w:rPr>
        <w:t>(Question 1)</w:t>
      </w:r>
    </w:p>
    <w:p w14:paraId="11244DD3" w14:textId="77777777" w:rsidR="00621488" w:rsidRDefault="00C84100" w:rsidP="00C84100">
      <w:r>
        <w:t>All people have the right to privacy including the protection of their personal and health data.</w:t>
      </w:r>
      <w:r>
        <w:rPr>
          <w:rStyle w:val="EndnoteReference"/>
        </w:rPr>
        <w:endnoteReference w:id="19"/>
      </w:r>
      <w:r>
        <w:t xml:space="preserve"> </w:t>
      </w:r>
      <w:r w:rsidR="00AE49E3">
        <w:t>Australia has an</w:t>
      </w:r>
      <w:r>
        <w:t xml:space="preserve"> obligation to ensure that this protection is afforded to people with disability on an equal basis with others.</w:t>
      </w:r>
      <w:r>
        <w:rPr>
          <w:rStyle w:val="EndnoteReference"/>
        </w:rPr>
        <w:endnoteReference w:id="20"/>
      </w:r>
      <w:r>
        <w:t xml:space="preserve"> </w:t>
      </w:r>
      <w:r w:rsidR="0004548D">
        <w:t xml:space="preserve">The UNESCO declaration stipulates that genetic data </w:t>
      </w:r>
      <w:r w:rsidR="00D94610">
        <w:t>‘</w:t>
      </w:r>
      <w:r w:rsidR="0004548D">
        <w:t xml:space="preserve">must be held </w:t>
      </w:r>
      <w:r w:rsidR="00D94610">
        <w:t>confidentially in the conditions set by the law’.</w:t>
      </w:r>
      <w:r w:rsidR="006E10FA">
        <w:rPr>
          <w:rStyle w:val="EndnoteReference"/>
        </w:rPr>
        <w:endnoteReference w:id="21"/>
      </w:r>
      <w:r w:rsidR="00D94610">
        <w:t xml:space="preserve"> </w:t>
      </w:r>
      <w:r w:rsidR="00A4010B">
        <w:t>Pending r</w:t>
      </w:r>
      <w:r w:rsidR="00C332DF">
        <w:t>eforms to the Privacy Act will provide greater certain</w:t>
      </w:r>
      <w:r w:rsidR="008E3E96">
        <w:t xml:space="preserve">ty to consumers and insurers regarding the handling of sensitive information, such as genetic and health information. </w:t>
      </w:r>
    </w:p>
    <w:p w14:paraId="62067FB1" w14:textId="5EC04502" w:rsidR="00C84100" w:rsidRPr="00E610B5" w:rsidRDefault="008C0D89" w:rsidP="00C84100">
      <w:r>
        <w:t>I</w:t>
      </w:r>
      <w:r w:rsidR="00C84100">
        <w:t>ndividuals</w:t>
      </w:r>
      <w:r>
        <w:t>’</w:t>
      </w:r>
      <w:r w:rsidR="00C84100">
        <w:t xml:space="preserve"> right to privacy </w:t>
      </w:r>
      <w:r>
        <w:t xml:space="preserve">must be </w:t>
      </w:r>
      <w:r w:rsidR="00C84100">
        <w:t xml:space="preserve">upheld in this ban and explicitly articulated in the legislation. </w:t>
      </w:r>
      <w:r w:rsidR="00032031">
        <w:t xml:space="preserve">Currently, the </w:t>
      </w:r>
      <w:r w:rsidR="00E7016D">
        <w:t>C</w:t>
      </w:r>
      <w:r w:rsidR="00032031">
        <w:t xml:space="preserve">onsultation </w:t>
      </w:r>
      <w:r w:rsidR="00E7016D">
        <w:t>P</w:t>
      </w:r>
      <w:r w:rsidR="00032031">
        <w:t xml:space="preserve">aper </w:t>
      </w:r>
      <w:r w:rsidR="00830086">
        <w:t xml:space="preserve">suggests that the ban should prohibit life insurers from </w:t>
      </w:r>
      <w:r w:rsidR="00830086" w:rsidRPr="000B4689">
        <w:t>requesting</w:t>
      </w:r>
      <w:r w:rsidR="00830086">
        <w:rPr>
          <w:i/>
          <w:iCs/>
        </w:rPr>
        <w:t xml:space="preserve"> </w:t>
      </w:r>
      <w:r w:rsidR="00830086">
        <w:t xml:space="preserve">and </w:t>
      </w:r>
      <w:r w:rsidR="00830086" w:rsidRPr="000B4689">
        <w:t>using</w:t>
      </w:r>
      <w:r w:rsidR="00830086">
        <w:t xml:space="preserve"> genetic testing results</w:t>
      </w:r>
      <w:r w:rsidR="00A768A7">
        <w:t>.</w:t>
      </w:r>
      <w:r w:rsidR="00FC163A">
        <w:t xml:space="preserve"> This </w:t>
      </w:r>
      <w:r w:rsidR="00FC163A">
        <w:lastRenderedPageBreak/>
        <w:t>should be extended to</w:t>
      </w:r>
      <w:r w:rsidR="002E4788">
        <w:t xml:space="preserve"> </w:t>
      </w:r>
      <w:r w:rsidR="00FC163A">
        <w:t xml:space="preserve">ensure that insurers </w:t>
      </w:r>
      <w:r w:rsidR="00820F34">
        <w:t>can</w:t>
      </w:r>
      <w:r w:rsidR="002E4788">
        <w:t xml:space="preserve">not </w:t>
      </w:r>
      <w:r w:rsidR="00E610B5" w:rsidRPr="000B4689">
        <w:t>collect</w:t>
      </w:r>
      <w:r w:rsidR="00E610B5">
        <w:t xml:space="preserve"> (by other means) or </w:t>
      </w:r>
      <w:r w:rsidR="00E610B5" w:rsidRPr="000B4689">
        <w:t>store</w:t>
      </w:r>
      <w:r w:rsidR="00E610B5">
        <w:t xml:space="preserve"> </w:t>
      </w:r>
      <w:r w:rsidR="00CC41F8">
        <w:t xml:space="preserve">any genetic results that </w:t>
      </w:r>
      <w:r w:rsidR="006774AB">
        <w:t>ha</w:t>
      </w:r>
      <w:r w:rsidR="006341FB">
        <w:t>ve</w:t>
      </w:r>
      <w:r w:rsidR="006774AB">
        <w:t xml:space="preserve"> no purpose</w:t>
      </w:r>
      <w:r w:rsidR="0037476A">
        <w:t xml:space="preserve"> for being held. </w:t>
      </w:r>
    </w:p>
    <w:p w14:paraId="226934FA" w14:textId="1C83E07A" w:rsidR="003C04F2" w:rsidRDefault="00C84100" w:rsidP="00C84100">
      <w:pPr>
        <w:rPr>
          <w:b/>
          <w:bCs/>
        </w:rPr>
      </w:pPr>
      <w:r>
        <w:rPr>
          <w:b/>
          <w:bCs/>
        </w:rPr>
        <w:t xml:space="preserve">Recommendation </w:t>
      </w:r>
      <w:r w:rsidR="006E2D6B">
        <w:rPr>
          <w:b/>
          <w:bCs/>
        </w:rPr>
        <w:t>3</w:t>
      </w:r>
      <w:r>
        <w:rPr>
          <w:b/>
          <w:bCs/>
        </w:rPr>
        <w:t>: The legislation should prohibit insurers from</w:t>
      </w:r>
      <w:r w:rsidR="003C04F2">
        <w:rPr>
          <w:b/>
          <w:bCs/>
        </w:rPr>
        <w:t xml:space="preserve">: </w:t>
      </w:r>
    </w:p>
    <w:p w14:paraId="13111ABB" w14:textId="749EE844" w:rsidR="009E00EA" w:rsidRDefault="0037476A" w:rsidP="003532A4">
      <w:pPr>
        <w:pStyle w:val="ListParagraph"/>
        <w:numPr>
          <w:ilvl w:val="0"/>
          <w:numId w:val="35"/>
        </w:numPr>
        <w:rPr>
          <w:b/>
          <w:bCs/>
        </w:rPr>
      </w:pPr>
      <w:r w:rsidRPr="00430E23">
        <w:rPr>
          <w:b/>
        </w:rPr>
        <w:t xml:space="preserve">requesting, </w:t>
      </w:r>
      <w:r w:rsidR="00590BB9" w:rsidRPr="00430E23">
        <w:rPr>
          <w:b/>
        </w:rPr>
        <w:t>collecting, storing and using</w:t>
      </w:r>
      <w:r w:rsidR="005D21C2" w:rsidRPr="00430E23">
        <w:rPr>
          <w:b/>
        </w:rPr>
        <w:t xml:space="preserve"> genetic testing results in life insurance underwriting</w:t>
      </w:r>
      <w:r w:rsidR="003C04F2">
        <w:rPr>
          <w:b/>
          <w:bCs/>
        </w:rPr>
        <w:t xml:space="preserve">, </w:t>
      </w:r>
      <w:r w:rsidR="003C04F2" w:rsidRPr="00526728">
        <w:rPr>
          <w:b/>
          <w:bCs/>
        </w:rPr>
        <w:t>no matter how they are obtained</w:t>
      </w:r>
      <w:r w:rsidR="00D652ED">
        <w:rPr>
          <w:b/>
          <w:bCs/>
        </w:rPr>
        <w:t xml:space="preserve"> and regardless of the type</w:t>
      </w:r>
      <w:r w:rsidR="00386411">
        <w:rPr>
          <w:b/>
          <w:bCs/>
        </w:rPr>
        <w:t xml:space="preserve"> or purpose of the test,</w:t>
      </w:r>
      <w:r w:rsidR="003C04F2">
        <w:rPr>
          <w:b/>
          <w:bCs/>
        </w:rPr>
        <w:t xml:space="preserve"> unless </w:t>
      </w:r>
      <w:r w:rsidR="003B7BFC">
        <w:rPr>
          <w:b/>
          <w:bCs/>
        </w:rPr>
        <w:t xml:space="preserve">the </w:t>
      </w:r>
      <w:r w:rsidR="009E00EA">
        <w:rPr>
          <w:b/>
          <w:bCs/>
        </w:rPr>
        <w:t>voluntary exemption applies</w:t>
      </w:r>
      <w:r w:rsidR="003C04F2">
        <w:rPr>
          <w:b/>
          <w:bCs/>
        </w:rPr>
        <w:t xml:space="preserve">. </w:t>
      </w:r>
    </w:p>
    <w:p w14:paraId="2E5D9F04" w14:textId="2FEE1B97" w:rsidR="00C84100" w:rsidRPr="00430E23" w:rsidRDefault="009E00EA" w:rsidP="003532A4">
      <w:pPr>
        <w:pStyle w:val="ListParagraph"/>
        <w:numPr>
          <w:ilvl w:val="0"/>
          <w:numId w:val="35"/>
        </w:numPr>
        <w:rPr>
          <w:b/>
        </w:rPr>
      </w:pPr>
      <w:r>
        <w:rPr>
          <w:b/>
          <w:bCs/>
        </w:rPr>
        <w:t>d</w:t>
      </w:r>
      <w:r w:rsidR="00C84100" w:rsidRPr="00430E23">
        <w:rPr>
          <w:b/>
        </w:rPr>
        <w:t xml:space="preserve">isclosing genetic testing information to any third party without explicit consent from the individual. </w:t>
      </w:r>
      <w:r w:rsidR="00351EF2">
        <w:rPr>
          <w:b/>
        </w:rPr>
        <w:t>(Question</w:t>
      </w:r>
      <w:r w:rsidR="009E3C4D">
        <w:rPr>
          <w:b/>
        </w:rPr>
        <w:t xml:space="preserve"> 1</w:t>
      </w:r>
      <w:r w:rsidR="00FD63D3">
        <w:rPr>
          <w:b/>
        </w:rPr>
        <w:t xml:space="preserve"> and 6</w:t>
      </w:r>
      <w:r w:rsidR="00E16D24">
        <w:rPr>
          <w:b/>
        </w:rPr>
        <w:t>)</w:t>
      </w:r>
    </w:p>
    <w:p w14:paraId="0B6F7F8A" w14:textId="47F9643C" w:rsidR="002A2E70" w:rsidRDefault="002A2E70" w:rsidP="00C84100">
      <w:r>
        <w:t xml:space="preserve">There must be </w:t>
      </w:r>
      <w:r w:rsidR="001E2D02">
        <w:t xml:space="preserve">explicit </w:t>
      </w:r>
      <w:r>
        <w:t xml:space="preserve">protection against insurers making adverse inferences </w:t>
      </w:r>
      <w:r w:rsidR="00A02234">
        <w:t xml:space="preserve">in situations where an individual </w:t>
      </w:r>
      <w:r w:rsidR="00F74FC6">
        <w:t>has</w:t>
      </w:r>
      <w:r w:rsidR="00C966A3">
        <w:t xml:space="preserve"> decided not to have a genetic test</w:t>
      </w:r>
      <w:r w:rsidR="00B46C67">
        <w:t>, delayed planned genetic testing</w:t>
      </w:r>
      <w:r w:rsidR="00BC2CEB">
        <w:t>,</w:t>
      </w:r>
      <w:r w:rsidR="00C966A3">
        <w:t xml:space="preserve"> or has chosen not to provide a genetic test result</w:t>
      </w:r>
      <w:r w:rsidR="00937B18">
        <w:t xml:space="preserve">. </w:t>
      </w:r>
      <w:r w:rsidR="008C3C42">
        <w:t>Insurers shoul</w:t>
      </w:r>
      <w:r w:rsidR="004F0C7A">
        <w:t xml:space="preserve">d not be permitted to refuse to consider or progress </w:t>
      </w:r>
      <w:r w:rsidR="00B24E4A">
        <w:t>applications or</w:t>
      </w:r>
      <w:r w:rsidR="004F0C7A">
        <w:t xml:space="preserve"> decline applications for life insurance based </w:t>
      </w:r>
      <w:r w:rsidR="004260BC">
        <w:t xml:space="preserve">on such adverse inferences. </w:t>
      </w:r>
    </w:p>
    <w:p w14:paraId="2A1E3C7C" w14:textId="4BA34ED8" w:rsidR="0038414F" w:rsidRDefault="000906AD" w:rsidP="00C84100">
      <w:r>
        <w:t>The Commission is</w:t>
      </w:r>
      <w:r w:rsidR="2C89E89B">
        <w:t xml:space="preserve"> </w:t>
      </w:r>
      <w:r>
        <w:t xml:space="preserve">concerned </w:t>
      </w:r>
      <w:r w:rsidR="007F1EBD">
        <w:t>about insurers seeking and utilising information about an individual</w:t>
      </w:r>
      <w:r w:rsidR="00D93D18">
        <w:t xml:space="preserve">’s </w:t>
      </w:r>
      <w:r w:rsidR="006C2210">
        <w:t xml:space="preserve">(or their families) </w:t>
      </w:r>
      <w:r w:rsidR="00772C96">
        <w:t xml:space="preserve">ongoing </w:t>
      </w:r>
      <w:r w:rsidR="00F45B38">
        <w:t>medical care</w:t>
      </w:r>
      <w:r w:rsidR="000B31E1">
        <w:t>,</w:t>
      </w:r>
      <w:r w:rsidR="003D1D2A">
        <w:rPr>
          <w:rStyle w:val="EndnoteReference"/>
        </w:rPr>
        <w:endnoteReference w:id="22"/>
      </w:r>
      <w:r w:rsidR="000B31E1">
        <w:t xml:space="preserve"> including </w:t>
      </w:r>
      <w:r w:rsidR="007F1EBD">
        <w:t>planned risk-surveillance (e.g. routine screening)</w:t>
      </w:r>
      <w:r w:rsidR="000B31E1">
        <w:t xml:space="preserve">, </w:t>
      </w:r>
      <w:r w:rsidR="00CE6D94">
        <w:t>to</w:t>
      </w:r>
      <w:r w:rsidR="00A579CF">
        <w:t xml:space="preserve"> </w:t>
      </w:r>
      <w:r w:rsidR="00CE5A68">
        <w:t xml:space="preserve">infer </w:t>
      </w:r>
      <w:r w:rsidR="00CE6D94">
        <w:t>risk</w:t>
      </w:r>
      <w:r w:rsidR="002B4A61">
        <w:t xml:space="preserve"> and/or </w:t>
      </w:r>
      <w:r w:rsidR="00AB7CDF">
        <w:t xml:space="preserve">to </w:t>
      </w:r>
      <w:r w:rsidR="0071026C">
        <w:t>refus</w:t>
      </w:r>
      <w:r w:rsidR="00AB7CDF">
        <w:t xml:space="preserve">e </w:t>
      </w:r>
      <w:r w:rsidR="0071026C">
        <w:t>to progress applications</w:t>
      </w:r>
      <w:r w:rsidR="00A45CB7">
        <w:t xml:space="preserve"> until they</w:t>
      </w:r>
      <w:r w:rsidR="00377FFD">
        <w:t xml:space="preserve"> are made aware </w:t>
      </w:r>
      <w:r w:rsidR="003D1D2A">
        <w:t>of this information or any results</w:t>
      </w:r>
      <w:r w:rsidR="0071026C">
        <w:t>. The ban should ensure that information</w:t>
      </w:r>
      <w:r w:rsidR="006E79CE">
        <w:t xml:space="preserve"> that </w:t>
      </w:r>
      <w:r w:rsidR="00D84E45">
        <w:t>indirectly points to genetic test results</w:t>
      </w:r>
      <w:r w:rsidR="00183120">
        <w:t xml:space="preserve"> </w:t>
      </w:r>
      <w:r w:rsidR="7255AC50">
        <w:t xml:space="preserve">or a perception of increased risk </w:t>
      </w:r>
      <w:r w:rsidR="0071026C">
        <w:t>is not required to be disclosed and cannot be used to make adverse inferences by insurers</w:t>
      </w:r>
      <w:r w:rsidR="00DF1D91">
        <w:t xml:space="preserve"> or to discriminate in the provision of life insurance. </w:t>
      </w:r>
    </w:p>
    <w:p w14:paraId="74BD73F8" w14:textId="094B779A" w:rsidR="004E307D" w:rsidRPr="00DE3A78" w:rsidRDefault="004E307D" w:rsidP="00C84100">
      <w:r>
        <w:t xml:space="preserve">Allowing insurers to make adverse inferences </w:t>
      </w:r>
      <w:r w:rsidR="00DA5C5D">
        <w:t xml:space="preserve">from </w:t>
      </w:r>
      <w:r w:rsidR="007D3029">
        <w:t xml:space="preserve">planned </w:t>
      </w:r>
      <w:r w:rsidR="00AB38CA">
        <w:t xml:space="preserve">risk-surveillance </w:t>
      </w:r>
      <w:r w:rsidR="007D3029">
        <w:t>activity</w:t>
      </w:r>
      <w:r w:rsidR="00CD63CD">
        <w:t xml:space="preserve">, or </w:t>
      </w:r>
      <w:r w:rsidR="00DF1D91">
        <w:t>other relevant medical information (such as preventative health care)</w:t>
      </w:r>
      <w:r w:rsidR="0071541F">
        <w:t xml:space="preserve">, </w:t>
      </w:r>
      <w:r w:rsidR="000116FA">
        <w:t xml:space="preserve">will also disincentivise individuals from undertaking </w:t>
      </w:r>
      <w:r w:rsidR="0071541F">
        <w:t>these activities</w:t>
      </w:r>
      <w:r w:rsidR="00C074E8">
        <w:t xml:space="preserve"> </w:t>
      </w:r>
      <w:r w:rsidR="00E42A6E">
        <w:t>out of fear it may reveal an outcome of a genetic test or be used adversely</w:t>
      </w:r>
      <w:r w:rsidR="00194082">
        <w:t xml:space="preserve"> against them</w:t>
      </w:r>
      <w:r w:rsidR="00E42A6E">
        <w:t>. This</w:t>
      </w:r>
      <w:r w:rsidR="008E2090">
        <w:t xml:space="preserve"> is counter-productive to preventative health care and public health </w:t>
      </w:r>
      <w:r w:rsidR="00AD07F0">
        <w:t>objectives and</w:t>
      </w:r>
      <w:r w:rsidR="00635BA0">
        <w:t xml:space="preserve"> impedes the right to h</w:t>
      </w:r>
      <w:r w:rsidR="006239E9">
        <w:t>ighest attainable standard of health</w:t>
      </w:r>
      <w:r w:rsidR="00635BA0">
        <w:t>.</w:t>
      </w:r>
      <w:r w:rsidR="00A05181">
        <w:rPr>
          <w:rStyle w:val="EndnoteReference"/>
        </w:rPr>
        <w:endnoteReference w:id="23"/>
      </w:r>
    </w:p>
    <w:p w14:paraId="403D6AB8" w14:textId="6F402B47" w:rsidR="009623FA" w:rsidRDefault="00C84100" w:rsidP="00C84100">
      <w:pPr>
        <w:rPr>
          <w:b/>
          <w:bCs/>
        </w:rPr>
      </w:pPr>
      <w:r>
        <w:rPr>
          <w:b/>
          <w:bCs/>
        </w:rPr>
        <w:t xml:space="preserve">Recommendation </w:t>
      </w:r>
      <w:r w:rsidR="006E2D6B">
        <w:rPr>
          <w:b/>
          <w:bCs/>
        </w:rPr>
        <w:t>4</w:t>
      </w:r>
      <w:r>
        <w:rPr>
          <w:b/>
          <w:bCs/>
        </w:rPr>
        <w:t xml:space="preserve">: The legislation should prohibit insurers from refusing to consider, </w:t>
      </w:r>
      <w:r w:rsidRPr="555EDD4C">
        <w:rPr>
          <w:b/>
          <w:bCs/>
        </w:rPr>
        <w:t>progres</w:t>
      </w:r>
      <w:r w:rsidR="00A834CE" w:rsidRPr="555EDD4C">
        <w:rPr>
          <w:b/>
          <w:bCs/>
        </w:rPr>
        <w:t>s</w:t>
      </w:r>
      <w:r w:rsidR="0B53D154" w:rsidRPr="555EDD4C">
        <w:rPr>
          <w:b/>
          <w:bCs/>
        </w:rPr>
        <w:t>ing</w:t>
      </w:r>
      <w:r w:rsidR="00A834CE">
        <w:rPr>
          <w:b/>
          <w:bCs/>
        </w:rPr>
        <w:t>,</w:t>
      </w:r>
      <w:r>
        <w:rPr>
          <w:b/>
          <w:bCs/>
        </w:rPr>
        <w:t xml:space="preserve"> </w:t>
      </w:r>
      <w:r w:rsidRPr="79C18D65">
        <w:rPr>
          <w:b/>
          <w:bCs/>
        </w:rPr>
        <w:t>declin</w:t>
      </w:r>
      <w:r w:rsidR="588FA5DC" w:rsidRPr="79C18D65">
        <w:rPr>
          <w:b/>
          <w:bCs/>
        </w:rPr>
        <w:t>ing</w:t>
      </w:r>
      <w:r w:rsidR="00A834CE">
        <w:rPr>
          <w:b/>
          <w:bCs/>
        </w:rPr>
        <w:t xml:space="preserve">, or </w:t>
      </w:r>
      <w:r w:rsidR="00A834CE" w:rsidRPr="73EEE8A2">
        <w:rPr>
          <w:b/>
          <w:bCs/>
        </w:rPr>
        <w:t>penalis</w:t>
      </w:r>
      <w:r w:rsidR="6683B7B2" w:rsidRPr="73EEE8A2">
        <w:rPr>
          <w:b/>
          <w:bCs/>
        </w:rPr>
        <w:t>ing</w:t>
      </w:r>
      <w:r>
        <w:rPr>
          <w:b/>
          <w:bCs/>
        </w:rPr>
        <w:t xml:space="preserve"> applications for life insurance</w:t>
      </w:r>
      <w:r w:rsidDel="00F13F30">
        <w:rPr>
          <w:b/>
          <w:bCs/>
        </w:rPr>
        <w:t xml:space="preserve"> </w:t>
      </w:r>
      <w:r w:rsidR="7A38BCEF" w:rsidRPr="35DB3BB1">
        <w:rPr>
          <w:b/>
          <w:bCs/>
        </w:rPr>
        <w:t xml:space="preserve">due to adverse </w:t>
      </w:r>
      <w:r w:rsidR="7A38BCEF" w:rsidRPr="6106C8BB">
        <w:rPr>
          <w:b/>
          <w:bCs/>
        </w:rPr>
        <w:t>inferences</w:t>
      </w:r>
      <w:r w:rsidRPr="4FB8FDE0" w:rsidDel="00C84100">
        <w:rPr>
          <w:b/>
          <w:bCs/>
        </w:rPr>
        <w:t xml:space="preserve"> </w:t>
      </w:r>
      <w:r w:rsidR="18E7A79D" w:rsidRPr="2DFE264A">
        <w:rPr>
          <w:b/>
          <w:bCs/>
        </w:rPr>
        <w:t xml:space="preserve">made by the </w:t>
      </w:r>
      <w:r w:rsidR="18E7A79D" w:rsidRPr="30B752D9">
        <w:rPr>
          <w:b/>
          <w:bCs/>
        </w:rPr>
        <w:t xml:space="preserve">insurers </w:t>
      </w:r>
      <w:r w:rsidR="7A38BCEF" w:rsidRPr="30B752D9">
        <w:rPr>
          <w:b/>
          <w:bCs/>
        </w:rPr>
        <w:t>based</w:t>
      </w:r>
      <w:r w:rsidR="7A38BCEF" w:rsidRPr="58A8AA4D">
        <w:rPr>
          <w:b/>
          <w:bCs/>
        </w:rPr>
        <w:t xml:space="preserve"> on</w:t>
      </w:r>
      <w:r w:rsidR="00420FB7">
        <w:rPr>
          <w:b/>
          <w:bCs/>
        </w:rPr>
        <w:t>:</w:t>
      </w:r>
      <w:r w:rsidR="009623FA">
        <w:rPr>
          <w:b/>
          <w:bCs/>
        </w:rPr>
        <w:t xml:space="preserve"> </w:t>
      </w:r>
    </w:p>
    <w:p w14:paraId="069FA8DC" w14:textId="240DF671" w:rsidR="009623FA" w:rsidRDefault="00C84100" w:rsidP="009623FA">
      <w:pPr>
        <w:pStyle w:val="ListParagraph"/>
        <w:numPr>
          <w:ilvl w:val="0"/>
          <w:numId w:val="28"/>
        </w:numPr>
        <w:rPr>
          <w:b/>
          <w:bCs/>
        </w:rPr>
      </w:pPr>
      <w:r w:rsidRPr="00A8214C">
        <w:rPr>
          <w:b/>
          <w:bCs/>
        </w:rPr>
        <w:t xml:space="preserve">applicants not </w:t>
      </w:r>
      <w:r w:rsidR="4D9C2D29" w:rsidRPr="66299D1F">
        <w:rPr>
          <w:b/>
          <w:bCs/>
        </w:rPr>
        <w:t>taking</w:t>
      </w:r>
      <w:r w:rsidRPr="00A8214C">
        <w:rPr>
          <w:b/>
          <w:bCs/>
        </w:rPr>
        <w:t xml:space="preserve"> or not provid</w:t>
      </w:r>
      <w:r w:rsidR="60AF1C3E" w:rsidRPr="29A23BC3">
        <w:rPr>
          <w:b/>
          <w:bCs/>
        </w:rPr>
        <w:t>ing</w:t>
      </w:r>
      <w:r w:rsidRPr="00A8214C">
        <w:rPr>
          <w:b/>
          <w:bCs/>
        </w:rPr>
        <w:t xml:space="preserve"> genetic test results</w:t>
      </w:r>
    </w:p>
    <w:p w14:paraId="49AB37A3" w14:textId="57364085" w:rsidR="00A34F03" w:rsidRPr="00A8214C" w:rsidRDefault="00F43FB9" w:rsidP="00A8214C">
      <w:pPr>
        <w:pStyle w:val="ListParagraph"/>
        <w:numPr>
          <w:ilvl w:val="0"/>
          <w:numId w:val="28"/>
        </w:numPr>
        <w:rPr>
          <w:b/>
          <w:bCs/>
        </w:rPr>
      </w:pPr>
      <w:r>
        <w:rPr>
          <w:b/>
          <w:bCs/>
        </w:rPr>
        <w:t xml:space="preserve">the applicant or their families </w:t>
      </w:r>
      <w:r w:rsidR="00420FB7">
        <w:rPr>
          <w:b/>
          <w:bCs/>
        </w:rPr>
        <w:t xml:space="preserve">ongoing medical </w:t>
      </w:r>
      <w:r w:rsidR="00A34F03">
        <w:rPr>
          <w:b/>
          <w:bCs/>
        </w:rPr>
        <w:t>care information including</w:t>
      </w:r>
      <w:r w:rsidR="000723AC">
        <w:rPr>
          <w:b/>
          <w:bCs/>
        </w:rPr>
        <w:t xml:space="preserve"> </w:t>
      </w:r>
      <w:r w:rsidR="00A34F03">
        <w:rPr>
          <w:b/>
          <w:bCs/>
        </w:rPr>
        <w:t>risk surveillance</w:t>
      </w:r>
      <w:r w:rsidR="00E4347A">
        <w:rPr>
          <w:b/>
          <w:bCs/>
        </w:rPr>
        <w:t xml:space="preserve"> activities, prescribed </w:t>
      </w:r>
      <w:r>
        <w:rPr>
          <w:b/>
          <w:bCs/>
        </w:rPr>
        <w:t>medications, participation in preventative health care (such as clinical trials)</w:t>
      </w:r>
      <w:r w:rsidR="00D61800">
        <w:rPr>
          <w:b/>
          <w:bCs/>
        </w:rPr>
        <w:t xml:space="preserve">, or </w:t>
      </w:r>
      <w:r w:rsidR="00D61800">
        <w:rPr>
          <w:b/>
          <w:bCs/>
        </w:rPr>
        <w:lastRenderedPageBreak/>
        <w:t xml:space="preserve">any other indirect method of inferring </w:t>
      </w:r>
      <w:r w:rsidR="7EDF2ECA" w:rsidRPr="30B53A5C">
        <w:rPr>
          <w:b/>
          <w:bCs/>
        </w:rPr>
        <w:t xml:space="preserve">increased risk or </w:t>
      </w:r>
      <w:r w:rsidR="00D61800" w:rsidRPr="30B53A5C">
        <w:rPr>
          <w:b/>
          <w:bCs/>
        </w:rPr>
        <w:t>genetic</w:t>
      </w:r>
      <w:r w:rsidR="00D61800">
        <w:rPr>
          <w:b/>
          <w:bCs/>
        </w:rPr>
        <w:t xml:space="preserve"> </w:t>
      </w:r>
      <w:r w:rsidR="00BC2D56">
        <w:rPr>
          <w:b/>
          <w:bCs/>
        </w:rPr>
        <w:t xml:space="preserve">test results. </w:t>
      </w:r>
      <w:r w:rsidR="00E16D24">
        <w:rPr>
          <w:b/>
          <w:bCs/>
        </w:rPr>
        <w:t>(Question 1 and 2)</w:t>
      </w:r>
    </w:p>
    <w:p w14:paraId="07DA110F" w14:textId="41B7926C" w:rsidR="00242BBC" w:rsidRDefault="00242BBC" w:rsidP="00242BBC">
      <w:pPr>
        <w:rPr>
          <w:b/>
          <w:bCs/>
        </w:rPr>
      </w:pPr>
      <w:r>
        <w:rPr>
          <w:b/>
          <w:bCs/>
        </w:rPr>
        <w:t xml:space="preserve">Recommendation </w:t>
      </w:r>
      <w:r w:rsidR="006E2D6B">
        <w:rPr>
          <w:b/>
          <w:bCs/>
        </w:rPr>
        <w:t>5</w:t>
      </w:r>
      <w:r>
        <w:rPr>
          <w:b/>
          <w:bCs/>
        </w:rPr>
        <w:t xml:space="preserve">: </w:t>
      </w:r>
      <w:r w:rsidRPr="4C8A33D1">
        <w:rPr>
          <w:b/>
          <w:bCs/>
        </w:rPr>
        <w:t>The</w:t>
      </w:r>
      <w:r>
        <w:rPr>
          <w:b/>
          <w:bCs/>
        </w:rPr>
        <w:t xml:space="preserve"> </w:t>
      </w:r>
      <w:r w:rsidRPr="004D3586">
        <w:rPr>
          <w:b/>
          <w:bCs/>
        </w:rPr>
        <w:t xml:space="preserve">duty to take reasonable care not to make a misrepresentation (s 20B) and the duty of disclosure (s 21) under the </w:t>
      </w:r>
      <w:r w:rsidRPr="004D3586">
        <w:rPr>
          <w:b/>
          <w:bCs/>
          <w:i/>
          <w:iCs/>
        </w:rPr>
        <w:t xml:space="preserve">Insurance Contracts Act 1984 </w:t>
      </w:r>
      <w:r w:rsidRPr="004D3586">
        <w:rPr>
          <w:b/>
          <w:bCs/>
        </w:rPr>
        <w:t>(Cth) should</w:t>
      </w:r>
      <w:r>
        <w:rPr>
          <w:b/>
          <w:bCs/>
        </w:rPr>
        <w:t xml:space="preserve"> be amended, where relevant, to exclude from the duties the following information: </w:t>
      </w:r>
    </w:p>
    <w:p w14:paraId="53CD1369" w14:textId="77777777" w:rsidR="00242BBC" w:rsidRDefault="00242BBC" w:rsidP="003532A4">
      <w:pPr>
        <w:pStyle w:val="ListParagraph"/>
        <w:numPr>
          <w:ilvl w:val="0"/>
          <w:numId w:val="36"/>
        </w:numPr>
        <w:rPr>
          <w:b/>
          <w:bCs/>
        </w:rPr>
      </w:pPr>
      <w:r>
        <w:rPr>
          <w:b/>
          <w:bCs/>
        </w:rPr>
        <w:t xml:space="preserve">Genetic test results, including the existence of such results </w:t>
      </w:r>
    </w:p>
    <w:p w14:paraId="7D6E8E5D" w14:textId="77777777" w:rsidR="00242BBC" w:rsidRPr="00272161" w:rsidRDefault="00242BBC" w:rsidP="003532A4">
      <w:pPr>
        <w:pStyle w:val="ListParagraph"/>
        <w:numPr>
          <w:ilvl w:val="0"/>
          <w:numId w:val="36"/>
        </w:numPr>
        <w:rPr>
          <w:b/>
          <w:bCs/>
        </w:rPr>
      </w:pPr>
      <w:r>
        <w:rPr>
          <w:b/>
          <w:bCs/>
        </w:rPr>
        <w:t>Ongoing medical care information</w:t>
      </w:r>
      <w:r w:rsidRPr="00272161">
        <w:rPr>
          <w:b/>
          <w:bCs/>
        </w:rPr>
        <w:t xml:space="preserve"> (Question 2)</w:t>
      </w:r>
    </w:p>
    <w:p w14:paraId="113FF778" w14:textId="44C467B1" w:rsidR="00C84100" w:rsidRDefault="00C84100" w:rsidP="00C84100">
      <w:r>
        <w:t xml:space="preserve">The Commission </w:t>
      </w:r>
      <w:r w:rsidR="00292947">
        <w:t>agrees</w:t>
      </w:r>
      <w:r w:rsidR="003D17E4">
        <w:t xml:space="preserve"> with</w:t>
      </w:r>
      <w:r>
        <w:t xml:space="preserve"> </w:t>
      </w:r>
      <w:r w:rsidR="006E6947" w:rsidRPr="00DE3A78">
        <w:t>expert concerns</w:t>
      </w:r>
      <w:r w:rsidRPr="00DE3A78">
        <w:t xml:space="preserve"> </w:t>
      </w:r>
      <w:r>
        <w:t>that a lack of definition for terms such as ‘condition’, ‘diagnosed condition’, ‘diagnosis’ and ‘disease’ could lead to insurers classifying a genetic variant as a diagnosed condition, requiring the disclosure of this information which can be used to discriminate against the individual</w:t>
      </w:r>
      <w:r w:rsidR="00864B5B">
        <w:t>,</w:t>
      </w:r>
      <w:r>
        <w:rPr>
          <w:rStyle w:val="EndnoteReference"/>
        </w:rPr>
        <w:endnoteReference w:id="24"/>
      </w:r>
      <w:r>
        <w:t xml:space="preserve"> </w:t>
      </w:r>
      <w:r w:rsidR="00864B5B">
        <w:t>and</w:t>
      </w:r>
      <w:r>
        <w:t xml:space="preserve"> lead to discretionary and inconsistent practices across insurers. </w:t>
      </w:r>
      <w:r w:rsidR="00675D9E" w:rsidRPr="00605E54">
        <w:t>Notwithstanding the need for clear definitions</w:t>
      </w:r>
      <w:r w:rsidR="00FB6011" w:rsidRPr="00605E54">
        <w:t xml:space="preserve">, </w:t>
      </w:r>
      <w:r w:rsidRPr="00605E54">
        <w:t xml:space="preserve">discrimination </w:t>
      </w:r>
      <w:proofErr w:type="gramStart"/>
      <w:r w:rsidRPr="00605E54">
        <w:t>on the basis of</w:t>
      </w:r>
      <w:proofErr w:type="gramEnd"/>
      <w:r w:rsidRPr="00605E54">
        <w:t xml:space="preserve"> pre-existing conditions and/or disability conflicts with </w:t>
      </w:r>
      <w:r w:rsidR="008234A9" w:rsidRPr="00605E54">
        <w:t xml:space="preserve">international human rights </w:t>
      </w:r>
      <w:r w:rsidRPr="00605E54">
        <w:t xml:space="preserve">obligations </w:t>
      </w:r>
      <w:r w:rsidR="008234A9" w:rsidRPr="00605E54">
        <w:t xml:space="preserve">under the CRPD </w:t>
      </w:r>
      <w:r w:rsidRPr="00605E54">
        <w:t>and should be addressed by government</w:t>
      </w:r>
      <w:r w:rsidR="00D315FD" w:rsidRPr="00605E54">
        <w:t xml:space="preserve"> separate to this consultation</w:t>
      </w:r>
      <w:r w:rsidR="003D17E4" w:rsidRPr="00605E54">
        <w:t>.</w:t>
      </w:r>
      <w:r w:rsidRPr="00605E54">
        <w:rPr>
          <w:rStyle w:val="EndnoteReference"/>
        </w:rPr>
        <w:endnoteReference w:id="25"/>
      </w:r>
      <w:r w:rsidRPr="00605E54">
        <w:t xml:space="preserve">  </w:t>
      </w:r>
    </w:p>
    <w:p w14:paraId="5E0576BB" w14:textId="26170AC5" w:rsidR="00C84100" w:rsidRDefault="00C84100" w:rsidP="00C84100">
      <w:pPr>
        <w:rPr>
          <w:b/>
          <w:bCs/>
        </w:rPr>
      </w:pPr>
      <w:r>
        <w:rPr>
          <w:b/>
          <w:bCs/>
        </w:rPr>
        <w:t xml:space="preserve">Recommendation </w:t>
      </w:r>
      <w:r w:rsidR="008A6D7F">
        <w:rPr>
          <w:b/>
          <w:bCs/>
        </w:rPr>
        <w:t>6</w:t>
      </w:r>
      <w:r>
        <w:rPr>
          <w:b/>
          <w:bCs/>
        </w:rPr>
        <w:t xml:space="preserve">: The legislation should clarify that a genetic predisposition or genetic variant does not amount to a ‘condition’, ‘diagnosis’ or ‘disease’. </w:t>
      </w:r>
      <w:r w:rsidR="00C26D46">
        <w:rPr>
          <w:b/>
          <w:bCs/>
        </w:rPr>
        <w:t>(Question 1)</w:t>
      </w:r>
    </w:p>
    <w:p w14:paraId="0D5D2A93" w14:textId="7FB29774" w:rsidR="002276BE" w:rsidRPr="002276BE" w:rsidRDefault="00117B1B" w:rsidP="00625848">
      <w:pPr>
        <w:pStyle w:val="Heading2"/>
      </w:pPr>
      <w:bookmarkStart w:id="28" w:name="_Toc193285738"/>
      <w:bookmarkStart w:id="29" w:name="_Toc193353218"/>
      <w:bookmarkStart w:id="30" w:name="_Toc191486821"/>
      <w:bookmarkStart w:id="31" w:name="_Toc191486860"/>
      <w:bookmarkStart w:id="32" w:name="_Toc191486822"/>
      <w:bookmarkStart w:id="33" w:name="_Toc191486861"/>
      <w:bookmarkStart w:id="34" w:name="_Toc191486823"/>
      <w:bookmarkStart w:id="35" w:name="_Toc191486862"/>
      <w:bookmarkStart w:id="36" w:name="_Toc191486824"/>
      <w:bookmarkStart w:id="37" w:name="_Toc191486863"/>
      <w:bookmarkStart w:id="38" w:name="_Toc193285739"/>
      <w:bookmarkStart w:id="39" w:name="_Toc193353219"/>
      <w:bookmarkStart w:id="40" w:name="_Toc193285740"/>
      <w:bookmarkStart w:id="41" w:name="_Toc193353220"/>
      <w:bookmarkStart w:id="42" w:name="_Toc193285741"/>
      <w:bookmarkStart w:id="43" w:name="_Toc193353221"/>
      <w:bookmarkStart w:id="44" w:name="_Toc193285742"/>
      <w:bookmarkStart w:id="45" w:name="_Toc193353222"/>
      <w:bookmarkStart w:id="46" w:name="_Toc193285743"/>
      <w:bookmarkStart w:id="47" w:name="_Toc193353223"/>
      <w:bookmarkStart w:id="48" w:name="_Toc193285744"/>
      <w:bookmarkStart w:id="49" w:name="_Toc193353224"/>
      <w:bookmarkStart w:id="50" w:name="_Toc193285745"/>
      <w:bookmarkStart w:id="51" w:name="_Toc193353225"/>
      <w:bookmarkStart w:id="52" w:name="_Toc193285746"/>
      <w:bookmarkStart w:id="53" w:name="_Toc193353226"/>
      <w:bookmarkStart w:id="54" w:name="_Toc193285747"/>
      <w:bookmarkStart w:id="55" w:name="_Toc193353227"/>
      <w:bookmarkStart w:id="56" w:name="_Toc193285748"/>
      <w:bookmarkStart w:id="57" w:name="_Toc193353228"/>
      <w:bookmarkStart w:id="58" w:name="_Toc193285749"/>
      <w:bookmarkStart w:id="59" w:name="_Toc193353229"/>
      <w:bookmarkStart w:id="60" w:name="_Toc193285750"/>
      <w:bookmarkStart w:id="61" w:name="_Toc193353230"/>
      <w:bookmarkStart w:id="62" w:name="_Toc193285751"/>
      <w:bookmarkStart w:id="63" w:name="_Toc193353231"/>
      <w:bookmarkStart w:id="64" w:name="_Toc19387266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Am</w:t>
      </w:r>
      <w:r w:rsidR="002B7A33">
        <w:t>ending the D</w:t>
      </w:r>
      <w:r w:rsidR="00121BE9">
        <w:t xml:space="preserve">isability Discrimination </w:t>
      </w:r>
      <w:r w:rsidR="00571EF3">
        <w:t>Act</w:t>
      </w:r>
      <w:bookmarkEnd w:id="64"/>
      <w:r w:rsidR="00571EF3">
        <w:t xml:space="preserve"> </w:t>
      </w:r>
    </w:p>
    <w:p w14:paraId="5FE2EE26" w14:textId="498A231F" w:rsidR="007A7628" w:rsidRDefault="007A7628" w:rsidP="00994C34">
      <w:r w:rsidRPr="000B4689">
        <w:t>The Disability Discrimination Act generally makes i</w:t>
      </w:r>
      <w:r w:rsidR="00E16EF5">
        <w:t>t</w:t>
      </w:r>
      <w:r w:rsidRPr="000B4689">
        <w:t xml:space="preserve"> unlawful to discriminat</w:t>
      </w:r>
      <w:r w:rsidR="00BC37B2">
        <w:t xml:space="preserve">e </w:t>
      </w:r>
      <w:r w:rsidRPr="000B4689">
        <w:t>against a person because of disability when providing life insurance. However, section 46 provides a partial exemption that permits insurers to discriminate on whether, and on what terms, to offer life insurance if the discrimination is reasonable based on either actuarial or statistical data or, where no such data is available, other relevant factors.</w:t>
      </w:r>
      <w:r w:rsidR="00A527A1">
        <w:t xml:space="preserve"> Genetic tests results are currently relevant to the consideration of the section 46 exemption.</w:t>
      </w:r>
    </w:p>
    <w:p w14:paraId="598371C2" w14:textId="63D601E5" w:rsidR="00D468C5" w:rsidRDefault="00D6554B" w:rsidP="00D468C5">
      <w:pPr>
        <w:rPr>
          <w:color w:val="FF0000"/>
        </w:rPr>
      </w:pPr>
      <w:r w:rsidRPr="00FA58CD">
        <w:t xml:space="preserve">The Commission </w:t>
      </w:r>
      <w:r w:rsidR="002B50E4">
        <w:t>supports</w:t>
      </w:r>
      <w:r w:rsidRPr="00FA58CD">
        <w:t xml:space="preserve"> the </w:t>
      </w:r>
      <w:r w:rsidR="009E3108" w:rsidRPr="00FA58CD">
        <w:t xml:space="preserve">ban itself </w:t>
      </w:r>
      <w:r w:rsidR="00FA299A">
        <w:t>being</w:t>
      </w:r>
      <w:r w:rsidR="00FA299A" w:rsidRPr="00FA58CD">
        <w:t xml:space="preserve"> </w:t>
      </w:r>
      <w:r w:rsidR="009E3108" w:rsidRPr="00FA58CD">
        <w:t xml:space="preserve">contained in the </w:t>
      </w:r>
      <w:r w:rsidR="009E3108" w:rsidRPr="00FA58CD">
        <w:rPr>
          <w:i/>
          <w:iCs/>
        </w:rPr>
        <w:t>Insurance Contracts Act 1984 (</w:t>
      </w:r>
      <w:r w:rsidR="009E3108" w:rsidRPr="00FA58CD">
        <w:t>Cth)</w:t>
      </w:r>
      <w:r w:rsidR="004F59C7" w:rsidRPr="00EA0623">
        <w:t xml:space="preserve"> (Insurance Contracts Act)</w:t>
      </w:r>
      <w:r w:rsidR="004C7A24" w:rsidRPr="00EA0623">
        <w:t xml:space="preserve">. </w:t>
      </w:r>
      <w:r w:rsidR="00493F7A">
        <w:t>To ensure the ban can be achieved, t</w:t>
      </w:r>
      <w:r w:rsidR="0028718B" w:rsidRPr="00EA0623">
        <w:t xml:space="preserve">he Disability Discrimination Act would require amendments to ensure that </w:t>
      </w:r>
      <w:r w:rsidR="00562CA4" w:rsidRPr="00EA0623">
        <w:t>s</w:t>
      </w:r>
      <w:r w:rsidR="005E42A5">
        <w:t>ection</w:t>
      </w:r>
      <w:r w:rsidR="00562CA4" w:rsidRPr="00EA0623">
        <w:t xml:space="preserve"> 46 </w:t>
      </w:r>
      <w:r w:rsidR="007454D6" w:rsidRPr="00EA0623">
        <w:t xml:space="preserve">does not continue to </w:t>
      </w:r>
      <w:r w:rsidR="00EA7F78" w:rsidRPr="00EA0623">
        <w:t xml:space="preserve">operate </w:t>
      </w:r>
      <w:r w:rsidR="008B084A" w:rsidRPr="00EA0623">
        <w:t>so that it would not be unlawful for insurers to discriminat</w:t>
      </w:r>
      <w:r w:rsidR="00A45203">
        <w:t>e</w:t>
      </w:r>
      <w:r w:rsidR="008B084A" w:rsidRPr="00EA0623">
        <w:t xml:space="preserve"> based on genetic test results</w:t>
      </w:r>
      <w:r w:rsidR="00265568">
        <w:t>.</w:t>
      </w:r>
      <w:r w:rsidR="00805F6D" w:rsidRPr="00EA0623">
        <w:t xml:space="preserve"> </w:t>
      </w:r>
      <w:r w:rsidR="00742B83">
        <w:t xml:space="preserve">It may also be necessary to introduce a new provision in the Disability Discrimination Act to ensure clarity and consistency with the Insurance Contracts Act. For example, any definitions of consent, diagnosed condition, and genetic test should align with, or refer to, the </w:t>
      </w:r>
      <w:r w:rsidR="00742B83">
        <w:lastRenderedPageBreak/>
        <w:t>Insurance Contracts Act.</w:t>
      </w:r>
      <w:r w:rsidR="00805F6D" w:rsidRPr="00EA0623">
        <w:t xml:space="preserve"> </w:t>
      </w:r>
      <w:r w:rsidR="009E7969">
        <w:t>A</w:t>
      </w:r>
      <w:r w:rsidR="00D468C5">
        <w:t xml:space="preserve">mendments to both </w:t>
      </w:r>
      <w:r w:rsidR="006375E7">
        <w:t>laws</w:t>
      </w:r>
      <w:r w:rsidR="00D468C5">
        <w:t xml:space="preserve"> must factor</w:t>
      </w:r>
      <w:r w:rsidR="00347A3C">
        <w:t xml:space="preserve"> in</w:t>
      </w:r>
      <w:r w:rsidR="00D468C5">
        <w:t xml:space="preserve"> the recommendations made in this submission.</w:t>
      </w:r>
    </w:p>
    <w:p w14:paraId="39F28B6E" w14:textId="784B9F32" w:rsidR="006B6E4F" w:rsidRDefault="001802CF" w:rsidP="006F4C9F">
      <w:r>
        <w:t>T</w:t>
      </w:r>
      <w:r w:rsidR="00B14B84">
        <w:t xml:space="preserve">he </w:t>
      </w:r>
      <w:r w:rsidR="00731782" w:rsidRPr="00FA58CD">
        <w:t xml:space="preserve">most appropriate mechanism </w:t>
      </w:r>
      <w:r w:rsidR="006B6E4F">
        <w:t>for amending the Disability Discrimination Act</w:t>
      </w:r>
      <w:r w:rsidR="00FC3BE5">
        <w:t xml:space="preserve"> </w:t>
      </w:r>
      <w:r w:rsidR="00B14B84">
        <w:t xml:space="preserve">could </w:t>
      </w:r>
      <w:r w:rsidR="00731782" w:rsidRPr="00FA58CD">
        <w:t>be considered as part of a more thorough review of s</w:t>
      </w:r>
      <w:r w:rsidR="00B14B84">
        <w:t>ection</w:t>
      </w:r>
      <w:r w:rsidR="00731782" w:rsidRPr="00FA58CD">
        <w:t xml:space="preserve"> 46</w:t>
      </w:r>
      <w:r w:rsidR="006B427F">
        <w:t xml:space="preserve"> (see </w:t>
      </w:r>
      <w:r>
        <w:t>section 4.</w:t>
      </w:r>
      <w:r w:rsidR="008170E9">
        <w:t>3</w:t>
      </w:r>
      <w:r w:rsidRPr="00F51E60">
        <w:t xml:space="preserve">, </w:t>
      </w:r>
      <w:r w:rsidR="006B427F" w:rsidRPr="00F51E60">
        <w:t xml:space="preserve">recommendation </w:t>
      </w:r>
      <w:r w:rsidR="00F51E60" w:rsidRPr="00F51E60">
        <w:t>17</w:t>
      </w:r>
      <w:r w:rsidR="006B427F" w:rsidRPr="00F51E60">
        <w:t>)</w:t>
      </w:r>
      <w:r w:rsidR="000C72C4" w:rsidRPr="00F51E60">
        <w:t>.</w:t>
      </w:r>
      <w:r w:rsidR="000C72C4">
        <w:t xml:space="preserve"> H</w:t>
      </w:r>
      <w:r w:rsidR="00347B8E">
        <w:t>owever</w:t>
      </w:r>
      <w:r w:rsidR="000C72C4">
        <w:t>,</w:t>
      </w:r>
      <w:r w:rsidR="00347B8E">
        <w:t xml:space="preserve"> this should not create cause for delay</w:t>
      </w:r>
      <w:r w:rsidR="00F61A47">
        <w:t xml:space="preserve"> in introducing </w:t>
      </w:r>
      <w:r w:rsidR="00E54DB8">
        <w:t xml:space="preserve">the </w:t>
      </w:r>
      <w:r w:rsidR="00F61A47">
        <w:t xml:space="preserve">ban </w:t>
      </w:r>
      <w:r w:rsidR="00D345C8">
        <w:t>or protecting people from genetic discrimination as soon as practicable</w:t>
      </w:r>
      <w:r w:rsidR="00731782" w:rsidRPr="00FA58CD">
        <w:t>.</w:t>
      </w:r>
      <w:r w:rsidR="00D16D4C">
        <w:t xml:space="preserve"> </w:t>
      </w:r>
    </w:p>
    <w:p w14:paraId="033AA602" w14:textId="45230731" w:rsidR="002E38E4" w:rsidRDefault="002E38E4" w:rsidP="006F4C9F">
      <w:r w:rsidRPr="0033328E">
        <w:t xml:space="preserve">The Commission </w:t>
      </w:r>
      <w:r w:rsidR="00571270">
        <w:t>welcomes</w:t>
      </w:r>
      <w:r w:rsidRPr="0033328E">
        <w:t xml:space="preserve"> the opportunity to review and comment on any draft amendments, to appropriately consider the specifics in more detai</w:t>
      </w:r>
      <w:r>
        <w:t xml:space="preserve">l. </w:t>
      </w:r>
    </w:p>
    <w:p w14:paraId="3D12E30F" w14:textId="77777777" w:rsidR="00F9686C" w:rsidRDefault="00F9686C" w:rsidP="00F9686C">
      <w:pPr>
        <w:pStyle w:val="Heading2"/>
      </w:pPr>
      <w:bookmarkStart w:id="65" w:name="_Toc193872661"/>
      <w:r>
        <w:t>Definition of ‘genetic test’</w:t>
      </w:r>
      <w:bookmarkEnd w:id="65"/>
    </w:p>
    <w:p w14:paraId="189D9443" w14:textId="7A83DCE6" w:rsidR="00F9686C" w:rsidRDefault="00F9686C" w:rsidP="00F9686C">
      <w:r w:rsidRPr="00A977C6">
        <w:t>The Commission does not have the expertise to comment on appropriate defin</w:t>
      </w:r>
      <w:r w:rsidR="00BD1685">
        <w:t xml:space="preserve">itions </w:t>
      </w:r>
      <w:r w:rsidR="00EE1960">
        <w:t>o</w:t>
      </w:r>
      <w:r w:rsidR="00BD1685">
        <w:t>f</w:t>
      </w:r>
      <w:r w:rsidRPr="00A977C6">
        <w:t xml:space="preserve"> ‘genetic test’</w:t>
      </w:r>
      <w:r>
        <w:t>. H</w:t>
      </w:r>
      <w:r w:rsidRPr="00A977C6">
        <w:t>owever</w:t>
      </w:r>
      <w:r>
        <w:t xml:space="preserve">, it </w:t>
      </w:r>
      <w:r w:rsidRPr="00A977C6">
        <w:t>notes th</w:t>
      </w:r>
      <w:r>
        <w:t>at:</w:t>
      </w:r>
      <w:r w:rsidRPr="00A977C6">
        <w:t xml:space="preserve"> </w:t>
      </w:r>
    </w:p>
    <w:p w14:paraId="704D91B3" w14:textId="77777777" w:rsidR="00F9686C" w:rsidRDefault="00F9686C" w:rsidP="00F9686C">
      <w:pPr>
        <w:pStyle w:val="ListParagraph"/>
        <w:numPr>
          <w:ilvl w:val="0"/>
          <w:numId w:val="16"/>
        </w:numPr>
      </w:pPr>
      <w:r>
        <w:t>It is important to ensure</w:t>
      </w:r>
      <w:r w:rsidRPr="00A977C6">
        <w:t xml:space="preserve"> that the definition </w:t>
      </w:r>
      <w:r>
        <w:t xml:space="preserve">can be appropriately updated to evolve with advancements in medical/health technology, genetic research, and data analytics in a timely manner to protect consumers from discriminatory practices. </w:t>
      </w:r>
    </w:p>
    <w:p w14:paraId="6ADB652E" w14:textId="77777777" w:rsidR="00F9686C" w:rsidRDefault="00F9686C" w:rsidP="00F9686C">
      <w:pPr>
        <w:pStyle w:val="ListParagraph"/>
        <w:numPr>
          <w:ilvl w:val="0"/>
          <w:numId w:val="16"/>
        </w:numPr>
      </w:pPr>
      <w:r>
        <w:t xml:space="preserve">Any changes to the definition of genetic testing should not be subject to a regression in its scope or protection against genetic discrimination. Future changes should be grounded in scientific and medical evidence, guided by the advice of experts in the field and consumer representatives to protect against this. </w:t>
      </w:r>
    </w:p>
    <w:p w14:paraId="7DC577F0" w14:textId="77777777" w:rsidR="00F9686C" w:rsidRDefault="00F9686C" w:rsidP="00F9686C">
      <w:r>
        <w:t xml:space="preserve">To ensure that there </w:t>
      </w:r>
      <w:proofErr w:type="gramStart"/>
      <w:r>
        <w:t>is</w:t>
      </w:r>
      <w:proofErr w:type="gramEnd"/>
      <w:r>
        <w:t xml:space="preserve"> appropriate public and parliamentary scrutiny applied to any future change in the definition the Commission suggests that the definition be included in the main legislative instrument. </w:t>
      </w:r>
    </w:p>
    <w:p w14:paraId="1B97377D" w14:textId="77777777" w:rsidR="00F9686C" w:rsidRDefault="00F9686C" w:rsidP="00F9686C">
      <w:r>
        <w:t>The Commission agrees with the recommendation made by experts in Monash University’s submission to this consultation,</w:t>
      </w:r>
      <w:r>
        <w:rPr>
          <w:rStyle w:val="EndnoteReference"/>
        </w:rPr>
        <w:endnoteReference w:id="26"/>
      </w:r>
      <w:r>
        <w:t xml:space="preserve"> to include a clause allowing for regulations to prescribe tests to be included in the definition, as well as a requirement that the Health Minister be consulted and sign off on any proposed changes. </w:t>
      </w:r>
    </w:p>
    <w:p w14:paraId="13386F49" w14:textId="2FFF168A" w:rsidR="00F9686C" w:rsidRDefault="00F9686C" w:rsidP="00F9686C">
      <w:pPr>
        <w:rPr>
          <w:b/>
          <w:bCs/>
        </w:rPr>
      </w:pPr>
      <w:r>
        <w:rPr>
          <w:b/>
          <w:bCs/>
        </w:rPr>
        <w:t xml:space="preserve">Recommendation </w:t>
      </w:r>
      <w:r w:rsidR="00F13CC8">
        <w:rPr>
          <w:b/>
          <w:bCs/>
        </w:rPr>
        <w:t>7</w:t>
      </w:r>
      <w:r>
        <w:rPr>
          <w:b/>
          <w:bCs/>
        </w:rPr>
        <w:t>: The definition of ‘genetic test’ should be included in the main legislative instrument (</w:t>
      </w:r>
      <w:r>
        <w:rPr>
          <w:b/>
          <w:bCs/>
          <w:i/>
          <w:iCs/>
        </w:rPr>
        <w:t>Insurance Contracts Act 1984 (</w:t>
      </w:r>
      <w:r>
        <w:rPr>
          <w:b/>
          <w:bCs/>
        </w:rPr>
        <w:t>Cth)) with a clause allowing for regulations to be made that prescribe tests to be included in the definition. (Question</w:t>
      </w:r>
      <w:r w:rsidR="0082408B">
        <w:rPr>
          <w:b/>
          <w:bCs/>
        </w:rPr>
        <w:t xml:space="preserve"> 4 and 5</w:t>
      </w:r>
      <w:r>
        <w:rPr>
          <w:b/>
          <w:bCs/>
        </w:rPr>
        <w:t>)</w:t>
      </w:r>
    </w:p>
    <w:p w14:paraId="7711F1D2" w14:textId="56E05F3E" w:rsidR="00F9686C" w:rsidRPr="006711EE" w:rsidRDefault="00F9686C" w:rsidP="00F9686C">
      <w:pPr>
        <w:rPr>
          <w:b/>
          <w:bCs/>
        </w:rPr>
      </w:pPr>
      <w:r>
        <w:rPr>
          <w:b/>
          <w:bCs/>
        </w:rPr>
        <w:lastRenderedPageBreak/>
        <w:t xml:space="preserve">Recommendation </w:t>
      </w:r>
      <w:r w:rsidR="00F13CC8">
        <w:rPr>
          <w:b/>
          <w:bCs/>
        </w:rPr>
        <w:t>8</w:t>
      </w:r>
      <w:r>
        <w:rPr>
          <w:b/>
          <w:bCs/>
        </w:rPr>
        <w:t>: Any changes should be subject to consultation and agreement with the Health Minister due to the cross-portfolio nature of the issue. (Question</w:t>
      </w:r>
      <w:r w:rsidR="0082408B">
        <w:rPr>
          <w:b/>
          <w:bCs/>
        </w:rPr>
        <w:t xml:space="preserve"> 4 and 5)</w:t>
      </w:r>
    </w:p>
    <w:p w14:paraId="61EF176D" w14:textId="77777777" w:rsidR="00DF2A23" w:rsidRDefault="00DF2A23" w:rsidP="00DF2A23">
      <w:pPr>
        <w:pStyle w:val="Heading2"/>
      </w:pPr>
      <w:bookmarkStart w:id="66" w:name="_Toc193872662"/>
      <w:r>
        <w:t>Consent to use genetic testing results</w:t>
      </w:r>
      <w:bookmarkEnd w:id="66"/>
    </w:p>
    <w:p w14:paraId="5768CC21" w14:textId="7AAAF073" w:rsidR="00814C18" w:rsidRDefault="00814C18" w:rsidP="00DD60FF">
      <w:r>
        <w:t xml:space="preserve">Section </w:t>
      </w:r>
      <w:r w:rsidR="00716F8A">
        <w:t>3</w:t>
      </w:r>
      <w:r w:rsidR="00145234">
        <w:t>.1</w:t>
      </w:r>
      <w:r w:rsidR="00E26AB0">
        <w:t xml:space="preserve"> </w:t>
      </w:r>
      <w:r>
        <w:t xml:space="preserve">of this submission </w:t>
      </w:r>
      <w:r w:rsidR="00872532">
        <w:t xml:space="preserve">made </w:t>
      </w:r>
      <w:r w:rsidR="00EA5880">
        <w:t>several recommendations in relation to the provision of consent and personal privacy</w:t>
      </w:r>
      <w:r w:rsidR="00E26AB0">
        <w:t xml:space="preserve"> </w:t>
      </w:r>
      <w:r w:rsidR="00EA5880">
        <w:t xml:space="preserve">that </w:t>
      </w:r>
      <w:r w:rsidR="00161BD5">
        <w:t>inter</w:t>
      </w:r>
      <w:r w:rsidR="00EA5880">
        <w:t xml:space="preserve">relate </w:t>
      </w:r>
      <w:r w:rsidR="00161BD5">
        <w:t>with</w:t>
      </w:r>
      <w:r w:rsidR="00D92051">
        <w:t xml:space="preserve"> the</w:t>
      </w:r>
      <w:r w:rsidR="00161BD5">
        <w:t xml:space="preserve"> </w:t>
      </w:r>
      <w:r w:rsidR="00E26AB0">
        <w:t>issues and recommendations raised in this section (</w:t>
      </w:r>
      <w:r w:rsidR="00E26AB0" w:rsidRPr="009A3572">
        <w:t xml:space="preserve">see recommendations </w:t>
      </w:r>
      <w:r w:rsidR="00CD56AB" w:rsidRPr="009A3572">
        <w:t>1</w:t>
      </w:r>
      <w:r w:rsidR="00D07A53" w:rsidRPr="009A3572">
        <w:t xml:space="preserve"> and 3)</w:t>
      </w:r>
      <w:r w:rsidR="00E26AB0" w:rsidRPr="009A3572">
        <w:t>.</w:t>
      </w:r>
      <w:r w:rsidR="00E26AB0">
        <w:t xml:space="preserve"> </w:t>
      </w:r>
    </w:p>
    <w:p w14:paraId="10DCFB3F" w14:textId="4B051335" w:rsidR="00DD60FF" w:rsidRDefault="007318EA" w:rsidP="00DD60FF">
      <w:r>
        <w:t>The</w:t>
      </w:r>
      <w:r w:rsidR="002716A2" w:rsidRPr="003F792D">
        <w:t xml:space="preserve"> legislation</w:t>
      </w:r>
      <w:r>
        <w:t xml:space="preserve"> should</w:t>
      </w:r>
      <w:r w:rsidR="00B82D84" w:rsidRPr="003F792D">
        <w:t xml:space="preserve"> uphol</w:t>
      </w:r>
      <w:r w:rsidR="002716A2" w:rsidRPr="003F792D">
        <w:t>d</w:t>
      </w:r>
      <w:r w:rsidR="00B82D84" w:rsidRPr="003F792D">
        <w:t xml:space="preserve"> universal standards </w:t>
      </w:r>
      <w:r w:rsidR="00DB26F6">
        <w:t xml:space="preserve">of </w:t>
      </w:r>
      <w:r w:rsidR="00B82D84" w:rsidRPr="003F792D">
        <w:t>legal capacity</w:t>
      </w:r>
      <w:r w:rsidR="00DB26F6">
        <w:t xml:space="preserve"> in relation to consent</w:t>
      </w:r>
      <w:r w:rsidR="00B82D84" w:rsidRPr="003F792D">
        <w:t>.</w:t>
      </w:r>
      <w:r w:rsidR="001B7D0C">
        <w:rPr>
          <w:rStyle w:val="EndnoteReference"/>
        </w:rPr>
        <w:endnoteReference w:id="27"/>
      </w:r>
      <w:r w:rsidR="00B82D84" w:rsidRPr="002716A2">
        <w:t xml:space="preserve"> </w:t>
      </w:r>
      <w:r w:rsidR="002716A2">
        <w:t>This means</w:t>
      </w:r>
      <w:r w:rsidR="0051697A">
        <w:t xml:space="preserve"> that </w:t>
      </w:r>
      <w:r w:rsidR="00BE1A12">
        <w:t>full, free</w:t>
      </w:r>
      <w:r w:rsidR="00DE0DB3">
        <w:t>,</w:t>
      </w:r>
      <w:r w:rsidR="00BE1A12">
        <w:t xml:space="preserve"> and informed </w:t>
      </w:r>
      <w:r w:rsidR="0051697A">
        <w:t xml:space="preserve">consent must </w:t>
      </w:r>
      <w:r w:rsidR="00553092">
        <w:t xml:space="preserve">only </w:t>
      </w:r>
      <w:r w:rsidR="00E32ECD">
        <w:t xml:space="preserve">be provided by the individual affected, not by a third party or </w:t>
      </w:r>
      <w:r w:rsidR="00D1469C">
        <w:t>‘agent’</w:t>
      </w:r>
      <w:r w:rsidR="00D66B0B">
        <w:t xml:space="preserve"> as is expressed in the </w:t>
      </w:r>
      <w:r w:rsidR="00DE0DB3">
        <w:t>C</w:t>
      </w:r>
      <w:r w:rsidR="00B90418">
        <w:t xml:space="preserve">onsultation </w:t>
      </w:r>
      <w:r w:rsidR="00DE0DB3">
        <w:t>P</w:t>
      </w:r>
      <w:r w:rsidR="00B90418">
        <w:t xml:space="preserve">aper. </w:t>
      </w:r>
    </w:p>
    <w:p w14:paraId="0410004B" w14:textId="408FCC96" w:rsidR="00D40F17" w:rsidRDefault="00CD0702" w:rsidP="00DD60FF">
      <w:r>
        <w:t>Legislation that authorises personal information to be released/consented to by a third-party</w:t>
      </w:r>
      <w:r w:rsidR="7CB4CA2E">
        <w:t>,</w:t>
      </w:r>
      <w:r>
        <w:t xml:space="preserve"> </w:t>
      </w:r>
      <w:r w:rsidR="00B92218">
        <w:t>disregards</w:t>
      </w:r>
      <w:r>
        <w:t xml:space="preserve"> rights to legal capacity and privacy and can create or promote conflicts of interest in insurance practices. </w:t>
      </w:r>
      <w:r w:rsidR="00705650">
        <w:t xml:space="preserve">The universal standard of legal capacity </w:t>
      </w:r>
      <w:r w:rsidR="007A21BE">
        <w:t>recognises that all people</w:t>
      </w:r>
      <w:r w:rsidR="00F0277A">
        <w:t xml:space="preserve"> </w:t>
      </w:r>
      <w:r w:rsidR="00C46101">
        <w:t>inherently possess legal capacity</w:t>
      </w:r>
      <w:r w:rsidR="00596775">
        <w:t xml:space="preserve"> </w:t>
      </w:r>
      <w:r w:rsidR="007625E8">
        <w:t xml:space="preserve">which must </w:t>
      </w:r>
      <w:r w:rsidR="009D326F">
        <w:t>be upheld on an equal basis for all people</w:t>
      </w:r>
      <w:r w:rsidR="00E64BF8">
        <w:t>.</w:t>
      </w:r>
      <w:r w:rsidR="008B46B7">
        <w:rPr>
          <w:rStyle w:val="EndnoteReference"/>
        </w:rPr>
        <w:endnoteReference w:id="28"/>
      </w:r>
      <w:r w:rsidR="00E64BF8">
        <w:t xml:space="preserve"> </w:t>
      </w:r>
      <w:r w:rsidR="00364FBE">
        <w:t xml:space="preserve">This </w:t>
      </w:r>
      <w:r w:rsidR="005666B8">
        <w:t xml:space="preserve">includes the ability </w:t>
      </w:r>
      <w:r w:rsidR="005D231E">
        <w:t xml:space="preserve">for a person </w:t>
      </w:r>
      <w:r w:rsidR="005666B8">
        <w:t>to make</w:t>
      </w:r>
      <w:r w:rsidR="00D61A8F">
        <w:t xml:space="preserve"> decisions</w:t>
      </w:r>
      <w:r w:rsidR="00280D71">
        <w:t xml:space="preserve"> on behalf of </w:t>
      </w:r>
      <w:r w:rsidR="005D231E">
        <w:t>themselves</w:t>
      </w:r>
      <w:r w:rsidR="00D61A8F">
        <w:t xml:space="preserve"> and </w:t>
      </w:r>
      <w:r w:rsidR="00280D71">
        <w:t xml:space="preserve">to </w:t>
      </w:r>
      <w:r w:rsidR="00D61A8F">
        <w:t>have those decision</w:t>
      </w:r>
      <w:r w:rsidR="002035E6">
        <w:t>s</w:t>
      </w:r>
      <w:r w:rsidR="00D61A8F">
        <w:t xml:space="preserve"> legally recognised. </w:t>
      </w:r>
      <w:r w:rsidR="005240FF">
        <w:t>Article</w:t>
      </w:r>
      <w:r w:rsidR="00AD3F3B">
        <w:t xml:space="preserve"> </w:t>
      </w:r>
      <w:r w:rsidR="00280D71">
        <w:t xml:space="preserve">12 of the CRPD </w:t>
      </w:r>
      <w:r w:rsidR="00E026AF">
        <w:t>guarantees</w:t>
      </w:r>
      <w:r w:rsidR="00280D71">
        <w:t xml:space="preserve"> this right for people with disability, including support</w:t>
      </w:r>
      <w:r w:rsidR="00B56479">
        <w:t xml:space="preserve"> for decision-making</w:t>
      </w:r>
      <w:r w:rsidR="00EE7708">
        <w:t xml:space="preserve">, as opposed to </w:t>
      </w:r>
      <w:r w:rsidR="008208CA">
        <w:t>substitute decision-making</w:t>
      </w:r>
      <w:r w:rsidR="004F2D1A">
        <w:t>, and safeguards to prevent abuse</w:t>
      </w:r>
      <w:r w:rsidR="00B56479">
        <w:t>.</w:t>
      </w:r>
      <w:r w:rsidR="001308CB">
        <w:rPr>
          <w:rStyle w:val="EndnoteReference"/>
        </w:rPr>
        <w:endnoteReference w:id="29"/>
      </w:r>
      <w:r w:rsidR="00B56479">
        <w:t xml:space="preserve"> </w:t>
      </w:r>
    </w:p>
    <w:p w14:paraId="19D88289" w14:textId="6A8C849F" w:rsidR="000355FC" w:rsidRPr="00475A46" w:rsidRDefault="00AC4237" w:rsidP="00DD60FF">
      <w:r>
        <w:t xml:space="preserve">In its 2014 </w:t>
      </w:r>
      <w:r w:rsidR="007B6622">
        <w:t xml:space="preserve">report, </w:t>
      </w:r>
      <w:r w:rsidR="007B6622">
        <w:rPr>
          <w:i/>
          <w:iCs/>
        </w:rPr>
        <w:t>Equality, Capacity and Disability in Commonwealth Law</w:t>
      </w:r>
      <w:r w:rsidR="00475A46">
        <w:t xml:space="preserve">, the Australian Law Reform Commission (ALRC) </w:t>
      </w:r>
      <w:r w:rsidR="002B17DD">
        <w:t>developed a</w:t>
      </w:r>
      <w:r w:rsidR="00475A46">
        <w:t xml:space="preserve"> set of National </w:t>
      </w:r>
      <w:r w:rsidR="002B17DD">
        <w:t>Decision-Making Principles</w:t>
      </w:r>
      <w:r w:rsidR="00176DE6">
        <w:t>,</w:t>
      </w:r>
      <w:r w:rsidR="00722E8A">
        <w:rPr>
          <w:rStyle w:val="EndnoteReference"/>
        </w:rPr>
        <w:endnoteReference w:id="30"/>
      </w:r>
      <w:r w:rsidR="00176DE6">
        <w:t xml:space="preserve"> </w:t>
      </w:r>
      <w:r w:rsidR="00DE1FAE">
        <w:t xml:space="preserve">to guide </w:t>
      </w:r>
      <w:r w:rsidR="00CD3B98">
        <w:t xml:space="preserve">reform of Commonwealth laws and legal frameworks, </w:t>
      </w:r>
      <w:r w:rsidR="00DA25F7">
        <w:t>and</w:t>
      </w:r>
      <w:r w:rsidR="00CD3B98">
        <w:t xml:space="preserve"> the review of state and territory laws.</w:t>
      </w:r>
      <w:r w:rsidR="00DA25F7">
        <w:rPr>
          <w:rStyle w:val="EndnoteReference"/>
        </w:rPr>
        <w:endnoteReference w:id="31"/>
      </w:r>
      <w:r w:rsidR="00A00D08">
        <w:t xml:space="preserve"> The </w:t>
      </w:r>
      <w:r w:rsidR="000000B0">
        <w:t xml:space="preserve">National </w:t>
      </w:r>
      <w:r w:rsidR="00A00D08">
        <w:t xml:space="preserve">Principles reflect the ALRC’s approach in relation to </w:t>
      </w:r>
      <w:r w:rsidR="00D06E6F">
        <w:t>ensuring</w:t>
      </w:r>
      <w:r w:rsidR="00176DE6">
        <w:t xml:space="preserve"> equal exercise of</w:t>
      </w:r>
      <w:r w:rsidR="00D06E6F">
        <w:t xml:space="preserve"> legal capacity</w:t>
      </w:r>
      <w:r w:rsidR="00336E43">
        <w:t xml:space="preserve"> </w:t>
      </w:r>
      <w:r w:rsidR="00176DE6">
        <w:t xml:space="preserve">and recognition before the law </w:t>
      </w:r>
      <w:r w:rsidR="00336E43">
        <w:t>across Australian laws,</w:t>
      </w:r>
      <w:r w:rsidR="005A468C">
        <w:t xml:space="preserve"> including via the provision of support for decision-making</w:t>
      </w:r>
      <w:r w:rsidR="00336E43">
        <w:t xml:space="preserve">. </w:t>
      </w:r>
      <w:r w:rsidR="00336E43" w:rsidRPr="00685AC3">
        <w:t xml:space="preserve">The Commission </w:t>
      </w:r>
      <w:r w:rsidR="00E14918" w:rsidRPr="00685AC3">
        <w:t xml:space="preserve">recommends the Australian Government gives regard to </w:t>
      </w:r>
      <w:r w:rsidR="000000B0" w:rsidRPr="00685AC3">
        <w:t>the ALRC’s National P</w:t>
      </w:r>
      <w:r w:rsidR="00E14918" w:rsidRPr="00685AC3">
        <w:t xml:space="preserve">rinciples, and the ALRC’s report more broadly, in relation to matters of consent and decision-making in Commonwealth laws, including </w:t>
      </w:r>
      <w:r w:rsidR="00EC131C" w:rsidRPr="00685AC3">
        <w:t xml:space="preserve">in the context of this consultation. </w:t>
      </w:r>
    </w:p>
    <w:p w14:paraId="2CCC521D" w14:textId="245D8E27" w:rsidR="00477E4A" w:rsidRDefault="00477E4A" w:rsidP="00DD60FF">
      <w:pPr>
        <w:rPr>
          <w:b/>
          <w:bCs/>
        </w:rPr>
      </w:pPr>
      <w:r>
        <w:rPr>
          <w:b/>
          <w:bCs/>
        </w:rPr>
        <w:t xml:space="preserve">Recommendation </w:t>
      </w:r>
      <w:r w:rsidR="00503B50">
        <w:rPr>
          <w:b/>
          <w:bCs/>
        </w:rPr>
        <w:t>9</w:t>
      </w:r>
      <w:r>
        <w:rPr>
          <w:b/>
          <w:bCs/>
        </w:rPr>
        <w:t xml:space="preserve">: </w:t>
      </w:r>
      <w:r w:rsidR="002C1F0F">
        <w:rPr>
          <w:b/>
          <w:bCs/>
        </w:rPr>
        <w:t xml:space="preserve">The legislation should </w:t>
      </w:r>
      <w:r w:rsidR="0002291A">
        <w:rPr>
          <w:b/>
          <w:bCs/>
        </w:rPr>
        <w:t>require</w:t>
      </w:r>
      <w:r w:rsidR="00D62087">
        <w:rPr>
          <w:b/>
          <w:bCs/>
        </w:rPr>
        <w:t xml:space="preserve"> that </w:t>
      </w:r>
      <w:r w:rsidR="008907C7">
        <w:rPr>
          <w:b/>
          <w:bCs/>
        </w:rPr>
        <w:t xml:space="preserve">consent </w:t>
      </w:r>
      <w:r w:rsidR="00811C97">
        <w:rPr>
          <w:b/>
          <w:bCs/>
        </w:rPr>
        <w:t>must be provided explicitly from the individual affected, not a third party or ‘agent’</w:t>
      </w:r>
      <w:r w:rsidR="001C757C">
        <w:rPr>
          <w:b/>
          <w:bCs/>
        </w:rPr>
        <w:t xml:space="preserve">, and must be </w:t>
      </w:r>
      <w:r w:rsidR="00BA34CB">
        <w:rPr>
          <w:b/>
          <w:bCs/>
        </w:rPr>
        <w:t xml:space="preserve">full, free and </w:t>
      </w:r>
      <w:r w:rsidR="001C757C">
        <w:rPr>
          <w:b/>
          <w:bCs/>
        </w:rPr>
        <w:t>informed consent</w:t>
      </w:r>
      <w:r w:rsidR="00811C97">
        <w:rPr>
          <w:b/>
          <w:bCs/>
        </w:rPr>
        <w:t xml:space="preserve">. </w:t>
      </w:r>
      <w:r w:rsidR="008907C7">
        <w:rPr>
          <w:b/>
          <w:bCs/>
        </w:rPr>
        <w:t xml:space="preserve"> </w:t>
      </w:r>
      <w:r w:rsidR="004F170C">
        <w:rPr>
          <w:b/>
          <w:bCs/>
        </w:rPr>
        <w:t xml:space="preserve">(Question 6) </w:t>
      </w:r>
    </w:p>
    <w:p w14:paraId="6F0C0EE8" w14:textId="085BC86E" w:rsidR="006D6F28" w:rsidRDefault="006D6F28" w:rsidP="00DD60FF">
      <w:pPr>
        <w:rPr>
          <w:b/>
          <w:bCs/>
        </w:rPr>
      </w:pPr>
      <w:r>
        <w:rPr>
          <w:b/>
          <w:bCs/>
        </w:rPr>
        <w:t xml:space="preserve">Recommendation </w:t>
      </w:r>
      <w:r w:rsidR="00503B50">
        <w:rPr>
          <w:b/>
          <w:bCs/>
        </w:rPr>
        <w:t>10</w:t>
      </w:r>
      <w:r>
        <w:rPr>
          <w:b/>
          <w:bCs/>
        </w:rPr>
        <w:t xml:space="preserve">: </w:t>
      </w:r>
      <w:r w:rsidR="009B21FE">
        <w:rPr>
          <w:b/>
          <w:bCs/>
        </w:rPr>
        <w:t xml:space="preserve">The Australian Government should give regard to the ALRC’s National Principles and Guidelines </w:t>
      </w:r>
      <w:r w:rsidR="002D5EFF">
        <w:rPr>
          <w:b/>
          <w:bCs/>
        </w:rPr>
        <w:t>for decision-making</w:t>
      </w:r>
      <w:r w:rsidR="009B21FE">
        <w:rPr>
          <w:b/>
          <w:bCs/>
        </w:rPr>
        <w:t xml:space="preserve">, </w:t>
      </w:r>
      <w:r w:rsidR="0042484F">
        <w:rPr>
          <w:b/>
          <w:bCs/>
        </w:rPr>
        <w:t>in the d</w:t>
      </w:r>
      <w:r w:rsidR="00685AC3">
        <w:rPr>
          <w:b/>
          <w:bCs/>
        </w:rPr>
        <w:t>evelopment</w:t>
      </w:r>
      <w:r w:rsidR="0042484F">
        <w:rPr>
          <w:b/>
          <w:bCs/>
        </w:rPr>
        <w:t xml:space="preserve"> of the legislation with regards</w:t>
      </w:r>
      <w:r w:rsidR="00337C76">
        <w:rPr>
          <w:b/>
          <w:bCs/>
        </w:rPr>
        <w:t xml:space="preserve"> to consent</w:t>
      </w:r>
      <w:r w:rsidR="00406EF9">
        <w:rPr>
          <w:b/>
          <w:bCs/>
        </w:rPr>
        <w:t xml:space="preserve">. </w:t>
      </w:r>
      <w:r w:rsidR="000C612D">
        <w:rPr>
          <w:b/>
          <w:bCs/>
        </w:rPr>
        <w:t>(Question 7)</w:t>
      </w:r>
    </w:p>
    <w:p w14:paraId="732C5D9D" w14:textId="1AD8BD0B" w:rsidR="00D7588A" w:rsidRDefault="005202E7" w:rsidP="00DD60FF">
      <w:r>
        <w:lastRenderedPageBreak/>
        <w:t xml:space="preserve">Consent must be </w:t>
      </w:r>
      <w:r w:rsidR="00EF67E3">
        <w:t xml:space="preserve">informed </w:t>
      </w:r>
      <w:r w:rsidR="00EA5880">
        <w:t>and</w:t>
      </w:r>
      <w:r w:rsidR="00EF67E3">
        <w:t xml:space="preserve"> </w:t>
      </w:r>
      <w:r>
        <w:t xml:space="preserve">explicitly </w:t>
      </w:r>
      <w:r w:rsidR="00F2492C">
        <w:t>provided</w:t>
      </w:r>
      <w:r>
        <w:t xml:space="preserve"> with full awareness </w:t>
      </w:r>
      <w:r w:rsidR="008E17B0">
        <w:t xml:space="preserve">from the individual as to what they are consenting to. It must not be obtained inadvertently or </w:t>
      </w:r>
      <w:r w:rsidR="00445DE1">
        <w:t>through coercive practices such as general terms and conditions</w:t>
      </w:r>
      <w:r w:rsidR="00456A0D">
        <w:t xml:space="preserve">, </w:t>
      </w:r>
      <w:r w:rsidR="00626786">
        <w:t xml:space="preserve">as part of </w:t>
      </w:r>
      <w:r w:rsidR="00456A0D">
        <w:t>broad consent to access medical records,</w:t>
      </w:r>
      <w:r w:rsidR="00445DE1">
        <w:t xml:space="preserve"> or </w:t>
      </w:r>
      <w:r w:rsidR="0044018D">
        <w:t xml:space="preserve">as a necessary part of applications to receive cover. </w:t>
      </w:r>
      <w:r w:rsidR="007C3E90">
        <w:t xml:space="preserve">It should be clear to individuals that </w:t>
      </w:r>
      <w:r w:rsidR="00D7588A">
        <w:t xml:space="preserve">they are entitled to withhold genetic test results and are not required to disclose either the existence of test results or the results themselves. </w:t>
      </w:r>
    </w:p>
    <w:p w14:paraId="771E5080" w14:textId="0657D8FF" w:rsidR="00CB3E98" w:rsidRDefault="00240411" w:rsidP="00DD60FF">
      <w:r>
        <w:t>This issue would largely be addressed by ensuring that no test, no matter how it is obtained, can be used to produce an unfavourable result in underwriting</w:t>
      </w:r>
      <w:r w:rsidR="003858D2">
        <w:t xml:space="preserve">, however it is necessary that there are explicit requirements on insurers to </w:t>
      </w:r>
      <w:r w:rsidR="00590F69">
        <w:t xml:space="preserve">take care not to </w:t>
      </w:r>
      <w:r w:rsidR="008F273C">
        <w:t xml:space="preserve">use these practices to gain consent. </w:t>
      </w:r>
    </w:p>
    <w:p w14:paraId="18C149A4" w14:textId="256D794B" w:rsidR="00160EAD" w:rsidRDefault="00160EAD" w:rsidP="00DD60FF">
      <w:pPr>
        <w:rPr>
          <w:b/>
          <w:bCs/>
        </w:rPr>
      </w:pPr>
      <w:r w:rsidRPr="086E053B">
        <w:rPr>
          <w:b/>
          <w:bCs/>
        </w:rPr>
        <w:t xml:space="preserve">Recommendation </w:t>
      </w:r>
      <w:r w:rsidR="00BD2B5F">
        <w:rPr>
          <w:b/>
          <w:bCs/>
        </w:rPr>
        <w:t>11</w:t>
      </w:r>
      <w:r w:rsidRPr="086E053B">
        <w:rPr>
          <w:b/>
          <w:bCs/>
        </w:rPr>
        <w:t xml:space="preserve">: </w:t>
      </w:r>
      <w:r w:rsidR="00810058" w:rsidRPr="086E053B">
        <w:rPr>
          <w:b/>
          <w:bCs/>
        </w:rPr>
        <w:t>T</w:t>
      </w:r>
      <w:r w:rsidRPr="086E053B">
        <w:rPr>
          <w:b/>
          <w:bCs/>
        </w:rPr>
        <w:t xml:space="preserve">he legislation should require </w:t>
      </w:r>
      <w:r w:rsidR="00D352AA" w:rsidRPr="086E053B">
        <w:rPr>
          <w:b/>
          <w:bCs/>
        </w:rPr>
        <w:t xml:space="preserve">insurers to not </w:t>
      </w:r>
      <w:r w:rsidR="00132C96" w:rsidRPr="086E053B">
        <w:rPr>
          <w:b/>
          <w:bCs/>
        </w:rPr>
        <w:t>collect genetic test results</w:t>
      </w:r>
      <w:r w:rsidR="001A4767" w:rsidRPr="086E053B">
        <w:rPr>
          <w:b/>
          <w:bCs/>
        </w:rPr>
        <w:t xml:space="preserve">, including </w:t>
      </w:r>
      <w:r w:rsidR="005D76FD" w:rsidRPr="086E053B">
        <w:rPr>
          <w:b/>
          <w:bCs/>
        </w:rPr>
        <w:t xml:space="preserve">by using </w:t>
      </w:r>
      <w:r w:rsidR="00EA5979" w:rsidRPr="086E053B">
        <w:rPr>
          <w:b/>
          <w:bCs/>
        </w:rPr>
        <w:t>terms and conditions</w:t>
      </w:r>
      <w:r w:rsidR="005D76FD" w:rsidRPr="086E053B">
        <w:rPr>
          <w:b/>
          <w:bCs/>
        </w:rPr>
        <w:t xml:space="preserve"> as part of </w:t>
      </w:r>
      <w:r w:rsidR="001A4767" w:rsidRPr="086E053B">
        <w:rPr>
          <w:b/>
          <w:bCs/>
        </w:rPr>
        <w:t>broad consent</w:t>
      </w:r>
      <w:r w:rsidR="005D76FD" w:rsidRPr="086E053B">
        <w:rPr>
          <w:b/>
          <w:bCs/>
        </w:rPr>
        <w:t xml:space="preserve"> to access medical records, or as a requirement </w:t>
      </w:r>
      <w:r w:rsidR="003F792D" w:rsidRPr="086E053B">
        <w:rPr>
          <w:b/>
          <w:bCs/>
        </w:rPr>
        <w:t xml:space="preserve">in </w:t>
      </w:r>
      <w:r w:rsidR="000537D1" w:rsidRPr="086E053B">
        <w:rPr>
          <w:b/>
          <w:bCs/>
        </w:rPr>
        <w:t xml:space="preserve">the application process. </w:t>
      </w:r>
      <w:r w:rsidR="000B2D64" w:rsidRPr="086E053B">
        <w:rPr>
          <w:b/>
          <w:bCs/>
        </w:rPr>
        <w:t>(Question 7)</w:t>
      </w:r>
    </w:p>
    <w:p w14:paraId="7077376D" w14:textId="7CA71BF1" w:rsidR="001F56BE" w:rsidRPr="0012364D" w:rsidRDefault="005E76B9" w:rsidP="0012364D">
      <w:pPr>
        <w:rPr>
          <w:b/>
          <w:bCs/>
        </w:rPr>
      </w:pPr>
      <w:r w:rsidRPr="086E053B">
        <w:rPr>
          <w:b/>
          <w:bCs/>
        </w:rPr>
        <w:t xml:space="preserve">Recommendation </w:t>
      </w:r>
      <w:r w:rsidR="00BD2B5F">
        <w:rPr>
          <w:b/>
          <w:bCs/>
        </w:rPr>
        <w:t>12</w:t>
      </w:r>
      <w:r w:rsidRPr="086E053B">
        <w:rPr>
          <w:b/>
          <w:bCs/>
        </w:rPr>
        <w:t xml:space="preserve">: </w:t>
      </w:r>
      <w:r w:rsidR="00810058" w:rsidRPr="086E053B">
        <w:rPr>
          <w:b/>
          <w:bCs/>
        </w:rPr>
        <w:t>T</w:t>
      </w:r>
      <w:r w:rsidRPr="086E053B">
        <w:rPr>
          <w:b/>
          <w:bCs/>
        </w:rPr>
        <w:t xml:space="preserve">he legislation should </w:t>
      </w:r>
      <w:r w:rsidR="00FC5C1A" w:rsidRPr="086E053B">
        <w:rPr>
          <w:b/>
          <w:bCs/>
        </w:rPr>
        <w:t>require that insurers</w:t>
      </w:r>
      <w:r w:rsidR="0012364D" w:rsidRPr="086E053B">
        <w:rPr>
          <w:b/>
          <w:bCs/>
        </w:rPr>
        <w:t xml:space="preserve"> </w:t>
      </w:r>
      <w:r w:rsidR="00FC5C1A" w:rsidRPr="086E053B">
        <w:rPr>
          <w:b/>
          <w:bCs/>
        </w:rPr>
        <w:t xml:space="preserve">notify </w:t>
      </w:r>
      <w:r w:rsidR="00553092" w:rsidRPr="086E053B">
        <w:rPr>
          <w:b/>
          <w:bCs/>
        </w:rPr>
        <w:t xml:space="preserve">all </w:t>
      </w:r>
      <w:r w:rsidR="00711E3D" w:rsidRPr="086E053B">
        <w:rPr>
          <w:b/>
          <w:bCs/>
        </w:rPr>
        <w:t xml:space="preserve">applicants, and existing customers, about the prohibition on the use of genetic test results </w:t>
      </w:r>
      <w:r w:rsidR="00BA1E94" w:rsidRPr="086E053B">
        <w:rPr>
          <w:b/>
          <w:bCs/>
        </w:rPr>
        <w:t xml:space="preserve">to ensure that </w:t>
      </w:r>
      <w:r w:rsidR="00DF439A" w:rsidRPr="086E053B">
        <w:rPr>
          <w:b/>
          <w:bCs/>
        </w:rPr>
        <w:t xml:space="preserve">individuals are aware that </w:t>
      </w:r>
      <w:r w:rsidR="00195668">
        <w:rPr>
          <w:b/>
          <w:bCs/>
        </w:rPr>
        <w:t xml:space="preserve">they are not required </w:t>
      </w:r>
      <w:r w:rsidR="00DF439A" w:rsidRPr="086E053B">
        <w:rPr>
          <w:b/>
          <w:bCs/>
        </w:rPr>
        <w:t>to disclose the existence of genetic testing results or the results themselves</w:t>
      </w:r>
      <w:r w:rsidR="00711E3D" w:rsidRPr="086E053B">
        <w:rPr>
          <w:b/>
          <w:bCs/>
        </w:rPr>
        <w:t>.</w:t>
      </w:r>
      <w:r w:rsidR="0012364D" w:rsidRPr="086E053B">
        <w:rPr>
          <w:b/>
          <w:bCs/>
        </w:rPr>
        <w:t xml:space="preserve"> This includes information pertaining to insurers obligations and consumer rights. </w:t>
      </w:r>
      <w:r w:rsidR="000B2D64" w:rsidRPr="086E053B">
        <w:rPr>
          <w:b/>
          <w:bCs/>
        </w:rPr>
        <w:t>(Question 6 and 7)</w:t>
      </w:r>
    </w:p>
    <w:p w14:paraId="1AD6152B" w14:textId="121174C5" w:rsidR="004D4807" w:rsidRDefault="002450A5" w:rsidP="004D4807">
      <w:pPr>
        <w:pStyle w:val="Heading2"/>
      </w:pPr>
      <w:bookmarkStart w:id="67" w:name="_Toc193872663"/>
      <w:r>
        <w:t xml:space="preserve">Regulation and </w:t>
      </w:r>
      <w:r w:rsidR="00F06FBB">
        <w:t>e</w:t>
      </w:r>
      <w:r w:rsidR="00DA2D85">
        <w:t>nforcement</w:t>
      </w:r>
      <w:bookmarkEnd w:id="67"/>
    </w:p>
    <w:p w14:paraId="03FD1DFD" w14:textId="091CC8BD" w:rsidR="00664FED" w:rsidRDefault="00F118C2" w:rsidP="000F2762">
      <w:r>
        <w:t xml:space="preserve">The Commission </w:t>
      </w:r>
      <w:r w:rsidR="008D006B">
        <w:t xml:space="preserve">considers that it </w:t>
      </w:r>
      <w:r w:rsidR="5A50D1C4">
        <w:t>would be</w:t>
      </w:r>
      <w:r w:rsidR="00000DBF">
        <w:t xml:space="preserve"> </w:t>
      </w:r>
      <w:r w:rsidR="008D006B">
        <w:t>appropriate for the financial services sector to regulate and enforce the proposed ban, given their technical expertise</w:t>
      </w:r>
      <w:r w:rsidR="1352881E">
        <w:t>, alongside the Commission exercis</w:t>
      </w:r>
      <w:r w:rsidR="3894DCA2">
        <w:t>ing its</w:t>
      </w:r>
      <w:r w:rsidR="1352881E">
        <w:t xml:space="preserve"> functions under the D</w:t>
      </w:r>
      <w:r w:rsidR="00000DBF">
        <w:t>isability Discrimination Act</w:t>
      </w:r>
      <w:r w:rsidR="008D006B">
        <w:t xml:space="preserve">. </w:t>
      </w:r>
    </w:p>
    <w:p w14:paraId="2EFB3D74" w14:textId="7F1923FB" w:rsidR="00983345" w:rsidRDefault="00983345" w:rsidP="000F2762">
      <w:r w:rsidRPr="00983345">
        <w:t>Amendment to the Disability Discrimination Act would ensure that individuals can bring complaints to the Commission alleging discrimination if an insurer uses genetic test results to decide whether, and on what terms, to offer a life insurance policy. This would be one pathway under the proposed framework for individuals to access justice and seek remedy.</w:t>
      </w:r>
    </w:p>
    <w:p w14:paraId="1365F01E" w14:textId="42CD62B5" w:rsidR="00E67D84" w:rsidRDefault="002F77FE" w:rsidP="000F2762">
      <w:r>
        <w:t xml:space="preserve">The Commission </w:t>
      </w:r>
      <w:r w:rsidR="00684CBA">
        <w:t xml:space="preserve">also </w:t>
      </w:r>
      <w:r>
        <w:t xml:space="preserve">has </w:t>
      </w:r>
      <w:r w:rsidR="00022565">
        <w:t>a</w:t>
      </w:r>
      <w:r>
        <w:t xml:space="preserve"> function to undertake </w:t>
      </w:r>
      <w:r w:rsidR="00D55F35">
        <w:t>inquiries into any matter that may relate to systemic unlawful discrimination or suspected systemic unlawful discrimination. This</w:t>
      </w:r>
      <w:r w:rsidR="0046420C">
        <w:t xml:space="preserve"> </w:t>
      </w:r>
      <w:r w:rsidR="00D62443">
        <w:t>could include</w:t>
      </w:r>
      <w:r w:rsidR="00DD70AE">
        <w:t xml:space="preserve"> </w:t>
      </w:r>
      <w:r w:rsidR="00D62443">
        <w:t>inquir</w:t>
      </w:r>
      <w:r w:rsidR="00DD70AE">
        <w:t>ing</w:t>
      </w:r>
      <w:r w:rsidR="00D62443">
        <w:t xml:space="preserve"> into insurance practices, if the</w:t>
      </w:r>
      <w:r w:rsidR="00CB7828">
        <w:t xml:space="preserve"> Commission </w:t>
      </w:r>
      <w:r w:rsidR="00DD70AE">
        <w:t>is made aware of persistent discrimination</w:t>
      </w:r>
      <w:r w:rsidR="008C3C7C">
        <w:t>, and</w:t>
      </w:r>
      <w:r w:rsidR="00D206BF">
        <w:t xml:space="preserve"> considers it appropriate</w:t>
      </w:r>
      <w:r w:rsidR="008C3C7C">
        <w:t xml:space="preserve">. </w:t>
      </w:r>
    </w:p>
    <w:p w14:paraId="305F51D5" w14:textId="282901BF" w:rsidR="001978F1" w:rsidRDefault="001978F1" w:rsidP="001978F1">
      <w:r>
        <w:lastRenderedPageBreak/>
        <w:t xml:space="preserve">An effective regulatory framework that supports a ‘no wrong door’ consumer pathway, </w:t>
      </w:r>
      <w:r w:rsidR="00753261">
        <w:t>may include</w:t>
      </w:r>
      <w:r>
        <w:t xml:space="preserve"> the following elements: </w:t>
      </w:r>
    </w:p>
    <w:p w14:paraId="53D3294D" w14:textId="47B56138" w:rsidR="001978F1" w:rsidRDefault="00F611E3" w:rsidP="001978F1">
      <w:pPr>
        <w:pStyle w:val="ListParagraph"/>
        <w:numPr>
          <w:ilvl w:val="0"/>
          <w:numId w:val="31"/>
        </w:numPr>
        <w:spacing w:before="0" w:after="160" w:line="278" w:lineRule="auto"/>
        <w:contextualSpacing/>
      </w:pPr>
      <w:r>
        <w:t>C</w:t>
      </w:r>
      <w:r w:rsidR="001978F1">
        <w:t>ommunication</w:t>
      </w:r>
      <w:r w:rsidR="005803ED">
        <w:t xml:space="preserve"> and information sharing</w:t>
      </w:r>
      <w:r w:rsidR="001978F1">
        <w:t xml:space="preserve"> </w:t>
      </w:r>
      <w:r w:rsidR="000E6555">
        <w:t>between agencies</w:t>
      </w:r>
      <w:r w:rsidR="001978F1">
        <w:t xml:space="preserve"> to identify any pervasive or systemic enforcement or compliance issues. This can support the Commission in identifying systemic unlawful discrimination and assist with determining whether it may wish to use its inquiry powers, applying a human rights lens to any issues.  </w:t>
      </w:r>
    </w:p>
    <w:p w14:paraId="66E44F67" w14:textId="61E83E94" w:rsidR="001978F1" w:rsidRDefault="001978F1" w:rsidP="001978F1">
      <w:pPr>
        <w:pStyle w:val="ListParagraph"/>
        <w:numPr>
          <w:ilvl w:val="0"/>
          <w:numId w:val="31"/>
        </w:numPr>
        <w:spacing w:before="0" w:after="160" w:line="278" w:lineRule="auto"/>
        <w:contextualSpacing/>
      </w:pPr>
      <w:r>
        <w:t>Appropriate referral pathways between agencies, taking into consideration legal limitations and consent from complainants</w:t>
      </w:r>
      <w:r w:rsidR="00007891">
        <w:t>.</w:t>
      </w:r>
      <w:r w:rsidR="00867638">
        <w:rPr>
          <w:rStyle w:val="EndnoteReference"/>
        </w:rPr>
        <w:endnoteReference w:id="32"/>
      </w:r>
      <w:r>
        <w:t xml:space="preserve"> </w:t>
      </w:r>
    </w:p>
    <w:p w14:paraId="6C4E1FA8" w14:textId="638755ED" w:rsidR="004D6E32" w:rsidRDefault="001978F1" w:rsidP="000F2762">
      <w:r>
        <w:t xml:space="preserve">The Commission welcomes the opportunity to discuss </w:t>
      </w:r>
      <w:r w:rsidR="00E10E4D">
        <w:t>referral pathways</w:t>
      </w:r>
      <w:r>
        <w:t xml:space="preserve"> further with </w:t>
      </w:r>
      <w:r w:rsidR="00C84CDD">
        <w:t>Treasury</w:t>
      </w:r>
      <w:r>
        <w:t xml:space="preserve">, including how it may wish to implement the recommendations to support effective regulation. </w:t>
      </w:r>
    </w:p>
    <w:p w14:paraId="5A0CFDF5" w14:textId="27D2FA91" w:rsidR="003B4D83" w:rsidRDefault="00050B72" w:rsidP="000F2762">
      <w:r>
        <w:t xml:space="preserve">The Commission notes that any regulatory and enforcement framework must </w:t>
      </w:r>
      <w:r w:rsidR="001978F1">
        <w:t xml:space="preserve">also </w:t>
      </w:r>
      <w:r w:rsidR="00F10ED5">
        <w:t>consider and include the following:</w:t>
      </w:r>
    </w:p>
    <w:p w14:paraId="1AD97C55" w14:textId="23BA675F" w:rsidR="00F10ED5" w:rsidRDefault="00F10ED5" w:rsidP="001E211A">
      <w:pPr>
        <w:pStyle w:val="ListParagraph"/>
        <w:numPr>
          <w:ilvl w:val="0"/>
          <w:numId w:val="24"/>
        </w:numPr>
      </w:pPr>
      <w:r>
        <w:t xml:space="preserve">transparency </w:t>
      </w:r>
      <w:r w:rsidR="00C5045F">
        <w:t>to ensure access to justice</w:t>
      </w:r>
    </w:p>
    <w:p w14:paraId="5A4B9224" w14:textId="2F245C9D" w:rsidR="00C5045F" w:rsidRDefault="00C5045F" w:rsidP="001E211A">
      <w:pPr>
        <w:pStyle w:val="ListParagraph"/>
        <w:numPr>
          <w:ilvl w:val="0"/>
          <w:numId w:val="24"/>
        </w:numPr>
      </w:pPr>
      <w:r>
        <w:t xml:space="preserve">clear </w:t>
      </w:r>
      <w:r w:rsidR="007B3336">
        <w:t xml:space="preserve">and accessible </w:t>
      </w:r>
      <w:r>
        <w:t>pathways for dispute resolution and available remedies</w:t>
      </w:r>
      <w:r w:rsidR="00F62F19">
        <w:t>, including penalties for non-compliance</w:t>
      </w:r>
    </w:p>
    <w:p w14:paraId="1B694B48" w14:textId="20EC8882" w:rsidR="00C5045F" w:rsidRDefault="00917B3B" w:rsidP="001E211A">
      <w:pPr>
        <w:pStyle w:val="ListParagraph"/>
        <w:numPr>
          <w:ilvl w:val="0"/>
          <w:numId w:val="24"/>
        </w:numPr>
      </w:pPr>
      <w:r>
        <w:t>written guidance to life insurers on how to comply with the ban</w:t>
      </w:r>
      <w:r w:rsidR="00D854B1">
        <w:t xml:space="preserve">, </w:t>
      </w:r>
      <w:r w:rsidR="00F62F19">
        <w:t>recommended to be provided by the appropriate financial services regulator</w:t>
      </w:r>
    </w:p>
    <w:p w14:paraId="6A7AF762" w14:textId="0845A612" w:rsidR="006A056D" w:rsidRDefault="00C85DE3" w:rsidP="001E211A">
      <w:pPr>
        <w:pStyle w:val="ListParagraph"/>
        <w:numPr>
          <w:ilvl w:val="0"/>
          <w:numId w:val="24"/>
        </w:numPr>
      </w:pPr>
      <w:r>
        <w:t xml:space="preserve">guidance for all other relevant stakeholders </w:t>
      </w:r>
      <w:r w:rsidR="007B7B53">
        <w:t>(such as medical professionals) to ensure the restrictions</w:t>
      </w:r>
      <w:r w:rsidR="007322C0">
        <w:t>, and their role,</w:t>
      </w:r>
      <w:r w:rsidR="007B7B53">
        <w:t xml:space="preserve"> </w:t>
      </w:r>
      <w:r w:rsidR="007322C0">
        <w:t xml:space="preserve">is </w:t>
      </w:r>
      <w:r w:rsidR="007B7B53">
        <w:t>understood</w:t>
      </w:r>
    </w:p>
    <w:p w14:paraId="2393B47E" w14:textId="24702DE0" w:rsidR="00917B3B" w:rsidRPr="00D06FA6" w:rsidRDefault="003C37E1" w:rsidP="001E211A">
      <w:pPr>
        <w:pStyle w:val="ListParagraph"/>
        <w:numPr>
          <w:ilvl w:val="0"/>
          <w:numId w:val="24"/>
        </w:numPr>
      </w:pPr>
      <w:r>
        <w:t>assurance that a breach of the ban would void any decision made by insurers in reliance on</w:t>
      </w:r>
      <w:r w:rsidR="00962A27">
        <w:t xml:space="preserve"> banned genetic testing results</w:t>
      </w:r>
      <w:r w:rsidR="00D0384D">
        <w:t>.</w:t>
      </w:r>
    </w:p>
    <w:p w14:paraId="4BEA172F" w14:textId="098AF25F" w:rsidR="00054888" w:rsidRPr="00A96C63" w:rsidRDefault="0019565C" w:rsidP="00CC0ED2">
      <w:pPr>
        <w:pStyle w:val="Heading2"/>
        <w:rPr>
          <w:color w:val="FF0000"/>
        </w:rPr>
      </w:pPr>
      <w:bookmarkStart w:id="68" w:name="_Toc193872664"/>
      <w:r>
        <w:t>Existing policies and tests – prospectivity nature and implementation</w:t>
      </w:r>
      <w:bookmarkEnd w:id="68"/>
    </w:p>
    <w:p w14:paraId="7E8B42F1" w14:textId="3F181016" w:rsidR="001459A4" w:rsidRDefault="00A046B2" w:rsidP="007C7B20">
      <w:r>
        <w:t xml:space="preserve">The ban should be implemented in a way that does not unfairly disadvantage people who have </w:t>
      </w:r>
      <w:r w:rsidR="00F30642">
        <w:t xml:space="preserve">previously </w:t>
      </w:r>
      <w:r>
        <w:t xml:space="preserve">received adverse underwriting outcomes based on the results of a genetic test. </w:t>
      </w:r>
      <w:r w:rsidR="009C71C7">
        <w:t>G</w:t>
      </w:r>
      <w:r w:rsidR="00C92B14">
        <w:t xml:space="preserve">enetic discrimination should be prohibited </w:t>
      </w:r>
      <w:r w:rsidR="009C71C7">
        <w:t xml:space="preserve">from the date of commencement of the ban, </w:t>
      </w:r>
      <w:r w:rsidR="00C92B14">
        <w:t>regardless of the date of the</w:t>
      </w:r>
      <w:r w:rsidR="000A3BEC">
        <w:t xml:space="preserve"> genetic</w:t>
      </w:r>
      <w:r w:rsidR="00C92B14">
        <w:t xml:space="preserve"> te</w:t>
      </w:r>
      <w:r w:rsidR="00161A14">
        <w:t xml:space="preserve">st or when </w:t>
      </w:r>
      <w:r w:rsidR="000A3BEC">
        <w:t xml:space="preserve">an individual’s </w:t>
      </w:r>
      <w:r w:rsidR="00161A14">
        <w:t xml:space="preserve">policy commenced. </w:t>
      </w:r>
      <w:r w:rsidR="004271C6">
        <w:t xml:space="preserve">This </w:t>
      </w:r>
      <w:r w:rsidR="009C71C7">
        <w:t xml:space="preserve">would mean </w:t>
      </w:r>
      <w:r w:rsidR="004271C6">
        <w:t>that the ban appl</w:t>
      </w:r>
      <w:r w:rsidR="009C71C7">
        <w:t>ies</w:t>
      </w:r>
      <w:r w:rsidR="004271C6">
        <w:t xml:space="preserve"> to all people irrespective of whether a genetic test was taken</w:t>
      </w:r>
      <w:r w:rsidR="005A694A">
        <w:t xml:space="preserve"> before the ban was implemented. </w:t>
      </w:r>
    </w:p>
    <w:p w14:paraId="375822DC" w14:textId="4C823B6B" w:rsidR="005914AC" w:rsidRDefault="004C7265" w:rsidP="00A62A34">
      <w:r>
        <w:lastRenderedPageBreak/>
        <w:t>To best protect all people from genetic discrimination,</w:t>
      </w:r>
      <w:r w:rsidR="00FC062D">
        <w:t xml:space="preserve"> and in the interest of consistency, clarity and fairness</w:t>
      </w:r>
      <w:r w:rsidR="005914AC">
        <w:t xml:space="preserve">: </w:t>
      </w:r>
    </w:p>
    <w:p w14:paraId="1DFEFA75" w14:textId="77777777" w:rsidR="00FB610A" w:rsidRDefault="00A62A34" w:rsidP="001E211A">
      <w:pPr>
        <w:pStyle w:val="ListParagraph"/>
        <w:numPr>
          <w:ilvl w:val="0"/>
          <w:numId w:val="21"/>
        </w:numPr>
      </w:pPr>
      <w:r>
        <w:t xml:space="preserve">all </w:t>
      </w:r>
      <w:r w:rsidR="00E40A6F">
        <w:t xml:space="preserve">historic (pre-ban) tests should </w:t>
      </w:r>
      <w:r>
        <w:t>be included in the ban</w:t>
      </w:r>
      <w:r w:rsidR="005B27DB">
        <w:t xml:space="preserve">, </w:t>
      </w:r>
    </w:p>
    <w:p w14:paraId="3F297CBD" w14:textId="79336128" w:rsidR="00A62A34" w:rsidRDefault="00680ADB" w:rsidP="001E211A">
      <w:pPr>
        <w:pStyle w:val="ListParagraph"/>
        <w:numPr>
          <w:ilvl w:val="0"/>
          <w:numId w:val="21"/>
        </w:numPr>
      </w:pPr>
      <w:r>
        <w:t>i</w:t>
      </w:r>
      <w:r w:rsidR="00A21F1A">
        <w:t>nsurers should be required to remove a</w:t>
      </w:r>
      <w:r w:rsidR="005B5F84">
        <w:t xml:space="preserve">ll </w:t>
      </w:r>
      <w:r w:rsidR="00356EB3">
        <w:t xml:space="preserve">adverse underwriting outcomes, such as </w:t>
      </w:r>
      <w:r w:rsidR="004122A6">
        <w:t>penalties,</w:t>
      </w:r>
      <w:r w:rsidR="00356EB3">
        <w:t xml:space="preserve"> exclusions</w:t>
      </w:r>
      <w:r w:rsidR="005569C7">
        <w:t xml:space="preserve"> and loadings, </w:t>
      </w:r>
      <w:r w:rsidR="0096745E">
        <w:t>from</w:t>
      </w:r>
      <w:r w:rsidR="005B5F84">
        <w:t xml:space="preserve"> existing policies</w:t>
      </w:r>
      <w:r w:rsidR="0096745E">
        <w:t xml:space="preserve"> </w:t>
      </w:r>
      <w:r w:rsidR="005B5F84">
        <w:t xml:space="preserve">from </w:t>
      </w:r>
      <w:r w:rsidR="0096745E">
        <w:t>th</w:t>
      </w:r>
      <w:r w:rsidR="00577702">
        <w:t>e commencement of the ban</w:t>
      </w:r>
      <w:r w:rsidR="00150E64">
        <w:t xml:space="preserve">, so </w:t>
      </w:r>
      <w:r w:rsidR="005B5F84">
        <w:t>they</w:t>
      </w:r>
      <w:r w:rsidR="007F2FD9">
        <w:t xml:space="preserve"> </w:t>
      </w:r>
      <w:r w:rsidR="005B5F84">
        <w:t xml:space="preserve">no </w:t>
      </w:r>
      <w:r w:rsidR="007F2FD9">
        <w:t>longer take into consideration the result</w:t>
      </w:r>
      <w:r w:rsidR="00263A4B">
        <w:t>s of a genetic test.</w:t>
      </w:r>
      <w:r w:rsidR="006D0FCE">
        <w:t xml:space="preserve"> </w:t>
      </w:r>
    </w:p>
    <w:p w14:paraId="1A2D3055" w14:textId="76E6946A" w:rsidR="003957CC" w:rsidRDefault="003957CC" w:rsidP="003957CC">
      <w:r>
        <w:t xml:space="preserve">This approach would ensure that people </w:t>
      </w:r>
      <w:r w:rsidR="008436B0">
        <w:t xml:space="preserve">with </w:t>
      </w:r>
      <w:r w:rsidR="00FC5C78">
        <w:t>existing</w:t>
      </w:r>
      <w:r w:rsidR="008436B0">
        <w:t xml:space="preserve"> policies do not have to </w:t>
      </w:r>
      <w:r w:rsidR="003B7808">
        <w:t xml:space="preserve">choose between ongoing genetic discrimination </w:t>
      </w:r>
      <w:r w:rsidR="00907A80">
        <w:t xml:space="preserve">or </w:t>
      </w:r>
      <w:r w:rsidR="008436B0">
        <w:t>go</w:t>
      </w:r>
      <w:r w:rsidR="00907A80">
        <w:t>ing</w:t>
      </w:r>
      <w:r w:rsidR="008436B0">
        <w:t xml:space="preserve"> through an unnecessary </w:t>
      </w:r>
      <w:r w:rsidR="00C91BE6">
        <w:t xml:space="preserve">re-application </w:t>
      </w:r>
      <w:r w:rsidR="00907A80">
        <w:t xml:space="preserve">or variation </w:t>
      </w:r>
      <w:r w:rsidR="00C91BE6">
        <w:t>process</w:t>
      </w:r>
      <w:r w:rsidR="00907A80">
        <w:t xml:space="preserve"> which may have unintended consequences for their cover</w:t>
      </w:r>
      <w:r w:rsidR="006207CF">
        <w:t xml:space="preserve">. </w:t>
      </w:r>
      <w:r w:rsidR="000A34AD">
        <w:t xml:space="preserve">This also takes the onus off the consumer to determine whether their </w:t>
      </w:r>
      <w:r w:rsidR="00E762B7">
        <w:t>existing policy breaches the ban or not</w:t>
      </w:r>
      <w:r w:rsidR="00190019">
        <w:t>.</w:t>
      </w:r>
      <w:r w:rsidR="007B0A7C">
        <w:t xml:space="preserve"> </w:t>
      </w:r>
    </w:p>
    <w:p w14:paraId="543C65D8" w14:textId="78B2ABEE" w:rsidR="0073169E" w:rsidRDefault="00E77B08" w:rsidP="0073169E">
      <w:pPr>
        <w:rPr>
          <w:b/>
          <w:bCs/>
        </w:rPr>
      </w:pPr>
      <w:r>
        <w:rPr>
          <w:b/>
          <w:bCs/>
        </w:rPr>
        <w:t xml:space="preserve">Recommendation </w:t>
      </w:r>
      <w:r w:rsidR="00C040CC">
        <w:rPr>
          <w:b/>
          <w:bCs/>
        </w:rPr>
        <w:t>13</w:t>
      </w:r>
      <w:r>
        <w:rPr>
          <w:b/>
          <w:bCs/>
        </w:rPr>
        <w:t xml:space="preserve">: </w:t>
      </w:r>
      <w:r w:rsidR="00A84C30">
        <w:rPr>
          <w:b/>
          <w:bCs/>
        </w:rPr>
        <w:t>T</w:t>
      </w:r>
      <w:r w:rsidR="00504957">
        <w:rPr>
          <w:b/>
          <w:bCs/>
        </w:rPr>
        <w:t xml:space="preserve">he </w:t>
      </w:r>
      <w:r w:rsidR="00331F7C">
        <w:rPr>
          <w:b/>
          <w:bCs/>
        </w:rPr>
        <w:t>ban on the use of adverse</w:t>
      </w:r>
      <w:r w:rsidR="00504957">
        <w:rPr>
          <w:b/>
          <w:bCs/>
        </w:rPr>
        <w:t xml:space="preserve"> genetic test results should apply</w:t>
      </w:r>
      <w:r w:rsidR="00ED4F93">
        <w:rPr>
          <w:b/>
          <w:bCs/>
        </w:rPr>
        <w:t xml:space="preserve"> </w:t>
      </w:r>
      <w:r w:rsidR="003624C7">
        <w:rPr>
          <w:b/>
          <w:bCs/>
        </w:rPr>
        <w:t>to existing</w:t>
      </w:r>
      <w:r w:rsidR="005B3891">
        <w:rPr>
          <w:b/>
          <w:bCs/>
        </w:rPr>
        <w:t xml:space="preserve"> policies</w:t>
      </w:r>
      <w:r w:rsidR="00D15523">
        <w:rPr>
          <w:b/>
          <w:bCs/>
        </w:rPr>
        <w:t>, in-progress applications</w:t>
      </w:r>
      <w:r w:rsidR="00ED4F93">
        <w:rPr>
          <w:b/>
          <w:bCs/>
        </w:rPr>
        <w:t xml:space="preserve"> </w:t>
      </w:r>
      <w:r w:rsidR="00B92A92">
        <w:rPr>
          <w:b/>
          <w:bCs/>
        </w:rPr>
        <w:t>and new policies</w:t>
      </w:r>
      <w:r w:rsidR="00ED4F93">
        <w:rPr>
          <w:b/>
          <w:bCs/>
        </w:rPr>
        <w:t xml:space="preserve"> </w:t>
      </w:r>
      <w:r w:rsidR="007D7BD4">
        <w:rPr>
          <w:b/>
          <w:bCs/>
        </w:rPr>
        <w:t xml:space="preserve">from the commencement of the ban, </w:t>
      </w:r>
      <w:r w:rsidR="007E68E7">
        <w:rPr>
          <w:b/>
          <w:bCs/>
        </w:rPr>
        <w:t xml:space="preserve">so that </w:t>
      </w:r>
      <w:r w:rsidR="00ED0459">
        <w:rPr>
          <w:b/>
          <w:bCs/>
        </w:rPr>
        <w:t xml:space="preserve">no policies (existing or otherwise) </w:t>
      </w:r>
      <w:r w:rsidR="00523DD3">
        <w:rPr>
          <w:b/>
          <w:bCs/>
        </w:rPr>
        <w:t xml:space="preserve">can </w:t>
      </w:r>
      <w:r w:rsidR="0056719D">
        <w:rPr>
          <w:b/>
          <w:bCs/>
        </w:rPr>
        <w:t>use</w:t>
      </w:r>
      <w:r w:rsidR="004162DD">
        <w:rPr>
          <w:b/>
          <w:bCs/>
        </w:rPr>
        <w:t xml:space="preserve"> adverse </w:t>
      </w:r>
      <w:r w:rsidR="007A0792">
        <w:rPr>
          <w:b/>
          <w:bCs/>
        </w:rPr>
        <w:t xml:space="preserve">genetic test results </w:t>
      </w:r>
      <w:r w:rsidR="007D7BD4">
        <w:rPr>
          <w:b/>
          <w:bCs/>
        </w:rPr>
        <w:t xml:space="preserve">including historic tests. </w:t>
      </w:r>
      <w:r w:rsidR="00F66FCE">
        <w:rPr>
          <w:b/>
          <w:bCs/>
        </w:rPr>
        <w:t>(Question 10</w:t>
      </w:r>
      <w:r w:rsidR="00201A5E">
        <w:rPr>
          <w:b/>
          <w:bCs/>
        </w:rPr>
        <w:t xml:space="preserve"> – 13)</w:t>
      </w:r>
    </w:p>
    <w:p w14:paraId="55CC2747" w14:textId="7418E42D" w:rsidR="004D206F" w:rsidRDefault="00AC1EFD" w:rsidP="0073169E">
      <w:r>
        <w:t>Allowing existing polic</w:t>
      </w:r>
      <w:r w:rsidR="00A046B2">
        <w:t>i</w:t>
      </w:r>
      <w:r>
        <w:t xml:space="preserve">es that </w:t>
      </w:r>
      <w:r w:rsidR="008C3488">
        <w:t xml:space="preserve">relied on historic </w:t>
      </w:r>
      <w:r w:rsidR="00923D95">
        <w:t xml:space="preserve">genetic tests </w:t>
      </w:r>
      <w:r w:rsidR="00DD4169">
        <w:t xml:space="preserve">to continue unaffected </w:t>
      </w:r>
      <w:r w:rsidR="007262E6">
        <w:t xml:space="preserve">raises significant concerns around the provision of consent to use and store these test results. </w:t>
      </w:r>
      <w:r w:rsidR="00636DDF">
        <w:t>Prior to the ban</w:t>
      </w:r>
      <w:r w:rsidR="00A863C9">
        <w:t>,</w:t>
      </w:r>
      <w:r w:rsidR="00636DDF">
        <w:t xml:space="preserve"> individuals would have provided genetic tests results </w:t>
      </w:r>
      <w:r w:rsidR="005E1ACB">
        <w:t xml:space="preserve">in accordance with the duties imposed </w:t>
      </w:r>
      <w:r w:rsidR="00267451">
        <w:t>on individuals such as</w:t>
      </w:r>
      <w:r w:rsidR="005E1ACB">
        <w:t xml:space="preserve"> </w:t>
      </w:r>
      <w:r w:rsidR="00636DDF">
        <w:t>the duty to not make a misrepresentation</w:t>
      </w:r>
      <w:r w:rsidR="00A0500A">
        <w:t xml:space="preserve"> and duty </w:t>
      </w:r>
      <w:r w:rsidR="00FA72B0">
        <w:t>to disclose</w:t>
      </w:r>
      <w:r w:rsidR="00271EE0">
        <w:t>.</w:t>
      </w:r>
      <w:r w:rsidR="0034112C">
        <w:rPr>
          <w:rStyle w:val="EndnoteReference"/>
        </w:rPr>
        <w:endnoteReference w:id="33"/>
      </w:r>
      <w:r w:rsidR="00636DDF">
        <w:t xml:space="preserve"> </w:t>
      </w:r>
      <w:r w:rsidR="00041AA5">
        <w:t>Historic test results would not have been provided</w:t>
      </w:r>
      <w:r w:rsidR="00636DDF">
        <w:t xml:space="preserve"> </w:t>
      </w:r>
      <w:r w:rsidR="00EB7483">
        <w:t>with</w:t>
      </w:r>
      <w:r w:rsidR="00233E19">
        <w:t xml:space="preserve"> </w:t>
      </w:r>
      <w:r w:rsidR="00C736A7">
        <w:t>the same</w:t>
      </w:r>
      <w:r w:rsidR="005D4822">
        <w:t xml:space="preserve"> level of</w:t>
      </w:r>
      <w:r w:rsidR="00C736A7">
        <w:t xml:space="preserve"> </w:t>
      </w:r>
      <w:r w:rsidR="00233E19">
        <w:t>consent</w:t>
      </w:r>
      <w:r w:rsidR="00C736A7">
        <w:t xml:space="preserve"> </w:t>
      </w:r>
      <w:r w:rsidR="003462A0">
        <w:t>required under</w:t>
      </w:r>
      <w:r w:rsidR="00636DDF">
        <w:t xml:space="preserve"> the ban.</w:t>
      </w:r>
      <w:r w:rsidR="004D206F">
        <w:t xml:space="preserve"> To better protect </w:t>
      </w:r>
      <w:r w:rsidR="000A6841">
        <w:t>individuals’</w:t>
      </w:r>
      <w:r w:rsidR="004D206F">
        <w:t xml:space="preserve"> personal privacy, insure</w:t>
      </w:r>
      <w:r w:rsidR="0071569E">
        <w:t>r</w:t>
      </w:r>
      <w:r w:rsidR="004D206F">
        <w:t>s should</w:t>
      </w:r>
      <w:r w:rsidR="004F2994">
        <w:t xml:space="preserve"> not only remove any adverse underwriting outcomes but also ensure that</w:t>
      </w:r>
      <w:r w:rsidR="00664147">
        <w:t xml:space="preserve"> records of genetic test results are destroyed, except where there is a legitimate purpose</w:t>
      </w:r>
      <w:r w:rsidR="00FD4F00">
        <w:t xml:space="preserve"> to hold these </w:t>
      </w:r>
      <w:r w:rsidR="00634B3A">
        <w:t>results,</w:t>
      </w:r>
      <w:r w:rsidR="00FD4F00">
        <w:t xml:space="preserve"> or explicit consent has been given. This approach provides a smoother transition for both consumers and insurers</w:t>
      </w:r>
      <w:r w:rsidR="00FB671E">
        <w:t xml:space="preserve">. </w:t>
      </w:r>
    </w:p>
    <w:p w14:paraId="72BFCE4C" w14:textId="2CBDE800" w:rsidR="00A67177" w:rsidRPr="00223519" w:rsidRDefault="00AC1014" w:rsidP="002D6BDE">
      <w:pPr>
        <w:rPr>
          <w:b/>
          <w:bCs/>
        </w:rPr>
      </w:pPr>
      <w:r>
        <w:rPr>
          <w:b/>
          <w:bCs/>
        </w:rPr>
        <w:t xml:space="preserve">Recommendation </w:t>
      </w:r>
      <w:r w:rsidR="00AB06D7">
        <w:rPr>
          <w:b/>
          <w:bCs/>
        </w:rPr>
        <w:t>14</w:t>
      </w:r>
      <w:r>
        <w:rPr>
          <w:b/>
          <w:bCs/>
        </w:rPr>
        <w:t xml:space="preserve">: </w:t>
      </w:r>
      <w:r w:rsidR="00A84C30">
        <w:rPr>
          <w:b/>
          <w:bCs/>
        </w:rPr>
        <w:t>The legislation should require that insure</w:t>
      </w:r>
      <w:r w:rsidR="00F75AA3">
        <w:rPr>
          <w:b/>
          <w:bCs/>
        </w:rPr>
        <w:t>r</w:t>
      </w:r>
      <w:r w:rsidR="00A84C30">
        <w:rPr>
          <w:b/>
          <w:bCs/>
        </w:rPr>
        <w:t>s destroy any records of genetic data that no longer has any purpose for being held</w:t>
      </w:r>
      <w:r w:rsidR="00793F28">
        <w:rPr>
          <w:b/>
          <w:bCs/>
        </w:rPr>
        <w:t>, unless explicit informed consent is obtained</w:t>
      </w:r>
      <w:r w:rsidR="00A84C30">
        <w:rPr>
          <w:b/>
          <w:bCs/>
        </w:rPr>
        <w:t xml:space="preserve">. </w:t>
      </w:r>
      <w:r w:rsidR="00201A5E">
        <w:rPr>
          <w:b/>
          <w:bCs/>
        </w:rPr>
        <w:t xml:space="preserve">(Question 6 and </w:t>
      </w:r>
      <w:r w:rsidR="005D2050">
        <w:rPr>
          <w:b/>
          <w:bCs/>
        </w:rPr>
        <w:t>10)</w:t>
      </w:r>
    </w:p>
    <w:p w14:paraId="7F0B8F87" w14:textId="0D85314C" w:rsidR="00514FEA" w:rsidRDefault="00514FEA" w:rsidP="00514FEA">
      <w:pPr>
        <w:pStyle w:val="Heading1"/>
      </w:pPr>
      <w:bookmarkStart w:id="69" w:name="_Toc193872665"/>
      <w:r>
        <w:lastRenderedPageBreak/>
        <w:t>Other considerations</w:t>
      </w:r>
      <w:bookmarkEnd w:id="69"/>
      <w:r>
        <w:t xml:space="preserve"> </w:t>
      </w:r>
    </w:p>
    <w:p w14:paraId="04BA4A14" w14:textId="53148580" w:rsidR="00746AE8" w:rsidRDefault="002D6BDE" w:rsidP="002D6BDE">
      <w:pPr>
        <w:pStyle w:val="Heading2"/>
      </w:pPr>
      <w:bookmarkStart w:id="70" w:name="_Toc193872666"/>
      <w:r>
        <w:t>Introduction of a positive duty</w:t>
      </w:r>
      <w:bookmarkEnd w:id="70"/>
    </w:p>
    <w:p w14:paraId="4746564A" w14:textId="06707AA0" w:rsidR="00212644" w:rsidRDefault="00EA48DB" w:rsidP="00C129C4">
      <w:r>
        <w:t xml:space="preserve">The </w:t>
      </w:r>
      <w:r w:rsidR="00A11891">
        <w:rPr>
          <w:i/>
          <w:iCs/>
        </w:rPr>
        <w:t xml:space="preserve">Final Stakeholder Report </w:t>
      </w:r>
      <w:r w:rsidR="00A11891">
        <w:t>of the Australian Genetics and Life Insurance Moratorium: Monitoring the Effectiveness and Response (A-GLIMMER</w:t>
      </w:r>
      <w:r w:rsidR="00616731">
        <w:t xml:space="preserve"> report</w:t>
      </w:r>
      <w:r w:rsidR="00A11891">
        <w:t xml:space="preserve">) </w:t>
      </w:r>
      <w:r w:rsidR="002A5408">
        <w:t>recommended that</w:t>
      </w:r>
      <w:r w:rsidR="00FB652D">
        <w:t xml:space="preserve"> </w:t>
      </w:r>
      <w:r w:rsidR="00594EB4">
        <w:t>insurers</w:t>
      </w:r>
      <w:r w:rsidR="003B2120">
        <w:t xml:space="preserve"> be subject </w:t>
      </w:r>
      <w:r w:rsidR="003B2120" w:rsidRPr="00A75C2B">
        <w:t>to a positive duty to not discriminate</w:t>
      </w:r>
      <w:r w:rsidR="00145CEE">
        <w:t xml:space="preserve">, </w:t>
      </w:r>
      <w:r w:rsidR="00B70A7F">
        <w:t>enforc</w:t>
      </w:r>
      <w:r w:rsidR="00145CEE">
        <w:t>eable</w:t>
      </w:r>
      <w:r w:rsidR="00B70A7F">
        <w:t xml:space="preserve"> by the appropriate financial services regulator</w:t>
      </w:r>
      <w:r w:rsidR="00375AA3">
        <w:t>.</w:t>
      </w:r>
      <w:r w:rsidR="009F7EC6">
        <w:rPr>
          <w:rStyle w:val="EndnoteReference"/>
        </w:rPr>
        <w:endnoteReference w:id="34"/>
      </w:r>
      <w:r w:rsidR="007941A7" w:rsidRPr="007941A7">
        <w:t xml:space="preserve"> </w:t>
      </w:r>
      <w:r w:rsidR="007941A7">
        <w:t>The Commission outlined the considerations and merit in this approach in its 2024 Submission to Treasury.</w:t>
      </w:r>
      <w:r w:rsidR="007941A7">
        <w:rPr>
          <w:rStyle w:val="EndnoteReference"/>
        </w:rPr>
        <w:endnoteReference w:id="35"/>
      </w:r>
    </w:p>
    <w:p w14:paraId="277D438C" w14:textId="274C1B69" w:rsidR="00CC583C" w:rsidRDefault="00CC583C" w:rsidP="00C129C4">
      <w:r>
        <w:t>The introduction of a positive duty would:</w:t>
      </w:r>
    </w:p>
    <w:p w14:paraId="64F40493" w14:textId="77777777" w:rsidR="00CC583C" w:rsidRDefault="001D6464" w:rsidP="001E211A">
      <w:pPr>
        <w:pStyle w:val="ListParagraph"/>
        <w:numPr>
          <w:ilvl w:val="0"/>
          <w:numId w:val="22"/>
        </w:numPr>
      </w:pPr>
      <w:r>
        <w:t xml:space="preserve">allow for a process pursuant to which a regulator can bring an action seeking to enforce the prohibition on discrimination (including by way of a financial penalty), regardless of </w:t>
      </w:r>
      <w:proofErr w:type="gramStart"/>
      <w:r>
        <w:t>whether or not</w:t>
      </w:r>
      <w:proofErr w:type="gramEnd"/>
      <w:r>
        <w:t xml:space="preserve"> there has been a complaint by an individua</w:t>
      </w:r>
      <w:r w:rsidR="009376B2">
        <w:t xml:space="preserve">l. </w:t>
      </w:r>
    </w:p>
    <w:p w14:paraId="096C43A5" w14:textId="691BA774" w:rsidR="009506A0" w:rsidRDefault="009506A0" w:rsidP="001E211A">
      <w:pPr>
        <w:pStyle w:val="ListParagraph"/>
        <w:numPr>
          <w:ilvl w:val="0"/>
          <w:numId w:val="22"/>
        </w:numPr>
      </w:pPr>
      <w:r>
        <w:t>introduce additional incentive and cause for the financial services sector to implement practices and policies to prevent life insurers requesting and using genetic information, and for the appropriate regulator to proactively monitor compliance, beyond complaints.</w:t>
      </w:r>
      <w:r>
        <w:rPr>
          <w:rStyle w:val="EndnoteReference"/>
        </w:rPr>
        <w:endnoteReference w:id="36"/>
      </w:r>
      <w:r>
        <w:t xml:space="preserve"> </w:t>
      </w:r>
    </w:p>
    <w:p w14:paraId="59ACB7A0" w14:textId="2D9F02E8" w:rsidR="009136B9" w:rsidRDefault="00CB7D39" w:rsidP="00FE33DA">
      <w:r>
        <w:t>In</w:t>
      </w:r>
      <w:r w:rsidR="006B4979">
        <w:t xml:space="preserve"> addition to a prohibition on genetic discrimination in the Disability Discrimination Act that can be the subject of a complaint by an individual to the Commission, there is </w:t>
      </w:r>
      <w:r w:rsidR="00270DAF">
        <w:t xml:space="preserve">value </w:t>
      </w:r>
      <w:r w:rsidR="006B4979">
        <w:t>in an equivalent prohibition being included in appropriate financial services legislation, which could be subject to enforcement action by an appropriate financial services regulator.</w:t>
      </w:r>
      <w:r w:rsidR="002E44B1">
        <w:rPr>
          <w:rStyle w:val="EndnoteReference"/>
        </w:rPr>
        <w:endnoteReference w:id="37"/>
      </w:r>
    </w:p>
    <w:p w14:paraId="560EC45D" w14:textId="71CA595B" w:rsidR="0004536A" w:rsidRPr="0052431E" w:rsidRDefault="004819E6" w:rsidP="00F05935">
      <w:r>
        <w:rPr>
          <w:b/>
          <w:bCs/>
        </w:rPr>
        <w:t xml:space="preserve">Recommendation </w:t>
      </w:r>
      <w:r w:rsidR="000D37E0">
        <w:rPr>
          <w:b/>
          <w:bCs/>
        </w:rPr>
        <w:t>15</w:t>
      </w:r>
      <w:r>
        <w:rPr>
          <w:b/>
          <w:bCs/>
        </w:rPr>
        <w:t xml:space="preserve">: the Australian Government should introduce a prohibition and/or positive duty in the appropriate financial services legislation, subject to enforcement actions by the relevant financial services regulator. </w:t>
      </w:r>
    </w:p>
    <w:p w14:paraId="1793C68E" w14:textId="3595535D" w:rsidR="00D06D9E" w:rsidRDefault="00D06D9E" w:rsidP="00F05935">
      <w:pPr>
        <w:pStyle w:val="Heading2"/>
      </w:pPr>
      <w:bookmarkStart w:id="71" w:name="_Toc193353239"/>
      <w:bookmarkStart w:id="72" w:name="_Toc193353240"/>
      <w:bookmarkStart w:id="73" w:name="_Toc193353241"/>
      <w:bookmarkStart w:id="74" w:name="_Toc193353242"/>
      <w:bookmarkStart w:id="75" w:name="_Toc193353243"/>
      <w:bookmarkStart w:id="76" w:name="_Toc193353244"/>
      <w:bookmarkStart w:id="77" w:name="_Toc193353245"/>
      <w:bookmarkStart w:id="78" w:name="_Toc193353246"/>
      <w:bookmarkStart w:id="79" w:name="_Toc193353247"/>
      <w:bookmarkStart w:id="80" w:name="_Toc193872667"/>
      <w:bookmarkEnd w:id="71"/>
      <w:bookmarkEnd w:id="72"/>
      <w:bookmarkEnd w:id="73"/>
      <w:bookmarkEnd w:id="74"/>
      <w:bookmarkEnd w:id="75"/>
      <w:bookmarkEnd w:id="76"/>
      <w:bookmarkEnd w:id="77"/>
      <w:bookmarkEnd w:id="78"/>
      <w:bookmarkEnd w:id="79"/>
      <w:r>
        <w:t>Functions to be allocated to the Commission</w:t>
      </w:r>
      <w:bookmarkEnd w:id="80"/>
    </w:p>
    <w:p w14:paraId="7D949E78" w14:textId="6017558E" w:rsidR="00512CCC" w:rsidRDefault="006A544C" w:rsidP="00512CCC">
      <w:r>
        <w:t>As</w:t>
      </w:r>
      <w:r w:rsidR="00C472BB">
        <w:t xml:space="preserve"> recommended in the Commission</w:t>
      </w:r>
      <w:r w:rsidR="00A82E54">
        <w:t>’s</w:t>
      </w:r>
      <w:r w:rsidR="00C472BB">
        <w:t xml:space="preserve"> previous submission, g</w:t>
      </w:r>
      <w:r w:rsidR="00512CCC" w:rsidRPr="009A0D2C">
        <w:t xml:space="preserve">overnment </w:t>
      </w:r>
      <w:r w:rsidR="00512CCC">
        <w:t xml:space="preserve">should </w:t>
      </w:r>
      <w:r w:rsidR="00512CCC" w:rsidRPr="009A0D2C">
        <w:t xml:space="preserve">allocate responsibility and appropriate resources to the Commission to promote, educate and support individuals and all relevant stakeholders to understand and meet </w:t>
      </w:r>
      <w:r>
        <w:t>any</w:t>
      </w:r>
      <w:r w:rsidR="00512CCC" w:rsidRPr="009A0D2C">
        <w:t xml:space="preserve"> new legal obligations under the </w:t>
      </w:r>
      <w:r w:rsidR="00512CCC">
        <w:t xml:space="preserve">Disability Discrimination </w:t>
      </w:r>
      <w:r w:rsidR="00512CCC" w:rsidRPr="009A0D2C">
        <w:t>Act.</w:t>
      </w:r>
    </w:p>
    <w:p w14:paraId="4990568E" w14:textId="7057F9DA" w:rsidR="00512CCC" w:rsidRDefault="006A544C" w:rsidP="00512CCC">
      <w:r>
        <w:lastRenderedPageBreak/>
        <w:t>P</w:t>
      </w:r>
      <w:r w:rsidR="00512CCC">
        <w:t>ublic awareness and education functions sit within the Commission’s existing functions under the Disability Discrimination Act. For example, the Commission currently has functions to:</w:t>
      </w:r>
    </w:p>
    <w:p w14:paraId="41557441" w14:textId="77777777" w:rsidR="00512CCC" w:rsidRDefault="00512CCC" w:rsidP="001E211A">
      <w:pPr>
        <w:pStyle w:val="ListParagraph"/>
        <w:numPr>
          <w:ilvl w:val="0"/>
          <w:numId w:val="17"/>
        </w:numPr>
      </w:pPr>
      <w:r>
        <w:t>promote an understanding and acceptance of, and compliance with, the Disability Discrimination Act</w:t>
      </w:r>
    </w:p>
    <w:p w14:paraId="0659C652" w14:textId="77777777" w:rsidR="00512CCC" w:rsidRDefault="00512CCC" w:rsidP="001E211A">
      <w:pPr>
        <w:pStyle w:val="ListParagraph"/>
        <w:numPr>
          <w:ilvl w:val="0"/>
          <w:numId w:val="17"/>
        </w:numPr>
      </w:pPr>
      <w:r>
        <w:t>undertake research and educational programs, and other programs, on behalf of the Commonwealth for the purpose of promoting the objects of the Disability Discrimination Act</w:t>
      </w:r>
    </w:p>
    <w:p w14:paraId="3D19F010" w14:textId="77777777" w:rsidR="00512CCC" w:rsidRDefault="00512CCC" w:rsidP="001E211A">
      <w:pPr>
        <w:pStyle w:val="ListParagraph"/>
        <w:numPr>
          <w:ilvl w:val="0"/>
          <w:numId w:val="17"/>
        </w:numPr>
      </w:pPr>
      <w:r>
        <w:t>prepare and publish guidelines for the avoidance of discrimination on the grounds of disability.</w:t>
      </w:r>
      <w:r>
        <w:rPr>
          <w:rStyle w:val="EndnoteReference"/>
        </w:rPr>
        <w:endnoteReference w:id="38"/>
      </w:r>
    </w:p>
    <w:p w14:paraId="5F35F244" w14:textId="5BFB8CEE" w:rsidR="00512CCC" w:rsidRDefault="00512CCC" w:rsidP="00512CCC">
      <w:r>
        <w:t>The Commission is the appropriate body to carry out these functions in relation to the prohibition on genetic discrimination</w:t>
      </w:r>
      <w:r w:rsidR="006A544C">
        <w:t>. S</w:t>
      </w:r>
      <w:r>
        <w:t>pecific funding should be allocated to these public awareness, education and guidelines functions when the relevant legislative change is made</w:t>
      </w:r>
      <w:r w:rsidR="00F25CB8">
        <w:t xml:space="preserve">. </w:t>
      </w:r>
    </w:p>
    <w:p w14:paraId="2CE15F6B" w14:textId="4D7E8BAD" w:rsidR="00E52275" w:rsidRDefault="00512CCC" w:rsidP="00BF06A9">
      <w:pPr>
        <w:rPr>
          <w:b/>
          <w:bCs/>
        </w:rPr>
      </w:pPr>
      <w:r>
        <w:rPr>
          <w:b/>
          <w:bCs/>
        </w:rPr>
        <w:t xml:space="preserve">Recommendation </w:t>
      </w:r>
      <w:r w:rsidR="009D5F44">
        <w:rPr>
          <w:b/>
          <w:bCs/>
        </w:rPr>
        <w:t>16</w:t>
      </w:r>
      <w:r w:rsidR="005D31F7">
        <w:rPr>
          <w:b/>
          <w:bCs/>
        </w:rPr>
        <w:t>:</w:t>
      </w:r>
      <w:r>
        <w:rPr>
          <w:b/>
          <w:bCs/>
        </w:rPr>
        <w:t xml:space="preserve"> The Australian Government should ensure the Australian Human Rights Commission has adequate resourcing to promote, educate and support relevant stakeholders to understand and meet any new legal obligations introduced under the </w:t>
      </w:r>
      <w:r w:rsidRPr="008C5FAE">
        <w:rPr>
          <w:b/>
          <w:bCs/>
          <w:i/>
          <w:iCs/>
        </w:rPr>
        <w:t>Disability Discrimination Act 1992</w:t>
      </w:r>
      <w:r>
        <w:rPr>
          <w:b/>
          <w:bCs/>
        </w:rPr>
        <w:t xml:space="preserve"> (Cth) if legislative change is made. </w:t>
      </w:r>
    </w:p>
    <w:p w14:paraId="4A687E39" w14:textId="703F220E" w:rsidR="00F43297" w:rsidRDefault="00297E20" w:rsidP="00297E20">
      <w:pPr>
        <w:pStyle w:val="Heading2"/>
      </w:pPr>
      <w:bookmarkStart w:id="81" w:name="_Toc193872668"/>
      <w:r w:rsidRPr="008F50A4">
        <w:t>Consideration of concurrent reforms</w:t>
      </w:r>
      <w:bookmarkEnd w:id="81"/>
    </w:p>
    <w:p w14:paraId="3AE4C6C8" w14:textId="766A425B" w:rsidR="00F533FC" w:rsidRDefault="00F533FC" w:rsidP="00297E20">
      <w:r>
        <w:t xml:space="preserve">As outlined earlier in this submission, </w:t>
      </w:r>
      <w:r w:rsidR="00490F27">
        <w:t xml:space="preserve">it is vital that </w:t>
      </w:r>
      <w:r w:rsidR="007D57EB">
        <w:t>the government seek to ensure a cohesive legislative framework</w:t>
      </w:r>
      <w:r w:rsidR="00C21CCF">
        <w:t xml:space="preserve"> giving regard to related areas of reform. </w:t>
      </w:r>
    </w:p>
    <w:p w14:paraId="660D559B" w14:textId="71682B51" w:rsidR="00297E20" w:rsidRDefault="00297E20" w:rsidP="00297E20">
      <w:r>
        <w:t>Addressing other concurrent areas of legislative reform should not</w:t>
      </w:r>
      <w:r w:rsidR="007D57EB">
        <w:t>, however,</w:t>
      </w:r>
      <w:r w:rsidR="00527830">
        <w:t xml:space="preserve"> </w:t>
      </w:r>
      <w:r>
        <w:t xml:space="preserve">lead to an unacceptable delay in the introduction of reforms to prohibit the use of adverse genetic testing results in life insurance underwriting. Rather, the legislation should be reviewed as soon as practicable following the introduction of any relevant concurrent reforms, such as those outlined below. </w:t>
      </w:r>
    </w:p>
    <w:p w14:paraId="2899F9A5" w14:textId="77777777" w:rsidR="00297E20" w:rsidRDefault="00297E20" w:rsidP="00297E20">
      <w:pPr>
        <w:pStyle w:val="Heading3"/>
      </w:pPr>
      <w:bookmarkStart w:id="82" w:name="_Toc193872669"/>
      <w:r w:rsidRPr="009914A3">
        <w:rPr>
          <w:i/>
          <w:iCs/>
        </w:rPr>
        <w:t>Review of the Disability Discrimination Act 1992</w:t>
      </w:r>
      <w:r>
        <w:t xml:space="preserve"> (Cth)</w:t>
      </w:r>
      <w:bookmarkEnd w:id="82"/>
    </w:p>
    <w:p w14:paraId="5E8DE726" w14:textId="67F56E28" w:rsidR="00297E20" w:rsidRDefault="00297E20" w:rsidP="00326490">
      <w:r>
        <w:t xml:space="preserve">In response to recommendations made by the </w:t>
      </w:r>
      <w:r>
        <w:rPr>
          <w:i/>
          <w:iCs/>
        </w:rPr>
        <w:t xml:space="preserve">Royal Commission into Violence, Abuse, Neglect and Exploitation of People with Disability </w:t>
      </w:r>
      <w:r>
        <w:t>(Disability Royal Commission),</w:t>
      </w:r>
      <w:r>
        <w:rPr>
          <w:rStyle w:val="EndnoteReference"/>
        </w:rPr>
        <w:endnoteReference w:id="39"/>
      </w:r>
      <w:r>
        <w:t xml:space="preserve"> the Australian Government is undertaking a review of the Disability Discrimination Act</w:t>
      </w:r>
      <w:r w:rsidR="007108A4">
        <w:t xml:space="preserve">. The Review </w:t>
      </w:r>
      <w:r w:rsidR="00326490">
        <w:t>will in</w:t>
      </w:r>
      <w:r w:rsidR="00FE2749">
        <w:t>volve</w:t>
      </w:r>
      <w:r w:rsidR="00326490">
        <w:t xml:space="preserve"> consultation on </w:t>
      </w:r>
      <w:r>
        <w:t xml:space="preserve">the </w:t>
      </w:r>
      <w:r w:rsidR="00FE2749">
        <w:t xml:space="preserve">recommendations made by the Disability Royal Commission, such as the </w:t>
      </w:r>
      <w:r>
        <w:lastRenderedPageBreak/>
        <w:t>inclusion of a positive duty to eliminate disability discrimination</w:t>
      </w:r>
      <w:r w:rsidR="00FE2749">
        <w:t>,</w:t>
      </w:r>
      <w:r>
        <w:rPr>
          <w:rStyle w:val="EndnoteReference"/>
        </w:rPr>
        <w:endnoteReference w:id="40"/>
      </w:r>
      <w:r w:rsidR="007108A4">
        <w:rPr>
          <w:lang w:eastAsia="en-GB"/>
        </w:rPr>
        <w:t xml:space="preserve"> as well as further changes to improve the experiences of people with disability.</w:t>
      </w:r>
      <w:r w:rsidR="007108A4">
        <w:rPr>
          <w:rStyle w:val="EndnoteReference"/>
          <w:lang w:eastAsia="en-GB"/>
        </w:rPr>
        <w:endnoteReference w:id="41"/>
      </w:r>
    </w:p>
    <w:p w14:paraId="0D1A36DD" w14:textId="77777777" w:rsidR="00297E20" w:rsidRDefault="00297E20" w:rsidP="00297E20">
      <w:r>
        <w:rPr>
          <w:lang w:eastAsia="en-GB"/>
        </w:rPr>
        <w:t xml:space="preserve">In its </w:t>
      </w:r>
      <w:r w:rsidRPr="00A819E5">
        <w:rPr>
          <w:i/>
          <w:iCs/>
          <w:lang w:eastAsia="en-GB"/>
        </w:rPr>
        <w:t xml:space="preserve">Free &amp; Equal Position Paper: Reform agenda for federal discrimination </w:t>
      </w:r>
      <w:r w:rsidRPr="002937AD">
        <w:rPr>
          <w:i/>
          <w:iCs/>
          <w:lang w:eastAsia="en-GB"/>
        </w:rPr>
        <w:t>law</w:t>
      </w:r>
      <w:r>
        <w:rPr>
          <w:lang w:eastAsia="en-GB"/>
        </w:rPr>
        <w:t>, t</w:t>
      </w:r>
      <w:r w:rsidRPr="008C5FAE">
        <w:rPr>
          <w:lang w:eastAsia="en-GB"/>
        </w:rPr>
        <w:t>he</w:t>
      </w:r>
      <w:r w:rsidRPr="0023294F">
        <w:rPr>
          <w:lang w:eastAsia="en-GB"/>
        </w:rPr>
        <w:t xml:space="preserve"> Commission</w:t>
      </w:r>
      <w:r w:rsidRPr="00A819E5">
        <w:rPr>
          <w:rFonts w:cs="Open Sans"/>
        </w:rPr>
        <w:t xml:space="preserve"> identified insurance policies and section 46 of the Disability Discrimination Act as an exemption warranting particular scrutiny in any review process.</w:t>
      </w:r>
      <w:r w:rsidRPr="001E0880">
        <w:rPr>
          <w:rStyle w:val="EndnoteReference"/>
          <w:rFonts w:cs="Open Sans"/>
          <w:szCs w:val="20"/>
        </w:rPr>
        <w:t xml:space="preserve"> </w:t>
      </w:r>
      <w:r w:rsidRPr="00F9146C">
        <w:rPr>
          <w:rStyle w:val="EndnoteReference"/>
          <w:rFonts w:cs="Open Sans"/>
          <w:szCs w:val="20"/>
        </w:rPr>
        <w:endnoteReference w:id="42"/>
      </w:r>
      <w:r>
        <w:t xml:space="preserve"> Scrutiny and consideration of the appropriateness of this exemption in a modern anti-discrimination framework is opportune and necessary to ensure it aligns with the obligations contained within the CRPD and human rights standards. </w:t>
      </w:r>
    </w:p>
    <w:p w14:paraId="41B77F92" w14:textId="77777777" w:rsidR="00297E20" w:rsidRPr="004832C3" w:rsidRDefault="00297E20" w:rsidP="00297E20">
      <w:pPr>
        <w:rPr>
          <w:i/>
          <w:iCs/>
          <w:color w:val="FF0000"/>
        </w:rPr>
      </w:pPr>
      <w:r w:rsidRPr="004832C3">
        <w:t>Any amendment to the Disability Discrimination Act in relation to the ban on the use of adverse genetic test results could be considered as part of a more thorough review of section 46.</w:t>
      </w:r>
    </w:p>
    <w:p w14:paraId="37A5E23A" w14:textId="0650454A" w:rsidR="00297E20" w:rsidRDefault="00297E20" w:rsidP="00297E20">
      <w:pPr>
        <w:rPr>
          <w:b/>
          <w:bCs/>
        </w:rPr>
      </w:pPr>
      <w:r w:rsidRPr="00B747BE">
        <w:rPr>
          <w:b/>
          <w:bCs/>
        </w:rPr>
        <w:t xml:space="preserve">Recommendation </w:t>
      </w:r>
      <w:r w:rsidR="00FD7087">
        <w:rPr>
          <w:b/>
          <w:bCs/>
        </w:rPr>
        <w:t>17</w:t>
      </w:r>
      <w:r w:rsidRPr="00B747BE">
        <w:rPr>
          <w:b/>
          <w:bCs/>
        </w:rPr>
        <w:t>:</w:t>
      </w:r>
      <w:r>
        <w:rPr>
          <w:b/>
          <w:bCs/>
        </w:rPr>
        <w:t xml:space="preserve"> The Australian Government should review section 46 of the </w:t>
      </w:r>
      <w:r>
        <w:rPr>
          <w:b/>
          <w:bCs/>
          <w:i/>
          <w:iCs/>
        </w:rPr>
        <w:t xml:space="preserve">Disability Discrimination Act 1992 </w:t>
      </w:r>
      <w:r>
        <w:rPr>
          <w:b/>
          <w:bCs/>
        </w:rPr>
        <w:t>(Cth), taking into consideration:</w:t>
      </w:r>
    </w:p>
    <w:p w14:paraId="71E48AE8" w14:textId="77777777" w:rsidR="00297E20" w:rsidRPr="00BD7798" w:rsidRDefault="00297E20" w:rsidP="00297E20">
      <w:pPr>
        <w:pStyle w:val="ListParagraph"/>
        <w:numPr>
          <w:ilvl w:val="0"/>
          <w:numId w:val="18"/>
        </w:numPr>
        <w:rPr>
          <w:b/>
          <w:bCs/>
        </w:rPr>
      </w:pPr>
      <w:r w:rsidRPr="00BD7798">
        <w:rPr>
          <w:b/>
          <w:bCs/>
        </w:rPr>
        <w:t xml:space="preserve">Australia’s international human rights obligations, giving </w:t>
      </w:r>
      <w:r>
        <w:rPr>
          <w:b/>
          <w:bCs/>
        </w:rPr>
        <w:t xml:space="preserve">specific </w:t>
      </w:r>
      <w:r w:rsidRPr="00BD7798">
        <w:rPr>
          <w:b/>
          <w:bCs/>
        </w:rPr>
        <w:t>regard to</w:t>
      </w:r>
      <w:r>
        <w:rPr>
          <w:b/>
          <w:bCs/>
        </w:rPr>
        <w:t xml:space="preserve"> United Nations</w:t>
      </w:r>
      <w:r w:rsidRPr="00BD7798">
        <w:rPr>
          <w:b/>
          <w:bCs/>
        </w:rPr>
        <w:t xml:space="preserve"> </w:t>
      </w:r>
      <w:r w:rsidRPr="00BD7798">
        <w:rPr>
          <w:b/>
          <w:bCs/>
          <w:i/>
          <w:iCs/>
        </w:rPr>
        <w:t>Convention on the Rights of Persons with Disabilities</w:t>
      </w:r>
    </w:p>
    <w:p w14:paraId="67B1DD31" w14:textId="77777777" w:rsidR="00297E20" w:rsidRPr="00B747BE" w:rsidRDefault="00297E20" w:rsidP="00297E20">
      <w:pPr>
        <w:pStyle w:val="ListParagraph"/>
        <w:numPr>
          <w:ilvl w:val="0"/>
          <w:numId w:val="18"/>
        </w:numPr>
        <w:rPr>
          <w:b/>
          <w:bCs/>
        </w:rPr>
      </w:pPr>
      <w:r w:rsidRPr="00BD7798">
        <w:rPr>
          <w:b/>
          <w:bCs/>
        </w:rPr>
        <w:t xml:space="preserve">the implications </w:t>
      </w:r>
      <w:r>
        <w:rPr>
          <w:b/>
          <w:bCs/>
        </w:rPr>
        <w:t>of risk-rated insurance</w:t>
      </w:r>
      <w:r w:rsidRPr="00BD7798">
        <w:rPr>
          <w:b/>
          <w:bCs/>
        </w:rPr>
        <w:t xml:space="preserve"> on disability discrimination protections. </w:t>
      </w:r>
    </w:p>
    <w:p w14:paraId="2D7F84D5" w14:textId="77777777" w:rsidR="00297E20" w:rsidRDefault="00297E20" w:rsidP="00297E20">
      <w:pPr>
        <w:pStyle w:val="Heading3"/>
      </w:pPr>
      <w:bookmarkStart w:id="83" w:name="_Toc193872670"/>
      <w:r>
        <w:t xml:space="preserve">Reform to the </w:t>
      </w:r>
      <w:r w:rsidRPr="009914A3">
        <w:rPr>
          <w:i/>
          <w:iCs/>
        </w:rPr>
        <w:t>Privacy Act 1998</w:t>
      </w:r>
      <w:r>
        <w:t xml:space="preserve"> (Cth)</w:t>
      </w:r>
      <w:bookmarkEnd w:id="83"/>
    </w:p>
    <w:p w14:paraId="1017A5AA" w14:textId="7E009CAC" w:rsidR="00297E20" w:rsidRDefault="00297E20" w:rsidP="00297E20">
      <w:r>
        <w:t xml:space="preserve">The </w:t>
      </w:r>
      <w:r w:rsidRPr="002937AD">
        <w:t>Privacy Act 1988</w:t>
      </w:r>
      <w:r>
        <w:t xml:space="preserve"> is the principal piece of legislation protecting the human right to privacy in Australia. Under the </w:t>
      </w:r>
      <w:r w:rsidRPr="00D2698B">
        <w:t>Privacy Act</w:t>
      </w:r>
      <w:r>
        <w:t>, genetic information is included in the definition of ‘sensitive information’ which attracts additional privacy protections.</w:t>
      </w:r>
      <w:r>
        <w:rPr>
          <w:rStyle w:val="EndnoteReference"/>
        </w:rPr>
        <w:endnoteReference w:id="43"/>
      </w:r>
    </w:p>
    <w:p w14:paraId="763B2CC4" w14:textId="77777777" w:rsidR="00297E20" w:rsidRDefault="00297E20" w:rsidP="00297E20">
      <w:r>
        <w:t xml:space="preserve">The </w:t>
      </w:r>
      <w:r w:rsidRPr="00AF5EF1">
        <w:t>Privacy Act</w:t>
      </w:r>
      <w:r>
        <w:rPr>
          <w:i/>
          <w:iCs/>
        </w:rPr>
        <w:t xml:space="preserve"> </w:t>
      </w:r>
      <w:r>
        <w:t>is currently being modernised,</w:t>
      </w:r>
      <w:r>
        <w:rPr>
          <w:rStyle w:val="EndnoteReference"/>
        </w:rPr>
        <w:endnoteReference w:id="44"/>
      </w:r>
      <w:r>
        <w:t xml:space="preserve"> with the first tranche of reforms passed in November </w:t>
      </w:r>
      <w:r w:rsidRPr="005C5519">
        <w:t>2024.</w:t>
      </w:r>
      <w:r w:rsidRPr="005C5519">
        <w:rPr>
          <w:rStyle w:val="EndnoteReference"/>
        </w:rPr>
        <w:endnoteReference w:id="45"/>
      </w:r>
      <w:r w:rsidRPr="005C5519">
        <w:t xml:space="preserve"> However, there are currently no timelines for the next stage of reforms which will have implications for</w:t>
      </w:r>
      <w:r>
        <w:t xml:space="preserve"> how sensitive information is defined and dealt with under the Act.</w:t>
      </w:r>
      <w:r>
        <w:rPr>
          <w:rStyle w:val="EndnoteReference"/>
        </w:rPr>
        <w:endnoteReference w:id="46"/>
      </w:r>
      <w:r>
        <w:t xml:space="preserve"> </w:t>
      </w:r>
    </w:p>
    <w:p w14:paraId="57315C61" w14:textId="4C2FCCB4" w:rsidR="00297E20" w:rsidRDefault="00297E20" w:rsidP="00297E20">
      <w:r>
        <w:t xml:space="preserve">The Commission </w:t>
      </w:r>
      <w:r w:rsidRPr="00C91948">
        <w:t>welcome</w:t>
      </w:r>
      <w:r>
        <w:t>s</w:t>
      </w:r>
      <w:r w:rsidRPr="00C91948">
        <w:t xml:space="preserve"> the progress that is being made towards comprehensive reform in this area, however, </w:t>
      </w:r>
      <w:r>
        <w:t>remains concerned about the piecemeal approach to privacy law reform which has implications for other areas of law reform</w:t>
      </w:r>
      <w:r w:rsidR="00B317FC">
        <w:t xml:space="preserve">, </w:t>
      </w:r>
      <w:r>
        <w:t xml:space="preserve">such as </w:t>
      </w:r>
      <w:r w:rsidR="00B317FC">
        <w:t>life insurance</w:t>
      </w:r>
      <w:r>
        <w:t xml:space="preserve">. </w:t>
      </w:r>
      <w:r w:rsidRPr="00C91948">
        <w:t>Until these reforms have been finalised, the Act remains outdated.</w:t>
      </w:r>
      <w:r>
        <w:t xml:space="preserve"> This creates difficulties for many industries, including insurance organisations, as there will continue to be uncertainty about their </w:t>
      </w:r>
      <w:r>
        <w:lastRenderedPageBreak/>
        <w:t>obligations when collecting and handling sensitive information (such as genetic information).</w:t>
      </w:r>
    </w:p>
    <w:p w14:paraId="4C86C2D7" w14:textId="4274638F" w:rsidR="001F61EA" w:rsidRDefault="00297E20" w:rsidP="002937AD">
      <w:pPr>
        <w:rPr>
          <w:b/>
          <w:bCs/>
        </w:rPr>
      </w:pPr>
      <w:r>
        <w:rPr>
          <w:b/>
          <w:bCs/>
        </w:rPr>
        <w:t xml:space="preserve">Recommendation </w:t>
      </w:r>
      <w:r w:rsidR="001247EC">
        <w:rPr>
          <w:b/>
          <w:bCs/>
        </w:rPr>
        <w:t>18</w:t>
      </w:r>
      <w:r>
        <w:rPr>
          <w:b/>
          <w:bCs/>
        </w:rPr>
        <w:t xml:space="preserve">: </w:t>
      </w:r>
      <w:r w:rsidRPr="003F64FD">
        <w:rPr>
          <w:b/>
          <w:bCs/>
        </w:rPr>
        <w:t xml:space="preserve">The Australian Government </w:t>
      </w:r>
      <w:r>
        <w:rPr>
          <w:b/>
          <w:bCs/>
        </w:rPr>
        <w:t>should</w:t>
      </w:r>
      <w:r w:rsidR="00A8631D">
        <w:rPr>
          <w:b/>
          <w:bCs/>
        </w:rPr>
        <w:t xml:space="preserve"> set out a clear timeline for introduc</w:t>
      </w:r>
      <w:r w:rsidR="00F468C8">
        <w:rPr>
          <w:b/>
          <w:bCs/>
        </w:rPr>
        <w:t xml:space="preserve">ing </w:t>
      </w:r>
      <w:r w:rsidR="00A8631D">
        <w:rPr>
          <w:b/>
          <w:bCs/>
        </w:rPr>
        <w:t xml:space="preserve">the second tranche of reforms to the </w:t>
      </w:r>
      <w:r w:rsidRPr="00835EF1">
        <w:rPr>
          <w:b/>
          <w:bCs/>
          <w:i/>
          <w:iCs/>
        </w:rPr>
        <w:t>Privacy Act 1988</w:t>
      </w:r>
      <w:r>
        <w:rPr>
          <w:b/>
          <w:bCs/>
        </w:rPr>
        <w:t xml:space="preserve"> (Cth) </w:t>
      </w:r>
      <w:r w:rsidR="00A8631D">
        <w:rPr>
          <w:b/>
          <w:bCs/>
        </w:rPr>
        <w:t xml:space="preserve">and </w:t>
      </w:r>
      <w:r w:rsidR="00F468C8">
        <w:rPr>
          <w:b/>
          <w:bCs/>
        </w:rPr>
        <w:t>al</w:t>
      </w:r>
      <w:r w:rsidR="00A8631D">
        <w:rPr>
          <w:b/>
          <w:bCs/>
        </w:rPr>
        <w:t>ign their passage with introduc</w:t>
      </w:r>
      <w:r w:rsidR="006C4D7B">
        <w:rPr>
          <w:b/>
          <w:bCs/>
        </w:rPr>
        <w:t>ing</w:t>
      </w:r>
      <w:r w:rsidR="00A8631D">
        <w:rPr>
          <w:b/>
          <w:bCs/>
        </w:rPr>
        <w:t xml:space="preserve"> this ban to </w:t>
      </w:r>
      <w:r w:rsidRPr="003F64FD">
        <w:rPr>
          <w:b/>
          <w:bCs/>
        </w:rPr>
        <w:t xml:space="preserve">provide certainty for insurance organisations who collect and handle sensitive information. </w:t>
      </w:r>
    </w:p>
    <w:sectPr w:rsidR="001F61EA" w:rsidSect="00460EE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5E2C" w14:textId="77777777" w:rsidR="002A1670" w:rsidRDefault="002A1670" w:rsidP="00F14C6D">
      <w:r>
        <w:separator/>
      </w:r>
    </w:p>
  </w:endnote>
  <w:endnote w:type="continuationSeparator" w:id="0">
    <w:p w14:paraId="492DE8CF" w14:textId="77777777" w:rsidR="002A1670" w:rsidRDefault="002A1670" w:rsidP="00F14C6D">
      <w:r>
        <w:continuationSeparator/>
      </w:r>
    </w:p>
  </w:endnote>
  <w:endnote w:type="continuationNotice" w:id="1">
    <w:p w14:paraId="712EB37E" w14:textId="77777777" w:rsidR="002A1670" w:rsidRDefault="002A1670">
      <w:pPr>
        <w:spacing w:before="0" w:after="0"/>
      </w:pPr>
    </w:p>
  </w:endnote>
  <w:endnote w:id="2">
    <w:p w14:paraId="764E5D22" w14:textId="77777777" w:rsidR="008C3211" w:rsidRPr="0016306F" w:rsidRDefault="008C3211" w:rsidP="008C3211">
      <w:pPr>
        <w:pStyle w:val="EndnoteText"/>
        <w:rPr>
          <w:rFonts w:cs="Open Sans"/>
        </w:rPr>
      </w:pPr>
      <w:r w:rsidRPr="0016306F">
        <w:rPr>
          <w:rStyle w:val="EndnoteReference"/>
          <w:rFonts w:cs="Open Sans"/>
        </w:rPr>
        <w:endnoteRef/>
      </w:r>
      <w:r w:rsidRPr="0016306F">
        <w:rPr>
          <w:rFonts w:cs="Open Sans"/>
        </w:rPr>
        <w:t xml:space="preserve"> </w:t>
      </w:r>
      <w:r>
        <w:rPr>
          <w:rFonts w:cs="Open Sans"/>
          <w:i/>
          <w:iCs/>
        </w:rPr>
        <w:t xml:space="preserve">Australian Human Rights Commission Act 1986 </w:t>
      </w:r>
      <w:r>
        <w:rPr>
          <w:rFonts w:cs="Open Sans"/>
        </w:rPr>
        <w:t>(Cth)</w:t>
      </w:r>
      <w:r w:rsidRPr="0016306F">
        <w:rPr>
          <w:rFonts w:cs="Open Sans"/>
        </w:rPr>
        <w:t xml:space="preserve"> s 7.</w:t>
      </w:r>
    </w:p>
  </w:endnote>
  <w:endnote w:id="3">
    <w:p w14:paraId="3757D558" w14:textId="77777777" w:rsidR="008C3211" w:rsidRPr="0016306F" w:rsidRDefault="008C3211" w:rsidP="008C3211">
      <w:pPr>
        <w:pStyle w:val="EndnoteText"/>
        <w:rPr>
          <w:rFonts w:cs="Open Sans"/>
        </w:rPr>
      </w:pPr>
      <w:r w:rsidRPr="0016306F">
        <w:rPr>
          <w:rStyle w:val="EndnoteReference"/>
          <w:rFonts w:cs="Open Sans"/>
        </w:rPr>
        <w:endnoteRef/>
      </w:r>
      <w:r w:rsidRPr="0016306F">
        <w:rPr>
          <w:rFonts w:cs="Open Sans"/>
        </w:rPr>
        <w:t xml:space="preserve"> </w:t>
      </w:r>
      <w:r>
        <w:rPr>
          <w:rFonts w:cs="Open Sans"/>
        </w:rPr>
        <w:t>Ibid</w:t>
      </w:r>
      <w:r w:rsidRPr="0016306F">
        <w:rPr>
          <w:rFonts w:cs="Open Sans"/>
        </w:rPr>
        <w:t xml:space="preserve"> s 11(1)(g). </w:t>
      </w:r>
    </w:p>
  </w:endnote>
  <w:endnote w:id="4">
    <w:p w14:paraId="3E1D7078" w14:textId="763964C3" w:rsidR="00E7258E" w:rsidRPr="00863A94" w:rsidRDefault="00E7258E" w:rsidP="00E7258E">
      <w:pPr>
        <w:pStyle w:val="EndnoteText"/>
      </w:pPr>
      <w:r w:rsidRPr="00863A94">
        <w:rPr>
          <w:rStyle w:val="EndnoteReference"/>
        </w:rPr>
        <w:endnoteRef/>
      </w:r>
      <w:r w:rsidRPr="00863A94">
        <w:t xml:space="preserve"> </w:t>
      </w:r>
      <w:r w:rsidRPr="00863A94">
        <w:rPr>
          <w:i/>
          <w:iCs/>
        </w:rPr>
        <w:t xml:space="preserve">Disability Discrimination Act 1992 </w:t>
      </w:r>
      <w:r w:rsidRPr="00863A94">
        <w:t>(Cth) s 4</w:t>
      </w:r>
      <w:r w:rsidR="00C24CD3">
        <w:t xml:space="preserve">(1) </w:t>
      </w:r>
      <w:r w:rsidRPr="00863A94">
        <w:t>(definition of ‘disability’</w:t>
      </w:r>
      <w:r w:rsidR="00C24CD3">
        <w:t xml:space="preserve">) </w:t>
      </w:r>
      <w:r w:rsidRPr="00863A94">
        <w:t xml:space="preserve">para (j)).  </w:t>
      </w:r>
    </w:p>
  </w:endnote>
  <w:endnote w:id="5">
    <w:p w14:paraId="09919429" w14:textId="324BC8E8" w:rsidR="00B45A11" w:rsidRPr="00863A94" w:rsidRDefault="00B45A11" w:rsidP="00863A94">
      <w:pPr>
        <w:pStyle w:val="EndnoteText"/>
        <w:rPr>
          <w:highlight w:val="yellow"/>
        </w:rPr>
      </w:pPr>
      <w:r w:rsidRPr="003C392A">
        <w:rPr>
          <w:rStyle w:val="EndnoteReference"/>
        </w:rPr>
        <w:endnoteRef/>
      </w:r>
      <w:r w:rsidRPr="003C392A">
        <w:t xml:space="preserve"> </w:t>
      </w:r>
      <w:r w:rsidR="004027DA" w:rsidRPr="003C392A">
        <w:t xml:space="preserve">Under section 46 of the </w:t>
      </w:r>
      <w:r w:rsidR="004027DA" w:rsidRPr="003C392A">
        <w:rPr>
          <w:i/>
          <w:iCs/>
        </w:rPr>
        <w:t xml:space="preserve">Disability Discrimination Act 1992 </w:t>
      </w:r>
      <w:r w:rsidR="004027DA" w:rsidRPr="003C392A">
        <w:t>(Cth), life insurance providers can lawfully refuse to provide a life insurance policy to a person with disability or to charge higher premiums based on their disability, if the discrimination is reasonable based on actuarial or statistical data, or, if no such data is available, other relevant factors</w:t>
      </w:r>
      <w:r w:rsidR="00FF60C9" w:rsidRPr="003C392A">
        <w:t>:</w:t>
      </w:r>
      <w:r w:rsidR="00533FEF" w:rsidRPr="003C392A">
        <w:t xml:space="preserve"> </w:t>
      </w:r>
      <w:r w:rsidR="00A12C8B" w:rsidRPr="003C392A">
        <w:t>See generally</w:t>
      </w:r>
      <w:r w:rsidR="00533FEF" w:rsidRPr="003C392A">
        <w:t xml:space="preserve"> </w:t>
      </w:r>
      <w:r w:rsidR="00CA713A" w:rsidRPr="003C392A">
        <w:rPr>
          <w:i/>
          <w:iCs/>
        </w:rPr>
        <w:t>QBE Travel Insurance v Bassanelli</w:t>
      </w:r>
      <w:r w:rsidR="00CA713A" w:rsidRPr="003C392A">
        <w:t xml:space="preserve"> (2004) 137 FCR 88, [28]</w:t>
      </w:r>
      <w:r w:rsidR="00863A94" w:rsidRPr="003C392A">
        <w:t>.</w:t>
      </w:r>
      <w:r w:rsidR="00863A94">
        <w:t xml:space="preserve"> </w:t>
      </w:r>
    </w:p>
  </w:endnote>
  <w:endnote w:id="6">
    <w:p w14:paraId="2A588635" w14:textId="21BCC750" w:rsidR="00A92244" w:rsidRPr="007C1048" w:rsidRDefault="00A92244" w:rsidP="00A92244">
      <w:pPr>
        <w:pStyle w:val="EndnoteText"/>
      </w:pPr>
      <w:r>
        <w:rPr>
          <w:rStyle w:val="EndnoteReference"/>
        </w:rPr>
        <w:endnoteRef/>
      </w:r>
      <w:r>
        <w:t xml:space="preserve"> </w:t>
      </w:r>
      <w:r w:rsidR="005146A8">
        <w:t xml:space="preserve">See Australian Human Rights Commission, </w:t>
      </w:r>
      <w:r w:rsidR="003947E9">
        <w:t>Submission to Australian Government Treasury</w:t>
      </w:r>
      <w:r w:rsidR="007C1048">
        <w:t xml:space="preserve">, </w:t>
      </w:r>
      <w:r w:rsidR="007C1048" w:rsidRPr="007C1048">
        <w:rPr>
          <w:i/>
          <w:iCs/>
        </w:rPr>
        <w:t xml:space="preserve">Use of genetic testing results in life insurance underwriting </w:t>
      </w:r>
      <w:r w:rsidR="007C1048">
        <w:t>(</w:t>
      </w:r>
      <w:r w:rsidR="009408FD">
        <w:t>16 February 2024)</w:t>
      </w:r>
      <w:r w:rsidR="007C1048">
        <w:t xml:space="preserve">. </w:t>
      </w:r>
    </w:p>
  </w:endnote>
  <w:endnote w:id="7">
    <w:p w14:paraId="46B742AA" w14:textId="4B74F7C9" w:rsidR="00E73BD7" w:rsidRDefault="00E73BD7" w:rsidP="00F00D57">
      <w:pPr>
        <w:pStyle w:val="EndnoteText"/>
      </w:pPr>
      <w:r w:rsidRPr="007C64C3">
        <w:rPr>
          <w:rStyle w:val="EndnoteReference"/>
        </w:rPr>
        <w:endnoteRef/>
      </w:r>
      <w:r w:rsidRPr="007C64C3">
        <w:t xml:space="preserve"> </w:t>
      </w:r>
      <w:r w:rsidR="001649A3" w:rsidRPr="007C64C3">
        <w:t>See</w:t>
      </w:r>
      <w:r w:rsidR="001649A3" w:rsidRPr="00F00D57">
        <w:t xml:space="preserve"> </w:t>
      </w:r>
      <w:r w:rsidR="00F73067" w:rsidRPr="00733044">
        <w:rPr>
          <w:i/>
          <w:iCs/>
        </w:rPr>
        <w:t>United Nations Convention on the Rights of Persons with Disabilities</w:t>
      </w:r>
      <w:r w:rsidR="00F73067" w:rsidRPr="00733044">
        <w:t>, opened for signature 30 March 2007, 2515 UNTS 3 (entered into force 3 May 2008) art</w:t>
      </w:r>
      <w:r w:rsidR="002125C3" w:rsidRPr="00733044">
        <w:t xml:space="preserve">s </w:t>
      </w:r>
      <w:r w:rsidR="002D0BF3" w:rsidRPr="00733044">
        <w:t xml:space="preserve">5, </w:t>
      </w:r>
      <w:r w:rsidR="0067591C" w:rsidRPr="00733044">
        <w:t xml:space="preserve">22, </w:t>
      </w:r>
      <w:r w:rsidR="00D02627" w:rsidRPr="00733044">
        <w:t>25</w:t>
      </w:r>
      <w:r w:rsidR="00F27409" w:rsidRPr="00733044">
        <w:t xml:space="preserve">; </w:t>
      </w:r>
      <w:r w:rsidR="00B65E7A" w:rsidRPr="00733044">
        <w:rPr>
          <w:i/>
          <w:iCs/>
        </w:rPr>
        <w:t xml:space="preserve">United Nations International Covenant on Civil and Political Rights, </w:t>
      </w:r>
      <w:r w:rsidR="00B65E7A" w:rsidRPr="00733044">
        <w:t xml:space="preserve">GA 2200A (XXI) (23 March 1976, adopted 16 December 1966) arts, 2, 16, </w:t>
      </w:r>
      <w:r w:rsidR="0067591C" w:rsidRPr="00733044">
        <w:t xml:space="preserve">17, </w:t>
      </w:r>
      <w:r w:rsidR="00B65E7A" w:rsidRPr="00733044">
        <w:t xml:space="preserve">26; </w:t>
      </w:r>
      <w:r w:rsidR="00B65E7A" w:rsidRPr="00733044">
        <w:rPr>
          <w:i/>
          <w:iCs/>
        </w:rPr>
        <w:t xml:space="preserve">International Covenant on Economic, Social and Cultural Rights, </w:t>
      </w:r>
      <w:r w:rsidR="00B65E7A" w:rsidRPr="00733044">
        <w:t>opened for signature 16 December 1966, GA RES 2200A (XXI) (entered into force 3 January 1976) art</w:t>
      </w:r>
      <w:r w:rsidR="00FD1F8A" w:rsidRPr="00733044">
        <w:t>s</w:t>
      </w:r>
      <w:r w:rsidR="00B65E7A" w:rsidRPr="00733044">
        <w:t xml:space="preserve"> 2(2)</w:t>
      </w:r>
      <w:r w:rsidR="00FD1F8A" w:rsidRPr="00733044">
        <w:t>,</w:t>
      </w:r>
      <w:r w:rsidR="0067591C" w:rsidRPr="00733044">
        <w:t xml:space="preserve"> </w:t>
      </w:r>
      <w:r w:rsidR="005063CC" w:rsidRPr="00733044">
        <w:t>12</w:t>
      </w:r>
      <w:r w:rsidR="00B65E7A" w:rsidRPr="00733044">
        <w:t xml:space="preserve">; </w:t>
      </w:r>
      <w:r w:rsidR="00B65E7A" w:rsidRPr="00733044">
        <w:rPr>
          <w:i/>
          <w:iCs/>
        </w:rPr>
        <w:t xml:space="preserve">United Nations Universal Declaration of Human Rights, </w:t>
      </w:r>
      <w:r w:rsidR="00B65E7A" w:rsidRPr="00733044">
        <w:t>GA Res 217/A(III) (adopted 10 December 1948) arts 1, 2, 6, 7</w:t>
      </w:r>
      <w:r w:rsidR="0050106A" w:rsidRPr="00733044">
        <w:t>, 25</w:t>
      </w:r>
      <w:r w:rsidR="00B65E7A" w:rsidRPr="00733044">
        <w:t xml:space="preserve">; UN Human Rights Committee, </w:t>
      </w:r>
      <w:r w:rsidR="00B65E7A" w:rsidRPr="00733044">
        <w:rPr>
          <w:i/>
          <w:iCs/>
        </w:rPr>
        <w:t>CCPR Comment No. 18: Non-discrimination,</w:t>
      </w:r>
      <w:r w:rsidR="00B65E7A" w:rsidRPr="00733044">
        <w:t xml:space="preserve"> 37</w:t>
      </w:r>
      <w:r w:rsidR="00B65E7A" w:rsidRPr="00733044">
        <w:rPr>
          <w:vertAlign w:val="superscript"/>
        </w:rPr>
        <w:t>th</w:t>
      </w:r>
      <w:r w:rsidR="00B65E7A" w:rsidRPr="00733044">
        <w:t xml:space="preserve"> sess, UN DOC HRI/GEN/1/Rev.9 (Vol. I) (10 November 1989). </w:t>
      </w:r>
    </w:p>
  </w:endnote>
  <w:endnote w:id="8">
    <w:p w14:paraId="0C2C353E" w14:textId="059EF762" w:rsidR="00452534" w:rsidRDefault="00452534" w:rsidP="00452534">
      <w:pPr>
        <w:pStyle w:val="EndnoteText"/>
      </w:pPr>
      <w:r w:rsidRPr="00BF164B">
        <w:rPr>
          <w:rStyle w:val="EndnoteReference"/>
        </w:rPr>
        <w:endnoteRef/>
      </w:r>
      <w:r w:rsidRPr="00BF164B">
        <w:t xml:space="preserve"> </w:t>
      </w:r>
      <w:r w:rsidR="001216C2" w:rsidRPr="00BF164B">
        <w:t xml:space="preserve">See </w:t>
      </w:r>
      <w:r w:rsidR="00372E8F" w:rsidRPr="00BF164B">
        <w:t>Attorney</w:t>
      </w:r>
      <w:r w:rsidR="00681ABE" w:rsidRPr="00BF164B">
        <w:t>-</w:t>
      </w:r>
      <w:r w:rsidR="00372E8F" w:rsidRPr="00BF164B">
        <w:t>General</w:t>
      </w:r>
      <w:r w:rsidR="00681ABE" w:rsidRPr="00BF164B">
        <w:t>’s</w:t>
      </w:r>
      <w:r w:rsidR="00372E8F" w:rsidRPr="00BF164B">
        <w:t xml:space="preserve"> Department</w:t>
      </w:r>
      <w:r w:rsidR="00BF164B" w:rsidRPr="00BF164B">
        <w:t xml:space="preserve"> (Cth)</w:t>
      </w:r>
      <w:r w:rsidR="00681ABE" w:rsidRPr="00BF164B">
        <w:t xml:space="preserve">, </w:t>
      </w:r>
      <w:r w:rsidR="00BF164B" w:rsidRPr="00BF164B">
        <w:t>‘Review of the Disability Discrimination Act’ (Webpage, 2025) &lt;</w:t>
      </w:r>
      <w:hyperlink r:id="rId1" w:history="1">
        <w:r w:rsidR="007C4B4B" w:rsidRPr="00BF164B">
          <w:rPr>
            <w:rStyle w:val="Hyperlink"/>
          </w:rPr>
          <w:t>https://www.ag.gov.au/rights-and-protections/human-rights-and-anti-discrimination/australias-anti-discrimination-law/review-disability-discrimination-act</w:t>
        </w:r>
      </w:hyperlink>
      <w:r w:rsidR="00BF164B" w:rsidRPr="00BF164B">
        <w:t>&gt;.</w:t>
      </w:r>
    </w:p>
  </w:endnote>
  <w:endnote w:id="9">
    <w:p w14:paraId="53064B01" w14:textId="77777777" w:rsidR="00AF4FA8" w:rsidRPr="00DD1D1E" w:rsidRDefault="00AF4FA8" w:rsidP="00AF4FA8">
      <w:pPr>
        <w:pStyle w:val="EndnoteText"/>
      </w:pPr>
      <w:r>
        <w:rPr>
          <w:rStyle w:val="EndnoteReference"/>
        </w:rPr>
        <w:endnoteRef/>
      </w:r>
      <w:r>
        <w:t xml:space="preserve"> </w:t>
      </w:r>
      <w:r w:rsidRPr="005D652F">
        <w:rPr>
          <w:i/>
          <w:iCs/>
        </w:rPr>
        <w:t xml:space="preserve">Bradley v Commonwealth </w:t>
      </w:r>
      <w:r w:rsidRPr="005D652F">
        <w:t>(1973) 128 CLR 557</w:t>
      </w:r>
      <w:r>
        <w:t xml:space="preserve"> at 582 (Barwick CJ and Gibbs J); </w:t>
      </w:r>
      <w:r w:rsidRPr="00636767">
        <w:rPr>
          <w:i/>
          <w:iCs/>
        </w:rPr>
        <w:t>Dietrich v The Queen</w:t>
      </w:r>
      <w:r>
        <w:t xml:space="preserve"> (1992) 177 CLR 292 at 305 (Mason CJ and McHugh J); </w:t>
      </w:r>
      <w:r w:rsidRPr="00153A05">
        <w:rPr>
          <w:i/>
          <w:iCs/>
        </w:rPr>
        <w:t>Minister for Immigration and Ethnic Affairs v Teoh</w:t>
      </w:r>
      <w:r>
        <w:t xml:space="preserve"> (1995) </w:t>
      </w:r>
      <w:r w:rsidRPr="00DD1D1E">
        <w:t>183 CLR 273 at 286–287 (Mason CJ and Deane J) and 315 (McHugh J).</w:t>
      </w:r>
    </w:p>
  </w:endnote>
  <w:endnote w:id="10">
    <w:p w14:paraId="572B8E99" w14:textId="77777777" w:rsidR="006634DB" w:rsidRDefault="006634DB" w:rsidP="006634DB">
      <w:pPr>
        <w:pStyle w:val="EndnoteText"/>
      </w:pPr>
      <w:r>
        <w:rPr>
          <w:rStyle w:val="EndnoteReference"/>
        </w:rPr>
        <w:endnoteRef/>
      </w:r>
      <w:r>
        <w:t xml:space="preserve"> </w:t>
      </w:r>
      <w:r w:rsidRPr="005A5A70">
        <w:t xml:space="preserve">Penelope Weller, ‘Article 25: Health’, in Ilias Bantekas, Michael Ashley Stein, Dimitris Anastasiou (eds), </w:t>
      </w:r>
      <w:r w:rsidRPr="005A5A70">
        <w:rPr>
          <w:i/>
          <w:iCs/>
        </w:rPr>
        <w:t xml:space="preserve">The UN Convention on the Rights of Persons with Disabilities: A Commentary </w:t>
      </w:r>
      <w:r w:rsidRPr="005A5A70">
        <w:t>(Oxford University Press, 2018) 731.</w:t>
      </w:r>
    </w:p>
  </w:endnote>
  <w:endnote w:id="11">
    <w:p w14:paraId="3D0A5EC5" w14:textId="6DDA9CBA" w:rsidR="006634DB" w:rsidRPr="003365B9" w:rsidRDefault="006634DB" w:rsidP="006634DB">
      <w:pPr>
        <w:pStyle w:val="EndnoteText"/>
      </w:pPr>
      <w:r w:rsidRPr="00F14809">
        <w:rPr>
          <w:rStyle w:val="EndnoteReference"/>
        </w:rPr>
        <w:endnoteRef/>
      </w:r>
      <w:r w:rsidRPr="00F14809">
        <w:t xml:space="preserve"> </w:t>
      </w:r>
      <w:r w:rsidR="003365B9" w:rsidRPr="00CD4323">
        <w:rPr>
          <w:i/>
          <w:iCs/>
        </w:rPr>
        <w:t>United Nations Convention on the Rights of Persons with Disabilities</w:t>
      </w:r>
      <w:r w:rsidR="003365B9" w:rsidRPr="003365B9">
        <w:t>,</w:t>
      </w:r>
      <w:r w:rsidR="003365B9" w:rsidRPr="00F00D57">
        <w:t xml:space="preserve"> opened for signature 30 March 2007, 2515 UNTS 3 (entered into force 3 May 2008)</w:t>
      </w:r>
      <w:r w:rsidR="003365B9">
        <w:t xml:space="preserve"> </w:t>
      </w:r>
      <w:r>
        <w:t>art 25(e)</w:t>
      </w:r>
      <w:r w:rsidR="003365B9">
        <w:t xml:space="preserve"> (‘</w:t>
      </w:r>
      <w:r w:rsidR="003365B9">
        <w:rPr>
          <w:i/>
          <w:iCs/>
        </w:rPr>
        <w:t>CRPD</w:t>
      </w:r>
      <w:r w:rsidR="003365B9">
        <w:t xml:space="preserve">’). </w:t>
      </w:r>
    </w:p>
  </w:endnote>
  <w:endnote w:id="12">
    <w:p w14:paraId="42F66CDD" w14:textId="67B9585C" w:rsidR="00B73FBD" w:rsidRPr="00B73FBD" w:rsidRDefault="00B73FBD">
      <w:pPr>
        <w:pStyle w:val="EndnoteText"/>
      </w:pPr>
      <w:r>
        <w:rPr>
          <w:rStyle w:val="EndnoteReference"/>
        </w:rPr>
        <w:endnoteRef/>
      </w:r>
      <w:r>
        <w:t xml:space="preserve"> </w:t>
      </w:r>
      <w:r>
        <w:rPr>
          <w:i/>
          <w:iCs/>
        </w:rPr>
        <w:t xml:space="preserve">CRPD </w:t>
      </w:r>
      <w:r>
        <w:t xml:space="preserve">(n 10) art 12. </w:t>
      </w:r>
    </w:p>
  </w:endnote>
  <w:endnote w:id="13">
    <w:p w14:paraId="47E236CC" w14:textId="14ABB425" w:rsidR="00CE4376" w:rsidRDefault="00CE4376">
      <w:pPr>
        <w:pStyle w:val="EndnoteText"/>
      </w:pPr>
      <w:r>
        <w:rPr>
          <w:rStyle w:val="EndnoteReference"/>
        </w:rPr>
        <w:endnoteRef/>
      </w:r>
      <w:r>
        <w:t xml:space="preserve"> </w:t>
      </w:r>
      <w:r w:rsidR="001B762E">
        <w:t xml:space="preserve">UNESCO stands for </w:t>
      </w:r>
      <w:r w:rsidR="0094041E">
        <w:t>United Nations Educational, Scientific and Cultural Organisation</w:t>
      </w:r>
      <w:r w:rsidR="001B762E">
        <w:t xml:space="preserve">. </w:t>
      </w:r>
      <w:r w:rsidR="00E2453B">
        <w:t>Australia</w:t>
      </w:r>
      <w:r w:rsidR="006D2923">
        <w:t xml:space="preserve"> is a </w:t>
      </w:r>
      <w:r w:rsidR="00F75F13">
        <w:t xml:space="preserve">founding </w:t>
      </w:r>
      <w:r w:rsidR="006D2923">
        <w:t>member State of UNESCO</w:t>
      </w:r>
      <w:r w:rsidR="0029375C">
        <w:t xml:space="preserve">. </w:t>
      </w:r>
    </w:p>
  </w:endnote>
  <w:endnote w:id="14">
    <w:p w14:paraId="44A4C590" w14:textId="1A2AA611" w:rsidR="00CE4376" w:rsidRPr="00777B85" w:rsidRDefault="00CE4376" w:rsidP="00CE4376">
      <w:pPr>
        <w:pStyle w:val="EndnoteText"/>
      </w:pPr>
      <w:r>
        <w:rPr>
          <w:rStyle w:val="EndnoteReference"/>
        </w:rPr>
        <w:endnoteRef/>
      </w:r>
      <w:r>
        <w:t xml:space="preserve"> See </w:t>
      </w:r>
      <w:r>
        <w:rPr>
          <w:i/>
          <w:iCs/>
        </w:rPr>
        <w:t xml:space="preserve">Universal Declaration on the Human Genome and Human Rights, </w:t>
      </w:r>
      <w:r>
        <w:t>GA Res 53/152 (9 December 1998, adopted 11 November 1997)</w:t>
      </w:r>
      <w:r w:rsidR="00DC79B7">
        <w:t xml:space="preserve"> (‘</w:t>
      </w:r>
      <w:r w:rsidR="00DC79B7">
        <w:rPr>
          <w:i/>
          <w:iCs/>
        </w:rPr>
        <w:t>UNESCO Declaration</w:t>
      </w:r>
      <w:r w:rsidR="00DC79B7">
        <w:t>’).</w:t>
      </w:r>
    </w:p>
  </w:endnote>
  <w:endnote w:id="15">
    <w:p w14:paraId="01279174" w14:textId="71319D9C" w:rsidR="0067793D" w:rsidRDefault="0067793D" w:rsidP="0067793D">
      <w:pPr>
        <w:pStyle w:val="EndnoteText"/>
      </w:pPr>
      <w:r>
        <w:rPr>
          <w:rStyle w:val="EndnoteReference"/>
        </w:rPr>
        <w:endnoteRef/>
      </w:r>
      <w:r>
        <w:t xml:space="preserve"> </w:t>
      </w:r>
      <w:r w:rsidR="005E3518">
        <w:t xml:space="preserve">See </w:t>
      </w:r>
      <w:r w:rsidR="00CD6C11">
        <w:t xml:space="preserve">Australian Government Treasury, </w:t>
      </w:r>
      <w:r w:rsidR="00CD6C11">
        <w:rPr>
          <w:i/>
          <w:iCs/>
        </w:rPr>
        <w:t xml:space="preserve">Ban on the Use of Adverse Genetic Testing Results in Life Insurance </w:t>
      </w:r>
      <w:r w:rsidR="00CD6C11">
        <w:t xml:space="preserve">(Consultation Paper, February 2025) </w:t>
      </w:r>
      <w:r w:rsidR="00801319">
        <w:t xml:space="preserve">3-4. </w:t>
      </w:r>
    </w:p>
  </w:endnote>
  <w:endnote w:id="16">
    <w:p w14:paraId="22D52221" w14:textId="7E802AC7" w:rsidR="00F07BE2" w:rsidRDefault="00F07BE2" w:rsidP="00F07BE2">
      <w:pPr>
        <w:pStyle w:val="EndnoteText"/>
      </w:pPr>
      <w:r>
        <w:rPr>
          <w:rStyle w:val="EndnoteReference"/>
        </w:rPr>
        <w:endnoteRef/>
      </w:r>
      <w:r>
        <w:t xml:space="preserve"> </w:t>
      </w:r>
      <w:r w:rsidR="00801319">
        <w:t xml:space="preserve">Ibid </w:t>
      </w:r>
      <w:r>
        <w:t>8</w:t>
      </w:r>
      <w:r w:rsidR="00BF0563">
        <w:t>.</w:t>
      </w:r>
    </w:p>
  </w:endnote>
  <w:endnote w:id="17">
    <w:p w14:paraId="04548E8C" w14:textId="69EA9353" w:rsidR="002B6015" w:rsidRDefault="002B6015">
      <w:pPr>
        <w:pStyle w:val="EndnoteText"/>
      </w:pPr>
      <w:r>
        <w:rPr>
          <w:rStyle w:val="EndnoteReference"/>
        </w:rPr>
        <w:endnoteRef/>
      </w:r>
      <w:r w:rsidR="00C53094">
        <w:t xml:space="preserve"> </w:t>
      </w:r>
      <w:r w:rsidR="009830B4">
        <w:t>This would have the effect of</w:t>
      </w:r>
      <w:r w:rsidR="00B45037">
        <w:t xml:space="preserve"> protecting people against discrimination</w:t>
      </w:r>
      <w:r w:rsidR="00C53094">
        <w:t xml:space="preserve"> </w:t>
      </w:r>
      <w:r w:rsidR="00B45037">
        <w:t xml:space="preserve">as </w:t>
      </w:r>
      <w:r w:rsidR="00033DD8">
        <w:t>favourable</w:t>
      </w:r>
      <w:r w:rsidR="00033DD8" w:rsidRPr="00CD4323">
        <w:t xml:space="preserve"> </w:t>
      </w:r>
      <w:r w:rsidR="00314DE9" w:rsidRPr="00CD4323">
        <w:t>tests</w:t>
      </w:r>
      <w:r w:rsidR="00314DE9">
        <w:rPr>
          <w:i/>
          <w:iCs/>
        </w:rPr>
        <w:t xml:space="preserve"> </w:t>
      </w:r>
      <w:r w:rsidR="002C07E7" w:rsidRPr="00CD4323">
        <w:t>would provide</w:t>
      </w:r>
      <w:r w:rsidRPr="00CD4323">
        <w:t xml:space="preserve"> evidence to support that the</w:t>
      </w:r>
      <w:r w:rsidR="00314DE9" w:rsidRPr="00CD4323">
        <w:t xml:space="preserve"> discrimination</w:t>
      </w:r>
      <w:r w:rsidRPr="00CD4323">
        <w:t xml:space="preserve"> does not have an actuarial basis or is not reasonable</w:t>
      </w:r>
      <w:r w:rsidR="00314DE9" w:rsidRPr="00CD4323">
        <w:t xml:space="preserve">, as per the requirements under </w:t>
      </w:r>
      <w:r w:rsidR="00721E0B" w:rsidRPr="00CD4323">
        <w:t xml:space="preserve">section 46 of </w:t>
      </w:r>
      <w:r w:rsidR="00721E0B" w:rsidRPr="00C53094">
        <w:rPr>
          <w:i/>
          <w:iCs/>
        </w:rPr>
        <w:t>the</w:t>
      </w:r>
      <w:r w:rsidR="00721E0B" w:rsidRPr="00CD4323">
        <w:t xml:space="preserve"> </w:t>
      </w:r>
      <w:r w:rsidR="00C53094">
        <w:rPr>
          <w:i/>
          <w:iCs/>
        </w:rPr>
        <w:t xml:space="preserve">Disability Discrimination </w:t>
      </w:r>
      <w:r w:rsidR="00C53094" w:rsidRPr="00C53094">
        <w:rPr>
          <w:i/>
          <w:iCs/>
        </w:rPr>
        <w:t>Act</w:t>
      </w:r>
      <w:r w:rsidR="00C53094">
        <w:rPr>
          <w:i/>
          <w:iCs/>
        </w:rPr>
        <w:t xml:space="preserve"> </w:t>
      </w:r>
      <w:r w:rsidR="00C53094" w:rsidRPr="00CD4323">
        <w:t>1992</w:t>
      </w:r>
      <w:r w:rsidR="00C53094">
        <w:rPr>
          <w:i/>
          <w:iCs/>
        </w:rPr>
        <w:t xml:space="preserve"> </w:t>
      </w:r>
      <w:r w:rsidR="00C53094">
        <w:t>(Cth</w:t>
      </w:r>
      <w:r w:rsidR="00351C66">
        <w:t>) and</w:t>
      </w:r>
      <w:r w:rsidR="00992C2B" w:rsidRPr="00CD4323">
        <w:t xml:space="preserve"> therefore would be unlawful</w:t>
      </w:r>
      <w:r w:rsidR="00992C2B">
        <w:rPr>
          <w:i/>
          <w:iCs/>
        </w:rPr>
        <w:t xml:space="preserve">. </w:t>
      </w:r>
    </w:p>
  </w:endnote>
  <w:endnote w:id="18">
    <w:p w14:paraId="19C60BB4" w14:textId="371B7C40" w:rsidR="00A97959" w:rsidRDefault="00A97959" w:rsidP="00A97959">
      <w:pPr>
        <w:pStyle w:val="EndnoteText"/>
      </w:pPr>
      <w:r w:rsidRPr="007C64C3">
        <w:rPr>
          <w:rStyle w:val="EndnoteReference"/>
          <w:i/>
          <w:iCs/>
        </w:rPr>
        <w:endnoteRef/>
      </w:r>
      <w:r>
        <w:t xml:space="preserve"> </w:t>
      </w:r>
      <w:r w:rsidR="006555CB">
        <w:rPr>
          <w:i/>
          <w:iCs/>
        </w:rPr>
        <w:t>UNESCO</w:t>
      </w:r>
      <w:r w:rsidR="006555CB" w:rsidRPr="00A22A0B">
        <w:rPr>
          <w:i/>
          <w:iCs/>
        </w:rPr>
        <w:t xml:space="preserve"> Declaration</w:t>
      </w:r>
      <w:r w:rsidR="006555CB">
        <w:rPr>
          <w:i/>
          <w:iCs/>
        </w:rPr>
        <w:t xml:space="preserve"> </w:t>
      </w:r>
      <w:r w:rsidR="00A22A0B">
        <w:t>(</w:t>
      </w:r>
      <w:r w:rsidR="006555CB">
        <w:t xml:space="preserve">n </w:t>
      </w:r>
      <w:r w:rsidR="00DF0E78">
        <w:t>1</w:t>
      </w:r>
      <w:r w:rsidR="00DC1A47">
        <w:t>3</w:t>
      </w:r>
      <w:r w:rsidR="00A22A0B">
        <w:t>)</w:t>
      </w:r>
      <w:r>
        <w:t xml:space="preserve"> </w:t>
      </w:r>
      <w:r w:rsidR="006555CB">
        <w:t>art 4</w:t>
      </w:r>
      <w:r w:rsidR="00A22A0B">
        <w:t>.</w:t>
      </w:r>
    </w:p>
  </w:endnote>
  <w:endnote w:id="19">
    <w:p w14:paraId="29E469A7" w14:textId="40FE250E" w:rsidR="00C84100" w:rsidRPr="000522FF" w:rsidRDefault="00C84100" w:rsidP="00C84100">
      <w:pPr>
        <w:pStyle w:val="EndnoteText"/>
      </w:pPr>
      <w:r>
        <w:rPr>
          <w:rStyle w:val="EndnoteReference"/>
        </w:rPr>
        <w:endnoteRef/>
      </w:r>
      <w:r>
        <w:t xml:space="preserve"> </w:t>
      </w:r>
      <w:r w:rsidR="00A22A0B" w:rsidRPr="007C64C3">
        <w:rPr>
          <w:i/>
          <w:iCs/>
        </w:rPr>
        <w:t>United Nations International Covenant on Civil and Political Rights</w:t>
      </w:r>
      <w:r w:rsidR="00A22A0B" w:rsidRPr="00D30DA1">
        <w:rPr>
          <w:i/>
          <w:iCs/>
        </w:rPr>
        <w:t xml:space="preserve">, </w:t>
      </w:r>
      <w:r w:rsidR="00A22A0B" w:rsidRPr="00F00D57">
        <w:t>GA 2200A (XXI) (23 March 1976, adopted 16 December 1966)</w:t>
      </w:r>
      <w:r>
        <w:t xml:space="preserve"> art 17</w:t>
      </w:r>
      <w:r w:rsidR="00A22A0B">
        <w:t xml:space="preserve"> (‘</w:t>
      </w:r>
      <w:r w:rsidR="00A22A0B">
        <w:rPr>
          <w:i/>
          <w:iCs/>
        </w:rPr>
        <w:t>IC</w:t>
      </w:r>
      <w:r w:rsidR="00D30DA1">
        <w:rPr>
          <w:i/>
          <w:iCs/>
        </w:rPr>
        <w:t>CPR</w:t>
      </w:r>
      <w:r w:rsidR="00D30DA1">
        <w:t>’)</w:t>
      </w:r>
      <w:r w:rsidR="000522FF">
        <w:t xml:space="preserve">; </w:t>
      </w:r>
      <w:r w:rsidR="000522FF">
        <w:rPr>
          <w:i/>
          <w:iCs/>
        </w:rPr>
        <w:t xml:space="preserve">CRPD </w:t>
      </w:r>
      <w:r w:rsidR="000522FF">
        <w:t>(n 10) art</w:t>
      </w:r>
      <w:r w:rsidR="002E2B7B">
        <w:t xml:space="preserve"> 22(2). </w:t>
      </w:r>
    </w:p>
  </w:endnote>
  <w:endnote w:id="20">
    <w:p w14:paraId="3AB5ED3B" w14:textId="77DED6FE" w:rsidR="00C84100" w:rsidRDefault="00C84100" w:rsidP="00C84100">
      <w:pPr>
        <w:pStyle w:val="EndnoteText"/>
      </w:pPr>
      <w:r>
        <w:rPr>
          <w:rStyle w:val="EndnoteReference"/>
        </w:rPr>
        <w:endnoteRef/>
      </w:r>
      <w:r>
        <w:t xml:space="preserve"> </w:t>
      </w:r>
      <w:r w:rsidRPr="007C64C3">
        <w:rPr>
          <w:i/>
          <w:iCs/>
        </w:rPr>
        <w:t>CRPD</w:t>
      </w:r>
      <w:r w:rsidR="00440C40">
        <w:t xml:space="preserve"> (n 10)</w:t>
      </w:r>
      <w:r>
        <w:t xml:space="preserve"> art 22. </w:t>
      </w:r>
    </w:p>
  </w:endnote>
  <w:endnote w:id="21">
    <w:p w14:paraId="15823C50" w14:textId="4B528D95" w:rsidR="006E10FA" w:rsidRDefault="006E10FA">
      <w:pPr>
        <w:pStyle w:val="EndnoteText"/>
      </w:pPr>
      <w:r>
        <w:rPr>
          <w:rStyle w:val="EndnoteReference"/>
        </w:rPr>
        <w:endnoteRef/>
      </w:r>
      <w:r>
        <w:t xml:space="preserve"> </w:t>
      </w:r>
      <w:r w:rsidRPr="007C64C3">
        <w:rPr>
          <w:i/>
          <w:iCs/>
        </w:rPr>
        <w:t>UNESCO Declaration</w:t>
      </w:r>
      <w:r>
        <w:t xml:space="preserve"> </w:t>
      </w:r>
      <w:r w:rsidR="002E2B7B">
        <w:t>(n 1</w:t>
      </w:r>
      <w:r w:rsidR="00DC1A47">
        <w:t>3</w:t>
      </w:r>
      <w:r w:rsidR="002E2B7B">
        <w:t xml:space="preserve">) </w:t>
      </w:r>
      <w:r>
        <w:t>art 7</w:t>
      </w:r>
      <w:r w:rsidR="00346E32">
        <w:t>.</w:t>
      </w:r>
    </w:p>
  </w:endnote>
  <w:endnote w:id="22">
    <w:p w14:paraId="59AB02A6" w14:textId="05290BB2" w:rsidR="003D1D2A" w:rsidRDefault="003D1D2A">
      <w:pPr>
        <w:pStyle w:val="EndnoteText"/>
      </w:pPr>
      <w:r>
        <w:rPr>
          <w:rStyle w:val="EndnoteReference"/>
        </w:rPr>
        <w:endnoteRef/>
      </w:r>
      <w:r>
        <w:t xml:space="preserve"> This can include prescribed medications, participation in </w:t>
      </w:r>
      <w:r w:rsidR="00DB212E">
        <w:t>preventative health trials (which may require a positive genetic tes</w:t>
      </w:r>
      <w:r w:rsidR="00A433FE">
        <w:t>t</w:t>
      </w:r>
      <w:r w:rsidR="004E2E13">
        <w:t xml:space="preserve">), and any other indirect method of inferring genetic test results. </w:t>
      </w:r>
    </w:p>
  </w:endnote>
  <w:endnote w:id="23">
    <w:p w14:paraId="75E5A7E7" w14:textId="094765F8" w:rsidR="00A05181" w:rsidRDefault="00A05181">
      <w:pPr>
        <w:pStyle w:val="EndnoteText"/>
      </w:pPr>
      <w:r>
        <w:rPr>
          <w:rStyle w:val="EndnoteReference"/>
        </w:rPr>
        <w:endnoteRef/>
      </w:r>
      <w:r>
        <w:t xml:space="preserve"> </w:t>
      </w:r>
      <w:r w:rsidR="00304E92" w:rsidRPr="007C64C3">
        <w:rPr>
          <w:i/>
          <w:iCs/>
        </w:rPr>
        <w:t>CRPD</w:t>
      </w:r>
      <w:r w:rsidR="005A4712">
        <w:t xml:space="preserve"> (n 10)</w:t>
      </w:r>
      <w:r w:rsidR="00F12445">
        <w:t xml:space="preserve"> art 25</w:t>
      </w:r>
      <w:r w:rsidR="00F12445" w:rsidRPr="009F4823">
        <w:t>;</w:t>
      </w:r>
      <w:r w:rsidR="00304E92" w:rsidRPr="009F4823">
        <w:t xml:space="preserve"> </w:t>
      </w:r>
      <w:r w:rsidR="00014C40" w:rsidRPr="007C64C3">
        <w:rPr>
          <w:i/>
          <w:iCs/>
        </w:rPr>
        <w:t>International Covenant on Economic, Social and Cultural Rights</w:t>
      </w:r>
      <w:r w:rsidR="00014C40" w:rsidRPr="00F00D57">
        <w:rPr>
          <w:i/>
          <w:iCs/>
        </w:rPr>
        <w:t xml:space="preserve">, </w:t>
      </w:r>
      <w:r w:rsidR="00014C40" w:rsidRPr="00F00D57">
        <w:t>opened for signature 16 December 1966, GA RES 2200A (XXI) (entered into force 3 January 1976)</w:t>
      </w:r>
      <w:r w:rsidR="00F12445">
        <w:t xml:space="preserve"> art 1</w:t>
      </w:r>
      <w:r w:rsidR="00F437CC">
        <w:t>2</w:t>
      </w:r>
      <w:r w:rsidR="00D50229">
        <w:t>.</w:t>
      </w:r>
    </w:p>
  </w:endnote>
  <w:endnote w:id="24">
    <w:p w14:paraId="705AC7CC" w14:textId="1676CB92" w:rsidR="00C84100" w:rsidRPr="008937FD" w:rsidRDefault="00C84100" w:rsidP="00C84100">
      <w:pPr>
        <w:pStyle w:val="EndnoteText"/>
      </w:pPr>
      <w:r>
        <w:rPr>
          <w:rStyle w:val="EndnoteReference"/>
        </w:rPr>
        <w:endnoteRef/>
      </w:r>
      <w:r>
        <w:t xml:space="preserve"> </w:t>
      </w:r>
      <w:r w:rsidR="008D5128">
        <w:t xml:space="preserve">See </w:t>
      </w:r>
      <w:r w:rsidR="00046FD9">
        <w:t>Jane Tiller</w:t>
      </w:r>
      <w:r w:rsidR="001271CA">
        <w:t xml:space="preserve">, </w:t>
      </w:r>
      <w:r w:rsidR="000F084C">
        <w:t xml:space="preserve">Submission </w:t>
      </w:r>
      <w:r w:rsidR="000E427C">
        <w:t>to Australian Government Treasury</w:t>
      </w:r>
      <w:r w:rsidR="00283A58">
        <w:t xml:space="preserve">, </w:t>
      </w:r>
      <w:r w:rsidR="008937FD">
        <w:rPr>
          <w:i/>
          <w:iCs/>
        </w:rPr>
        <w:t xml:space="preserve">Ban on the use of adverse genetic test results in life insurance </w:t>
      </w:r>
      <w:r w:rsidR="008937FD">
        <w:t>(</w:t>
      </w:r>
      <w:r w:rsidR="009756B2">
        <w:t>Monash University</w:t>
      </w:r>
      <w:r w:rsidR="00A31CDF">
        <w:t xml:space="preserve">, </w:t>
      </w:r>
      <w:r w:rsidR="008C06B7">
        <w:t>13 March 2025</w:t>
      </w:r>
      <w:r w:rsidR="009756B2">
        <w:t>)</w:t>
      </w:r>
      <w:r w:rsidR="00B156D6">
        <w:t xml:space="preserve"> </w:t>
      </w:r>
      <w:r w:rsidR="00DB69AF">
        <w:t xml:space="preserve">4-5. </w:t>
      </w:r>
    </w:p>
  </w:endnote>
  <w:endnote w:id="25">
    <w:p w14:paraId="65AFD55E" w14:textId="666C52FD" w:rsidR="00C84100" w:rsidRDefault="00C84100" w:rsidP="00043542">
      <w:pPr>
        <w:pStyle w:val="EndnoteText"/>
      </w:pPr>
      <w:r>
        <w:rPr>
          <w:rStyle w:val="EndnoteReference"/>
        </w:rPr>
        <w:endnoteRef/>
      </w:r>
      <w:r>
        <w:t xml:space="preserve"> </w:t>
      </w:r>
      <w:r w:rsidR="00043542">
        <w:t xml:space="preserve">See </w:t>
      </w:r>
      <w:r w:rsidR="00043542">
        <w:rPr>
          <w:i/>
          <w:iCs/>
        </w:rPr>
        <w:t xml:space="preserve">CPRD </w:t>
      </w:r>
      <w:r w:rsidR="00043542">
        <w:t xml:space="preserve">(n 10) arts 5, 25(e); Australian Human Rights Commission, Submission to Australian Government Treasury, </w:t>
      </w:r>
      <w:r w:rsidR="00043542" w:rsidRPr="007C1048">
        <w:rPr>
          <w:i/>
          <w:iCs/>
        </w:rPr>
        <w:t xml:space="preserve">Use of genetic testing results in life insurance underwriting </w:t>
      </w:r>
      <w:r w:rsidR="00043542">
        <w:t>(16 February 2024)</w:t>
      </w:r>
      <w:r w:rsidR="00F07B44">
        <w:t xml:space="preserve">. </w:t>
      </w:r>
    </w:p>
  </w:endnote>
  <w:endnote w:id="26">
    <w:p w14:paraId="209033B6" w14:textId="7097523F" w:rsidR="00F9686C" w:rsidRDefault="00F9686C" w:rsidP="00F9686C">
      <w:pPr>
        <w:pStyle w:val="EndnoteText"/>
      </w:pPr>
      <w:r>
        <w:rPr>
          <w:rStyle w:val="EndnoteReference"/>
        </w:rPr>
        <w:endnoteRef/>
      </w:r>
      <w:r>
        <w:t xml:space="preserve"> </w:t>
      </w:r>
      <w:r w:rsidR="0030584E">
        <w:t xml:space="preserve">See Jane Tiller, Submission to Australian Government Treasury, </w:t>
      </w:r>
      <w:r w:rsidR="0030584E">
        <w:rPr>
          <w:i/>
          <w:iCs/>
        </w:rPr>
        <w:t xml:space="preserve">Ban on the use of adverse genetic test results in life insurance </w:t>
      </w:r>
      <w:r w:rsidR="0030584E">
        <w:t>(Monash University, 13 March 2025)</w:t>
      </w:r>
      <w:r w:rsidR="005744A6">
        <w:t xml:space="preserve"> 9-12. </w:t>
      </w:r>
    </w:p>
  </w:endnote>
  <w:endnote w:id="27">
    <w:p w14:paraId="195672CC" w14:textId="19737BD7" w:rsidR="001B7D0C" w:rsidRDefault="001B7D0C">
      <w:pPr>
        <w:pStyle w:val="EndnoteText"/>
      </w:pPr>
      <w:r>
        <w:rPr>
          <w:rStyle w:val="EndnoteReference"/>
        </w:rPr>
        <w:endnoteRef/>
      </w:r>
      <w:r>
        <w:t xml:space="preserve"> See </w:t>
      </w:r>
      <w:r w:rsidR="00F32A44">
        <w:t xml:space="preserve">Committee on the Rights of Persons with Disabilities, </w:t>
      </w:r>
      <w:r w:rsidR="00F32A44">
        <w:rPr>
          <w:i/>
          <w:iCs/>
        </w:rPr>
        <w:t xml:space="preserve">General Comment No. </w:t>
      </w:r>
      <w:r w:rsidR="005A16AD">
        <w:rPr>
          <w:i/>
          <w:iCs/>
        </w:rPr>
        <w:t>1</w:t>
      </w:r>
      <w:r w:rsidR="00F32A44">
        <w:rPr>
          <w:i/>
          <w:iCs/>
        </w:rPr>
        <w:t xml:space="preserve"> (201</w:t>
      </w:r>
      <w:r w:rsidR="00737DE4">
        <w:rPr>
          <w:i/>
          <w:iCs/>
        </w:rPr>
        <w:t>4</w:t>
      </w:r>
      <w:r w:rsidR="00F32A44">
        <w:rPr>
          <w:i/>
          <w:iCs/>
        </w:rPr>
        <w:t xml:space="preserve">) on </w:t>
      </w:r>
      <w:r w:rsidR="00737DE4">
        <w:rPr>
          <w:i/>
          <w:iCs/>
        </w:rPr>
        <w:t>Article 12: Equal recognition before the law</w:t>
      </w:r>
      <w:r w:rsidR="00F32A44">
        <w:t>, UN Doc CPRD/C/GC/</w:t>
      </w:r>
      <w:r w:rsidR="00737DE4">
        <w:t>1</w:t>
      </w:r>
      <w:r w:rsidR="00F32A44">
        <w:t xml:space="preserve"> (</w:t>
      </w:r>
      <w:r w:rsidR="006A3D55">
        <w:t>19 May</w:t>
      </w:r>
      <w:r w:rsidR="00F32A44">
        <w:t xml:space="preserve"> 201</w:t>
      </w:r>
      <w:r w:rsidR="006A3D55">
        <w:t>4</w:t>
      </w:r>
      <w:r w:rsidR="007F2268">
        <w:t xml:space="preserve">); See also </w:t>
      </w:r>
      <w:r w:rsidR="00E86100">
        <w:rPr>
          <w:i/>
          <w:iCs/>
        </w:rPr>
        <w:t xml:space="preserve">ICCPR </w:t>
      </w:r>
      <w:r w:rsidR="00E86100">
        <w:t>(n 1</w:t>
      </w:r>
      <w:r w:rsidR="00870FB3">
        <w:t>8</w:t>
      </w:r>
      <w:r w:rsidR="00E86100">
        <w:t>) art 16</w:t>
      </w:r>
      <w:r w:rsidR="00F44C7C">
        <w:t xml:space="preserve">; </w:t>
      </w:r>
      <w:r w:rsidR="00F44C7C" w:rsidRPr="0067373D">
        <w:rPr>
          <w:i/>
          <w:iCs/>
        </w:rPr>
        <w:t>United Nations Universal Declaration of Human Rights</w:t>
      </w:r>
      <w:r w:rsidR="00F44C7C" w:rsidRPr="00F44C7C">
        <w:rPr>
          <w:i/>
          <w:iCs/>
        </w:rPr>
        <w:t>,</w:t>
      </w:r>
      <w:r w:rsidR="00F44C7C" w:rsidRPr="00F00D57">
        <w:rPr>
          <w:i/>
          <w:iCs/>
        </w:rPr>
        <w:t xml:space="preserve"> </w:t>
      </w:r>
      <w:r w:rsidR="00F44C7C" w:rsidRPr="00F00D57">
        <w:t>GA Res 217/A(III) (adopted 10 December 1948)</w:t>
      </w:r>
      <w:r w:rsidR="00F44C7C">
        <w:t xml:space="preserve"> art 6. </w:t>
      </w:r>
    </w:p>
  </w:endnote>
  <w:endnote w:id="28">
    <w:p w14:paraId="1EDD70A9" w14:textId="08CA2133" w:rsidR="008B46B7" w:rsidRDefault="008B46B7">
      <w:pPr>
        <w:pStyle w:val="EndnoteText"/>
      </w:pPr>
      <w:r>
        <w:rPr>
          <w:rStyle w:val="EndnoteReference"/>
        </w:rPr>
        <w:endnoteRef/>
      </w:r>
      <w:r>
        <w:t xml:space="preserve"> </w:t>
      </w:r>
      <w:r w:rsidR="008B7278">
        <w:t xml:space="preserve">Committee on the Rights of Persons with Disabilities, </w:t>
      </w:r>
      <w:r w:rsidR="008B7278">
        <w:rPr>
          <w:i/>
          <w:iCs/>
        </w:rPr>
        <w:t>General Comment No. 1 (2014) on Article 12: Equal recognition before the law</w:t>
      </w:r>
      <w:r w:rsidR="008B7278">
        <w:t>, UN Doc CPRD/C/GC/1 (19 May 2014)</w:t>
      </w:r>
      <w:r>
        <w:t xml:space="preserve"> [25]</w:t>
      </w:r>
      <w:r w:rsidR="00E90850">
        <w:t>.</w:t>
      </w:r>
      <w:r>
        <w:t xml:space="preserve"> </w:t>
      </w:r>
    </w:p>
  </w:endnote>
  <w:endnote w:id="29">
    <w:p w14:paraId="59E06916" w14:textId="2FCCC5AF" w:rsidR="001308CB" w:rsidRDefault="001308CB">
      <w:pPr>
        <w:pStyle w:val="EndnoteText"/>
      </w:pPr>
      <w:r>
        <w:rPr>
          <w:rStyle w:val="EndnoteReference"/>
        </w:rPr>
        <w:endnoteRef/>
      </w:r>
      <w:r>
        <w:t xml:space="preserve"> </w:t>
      </w:r>
      <w:r w:rsidRPr="0067373D">
        <w:rPr>
          <w:i/>
          <w:iCs/>
        </w:rPr>
        <w:t>CRPD</w:t>
      </w:r>
      <w:r w:rsidR="0004257A">
        <w:t xml:space="preserve"> (n 10)</w:t>
      </w:r>
      <w:r>
        <w:t xml:space="preserve"> art 12</w:t>
      </w:r>
      <w:r w:rsidR="0004257A">
        <w:t>.</w:t>
      </w:r>
    </w:p>
  </w:endnote>
  <w:endnote w:id="30">
    <w:p w14:paraId="74ADA0B1" w14:textId="4635317B" w:rsidR="00722E8A" w:rsidRDefault="00722E8A">
      <w:pPr>
        <w:pStyle w:val="EndnoteText"/>
      </w:pPr>
      <w:r>
        <w:rPr>
          <w:rStyle w:val="EndnoteReference"/>
        </w:rPr>
        <w:endnoteRef/>
      </w:r>
      <w:r>
        <w:t xml:space="preserve"> </w:t>
      </w:r>
      <w:r w:rsidR="000A650E">
        <w:t>Recommendation</w:t>
      </w:r>
      <w:r w:rsidR="00E23ED7">
        <w:t>s</w:t>
      </w:r>
      <w:r w:rsidR="000A650E">
        <w:t xml:space="preserve"> 3-1</w:t>
      </w:r>
      <w:r w:rsidR="00E23ED7">
        <w:t xml:space="preserve">, 3-2, 3-3 and 3-4 </w:t>
      </w:r>
      <w:r w:rsidR="000A650E">
        <w:t xml:space="preserve">of the ALRC Final Report </w:t>
      </w:r>
      <w:r w:rsidR="00E23ED7">
        <w:t>outline the</w:t>
      </w:r>
      <w:r w:rsidR="000A650E">
        <w:t xml:space="preserve"> </w:t>
      </w:r>
      <w:r w:rsidR="00D90F09">
        <w:t>National Principles</w:t>
      </w:r>
      <w:r w:rsidR="000A650E">
        <w:t xml:space="preserve">  </w:t>
      </w:r>
      <w:r w:rsidR="00E23ED7">
        <w:t xml:space="preserve">and Guidelines: </w:t>
      </w:r>
      <w:r w:rsidRPr="004D65D1">
        <w:t xml:space="preserve">Australian Law Reform Commission, </w:t>
      </w:r>
      <w:r w:rsidRPr="004D65D1">
        <w:rPr>
          <w:i/>
          <w:iCs/>
        </w:rPr>
        <w:t xml:space="preserve">Equality, Capacity and Disability in Commonwealth Laws </w:t>
      </w:r>
      <w:r w:rsidRPr="004D65D1">
        <w:t>(Final Report, August 2014) 63-89 &lt;</w:t>
      </w:r>
      <w:hyperlink r:id="rId2" w:history="1">
        <w:r w:rsidRPr="00A219BD">
          <w:rPr>
            <w:rStyle w:val="Hyperlink"/>
          </w:rPr>
          <w:t>https://www.alrc.gov.au/wp-content/uploads/2019/08/alrc_124_whole_pdf_file.pdf</w:t>
        </w:r>
      </w:hyperlink>
      <w:r w:rsidRPr="004D65D1">
        <w:t>&gt;.</w:t>
      </w:r>
    </w:p>
  </w:endnote>
  <w:endnote w:id="31">
    <w:p w14:paraId="12A7AC70" w14:textId="6B8939F3" w:rsidR="00DA25F7" w:rsidRDefault="00DA25F7">
      <w:pPr>
        <w:pStyle w:val="EndnoteText"/>
      </w:pPr>
      <w:r w:rsidRPr="00A219BD">
        <w:rPr>
          <w:rStyle w:val="EndnoteReference"/>
        </w:rPr>
        <w:endnoteRef/>
      </w:r>
      <w:r w:rsidRPr="00A219BD">
        <w:t xml:space="preserve"> </w:t>
      </w:r>
      <w:r w:rsidR="00722E8A">
        <w:t>Ibid 63 [3.1]</w:t>
      </w:r>
      <w:r w:rsidR="000A650E">
        <w:t>.</w:t>
      </w:r>
    </w:p>
  </w:endnote>
  <w:endnote w:id="32">
    <w:p w14:paraId="60F04AD1" w14:textId="62F4EC3A" w:rsidR="00867638" w:rsidRPr="00504943" w:rsidRDefault="00867638" w:rsidP="00596F95">
      <w:pPr>
        <w:pStyle w:val="EndnoteText"/>
        <w:rPr>
          <w:highlight w:val="yellow"/>
        </w:rPr>
      </w:pPr>
      <w:r w:rsidRPr="00504943">
        <w:rPr>
          <w:rStyle w:val="EndnoteReference"/>
        </w:rPr>
        <w:endnoteRef/>
      </w:r>
      <w:r w:rsidRPr="00504943">
        <w:t xml:space="preserve"> </w:t>
      </w:r>
      <w:r w:rsidR="00135D6B" w:rsidRPr="00504943">
        <w:t xml:space="preserve">For example, the Commission has non-disclosure requirements outlined at section 49 of the </w:t>
      </w:r>
      <w:r w:rsidR="00135D6B" w:rsidRPr="00504943">
        <w:rPr>
          <w:i/>
          <w:iCs/>
        </w:rPr>
        <w:t xml:space="preserve">Australian Human Rights Commission Act 1986 </w:t>
      </w:r>
      <w:r w:rsidR="00135D6B" w:rsidRPr="00504943">
        <w:t>(Cth) to ensure the confidentiality of personal information acquired by the Commission.</w:t>
      </w:r>
      <w:r w:rsidR="00504943">
        <w:t xml:space="preserve"> </w:t>
      </w:r>
    </w:p>
  </w:endnote>
  <w:endnote w:id="33">
    <w:p w14:paraId="4240B9BF" w14:textId="6A0F66C0" w:rsidR="0034112C" w:rsidRPr="00AF583F" w:rsidRDefault="0034112C">
      <w:pPr>
        <w:pStyle w:val="EndnoteText"/>
        <w:rPr>
          <w:highlight w:val="yellow"/>
        </w:rPr>
      </w:pPr>
      <w:r w:rsidRPr="000E2EF2">
        <w:rPr>
          <w:rStyle w:val="EndnoteReference"/>
        </w:rPr>
        <w:endnoteRef/>
      </w:r>
      <w:r w:rsidRPr="000E2EF2">
        <w:t xml:space="preserve"> </w:t>
      </w:r>
      <w:r w:rsidR="003F04AB" w:rsidRPr="00AF583F">
        <w:rPr>
          <w:i/>
          <w:iCs/>
        </w:rPr>
        <w:t xml:space="preserve">Insurance </w:t>
      </w:r>
      <w:r w:rsidR="00DF0ABD" w:rsidRPr="00AF583F">
        <w:rPr>
          <w:i/>
          <w:iCs/>
        </w:rPr>
        <w:t>Contracts</w:t>
      </w:r>
      <w:r w:rsidR="003F04AB" w:rsidRPr="00AF583F">
        <w:rPr>
          <w:i/>
          <w:iCs/>
        </w:rPr>
        <w:t xml:space="preserve"> Act</w:t>
      </w:r>
      <w:r w:rsidR="00B968C0" w:rsidRPr="00AF583F">
        <w:rPr>
          <w:i/>
          <w:iCs/>
        </w:rPr>
        <w:t xml:space="preserve"> 1984 </w:t>
      </w:r>
      <w:r w:rsidR="00B968C0" w:rsidRPr="00AF583F">
        <w:t>(Cth) s</w:t>
      </w:r>
      <w:r w:rsidR="008D76AA" w:rsidRPr="00AF583F">
        <w:t>s</w:t>
      </w:r>
      <w:r w:rsidR="00B968C0" w:rsidRPr="00AF583F">
        <w:t xml:space="preserve"> 20</w:t>
      </w:r>
      <w:r w:rsidR="00CB66E0" w:rsidRPr="00AF583F">
        <w:t>B</w:t>
      </w:r>
      <w:r w:rsidR="00B968C0" w:rsidRPr="00AF583F">
        <w:t>, s 21</w:t>
      </w:r>
      <w:r w:rsidR="00CB66E0" w:rsidRPr="00AF583F">
        <w:t>.</w:t>
      </w:r>
    </w:p>
  </w:endnote>
  <w:endnote w:id="34">
    <w:p w14:paraId="71EA6E38" w14:textId="1A17204A" w:rsidR="009F7EC6" w:rsidRPr="00261F6E" w:rsidRDefault="009F7EC6">
      <w:pPr>
        <w:pStyle w:val="EndnoteText"/>
        <w:rPr>
          <w:highlight w:val="yellow"/>
        </w:rPr>
      </w:pPr>
      <w:r w:rsidRPr="0003717A">
        <w:rPr>
          <w:rStyle w:val="EndnoteReference"/>
        </w:rPr>
        <w:endnoteRef/>
      </w:r>
      <w:r w:rsidRPr="0003717A">
        <w:t xml:space="preserve"> </w:t>
      </w:r>
      <w:r w:rsidR="003D1F9A" w:rsidRPr="0003717A">
        <w:t>Jane</w:t>
      </w:r>
      <w:r w:rsidR="003D1F9A">
        <w:t xml:space="preserve"> Tiller et al, </w:t>
      </w:r>
      <w:r w:rsidR="003D1F9A" w:rsidRPr="0062478C">
        <w:rPr>
          <w:i/>
          <w:iCs/>
        </w:rPr>
        <w:t>The A</w:t>
      </w:r>
      <w:r w:rsidR="003D1F9A">
        <w:rPr>
          <w:i/>
          <w:iCs/>
        </w:rPr>
        <w:t>-</w:t>
      </w:r>
      <w:r w:rsidR="003D1F9A" w:rsidRPr="0062478C">
        <w:rPr>
          <w:i/>
          <w:iCs/>
        </w:rPr>
        <w:t>GLIMMER (Australian Genetics &amp; Life Insurance Moratorium: Monitoring the Effectiveness and Response) Project: Final Stakeholder Report</w:t>
      </w:r>
      <w:r w:rsidR="003D1F9A">
        <w:t xml:space="preserve"> (Monash University,</w:t>
      </w:r>
      <w:r w:rsidR="00926C3B">
        <w:t xml:space="preserve"> </w:t>
      </w:r>
      <w:r w:rsidR="00082784">
        <w:t>30 June</w:t>
      </w:r>
      <w:r w:rsidR="003D1F9A">
        <w:t xml:space="preserve"> 2023)</w:t>
      </w:r>
      <w:r w:rsidR="00121868">
        <w:t xml:space="preserve"> </w:t>
      </w:r>
      <w:r w:rsidR="0003717A">
        <w:t xml:space="preserve">4, </w:t>
      </w:r>
      <w:r w:rsidR="00121868">
        <w:t xml:space="preserve">36. </w:t>
      </w:r>
    </w:p>
  </w:endnote>
  <w:endnote w:id="35">
    <w:p w14:paraId="5A30B049" w14:textId="0471FFF2" w:rsidR="007941A7" w:rsidRPr="00AF583F" w:rsidRDefault="007941A7" w:rsidP="007941A7">
      <w:pPr>
        <w:pStyle w:val="EndnoteText"/>
        <w:rPr>
          <w:highlight w:val="yellow"/>
        </w:rPr>
      </w:pPr>
      <w:r w:rsidRPr="00C97175">
        <w:rPr>
          <w:rStyle w:val="EndnoteReference"/>
        </w:rPr>
        <w:endnoteRef/>
      </w:r>
      <w:r w:rsidRPr="00C97175">
        <w:t xml:space="preserve"> </w:t>
      </w:r>
      <w:r w:rsidR="009D50C4" w:rsidRPr="00C97175">
        <w:t xml:space="preserve">See Australian Human Rights Commission, Submission to Australian Government Treasury, </w:t>
      </w:r>
      <w:r w:rsidR="009D50C4" w:rsidRPr="00C97175">
        <w:rPr>
          <w:i/>
          <w:iCs/>
        </w:rPr>
        <w:t>Use of</w:t>
      </w:r>
      <w:r w:rsidR="009D50C4" w:rsidRPr="007C1048">
        <w:rPr>
          <w:i/>
          <w:iCs/>
        </w:rPr>
        <w:t xml:space="preserve"> genetic testing results in life insurance underwriting </w:t>
      </w:r>
      <w:r w:rsidR="009D50C4">
        <w:t>(16 February 2024)</w:t>
      </w:r>
      <w:r w:rsidR="006C0EBD">
        <w:t xml:space="preserve"> 20-22. </w:t>
      </w:r>
    </w:p>
  </w:endnote>
  <w:endnote w:id="36">
    <w:p w14:paraId="196BD7D4" w14:textId="1FB1F404" w:rsidR="009506A0" w:rsidRPr="00596F95" w:rsidRDefault="009506A0" w:rsidP="009506A0">
      <w:pPr>
        <w:pStyle w:val="EndnoteText"/>
        <w:rPr>
          <w:highlight w:val="yellow"/>
        </w:rPr>
      </w:pPr>
      <w:r w:rsidRPr="00934A9B">
        <w:rPr>
          <w:rStyle w:val="EndnoteReference"/>
        </w:rPr>
        <w:endnoteRef/>
      </w:r>
      <w:r w:rsidRPr="00934A9B">
        <w:t xml:space="preserve"> </w:t>
      </w:r>
      <w:r w:rsidR="00AF6DC2" w:rsidRPr="00934A9B">
        <w:t>For</w:t>
      </w:r>
      <w:r w:rsidR="00AF6DC2">
        <w:t xml:space="preserve"> example, private health insurers are subject to the provisions under the Disability Discrimination Act to not discriminate on the basis of disability in the provision of health insurance products, as well as having industry specific obligations under the </w:t>
      </w:r>
      <w:r w:rsidRPr="00576CE9">
        <w:rPr>
          <w:i/>
          <w:iCs/>
        </w:rPr>
        <w:t>Private Health Insurance Act</w:t>
      </w:r>
      <w:r w:rsidRPr="00576CE9">
        <w:t xml:space="preserve"> </w:t>
      </w:r>
      <w:r w:rsidRPr="00576CE9">
        <w:rPr>
          <w:i/>
          <w:iCs/>
        </w:rPr>
        <w:t xml:space="preserve">2007 </w:t>
      </w:r>
      <w:r w:rsidRPr="00576CE9">
        <w:t xml:space="preserve">(Cth) Div 55-5. </w:t>
      </w:r>
    </w:p>
  </w:endnote>
  <w:endnote w:id="37">
    <w:p w14:paraId="12DCC4EE" w14:textId="3D98EA9B" w:rsidR="002E44B1" w:rsidRPr="00596F95" w:rsidRDefault="002E44B1">
      <w:pPr>
        <w:pStyle w:val="EndnoteText"/>
        <w:rPr>
          <w:highlight w:val="yellow"/>
        </w:rPr>
      </w:pPr>
      <w:r w:rsidRPr="00651915">
        <w:rPr>
          <w:rStyle w:val="EndnoteReference"/>
        </w:rPr>
        <w:endnoteRef/>
      </w:r>
      <w:r w:rsidRPr="00651915">
        <w:t xml:space="preserve"> </w:t>
      </w:r>
      <w:r w:rsidR="000675E0" w:rsidRPr="00651915">
        <w:t>See</w:t>
      </w:r>
      <w:r w:rsidR="000675E0">
        <w:t xml:space="preserve"> Australian Human Rights Commission, Submission to Australian Government Treasury, </w:t>
      </w:r>
      <w:r w:rsidR="000675E0" w:rsidRPr="007C1048">
        <w:rPr>
          <w:i/>
          <w:iCs/>
        </w:rPr>
        <w:t xml:space="preserve">Use of genetic testing results in life insurance underwriting </w:t>
      </w:r>
      <w:r w:rsidR="000675E0">
        <w:t>(16 February 2024)</w:t>
      </w:r>
      <w:r w:rsidR="0095194D">
        <w:t xml:space="preserve"> 20-22</w:t>
      </w:r>
      <w:r w:rsidR="00517949">
        <w:t>.</w:t>
      </w:r>
    </w:p>
  </w:endnote>
  <w:endnote w:id="38">
    <w:p w14:paraId="3CE96CF8" w14:textId="77777777" w:rsidR="00512CCC" w:rsidRPr="00596F95" w:rsidRDefault="00512CCC" w:rsidP="00512CCC">
      <w:pPr>
        <w:pStyle w:val="EndnoteText"/>
        <w:rPr>
          <w:highlight w:val="yellow"/>
        </w:rPr>
      </w:pPr>
      <w:r w:rsidRPr="00576CE9">
        <w:rPr>
          <w:rStyle w:val="EndnoteReference"/>
        </w:rPr>
        <w:endnoteRef/>
      </w:r>
      <w:r w:rsidRPr="00576CE9">
        <w:t xml:space="preserve"> </w:t>
      </w:r>
      <w:r w:rsidRPr="00576CE9">
        <w:rPr>
          <w:i/>
        </w:rPr>
        <w:t>Disability Discrimination Act</w:t>
      </w:r>
      <w:r w:rsidRPr="00576CE9">
        <w:rPr>
          <w:i/>
          <w:iCs/>
        </w:rPr>
        <w:t xml:space="preserve"> 1992</w:t>
      </w:r>
      <w:r w:rsidRPr="00576CE9">
        <w:t xml:space="preserve"> (Cth) s 67(g), (h), (k).</w:t>
      </w:r>
    </w:p>
  </w:endnote>
  <w:endnote w:id="39">
    <w:p w14:paraId="06A53CFB" w14:textId="23E770D5" w:rsidR="00297E20" w:rsidRPr="005E59F1" w:rsidRDefault="00297E20" w:rsidP="00297E20">
      <w:pPr>
        <w:pStyle w:val="EndnoteText"/>
        <w:rPr>
          <w:highlight w:val="yellow"/>
        </w:rPr>
      </w:pPr>
      <w:r w:rsidRPr="00DC5D16">
        <w:rPr>
          <w:rStyle w:val="EndnoteReference"/>
        </w:rPr>
        <w:endnoteRef/>
      </w:r>
      <w:r w:rsidRPr="00596F95">
        <w:t xml:space="preserve"> </w:t>
      </w:r>
      <w:r w:rsidR="008E3AB1" w:rsidRPr="00596F95">
        <w:t>See recommendations 4.23 – 4.34</w:t>
      </w:r>
      <w:r w:rsidR="008E3AB1">
        <w:t xml:space="preserve">: </w:t>
      </w:r>
      <w:r w:rsidR="00D7356F">
        <w:rPr>
          <w:i/>
          <w:iCs/>
        </w:rPr>
        <w:t>Royal Commission into Violence, Abuse, Neglect and Exploitation of People with Disability</w:t>
      </w:r>
      <w:r w:rsidR="00D7356F">
        <w:t xml:space="preserve"> (Final Report, September 2023) vol 4</w:t>
      </w:r>
      <w:r w:rsidR="00D7356F" w:rsidRPr="00596F95">
        <w:t xml:space="preserve">, </w:t>
      </w:r>
      <w:r w:rsidR="006410EE" w:rsidRPr="00596F95">
        <w:t>279-</w:t>
      </w:r>
      <w:r w:rsidR="00260E04" w:rsidRPr="00596F95">
        <w:t>345</w:t>
      </w:r>
    </w:p>
  </w:endnote>
  <w:endnote w:id="40">
    <w:p w14:paraId="0C211BB0" w14:textId="5D9A3B4C" w:rsidR="00297E20" w:rsidRDefault="00297E20" w:rsidP="005E59F1">
      <w:pPr>
        <w:spacing w:before="0" w:after="0"/>
      </w:pPr>
      <w:r w:rsidRPr="00596F95">
        <w:rPr>
          <w:rStyle w:val="EndnoteReference"/>
        </w:rPr>
        <w:endnoteRef/>
      </w:r>
      <w:r w:rsidRPr="00596F95">
        <w:t xml:space="preserve"> </w:t>
      </w:r>
      <w:r w:rsidR="00F17297" w:rsidRPr="00596F95">
        <w:rPr>
          <w:sz w:val="20"/>
          <w:szCs w:val="20"/>
        </w:rPr>
        <w:t xml:space="preserve">As recommended by the Australian Human Rights Commission </w:t>
      </w:r>
      <w:r w:rsidR="00900002">
        <w:rPr>
          <w:sz w:val="20"/>
          <w:szCs w:val="20"/>
        </w:rPr>
        <w:t xml:space="preserve">(recommendations </w:t>
      </w:r>
      <w:r w:rsidR="00596F95">
        <w:rPr>
          <w:sz w:val="20"/>
          <w:szCs w:val="20"/>
        </w:rPr>
        <w:t>1</w:t>
      </w:r>
      <w:r w:rsidR="00900002">
        <w:rPr>
          <w:sz w:val="20"/>
          <w:szCs w:val="20"/>
        </w:rPr>
        <w:t xml:space="preserve">-4) </w:t>
      </w:r>
      <w:r w:rsidRPr="00596F95">
        <w:rPr>
          <w:sz w:val="20"/>
          <w:szCs w:val="20"/>
        </w:rPr>
        <w:t xml:space="preserve">and the </w:t>
      </w:r>
      <w:r w:rsidRPr="00596F95">
        <w:rPr>
          <w:i/>
          <w:iCs/>
          <w:sz w:val="20"/>
          <w:szCs w:val="20"/>
        </w:rPr>
        <w:t>Royal Commission into Violence, Abuse, Neglect and Exploitation of People with Disability</w:t>
      </w:r>
      <w:r w:rsidR="00EE347F">
        <w:rPr>
          <w:i/>
          <w:iCs/>
          <w:sz w:val="20"/>
          <w:szCs w:val="20"/>
        </w:rPr>
        <w:t xml:space="preserve"> </w:t>
      </w:r>
      <w:r w:rsidR="00EE347F">
        <w:rPr>
          <w:sz w:val="20"/>
          <w:szCs w:val="20"/>
        </w:rPr>
        <w:t>(recommendations 4.27 and 4.28)</w:t>
      </w:r>
      <w:r w:rsidR="00AC3A1E" w:rsidRPr="00596F95">
        <w:rPr>
          <w:sz w:val="20"/>
          <w:szCs w:val="20"/>
        </w:rPr>
        <w:t>:</w:t>
      </w:r>
      <w:r w:rsidR="00295413" w:rsidRPr="00596F95">
        <w:rPr>
          <w:sz w:val="20"/>
          <w:szCs w:val="20"/>
        </w:rPr>
        <w:t xml:space="preserve"> </w:t>
      </w:r>
      <w:r w:rsidR="00295413" w:rsidRPr="00F25B1A">
        <w:rPr>
          <w:sz w:val="20"/>
          <w:szCs w:val="20"/>
        </w:rPr>
        <w:t xml:space="preserve">See Australian Human Rights Commission, </w:t>
      </w:r>
      <w:r w:rsidR="00295413" w:rsidRPr="00596F95">
        <w:rPr>
          <w:i/>
          <w:iCs/>
          <w:sz w:val="20"/>
          <w:szCs w:val="20"/>
        </w:rPr>
        <w:t>Free and Equal: A reform agenda for federal discrimination laws (Position Paper, December 2021)</w:t>
      </w:r>
      <w:r w:rsidR="00295413" w:rsidRPr="00F25B1A">
        <w:rPr>
          <w:sz w:val="20"/>
          <w:szCs w:val="20"/>
        </w:rPr>
        <w:t xml:space="preserve"> </w:t>
      </w:r>
      <w:r w:rsidR="00E60F87" w:rsidRPr="00F25B1A">
        <w:rPr>
          <w:sz w:val="20"/>
          <w:szCs w:val="20"/>
        </w:rPr>
        <w:t>58-</w:t>
      </w:r>
      <w:r w:rsidR="00D27389" w:rsidRPr="00F25B1A">
        <w:rPr>
          <w:sz w:val="20"/>
          <w:szCs w:val="20"/>
        </w:rPr>
        <w:t>80</w:t>
      </w:r>
      <w:r w:rsidR="00787C76" w:rsidRPr="00F25B1A">
        <w:rPr>
          <w:sz w:val="20"/>
          <w:szCs w:val="20"/>
        </w:rPr>
        <w:t>; Royal Commission into Violence, Abuse, Neglect and Exploitation of People with Disability (Final Report, September 2023) vol 4,</w:t>
      </w:r>
      <w:r w:rsidR="00F25B1A" w:rsidRPr="00F25B1A">
        <w:rPr>
          <w:sz w:val="20"/>
          <w:szCs w:val="20"/>
        </w:rPr>
        <w:t xml:space="preserve">310-315. </w:t>
      </w:r>
    </w:p>
  </w:endnote>
  <w:endnote w:id="41">
    <w:p w14:paraId="026118B8" w14:textId="1E6BCA23" w:rsidR="007108A4" w:rsidRDefault="007108A4">
      <w:pPr>
        <w:pStyle w:val="EndnoteText"/>
      </w:pPr>
      <w:r>
        <w:rPr>
          <w:rStyle w:val="EndnoteReference"/>
        </w:rPr>
        <w:endnoteRef/>
      </w:r>
      <w:r>
        <w:t xml:space="preserve"> </w:t>
      </w:r>
      <w:r w:rsidRPr="00BF164B">
        <w:t>See Attorney-General’s Department (Cth), ‘Review of the Disability Discrimination Act’ (Webpage, 2025) &lt;</w:t>
      </w:r>
      <w:hyperlink r:id="rId3" w:history="1">
        <w:r w:rsidRPr="00BF164B">
          <w:rPr>
            <w:rStyle w:val="Hyperlink"/>
          </w:rPr>
          <w:t>https://www.ag.gov.au/rights-and-protections/human-rights-and-anti-discrimination/australias-anti-discrimination-law/review-disability-discrimination-act</w:t>
        </w:r>
      </w:hyperlink>
      <w:r w:rsidRPr="00BF164B">
        <w:t>&gt;.</w:t>
      </w:r>
    </w:p>
  </w:endnote>
  <w:endnote w:id="42">
    <w:p w14:paraId="6D2FF2BF" w14:textId="33C443C4" w:rsidR="00297E20" w:rsidRPr="00C74ED6" w:rsidRDefault="00297E20" w:rsidP="00297E20">
      <w:pPr>
        <w:pStyle w:val="EndnoteText"/>
      </w:pPr>
      <w:r>
        <w:rPr>
          <w:rStyle w:val="EndnoteReference"/>
        </w:rPr>
        <w:endnoteRef/>
      </w:r>
      <w:r>
        <w:t xml:space="preserve"> See </w:t>
      </w:r>
      <w:r w:rsidRPr="0016306F">
        <w:rPr>
          <w:rFonts w:cs="Open Sans"/>
        </w:rPr>
        <w:t xml:space="preserve">Australian Human Rights Commission, </w:t>
      </w:r>
      <w:r w:rsidRPr="00477305">
        <w:rPr>
          <w:rFonts w:cs="Open Sans"/>
          <w:i/>
          <w:iCs/>
        </w:rPr>
        <w:t>Free and Equal: A reform agenda for federal discrimination laws</w:t>
      </w:r>
      <w:r w:rsidRPr="0016306F">
        <w:rPr>
          <w:rFonts w:cs="Open Sans"/>
        </w:rPr>
        <w:t xml:space="preserve"> (Position Paper, December 2021)</w:t>
      </w:r>
      <w:r>
        <w:rPr>
          <w:rFonts w:cs="Open Sans"/>
        </w:rPr>
        <w:t xml:space="preserve"> 276</w:t>
      </w:r>
      <w:r w:rsidR="00265095">
        <w:rPr>
          <w:rFonts w:cs="Open Sans"/>
        </w:rPr>
        <w:t>-7.</w:t>
      </w:r>
      <w:r>
        <w:rPr>
          <w:i/>
          <w:iCs/>
        </w:rPr>
        <w:t xml:space="preserve"> &lt;</w:t>
      </w:r>
      <w:hyperlink r:id="rId4" w:history="1">
        <w:r w:rsidRPr="0016306F">
          <w:rPr>
            <w:rStyle w:val="Hyperlink"/>
            <w:rFonts w:cs="Open Sans"/>
          </w:rPr>
          <w:t>Free and Equal: A reform agenda for federal discrimination laws (2021) | Australian Human Rights Commission</w:t>
        </w:r>
      </w:hyperlink>
      <w:r w:rsidRPr="0016306F">
        <w:rPr>
          <w:rFonts w:cs="Open Sans"/>
        </w:rPr>
        <w:t>&gt;</w:t>
      </w:r>
    </w:p>
  </w:endnote>
  <w:endnote w:id="43">
    <w:p w14:paraId="638071FC" w14:textId="77777777" w:rsidR="00297E20" w:rsidRDefault="00297E20" w:rsidP="00297E20">
      <w:pPr>
        <w:pStyle w:val="EndnoteText"/>
      </w:pPr>
      <w:r>
        <w:rPr>
          <w:rStyle w:val="EndnoteReference"/>
        </w:rPr>
        <w:endnoteRef/>
      </w:r>
      <w:r>
        <w:t xml:space="preserve"> </w:t>
      </w:r>
      <w:r>
        <w:rPr>
          <w:i/>
          <w:iCs/>
        </w:rPr>
        <w:t>Privacy Act 1988</w:t>
      </w:r>
      <w:r>
        <w:t xml:space="preserve"> (Cth) s 6.</w:t>
      </w:r>
    </w:p>
  </w:endnote>
  <w:endnote w:id="44">
    <w:p w14:paraId="51A1C044" w14:textId="77777777" w:rsidR="00297E20" w:rsidRDefault="00297E20" w:rsidP="00297E20">
      <w:pPr>
        <w:pStyle w:val="EndnoteText"/>
      </w:pPr>
      <w:r>
        <w:rPr>
          <w:rStyle w:val="EndnoteReference"/>
        </w:rPr>
        <w:endnoteRef/>
      </w:r>
      <w:r>
        <w:t xml:space="preserve"> Attorney-General’s Department, ‘</w:t>
      </w:r>
      <w:r w:rsidRPr="00E92520">
        <w:rPr>
          <w:i/>
        </w:rPr>
        <w:t>Government Response: Privacy Act Review Report</w:t>
      </w:r>
      <w:r>
        <w:t>’ (28 September 2023) &lt;</w:t>
      </w:r>
      <w:r w:rsidRPr="006E3FBA">
        <w:t>https://www.ag.gov.au/rights-and-protections/publications/government-response-privacy-act-review-report</w:t>
      </w:r>
      <w:r>
        <w:t>&gt;.</w:t>
      </w:r>
    </w:p>
  </w:endnote>
  <w:endnote w:id="45">
    <w:p w14:paraId="4559C3E0" w14:textId="77777777" w:rsidR="00297E20" w:rsidRPr="00A914B4" w:rsidRDefault="00297E20" w:rsidP="00297E20">
      <w:pPr>
        <w:pStyle w:val="EndnoteText"/>
      </w:pPr>
      <w:r>
        <w:rPr>
          <w:rStyle w:val="EndnoteReference"/>
        </w:rPr>
        <w:endnoteRef/>
      </w:r>
      <w:r>
        <w:t xml:space="preserve"> On 29 November 2024, Parliament passed the first tranche of privacy law reform, progressing 23 proposals from the </w:t>
      </w:r>
      <w:hyperlink r:id="rId5" w:history="1">
        <w:r w:rsidRPr="008D62C6">
          <w:rPr>
            <w:rStyle w:val="Hyperlink"/>
          </w:rPr>
          <w:t>Government Response to the Privacy Act Review Report</w:t>
        </w:r>
      </w:hyperlink>
      <w:r>
        <w:t xml:space="preserve">. See, </w:t>
      </w:r>
      <w:r>
        <w:rPr>
          <w:i/>
          <w:iCs/>
        </w:rPr>
        <w:t xml:space="preserve">Privacy and Other Legislation Amendment Act 2024 </w:t>
      </w:r>
      <w:r>
        <w:t xml:space="preserve">(Cth). </w:t>
      </w:r>
    </w:p>
  </w:endnote>
  <w:endnote w:id="46">
    <w:p w14:paraId="1FBC33AE" w14:textId="77777777" w:rsidR="00297E20" w:rsidRDefault="00297E20" w:rsidP="00297E20">
      <w:pPr>
        <w:pStyle w:val="EndnoteText"/>
      </w:pPr>
      <w:r>
        <w:rPr>
          <w:rStyle w:val="EndnoteReference"/>
        </w:rPr>
        <w:endnoteRef/>
      </w:r>
      <w:r>
        <w:t xml:space="preserve"> See Attorney-General’s Department, ‘</w:t>
      </w:r>
      <w:r w:rsidRPr="00675AE4">
        <w:rPr>
          <w:i/>
          <w:iCs/>
        </w:rPr>
        <w:t>Government Response: Privacy Act Review Report</w:t>
      </w:r>
      <w:r>
        <w:t>’ (28 September 2023) 22, 24, 28, 31, 33, 35 &lt;</w:t>
      </w:r>
      <w:r w:rsidRPr="006E3FBA">
        <w:t>https://www.ag.gov.au/rights-and-protections/publications/government-response-privacy-act-review-report</w:t>
      </w:r>
      <w: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4160" w14:textId="77777777" w:rsidR="00AC636D" w:rsidRPr="000465F1" w:rsidRDefault="00AC636D" w:rsidP="000465F1">
    <w:pPr>
      <w:pStyle w:val="Footer"/>
    </w:pPr>
    <w:r w:rsidRPr="000465F1">
      <w:t>ABN 47 996 232 602</w:t>
    </w:r>
  </w:p>
  <w:p w14:paraId="171CC88F" w14:textId="77777777" w:rsidR="00AC636D" w:rsidRPr="000465F1" w:rsidRDefault="00AC636D" w:rsidP="000465F1">
    <w:pPr>
      <w:pStyle w:val="Footer"/>
    </w:pPr>
    <w:r w:rsidRPr="000465F1">
      <w:t>Level 3, 175 Pitt Street, Sydney NSW 2000</w:t>
    </w:r>
  </w:p>
  <w:p w14:paraId="4646D0C5" w14:textId="77777777" w:rsidR="00AC636D" w:rsidRPr="000465F1" w:rsidRDefault="00AC636D" w:rsidP="000465F1">
    <w:pPr>
      <w:pStyle w:val="Footer"/>
    </w:pPr>
    <w:r w:rsidRPr="000465F1">
      <w:t>GPO Box 5218, Sydney NSW 2001</w:t>
    </w:r>
  </w:p>
  <w:p w14:paraId="25C3DF99" w14:textId="77777777" w:rsidR="00AC636D" w:rsidRPr="000465F1" w:rsidRDefault="00AC636D" w:rsidP="000465F1">
    <w:pPr>
      <w:pStyle w:val="Footer"/>
    </w:pPr>
    <w:r w:rsidRPr="000465F1">
      <w:t>General enquiries 1300 369 711</w:t>
    </w:r>
  </w:p>
  <w:p w14:paraId="6665B5BD" w14:textId="77777777" w:rsidR="00AC636D" w:rsidRPr="000465F1" w:rsidRDefault="00AC636D" w:rsidP="000465F1">
    <w:pPr>
      <w:pStyle w:val="Footer"/>
    </w:pPr>
    <w:r w:rsidRPr="000465F1">
      <w:t>Complaints info line 1300 656 419</w:t>
    </w:r>
  </w:p>
  <w:p w14:paraId="66FA0699"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D833"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AD65"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9BF1"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8851" w14:textId="77777777" w:rsidR="002A1670" w:rsidRDefault="002A1670" w:rsidP="00F14C6D">
      <w:r>
        <w:separator/>
      </w:r>
    </w:p>
  </w:footnote>
  <w:footnote w:type="continuationSeparator" w:id="0">
    <w:p w14:paraId="2C08EA61" w14:textId="77777777" w:rsidR="002A1670" w:rsidRDefault="002A1670" w:rsidP="00F14C6D">
      <w:r>
        <w:continuationSeparator/>
      </w:r>
    </w:p>
  </w:footnote>
  <w:footnote w:type="continuationNotice" w:id="1">
    <w:p w14:paraId="4217A635" w14:textId="77777777" w:rsidR="002A1670" w:rsidRDefault="002A167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0EDD" w14:textId="77777777" w:rsidR="00BF6406" w:rsidRPr="000465F1" w:rsidRDefault="00E049F7" w:rsidP="000465F1">
    <w:pPr>
      <w:pStyle w:val="Header"/>
    </w:pPr>
    <w:r>
      <w:pict w14:anchorId="18198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14790536"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0B03" w14:textId="77777777" w:rsidR="00B34946" w:rsidRPr="000465F1" w:rsidRDefault="00E049F7" w:rsidP="000465F1">
    <w:r>
      <w:pict w14:anchorId="273FA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6B7A3A19"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E722" w14:textId="77777777" w:rsidR="00CC2AA0" w:rsidRDefault="00E049F7" w:rsidP="002012F7">
    <w:pPr>
      <w:pStyle w:val="Header"/>
    </w:pPr>
    <w:r>
      <w:pict w14:anchorId="50FC2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75BEBAC5">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658DF34B" w14:textId="77777777" w:rsidR="008B3899" w:rsidRDefault="008B3899" w:rsidP="002012F7">
    <w:pPr>
      <w:pStyle w:val="Header"/>
    </w:pPr>
  </w:p>
  <w:p w14:paraId="11BB6C53"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17BF" w14:textId="77777777" w:rsidR="0015239E" w:rsidRPr="000465F1" w:rsidRDefault="0015239E" w:rsidP="0015239E">
    <w:pPr>
      <w:pStyle w:val="Header"/>
    </w:pPr>
    <w:r w:rsidRPr="000465F1">
      <w:t>Australian Human Rights Commission</w:t>
    </w:r>
  </w:p>
  <w:p w14:paraId="51BE1D54" w14:textId="521385FC" w:rsidR="00EC509F" w:rsidRPr="00871D73" w:rsidRDefault="00BD541B" w:rsidP="00DF6115">
    <w:pPr>
      <w:pStyle w:val="HeaderDocumentDate"/>
    </w:pPr>
    <w:r w:rsidRPr="00C800A1">
      <w:rPr>
        <w:rStyle w:val="HeaderDocumentTitle"/>
      </w:rPr>
      <w:t>Ban on the use of</w:t>
    </w:r>
    <w:r>
      <w:rPr>
        <w:rStyle w:val="HeaderDocumentTitle"/>
      </w:rPr>
      <w:t xml:space="preserve"> </w:t>
    </w:r>
    <w:r w:rsidRPr="00C800A1">
      <w:rPr>
        <w:rStyle w:val="HeaderDocumentTitle"/>
      </w:rPr>
      <w:t xml:space="preserve">Adverse Genetic Testing Results in Life </w:t>
    </w:r>
    <w:r w:rsidRPr="009C4357">
      <w:rPr>
        <w:rStyle w:val="HeaderDocumentTitle"/>
      </w:rPr>
      <w:t>Insurance,</w:t>
    </w:r>
    <w:r w:rsidRPr="009C4357">
      <w:t xml:space="preserve"> </w:t>
    </w:r>
    <w:r w:rsidR="009C4357" w:rsidRPr="009C4357">
      <w:t xml:space="preserve">26 </w:t>
    </w:r>
    <w:r w:rsidRPr="009C4357">
      <w:t>March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6229" w14:textId="77777777" w:rsidR="00BF6406" w:rsidRPr="000465F1" w:rsidRDefault="00BF6406" w:rsidP="00CA5D90">
    <w:pPr>
      <w:pStyle w:val="Header"/>
    </w:pPr>
    <w:bookmarkStart w:id="84" w:name="_Hlk514672172"/>
    <w:bookmarkStart w:id="85" w:name="_Hlk514672173"/>
    <w:r w:rsidRPr="000465F1">
      <w:t>Australian Human Rights Commission</w:t>
    </w:r>
  </w:p>
  <w:bookmarkEnd w:id="84"/>
  <w:bookmarkEnd w:id="85"/>
  <w:p w14:paraId="3EDAAD7D" w14:textId="121E8FDB" w:rsidR="00C00733" w:rsidRPr="001A2294" w:rsidRDefault="001A2294" w:rsidP="001A2294">
    <w:pPr>
      <w:pStyle w:val="HeaderDocumentDate"/>
      <w:rPr>
        <w:b/>
        <w:bCs/>
        <w:noProof/>
      </w:rPr>
    </w:pPr>
    <w:r w:rsidRPr="00C800A1">
      <w:rPr>
        <w:rStyle w:val="HeaderDocumentTitle"/>
      </w:rPr>
      <w:t>Ban on the use of</w:t>
    </w:r>
    <w:r>
      <w:rPr>
        <w:rStyle w:val="HeaderDocumentTitle"/>
      </w:rPr>
      <w:t xml:space="preserve"> </w:t>
    </w:r>
    <w:r w:rsidRPr="00C800A1">
      <w:rPr>
        <w:rStyle w:val="HeaderDocumentTitle"/>
      </w:rPr>
      <w:t>Adverse Genetic Testing Results in Life Insurance</w:t>
    </w:r>
    <w:r w:rsidRPr="009C4357">
      <w:rPr>
        <w:rStyle w:val="HeaderDocumentTitle"/>
      </w:rPr>
      <w:t>,</w:t>
    </w:r>
    <w:r w:rsidRPr="009C4357">
      <w:t xml:space="preserve"> </w:t>
    </w:r>
    <w:r w:rsidR="009C4357" w:rsidRPr="009C4357">
      <w:t>26</w:t>
    </w:r>
    <w:r w:rsidRPr="009C4357">
      <w:t xml:space="preserve"> March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9D64" w14:textId="77777777" w:rsidR="0063009F" w:rsidRPr="000465F1" w:rsidRDefault="0063009F" w:rsidP="0063009F">
    <w:pPr>
      <w:pStyle w:val="Header"/>
    </w:pPr>
    <w:r w:rsidRPr="000465F1">
      <w:t>Australian Human Rights Commission</w:t>
    </w:r>
  </w:p>
  <w:p w14:paraId="28F6D4AE" w14:textId="4FA3286F" w:rsidR="0063009F" w:rsidRPr="00C800A1" w:rsidRDefault="00C800A1" w:rsidP="00C800A1">
    <w:pPr>
      <w:pStyle w:val="HeaderDocumentDate"/>
      <w:rPr>
        <w:b/>
        <w:bCs/>
        <w:noProof/>
      </w:rPr>
    </w:pPr>
    <w:r w:rsidRPr="00C800A1">
      <w:rPr>
        <w:rStyle w:val="HeaderDocumentTitle"/>
      </w:rPr>
      <w:t>Ban on the use of</w:t>
    </w:r>
    <w:r>
      <w:rPr>
        <w:rStyle w:val="HeaderDocumentTitle"/>
      </w:rPr>
      <w:t xml:space="preserve"> </w:t>
    </w:r>
    <w:r w:rsidRPr="00C800A1">
      <w:rPr>
        <w:rStyle w:val="HeaderDocumentTitle"/>
      </w:rPr>
      <w:t xml:space="preserve">Adverse Genetic Testing Results in Life </w:t>
    </w:r>
    <w:r w:rsidRPr="009C4357">
      <w:rPr>
        <w:rStyle w:val="HeaderDocumentTitle"/>
      </w:rPr>
      <w:t>Insurance</w:t>
    </w:r>
    <w:r w:rsidR="0063009F" w:rsidRPr="009C4357">
      <w:rPr>
        <w:rStyle w:val="HeaderDocumentTitle"/>
      </w:rPr>
      <w:t>,</w:t>
    </w:r>
    <w:r w:rsidR="0063009F" w:rsidRPr="009C4357">
      <w:t xml:space="preserve"> </w:t>
    </w:r>
    <w:r w:rsidR="009C4357" w:rsidRPr="009C4357">
      <w:t>26</w:t>
    </w:r>
    <w:r w:rsidR="001A2294" w:rsidRPr="009C4357">
      <w:t xml:space="preserve"> 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F8505A9"/>
    <w:multiLevelType w:val="hybridMultilevel"/>
    <w:tmpl w:val="B6F2E1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0819E4"/>
    <w:multiLevelType w:val="hybridMultilevel"/>
    <w:tmpl w:val="F0C68EF2"/>
    <w:lvl w:ilvl="0" w:tplc="4A422B2A">
      <w:start w:val="1"/>
      <w:numFmt w:val="bullet"/>
      <w:lvlText w:val=""/>
      <w:lvlJc w:val="left"/>
      <w:pPr>
        <w:ind w:left="720" w:hanging="360"/>
      </w:pPr>
      <w:rPr>
        <w:rFonts w:ascii="Symbol" w:hAnsi="Symbol"/>
      </w:rPr>
    </w:lvl>
    <w:lvl w:ilvl="1" w:tplc="6DBAE258">
      <w:start w:val="1"/>
      <w:numFmt w:val="bullet"/>
      <w:lvlText w:val=""/>
      <w:lvlJc w:val="left"/>
      <w:pPr>
        <w:ind w:left="720" w:hanging="360"/>
      </w:pPr>
      <w:rPr>
        <w:rFonts w:ascii="Symbol" w:hAnsi="Symbol"/>
      </w:rPr>
    </w:lvl>
    <w:lvl w:ilvl="2" w:tplc="ECE82DCA">
      <w:start w:val="1"/>
      <w:numFmt w:val="bullet"/>
      <w:lvlText w:val=""/>
      <w:lvlJc w:val="left"/>
      <w:pPr>
        <w:ind w:left="720" w:hanging="360"/>
      </w:pPr>
      <w:rPr>
        <w:rFonts w:ascii="Symbol" w:hAnsi="Symbol"/>
      </w:rPr>
    </w:lvl>
    <w:lvl w:ilvl="3" w:tplc="EE46A9AE">
      <w:start w:val="1"/>
      <w:numFmt w:val="bullet"/>
      <w:lvlText w:val=""/>
      <w:lvlJc w:val="left"/>
      <w:pPr>
        <w:ind w:left="720" w:hanging="360"/>
      </w:pPr>
      <w:rPr>
        <w:rFonts w:ascii="Symbol" w:hAnsi="Symbol"/>
      </w:rPr>
    </w:lvl>
    <w:lvl w:ilvl="4" w:tplc="1F0C6808">
      <w:start w:val="1"/>
      <w:numFmt w:val="bullet"/>
      <w:lvlText w:val=""/>
      <w:lvlJc w:val="left"/>
      <w:pPr>
        <w:ind w:left="720" w:hanging="360"/>
      </w:pPr>
      <w:rPr>
        <w:rFonts w:ascii="Symbol" w:hAnsi="Symbol"/>
      </w:rPr>
    </w:lvl>
    <w:lvl w:ilvl="5" w:tplc="687483A0">
      <w:start w:val="1"/>
      <w:numFmt w:val="bullet"/>
      <w:lvlText w:val=""/>
      <w:lvlJc w:val="left"/>
      <w:pPr>
        <w:ind w:left="720" w:hanging="360"/>
      </w:pPr>
      <w:rPr>
        <w:rFonts w:ascii="Symbol" w:hAnsi="Symbol"/>
      </w:rPr>
    </w:lvl>
    <w:lvl w:ilvl="6" w:tplc="219A8DC6">
      <w:start w:val="1"/>
      <w:numFmt w:val="bullet"/>
      <w:lvlText w:val=""/>
      <w:lvlJc w:val="left"/>
      <w:pPr>
        <w:ind w:left="720" w:hanging="360"/>
      </w:pPr>
      <w:rPr>
        <w:rFonts w:ascii="Symbol" w:hAnsi="Symbol"/>
      </w:rPr>
    </w:lvl>
    <w:lvl w:ilvl="7" w:tplc="77B27B2E">
      <w:start w:val="1"/>
      <w:numFmt w:val="bullet"/>
      <w:lvlText w:val=""/>
      <w:lvlJc w:val="left"/>
      <w:pPr>
        <w:ind w:left="720" w:hanging="360"/>
      </w:pPr>
      <w:rPr>
        <w:rFonts w:ascii="Symbol" w:hAnsi="Symbol"/>
      </w:rPr>
    </w:lvl>
    <w:lvl w:ilvl="8" w:tplc="01E4E44E">
      <w:start w:val="1"/>
      <w:numFmt w:val="bullet"/>
      <w:lvlText w:val=""/>
      <w:lvlJc w:val="left"/>
      <w:pPr>
        <w:ind w:left="720" w:hanging="360"/>
      </w:pPr>
      <w:rPr>
        <w:rFonts w:ascii="Symbol" w:hAnsi="Symbol"/>
      </w:rPr>
    </w:lvl>
  </w:abstractNum>
  <w:abstractNum w:abstractNumId="12" w15:restartNumberingAfterBreak="0">
    <w:nsid w:val="1290502B"/>
    <w:multiLevelType w:val="hybridMultilevel"/>
    <w:tmpl w:val="8B082E2A"/>
    <w:lvl w:ilvl="0" w:tplc="0C090017">
      <w:start w:val="1"/>
      <w:numFmt w:val="lowerLetter"/>
      <w:lvlText w:val="%1)"/>
      <w:lvlJc w:val="left"/>
      <w:pPr>
        <w:ind w:left="784" w:hanging="360"/>
      </w:p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13" w15:restartNumberingAfterBreak="0">
    <w:nsid w:val="19BB5472"/>
    <w:multiLevelType w:val="hybridMultilevel"/>
    <w:tmpl w:val="E4424A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FF5894"/>
    <w:multiLevelType w:val="hybridMultilevel"/>
    <w:tmpl w:val="C5B67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DF5E15"/>
    <w:multiLevelType w:val="hybridMultilevel"/>
    <w:tmpl w:val="511E5474"/>
    <w:lvl w:ilvl="0" w:tplc="3E243DC2">
      <w:start w:val="1"/>
      <w:numFmt w:val="bullet"/>
      <w:lvlText w:val=""/>
      <w:lvlJc w:val="left"/>
      <w:pPr>
        <w:ind w:left="720" w:hanging="360"/>
      </w:pPr>
      <w:rPr>
        <w:rFonts w:ascii="Symbol" w:hAnsi="Symbol"/>
      </w:rPr>
    </w:lvl>
    <w:lvl w:ilvl="1" w:tplc="9808DEE8">
      <w:start w:val="1"/>
      <w:numFmt w:val="bullet"/>
      <w:lvlText w:val=""/>
      <w:lvlJc w:val="left"/>
      <w:pPr>
        <w:ind w:left="720" w:hanging="360"/>
      </w:pPr>
      <w:rPr>
        <w:rFonts w:ascii="Symbol" w:hAnsi="Symbol"/>
      </w:rPr>
    </w:lvl>
    <w:lvl w:ilvl="2" w:tplc="00007B38">
      <w:start w:val="1"/>
      <w:numFmt w:val="bullet"/>
      <w:lvlText w:val=""/>
      <w:lvlJc w:val="left"/>
      <w:pPr>
        <w:ind w:left="720" w:hanging="360"/>
      </w:pPr>
      <w:rPr>
        <w:rFonts w:ascii="Symbol" w:hAnsi="Symbol"/>
      </w:rPr>
    </w:lvl>
    <w:lvl w:ilvl="3" w:tplc="81344F60">
      <w:start w:val="1"/>
      <w:numFmt w:val="bullet"/>
      <w:lvlText w:val=""/>
      <w:lvlJc w:val="left"/>
      <w:pPr>
        <w:ind w:left="720" w:hanging="360"/>
      </w:pPr>
      <w:rPr>
        <w:rFonts w:ascii="Symbol" w:hAnsi="Symbol"/>
      </w:rPr>
    </w:lvl>
    <w:lvl w:ilvl="4" w:tplc="63F4E086">
      <w:start w:val="1"/>
      <w:numFmt w:val="bullet"/>
      <w:lvlText w:val=""/>
      <w:lvlJc w:val="left"/>
      <w:pPr>
        <w:ind w:left="720" w:hanging="360"/>
      </w:pPr>
      <w:rPr>
        <w:rFonts w:ascii="Symbol" w:hAnsi="Symbol"/>
      </w:rPr>
    </w:lvl>
    <w:lvl w:ilvl="5" w:tplc="012647E2">
      <w:start w:val="1"/>
      <w:numFmt w:val="bullet"/>
      <w:lvlText w:val=""/>
      <w:lvlJc w:val="left"/>
      <w:pPr>
        <w:ind w:left="720" w:hanging="360"/>
      </w:pPr>
      <w:rPr>
        <w:rFonts w:ascii="Symbol" w:hAnsi="Symbol"/>
      </w:rPr>
    </w:lvl>
    <w:lvl w:ilvl="6" w:tplc="1C0EAC42">
      <w:start w:val="1"/>
      <w:numFmt w:val="bullet"/>
      <w:lvlText w:val=""/>
      <w:lvlJc w:val="left"/>
      <w:pPr>
        <w:ind w:left="720" w:hanging="360"/>
      </w:pPr>
      <w:rPr>
        <w:rFonts w:ascii="Symbol" w:hAnsi="Symbol"/>
      </w:rPr>
    </w:lvl>
    <w:lvl w:ilvl="7" w:tplc="0196231A">
      <w:start w:val="1"/>
      <w:numFmt w:val="bullet"/>
      <w:lvlText w:val=""/>
      <w:lvlJc w:val="left"/>
      <w:pPr>
        <w:ind w:left="720" w:hanging="360"/>
      </w:pPr>
      <w:rPr>
        <w:rFonts w:ascii="Symbol" w:hAnsi="Symbol"/>
      </w:rPr>
    </w:lvl>
    <w:lvl w:ilvl="8" w:tplc="DDA6D812">
      <w:start w:val="1"/>
      <w:numFmt w:val="bullet"/>
      <w:lvlText w:val=""/>
      <w:lvlJc w:val="left"/>
      <w:pPr>
        <w:ind w:left="720" w:hanging="360"/>
      </w:pPr>
      <w:rPr>
        <w:rFonts w:ascii="Symbol" w:hAnsi="Symbol"/>
      </w:rPr>
    </w:lvl>
  </w:abstractNum>
  <w:abstractNum w:abstractNumId="16"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F8722FA"/>
    <w:multiLevelType w:val="hybridMultilevel"/>
    <w:tmpl w:val="15CED858"/>
    <w:lvl w:ilvl="0" w:tplc="36D4EC2E">
      <w:start w:val="1"/>
      <w:numFmt w:val="bullet"/>
      <w:lvlText w:val=""/>
      <w:lvlJc w:val="left"/>
      <w:pPr>
        <w:ind w:left="1440" w:hanging="360"/>
      </w:pPr>
      <w:rPr>
        <w:rFonts w:ascii="Symbol" w:hAnsi="Symbol"/>
      </w:rPr>
    </w:lvl>
    <w:lvl w:ilvl="1" w:tplc="2A2AE64E">
      <w:start w:val="1"/>
      <w:numFmt w:val="bullet"/>
      <w:lvlText w:val=""/>
      <w:lvlJc w:val="left"/>
      <w:pPr>
        <w:ind w:left="1440" w:hanging="360"/>
      </w:pPr>
      <w:rPr>
        <w:rFonts w:ascii="Symbol" w:hAnsi="Symbol"/>
      </w:rPr>
    </w:lvl>
    <w:lvl w:ilvl="2" w:tplc="D8CC8B3E">
      <w:start w:val="1"/>
      <w:numFmt w:val="bullet"/>
      <w:lvlText w:val=""/>
      <w:lvlJc w:val="left"/>
      <w:pPr>
        <w:ind w:left="1440" w:hanging="360"/>
      </w:pPr>
      <w:rPr>
        <w:rFonts w:ascii="Symbol" w:hAnsi="Symbol"/>
      </w:rPr>
    </w:lvl>
    <w:lvl w:ilvl="3" w:tplc="6C2680F2">
      <w:start w:val="1"/>
      <w:numFmt w:val="bullet"/>
      <w:lvlText w:val=""/>
      <w:lvlJc w:val="left"/>
      <w:pPr>
        <w:ind w:left="1440" w:hanging="360"/>
      </w:pPr>
      <w:rPr>
        <w:rFonts w:ascii="Symbol" w:hAnsi="Symbol"/>
      </w:rPr>
    </w:lvl>
    <w:lvl w:ilvl="4" w:tplc="312AA432">
      <w:start w:val="1"/>
      <w:numFmt w:val="bullet"/>
      <w:lvlText w:val=""/>
      <w:lvlJc w:val="left"/>
      <w:pPr>
        <w:ind w:left="1440" w:hanging="360"/>
      </w:pPr>
      <w:rPr>
        <w:rFonts w:ascii="Symbol" w:hAnsi="Symbol"/>
      </w:rPr>
    </w:lvl>
    <w:lvl w:ilvl="5" w:tplc="C560A98A">
      <w:start w:val="1"/>
      <w:numFmt w:val="bullet"/>
      <w:lvlText w:val=""/>
      <w:lvlJc w:val="left"/>
      <w:pPr>
        <w:ind w:left="1440" w:hanging="360"/>
      </w:pPr>
      <w:rPr>
        <w:rFonts w:ascii="Symbol" w:hAnsi="Symbol"/>
      </w:rPr>
    </w:lvl>
    <w:lvl w:ilvl="6" w:tplc="A1C8E106">
      <w:start w:val="1"/>
      <w:numFmt w:val="bullet"/>
      <w:lvlText w:val=""/>
      <w:lvlJc w:val="left"/>
      <w:pPr>
        <w:ind w:left="1440" w:hanging="360"/>
      </w:pPr>
      <w:rPr>
        <w:rFonts w:ascii="Symbol" w:hAnsi="Symbol"/>
      </w:rPr>
    </w:lvl>
    <w:lvl w:ilvl="7" w:tplc="37ECB6F0">
      <w:start w:val="1"/>
      <w:numFmt w:val="bullet"/>
      <w:lvlText w:val=""/>
      <w:lvlJc w:val="left"/>
      <w:pPr>
        <w:ind w:left="1440" w:hanging="360"/>
      </w:pPr>
      <w:rPr>
        <w:rFonts w:ascii="Symbol" w:hAnsi="Symbol"/>
      </w:rPr>
    </w:lvl>
    <w:lvl w:ilvl="8" w:tplc="984AC5F0">
      <w:start w:val="1"/>
      <w:numFmt w:val="bullet"/>
      <w:lvlText w:val=""/>
      <w:lvlJc w:val="left"/>
      <w:pPr>
        <w:ind w:left="1440" w:hanging="360"/>
      </w:pPr>
      <w:rPr>
        <w:rFonts w:ascii="Symbol" w:hAnsi="Symbol"/>
      </w:rPr>
    </w:lvl>
  </w:abstractNum>
  <w:abstractNum w:abstractNumId="18"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3F1095A"/>
    <w:multiLevelType w:val="hybridMultilevel"/>
    <w:tmpl w:val="F8846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08674C"/>
    <w:multiLevelType w:val="hybridMultilevel"/>
    <w:tmpl w:val="2B5C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881DB1"/>
    <w:multiLevelType w:val="hybridMultilevel"/>
    <w:tmpl w:val="76504D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C55176"/>
    <w:multiLevelType w:val="hybridMultilevel"/>
    <w:tmpl w:val="CDA84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BD0512"/>
    <w:multiLevelType w:val="hybridMultilevel"/>
    <w:tmpl w:val="5AC82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DF39AC"/>
    <w:multiLevelType w:val="hybridMultilevel"/>
    <w:tmpl w:val="975E595A"/>
    <w:lvl w:ilvl="0" w:tplc="5218C96A">
      <w:start w:val="1"/>
      <w:numFmt w:val="bullet"/>
      <w:lvlText w:val=""/>
      <w:lvlJc w:val="left"/>
      <w:pPr>
        <w:ind w:left="720" w:hanging="360"/>
      </w:pPr>
      <w:rPr>
        <w:rFonts w:ascii="Symbol" w:hAnsi="Symbol"/>
      </w:rPr>
    </w:lvl>
    <w:lvl w:ilvl="1" w:tplc="8B40827A">
      <w:start w:val="1"/>
      <w:numFmt w:val="bullet"/>
      <w:lvlText w:val=""/>
      <w:lvlJc w:val="left"/>
      <w:pPr>
        <w:ind w:left="720" w:hanging="360"/>
      </w:pPr>
      <w:rPr>
        <w:rFonts w:ascii="Symbol" w:hAnsi="Symbol"/>
      </w:rPr>
    </w:lvl>
    <w:lvl w:ilvl="2" w:tplc="EA6E3D8E">
      <w:start w:val="1"/>
      <w:numFmt w:val="bullet"/>
      <w:lvlText w:val=""/>
      <w:lvlJc w:val="left"/>
      <w:pPr>
        <w:ind w:left="720" w:hanging="360"/>
      </w:pPr>
      <w:rPr>
        <w:rFonts w:ascii="Symbol" w:hAnsi="Symbol"/>
      </w:rPr>
    </w:lvl>
    <w:lvl w:ilvl="3" w:tplc="F724DD52">
      <w:start w:val="1"/>
      <w:numFmt w:val="bullet"/>
      <w:lvlText w:val=""/>
      <w:lvlJc w:val="left"/>
      <w:pPr>
        <w:ind w:left="720" w:hanging="360"/>
      </w:pPr>
      <w:rPr>
        <w:rFonts w:ascii="Symbol" w:hAnsi="Symbol"/>
      </w:rPr>
    </w:lvl>
    <w:lvl w:ilvl="4" w:tplc="3DBA6C20">
      <w:start w:val="1"/>
      <w:numFmt w:val="bullet"/>
      <w:lvlText w:val=""/>
      <w:lvlJc w:val="left"/>
      <w:pPr>
        <w:ind w:left="720" w:hanging="360"/>
      </w:pPr>
      <w:rPr>
        <w:rFonts w:ascii="Symbol" w:hAnsi="Symbol"/>
      </w:rPr>
    </w:lvl>
    <w:lvl w:ilvl="5" w:tplc="A3CE96CA">
      <w:start w:val="1"/>
      <w:numFmt w:val="bullet"/>
      <w:lvlText w:val=""/>
      <w:lvlJc w:val="left"/>
      <w:pPr>
        <w:ind w:left="720" w:hanging="360"/>
      </w:pPr>
      <w:rPr>
        <w:rFonts w:ascii="Symbol" w:hAnsi="Symbol"/>
      </w:rPr>
    </w:lvl>
    <w:lvl w:ilvl="6" w:tplc="557AAE9C">
      <w:start w:val="1"/>
      <w:numFmt w:val="bullet"/>
      <w:lvlText w:val=""/>
      <w:lvlJc w:val="left"/>
      <w:pPr>
        <w:ind w:left="720" w:hanging="360"/>
      </w:pPr>
      <w:rPr>
        <w:rFonts w:ascii="Symbol" w:hAnsi="Symbol"/>
      </w:rPr>
    </w:lvl>
    <w:lvl w:ilvl="7" w:tplc="220CA9A2">
      <w:start w:val="1"/>
      <w:numFmt w:val="bullet"/>
      <w:lvlText w:val=""/>
      <w:lvlJc w:val="left"/>
      <w:pPr>
        <w:ind w:left="720" w:hanging="360"/>
      </w:pPr>
      <w:rPr>
        <w:rFonts w:ascii="Symbol" w:hAnsi="Symbol"/>
      </w:rPr>
    </w:lvl>
    <w:lvl w:ilvl="8" w:tplc="42D67F58">
      <w:start w:val="1"/>
      <w:numFmt w:val="bullet"/>
      <w:lvlText w:val=""/>
      <w:lvlJc w:val="left"/>
      <w:pPr>
        <w:ind w:left="720" w:hanging="360"/>
      </w:pPr>
      <w:rPr>
        <w:rFonts w:ascii="Symbol" w:hAnsi="Symbol"/>
      </w:rPr>
    </w:lvl>
  </w:abstractNum>
  <w:abstractNum w:abstractNumId="26" w15:restartNumberingAfterBreak="0">
    <w:nsid w:val="49FF7A73"/>
    <w:multiLevelType w:val="multilevel"/>
    <w:tmpl w:val="887A5B8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i w:val="0"/>
        <w:iCs w:val="0"/>
        <w:color w:val="auto"/>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7" w15:restartNumberingAfterBreak="0">
    <w:nsid w:val="4DDB0C4C"/>
    <w:multiLevelType w:val="hybridMultilevel"/>
    <w:tmpl w:val="D67A9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5E8790E"/>
    <w:multiLevelType w:val="hybridMultilevel"/>
    <w:tmpl w:val="E26AA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2B079B"/>
    <w:multiLevelType w:val="hybridMultilevel"/>
    <w:tmpl w:val="B6F2E1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CD693A"/>
    <w:multiLevelType w:val="hybridMultilevel"/>
    <w:tmpl w:val="3576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700DB9"/>
    <w:multiLevelType w:val="hybridMultilevel"/>
    <w:tmpl w:val="3A76192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3" w15:restartNumberingAfterBreak="0">
    <w:nsid w:val="6EE33D9B"/>
    <w:multiLevelType w:val="hybridMultilevel"/>
    <w:tmpl w:val="41027AE2"/>
    <w:lvl w:ilvl="0" w:tplc="BD9CA334">
      <w:start w:val="1"/>
      <w:numFmt w:val="bullet"/>
      <w:lvlText w:val=""/>
      <w:lvlJc w:val="left"/>
      <w:pPr>
        <w:ind w:left="1440" w:hanging="360"/>
      </w:pPr>
      <w:rPr>
        <w:rFonts w:ascii="Symbol" w:hAnsi="Symbol"/>
      </w:rPr>
    </w:lvl>
    <w:lvl w:ilvl="1" w:tplc="93521BE6">
      <w:start w:val="1"/>
      <w:numFmt w:val="bullet"/>
      <w:lvlText w:val=""/>
      <w:lvlJc w:val="left"/>
      <w:pPr>
        <w:ind w:left="1440" w:hanging="360"/>
      </w:pPr>
      <w:rPr>
        <w:rFonts w:ascii="Symbol" w:hAnsi="Symbol"/>
      </w:rPr>
    </w:lvl>
    <w:lvl w:ilvl="2" w:tplc="A5B48EAA">
      <w:start w:val="1"/>
      <w:numFmt w:val="bullet"/>
      <w:lvlText w:val=""/>
      <w:lvlJc w:val="left"/>
      <w:pPr>
        <w:ind w:left="1440" w:hanging="360"/>
      </w:pPr>
      <w:rPr>
        <w:rFonts w:ascii="Symbol" w:hAnsi="Symbol"/>
      </w:rPr>
    </w:lvl>
    <w:lvl w:ilvl="3" w:tplc="B950D3EC">
      <w:start w:val="1"/>
      <w:numFmt w:val="bullet"/>
      <w:lvlText w:val=""/>
      <w:lvlJc w:val="left"/>
      <w:pPr>
        <w:ind w:left="1440" w:hanging="360"/>
      </w:pPr>
      <w:rPr>
        <w:rFonts w:ascii="Symbol" w:hAnsi="Symbol"/>
      </w:rPr>
    </w:lvl>
    <w:lvl w:ilvl="4" w:tplc="822C7998">
      <w:start w:val="1"/>
      <w:numFmt w:val="bullet"/>
      <w:lvlText w:val=""/>
      <w:lvlJc w:val="left"/>
      <w:pPr>
        <w:ind w:left="1440" w:hanging="360"/>
      </w:pPr>
      <w:rPr>
        <w:rFonts w:ascii="Symbol" w:hAnsi="Symbol"/>
      </w:rPr>
    </w:lvl>
    <w:lvl w:ilvl="5" w:tplc="51EC1BC8">
      <w:start w:val="1"/>
      <w:numFmt w:val="bullet"/>
      <w:lvlText w:val=""/>
      <w:lvlJc w:val="left"/>
      <w:pPr>
        <w:ind w:left="1440" w:hanging="360"/>
      </w:pPr>
      <w:rPr>
        <w:rFonts w:ascii="Symbol" w:hAnsi="Symbol"/>
      </w:rPr>
    </w:lvl>
    <w:lvl w:ilvl="6" w:tplc="4AA03C7C">
      <w:start w:val="1"/>
      <w:numFmt w:val="bullet"/>
      <w:lvlText w:val=""/>
      <w:lvlJc w:val="left"/>
      <w:pPr>
        <w:ind w:left="1440" w:hanging="360"/>
      </w:pPr>
      <w:rPr>
        <w:rFonts w:ascii="Symbol" w:hAnsi="Symbol"/>
      </w:rPr>
    </w:lvl>
    <w:lvl w:ilvl="7" w:tplc="B18E3C9E">
      <w:start w:val="1"/>
      <w:numFmt w:val="bullet"/>
      <w:lvlText w:val=""/>
      <w:lvlJc w:val="left"/>
      <w:pPr>
        <w:ind w:left="1440" w:hanging="360"/>
      </w:pPr>
      <w:rPr>
        <w:rFonts w:ascii="Symbol" w:hAnsi="Symbol"/>
      </w:rPr>
    </w:lvl>
    <w:lvl w:ilvl="8" w:tplc="E41A5840">
      <w:start w:val="1"/>
      <w:numFmt w:val="bullet"/>
      <w:lvlText w:val=""/>
      <w:lvlJc w:val="left"/>
      <w:pPr>
        <w:ind w:left="1440" w:hanging="360"/>
      </w:pPr>
      <w:rPr>
        <w:rFonts w:ascii="Symbol" w:hAnsi="Symbol"/>
      </w:rPr>
    </w:lvl>
  </w:abstractNum>
  <w:abstractNum w:abstractNumId="34" w15:restartNumberingAfterBreak="0">
    <w:nsid w:val="7CFD3A29"/>
    <w:multiLevelType w:val="hybridMultilevel"/>
    <w:tmpl w:val="8B082E2A"/>
    <w:lvl w:ilvl="0" w:tplc="FFFFFFFF">
      <w:start w:val="1"/>
      <w:numFmt w:val="lowerLetter"/>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35" w15:restartNumberingAfterBreak="0">
    <w:nsid w:val="7F924BD0"/>
    <w:multiLevelType w:val="hybridMultilevel"/>
    <w:tmpl w:val="4120C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9923473">
    <w:abstractNumId w:val="26"/>
  </w:num>
  <w:num w:numId="2" w16cid:durableId="1348294051">
    <w:abstractNumId w:val="9"/>
  </w:num>
  <w:num w:numId="3" w16cid:durableId="1856770303">
    <w:abstractNumId w:val="7"/>
  </w:num>
  <w:num w:numId="4" w16cid:durableId="10183791">
    <w:abstractNumId w:val="6"/>
  </w:num>
  <w:num w:numId="5" w16cid:durableId="2094007107">
    <w:abstractNumId w:val="5"/>
  </w:num>
  <w:num w:numId="6" w16cid:durableId="2019581222">
    <w:abstractNumId w:val="4"/>
  </w:num>
  <w:num w:numId="7" w16cid:durableId="888802780">
    <w:abstractNumId w:val="8"/>
  </w:num>
  <w:num w:numId="8" w16cid:durableId="330724323">
    <w:abstractNumId w:val="1"/>
  </w:num>
  <w:num w:numId="9" w16cid:durableId="292978663">
    <w:abstractNumId w:val="0"/>
  </w:num>
  <w:num w:numId="10" w16cid:durableId="1226722741">
    <w:abstractNumId w:val="3"/>
  </w:num>
  <w:num w:numId="11" w16cid:durableId="943341508">
    <w:abstractNumId w:val="2"/>
  </w:num>
  <w:num w:numId="12" w16cid:durableId="1955752212">
    <w:abstractNumId w:val="28"/>
  </w:num>
  <w:num w:numId="13" w16cid:durableId="490604011">
    <w:abstractNumId w:val="23"/>
  </w:num>
  <w:num w:numId="14" w16cid:durableId="356656988">
    <w:abstractNumId w:val="18"/>
  </w:num>
  <w:num w:numId="15" w16cid:durableId="417598620">
    <w:abstractNumId w:val="16"/>
  </w:num>
  <w:num w:numId="16" w16cid:durableId="1206134400">
    <w:abstractNumId w:val="19"/>
  </w:num>
  <w:num w:numId="17" w16cid:durableId="1243687550">
    <w:abstractNumId w:val="31"/>
  </w:num>
  <w:num w:numId="18" w16cid:durableId="1210872952">
    <w:abstractNumId w:val="32"/>
  </w:num>
  <w:num w:numId="19" w16cid:durableId="1485272774">
    <w:abstractNumId w:val="27"/>
  </w:num>
  <w:num w:numId="20" w16cid:durableId="2007856696">
    <w:abstractNumId w:val="12"/>
  </w:num>
  <w:num w:numId="21" w16cid:durableId="525949337">
    <w:abstractNumId w:val="14"/>
  </w:num>
  <w:num w:numId="22" w16cid:durableId="1162159302">
    <w:abstractNumId w:val="35"/>
  </w:num>
  <w:num w:numId="23" w16cid:durableId="1900701406">
    <w:abstractNumId w:val="33"/>
  </w:num>
  <w:num w:numId="24" w16cid:durableId="1199320091">
    <w:abstractNumId w:val="29"/>
  </w:num>
  <w:num w:numId="25" w16cid:durableId="1032920794">
    <w:abstractNumId w:val="24"/>
  </w:num>
  <w:num w:numId="26" w16cid:durableId="6639280">
    <w:abstractNumId w:val="17"/>
  </w:num>
  <w:num w:numId="27" w16cid:durableId="246352683">
    <w:abstractNumId w:val="20"/>
  </w:num>
  <w:num w:numId="28" w16cid:durableId="1399790607">
    <w:abstractNumId w:val="21"/>
  </w:num>
  <w:num w:numId="29" w16cid:durableId="1130510022">
    <w:abstractNumId w:val="10"/>
  </w:num>
  <w:num w:numId="30" w16cid:durableId="1937899616">
    <w:abstractNumId w:val="13"/>
  </w:num>
  <w:num w:numId="31" w16cid:durableId="1587766740">
    <w:abstractNumId w:val="22"/>
  </w:num>
  <w:num w:numId="32" w16cid:durableId="1649822273">
    <w:abstractNumId w:val="15"/>
  </w:num>
  <w:num w:numId="33" w16cid:durableId="1495027305">
    <w:abstractNumId w:val="25"/>
  </w:num>
  <w:num w:numId="34" w16cid:durableId="417288166">
    <w:abstractNumId w:val="11"/>
  </w:num>
  <w:num w:numId="35" w16cid:durableId="1846944027">
    <w:abstractNumId w:val="34"/>
  </w:num>
  <w:num w:numId="36" w16cid:durableId="186039372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1A"/>
    <w:rsid w:val="000000B0"/>
    <w:rsid w:val="00000DBF"/>
    <w:rsid w:val="00000ECD"/>
    <w:rsid w:val="000015EC"/>
    <w:rsid w:val="00001F2F"/>
    <w:rsid w:val="00002181"/>
    <w:rsid w:val="000030BF"/>
    <w:rsid w:val="000035D4"/>
    <w:rsid w:val="0000368C"/>
    <w:rsid w:val="00003EA5"/>
    <w:rsid w:val="00004B6B"/>
    <w:rsid w:val="000051CB"/>
    <w:rsid w:val="000057EE"/>
    <w:rsid w:val="0000596C"/>
    <w:rsid w:val="00005A2A"/>
    <w:rsid w:val="00005A55"/>
    <w:rsid w:val="00005B73"/>
    <w:rsid w:val="00005EBC"/>
    <w:rsid w:val="0000627A"/>
    <w:rsid w:val="000067D5"/>
    <w:rsid w:val="00006AB6"/>
    <w:rsid w:val="00007891"/>
    <w:rsid w:val="00007B0D"/>
    <w:rsid w:val="00007E1B"/>
    <w:rsid w:val="00007E7A"/>
    <w:rsid w:val="00007E86"/>
    <w:rsid w:val="00010A56"/>
    <w:rsid w:val="00011116"/>
    <w:rsid w:val="00011646"/>
    <w:rsid w:val="000116FA"/>
    <w:rsid w:val="00011943"/>
    <w:rsid w:val="00011F6E"/>
    <w:rsid w:val="00012CED"/>
    <w:rsid w:val="00012FD6"/>
    <w:rsid w:val="000139C2"/>
    <w:rsid w:val="00014C40"/>
    <w:rsid w:val="000151E7"/>
    <w:rsid w:val="00015AD0"/>
    <w:rsid w:val="00015D39"/>
    <w:rsid w:val="000161C2"/>
    <w:rsid w:val="000165F0"/>
    <w:rsid w:val="00016A6C"/>
    <w:rsid w:val="00017138"/>
    <w:rsid w:val="000176CB"/>
    <w:rsid w:val="00017874"/>
    <w:rsid w:val="0002095F"/>
    <w:rsid w:val="000214E5"/>
    <w:rsid w:val="00022021"/>
    <w:rsid w:val="00022565"/>
    <w:rsid w:val="000225CB"/>
    <w:rsid w:val="0002291A"/>
    <w:rsid w:val="000237D6"/>
    <w:rsid w:val="00023E3E"/>
    <w:rsid w:val="00024486"/>
    <w:rsid w:val="000244CC"/>
    <w:rsid w:val="0002476A"/>
    <w:rsid w:val="0002491C"/>
    <w:rsid w:val="00024A2D"/>
    <w:rsid w:val="00025664"/>
    <w:rsid w:val="00025AFD"/>
    <w:rsid w:val="0002668F"/>
    <w:rsid w:val="00026A3D"/>
    <w:rsid w:val="00027514"/>
    <w:rsid w:val="000312E3"/>
    <w:rsid w:val="000318EA"/>
    <w:rsid w:val="00031D4D"/>
    <w:rsid w:val="00032031"/>
    <w:rsid w:val="00032528"/>
    <w:rsid w:val="000325BA"/>
    <w:rsid w:val="000329F4"/>
    <w:rsid w:val="000339EA"/>
    <w:rsid w:val="00033DD8"/>
    <w:rsid w:val="000343EB"/>
    <w:rsid w:val="00034754"/>
    <w:rsid w:val="000355EF"/>
    <w:rsid w:val="000355FC"/>
    <w:rsid w:val="00035C13"/>
    <w:rsid w:val="00036BE4"/>
    <w:rsid w:val="0003717A"/>
    <w:rsid w:val="00037814"/>
    <w:rsid w:val="00037C54"/>
    <w:rsid w:val="0004002A"/>
    <w:rsid w:val="00040A45"/>
    <w:rsid w:val="00041AA5"/>
    <w:rsid w:val="0004257A"/>
    <w:rsid w:val="000425A9"/>
    <w:rsid w:val="000430B8"/>
    <w:rsid w:val="00043542"/>
    <w:rsid w:val="00045038"/>
    <w:rsid w:val="00045310"/>
    <w:rsid w:val="0004536A"/>
    <w:rsid w:val="0004548D"/>
    <w:rsid w:val="00045712"/>
    <w:rsid w:val="000459C2"/>
    <w:rsid w:val="00045C4B"/>
    <w:rsid w:val="00045FA4"/>
    <w:rsid w:val="000465F1"/>
    <w:rsid w:val="000465F6"/>
    <w:rsid w:val="00046FD9"/>
    <w:rsid w:val="0004729B"/>
    <w:rsid w:val="000474C1"/>
    <w:rsid w:val="000475F8"/>
    <w:rsid w:val="00047A19"/>
    <w:rsid w:val="00047CAD"/>
    <w:rsid w:val="00050B72"/>
    <w:rsid w:val="00050DD4"/>
    <w:rsid w:val="00051997"/>
    <w:rsid w:val="00051A2C"/>
    <w:rsid w:val="00052069"/>
    <w:rsid w:val="000522FF"/>
    <w:rsid w:val="000524E4"/>
    <w:rsid w:val="000537D1"/>
    <w:rsid w:val="00053E47"/>
    <w:rsid w:val="00054888"/>
    <w:rsid w:val="00055679"/>
    <w:rsid w:val="00056B2F"/>
    <w:rsid w:val="000579B1"/>
    <w:rsid w:val="00060920"/>
    <w:rsid w:val="00060FF1"/>
    <w:rsid w:val="000617CE"/>
    <w:rsid w:val="00061AFB"/>
    <w:rsid w:val="00061C6C"/>
    <w:rsid w:val="00061EDC"/>
    <w:rsid w:val="0006212C"/>
    <w:rsid w:val="00062A96"/>
    <w:rsid w:val="00062CAB"/>
    <w:rsid w:val="00063C7F"/>
    <w:rsid w:val="00063CFA"/>
    <w:rsid w:val="00063D31"/>
    <w:rsid w:val="00063E6E"/>
    <w:rsid w:val="00064458"/>
    <w:rsid w:val="00064B01"/>
    <w:rsid w:val="00064CFC"/>
    <w:rsid w:val="00064FD5"/>
    <w:rsid w:val="0006526B"/>
    <w:rsid w:val="000653DF"/>
    <w:rsid w:val="000660A0"/>
    <w:rsid w:val="00066BC2"/>
    <w:rsid w:val="000673C5"/>
    <w:rsid w:val="000675E0"/>
    <w:rsid w:val="00067FC2"/>
    <w:rsid w:val="00070EA6"/>
    <w:rsid w:val="00071552"/>
    <w:rsid w:val="00071E11"/>
    <w:rsid w:val="000723AC"/>
    <w:rsid w:val="0007296B"/>
    <w:rsid w:val="00072BB1"/>
    <w:rsid w:val="00072EDA"/>
    <w:rsid w:val="00075081"/>
    <w:rsid w:val="000752AA"/>
    <w:rsid w:val="00075809"/>
    <w:rsid w:val="00076292"/>
    <w:rsid w:val="000778D6"/>
    <w:rsid w:val="00077E92"/>
    <w:rsid w:val="00080E2A"/>
    <w:rsid w:val="000818E8"/>
    <w:rsid w:val="00082156"/>
    <w:rsid w:val="00082205"/>
    <w:rsid w:val="000822CD"/>
    <w:rsid w:val="00082784"/>
    <w:rsid w:val="00082AE7"/>
    <w:rsid w:val="00082AE8"/>
    <w:rsid w:val="00083CFD"/>
    <w:rsid w:val="00084FD7"/>
    <w:rsid w:val="000852B2"/>
    <w:rsid w:val="00085840"/>
    <w:rsid w:val="00085C25"/>
    <w:rsid w:val="000865E6"/>
    <w:rsid w:val="00090096"/>
    <w:rsid w:val="000906AD"/>
    <w:rsid w:val="00090767"/>
    <w:rsid w:val="000916DD"/>
    <w:rsid w:val="000917E0"/>
    <w:rsid w:val="00091CCB"/>
    <w:rsid w:val="00092183"/>
    <w:rsid w:val="00092595"/>
    <w:rsid w:val="0009270F"/>
    <w:rsid w:val="00092F09"/>
    <w:rsid w:val="00093CD1"/>
    <w:rsid w:val="00095845"/>
    <w:rsid w:val="00096929"/>
    <w:rsid w:val="00097078"/>
    <w:rsid w:val="0009735B"/>
    <w:rsid w:val="00097798"/>
    <w:rsid w:val="00097D72"/>
    <w:rsid w:val="000A0068"/>
    <w:rsid w:val="000A0431"/>
    <w:rsid w:val="000A1DB8"/>
    <w:rsid w:val="000A25B5"/>
    <w:rsid w:val="000A34AD"/>
    <w:rsid w:val="000A3BEC"/>
    <w:rsid w:val="000A42A8"/>
    <w:rsid w:val="000A48AC"/>
    <w:rsid w:val="000A4B7D"/>
    <w:rsid w:val="000A5169"/>
    <w:rsid w:val="000A520E"/>
    <w:rsid w:val="000A56CC"/>
    <w:rsid w:val="000A5997"/>
    <w:rsid w:val="000A5F58"/>
    <w:rsid w:val="000A6120"/>
    <w:rsid w:val="000A61EF"/>
    <w:rsid w:val="000A650E"/>
    <w:rsid w:val="000A6668"/>
    <w:rsid w:val="000A6841"/>
    <w:rsid w:val="000A73B0"/>
    <w:rsid w:val="000A78F9"/>
    <w:rsid w:val="000B0093"/>
    <w:rsid w:val="000B0603"/>
    <w:rsid w:val="000B0A5D"/>
    <w:rsid w:val="000B0E84"/>
    <w:rsid w:val="000B1311"/>
    <w:rsid w:val="000B144B"/>
    <w:rsid w:val="000B1C22"/>
    <w:rsid w:val="000B2078"/>
    <w:rsid w:val="000B2447"/>
    <w:rsid w:val="000B2D64"/>
    <w:rsid w:val="000B31BA"/>
    <w:rsid w:val="000B31E1"/>
    <w:rsid w:val="000B362D"/>
    <w:rsid w:val="000B37D6"/>
    <w:rsid w:val="000B4689"/>
    <w:rsid w:val="000B47C4"/>
    <w:rsid w:val="000B50C7"/>
    <w:rsid w:val="000B52F9"/>
    <w:rsid w:val="000B5B68"/>
    <w:rsid w:val="000B5C59"/>
    <w:rsid w:val="000B5DE2"/>
    <w:rsid w:val="000B5E47"/>
    <w:rsid w:val="000B6B7A"/>
    <w:rsid w:val="000B7FF7"/>
    <w:rsid w:val="000C048B"/>
    <w:rsid w:val="000C0C8F"/>
    <w:rsid w:val="000C1626"/>
    <w:rsid w:val="000C16B3"/>
    <w:rsid w:val="000C1D84"/>
    <w:rsid w:val="000C1F62"/>
    <w:rsid w:val="000C2150"/>
    <w:rsid w:val="000C2248"/>
    <w:rsid w:val="000C24BD"/>
    <w:rsid w:val="000C2568"/>
    <w:rsid w:val="000C3838"/>
    <w:rsid w:val="000C3C3C"/>
    <w:rsid w:val="000C5608"/>
    <w:rsid w:val="000C5DA6"/>
    <w:rsid w:val="000C612D"/>
    <w:rsid w:val="000C6208"/>
    <w:rsid w:val="000C6569"/>
    <w:rsid w:val="000C71CB"/>
    <w:rsid w:val="000C72C4"/>
    <w:rsid w:val="000C7E78"/>
    <w:rsid w:val="000C7E8B"/>
    <w:rsid w:val="000D100D"/>
    <w:rsid w:val="000D1060"/>
    <w:rsid w:val="000D2460"/>
    <w:rsid w:val="000D2FD2"/>
    <w:rsid w:val="000D37E0"/>
    <w:rsid w:val="000D4A11"/>
    <w:rsid w:val="000D51FF"/>
    <w:rsid w:val="000D52F3"/>
    <w:rsid w:val="000D56F1"/>
    <w:rsid w:val="000D62E5"/>
    <w:rsid w:val="000D683D"/>
    <w:rsid w:val="000D6AAF"/>
    <w:rsid w:val="000D6E3A"/>
    <w:rsid w:val="000D7A40"/>
    <w:rsid w:val="000E010F"/>
    <w:rsid w:val="000E0E28"/>
    <w:rsid w:val="000E130A"/>
    <w:rsid w:val="000E153C"/>
    <w:rsid w:val="000E160B"/>
    <w:rsid w:val="000E1B85"/>
    <w:rsid w:val="000E1E7E"/>
    <w:rsid w:val="000E2C57"/>
    <w:rsid w:val="000E2EF2"/>
    <w:rsid w:val="000E41B4"/>
    <w:rsid w:val="000E427C"/>
    <w:rsid w:val="000E5DFA"/>
    <w:rsid w:val="000E6555"/>
    <w:rsid w:val="000E66F5"/>
    <w:rsid w:val="000E789C"/>
    <w:rsid w:val="000F0702"/>
    <w:rsid w:val="000F084C"/>
    <w:rsid w:val="000F08B7"/>
    <w:rsid w:val="000F0C34"/>
    <w:rsid w:val="000F1027"/>
    <w:rsid w:val="000F20B3"/>
    <w:rsid w:val="000F2762"/>
    <w:rsid w:val="000F33E6"/>
    <w:rsid w:val="000F3893"/>
    <w:rsid w:val="000F41A9"/>
    <w:rsid w:val="000F43A9"/>
    <w:rsid w:val="000F5E2F"/>
    <w:rsid w:val="000F5F16"/>
    <w:rsid w:val="000F66C9"/>
    <w:rsid w:val="000F6C6C"/>
    <w:rsid w:val="000F6DF1"/>
    <w:rsid w:val="000F76FF"/>
    <w:rsid w:val="00100086"/>
    <w:rsid w:val="00100115"/>
    <w:rsid w:val="0010046C"/>
    <w:rsid w:val="00100B40"/>
    <w:rsid w:val="001012A1"/>
    <w:rsid w:val="001013CA"/>
    <w:rsid w:val="00101932"/>
    <w:rsid w:val="001027F9"/>
    <w:rsid w:val="001031A8"/>
    <w:rsid w:val="001033A6"/>
    <w:rsid w:val="0010370B"/>
    <w:rsid w:val="0010385E"/>
    <w:rsid w:val="00103909"/>
    <w:rsid w:val="00103B2B"/>
    <w:rsid w:val="00103FE0"/>
    <w:rsid w:val="00105885"/>
    <w:rsid w:val="001059DF"/>
    <w:rsid w:val="00105BA5"/>
    <w:rsid w:val="001073AE"/>
    <w:rsid w:val="00107F3F"/>
    <w:rsid w:val="001103EA"/>
    <w:rsid w:val="00110C0B"/>
    <w:rsid w:val="00111BAD"/>
    <w:rsid w:val="00112403"/>
    <w:rsid w:val="00112731"/>
    <w:rsid w:val="0011275C"/>
    <w:rsid w:val="001128C4"/>
    <w:rsid w:val="00112A2E"/>
    <w:rsid w:val="00113617"/>
    <w:rsid w:val="00113987"/>
    <w:rsid w:val="00113F69"/>
    <w:rsid w:val="0011476C"/>
    <w:rsid w:val="0011529A"/>
    <w:rsid w:val="00115600"/>
    <w:rsid w:val="0011587B"/>
    <w:rsid w:val="001163A3"/>
    <w:rsid w:val="0011669D"/>
    <w:rsid w:val="00116D86"/>
    <w:rsid w:val="00117534"/>
    <w:rsid w:val="001176C7"/>
    <w:rsid w:val="0011772A"/>
    <w:rsid w:val="00117926"/>
    <w:rsid w:val="00117964"/>
    <w:rsid w:val="00117B1B"/>
    <w:rsid w:val="00117C86"/>
    <w:rsid w:val="001202EE"/>
    <w:rsid w:val="001202F9"/>
    <w:rsid w:val="001216C2"/>
    <w:rsid w:val="00121868"/>
    <w:rsid w:val="00121B7F"/>
    <w:rsid w:val="00121BE9"/>
    <w:rsid w:val="00122A35"/>
    <w:rsid w:val="00122BC5"/>
    <w:rsid w:val="0012364D"/>
    <w:rsid w:val="0012393B"/>
    <w:rsid w:val="00123B18"/>
    <w:rsid w:val="00123D6B"/>
    <w:rsid w:val="001247EC"/>
    <w:rsid w:val="001253D8"/>
    <w:rsid w:val="0012557F"/>
    <w:rsid w:val="00125B89"/>
    <w:rsid w:val="001271CA"/>
    <w:rsid w:val="00127FF4"/>
    <w:rsid w:val="001308CB"/>
    <w:rsid w:val="0013224C"/>
    <w:rsid w:val="001329A0"/>
    <w:rsid w:val="00132A79"/>
    <w:rsid w:val="00132C96"/>
    <w:rsid w:val="00133284"/>
    <w:rsid w:val="001337C0"/>
    <w:rsid w:val="00133913"/>
    <w:rsid w:val="0013399A"/>
    <w:rsid w:val="0013408F"/>
    <w:rsid w:val="00134774"/>
    <w:rsid w:val="001348E7"/>
    <w:rsid w:val="00135A49"/>
    <w:rsid w:val="00135D6B"/>
    <w:rsid w:val="00135EF9"/>
    <w:rsid w:val="00136E59"/>
    <w:rsid w:val="001376DA"/>
    <w:rsid w:val="001378D3"/>
    <w:rsid w:val="001379A9"/>
    <w:rsid w:val="00137F6D"/>
    <w:rsid w:val="00140274"/>
    <w:rsid w:val="001406D2"/>
    <w:rsid w:val="00140E77"/>
    <w:rsid w:val="001411E9"/>
    <w:rsid w:val="00141AF0"/>
    <w:rsid w:val="00141E58"/>
    <w:rsid w:val="00142365"/>
    <w:rsid w:val="00142642"/>
    <w:rsid w:val="0014275B"/>
    <w:rsid w:val="00142A65"/>
    <w:rsid w:val="00143011"/>
    <w:rsid w:val="001433D6"/>
    <w:rsid w:val="00143E00"/>
    <w:rsid w:val="00144244"/>
    <w:rsid w:val="00145083"/>
    <w:rsid w:val="00145234"/>
    <w:rsid w:val="001459A4"/>
    <w:rsid w:val="00145CEE"/>
    <w:rsid w:val="00146C07"/>
    <w:rsid w:val="001477A6"/>
    <w:rsid w:val="00147BFC"/>
    <w:rsid w:val="00147DD0"/>
    <w:rsid w:val="00150BBD"/>
    <w:rsid w:val="00150E64"/>
    <w:rsid w:val="00151263"/>
    <w:rsid w:val="00151DD5"/>
    <w:rsid w:val="0015239E"/>
    <w:rsid w:val="001523D2"/>
    <w:rsid w:val="001526DF"/>
    <w:rsid w:val="00152E72"/>
    <w:rsid w:val="001534E1"/>
    <w:rsid w:val="0015359F"/>
    <w:rsid w:val="001537BF"/>
    <w:rsid w:val="00154816"/>
    <w:rsid w:val="00154B26"/>
    <w:rsid w:val="00154E02"/>
    <w:rsid w:val="00155A2D"/>
    <w:rsid w:val="00156CA0"/>
    <w:rsid w:val="00156D0A"/>
    <w:rsid w:val="001578E8"/>
    <w:rsid w:val="001579E7"/>
    <w:rsid w:val="00157AD6"/>
    <w:rsid w:val="00160EAD"/>
    <w:rsid w:val="001617DD"/>
    <w:rsid w:val="0016195D"/>
    <w:rsid w:val="00161A14"/>
    <w:rsid w:val="00161BD5"/>
    <w:rsid w:val="001621E4"/>
    <w:rsid w:val="0016266F"/>
    <w:rsid w:val="00162A87"/>
    <w:rsid w:val="00162A8D"/>
    <w:rsid w:val="00162EF6"/>
    <w:rsid w:val="001637A0"/>
    <w:rsid w:val="001637E6"/>
    <w:rsid w:val="00164126"/>
    <w:rsid w:val="001649A3"/>
    <w:rsid w:val="00165127"/>
    <w:rsid w:val="00165952"/>
    <w:rsid w:val="0016596A"/>
    <w:rsid w:val="00165E3C"/>
    <w:rsid w:val="00166077"/>
    <w:rsid w:val="0016726A"/>
    <w:rsid w:val="0016758C"/>
    <w:rsid w:val="00167C93"/>
    <w:rsid w:val="00167D52"/>
    <w:rsid w:val="0017048A"/>
    <w:rsid w:val="0017069D"/>
    <w:rsid w:val="001710B2"/>
    <w:rsid w:val="001712C0"/>
    <w:rsid w:val="00171786"/>
    <w:rsid w:val="001721BB"/>
    <w:rsid w:val="001724F8"/>
    <w:rsid w:val="001726BE"/>
    <w:rsid w:val="00173FB5"/>
    <w:rsid w:val="00174541"/>
    <w:rsid w:val="0017463D"/>
    <w:rsid w:val="00174B16"/>
    <w:rsid w:val="00174D9A"/>
    <w:rsid w:val="00175BFE"/>
    <w:rsid w:val="00176DE6"/>
    <w:rsid w:val="00176F7A"/>
    <w:rsid w:val="00177331"/>
    <w:rsid w:val="001802CF"/>
    <w:rsid w:val="001808C7"/>
    <w:rsid w:val="0018145D"/>
    <w:rsid w:val="00181B2F"/>
    <w:rsid w:val="00181C9A"/>
    <w:rsid w:val="001828A0"/>
    <w:rsid w:val="00182A6C"/>
    <w:rsid w:val="00183120"/>
    <w:rsid w:val="00183917"/>
    <w:rsid w:val="00183B10"/>
    <w:rsid w:val="00183DD5"/>
    <w:rsid w:val="00183FDD"/>
    <w:rsid w:val="001840BB"/>
    <w:rsid w:val="00184166"/>
    <w:rsid w:val="001846FD"/>
    <w:rsid w:val="00184C28"/>
    <w:rsid w:val="00185159"/>
    <w:rsid w:val="001857ED"/>
    <w:rsid w:val="00185DBA"/>
    <w:rsid w:val="00186F0D"/>
    <w:rsid w:val="001877C6"/>
    <w:rsid w:val="00187827"/>
    <w:rsid w:val="00187EF2"/>
    <w:rsid w:val="00190019"/>
    <w:rsid w:val="001902AE"/>
    <w:rsid w:val="001916D8"/>
    <w:rsid w:val="00191852"/>
    <w:rsid w:val="001920E8"/>
    <w:rsid w:val="0019245B"/>
    <w:rsid w:val="001924FB"/>
    <w:rsid w:val="00192713"/>
    <w:rsid w:val="0019288C"/>
    <w:rsid w:val="00193179"/>
    <w:rsid w:val="00193A6B"/>
    <w:rsid w:val="00194082"/>
    <w:rsid w:val="00194722"/>
    <w:rsid w:val="00194AF9"/>
    <w:rsid w:val="0019565C"/>
    <w:rsid w:val="00195668"/>
    <w:rsid w:val="00195D2F"/>
    <w:rsid w:val="00195EDE"/>
    <w:rsid w:val="0019650A"/>
    <w:rsid w:val="001965C3"/>
    <w:rsid w:val="001968BE"/>
    <w:rsid w:val="00196EDD"/>
    <w:rsid w:val="00197454"/>
    <w:rsid w:val="00197461"/>
    <w:rsid w:val="001978F1"/>
    <w:rsid w:val="00197F98"/>
    <w:rsid w:val="001A00AB"/>
    <w:rsid w:val="001A11EC"/>
    <w:rsid w:val="001A1EAD"/>
    <w:rsid w:val="001A2294"/>
    <w:rsid w:val="001A2F96"/>
    <w:rsid w:val="001A3084"/>
    <w:rsid w:val="001A383C"/>
    <w:rsid w:val="001A43B6"/>
    <w:rsid w:val="001A4767"/>
    <w:rsid w:val="001A47D3"/>
    <w:rsid w:val="001A4DBE"/>
    <w:rsid w:val="001A526A"/>
    <w:rsid w:val="001A52A4"/>
    <w:rsid w:val="001A5F21"/>
    <w:rsid w:val="001A66DE"/>
    <w:rsid w:val="001A6927"/>
    <w:rsid w:val="001A71B9"/>
    <w:rsid w:val="001A73DB"/>
    <w:rsid w:val="001A742B"/>
    <w:rsid w:val="001A780C"/>
    <w:rsid w:val="001A7C5E"/>
    <w:rsid w:val="001B0353"/>
    <w:rsid w:val="001B0FB7"/>
    <w:rsid w:val="001B1A0D"/>
    <w:rsid w:val="001B20C0"/>
    <w:rsid w:val="001B24F7"/>
    <w:rsid w:val="001B291E"/>
    <w:rsid w:val="001B293A"/>
    <w:rsid w:val="001B3043"/>
    <w:rsid w:val="001B48B6"/>
    <w:rsid w:val="001B5660"/>
    <w:rsid w:val="001B58B3"/>
    <w:rsid w:val="001B5A6E"/>
    <w:rsid w:val="001B71CB"/>
    <w:rsid w:val="001B72B6"/>
    <w:rsid w:val="001B75BA"/>
    <w:rsid w:val="001B762E"/>
    <w:rsid w:val="001B7D0C"/>
    <w:rsid w:val="001C1737"/>
    <w:rsid w:val="001C1B28"/>
    <w:rsid w:val="001C1F8B"/>
    <w:rsid w:val="001C3113"/>
    <w:rsid w:val="001C3147"/>
    <w:rsid w:val="001C3447"/>
    <w:rsid w:val="001C34E4"/>
    <w:rsid w:val="001C3F47"/>
    <w:rsid w:val="001C4913"/>
    <w:rsid w:val="001C595A"/>
    <w:rsid w:val="001C7489"/>
    <w:rsid w:val="001C757C"/>
    <w:rsid w:val="001C758B"/>
    <w:rsid w:val="001D10C6"/>
    <w:rsid w:val="001D1335"/>
    <w:rsid w:val="001D16E5"/>
    <w:rsid w:val="001D16F9"/>
    <w:rsid w:val="001D1A65"/>
    <w:rsid w:val="001D1CDC"/>
    <w:rsid w:val="001D23BF"/>
    <w:rsid w:val="001D26B7"/>
    <w:rsid w:val="001D3151"/>
    <w:rsid w:val="001D33CF"/>
    <w:rsid w:val="001D363E"/>
    <w:rsid w:val="001D38AB"/>
    <w:rsid w:val="001D45B3"/>
    <w:rsid w:val="001D46F9"/>
    <w:rsid w:val="001D472A"/>
    <w:rsid w:val="001D4C65"/>
    <w:rsid w:val="001D4D9E"/>
    <w:rsid w:val="001D556A"/>
    <w:rsid w:val="001D5771"/>
    <w:rsid w:val="001D5B11"/>
    <w:rsid w:val="001D60F8"/>
    <w:rsid w:val="001D6464"/>
    <w:rsid w:val="001D6AD9"/>
    <w:rsid w:val="001D763F"/>
    <w:rsid w:val="001E0608"/>
    <w:rsid w:val="001E0880"/>
    <w:rsid w:val="001E1088"/>
    <w:rsid w:val="001E211A"/>
    <w:rsid w:val="001E2470"/>
    <w:rsid w:val="001E2A8B"/>
    <w:rsid w:val="001E2D02"/>
    <w:rsid w:val="001E318B"/>
    <w:rsid w:val="001E3804"/>
    <w:rsid w:val="001E3DC0"/>
    <w:rsid w:val="001E3F09"/>
    <w:rsid w:val="001E4883"/>
    <w:rsid w:val="001E48FF"/>
    <w:rsid w:val="001E491A"/>
    <w:rsid w:val="001E4AB1"/>
    <w:rsid w:val="001E4D22"/>
    <w:rsid w:val="001E4D52"/>
    <w:rsid w:val="001E50BC"/>
    <w:rsid w:val="001E5676"/>
    <w:rsid w:val="001E6323"/>
    <w:rsid w:val="001E6420"/>
    <w:rsid w:val="001E69C5"/>
    <w:rsid w:val="001E6B84"/>
    <w:rsid w:val="001E7052"/>
    <w:rsid w:val="001E76C1"/>
    <w:rsid w:val="001E7735"/>
    <w:rsid w:val="001E7A67"/>
    <w:rsid w:val="001E7D81"/>
    <w:rsid w:val="001F01FA"/>
    <w:rsid w:val="001F0D6E"/>
    <w:rsid w:val="001F0DCB"/>
    <w:rsid w:val="001F17C3"/>
    <w:rsid w:val="001F2101"/>
    <w:rsid w:val="001F2428"/>
    <w:rsid w:val="001F2672"/>
    <w:rsid w:val="001F2BBB"/>
    <w:rsid w:val="001F2FDA"/>
    <w:rsid w:val="001F40C4"/>
    <w:rsid w:val="001F4413"/>
    <w:rsid w:val="001F52FD"/>
    <w:rsid w:val="001F56BE"/>
    <w:rsid w:val="001F59C5"/>
    <w:rsid w:val="001F5FC9"/>
    <w:rsid w:val="001F61EA"/>
    <w:rsid w:val="001F62CC"/>
    <w:rsid w:val="001F7818"/>
    <w:rsid w:val="00200677"/>
    <w:rsid w:val="00200840"/>
    <w:rsid w:val="002012F7"/>
    <w:rsid w:val="00201684"/>
    <w:rsid w:val="00201A58"/>
    <w:rsid w:val="00201A5E"/>
    <w:rsid w:val="0020258E"/>
    <w:rsid w:val="002027F6"/>
    <w:rsid w:val="0020354F"/>
    <w:rsid w:val="002035E6"/>
    <w:rsid w:val="002037BB"/>
    <w:rsid w:val="00204EF1"/>
    <w:rsid w:val="0020528F"/>
    <w:rsid w:val="0020572B"/>
    <w:rsid w:val="002058E5"/>
    <w:rsid w:val="00206606"/>
    <w:rsid w:val="002068EB"/>
    <w:rsid w:val="00206F32"/>
    <w:rsid w:val="00206FAD"/>
    <w:rsid w:val="0020722D"/>
    <w:rsid w:val="0020764F"/>
    <w:rsid w:val="002100F2"/>
    <w:rsid w:val="00210B53"/>
    <w:rsid w:val="002125C3"/>
    <w:rsid w:val="00212644"/>
    <w:rsid w:val="00212DA5"/>
    <w:rsid w:val="00213978"/>
    <w:rsid w:val="00213B07"/>
    <w:rsid w:val="00214443"/>
    <w:rsid w:val="0021530C"/>
    <w:rsid w:val="00215BFA"/>
    <w:rsid w:val="00216E9C"/>
    <w:rsid w:val="002170B8"/>
    <w:rsid w:val="002176AC"/>
    <w:rsid w:val="00217B73"/>
    <w:rsid w:val="002203A3"/>
    <w:rsid w:val="0022057C"/>
    <w:rsid w:val="00220DEF"/>
    <w:rsid w:val="00221361"/>
    <w:rsid w:val="0022291C"/>
    <w:rsid w:val="00222B39"/>
    <w:rsid w:val="00223519"/>
    <w:rsid w:val="00223FAB"/>
    <w:rsid w:val="00224380"/>
    <w:rsid w:val="002255C2"/>
    <w:rsid w:val="002276BE"/>
    <w:rsid w:val="002276C4"/>
    <w:rsid w:val="00227C62"/>
    <w:rsid w:val="00230346"/>
    <w:rsid w:val="00231242"/>
    <w:rsid w:val="00231D3E"/>
    <w:rsid w:val="00231DBC"/>
    <w:rsid w:val="00231ED1"/>
    <w:rsid w:val="00232621"/>
    <w:rsid w:val="00232A0B"/>
    <w:rsid w:val="002331AA"/>
    <w:rsid w:val="002334BE"/>
    <w:rsid w:val="00233661"/>
    <w:rsid w:val="002338B6"/>
    <w:rsid w:val="00233DE2"/>
    <w:rsid w:val="00233E19"/>
    <w:rsid w:val="0023408E"/>
    <w:rsid w:val="00234454"/>
    <w:rsid w:val="002355BE"/>
    <w:rsid w:val="002357E1"/>
    <w:rsid w:val="0023598A"/>
    <w:rsid w:val="00235B61"/>
    <w:rsid w:val="00237475"/>
    <w:rsid w:val="00237E1E"/>
    <w:rsid w:val="00240411"/>
    <w:rsid w:val="0024088C"/>
    <w:rsid w:val="0024105F"/>
    <w:rsid w:val="00241523"/>
    <w:rsid w:val="00241B2C"/>
    <w:rsid w:val="00242624"/>
    <w:rsid w:val="00242BB3"/>
    <w:rsid w:val="00242BBC"/>
    <w:rsid w:val="002434CD"/>
    <w:rsid w:val="002450A5"/>
    <w:rsid w:val="00245352"/>
    <w:rsid w:val="0024557E"/>
    <w:rsid w:val="002458F9"/>
    <w:rsid w:val="00246C6A"/>
    <w:rsid w:val="00246E67"/>
    <w:rsid w:val="002471FD"/>
    <w:rsid w:val="0025063C"/>
    <w:rsid w:val="00250CD2"/>
    <w:rsid w:val="002516BA"/>
    <w:rsid w:val="00251FFD"/>
    <w:rsid w:val="0025376D"/>
    <w:rsid w:val="00254502"/>
    <w:rsid w:val="00256115"/>
    <w:rsid w:val="00256811"/>
    <w:rsid w:val="00257454"/>
    <w:rsid w:val="002578EE"/>
    <w:rsid w:val="00257AE8"/>
    <w:rsid w:val="00257B20"/>
    <w:rsid w:val="00260E04"/>
    <w:rsid w:val="002616B2"/>
    <w:rsid w:val="002616B6"/>
    <w:rsid w:val="00261C1C"/>
    <w:rsid w:val="00261F6E"/>
    <w:rsid w:val="00262FCB"/>
    <w:rsid w:val="002632EA"/>
    <w:rsid w:val="00263A4B"/>
    <w:rsid w:val="00263F5F"/>
    <w:rsid w:val="00264138"/>
    <w:rsid w:val="002645CE"/>
    <w:rsid w:val="002649A2"/>
    <w:rsid w:val="002649F1"/>
    <w:rsid w:val="00264CF1"/>
    <w:rsid w:val="00265095"/>
    <w:rsid w:val="00265568"/>
    <w:rsid w:val="00265A7F"/>
    <w:rsid w:val="0026664A"/>
    <w:rsid w:val="0026701B"/>
    <w:rsid w:val="00267451"/>
    <w:rsid w:val="002675B7"/>
    <w:rsid w:val="0026782A"/>
    <w:rsid w:val="00267ED6"/>
    <w:rsid w:val="00270DAF"/>
    <w:rsid w:val="002716A2"/>
    <w:rsid w:val="00271EE0"/>
    <w:rsid w:val="00272435"/>
    <w:rsid w:val="00272C17"/>
    <w:rsid w:val="0027303E"/>
    <w:rsid w:val="0027320F"/>
    <w:rsid w:val="00273359"/>
    <w:rsid w:val="00273431"/>
    <w:rsid w:val="00273FEA"/>
    <w:rsid w:val="0027468F"/>
    <w:rsid w:val="00274A89"/>
    <w:rsid w:val="002758E2"/>
    <w:rsid w:val="00276FF0"/>
    <w:rsid w:val="00277925"/>
    <w:rsid w:val="00280D71"/>
    <w:rsid w:val="0028131F"/>
    <w:rsid w:val="00282077"/>
    <w:rsid w:val="00282F7A"/>
    <w:rsid w:val="0028388D"/>
    <w:rsid w:val="002839D7"/>
    <w:rsid w:val="00283A58"/>
    <w:rsid w:val="00284650"/>
    <w:rsid w:val="0028506A"/>
    <w:rsid w:val="002850B0"/>
    <w:rsid w:val="00285165"/>
    <w:rsid w:val="002863D7"/>
    <w:rsid w:val="00286745"/>
    <w:rsid w:val="002868C4"/>
    <w:rsid w:val="0028718B"/>
    <w:rsid w:val="002873B4"/>
    <w:rsid w:val="00287406"/>
    <w:rsid w:val="00287A32"/>
    <w:rsid w:val="0029007C"/>
    <w:rsid w:val="002910C4"/>
    <w:rsid w:val="00291827"/>
    <w:rsid w:val="00291D9E"/>
    <w:rsid w:val="0029257D"/>
    <w:rsid w:val="00292947"/>
    <w:rsid w:val="00292AB5"/>
    <w:rsid w:val="00292C71"/>
    <w:rsid w:val="00292C79"/>
    <w:rsid w:val="0029375C"/>
    <w:rsid w:val="002937AD"/>
    <w:rsid w:val="00294859"/>
    <w:rsid w:val="002949F4"/>
    <w:rsid w:val="00295413"/>
    <w:rsid w:val="00295446"/>
    <w:rsid w:val="00295CE5"/>
    <w:rsid w:val="00297088"/>
    <w:rsid w:val="00297CD5"/>
    <w:rsid w:val="00297E20"/>
    <w:rsid w:val="002A07EC"/>
    <w:rsid w:val="002A0D53"/>
    <w:rsid w:val="002A1670"/>
    <w:rsid w:val="002A1C97"/>
    <w:rsid w:val="002A2010"/>
    <w:rsid w:val="002A268E"/>
    <w:rsid w:val="002A2B4E"/>
    <w:rsid w:val="002A2BBC"/>
    <w:rsid w:val="002A2BCF"/>
    <w:rsid w:val="002A2E70"/>
    <w:rsid w:val="002A3ABB"/>
    <w:rsid w:val="002A43C2"/>
    <w:rsid w:val="002A4A95"/>
    <w:rsid w:val="002A5183"/>
    <w:rsid w:val="002A5408"/>
    <w:rsid w:val="002A590B"/>
    <w:rsid w:val="002A62A9"/>
    <w:rsid w:val="002A674D"/>
    <w:rsid w:val="002A70DC"/>
    <w:rsid w:val="002B020C"/>
    <w:rsid w:val="002B088F"/>
    <w:rsid w:val="002B17DD"/>
    <w:rsid w:val="002B1B65"/>
    <w:rsid w:val="002B21DD"/>
    <w:rsid w:val="002B231D"/>
    <w:rsid w:val="002B308E"/>
    <w:rsid w:val="002B326E"/>
    <w:rsid w:val="002B3632"/>
    <w:rsid w:val="002B39B0"/>
    <w:rsid w:val="002B39F9"/>
    <w:rsid w:val="002B4A61"/>
    <w:rsid w:val="002B5087"/>
    <w:rsid w:val="002B50E4"/>
    <w:rsid w:val="002B6015"/>
    <w:rsid w:val="002B66CA"/>
    <w:rsid w:val="002B67F8"/>
    <w:rsid w:val="002B68BC"/>
    <w:rsid w:val="002B7A33"/>
    <w:rsid w:val="002C02DB"/>
    <w:rsid w:val="002C0388"/>
    <w:rsid w:val="002C055F"/>
    <w:rsid w:val="002C07E7"/>
    <w:rsid w:val="002C0DEC"/>
    <w:rsid w:val="002C0FB7"/>
    <w:rsid w:val="002C14F5"/>
    <w:rsid w:val="002C1866"/>
    <w:rsid w:val="002C1A30"/>
    <w:rsid w:val="002C1B9C"/>
    <w:rsid w:val="002C1F0F"/>
    <w:rsid w:val="002C30D8"/>
    <w:rsid w:val="002C3A1D"/>
    <w:rsid w:val="002C3CE3"/>
    <w:rsid w:val="002C45EF"/>
    <w:rsid w:val="002C4B05"/>
    <w:rsid w:val="002C5602"/>
    <w:rsid w:val="002C563D"/>
    <w:rsid w:val="002C77F6"/>
    <w:rsid w:val="002C7AC6"/>
    <w:rsid w:val="002D00BD"/>
    <w:rsid w:val="002D025F"/>
    <w:rsid w:val="002D02C4"/>
    <w:rsid w:val="002D03BB"/>
    <w:rsid w:val="002D0BF3"/>
    <w:rsid w:val="002D0FA6"/>
    <w:rsid w:val="002D1E48"/>
    <w:rsid w:val="002D2AF2"/>
    <w:rsid w:val="002D2B4F"/>
    <w:rsid w:val="002D43FE"/>
    <w:rsid w:val="002D4B41"/>
    <w:rsid w:val="002D5943"/>
    <w:rsid w:val="002D5EFF"/>
    <w:rsid w:val="002D6542"/>
    <w:rsid w:val="002D693C"/>
    <w:rsid w:val="002D6BDE"/>
    <w:rsid w:val="002E042C"/>
    <w:rsid w:val="002E090A"/>
    <w:rsid w:val="002E098D"/>
    <w:rsid w:val="002E1105"/>
    <w:rsid w:val="002E1C02"/>
    <w:rsid w:val="002E2086"/>
    <w:rsid w:val="002E27E2"/>
    <w:rsid w:val="002E2B7B"/>
    <w:rsid w:val="002E38E4"/>
    <w:rsid w:val="002E3C02"/>
    <w:rsid w:val="002E3C32"/>
    <w:rsid w:val="002E3D92"/>
    <w:rsid w:val="002E409A"/>
    <w:rsid w:val="002E44B1"/>
    <w:rsid w:val="002E4616"/>
    <w:rsid w:val="002E4788"/>
    <w:rsid w:val="002E481F"/>
    <w:rsid w:val="002E525A"/>
    <w:rsid w:val="002E582C"/>
    <w:rsid w:val="002E5A1B"/>
    <w:rsid w:val="002E6D48"/>
    <w:rsid w:val="002E78FC"/>
    <w:rsid w:val="002E79D5"/>
    <w:rsid w:val="002E7C84"/>
    <w:rsid w:val="002F0763"/>
    <w:rsid w:val="002F08C6"/>
    <w:rsid w:val="002F1F27"/>
    <w:rsid w:val="002F2A6D"/>
    <w:rsid w:val="002F3014"/>
    <w:rsid w:val="002F3841"/>
    <w:rsid w:val="002F3C78"/>
    <w:rsid w:val="002F44E5"/>
    <w:rsid w:val="002F4CE1"/>
    <w:rsid w:val="002F51C0"/>
    <w:rsid w:val="002F523C"/>
    <w:rsid w:val="002F5780"/>
    <w:rsid w:val="002F5883"/>
    <w:rsid w:val="002F5C7C"/>
    <w:rsid w:val="002F5E96"/>
    <w:rsid w:val="002F5EBF"/>
    <w:rsid w:val="002F704F"/>
    <w:rsid w:val="002F711B"/>
    <w:rsid w:val="002F77FE"/>
    <w:rsid w:val="0030053D"/>
    <w:rsid w:val="00300744"/>
    <w:rsid w:val="0030089E"/>
    <w:rsid w:val="00300F22"/>
    <w:rsid w:val="0030175D"/>
    <w:rsid w:val="00302624"/>
    <w:rsid w:val="00302C7D"/>
    <w:rsid w:val="0030389E"/>
    <w:rsid w:val="00303F5C"/>
    <w:rsid w:val="0030470F"/>
    <w:rsid w:val="00304A37"/>
    <w:rsid w:val="00304E92"/>
    <w:rsid w:val="003056EE"/>
    <w:rsid w:val="0030584E"/>
    <w:rsid w:val="00305E74"/>
    <w:rsid w:val="00306146"/>
    <w:rsid w:val="0031040E"/>
    <w:rsid w:val="0031048D"/>
    <w:rsid w:val="00310ED4"/>
    <w:rsid w:val="003116FA"/>
    <w:rsid w:val="003117BA"/>
    <w:rsid w:val="00311D36"/>
    <w:rsid w:val="00311FBF"/>
    <w:rsid w:val="00312301"/>
    <w:rsid w:val="00313504"/>
    <w:rsid w:val="00313D93"/>
    <w:rsid w:val="0031492A"/>
    <w:rsid w:val="00314D3D"/>
    <w:rsid w:val="00314DE9"/>
    <w:rsid w:val="00315135"/>
    <w:rsid w:val="00315857"/>
    <w:rsid w:val="00315990"/>
    <w:rsid w:val="00315D97"/>
    <w:rsid w:val="00316C1A"/>
    <w:rsid w:val="003172FE"/>
    <w:rsid w:val="00317591"/>
    <w:rsid w:val="00317850"/>
    <w:rsid w:val="00317A7A"/>
    <w:rsid w:val="00317B78"/>
    <w:rsid w:val="00320066"/>
    <w:rsid w:val="003200B6"/>
    <w:rsid w:val="003200CE"/>
    <w:rsid w:val="003203A6"/>
    <w:rsid w:val="003206E4"/>
    <w:rsid w:val="00320981"/>
    <w:rsid w:val="00320C05"/>
    <w:rsid w:val="003229C4"/>
    <w:rsid w:val="00323118"/>
    <w:rsid w:val="00323C73"/>
    <w:rsid w:val="003248B7"/>
    <w:rsid w:val="00324C48"/>
    <w:rsid w:val="00325075"/>
    <w:rsid w:val="00325B76"/>
    <w:rsid w:val="00326008"/>
    <w:rsid w:val="00326257"/>
    <w:rsid w:val="00326490"/>
    <w:rsid w:val="00327483"/>
    <w:rsid w:val="00330119"/>
    <w:rsid w:val="00330480"/>
    <w:rsid w:val="00331141"/>
    <w:rsid w:val="00331F7C"/>
    <w:rsid w:val="0033202C"/>
    <w:rsid w:val="0033230B"/>
    <w:rsid w:val="0033307A"/>
    <w:rsid w:val="003331A3"/>
    <w:rsid w:val="0033328E"/>
    <w:rsid w:val="00333CFB"/>
    <w:rsid w:val="00333D32"/>
    <w:rsid w:val="00333FBB"/>
    <w:rsid w:val="0033460E"/>
    <w:rsid w:val="003349DD"/>
    <w:rsid w:val="00334B99"/>
    <w:rsid w:val="003351C9"/>
    <w:rsid w:val="0033575D"/>
    <w:rsid w:val="00335C15"/>
    <w:rsid w:val="00335CC4"/>
    <w:rsid w:val="003365B9"/>
    <w:rsid w:val="00336B50"/>
    <w:rsid w:val="00336E43"/>
    <w:rsid w:val="00337270"/>
    <w:rsid w:val="00337A4A"/>
    <w:rsid w:val="00337C76"/>
    <w:rsid w:val="003402D7"/>
    <w:rsid w:val="0034064B"/>
    <w:rsid w:val="0034112C"/>
    <w:rsid w:val="0034181F"/>
    <w:rsid w:val="00341859"/>
    <w:rsid w:val="003423F4"/>
    <w:rsid w:val="003424F7"/>
    <w:rsid w:val="00342CAB"/>
    <w:rsid w:val="003436B7"/>
    <w:rsid w:val="003443C4"/>
    <w:rsid w:val="00344674"/>
    <w:rsid w:val="00344758"/>
    <w:rsid w:val="003449C4"/>
    <w:rsid w:val="00345175"/>
    <w:rsid w:val="0034580C"/>
    <w:rsid w:val="00345BA7"/>
    <w:rsid w:val="00346045"/>
    <w:rsid w:val="003462A0"/>
    <w:rsid w:val="003462C5"/>
    <w:rsid w:val="00346AFF"/>
    <w:rsid w:val="00346E32"/>
    <w:rsid w:val="00346FBA"/>
    <w:rsid w:val="00347142"/>
    <w:rsid w:val="00347519"/>
    <w:rsid w:val="00347A3C"/>
    <w:rsid w:val="00347A63"/>
    <w:rsid w:val="00347B8E"/>
    <w:rsid w:val="00347EE6"/>
    <w:rsid w:val="00347FA1"/>
    <w:rsid w:val="0035095F"/>
    <w:rsid w:val="00350D1B"/>
    <w:rsid w:val="00351C66"/>
    <w:rsid w:val="00351EF2"/>
    <w:rsid w:val="00351F07"/>
    <w:rsid w:val="00352D37"/>
    <w:rsid w:val="003532A4"/>
    <w:rsid w:val="003537F8"/>
    <w:rsid w:val="00355814"/>
    <w:rsid w:val="00355A57"/>
    <w:rsid w:val="00355B47"/>
    <w:rsid w:val="003561C7"/>
    <w:rsid w:val="003565A8"/>
    <w:rsid w:val="003566EA"/>
    <w:rsid w:val="00356C4A"/>
    <w:rsid w:val="00356EB3"/>
    <w:rsid w:val="00357344"/>
    <w:rsid w:val="003600EB"/>
    <w:rsid w:val="003601DF"/>
    <w:rsid w:val="00360E88"/>
    <w:rsid w:val="00360EEA"/>
    <w:rsid w:val="003619EB"/>
    <w:rsid w:val="003624C7"/>
    <w:rsid w:val="0036295F"/>
    <w:rsid w:val="00362C87"/>
    <w:rsid w:val="003638F4"/>
    <w:rsid w:val="00363A74"/>
    <w:rsid w:val="00363BD0"/>
    <w:rsid w:val="0036488C"/>
    <w:rsid w:val="00364E74"/>
    <w:rsid w:val="00364F70"/>
    <w:rsid w:val="00364FBE"/>
    <w:rsid w:val="00365DC7"/>
    <w:rsid w:val="00366510"/>
    <w:rsid w:val="0036721F"/>
    <w:rsid w:val="003700FF"/>
    <w:rsid w:val="00370CBC"/>
    <w:rsid w:val="00371E79"/>
    <w:rsid w:val="00372009"/>
    <w:rsid w:val="0037296F"/>
    <w:rsid w:val="00372C79"/>
    <w:rsid w:val="00372E8F"/>
    <w:rsid w:val="003734CA"/>
    <w:rsid w:val="003736C3"/>
    <w:rsid w:val="00373948"/>
    <w:rsid w:val="00373A3E"/>
    <w:rsid w:val="0037435A"/>
    <w:rsid w:val="0037457C"/>
    <w:rsid w:val="0037476A"/>
    <w:rsid w:val="0037533A"/>
    <w:rsid w:val="00375AA3"/>
    <w:rsid w:val="0037645F"/>
    <w:rsid w:val="003765E9"/>
    <w:rsid w:val="00376896"/>
    <w:rsid w:val="003769B3"/>
    <w:rsid w:val="0037713B"/>
    <w:rsid w:val="003775F0"/>
    <w:rsid w:val="00377E16"/>
    <w:rsid w:val="00377FFD"/>
    <w:rsid w:val="00380C46"/>
    <w:rsid w:val="00381A5E"/>
    <w:rsid w:val="0038207C"/>
    <w:rsid w:val="003825A1"/>
    <w:rsid w:val="00382AA6"/>
    <w:rsid w:val="003830E9"/>
    <w:rsid w:val="0038414F"/>
    <w:rsid w:val="00384C0F"/>
    <w:rsid w:val="0038545E"/>
    <w:rsid w:val="003858D2"/>
    <w:rsid w:val="00385B48"/>
    <w:rsid w:val="00386343"/>
    <w:rsid w:val="00386408"/>
    <w:rsid w:val="00386411"/>
    <w:rsid w:val="00386BFA"/>
    <w:rsid w:val="0039010C"/>
    <w:rsid w:val="003909EA"/>
    <w:rsid w:val="00391791"/>
    <w:rsid w:val="003926B4"/>
    <w:rsid w:val="003926BB"/>
    <w:rsid w:val="00392C83"/>
    <w:rsid w:val="00393710"/>
    <w:rsid w:val="00393F31"/>
    <w:rsid w:val="003947E9"/>
    <w:rsid w:val="00394BDF"/>
    <w:rsid w:val="00394CA9"/>
    <w:rsid w:val="003952EA"/>
    <w:rsid w:val="003954B1"/>
    <w:rsid w:val="003957CC"/>
    <w:rsid w:val="003963D5"/>
    <w:rsid w:val="00396443"/>
    <w:rsid w:val="00396761"/>
    <w:rsid w:val="003977B3"/>
    <w:rsid w:val="00397BB6"/>
    <w:rsid w:val="003A0043"/>
    <w:rsid w:val="003A0B68"/>
    <w:rsid w:val="003A113F"/>
    <w:rsid w:val="003A130F"/>
    <w:rsid w:val="003A1351"/>
    <w:rsid w:val="003A168E"/>
    <w:rsid w:val="003A2031"/>
    <w:rsid w:val="003A2E52"/>
    <w:rsid w:val="003A3C98"/>
    <w:rsid w:val="003A4061"/>
    <w:rsid w:val="003A4249"/>
    <w:rsid w:val="003A472E"/>
    <w:rsid w:val="003A48B7"/>
    <w:rsid w:val="003A57DB"/>
    <w:rsid w:val="003A5AE5"/>
    <w:rsid w:val="003A6858"/>
    <w:rsid w:val="003A68D4"/>
    <w:rsid w:val="003A6A3D"/>
    <w:rsid w:val="003A6A6B"/>
    <w:rsid w:val="003A6DFE"/>
    <w:rsid w:val="003A73FE"/>
    <w:rsid w:val="003A7864"/>
    <w:rsid w:val="003B0FD7"/>
    <w:rsid w:val="003B1B94"/>
    <w:rsid w:val="003B2120"/>
    <w:rsid w:val="003B2148"/>
    <w:rsid w:val="003B2434"/>
    <w:rsid w:val="003B262F"/>
    <w:rsid w:val="003B299B"/>
    <w:rsid w:val="003B2BCB"/>
    <w:rsid w:val="003B2E3F"/>
    <w:rsid w:val="003B2EFB"/>
    <w:rsid w:val="003B363A"/>
    <w:rsid w:val="003B3BCD"/>
    <w:rsid w:val="003B3BFA"/>
    <w:rsid w:val="003B3DA4"/>
    <w:rsid w:val="003B45B6"/>
    <w:rsid w:val="003B4A60"/>
    <w:rsid w:val="003B4D83"/>
    <w:rsid w:val="003B601A"/>
    <w:rsid w:val="003B7777"/>
    <w:rsid w:val="003B7808"/>
    <w:rsid w:val="003B7BFC"/>
    <w:rsid w:val="003C04F2"/>
    <w:rsid w:val="003C0FB4"/>
    <w:rsid w:val="003C13C0"/>
    <w:rsid w:val="003C18DA"/>
    <w:rsid w:val="003C2780"/>
    <w:rsid w:val="003C32BA"/>
    <w:rsid w:val="003C37E1"/>
    <w:rsid w:val="003C392A"/>
    <w:rsid w:val="003C4184"/>
    <w:rsid w:val="003C4225"/>
    <w:rsid w:val="003C48EF"/>
    <w:rsid w:val="003C79D9"/>
    <w:rsid w:val="003C7EAC"/>
    <w:rsid w:val="003D0714"/>
    <w:rsid w:val="003D0999"/>
    <w:rsid w:val="003D1233"/>
    <w:rsid w:val="003D17E4"/>
    <w:rsid w:val="003D1D2A"/>
    <w:rsid w:val="003D1F9A"/>
    <w:rsid w:val="003D2338"/>
    <w:rsid w:val="003D2561"/>
    <w:rsid w:val="003D2E40"/>
    <w:rsid w:val="003D30E7"/>
    <w:rsid w:val="003D3339"/>
    <w:rsid w:val="003D3F8E"/>
    <w:rsid w:val="003D47E7"/>
    <w:rsid w:val="003D57D8"/>
    <w:rsid w:val="003D5C1C"/>
    <w:rsid w:val="003D76AD"/>
    <w:rsid w:val="003E026D"/>
    <w:rsid w:val="003E0280"/>
    <w:rsid w:val="003E1007"/>
    <w:rsid w:val="003E1488"/>
    <w:rsid w:val="003E16F5"/>
    <w:rsid w:val="003E188E"/>
    <w:rsid w:val="003E2067"/>
    <w:rsid w:val="003E21A9"/>
    <w:rsid w:val="003E2CB0"/>
    <w:rsid w:val="003E3301"/>
    <w:rsid w:val="003E5827"/>
    <w:rsid w:val="003E59DF"/>
    <w:rsid w:val="003E5A04"/>
    <w:rsid w:val="003E5DEF"/>
    <w:rsid w:val="003E5F0F"/>
    <w:rsid w:val="003E60AE"/>
    <w:rsid w:val="003E6915"/>
    <w:rsid w:val="003E7D9D"/>
    <w:rsid w:val="003F0411"/>
    <w:rsid w:val="003F04AB"/>
    <w:rsid w:val="003F0511"/>
    <w:rsid w:val="003F06EE"/>
    <w:rsid w:val="003F14B5"/>
    <w:rsid w:val="003F1943"/>
    <w:rsid w:val="003F2293"/>
    <w:rsid w:val="003F349A"/>
    <w:rsid w:val="003F34CD"/>
    <w:rsid w:val="003F37FD"/>
    <w:rsid w:val="003F3904"/>
    <w:rsid w:val="003F40D0"/>
    <w:rsid w:val="003F439B"/>
    <w:rsid w:val="003F4680"/>
    <w:rsid w:val="003F4FD4"/>
    <w:rsid w:val="003F51A7"/>
    <w:rsid w:val="003F5DCD"/>
    <w:rsid w:val="003F5FF6"/>
    <w:rsid w:val="003F7579"/>
    <w:rsid w:val="003F792D"/>
    <w:rsid w:val="00400605"/>
    <w:rsid w:val="004006C0"/>
    <w:rsid w:val="004006EB"/>
    <w:rsid w:val="00400873"/>
    <w:rsid w:val="00401521"/>
    <w:rsid w:val="00401F70"/>
    <w:rsid w:val="004020D3"/>
    <w:rsid w:val="004024CC"/>
    <w:rsid w:val="004027DA"/>
    <w:rsid w:val="004029E5"/>
    <w:rsid w:val="004033BC"/>
    <w:rsid w:val="004038D4"/>
    <w:rsid w:val="0040497E"/>
    <w:rsid w:val="00404E3B"/>
    <w:rsid w:val="00404E59"/>
    <w:rsid w:val="00405EFC"/>
    <w:rsid w:val="00406EF9"/>
    <w:rsid w:val="00407066"/>
    <w:rsid w:val="004073BB"/>
    <w:rsid w:val="004075B0"/>
    <w:rsid w:val="0040788C"/>
    <w:rsid w:val="00411901"/>
    <w:rsid w:val="00411BF3"/>
    <w:rsid w:val="00411D80"/>
    <w:rsid w:val="004122A6"/>
    <w:rsid w:val="004124E6"/>
    <w:rsid w:val="00413109"/>
    <w:rsid w:val="00413279"/>
    <w:rsid w:val="00413ADE"/>
    <w:rsid w:val="00413DBC"/>
    <w:rsid w:val="004146DB"/>
    <w:rsid w:val="004152EC"/>
    <w:rsid w:val="004154EE"/>
    <w:rsid w:val="00415586"/>
    <w:rsid w:val="004155D8"/>
    <w:rsid w:val="004158F2"/>
    <w:rsid w:val="0041629A"/>
    <w:rsid w:val="004162DD"/>
    <w:rsid w:val="004165B0"/>
    <w:rsid w:val="004172BD"/>
    <w:rsid w:val="004172EF"/>
    <w:rsid w:val="00417BBF"/>
    <w:rsid w:val="00420026"/>
    <w:rsid w:val="0042007D"/>
    <w:rsid w:val="0042067D"/>
    <w:rsid w:val="00420FB7"/>
    <w:rsid w:val="004215AE"/>
    <w:rsid w:val="00421EA7"/>
    <w:rsid w:val="00422417"/>
    <w:rsid w:val="0042259F"/>
    <w:rsid w:val="004228BD"/>
    <w:rsid w:val="00423173"/>
    <w:rsid w:val="00423CB8"/>
    <w:rsid w:val="00424233"/>
    <w:rsid w:val="00424321"/>
    <w:rsid w:val="0042445B"/>
    <w:rsid w:val="0042484F"/>
    <w:rsid w:val="0042521F"/>
    <w:rsid w:val="004259B0"/>
    <w:rsid w:val="00425B1E"/>
    <w:rsid w:val="004260BC"/>
    <w:rsid w:val="0042671F"/>
    <w:rsid w:val="00426D4C"/>
    <w:rsid w:val="004271C6"/>
    <w:rsid w:val="004279D7"/>
    <w:rsid w:val="0043045E"/>
    <w:rsid w:val="004304EE"/>
    <w:rsid w:val="00430E23"/>
    <w:rsid w:val="004312D7"/>
    <w:rsid w:val="004314F3"/>
    <w:rsid w:val="0043268B"/>
    <w:rsid w:val="00432C04"/>
    <w:rsid w:val="004334CD"/>
    <w:rsid w:val="004339CD"/>
    <w:rsid w:val="00433B22"/>
    <w:rsid w:val="004341B3"/>
    <w:rsid w:val="004347D6"/>
    <w:rsid w:val="00434849"/>
    <w:rsid w:val="00434C8E"/>
    <w:rsid w:val="00435C27"/>
    <w:rsid w:val="00436713"/>
    <w:rsid w:val="0043723C"/>
    <w:rsid w:val="00437881"/>
    <w:rsid w:val="0044018D"/>
    <w:rsid w:val="004403B6"/>
    <w:rsid w:val="00440B60"/>
    <w:rsid w:val="00440C40"/>
    <w:rsid w:val="004410F0"/>
    <w:rsid w:val="0044148C"/>
    <w:rsid w:val="00441A95"/>
    <w:rsid w:val="00442B62"/>
    <w:rsid w:val="004437BA"/>
    <w:rsid w:val="00444076"/>
    <w:rsid w:val="004448BD"/>
    <w:rsid w:val="00445CB5"/>
    <w:rsid w:val="00445DE1"/>
    <w:rsid w:val="004501DF"/>
    <w:rsid w:val="00450470"/>
    <w:rsid w:val="00450609"/>
    <w:rsid w:val="00450AEF"/>
    <w:rsid w:val="0045113B"/>
    <w:rsid w:val="0045164E"/>
    <w:rsid w:val="00451AED"/>
    <w:rsid w:val="00451F45"/>
    <w:rsid w:val="00451F80"/>
    <w:rsid w:val="00452239"/>
    <w:rsid w:val="00452534"/>
    <w:rsid w:val="00453012"/>
    <w:rsid w:val="0045684F"/>
    <w:rsid w:val="00456A0D"/>
    <w:rsid w:val="0045753A"/>
    <w:rsid w:val="00457BDB"/>
    <w:rsid w:val="00457ECA"/>
    <w:rsid w:val="00460B33"/>
    <w:rsid w:val="00460EE0"/>
    <w:rsid w:val="004611A9"/>
    <w:rsid w:val="00461A77"/>
    <w:rsid w:val="00461C79"/>
    <w:rsid w:val="004627AD"/>
    <w:rsid w:val="0046419F"/>
    <w:rsid w:val="0046420C"/>
    <w:rsid w:val="004643D5"/>
    <w:rsid w:val="0046469F"/>
    <w:rsid w:val="00464708"/>
    <w:rsid w:val="00464834"/>
    <w:rsid w:val="00465780"/>
    <w:rsid w:val="00465EC9"/>
    <w:rsid w:val="0046682B"/>
    <w:rsid w:val="00466906"/>
    <w:rsid w:val="00466AB0"/>
    <w:rsid w:val="00466BD1"/>
    <w:rsid w:val="00467228"/>
    <w:rsid w:val="00470A05"/>
    <w:rsid w:val="004712FB"/>
    <w:rsid w:val="004716D1"/>
    <w:rsid w:val="00471BB7"/>
    <w:rsid w:val="00471D63"/>
    <w:rsid w:val="00472EFF"/>
    <w:rsid w:val="0047302B"/>
    <w:rsid w:val="00474063"/>
    <w:rsid w:val="004743E0"/>
    <w:rsid w:val="00474B5B"/>
    <w:rsid w:val="00475A46"/>
    <w:rsid w:val="004761C9"/>
    <w:rsid w:val="00476793"/>
    <w:rsid w:val="00476966"/>
    <w:rsid w:val="00476D6F"/>
    <w:rsid w:val="00476E0A"/>
    <w:rsid w:val="0047715E"/>
    <w:rsid w:val="004779F7"/>
    <w:rsid w:val="00477E4A"/>
    <w:rsid w:val="0048020A"/>
    <w:rsid w:val="00480242"/>
    <w:rsid w:val="004809D5"/>
    <w:rsid w:val="00480C35"/>
    <w:rsid w:val="0048133D"/>
    <w:rsid w:val="004815D0"/>
    <w:rsid w:val="004819E6"/>
    <w:rsid w:val="00481B2A"/>
    <w:rsid w:val="00481B91"/>
    <w:rsid w:val="00482091"/>
    <w:rsid w:val="004821F3"/>
    <w:rsid w:val="004823A4"/>
    <w:rsid w:val="0048266E"/>
    <w:rsid w:val="00482F0C"/>
    <w:rsid w:val="004831AB"/>
    <w:rsid w:val="004832C3"/>
    <w:rsid w:val="004836C1"/>
    <w:rsid w:val="004837CF"/>
    <w:rsid w:val="004838CC"/>
    <w:rsid w:val="00486FF5"/>
    <w:rsid w:val="00487BDF"/>
    <w:rsid w:val="00487CE9"/>
    <w:rsid w:val="00487EAC"/>
    <w:rsid w:val="004905EF"/>
    <w:rsid w:val="00490677"/>
    <w:rsid w:val="00490684"/>
    <w:rsid w:val="00490C49"/>
    <w:rsid w:val="00490F27"/>
    <w:rsid w:val="004914CB"/>
    <w:rsid w:val="004914F5"/>
    <w:rsid w:val="00491BFA"/>
    <w:rsid w:val="004924B3"/>
    <w:rsid w:val="00492BE3"/>
    <w:rsid w:val="00493F7A"/>
    <w:rsid w:val="004943DB"/>
    <w:rsid w:val="00494B74"/>
    <w:rsid w:val="00495357"/>
    <w:rsid w:val="004953A5"/>
    <w:rsid w:val="0049637F"/>
    <w:rsid w:val="004A09D6"/>
    <w:rsid w:val="004A0B49"/>
    <w:rsid w:val="004A11F7"/>
    <w:rsid w:val="004A187B"/>
    <w:rsid w:val="004A18DC"/>
    <w:rsid w:val="004A1AD0"/>
    <w:rsid w:val="004A29D3"/>
    <w:rsid w:val="004A2A82"/>
    <w:rsid w:val="004A2D3C"/>
    <w:rsid w:val="004A3532"/>
    <w:rsid w:val="004A39C0"/>
    <w:rsid w:val="004A3CB4"/>
    <w:rsid w:val="004A3E04"/>
    <w:rsid w:val="004A4442"/>
    <w:rsid w:val="004A44A1"/>
    <w:rsid w:val="004A4626"/>
    <w:rsid w:val="004A4A3B"/>
    <w:rsid w:val="004A4CA8"/>
    <w:rsid w:val="004A5CFA"/>
    <w:rsid w:val="004A6D8F"/>
    <w:rsid w:val="004B0127"/>
    <w:rsid w:val="004B033D"/>
    <w:rsid w:val="004B07E3"/>
    <w:rsid w:val="004B208F"/>
    <w:rsid w:val="004B33C2"/>
    <w:rsid w:val="004B422E"/>
    <w:rsid w:val="004B42D2"/>
    <w:rsid w:val="004B46B5"/>
    <w:rsid w:val="004B4787"/>
    <w:rsid w:val="004B4A4B"/>
    <w:rsid w:val="004B5470"/>
    <w:rsid w:val="004B55DB"/>
    <w:rsid w:val="004B679E"/>
    <w:rsid w:val="004B6D57"/>
    <w:rsid w:val="004B728C"/>
    <w:rsid w:val="004B73F2"/>
    <w:rsid w:val="004B7598"/>
    <w:rsid w:val="004B7C27"/>
    <w:rsid w:val="004C0568"/>
    <w:rsid w:val="004C0712"/>
    <w:rsid w:val="004C16F3"/>
    <w:rsid w:val="004C17B8"/>
    <w:rsid w:val="004C1B14"/>
    <w:rsid w:val="004C1F1F"/>
    <w:rsid w:val="004C257E"/>
    <w:rsid w:val="004C2CD3"/>
    <w:rsid w:val="004C3DFF"/>
    <w:rsid w:val="004C3E3A"/>
    <w:rsid w:val="004C424B"/>
    <w:rsid w:val="004C4CA5"/>
    <w:rsid w:val="004C586A"/>
    <w:rsid w:val="004C599C"/>
    <w:rsid w:val="004C69A2"/>
    <w:rsid w:val="004C6C30"/>
    <w:rsid w:val="004C7265"/>
    <w:rsid w:val="004C7412"/>
    <w:rsid w:val="004C7776"/>
    <w:rsid w:val="004C78B4"/>
    <w:rsid w:val="004C7A24"/>
    <w:rsid w:val="004C7ED3"/>
    <w:rsid w:val="004C7EF8"/>
    <w:rsid w:val="004D0148"/>
    <w:rsid w:val="004D04BF"/>
    <w:rsid w:val="004D0F1C"/>
    <w:rsid w:val="004D2049"/>
    <w:rsid w:val="004D206F"/>
    <w:rsid w:val="004D33DC"/>
    <w:rsid w:val="004D3586"/>
    <w:rsid w:val="004D3C5A"/>
    <w:rsid w:val="004D3C87"/>
    <w:rsid w:val="004D3F91"/>
    <w:rsid w:val="004D4114"/>
    <w:rsid w:val="004D4636"/>
    <w:rsid w:val="004D4807"/>
    <w:rsid w:val="004D49D5"/>
    <w:rsid w:val="004D4E0E"/>
    <w:rsid w:val="004D58F2"/>
    <w:rsid w:val="004D5EFA"/>
    <w:rsid w:val="004D6316"/>
    <w:rsid w:val="004D6D3E"/>
    <w:rsid w:val="004D6E32"/>
    <w:rsid w:val="004D6FFC"/>
    <w:rsid w:val="004E0DFF"/>
    <w:rsid w:val="004E0E9B"/>
    <w:rsid w:val="004E1054"/>
    <w:rsid w:val="004E123C"/>
    <w:rsid w:val="004E1B70"/>
    <w:rsid w:val="004E1C60"/>
    <w:rsid w:val="004E2E13"/>
    <w:rsid w:val="004E3071"/>
    <w:rsid w:val="004E307D"/>
    <w:rsid w:val="004E324C"/>
    <w:rsid w:val="004E3433"/>
    <w:rsid w:val="004E3D8B"/>
    <w:rsid w:val="004E41B6"/>
    <w:rsid w:val="004E53A3"/>
    <w:rsid w:val="004E564A"/>
    <w:rsid w:val="004E5E34"/>
    <w:rsid w:val="004E7115"/>
    <w:rsid w:val="004E720D"/>
    <w:rsid w:val="004E7F38"/>
    <w:rsid w:val="004F0C7A"/>
    <w:rsid w:val="004F0FE0"/>
    <w:rsid w:val="004F170C"/>
    <w:rsid w:val="004F1C7C"/>
    <w:rsid w:val="004F2994"/>
    <w:rsid w:val="004F2D1A"/>
    <w:rsid w:val="004F31B1"/>
    <w:rsid w:val="004F38CC"/>
    <w:rsid w:val="004F3E82"/>
    <w:rsid w:val="004F4A6E"/>
    <w:rsid w:val="004F51E1"/>
    <w:rsid w:val="004F59C7"/>
    <w:rsid w:val="004F6BE0"/>
    <w:rsid w:val="0050106A"/>
    <w:rsid w:val="005017C7"/>
    <w:rsid w:val="00501CBA"/>
    <w:rsid w:val="00502031"/>
    <w:rsid w:val="005021D3"/>
    <w:rsid w:val="00502BC7"/>
    <w:rsid w:val="00503B50"/>
    <w:rsid w:val="00503EF2"/>
    <w:rsid w:val="005045F3"/>
    <w:rsid w:val="00504711"/>
    <w:rsid w:val="00504943"/>
    <w:rsid w:val="00504957"/>
    <w:rsid w:val="00504A08"/>
    <w:rsid w:val="00504B50"/>
    <w:rsid w:val="00505700"/>
    <w:rsid w:val="00506387"/>
    <w:rsid w:val="005063CC"/>
    <w:rsid w:val="005071FC"/>
    <w:rsid w:val="005077C6"/>
    <w:rsid w:val="0050792F"/>
    <w:rsid w:val="00507B6C"/>
    <w:rsid w:val="00507D29"/>
    <w:rsid w:val="0051030B"/>
    <w:rsid w:val="00510390"/>
    <w:rsid w:val="005105A6"/>
    <w:rsid w:val="005119F9"/>
    <w:rsid w:val="0051202A"/>
    <w:rsid w:val="005122FC"/>
    <w:rsid w:val="005123F0"/>
    <w:rsid w:val="00512CCC"/>
    <w:rsid w:val="00512E85"/>
    <w:rsid w:val="00513540"/>
    <w:rsid w:val="00513793"/>
    <w:rsid w:val="00513941"/>
    <w:rsid w:val="00513D93"/>
    <w:rsid w:val="005146A8"/>
    <w:rsid w:val="00514730"/>
    <w:rsid w:val="0051490D"/>
    <w:rsid w:val="00514BBD"/>
    <w:rsid w:val="00514E89"/>
    <w:rsid w:val="00514F8D"/>
    <w:rsid w:val="00514FEA"/>
    <w:rsid w:val="0051526D"/>
    <w:rsid w:val="00515863"/>
    <w:rsid w:val="0051666A"/>
    <w:rsid w:val="00516732"/>
    <w:rsid w:val="0051689D"/>
    <w:rsid w:val="0051697A"/>
    <w:rsid w:val="00517949"/>
    <w:rsid w:val="00517DD3"/>
    <w:rsid w:val="005202E7"/>
    <w:rsid w:val="0052051E"/>
    <w:rsid w:val="005208E9"/>
    <w:rsid w:val="00520BAA"/>
    <w:rsid w:val="00521401"/>
    <w:rsid w:val="00521E7A"/>
    <w:rsid w:val="0052271F"/>
    <w:rsid w:val="0052285B"/>
    <w:rsid w:val="00523DD3"/>
    <w:rsid w:val="00523E0B"/>
    <w:rsid w:val="00523FAB"/>
    <w:rsid w:val="005240FF"/>
    <w:rsid w:val="0052431E"/>
    <w:rsid w:val="00525D39"/>
    <w:rsid w:val="00526728"/>
    <w:rsid w:val="00527359"/>
    <w:rsid w:val="00527830"/>
    <w:rsid w:val="00527B2E"/>
    <w:rsid w:val="00527D25"/>
    <w:rsid w:val="0053015D"/>
    <w:rsid w:val="0053051D"/>
    <w:rsid w:val="005306C5"/>
    <w:rsid w:val="005307B8"/>
    <w:rsid w:val="00530861"/>
    <w:rsid w:val="00530B58"/>
    <w:rsid w:val="00530F8A"/>
    <w:rsid w:val="005310A8"/>
    <w:rsid w:val="005330F1"/>
    <w:rsid w:val="00533D1F"/>
    <w:rsid w:val="00533FEF"/>
    <w:rsid w:val="00534BB5"/>
    <w:rsid w:val="00534F47"/>
    <w:rsid w:val="00535508"/>
    <w:rsid w:val="00535CAC"/>
    <w:rsid w:val="00535EE9"/>
    <w:rsid w:val="0053726F"/>
    <w:rsid w:val="005378C1"/>
    <w:rsid w:val="00537CA7"/>
    <w:rsid w:val="00537D76"/>
    <w:rsid w:val="00540DC8"/>
    <w:rsid w:val="00541628"/>
    <w:rsid w:val="00541903"/>
    <w:rsid w:val="00542206"/>
    <w:rsid w:val="005422A4"/>
    <w:rsid w:val="00542B2A"/>
    <w:rsid w:val="005433CC"/>
    <w:rsid w:val="005433DE"/>
    <w:rsid w:val="00543AD9"/>
    <w:rsid w:val="00543D29"/>
    <w:rsid w:val="00543E15"/>
    <w:rsid w:val="005442B8"/>
    <w:rsid w:val="00545B9F"/>
    <w:rsid w:val="00546391"/>
    <w:rsid w:val="005468C7"/>
    <w:rsid w:val="0054729C"/>
    <w:rsid w:val="00547BBE"/>
    <w:rsid w:val="0055006B"/>
    <w:rsid w:val="00550372"/>
    <w:rsid w:val="0055052F"/>
    <w:rsid w:val="00550878"/>
    <w:rsid w:val="0055116F"/>
    <w:rsid w:val="005525A3"/>
    <w:rsid w:val="00553092"/>
    <w:rsid w:val="00553475"/>
    <w:rsid w:val="00553D78"/>
    <w:rsid w:val="00553E63"/>
    <w:rsid w:val="00554488"/>
    <w:rsid w:val="00554934"/>
    <w:rsid w:val="00555112"/>
    <w:rsid w:val="005569C7"/>
    <w:rsid w:val="00560E41"/>
    <w:rsid w:val="00561812"/>
    <w:rsid w:val="00562A20"/>
    <w:rsid w:val="00562CA4"/>
    <w:rsid w:val="005639CF"/>
    <w:rsid w:val="00564208"/>
    <w:rsid w:val="00564617"/>
    <w:rsid w:val="005650B5"/>
    <w:rsid w:val="005653E0"/>
    <w:rsid w:val="005658E7"/>
    <w:rsid w:val="00565F84"/>
    <w:rsid w:val="005664B9"/>
    <w:rsid w:val="00566601"/>
    <w:rsid w:val="005666B8"/>
    <w:rsid w:val="00567166"/>
    <w:rsid w:val="0056719D"/>
    <w:rsid w:val="005674FF"/>
    <w:rsid w:val="005700FE"/>
    <w:rsid w:val="0057028E"/>
    <w:rsid w:val="0057031E"/>
    <w:rsid w:val="005708EB"/>
    <w:rsid w:val="00570B3E"/>
    <w:rsid w:val="00571270"/>
    <w:rsid w:val="00571C73"/>
    <w:rsid w:val="00571CEB"/>
    <w:rsid w:val="00571EF3"/>
    <w:rsid w:val="005720E1"/>
    <w:rsid w:val="005744A6"/>
    <w:rsid w:val="00575452"/>
    <w:rsid w:val="00575A08"/>
    <w:rsid w:val="00575B7D"/>
    <w:rsid w:val="00576CE9"/>
    <w:rsid w:val="00577702"/>
    <w:rsid w:val="0057795C"/>
    <w:rsid w:val="005803ED"/>
    <w:rsid w:val="00581683"/>
    <w:rsid w:val="00581709"/>
    <w:rsid w:val="00583718"/>
    <w:rsid w:val="00584B72"/>
    <w:rsid w:val="00585E95"/>
    <w:rsid w:val="00585FC2"/>
    <w:rsid w:val="00586761"/>
    <w:rsid w:val="00587AB9"/>
    <w:rsid w:val="00590480"/>
    <w:rsid w:val="00590BB9"/>
    <w:rsid w:val="00590F69"/>
    <w:rsid w:val="005914AC"/>
    <w:rsid w:val="00591951"/>
    <w:rsid w:val="00592BD2"/>
    <w:rsid w:val="0059305D"/>
    <w:rsid w:val="005934AB"/>
    <w:rsid w:val="00593AB4"/>
    <w:rsid w:val="00594EB4"/>
    <w:rsid w:val="005957C9"/>
    <w:rsid w:val="00596775"/>
    <w:rsid w:val="00596968"/>
    <w:rsid w:val="00596B3F"/>
    <w:rsid w:val="00596CC9"/>
    <w:rsid w:val="00596F95"/>
    <w:rsid w:val="005970D3"/>
    <w:rsid w:val="00597C64"/>
    <w:rsid w:val="005A0964"/>
    <w:rsid w:val="005A0BB7"/>
    <w:rsid w:val="005A0F93"/>
    <w:rsid w:val="005A0F9A"/>
    <w:rsid w:val="005A16AD"/>
    <w:rsid w:val="005A290D"/>
    <w:rsid w:val="005A2BFC"/>
    <w:rsid w:val="005A45E2"/>
    <w:rsid w:val="005A468C"/>
    <w:rsid w:val="005A4712"/>
    <w:rsid w:val="005A4E5B"/>
    <w:rsid w:val="005A656F"/>
    <w:rsid w:val="005A694A"/>
    <w:rsid w:val="005A6BFD"/>
    <w:rsid w:val="005A71C9"/>
    <w:rsid w:val="005A74D2"/>
    <w:rsid w:val="005A7DA2"/>
    <w:rsid w:val="005A7F2D"/>
    <w:rsid w:val="005B05C9"/>
    <w:rsid w:val="005B0616"/>
    <w:rsid w:val="005B1B3E"/>
    <w:rsid w:val="005B20BA"/>
    <w:rsid w:val="005B2179"/>
    <w:rsid w:val="005B27DB"/>
    <w:rsid w:val="005B2851"/>
    <w:rsid w:val="005B36F6"/>
    <w:rsid w:val="005B3794"/>
    <w:rsid w:val="005B3891"/>
    <w:rsid w:val="005B39A7"/>
    <w:rsid w:val="005B51C0"/>
    <w:rsid w:val="005B527A"/>
    <w:rsid w:val="005B5D6A"/>
    <w:rsid w:val="005B5F84"/>
    <w:rsid w:val="005B65A0"/>
    <w:rsid w:val="005B6F52"/>
    <w:rsid w:val="005B7484"/>
    <w:rsid w:val="005C0357"/>
    <w:rsid w:val="005C2ECF"/>
    <w:rsid w:val="005C3522"/>
    <w:rsid w:val="005C3C3F"/>
    <w:rsid w:val="005C4B80"/>
    <w:rsid w:val="005C5519"/>
    <w:rsid w:val="005C5810"/>
    <w:rsid w:val="005C5D41"/>
    <w:rsid w:val="005C5E10"/>
    <w:rsid w:val="005C5F16"/>
    <w:rsid w:val="005C681E"/>
    <w:rsid w:val="005C6C6A"/>
    <w:rsid w:val="005C6E5D"/>
    <w:rsid w:val="005C7094"/>
    <w:rsid w:val="005C742C"/>
    <w:rsid w:val="005C795F"/>
    <w:rsid w:val="005D12EF"/>
    <w:rsid w:val="005D146E"/>
    <w:rsid w:val="005D1900"/>
    <w:rsid w:val="005D1F34"/>
    <w:rsid w:val="005D2050"/>
    <w:rsid w:val="005D21C2"/>
    <w:rsid w:val="005D2313"/>
    <w:rsid w:val="005D231E"/>
    <w:rsid w:val="005D25CB"/>
    <w:rsid w:val="005D2B9F"/>
    <w:rsid w:val="005D31F7"/>
    <w:rsid w:val="005D3245"/>
    <w:rsid w:val="005D3527"/>
    <w:rsid w:val="005D3616"/>
    <w:rsid w:val="005D383D"/>
    <w:rsid w:val="005D4822"/>
    <w:rsid w:val="005D4F11"/>
    <w:rsid w:val="005D6FB0"/>
    <w:rsid w:val="005D76FD"/>
    <w:rsid w:val="005D7885"/>
    <w:rsid w:val="005E0153"/>
    <w:rsid w:val="005E0415"/>
    <w:rsid w:val="005E0AD8"/>
    <w:rsid w:val="005E0FD7"/>
    <w:rsid w:val="005E1111"/>
    <w:rsid w:val="005E1ACB"/>
    <w:rsid w:val="005E20B6"/>
    <w:rsid w:val="005E2DF4"/>
    <w:rsid w:val="005E3518"/>
    <w:rsid w:val="005E422B"/>
    <w:rsid w:val="005E42A5"/>
    <w:rsid w:val="005E43F3"/>
    <w:rsid w:val="005E4963"/>
    <w:rsid w:val="005E5128"/>
    <w:rsid w:val="005E59F1"/>
    <w:rsid w:val="005E76B9"/>
    <w:rsid w:val="005E79B8"/>
    <w:rsid w:val="005F16A5"/>
    <w:rsid w:val="005F2519"/>
    <w:rsid w:val="005F29A6"/>
    <w:rsid w:val="005F2D73"/>
    <w:rsid w:val="005F2DE4"/>
    <w:rsid w:val="005F37C0"/>
    <w:rsid w:val="005F3FB2"/>
    <w:rsid w:val="005F503B"/>
    <w:rsid w:val="005F5647"/>
    <w:rsid w:val="005F586D"/>
    <w:rsid w:val="005F72CF"/>
    <w:rsid w:val="005F7EA3"/>
    <w:rsid w:val="006002CD"/>
    <w:rsid w:val="0060053A"/>
    <w:rsid w:val="00600584"/>
    <w:rsid w:val="006006E5"/>
    <w:rsid w:val="006006E6"/>
    <w:rsid w:val="006013B4"/>
    <w:rsid w:val="00601F12"/>
    <w:rsid w:val="006023C8"/>
    <w:rsid w:val="0060354F"/>
    <w:rsid w:val="00603C30"/>
    <w:rsid w:val="0060456B"/>
    <w:rsid w:val="006045B5"/>
    <w:rsid w:val="00605E54"/>
    <w:rsid w:val="00605F5A"/>
    <w:rsid w:val="0060641D"/>
    <w:rsid w:val="006072F1"/>
    <w:rsid w:val="00607BD9"/>
    <w:rsid w:val="00610153"/>
    <w:rsid w:val="006104B7"/>
    <w:rsid w:val="00610592"/>
    <w:rsid w:val="00610F68"/>
    <w:rsid w:val="00611BE8"/>
    <w:rsid w:val="00611C0C"/>
    <w:rsid w:val="00611CF3"/>
    <w:rsid w:val="00611FFF"/>
    <w:rsid w:val="00613AAA"/>
    <w:rsid w:val="00613E4B"/>
    <w:rsid w:val="00614331"/>
    <w:rsid w:val="0061467B"/>
    <w:rsid w:val="00614D05"/>
    <w:rsid w:val="006156FE"/>
    <w:rsid w:val="0061660C"/>
    <w:rsid w:val="006166BD"/>
    <w:rsid w:val="00616731"/>
    <w:rsid w:val="00616819"/>
    <w:rsid w:val="00616F88"/>
    <w:rsid w:val="00616FCF"/>
    <w:rsid w:val="006174D8"/>
    <w:rsid w:val="00617EC8"/>
    <w:rsid w:val="006201F6"/>
    <w:rsid w:val="00620534"/>
    <w:rsid w:val="006205F9"/>
    <w:rsid w:val="006207CF"/>
    <w:rsid w:val="00621488"/>
    <w:rsid w:val="00621B39"/>
    <w:rsid w:val="00621B4F"/>
    <w:rsid w:val="00621CBB"/>
    <w:rsid w:val="00621EA5"/>
    <w:rsid w:val="00622508"/>
    <w:rsid w:val="00623987"/>
    <w:rsid w:val="006239E9"/>
    <w:rsid w:val="00623A12"/>
    <w:rsid w:val="006242AE"/>
    <w:rsid w:val="006242F6"/>
    <w:rsid w:val="00624D23"/>
    <w:rsid w:val="00625848"/>
    <w:rsid w:val="0062590C"/>
    <w:rsid w:val="00625EA9"/>
    <w:rsid w:val="006265F4"/>
    <w:rsid w:val="00626786"/>
    <w:rsid w:val="00626822"/>
    <w:rsid w:val="00627C81"/>
    <w:rsid w:val="0063000F"/>
    <w:rsid w:val="0063009F"/>
    <w:rsid w:val="00630BF6"/>
    <w:rsid w:val="00630D41"/>
    <w:rsid w:val="006315AC"/>
    <w:rsid w:val="00632AF2"/>
    <w:rsid w:val="00632D08"/>
    <w:rsid w:val="00632D12"/>
    <w:rsid w:val="006341FB"/>
    <w:rsid w:val="00634581"/>
    <w:rsid w:val="00634B3A"/>
    <w:rsid w:val="00634B6B"/>
    <w:rsid w:val="0063538D"/>
    <w:rsid w:val="006356C5"/>
    <w:rsid w:val="00635BA0"/>
    <w:rsid w:val="006367BC"/>
    <w:rsid w:val="00636DDF"/>
    <w:rsid w:val="00636F03"/>
    <w:rsid w:val="00637406"/>
    <w:rsid w:val="0063740F"/>
    <w:rsid w:val="006375E7"/>
    <w:rsid w:val="00637B94"/>
    <w:rsid w:val="00637E8A"/>
    <w:rsid w:val="00637F1C"/>
    <w:rsid w:val="0064018B"/>
    <w:rsid w:val="006404CB"/>
    <w:rsid w:val="006405F8"/>
    <w:rsid w:val="00640DFC"/>
    <w:rsid w:val="006410EE"/>
    <w:rsid w:val="00641786"/>
    <w:rsid w:val="006429E0"/>
    <w:rsid w:val="006435CC"/>
    <w:rsid w:val="006441BA"/>
    <w:rsid w:val="006456A7"/>
    <w:rsid w:val="0064615D"/>
    <w:rsid w:val="00646983"/>
    <w:rsid w:val="006470C1"/>
    <w:rsid w:val="00647629"/>
    <w:rsid w:val="0065071B"/>
    <w:rsid w:val="0065092C"/>
    <w:rsid w:val="00650E26"/>
    <w:rsid w:val="006510F3"/>
    <w:rsid w:val="00651915"/>
    <w:rsid w:val="00652146"/>
    <w:rsid w:val="006532B6"/>
    <w:rsid w:val="00653C6E"/>
    <w:rsid w:val="00653C95"/>
    <w:rsid w:val="00653CF0"/>
    <w:rsid w:val="00653E51"/>
    <w:rsid w:val="00654568"/>
    <w:rsid w:val="006545A8"/>
    <w:rsid w:val="00654793"/>
    <w:rsid w:val="00654877"/>
    <w:rsid w:val="00654BB8"/>
    <w:rsid w:val="006555CB"/>
    <w:rsid w:val="00656A11"/>
    <w:rsid w:val="00656B8E"/>
    <w:rsid w:val="00656F0C"/>
    <w:rsid w:val="0065746E"/>
    <w:rsid w:val="0065795C"/>
    <w:rsid w:val="00660173"/>
    <w:rsid w:val="0066034B"/>
    <w:rsid w:val="00660675"/>
    <w:rsid w:val="00660EE1"/>
    <w:rsid w:val="00660EF1"/>
    <w:rsid w:val="00661079"/>
    <w:rsid w:val="00661D43"/>
    <w:rsid w:val="00662115"/>
    <w:rsid w:val="006623D4"/>
    <w:rsid w:val="0066318E"/>
    <w:rsid w:val="006634DB"/>
    <w:rsid w:val="006637DF"/>
    <w:rsid w:val="00664147"/>
    <w:rsid w:val="0066452B"/>
    <w:rsid w:val="0066472C"/>
    <w:rsid w:val="00664C26"/>
    <w:rsid w:val="00664FED"/>
    <w:rsid w:val="00666137"/>
    <w:rsid w:val="00666751"/>
    <w:rsid w:val="00666803"/>
    <w:rsid w:val="006668D3"/>
    <w:rsid w:val="00666CBB"/>
    <w:rsid w:val="00666D05"/>
    <w:rsid w:val="00667392"/>
    <w:rsid w:val="00670386"/>
    <w:rsid w:val="00671007"/>
    <w:rsid w:val="006710C5"/>
    <w:rsid w:val="006711DF"/>
    <w:rsid w:val="006711EE"/>
    <w:rsid w:val="00671A8D"/>
    <w:rsid w:val="00671DCB"/>
    <w:rsid w:val="00673645"/>
    <w:rsid w:val="0067373D"/>
    <w:rsid w:val="00673ACD"/>
    <w:rsid w:val="006743AC"/>
    <w:rsid w:val="00674CBB"/>
    <w:rsid w:val="00674DEF"/>
    <w:rsid w:val="0067591C"/>
    <w:rsid w:val="00675ACB"/>
    <w:rsid w:val="00675D9E"/>
    <w:rsid w:val="006764A9"/>
    <w:rsid w:val="006765EA"/>
    <w:rsid w:val="00676DFF"/>
    <w:rsid w:val="006774AB"/>
    <w:rsid w:val="00677673"/>
    <w:rsid w:val="0067793D"/>
    <w:rsid w:val="00680676"/>
    <w:rsid w:val="00680ADB"/>
    <w:rsid w:val="00681691"/>
    <w:rsid w:val="00681ABE"/>
    <w:rsid w:val="00681EE2"/>
    <w:rsid w:val="00681FCE"/>
    <w:rsid w:val="00682460"/>
    <w:rsid w:val="00682539"/>
    <w:rsid w:val="006828E4"/>
    <w:rsid w:val="00682B43"/>
    <w:rsid w:val="00682E54"/>
    <w:rsid w:val="00683BA0"/>
    <w:rsid w:val="00684A64"/>
    <w:rsid w:val="00684CBA"/>
    <w:rsid w:val="006857DD"/>
    <w:rsid w:val="00685AC3"/>
    <w:rsid w:val="00685D3F"/>
    <w:rsid w:val="00686342"/>
    <w:rsid w:val="00687156"/>
    <w:rsid w:val="0068778A"/>
    <w:rsid w:val="00687E4A"/>
    <w:rsid w:val="006900AE"/>
    <w:rsid w:val="0069058E"/>
    <w:rsid w:val="006905E4"/>
    <w:rsid w:val="0069091D"/>
    <w:rsid w:val="00690A28"/>
    <w:rsid w:val="00690DF8"/>
    <w:rsid w:val="00691234"/>
    <w:rsid w:val="006928EC"/>
    <w:rsid w:val="00694428"/>
    <w:rsid w:val="00694A73"/>
    <w:rsid w:val="00694B53"/>
    <w:rsid w:val="00694FBE"/>
    <w:rsid w:val="006956A5"/>
    <w:rsid w:val="00695BFE"/>
    <w:rsid w:val="00695CC1"/>
    <w:rsid w:val="00695E7C"/>
    <w:rsid w:val="0069698D"/>
    <w:rsid w:val="00696CCB"/>
    <w:rsid w:val="0069770D"/>
    <w:rsid w:val="006977F6"/>
    <w:rsid w:val="006A004C"/>
    <w:rsid w:val="006A00E4"/>
    <w:rsid w:val="006A0522"/>
    <w:rsid w:val="006A056D"/>
    <w:rsid w:val="006A0B30"/>
    <w:rsid w:val="006A15EB"/>
    <w:rsid w:val="006A1B4E"/>
    <w:rsid w:val="006A1C17"/>
    <w:rsid w:val="006A28B9"/>
    <w:rsid w:val="006A2D96"/>
    <w:rsid w:val="006A3D55"/>
    <w:rsid w:val="006A544C"/>
    <w:rsid w:val="006A57F8"/>
    <w:rsid w:val="006A6BB3"/>
    <w:rsid w:val="006B1677"/>
    <w:rsid w:val="006B2A75"/>
    <w:rsid w:val="006B2E14"/>
    <w:rsid w:val="006B2F99"/>
    <w:rsid w:val="006B3229"/>
    <w:rsid w:val="006B3407"/>
    <w:rsid w:val="006B3DE1"/>
    <w:rsid w:val="006B427F"/>
    <w:rsid w:val="006B4979"/>
    <w:rsid w:val="006B4A84"/>
    <w:rsid w:val="006B51FD"/>
    <w:rsid w:val="006B612E"/>
    <w:rsid w:val="006B6497"/>
    <w:rsid w:val="006B678A"/>
    <w:rsid w:val="006B6E4F"/>
    <w:rsid w:val="006B704C"/>
    <w:rsid w:val="006B7083"/>
    <w:rsid w:val="006B70F7"/>
    <w:rsid w:val="006B787D"/>
    <w:rsid w:val="006C0149"/>
    <w:rsid w:val="006C0642"/>
    <w:rsid w:val="006C0EBD"/>
    <w:rsid w:val="006C13C3"/>
    <w:rsid w:val="006C196B"/>
    <w:rsid w:val="006C1C7E"/>
    <w:rsid w:val="006C1E29"/>
    <w:rsid w:val="006C2210"/>
    <w:rsid w:val="006C236B"/>
    <w:rsid w:val="006C27A1"/>
    <w:rsid w:val="006C36FA"/>
    <w:rsid w:val="006C3A1F"/>
    <w:rsid w:val="006C40B9"/>
    <w:rsid w:val="006C4306"/>
    <w:rsid w:val="006C480C"/>
    <w:rsid w:val="006C4D7B"/>
    <w:rsid w:val="006C4ED2"/>
    <w:rsid w:val="006C734E"/>
    <w:rsid w:val="006D0407"/>
    <w:rsid w:val="006D0FCE"/>
    <w:rsid w:val="006D212E"/>
    <w:rsid w:val="006D229C"/>
    <w:rsid w:val="006D23A7"/>
    <w:rsid w:val="006D2923"/>
    <w:rsid w:val="006D3477"/>
    <w:rsid w:val="006D3E96"/>
    <w:rsid w:val="006D4E50"/>
    <w:rsid w:val="006D4FB0"/>
    <w:rsid w:val="006D520D"/>
    <w:rsid w:val="006D5646"/>
    <w:rsid w:val="006D5812"/>
    <w:rsid w:val="006D5AC5"/>
    <w:rsid w:val="006D5EE5"/>
    <w:rsid w:val="006D69E3"/>
    <w:rsid w:val="006D6F28"/>
    <w:rsid w:val="006D7374"/>
    <w:rsid w:val="006E03F8"/>
    <w:rsid w:val="006E0AFB"/>
    <w:rsid w:val="006E0D6F"/>
    <w:rsid w:val="006E0E89"/>
    <w:rsid w:val="006E10FA"/>
    <w:rsid w:val="006E1EFD"/>
    <w:rsid w:val="006E22ED"/>
    <w:rsid w:val="006E233F"/>
    <w:rsid w:val="006E26A7"/>
    <w:rsid w:val="006E2878"/>
    <w:rsid w:val="006E2AE1"/>
    <w:rsid w:val="006E2D6B"/>
    <w:rsid w:val="006E43F0"/>
    <w:rsid w:val="006E4583"/>
    <w:rsid w:val="006E505F"/>
    <w:rsid w:val="006E5E44"/>
    <w:rsid w:val="006E6947"/>
    <w:rsid w:val="006E6AFD"/>
    <w:rsid w:val="006E6D3B"/>
    <w:rsid w:val="006E79CE"/>
    <w:rsid w:val="006E7F9E"/>
    <w:rsid w:val="006F01E4"/>
    <w:rsid w:val="006F0764"/>
    <w:rsid w:val="006F2184"/>
    <w:rsid w:val="006F2F9F"/>
    <w:rsid w:val="006F3195"/>
    <w:rsid w:val="006F3971"/>
    <w:rsid w:val="006F3A64"/>
    <w:rsid w:val="006F41A7"/>
    <w:rsid w:val="006F4C1E"/>
    <w:rsid w:val="006F4C9F"/>
    <w:rsid w:val="006F5244"/>
    <w:rsid w:val="006F5EB5"/>
    <w:rsid w:val="006F6110"/>
    <w:rsid w:val="006F67B0"/>
    <w:rsid w:val="006F689D"/>
    <w:rsid w:val="006F7380"/>
    <w:rsid w:val="006F7543"/>
    <w:rsid w:val="006F7646"/>
    <w:rsid w:val="006F7E17"/>
    <w:rsid w:val="00700401"/>
    <w:rsid w:val="007006FD"/>
    <w:rsid w:val="00701888"/>
    <w:rsid w:val="00701971"/>
    <w:rsid w:val="00701C13"/>
    <w:rsid w:val="00701C3C"/>
    <w:rsid w:val="00702425"/>
    <w:rsid w:val="00702A14"/>
    <w:rsid w:val="00702F57"/>
    <w:rsid w:val="00703176"/>
    <w:rsid w:val="00703192"/>
    <w:rsid w:val="007032DF"/>
    <w:rsid w:val="00705650"/>
    <w:rsid w:val="00705ACC"/>
    <w:rsid w:val="00706548"/>
    <w:rsid w:val="007065FB"/>
    <w:rsid w:val="00706703"/>
    <w:rsid w:val="00706ED7"/>
    <w:rsid w:val="007077EA"/>
    <w:rsid w:val="00707966"/>
    <w:rsid w:val="00707AF6"/>
    <w:rsid w:val="00707DAB"/>
    <w:rsid w:val="0071026C"/>
    <w:rsid w:val="007108A4"/>
    <w:rsid w:val="00711E3D"/>
    <w:rsid w:val="00711E4E"/>
    <w:rsid w:val="00711FFC"/>
    <w:rsid w:val="00712445"/>
    <w:rsid w:val="007124F9"/>
    <w:rsid w:val="007129DA"/>
    <w:rsid w:val="00714905"/>
    <w:rsid w:val="00714F9D"/>
    <w:rsid w:val="00714FF5"/>
    <w:rsid w:val="0071541F"/>
    <w:rsid w:val="007155D4"/>
    <w:rsid w:val="0071569E"/>
    <w:rsid w:val="0071589A"/>
    <w:rsid w:val="00715C94"/>
    <w:rsid w:val="00716934"/>
    <w:rsid w:val="00716F8A"/>
    <w:rsid w:val="0071786C"/>
    <w:rsid w:val="0072048E"/>
    <w:rsid w:val="00720833"/>
    <w:rsid w:val="007209A5"/>
    <w:rsid w:val="00720B3C"/>
    <w:rsid w:val="0072129E"/>
    <w:rsid w:val="0072175E"/>
    <w:rsid w:val="00721E0B"/>
    <w:rsid w:val="007224E7"/>
    <w:rsid w:val="00722E8A"/>
    <w:rsid w:val="007240A2"/>
    <w:rsid w:val="00724E74"/>
    <w:rsid w:val="00725339"/>
    <w:rsid w:val="00725565"/>
    <w:rsid w:val="00725983"/>
    <w:rsid w:val="00726179"/>
    <w:rsid w:val="007262E6"/>
    <w:rsid w:val="00727D43"/>
    <w:rsid w:val="00730875"/>
    <w:rsid w:val="00730BD2"/>
    <w:rsid w:val="00730E52"/>
    <w:rsid w:val="0073112F"/>
    <w:rsid w:val="007311B2"/>
    <w:rsid w:val="00731601"/>
    <w:rsid w:val="0073169E"/>
    <w:rsid w:val="00731782"/>
    <w:rsid w:val="007318EA"/>
    <w:rsid w:val="00731FF1"/>
    <w:rsid w:val="007322C0"/>
    <w:rsid w:val="00732DCC"/>
    <w:rsid w:val="00733044"/>
    <w:rsid w:val="00733B3C"/>
    <w:rsid w:val="00733FFD"/>
    <w:rsid w:val="0073413F"/>
    <w:rsid w:val="007341C2"/>
    <w:rsid w:val="00734379"/>
    <w:rsid w:val="00734873"/>
    <w:rsid w:val="00735BB2"/>
    <w:rsid w:val="0073745E"/>
    <w:rsid w:val="00737C7A"/>
    <w:rsid w:val="00737D30"/>
    <w:rsid w:val="00737DE4"/>
    <w:rsid w:val="0074046B"/>
    <w:rsid w:val="00740E7A"/>
    <w:rsid w:val="0074124E"/>
    <w:rsid w:val="00741FAD"/>
    <w:rsid w:val="00742B83"/>
    <w:rsid w:val="00742C09"/>
    <w:rsid w:val="00744AE0"/>
    <w:rsid w:val="00744D60"/>
    <w:rsid w:val="007454D6"/>
    <w:rsid w:val="00745A1D"/>
    <w:rsid w:val="00745E68"/>
    <w:rsid w:val="00745F52"/>
    <w:rsid w:val="0074641E"/>
    <w:rsid w:val="007467FE"/>
    <w:rsid w:val="00746AE8"/>
    <w:rsid w:val="00747199"/>
    <w:rsid w:val="00750AC9"/>
    <w:rsid w:val="00750CB7"/>
    <w:rsid w:val="007521E8"/>
    <w:rsid w:val="00752633"/>
    <w:rsid w:val="00752778"/>
    <w:rsid w:val="00753261"/>
    <w:rsid w:val="00753A20"/>
    <w:rsid w:val="00753FF3"/>
    <w:rsid w:val="007540BF"/>
    <w:rsid w:val="007541CB"/>
    <w:rsid w:val="00754A13"/>
    <w:rsid w:val="00754BF6"/>
    <w:rsid w:val="00755424"/>
    <w:rsid w:val="007569EC"/>
    <w:rsid w:val="00757101"/>
    <w:rsid w:val="0075732D"/>
    <w:rsid w:val="00757DD6"/>
    <w:rsid w:val="00757EC2"/>
    <w:rsid w:val="0075E0D5"/>
    <w:rsid w:val="00760615"/>
    <w:rsid w:val="00760B9F"/>
    <w:rsid w:val="00760FA9"/>
    <w:rsid w:val="00761B53"/>
    <w:rsid w:val="007625E8"/>
    <w:rsid w:val="007626BD"/>
    <w:rsid w:val="00762D54"/>
    <w:rsid w:val="007637A8"/>
    <w:rsid w:val="007637FB"/>
    <w:rsid w:val="00763C40"/>
    <w:rsid w:val="007641E8"/>
    <w:rsid w:val="0076520F"/>
    <w:rsid w:val="0076597E"/>
    <w:rsid w:val="00765B58"/>
    <w:rsid w:val="00765BFF"/>
    <w:rsid w:val="007660F5"/>
    <w:rsid w:val="0076692C"/>
    <w:rsid w:val="00766C40"/>
    <w:rsid w:val="00766CE3"/>
    <w:rsid w:val="00767019"/>
    <w:rsid w:val="00767945"/>
    <w:rsid w:val="00767BAC"/>
    <w:rsid w:val="00767BFE"/>
    <w:rsid w:val="007709E8"/>
    <w:rsid w:val="00770CC0"/>
    <w:rsid w:val="00770DCB"/>
    <w:rsid w:val="007724F0"/>
    <w:rsid w:val="00772C96"/>
    <w:rsid w:val="00773575"/>
    <w:rsid w:val="00774759"/>
    <w:rsid w:val="0077475D"/>
    <w:rsid w:val="00775485"/>
    <w:rsid w:val="007769A4"/>
    <w:rsid w:val="00776EC6"/>
    <w:rsid w:val="0077787D"/>
    <w:rsid w:val="00777A84"/>
    <w:rsid w:val="00777CD4"/>
    <w:rsid w:val="00780129"/>
    <w:rsid w:val="0078024D"/>
    <w:rsid w:val="0078046A"/>
    <w:rsid w:val="0078082F"/>
    <w:rsid w:val="00780A02"/>
    <w:rsid w:val="00781A10"/>
    <w:rsid w:val="0078290C"/>
    <w:rsid w:val="00782C2A"/>
    <w:rsid w:val="00782D7E"/>
    <w:rsid w:val="00783532"/>
    <w:rsid w:val="00783A4A"/>
    <w:rsid w:val="0078435F"/>
    <w:rsid w:val="007846B5"/>
    <w:rsid w:val="00784D16"/>
    <w:rsid w:val="00785409"/>
    <w:rsid w:val="00785450"/>
    <w:rsid w:val="00785524"/>
    <w:rsid w:val="0078553D"/>
    <w:rsid w:val="00785A2A"/>
    <w:rsid w:val="00786730"/>
    <w:rsid w:val="00786A43"/>
    <w:rsid w:val="00787C76"/>
    <w:rsid w:val="00787CD5"/>
    <w:rsid w:val="00787E10"/>
    <w:rsid w:val="00790DE3"/>
    <w:rsid w:val="0079265C"/>
    <w:rsid w:val="00792EEA"/>
    <w:rsid w:val="00793292"/>
    <w:rsid w:val="0079375F"/>
    <w:rsid w:val="00793F28"/>
    <w:rsid w:val="00794158"/>
    <w:rsid w:val="007941A7"/>
    <w:rsid w:val="00794CB6"/>
    <w:rsid w:val="00796201"/>
    <w:rsid w:val="007962A2"/>
    <w:rsid w:val="00796737"/>
    <w:rsid w:val="00796B25"/>
    <w:rsid w:val="00797344"/>
    <w:rsid w:val="007A00D8"/>
    <w:rsid w:val="007A0792"/>
    <w:rsid w:val="007A0F3A"/>
    <w:rsid w:val="007A21BE"/>
    <w:rsid w:val="007A25BF"/>
    <w:rsid w:val="007A2BDE"/>
    <w:rsid w:val="007A4860"/>
    <w:rsid w:val="007A4957"/>
    <w:rsid w:val="007A5561"/>
    <w:rsid w:val="007A571D"/>
    <w:rsid w:val="007A5AEF"/>
    <w:rsid w:val="007A6666"/>
    <w:rsid w:val="007A75FC"/>
    <w:rsid w:val="007A7628"/>
    <w:rsid w:val="007A79C8"/>
    <w:rsid w:val="007B06EA"/>
    <w:rsid w:val="007B0A7C"/>
    <w:rsid w:val="007B0B70"/>
    <w:rsid w:val="007B0D69"/>
    <w:rsid w:val="007B0E35"/>
    <w:rsid w:val="007B0EC7"/>
    <w:rsid w:val="007B133E"/>
    <w:rsid w:val="007B14F8"/>
    <w:rsid w:val="007B2770"/>
    <w:rsid w:val="007B2BD9"/>
    <w:rsid w:val="007B3117"/>
    <w:rsid w:val="007B3127"/>
    <w:rsid w:val="007B3336"/>
    <w:rsid w:val="007B39D0"/>
    <w:rsid w:val="007B4A1A"/>
    <w:rsid w:val="007B56A0"/>
    <w:rsid w:val="007B637E"/>
    <w:rsid w:val="007B64FD"/>
    <w:rsid w:val="007B6622"/>
    <w:rsid w:val="007B7341"/>
    <w:rsid w:val="007B73C6"/>
    <w:rsid w:val="007B79DB"/>
    <w:rsid w:val="007B7AA1"/>
    <w:rsid w:val="007B7B53"/>
    <w:rsid w:val="007C012D"/>
    <w:rsid w:val="007C044B"/>
    <w:rsid w:val="007C087B"/>
    <w:rsid w:val="007C0C48"/>
    <w:rsid w:val="007C1048"/>
    <w:rsid w:val="007C1146"/>
    <w:rsid w:val="007C18F3"/>
    <w:rsid w:val="007C2725"/>
    <w:rsid w:val="007C3DA5"/>
    <w:rsid w:val="007C3E90"/>
    <w:rsid w:val="007C44C1"/>
    <w:rsid w:val="007C4575"/>
    <w:rsid w:val="007C4B4B"/>
    <w:rsid w:val="007C5C79"/>
    <w:rsid w:val="007C610F"/>
    <w:rsid w:val="007C64C3"/>
    <w:rsid w:val="007C6BC9"/>
    <w:rsid w:val="007C6C57"/>
    <w:rsid w:val="007C72D7"/>
    <w:rsid w:val="007C74AD"/>
    <w:rsid w:val="007C75EF"/>
    <w:rsid w:val="007C7B20"/>
    <w:rsid w:val="007C7EF3"/>
    <w:rsid w:val="007D0C13"/>
    <w:rsid w:val="007D123A"/>
    <w:rsid w:val="007D27F0"/>
    <w:rsid w:val="007D2E0A"/>
    <w:rsid w:val="007D2F00"/>
    <w:rsid w:val="007D2FDC"/>
    <w:rsid w:val="007D3029"/>
    <w:rsid w:val="007D34BD"/>
    <w:rsid w:val="007D4A80"/>
    <w:rsid w:val="007D4E0C"/>
    <w:rsid w:val="007D5150"/>
    <w:rsid w:val="007D57EB"/>
    <w:rsid w:val="007D5A95"/>
    <w:rsid w:val="007D5DFE"/>
    <w:rsid w:val="007D685F"/>
    <w:rsid w:val="007D7BD4"/>
    <w:rsid w:val="007E0204"/>
    <w:rsid w:val="007E050F"/>
    <w:rsid w:val="007E0715"/>
    <w:rsid w:val="007E09E2"/>
    <w:rsid w:val="007E0EDA"/>
    <w:rsid w:val="007E12A7"/>
    <w:rsid w:val="007E177D"/>
    <w:rsid w:val="007E1B59"/>
    <w:rsid w:val="007E2306"/>
    <w:rsid w:val="007E25EB"/>
    <w:rsid w:val="007E3233"/>
    <w:rsid w:val="007E32DE"/>
    <w:rsid w:val="007E38E5"/>
    <w:rsid w:val="007E3F8C"/>
    <w:rsid w:val="007E3FED"/>
    <w:rsid w:val="007E46B8"/>
    <w:rsid w:val="007E48F4"/>
    <w:rsid w:val="007E4E93"/>
    <w:rsid w:val="007E5A98"/>
    <w:rsid w:val="007E5B88"/>
    <w:rsid w:val="007E5F4C"/>
    <w:rsid w:val="007E68E7"/>
    <w:rsid w:val="007E6A0D"/>
    <w:rsid w:val="007E6E8A"/>
    <w:rsid w:val="007E7469"/>
    <w:rsid w:val="007E765C"/>
    <w:rsid w:val="007E7DF6"/>
    <w:rsid w:val="007F0094"/>
    <w:rsid w:val="007F0357"/>
    <w:rsid w:val="007F0AD2"/>
    <w:rsid w:val="007F0B06"/>
    <w:rsid w:val="007F0BAA"/>
    <w:rsid w:val="007F0D0B"/>
    <w:rsid w:val="007F0D24"/>
    <w:rsid w:val="007F1518"/>
    <w:rsid w:val="007F167F"/>
    <w:rsid w:val="007F1980"/>
    <w:rsid w:val="007F1EBD"/>
    <w:rsid w:val="007F2268"/>
    <w:rsid w:val="007F2FD9"/>
    <w:rsid w:val="007F2FF1"/>
    <w:rsid w:val="007F37F3"/>
    <w:rsid w:val="007F3885"/>
    <w:rsid w:val="007F3BF2"/>
    <w:rsid w:val="007F42D4"/>
    <w:rsid w:val="007F529B"/>
    <w:rsid w:val="007F5372"/>
    <w:rsid w:val="007F55A3"/>
    <w:rsid w:val="007F5B35"/>
    <w:rsid w:val="007F5CF0"/>
    <w:rsid w:val="007F65EF"/>
    <w:rsid w:val="007F6E03"/>
    <w:rsid w:val="008007A8"/>
    <w:rsid w:val="00801319"/>
    <w:rsid w:val="008014D2"/>
    <w:rsid w:val="00801754"/>
    <w:rsid w:val="00802C6D"/>
    <w:rsid w:val="00802CC8"/>
    <w:rsid w:val="00803E02"/>
    <w:rsid w:val="0080428B"/>
    <w:rsid w:val="008042D9"/>
    <w:rsid w:val="00805034"/>
    <w:rsid w:val="0080592B"/>
    <w:rsid w:val="00805F11"/>
    <w:rsid w:val="00805F6D"/>
    <w:rsid w:val="00806881"/>
    <w:rsid w:val="00806CFB"/>
    <w:rsid w:val="008074FD"/>
    <w:rsid w:val="00807748"/>
    <w:rsid w:val="00807773"/>
    <w:rsid w:val="008077B9"/>
    <w:rsid w:val="00807A97"/>
    <w:rsid w:val="00807B34"/>
    <w:rsid w:val="00810058"/>
    <w:rsid w:val="008100FE"/>
    <w:rsid w:val="00811865"/>
    <w:rsid w:val="008119B3"/>
    <w:rsid w:val="00811C97"/>
    <w:rsid w:val="00811F6D"/>
    <w:rsid w:val="00812390"/>
    <w:rsid w:val="00812A52"/>
    <w:rsid w:val="008131D7"/>
    <w:rsid w:val="00814C18"/>
    <w:rsid w:val="00814FC0"/>
    <w:rsid w:val="008165C4"/>
    <w:rsid w:val="008170E9"/>
    <w:rsid w:val="00817C73"/>
    <w:rsid w:val="00817EC3"/>
    <w:rsid w:val="0082020D"/>
    <w:rsid w:val="0082025D"/>
    <w:rsid w:val="008208CA"/>
    <w:rsid w:val="00820F34"/>
    <w:rsid w:val="008216E7"/>
    <w:rsid w:val="0082193C"/>
    <w:rsid w:val="008223F3"/>
    <w:rsid w:val="00822623"/>
    <w:rsid w:val="00823005"/>
    <w:rsid w:val="00823333"/>
    <w:rsid w:val="008234A9"/>
    <w:rsid w:val="00823882"/>
    <w:rsid w:val="00823E5A"/>
    <w:rsid w:val="00823FDA"/>
    <w:rsid w:val="0082408B"/>
    <w:rsid w:val="00824AE2"/>
    <w:rsid w:val="00825D08"/>
    <w:rsid w:val="008264A8"/>
    <w:rsid w:val="008266F0"/>
    <w:rsid w:val="00830086"/>
    <w:rsid w:val="0083058C"/>
    <w:rsid w:val="00830BAE"/>
    <w:rsid w:val="00831F55"/>
    <w:rsid w:val="008322C3"/>
    <w:rsid w:val="008322CF"/>
    <w:rsid w:val="008325C5"/>
    <w:rsid w:val="00832C45"/>
    <w:rsid w:val="00832E83"/>
    <w:rsid w:val="00832F92"/>
    <w:rsid w:val="0083368B"/>
    <w:rsid w:val="00833C20"/>
    <w:rsid w:val="00834096"/>
    <w:rsid w:val="0083593A"/>
    <w:rsid w:val="00835CC3"/>
    <w:rsid w:val="00835EF1"/>
    <w:rsid w:val="0083768E"/>
    <w:rsid w:val="00841BA4"/>
    <w:rsid w:val="008436B0"/>
    <w:rsid w:val="00844422"/>
    <w:rsid w:val="0084443B"/>
    <w:rsid w:val="008449B9"/>
    <w:rsid w:val="00845941"/>
    <w:rsid w:val="00846049"/>
    <w:rsid w:val="00846B7A"/>
    <w:rsid w:val="00847147"/>
    <w:rsid w:val="00847191"/>
    <w:rsid w:val="008472A6"/>
    <w:rsid w:val="00847325"/>
    <w:rsid w:val="008473F2"/>
    <w:rsid w:val="008478FF"/>
    <w:rsid w:val="00847BFA"/>
    <w:rsid w:val="008500CB"/>
    <w:rsid w:val="008502F7"/>
    <w:rsid w:val="00850775"/>
    <w:rsid w:val="00851C64"/>
    <w:rsid w:val="008521D2"/>
    <w:rsid w:val="00852459"/>
    <w:rsid w:val="00852744"/>
    <w:rsid w:val="00852860"/>
    <w:rsid w:val="00853066"/>
    <w:rsid w:val="0085338F"/>
    <w:rsid w:val="00854C33"/>
    <w:rsid w:val="00856EE8"/>
    <w:rsid w:val="0086053D"/>
    <w:rsid w:val="00862234"/>
    <w:rsid w:val="0086254F"/>
    <w:rsid w:val="008626AC"/>
    <w:rsid w:val="00862ED1"/>
    <w:rsid w:val="0086310C"/>
    <w:rsid w:val="008631AD"/>
    <w:rsid w:val="00863A94"/>
    <w:rsid w:val="00863BEB"/>
    <w:rsid w:val="00863D38"/>
    <w:rsid w:val="008642E6"/>
    <w:rsid w:val="008643C2"/>
    <w:rsid w:val="00864457"/>
    <w:rsid w:val="00864B5B"/>
    <w:rsid w:val="00865282"/>
    <w:rsid w:val="00865288"/>
    <w:rsid w:val="00865734"/>
    <w:rsid w:val="00865D7D"/>
    <w:rsid w:val="00865F31"/>
    <w:rsid w:val="00866149"/>
    <w:rsid w:val="00866350"/>
    <w:rsid w:val="00866F8C"/>
    <w:rsid w:val="00867638"/>
    <w:rsid w:val="008679C0"/>
    <w:rsid w:val="00867A6C"/>
    <w:rsid w:val="00867A96"/>
    <w:rsid w:val="00870CA9"/>
    <w:rsid w:val="00870CEF"/>
    <w:rsid w:val="00870FB3"/>
    <w:rsid w:val="00871256"/>
    <w:rsid w:val="008713A9"/>
    <w:rsid w:val="00871D73"/>
    <w:rsid w:val="008724DE"/>
    <w:rsid w:val="00872532"/>
    <w:rsid w:val="008725B0"/>
    <w:rsid w:val="00872C24"/>
    <w:rsid w:val="00873549"/>
    <w:rsid w:val="00873C97"/>
    <w:rsid w:val="00874B7D"/>
    <w:rsid w:val="00874DCB"/>
    <w:rsid w:val="008750A5"/>
    <w:rsid w:val="0087563A"/>
    <w:rsid w:val="008758D9"/>
    <w:rsid w:val="00876052"/>
    <w:rsid w:val="008762A5"/>
    <w:rsid w:val="008767C9"/>
    <w:rsid w:val="00877F92"/>
    <w:rsid w:val="008804BE"/>
    <w:rsid w:val="00880A3B"/>
    <w:rsid w:val="00880C45"/>
    <w:rsid w:val="00881992"/>
    <w:rsid w:val="008820E2"/>
    <w:rsid w:val="00882B0A"/>
    <w:rsid w:val="00884468"/>
    <w:rsid w:val="0088497D"/>
    <w:rsid w:val="00884A37"/>
    <w:rsid w:val="00884B20"/>
    <w:rsid w:val="00885177"/>
    <w:rsid w:val="008865B0"/>
    <w:rsid w:val="00886EDC"/>
    <w:rsid w:val="008873E1"/>
    <w:rsid w:val="008900F0"/>
    <w:rsid w:val="008906B2"/>
    <w:rsid w:val="008907C7"/>
    <w:rsid w:val="00892750"/>
    <w:rsid w:val="008935CA"/>
    <w:rsid w:val="008937FD"/>
    <w:rsid w:val="00893EE0"/>
    <w:rsid w:val="00894E44"/>
    <w:rsid w:val="0089598A"/>
    <w:rsid w:val="00895DAD"/>
    <w:rsid w:val="008972C9"/>
    <w:rsid w:val="00897DF0"/>
    <w:rsid w:val="008A0519"/>
    <w:rsid w:val="008A12AD"/>
    <w:rsid w:val="008A1BEE"/>
    <w:rsid w:val="008A1F71"/>
    <w:rsid w:val="008A1F8C"/>
    <w:rsid w:val="008A2186"/>
    <w:rsid w:val="008A23BF"/>
    <w:rsid w:val="008A2791"/>
    <w:rsid w:val="008A3521"/>
    <w:rsid w:val="008A3D57"/>
    <w:rsid w:val="008A4190"/>
    <w:rsid w:val="008A4B1A"/>
    <w:rsid w:val="008A5466"/>
    <w:rsid w:val="008A61D5"/>
    <w:rsid w:val="008A6260"/>
    <w:rsid w:val="008A6261"/>
    <w:rsid w:val="008A6809"/>
    <w:rsid w:val="008A6D7F"/>
    <w:rsid w:val="008A75A1"/>
    <w:rsid w:val="008A76D0"/>
    <w:rsid w:val="008A79B3"/>
    <w:rsid w:val="008B0503"/>
    <w:rsid w:val="008B084A"/>
    <w:rsid w:val="008B0D56"/>
    <w:rsid w:val="008B1972"/>
    <w:rsid w:val="008B1D89"/>
    <w:rsid w:val="008B1DD2"/>
    <w:rsid w:val="008B1E04"/>
    <w:rsid w:val="008B23BC"/>
    <w:rsid w:val="008B247E"/>
    <w:rsid w:val="008B2B72"/>
    <w:rsid w:val="008B2D25"/>
    <w:rsid w:val="008B2E78"/>
    <w:rsid w:val="008B3899"/>
    <w:rsid w:val="008B3E6C"/>
    <w:rsid w:val="008B46B7"/>
    <w:rsid w:val="008B4B6C"/>
    <w:rsid w:val="008B4CFE"/>
    <w:rsid w:val="008B554D"/>
    <w:rsid w:val="008B625A"/>
    <w:rsid w:val="008B63F5"/>
    <w:rsid w:val="008B6468"/>
    <w:rsid w:val="008B6A17"/>
    <w:rsid w:val="008B6AE8"/>
    <w:rsid w:val="008B6F42"/>
    <w:rsid w:val="008B70ED"/>
    <w:rsid w:val="008B71E5"/>
    <w:rsid w:val="008B7278"/>
    <w:rsid w:val="008B7A03"/>
    <w:rsid w:val="008C06B7"/>
    <w:rsid w:val="008C0CF4"/>
    <w:rsid w:val="008C0D89"/>
    <w:rsid w:val="008C12B1"/>
    <w:rsid w:val="008C3211"/>
    <w:rsid w:val="008C3488"/>
    <w:rsid w:val="008C3C42"/>
    <w:rsid w:val="008C3C7C"/>
    <w:rsid w:val="008C3F8E"/>
    <w:rsid w:val="008C4091"/>
    <w:rsid w:val="008C4755"/>
    <w:rsid w:val="008C4C61"/>
    <w:rsid w:val="008C4C80"/>
    <w:rsid w:val="008C5532"/>
    <w:rsid w:val="008C5D39"/>
    <w:rsid w:val="008C7434"/>
    <w:rsid w:val="008C7642"/>
    <w:rsid w:val="008D006B"/>
    <w:rsid w:val="008D094A"/>
    <w:rsid w:val="008D123D"/>
    <w:rsid w:val="008D1BA4"/>
    <w:rsid w:val="008D1E5F"/>
    <w:rsid w:val="008D237B"/>
    <w:rsid w:val="008D25CA"/>
    <w:rsid w:val="008D3736"/>
    <w:rsid w:val="008D3827"/>
    <w:rsid w:val="008D3CA2"/>
    <w:rsid w:val="008D4771"/>
    <w:rsid w:val="008D4F1C"/>
    <w:rsid w:val="008D5128"/>
    <w:rsid w:val="008D5A21"/>
    <w:rsid w:val="008D62C6"/>
    <w:rsid w:val="008D6DF1"/>
    <w:rsid w:val="008D6E6C"/>
    <w:rsid w:val="008D76AA"/>
    <w:rsid w:val="008D78CD"/>
    <w:rsid w:val="008D7988"/>
    <w:rsid w:val="008D79EC"/>
    <w:rsid w:val="008D7D75"/>
    <w:rsid w:val="008E07F2"/>
    <w:rsid w:val="008E0DCB"/>
    <w:rsid w:val="008E0F6A"/>
    <w:rsid w:val="008E10EF"/>
    <w:rsid w:val="008E1348"/>
    <w:rsid w:val="008E17B0"/>
    <w:rsid w:val="008E2090"/>
    <w:rsid w:val="008E2326"/>
    <w:rsid w:val="008E23E8"/>
    <w:rsid w:val="008E2C04"/>
    <w:rsid w:val="008E328C"/>
    <w:rsid w:val="008E3AB1"/>
    <w:rsid w:val="008E3CA7"/>
    <w:rsid w:val="008E3D60"/>
    <w:rsid w:val="008E3D93"/>
    <w:rsid w:val="008E3E96"/>
    <w:rsid w:val="008E3F4C"/>
    <w:rsid w:val="008E40F7"/>
    <w:rsid w:val="008E467A"/>
    <w:rsid w:val="008E5374"/>
    <w:rsid w:val="008E7A9D"/>
    <w:rsid w:val="008F028F"/>
    <w:rsid w:val="008F0519"/>
    <w:rsid w:val="008F062E"/>
    <w:rsid w:val="008F09F7"/>
    <w:rsid w:val="008F0DFF"/>
    <w:rsid w:val="008F1177"/>
    <w:rsid w:val="008F1212"/>
    <w:rsid w:val="008F19D4"/>
    <w:rsid w:val="008F273C"/>
    <w:rsid w:val="008F351B"/>
    <w:rsid w:val="008F3D21"/>
    <w:rsid w:val="008F4412"/>
    <w:rsid w:val="008F4DEA"/>
    <w:rsid w:val="008F4E7C"/>
    <w:rsid w:val="008F50A4"/>
    <w:rsid w:val="008F5513"/>
    <w:rsid w:val="008F5590"/>
    <w:rsid w:val="008F566A"/>
    <w:rsid w:val="008F5FDF"/>
    <w:rsid w:val="008F6214"/>
    <w:rsid w:val="008F7929"/>
    <w:rsid w:val="00900002"/>
    <w:rsid w:val="00900242"/>
    <w:rsid w:val="00900488"/>
    <w:rsid w:val="009010DB"/>
    <w:rsid w:val="00901522"/>
    <w:rsid w:val="00901548"/>
    <w:rsid w:val="0090165F"/>
    <w:rsid w:val="00901B82"/>
    <w:rsid w:val="00902823"/>
    <w:rsid w:val="0090289A"/>
    <w:rsid w:val="00902A5E"/>
    <w:rsid w:val="00902AF6"/>
    <w:rsid w:val="00904A0A"/>
    <w:rsid w:val="009057DD"/>
    <w:rsid w:val="00906BBB"/>
    <w:rsid w:val="00906C7C"/>
    <w:rsid w:val="00907A80"/>
    <w:rsid w:val="0091180F"/>
    <w:rsid w:val="00911DF5"/>
    <w:rsid w:val="00911FEE"/>
    <w:rsid w:val="009120DC"/>
    <w:rsid w:val="0091259B"/>
    <w:rsid w:val="00912B09"/>
    <w:rsid w:val="009136B9"/>
    <w:rsid w:val="009147C1"/>
    <w:rsid w:val="00914B23"/>
    <w:rsid w:val="00916299"/>
    <w:rsid w:val="0091637B"/>
    <w:rsid w:val="00916FDC"/>
    <w:rsid w:val="00917B3B"/>
    <w:rsid w:val="00917D9C"/>
    <w:rsid w:val="009202FE"/>
    <w:rsid w:val="0092045E"/>
    <w:rsid w:val="00920B09"/>
    <w:rsid w:val="009210BC"/>
    <w:rsid w:val="009227EC"/>
    <w:rsid w:val="009230FE"/>
    <w:rsid w:val="00923D95"/>
    <w:rsid w:val="00923FB4"/>
    <w:rsid w:val="00924480"/>
    <w:rsid w:val="009251DB"/>
    <w:rsid w:val="009259FE"/>
    <w:rsid w:val="00925EE7"/>
    <w:rsid w:val="0092649D"/>
    <w:rsid w:val="00926C3B"/>
    <w:rsid w:val="0092779A"/>
    <w:rsid w:val="00930A32"/>
    <w:rsid w:val="00931E51"/>
    <w:rsid w:val="009324BD"/>
    <w:rsid w:val="00932541"/>
    <w:rsid w:val="0093262C"/>
    <w:rsid w:val="009332BD"/>
    <w:rsid w:val="00933945"/>
    <w:rsid w:val="009339EC"/>
    <w:rsid w:val="00934041"/>
    <w:rsid w:val="009341F9"/>
    <w:rsid w:val="009343D1"/>
    <w:rsid w:val="00934A9B"/>
    <w:rsid w:val="00934D2C"/>
    <w:rsid w:val="00935463"/>
    <w:rsid w:val="009354ED"/>
    <w:rsid w:val="0093634D"/>
    <w:rsid w:val="00936DD6"/>
    <w:rsid w:val="00937387"/>
    <w:rsid w:val="009376B2"/>
    <w:rsid w:val="00937B18"/>
    <w:rsid w:val="0094041E"/>
    <w:rsid w:val="009408FD"/>
    <w:rsid w:val="00940972"/>
    <w:rsid w:val="009410FC"/>
    <w:rsid w:val="0094182F"/>
    <w:rsid w:val="0094278C"/>
    <w:rsid w:val="009432CF"/>
    <w:rsid w:val="00944BDF"/>
    <w:rsid w:val="00944E5B"/>
    <w:rsid w:val="00944E88"/>
    <w:rsid w:val="00945016"/>
    <w:rsid w:val="00946052"/>
    <w:rsid w:val="00946548"/>
    <w:rsid w:val="009467DC"/>
    <w:rsid w:val="00946804"/>
    <w:rsid w:val="00946CDF"/>
    <w:rsid w:val="009475DF"/>
    <w:rsid w:val="009478D8"/>
    <w:rsid w:val="00947A3F"/>
    <w:rsid w:val="009506A0"/>
    <w:rsid w:val="0095194D"/>
    <w:rsid w:val="00951CC8"/>
    <w:rsid w:val="00951ED7"/>
    <w:rsid w:val="009547B9"/>
    <w:rsid w:val="00954AFE"/>
    <w:rsid w:val="00954F61"/>
    <w:rsid w:val="00955235"/>
    <w:rsid w:val="009559AD"/>
    <w:rsid w:val="0095602C"/>
    <w:rsid w:val="009561B9"/>
    <w:rsid w:val="0095636D"/>
    <w:rsid w:val="00956DF7"/>
    <w:rsid w:val="00956E6E"/>
    <w:rsid w:val="00957611"/>
    <w:rsid w:val="00957C43"/>
    <w:rsid w:val="00957CAA"/>
    <w:rsid w:val="009601B2"/>
    <w:rsid w:val="0096037F"/>
    <w:rsid w:val="009604DC"/>
    <w:rsid w:val="009608B5"/>
    <w:rsid w:val="00961466"/>
    <w:rsid w:val="009623FA"/>
    <w:rsid w:val="00962A27"/>
    <w:rsid w:val="009630B1"/>
    <w:rsid w:val="00963190"/>
    <w:rsid w:val="00963A83"/>
    <w:rsid w:val="009651D7"/>
    <w:rsid w:val="009665EE"/>
    <w:rsid w:val="0096668F"/>
    <w:rsid w:val="00966859"/>
    <w:rsid w:val="0096699F"/>
    <w:rsid w:val="00966C27"/>
    <w:rsid w:val="00966C2F"/>
    <w:rsid w:val="00966DCF"/>
    <w:rsid w:val="0096702B"/>
    <w:rsid w:val="00967328"/>
    <w:rsid w:val="0096742A"/>
    <w:rsid w:val="0096745E"/>
    <w:rsid w:val="00970583"/>
    <w:rsid w:val="00970668"/>
    <w:rsid w:val="009712BA"/>
    <w:rsid w:val="0097340E"/>
    <w:rsid w:val="0097426D"/>
    <w:rsid w:val="00974C06"/>
    <w:rsid w:val="0097512B"/>
    <w:rsid w:val="009756B2"/>
    <w:rsid w:val="0097593A"/>
    <w:rsid w:val="00976D73"/>
    <w:rsid w:val="00976D9E"/>
    <w:rsid w:val="0097702D"/>
    <w:rsid w:val="00977173"/>
    <w:rsid w:val="009776EC"/>
    <w:rsid w:val="0098000B"/>
    <w:rsid w:val="00981757"/>
    <w:rsid w:val="00981C5F"/>
    <w:rsid w:val="00982404"/>
    <w:rsid w:val="00982781"/>
    <w:rsid w:val="00982B08"/>
    <w:rsid w:val="009830B4"/>
    <w:rsid w:val="00983345"/>
    <w:rsid w:val="00983667"/>
    <w:rsid w:val="0098385C"/>
    <w:rsid w:val="00983EF8"/>
    <w:rsid w:val="00984C1A"/>
    <w:rsid w:val="00984EF0"/>
    <w:rsid w:val="009914A3"/>
    <w:rsid w:val="009918A7"/>
    <w:rsid w:val="00991BD7"/>
    <w:rsid w:val="0099217C"/>
    <w:rsid w:val="00992209"/>
    <w:rsid w:val="009924C8"/>
    <w:rsid w:val="00992C2B"/>
    <w:rsid w:val="00992C4F"/>
    <w:rsid w:val="00993ABF"/>
    <w:rsid w:val="00993C2F"/>
    <w:rsid w:val="009942BE"/>
    <w:rsid w:val="009944B1"/>
    <w:rsid w:val="00994C34"/>
    <w:rsid w:val="00994D5C"/>
    <w:rsid w:val="0099542D"/>
    <w:rsid w:val="009955EC"/>
    <w:rsid w:val="00995E08"/>
    <w:rsid w:val="00996029"/>
    <w:rsid w:val="00996546"/>
    <w:rsid w:val="00996639"/>
    <w:rsid w:val="00996AC8"/>
    <w:rsid w:val="00997FC1"/>
    <w:rsid w:val="009A0343"/>
    <w:rsid w:val="009A0D76"/>
    <w:rsid w:val="009A0ECB"/>
    <w:rsid w:val="009A1259"/>
    <w:rsid w:val="009A23E7"/>
    <w:rsid w:val="009A2537"/>
    <w:rsid w:val="009A3572"/>
    <w:rsid w:val="009A38AF"/>
    <w:rsid w:val="009A42B2"/>
    <w:rsid w:val="009A4CE6"/>
    <w:rsid w:val="009A765B"/>
    <w:rsid w:val="009A7A5D"/>
    <w:rsid w:val="009B01F4"/>
    <w:rsid w:val="009B0A9B"/>
    <w:rsid w:val="009B0BAA"/>
    <w:rsid w:val="009B0C3E"/>
    <w:rsid w:val="009B201F"/>
    <w:rsid w:val="009B21FE"/>
    <w:rsid w:val="009B2227"/>
    <w:rsid w:val="009B27F4"/>
    <w:rsid w:val="009B36F6"/>
    <w:rsid w:val="009B521C"/>
    <w:rsid w:val="009B68C1"/>
    <w:rsid w:val="009C0491"/>
    <w:rsid w:val="009C04C4"/>
    <w:rsid w:val="009C2612"/>
    <w:rsid w:val="009C26FF"/>
    <w:rsid w:val="009C33C3"/>
    <w:rsid w:val="009C3631"/>
    <w:rsid w:val="009C3A93"/>
    <w:rsid w:val="009C3E15"/>
    <w:rsid w:val="009C4357"/>
    <w:rsid w:val="009C4732"/>
    <w:rsid w:val="009C4AA0"/>
    <w:rsid w:val="009C54B8"/>
    <w:rsid w:val="009C5626"/>
    <w:rsid w:val="009C5888"/>
    <w:rsid w:val="009C6B3F"/>
    <w:rsid w:val="009C71C7"/>
    <w:rsid w:val="009C749A"/>
    <w:rsid w:val="009C74E6"/>
    <w:rsid w:val="009C7859"/>
    <w:rsid w:val="009C7AB8"/>
    <w:rsid w:val="009C7DDD"/>
    <w:rsid w:val="009D10FD"/>
    <w:rsid w:val="009D18AB"/>
    <w:rsid w:val="009D2444"/>
    <w:rsid w:val="009D2C04"/>
    <w:rsid w:val="009D326F"/>
    <w:rsid w:val="009D34F3"/>
    <w:rsid w:val="009D3E77"/>
    <w:rsid w:val="009D45C8"/>
    <w:rsid w:val="009D50C4"/>
    <w:rsid w:val="009D5C10"/>
    <w:rsid w:val="009D5F44"/>
    <w:rsid w:val="009D67F6"/>
    <w:rsid w:val="009D6BD2"/>
    <w:rsid w:val="009D72F5"/>
    <w:rsid w:val="009E00EA"/>
    <w:rsid w:val="009E08D1"/>
    <w:rsid w:val="009E0FE1"/>
    <w:rsid w:val="009E122E"/>
    <w:rsid w:val="009E1A61"/>
    <w:rsid w:val="009E246D"/>
    <w:rsid w:val="009E3108"/>
    <w:rsid w:val="009E3328"/>
    <w:rsid w:val="009E37DB"/>
    <w:rsid w:val="009E3923"/>
    <w:rsid w:val="009E3C4D"/>
    <w:rsid w:val="009E480D"/>
    <w:rsid w:val="009E4ADB"/>
    <w:rsid w:val="009E4BD0"/>
    <w:rsid w:val="009E6441"/>
    <w:rsid w:val="009E6D71"/>
    <w:rsid w:val="009E6D83"/>
    <w:rsid w:val="009E71CA"/>
    <w:rsid w:val="009E7969"/>
    <w:rsid w:val="009E7C88"/>
    <w:rsid w:val="009F1FDE"/>
    <w:rsid w:val="009F21D9"/>
    <w:rsid w:val="009F2764"/>
    <w:rsid w:val="009F2D0F"/>
    <w:rsid w:val="009F2FF9"/>
    <w:rsid w:val="009F399C"/>
    <w:rsid w:val="009F40B3"/>
    <w:rsid w:val="009F4688"/>
    <w:rsid w:val="009F4823"/>
    <w:rsid w:val="009F502C"/>
    <w:rsid w:val="009F531B"/>
    <w:rsid w:val="009F5738"/>
    <w:rsid w:val="009F715A"/>
    <w:rsid w:val="009F730F"/>
    <w:rsid w:val="009F7475"/>
    <w:rsid w:val="009F7EC6"/>
    <w:rsid w:val="00A00D08"/>
    <w:rsid w:val="00A00D6D"/>
    <w:rsid w:val="00A01023"/>
    <w:rsid w:val="00A012BD"/>
    <w:rsid w:val="00A02234"/>
    <w:rsid w:val="00A02373"/>
    <w:rsid w:val="00A023A9"/>
    <w:rsid w:val="00A029D6"/>
    <w:rsid w:val="00A02F23"/>
    <w:rsid w:val="00A03382"/>
    <w:rsid w:val="00A03EE4"/>
    <w:rsid w:val="00A0406E"/>
    <w:rsid w:val="00A046B2"/>
    <w:rsid w:val="00A046DF"/>
    <w:rsid w:val="00A04A4E"/>
    <w:rsid w:val="00A0500A"/>
    <w:rsid w:val="00A05181"/>
    <w:rsid w:val="00A061AE"/>
    <w:rsid w:val="00A06AEE"/>
    <w:rsid w:val="00A10150"/>
    <w:rsid w:val="00A1112A"/>
    <w:rsid w:val="00A11307"/>
    <w:rsid w:val="00A1132B"/>
    <w:rsid w:val="00A11891"/>
    <w:rsid w:val="00A119EB"/>
    <w:rsid w:val="00A11A98"/>
    <w:rsid w:val="00A12C8B"/>
    <w:rsid w:val="00A1323E"/>
    <w:rsid w:val="00A13529"/>
    <w:rsid w:val="00A13AF3"/>
    <w:rsid w:val="00A13BC8"/>
    <w:rsid w:val="00A14EA5"/>
    <w:rsid w:val="00A1578D"/>
    <w:rsid w:val="00A15C4E"/>
    <w:rsid w:val="00A1646A"/>
    <w:rsid w:val="00A16FDF"/>
    <w:rsid w:val="00A1784F"/>
    <w:rsid w:val="00A17879"/>
    <w:rsid w:val="00A20F3D"/>
    <w:rsid w:val="00A21388"/>
    <w:rsid w:val="00A216FD"/>
    <w:rsid w:val="00A219B1"/>
    <w:rsid w:val="00A219BD"/>
    <w:rsid w:val="00A21DF5"/>
    <w:rsid w:val="00A21F1A"/>
    <w:rsid w:val="00A22005"/>
    <w:rsid w:val="00A22143"/>
    <w:rsid w:val="00A22431"/>
    <w:rsid w:val="00A22A0B"/>
    <w:rsid w:val="00A244FA"/>
    <w:rsid w:val="00A25241"/>
    <w:rsid w:val="00A25711"/>
    <w:rsid w:val="00A25C24"/>
    <w:rsid w:val="00A265D0"/>
    <w:rsid w:val="00A26A8E"/>
    <w:rsid w:val="00A26FA2"/>
    <w:rsid w:val="00A2701D"/>
    <w:rsid w:val="00A27387"/>
    <w:rsid w:val="00A27559"/>
    <w:rsid w:val="00A27791"/>
    <w:rsid w:val="00A277D8"/>
    <w:rsid w:val="00A27944"/>
    <w:rsid w:val="00A27ABE"/>
    <w:rsid w:val="00A30C7C"/>
    <w:rsid w:val="00A30F37"/>
    <w:rsid w:val="00A31BB9"/>
    <w:rsid w:val="00A31CDF"/>
    <w:rsid w:val="00A33057"/>
    <w:rsid w:val="00A33159"/>
    <w:rsid w:val="00A334A3"/>
    <w:rsid w:val="00A34F03"/>
    <w:rsid w:val="00A354D7"/>
    <w:rsid w:val="00A355F9"/>
    <w:rsid w:val="00A36CC1"/>
    <w:rsid w:val="00A4010B"/>
    <w:rsid w:val="00A4078E"/>
    <w:rsid w:val="00A41355"/>
    <w:rsid w:val="00A41FEF"/>
    <w:rsid w:val="00A421F7"/>
    <w:rsid w:val="00A4290D"/>
    <w:rsid w:val="00A433F2"/>
    <w:rsid w:val="00A433FE"/>
    <w:rsid w:val="00A43593"/>
    <w:rsid w:val="00A437B6"/>
    <w:rsid w:val="00A43B92"/>
    <w:rsid w:val="00A444EC"/>
    <w:rsid w:val="00A44978"/>
    <w:rsid w:val="00A45203"/>
    <w:rsid w:val="00A454C5"/>
    <w:rsid w:val="00A45CB7"/>
    <w:rsid w:val="00A45F9C"/>
    <w:rsid w:val="00A45F9F"/>
    <w:rsid w:val="00A4741D"/>
    <w:rsid w:val="00A47704"/>
    <w:rsid w:val="00A47F2B"/>
    <w:rsid w:val="00A501F0"/>
    <w:rsid w:val="00A50208"/>
    <w:rsid w:val="00A50E95"/>
    <w:rsid w:val="00A50EDA"/>
    <w:rsid w:val="00A51169"/>
    <w:rsid w:val="00A51278"/>
    <w:rsid w:val="00A51784"/>
    <w:rsid w:val="00A51E25"/>
    <w:rsid w:val="00A522DA"/>
    <w:rsid w:val="00A5263A"/>
    <w:rsid w:val="00A526D1"/>
    <w:rsid w:val="00A527A1"/>
    <w:rsid w:val="00A5385F"/>
    <w:rsid w:val="00A53908"/>
    <w:rsid w:val="00A53CFB"/>
    <w:rsid w:val="00A54251"/>
    <w:rsid w:val="00A5428E"/>
    <w:rsid w:val="00A546D6"/>
    <w:rsid w:val="00A548AA"/>
    <w:rsid w:val="00A54B40"/>
    <w:rsid w:val="00A54BD2"/>
    <w:rsid w:val="00A54D30"/>
    <w:rsid w:val="00A55E59"/>
    <w:rsid w:val="00A55E5B"/>
    <w:rsid w:val="00A56265"/>
    <w:rsid w:val="00A56F02"/>
    <w:rsid w:val="00A57825"/>
    <w:rsid w:val="00A579CF"/>
    <w:rsid w:val="00A57EAC"/>
    <w:rsid w:val="00A6009B"/>
    <w:rsid w:val="00A60422"/>
    <w:rsid w:val="00A6179E"/>
    <w:rsid w:val="00A61932"/>
    <w:rsid w:val="00A62949"/>
    <w:rsid w:val="00A62A34"/>
    <w:rsid w:val="00A62FA5"/>
    <w:rsid w:val="00A633DA"/>
    <w:rsid w:val="00A639F6"/>
    <w:rsid w:val="00A6429D"/>
    <w:rsid w:val="00A642B1"/>
    <w:rsid w:val="00A64316"/>
    <w:rsid w:val="00A65462"/>
    <w:rsid w:val="00A659F1"/>
    <w:rsid w:val="00A67177"/>
    <w:rsid w:val="00A67B4C"/>
    <w:rsid w:val="00A67D59"/>
    <w:rsid w:val="00A67D8A"/>
    <w:rsid w:val="00A700CF"/>
    <w:rsid w:val="00A7039C"/>
    <w:rsid w:val="00A708FB"/>
    <w:rsid w:val="00A70DFB"/>
    <w:rsid w:val="00A712ED"/>
    <w:rsid w:val="00A7210E"/>
    <w:rsid w:val="00A74519"/>
    <w:rsid w:val="00A74892"/>
    <w:rsid w:val="00A74EF5"/>
    <w:rsid w:val="00A751B6"/>
    <w:rsid w:val="00A756E1"/>
    <w:rsid w:val="00A75E3A"/>
    <w:rsid w:val="00A7645A"/>
    <w:rsid w:val="00A7665F"/>
    <w:rsid w:val="00A7677F"/>
    <w:rsid w:val="00A768A7"/>
    <w:rsid w:val="00A80172"/>
    <w:rsid w:val="00A804D9"/>
    <w:rsid w:val="00A819E5"/>
    <w:rsid w:val="00A81C2C"/>
    <w:rsid w:val="00A81DF6"/>
    <w:rsid w:val="00A82103"/>
    <w:rsid w:val="00A8212A"/>
    <w:rsid w:val="00A8214C"/>
    <w:rsid w:val="00A82285"/>
    <w:rsid w:val="00A827EB"/>
    <w:rsid w:val="00A829D8"/>
    <w:rsid w:val="00A82B23"/>
    <w:rsid w:val="00A82E54"/>
    <w:rsid w:val="00A834CE"/>
    <w:rsid w:val="00A83966"/>
    <w:rsid w:val="00A84C30"/>
    <w:rsid w:val="00A85142"/>
    <w:rsid w:val="00A8573B"/>
    <w:rsid w:val="00A858A9"/>
    <w:rsid w:val="00A8631D"/>
    <w:rsid w:val="00A863C9"/>
    <w:rsid w:val="00A87744"/>
    <w:rsid w:val="00A87B55"/>
    <w:rsid w:val="00A914B4"/>
    <w:rsid w:val="00A91545"/>
    <w:rsid w:val="00A92244"/>
    <w:rsid w:val="00A92370"/>
    <w:rsid w:val="00A92915"/>
    <w:rsid w:val="00A92C2F"/>
    <w:rsid w:val="00A92F92"/>
    <w:rsid w:val="00A931DE"/>
    <w:rsid w:val="00A93560"/>
    <w:rsid w:val="00A94165"/>
    <w:rsid w:val="00A941A0"/>
    <w:rsid w:val="00A942E8"/>
    <w:rsid w:val="00A949E0"/>
    <w:rsid w:val="00A954F6"/>
    <w:rsid w:val="00A9596F"/>
    <w:rsid w:val="00A96032"/>
    <w:rsid w:val="00A967AB"/>
    <w:rsid w:val="00A96892"/>
    <w:rsid w:val="00A96904"/>
    <w:rsid w:val="00A96B54"/>
    <w:rsid w:val="00A96C63"/>
    <w:rsid w:val="00A977C6"/>
    <w:rsid w:val="00A97959"/>
    <w:rsid w:val="00A97B35"/>
    <w:rsid w:val="00A97CE1"/>
    <w:rsid w:val="00AA03AB"/>
    <w:rsid w:val="00AA0E7F"/>
    <w:rsid w:val="00AA1520"/>
    <w:rsid w:val="00AA1ABE"/>
    <w:rsid w:val="00AA2037"/>
    <w:rsid w:val="00AA2051"/>
    <w:rsid w:val="00AA2620"/>
    <w:rsid w:val="00AA2D75"/>
    <w:rsid w:val="00AA32EA"/>
    <w:rsid w:val="00AA385B"/>
    <w:rsid w:val="00AA38D8"/>
    <w:rsid w:val="00AA3A58"/>
    <w:rsid w:val="00AA3BF1"/>
    <w:rsid w:val="00AA6566"/>
    <w:rsid w:val="00AA70C4"/>
    <w:rsid w:val="00AA7600"/>
    <w:rsid w:val="00AA77AD"/>
    <w:rsid w:val="00AA79E6"/>
    <w:rsid w:val="00AB00E5"/>
    <w:rsid w:val="00AB06D7"/>
    <w:rsid w:val="00AB1922"/>
    <w:rsid w:val="00AB1C72"/>
    <w:rsid w:val="00AB1F9D"/>
    <w:rsid w:val="00AB23A8"/>
    <w:rsid w:val="00AB38CA"/>
    <w:rsid w:val="00AB3EBF"/>
    <w:rsid w:val="00AB4BCD"/>
    <w:rsid w:val="00AB615E"/>
    <w:rsid w:val="00AB7ADB"/>
    <w:rsid w:val="00AB7C8F"/>
    <w:rsid w:val="00AB7CDF"/>
    <w:rsid w:val="00AC0683"/>
    <w:rsid w:val="00AC0E7B"/>
    <w:rsid w:val="00AC1014"/>
    <w:rsid w:val="00AC1208"/>
    <w:rsid w:val="00AC1288"/>
    <w:rsid w:val="00AC18AE"/>
    <w:rsid w:val="00AC1EFD"/>
    <w:rsid w:val="00AC2192"/>
    <w:rsid w:val="00AC308D"/>
    <w:rsid w:val="00AC3A1E"/>
    <w:rsid w:val="00AC3B52"/>
    <w:rsid w:val="00AC3BB3"/>
    <w:rsid w:val="00AC4237"/>
    <w:rsid w:val="00AC6169"/>
    <w:rsid w:val="00AC61AB"/>
    <w:rsid w:val="00AC636D"/>
    <w:rsid w:val="00AC6810"/>
    <w:rsid w:val="00AC7611"/>
    <w:rsid w:val="00AC7847"/>
    <w:rsid w:val="00AD07F0"/>
    <w:rsid w:val="00AD10DC"/>
    <w:rsid w:val="00AD131A"/>
    <w:rsid w:val="00AD3729"/>
    <w:rsid w:val="00AD3F3B"/>
    <w:rsid w:val="00AD4176"/>
    <w:rsid w:val="00AD5097"/>
    <w:rsid w:val="00AD5708"/>
    <w:rsid w:val="00AD594D"/>
    <w:rsid w:val="00AD5DCE"/>
    <w:rsid w:val="00AD5FF9"/>
    <w:rsid w:val="00AD6657"/>
    <w:rsid w:val="00AD6A1B"/>
    <w:rsid w:val="00AD719D"/>
    <w:rsid w:val="00AE000A"/>
    <w:rsid w:val="00AE0072"/>
    <w:rsid w:val="00AE1276"/>
    <w:rsid w:val="00AE1971"/>
    <w:rsid w:val="00AE1E11"/>
    <w:rsid w:val="00AE2210"/>
    <w:rsid w:val="00AE228F"/>
    <w:rsid w:val="00AE273C"/>
    <w:rsid w:val="00AE4019"/>
    <w:rsid w:val="00AE46B0"/>
    <w:rsid w:val="00AE49E3"/>
    <w:rsid w:val="00AE4EF4"/>
    <w:rsid w:val="00AE524B"/>
    <w:rsid w:val="00AE546B"/>
    <w:rsid w:val="00AE5653"/>
    <w:rsid w:val="00AE567F"/>
    <w:rsid w:val="00AE57E8"/>
    <w:rsid w:val="00AE5C16"/>
    <w:rsid w:val="00AE5E11"/>
    <w:rsid w:val="00AE675F"/>
    <w:rsid w:val="00AE75E5"/>
    <w:rsid w:val="00AE7C00"/>
    <w:rsid w:val="00AE7C11"/>
    <w:rsid w:val="00AF0BDA"/>
    <w:rsid w:val="00AF168C"/>
    <w:rsid w:val="00AF1693"/>
    <w:rsid w:val="00AF2A67"/>
    <w:rsid w:val="00AF3456"/>
    <w:rsid w:val="00AF359D"/>
    <w:rsid w:val="00AF3890"/>
    <w:rsid w:val="00AF479B"/>
    <w:rsid w:val="00AF48CE"/>
    <w:rsid w:val="00AF4FA8"/>
    <w:rsid w:val="00AF583F"/>
    <w:rsid w:val="00AF5B0C"/>
    <w:rsid w:val="00AF5DB9"/>
    <w:rsid w:val="00AF6B83"/>
    <w:rsid w:val="00AF6DC2"/>
    <w:rsid w:val="00AF7116"/>
    <w:rsid w:val="00AF79AF"/>
    <w:rsid w:val="00AF7EE8"/>
    <w:rsid w:val="00AF7FF4"/>
    <w:rsid w:val="00B0070A"/>
    <w:rsid w:val="00B00F61"/>
    <w:rsid w:val="00B01607"/>
    <w:rsid w:val="00B017FE"/>
    <w:rsid w:val="00B01DDF"/>
    <w:rsid w:val="00B0201E"/>
    <w:rsid w:val="00B02130"/>
    <w:rsid w:val="00B02569"/>
    <w:rsid w:val="00B025AA"/>
    <w:rsid w:val="00B03075"/>
    <w:rsid w:val="00B03640"/>
    <w:rsid w:val="00B037B0"/>
    <w:rsid w:val="00B0393F"/>
    <w:rsid w:val="00B03D79"/>
    <w:rsid w:val="00B040B1"/>
    <w:rsid w:val="00B04943"/>
    <w:rsid w:val="00B05A55"/>
    <w:rsid w:val="00B05DC3"/>
    <w:rsid w:val="00B06173"/>
    <w:rsid w:val="00B0774B"/>
    <w:rsid w:val="00B107F9"/>
    <w:rsid w:val="00B109EF"/>
    <w:rsid w:val="00B10F68"/>
    <w:rsid w:val="00B11753"/>
    <w:rsid w:val="00B121E4"/>
    <w:rsid w:val="00B122D0"/>
    <w:rsid w:val="00B122DB"/>
    <w:rsid w:val="00B123DF"/>
    <w:rsid w:val="00B13863"/>
    <w:rsid w:val="00B13E6E"/>
    <w:rsid w:val="00B14B84"/>
    <w:rsid w:val="00B156D6"/>
    <w:rsid w:val="00B15F62"/>
    <w:rsid w:val="00B160D9"/>
    <w:rsid w:val="00B1637D"/>
    <w:rsid w:val="00B20174"/>
    <w:rsid w:val="00B202AE"/>
    <w:rsid w:val="00B202FD"/>
    <w:rsid w:val="00B2045C"/>
    <w:rsid w:val="00B2046E"/>
    <w:rsid w:val="00B2076E"/>
    <w:rsid w:val="00B20810"/>
    <w:rsid w:val="00B20AA6"/>
    <w:rsid w:val="00B20B69"/>
    <w:rsid w:val="00B210C7"/>
    <w:rsid w:val="00B2124B"/>
    <w:rsid w:val="00B2142A"/>
    <w:rsid w:val="00B22633"/>
    <w:rsid w:val="00B228B4"/>
    <w:rsid w:val="00B228EF"/>
    <w:rsid w:val="00B22A85"/>
    <w:rsid w:val="00B22D5C"/>
    <w:rsid w:val="00B23415"/>
    <w:rsid w:val="00B2342B"/>
    <w:rsid w:val="00B237FB"/>
    <w:rsid w:val="00B23C69"/>
    <w:rsid w:val="00B23EFC"/>
    <w:rsid w:val="00B23F9A"/>
    <w:rsid w:val="00B24080"/>
    <w:rsid w:val="00B2439D"/>
    <w:rsid w:val="00B24B1D"/>
    <w:rsid w:val="00B24B67"/>
    <w:rsid w:val="00B24E4A"/>
    <w:rsid w:val="00B2593E"/>
    <w:rsid w:val="00B26880"/>
    <w:rsid w:val="00B26C33"/>
    <w:rsid w:val="00B27288"/>
    <w:rsid w:val="00B276F6"/>
    <w:rsid w:val="00B277E0"/>
    <w:rsid w:val="00B30BA1"/>
    <w:rsid w:val="00B30C92"/>
    <w:rsid w:val="00B317FC"/>
    <w:rsid w:val="00B31E0E"/>
    <w:rsid w:val="00B31FC7"/>
    <w:rsid w:val="00B31FD5"/>
    <w:rsid w:val="00B329B4"/>
    <w:rsid w:val="00B333E2"/>
    <w:rsid w:val="00B34602"/>
    <w:rsid w:val="00B34946"/>
    <w:rsid w:val="00B349D9"/>
    <w:rsid w:val="00B3508C"/>
    <w:rsid w:val="00B3595D"/>
    <w:rsid w:val="00B35CF1"/>
    <w:rsid w:val="00B35D73"/>
    <w:rsid w:val="00B36940"/>
    <w:rsid w:val="00B40291"/>
    <w:rsid w:val="00B40319"/>
    <w:rsid w:val="00B415EB"/>
    <w:rsid w:val="00B41714"/>
    <w:rsid w:val="00B4197F"/>
    <w:rsid w:val="00B424F6"/>
    <w:rsid w:val="00B430AD"/>
    <w:rsid w:val="00B44478"/>
    <w:rsid w:val="00B4494B"/>
    <w:rsid w:val="00B44AAC"/>
    <w:rsid w:val="00B44C19"/>
    <w:rsid w:val="00B45037"/>
    <w:rsid w:val="00B4568D"/>
    <w:rsid w:val="00B45A11"/>
    <w:rsid w:val="00B46797"/>
    <w:rsid w:val="00B46C67"/>
    <w:rsid w:val="00B46F12"/>
    <w:rsid w:val="00B472DF"/>
    <w:rsid w:val="00B4774B"/>
    <w:rsid w:val="00B47A78"/>
    <w:rsid w:val="00B505DF"/>
    <w:rsid w:val="00B50DE8"/>
    <w:rsid w:val="00B5140E"/>
    <w:rsid w:val="00B519F5"/>
    <w:rsid w:val="00B519FD"/>
    <w:rsid w:val="00B51B62"/>
    <w:rsid w:val="00B51B67"/>
    <w:rsid w:val="00B51FDB"/>
    <w:rsid w:val="00B520BC"/>
    <w:rsid w:val="00B52870"/>
    <w:rsid w:val="00B52F9F"/>
    <w:rsid w:val="00B5347A"/>
    <w:rsid w:val="00B539CC"/>
    <w:rsid w:val="00B54583"/>
    <w:rsid w:val="00B55816"/>
    <w:rsid w:val="00B55EA8"/>
    <w:rsid w:val="00B56479"/>
    <w:rsid w:val="00B5650E"/>
    <w:rsid w:val="00B5705F"/>
    <w:rsid w:val="00B6048D"/>
    <w:rsid w:val="00B607C1"/>
    <w:rsid w:val="00B60800"/>
    <w:rsid w:val="00B6136E"/>
    <w:rsid w:val="00B62293"/>
    <w:rsid w:val="00B62CC3"/>
    <w:rsid w:val="00B63344"/>
    <w:rsid w:val="00B63BD2"/>
    <w:rsid w:val="00B63D24"/>
    <w:rsid w:val="00B6412F"/>
    <w:rsid w:val="00B641D4"/>
    <w:rsid w:val="00B64A6A"/>
    <w:rsid w:val="00B64F09"/>
    <w:rsid w:val="00B657E3"/>
    <w:rsid w:val="00B659E9"/>
    <w:rsid w:val="00B65DC3"/>
    <w:rsid w:val="00B65E7A"/>
    <w:rsid w:val="00B70A7F"/>
    <w:rsid w:val="00B70E85"/>
    <w:rsid w:val="00B715ED"/>
    <w:rsid w:val="00B7175E"/>
    <w:rsid w:val="00B72548"/>
    <w:rsid w:val="00B73162"/>
    <w:rsid w:val="00B733C4"/>
    <w:rsid w:val="00B73B16"/>
    <w:rsid w:val="00B73FBD"/>
    <w:rsid w:val="00B745E3"/>
    <w:rsid w:val="00B747B8"/>
    <w:rsid w:val="00B747BE"/>
    <w:rsid w:val="00B74A70"/>
    <w:rsid w:val="00B76E6D"/>
    <w:rsid w:val="00B770D6"/>
    <w:rsid w:val="00B77337"/>
    <w:rsid w:val="00B7749D"/>
    <w:rsid w:val="00B77975"/>
    <w:rsid w:val="00B81461"/>
    <w:rsid w:val="00B81500"/>
    <w:rsid w:val="00B8153C"/>
    <w:rsid w:val="00B8185B"/>
    <w:rsid w:val="00B82D84"/>
    <w:rsid w:val="00B8410E"/>
    <w:rsid w:val="00B84FF7"/>
    <w:rsid w:val="00B85057"/>
    <w:rsid w:val="00B851E7"/>
    <w:rsid w:val="00B862B0"/>
    <w:rsid w:val="00B86DAE"/>
    <w:rsid w:val="00B8720C"/>
    <w:rsid w:val="00B879B6"/>
    <w:rsid w:val="00B87C46"/>
    <w:rsid w:val="00B901A1"/>
    <w:rsid w:val="00B90418"/>
    <w:rsid w:val="00B90A84"/>
    <w:rsid w:val="00B90F52"/>
    <w:rsid w:val="00B91517"/>
    <w:rsid w:val="00B9214E"/>
    <w:rsid w:val="00B92218"/>
    <w:rsid w:val="00B924E6"/>
    <w:rsid w:val="00B925C4"/>
    <w:rsid w:val="00B92888"/>
    <w:rsid w:val="00B92A92"/>
    <w:rsid w:val="00B92ECC"/>
    <w:rsid w:val="00B93756"/>
    <w:rsid w:val="00B937BB"/>
    <w:rsid w:val="00B93D53"/>
    <w:rsid w:val="00B94335"/>
    <w:rsid w:val="00B948A1"/>
    <w:rsid w:val="00B95D45"/>
    <w:rsid w:val="00B96388"/>
    <w:rsid w:val="00B968C0"/>
    <w:rsid w:val="00B969E8"/>
    <w:rsid w:val="00B96E6C"/>
    <w:rsid w:val="00B97234"/>
    <w:rsid w:val="00B97BDF"/>
    <w:rsid w:val="00B97C5F"/>
    <w:rsid w:val="00BA09C7"/>
    <w:rsid w:val="00BA0AB0"/>
    <w:rsid w:val="00BA0E9B"/>
    <w:rsid w:val="00BA1419"/>
    <w:rsid w:val="00BA152F"/>
    <w:rsid w:val="00BA17BE"/>
    <w:rsid w:val="00BA1E94"/>
    <w:rsid w:val="00BA242E"/>
    <w:rsid w:val="00BA262D"/>
    <w:rsid w:val="00BA34CB"/>
    <w:rsid w:val="00BA355F"/>
    <w:rsid w:val="00BA4536"/>
    <w:rsid w:val="00BA4A7E"/>
    <w:rsid w:val="00BA52FB"/>
    <w:rsid w:val="00BA5698"/>
    <w:rsid w:val="00BA5866"/>
    <w:rsid w:val="00BA58C6"/>
    <w:rsid w:val="00BA6F8D"/>
    <w:rsid w:val="00BA74A5"/>
    <w:rsid w:val="00BA754B"/>
    <w:rsid w:val="00BA7598"/>
    <w:rsid w:val="00BB09ED"/>
    <w:rsid w:val="00BB0F78"/>
    <w:rsid w:val="00BB10C1"/>
    <w:rsid w:val="00BB2104"/>
    <w:rsid w:val="00BB2165"/>
    <w:rsid w:val="00BB22E6"/>
    <w:rsid w:val="00BB25D4"/>
    <w:rsid w:val="00BB2A70"/>
    <w:rsid w:val="00BB303C"/>
    <w:rsid w:val="00BB3852"/>
    <w:rsid w:val="00BB3A8E"/>
    <w:rsid w:val="00BB4A7E"/>
    <w:rsid w:val="00BB50D9"/>
    <w:rsid w:val="00BB55CB"/>
    <w:rsid w:val="00BB7B8E"/>
    <w:rsid w:val="00BB7C1C"/>
    <w:rsid w:val="00BB7F08"/>
    <w:rsid w:val="00BC0248"/>
    <w:rsid w:val="00BC2586"/>
    <w:rsid w:val="00BC2BE5"/>
    <w:rsid w:val="00BC2CEB"/>
    <w:rsid w:val="00BC2D56"/>
    <w:rsid w:val="00BC3518"/>
    <w:rsid w:val="00BC3550"/>
    <w:rsid w:val="00BC37B2"/>
    <w:rsid w:val="00BC394C"/>
    <w:rsid w:val="00BC47E7"/>
    <w:rsid w:val="00BC50B1"/>
    <w:rsid w:val="00BC5507"/>
    <w:rsid w:val="00BC57C7"/>
    <w:rsid w:val="00BC5D14"/>
    <w:rsid w:val="00BC6EB8"/>
    <w:rsid w:val="00BC73FF"/>
    <w:rsid w:val="00BC7906"/>
    <w:rsid w:val="00BC79EB"/>
    <w:rsid w:val="00BC7E7B"/>
    <w:rsid w:val="00BD0735"/>
    <w:rsid w:val="00BD0748"/>
    <w:rsid w:val="00BD0E35"/>
    <w:rsid w:val="00BD107F"/>
    <w:rsid w:val="00BD10D0"/>
    <w:rsid w:val="00BD1685"/>
    <w:rsid w:val="00BD18DA"/>
    <w:rsid w:val="00BD19F1"/>
    <w:rsid w:val="00BD21F8"/>
    <w:rsid w:val="00BD2B24"/>
    <w:rsid w:val="00BD2B5F"/>
    <w:rsid w:val="00BD2E22"/>
    <w:rsid w:val="00BD3BC0"/>
    <w:rsid w:val="00BD3D29"/>
    <w:rsid w:val="00BD44F1"/>
    <w:rsid w:val="00BD5281"/>
    <w:rsid w:val="00BD541B"/>
    <w:rsid w:val="00BD5CA9"/>
    <w:rsid w:val="00BD6A07"/>
    <w:rsid w:val="00BD6D02"/>
    <w:rsid w:val="00BD7FCF"/>
    <w:rsid w:val="00BE018B"/>
    <w:rsid w:val="00BE0235"/>
    <w:rsid w:val="00BE14CC"/>
    <w:rsid w:val="00BE1A12"/>
    <w:rsid w:val="00BE2CE3"/>
    <w:rsid w:val="00BE337D"/>
    <w:rsid w:val="00BE3468"/>
    <w:rsid w:val="00BE4AD9"/>
    <w:rsid w:val="00BE5B11"/>
    <w:rsid w:val="00BE67F2"/>
    <w:rsid w:val="00BE6932"/>
    <w:rsid w:val="00BE7285"/>
    <w:rsid w:val="00BE7EE0"/>
    <w:rsid w:val="00BF01E0"/>
    <w:rsid w:val="00BF0407"/>
    <w:rsid w:val="00BF0563"/>
    <w:rsid w:val="00BF06A9"/>
    <w:rsid w:val="00BF0987"/>
    <w:rsid w:val="00BF0FF8"/>
    <w:rsid w:val="00BF12EC"/>
    <w:rsid w:val="00BF13B3"/>
    <w:rsid w:val="00BF1588"/>
    <w:rsid w:val="00BF164B"/>
    <w:rsid w:val="00BF1E34"/>
    <w:rsid w:val="00BF247B"/>
    <w:rsid w:val="00BF24F5"/>
    <w:rsid w:val="00BF2E9F"/>
    <w:rsid w:val="00BF31E9"/>
    <w:rsid w:val="00BF36C2"/>
    <w:rsid w:val="00BF4F6C"/>
    <w:rsid w:val="00BF546E"/>
    <w:rsid w:val="00BF6406"/>
    <w:rsid w:val="00BF6AF4"/>
    <w:rsid w:val="00BF738E"/>
    <w:rsid w:val="00BF76BF"/>
    <w:rsid w:val="00BF7903"/>
    <w:rsid w:val="00BF79C6"/>
    <w:rsid w:val="00C00733"/>
    <w:rsid w:val="00C00CD8"/>
    <w:rsid w:val="00C00CE9"/>
    <w:rsid w:val="00C00DAE"/>
    <w:rsid w:val="00C01241"/>
    <w:rsid w:val="00C01542"/>
    <w:rsid w:val="00C01A38"/>
    <w:rsid w:val="00C022AC"/>
    <w:rsid w:val="00C024BD"/>
    <w:rsid w:val="00C028C2"/>
    <w:rsid w:val="00C02942"/>
    <w:rsid w:val="00C02B0A"/>
    <w:rsid w:val="00C02E6B"/>
    <w:rsid w:val="00C03AB4"/>
    <w:rsid w:val="00C040CC"/>
    <w:rsid w:val="00C04F3E"/>
    <w:rsid w:val="00C050E8"/>
    <w:rsid w:val="00C054F3"/>
    <w:rsid w:val="00C0641A"/>
    <w:rsid w:val="00C064DC"/>
    <w:rsid w:val="00C06649"/>
    <w:rsid w:val="00C074E8"/>
    <w:rsid w:val="00C07611"/>
    <w:rsid w:val="00C07AA2"/>
    <w:rsid w:val="00C101BA"/>
    <w:rsid w:val="00C108BB"/>
    <w:rsid w:val="00C10BAE"/>
    <w:rsid w:val="00C11AB4"/>
    <w:rsid w:val="00C1256C"/>
    <w:rsid w:val="00C129C4"/>
    <w:rsid w:val="00C12D48"/>
    <w:rsid w:val="00C130F4"/>
    <w:rsid w:val="00C136D4"/>
    <w:rsid w:val="00C1385F"/>
    <w:rsid w:val="00C138B3"/>
    <w:rsid w:val="00C1403A"/>
    <w:rsid w:val="00C149BD"/>
    <w:rsid w:val="00C1558B"/>
    <w:rsid w:val="00C15684"/>
    <w:rsid w:val="00C1597C"/>
    <w:rsid w:val="00C15A85"/>
    <w:rsid w:val="00C15C5A"/>
    <w:rsid w:val="00C168B5"/>
    <w:rsid w:val="00C16C2E"/>
    <w:rsid w:val="00C16C4B"/>
    <w:rsid w:val="00C1735F"/>
    <w:rsid w:val="00C17473"/>
    <w:rsid w:val="00C17A35"/>
    <w:rsid w:val="00C2176C"/>
    <w:rsid w:val="00C21CCF"/>
    <w:rsid w:val="00C22431"/>
    <w:rsid w:val="00C22B5F"/>
    <w:rsid w:val="00C22D2C"/>
    <w:rsid w:val="00C2335A"/>
    <w:rsid w:val="00C23F0B"/>
    <w:rsid w:val="00C242F8"/>
    <w:rsid w:val="00C24CD3"/>
    <w:rsid w:val="00C24D40"/>
    <w:rsid w:val="00C25269"/>
    <w:rsid w:val="00C2561E"/>
    <w:rsid w:val="00C258E2"/>
    <w:rsid w:val="00C25BDA"/>
    <w:rsid w:val="00C25D46"/>
    <w:rsid w:val="00C2668B"/>
    <w:rsid w:val="00C2685E"/>
    <w:rsid w:val="00C26D46"/>
    <w:rsid w:val="00C2788C"/>
    <w:rsid w:val="00C30381"/>
    <w:rsid w:val="00C306D7"/>
    <w:rsid w:val="00C3071C"/>
    <w:rsid w:val="00C31585"/>
    <w:rsid w:val="00C319BE"/>
    <w:rsid w:val="00C32621"/>
    <w:rsid w:val="00C32B88"/>
    <w:rsid w:val="00C33104"/>
    <w:rsid w:val="00C332D4"/>
    <w:rsid w:val="00C332DF"/>
    <w:rsid w:val="00C3350B"/>
    <w:rsid w:val="00C34A86"/>
    <w:rsid w:val="00C352F1"/>
    <w:rsid w:val="00C3530A"/>
    <w:rsid w:val="00C356D0"/>
    <w:rsid w:val="00C3662D"/>
    <w:rsid w:val="00C36861"/>
    <w:rsid w:val="00C376D1"/>
    <w:rsid w:val="00C37740"/>
    <w:rsid w:val="00C37DF0"/>
    <w:rsid w:val="00C40750"/>
    <w:rsid w:val="00C40A0A"/>
    <w:rsid w:val="00C41457"/>
    <w:rsid w:val="00C41482"/>
    <w:rsid w:val="00C41C15"/>
    <w:rsid w:val="00C43450"/>
    <w:rsid w:val="00C43775"/>
    <w:rsid w:val="00C43C55"/>
    <w:rsid w:val="00C45880"/>
    <w:rsid w:val="00C46101"/>
    <w:rsid w:val="00C4673D"/>
    <w:rsid w:val="00C4701B"/>
    <w:rsid w:val="00C472BB"/>
    <w:rsid w:val="00C5045F"/>
    <w:rsid w:val="00C50E3D"/>
    <w:rsid w:val="00C51011"/>
    <w:rsid w:val="00C51048"/>
    <w:rsid w:val="00C51737"/>
    <w:rsid w:val="00C5175D"/>
    <w:rsid w:val="00C51821"/>
    <w:rsid w:val="00C52C03"/>
    <w:rsid w:val="00C52FB4"/>
    <w:rsid w:val="00C53094"/>
    <w:rsid w:val="00C53A8B"/>
    <w:rsid w:val="00C53CCF"/>
    <w:rsid w:val="00C54077"/>
    <w:rsid w:val="00C5445E"/>
    <w:rsid w:val="00C548A2"/>
    <w:rsid w:val="00C554E8"/>
    <w:rsid w:val="00C560AC"/>
    <w:rsid w:val="00C56CE2"/>
    <w:rsid w:val="00C56D35"/>
    <w:rsid w:val="00C56F74"/>
    <w:rsid w:val="00C573E4"/>
    <w:rsid w:val="00C5781C"/>
    <w:rsid w:val="00C60343"/>
    <w:rsid w:val="00C60965"/>
    <w:rsid w:val="00C60BF7"/>
    <w:rsid w:val="00C61051"/>
    <w:rsid w:val="00C61560"/>
    <w:rsid w:val="00C62673"/>
    <w:rsid w:val="00C63193"/>
    <w:rsid w:val="00C65032"/>
    <w:rsid w:val="00C654CA"/>
    <w:rsid w:val="00C65886"/>
    <w:rsid w:val="00C65E9D"/>
    <w:rsid w:val="00C663C6"/>
    <w:rsid w:val="00C6676B"/>
    <w:rsid w:val="00C66EAB"/>
    <w:rsid w:val="00C67138"/>
    <w:rsid w:val="00C673DC"/>
    <w:rsid w:val="00C67593"/>
    <w:rsid w:val="00C67880"/>
    <w:rsid w:val="00C6798B"/>
    <w:rsid w:val="00C70320"/>
    <w:rsid w:val="00C7063A"/>
    <w:rsid w:val="00C70D05"/>
    <w:rsid w:val="00C713D2"/>
    <w:rsid w:val="00C71ADC"/>
    <w:rsid w:val="00C7242B"/>
    <w:rsid w:val="00C736A7"/>
    <w:rsid w:val="00C739C5"/>
    <w:rsid w:val="00C740D8"/>
    <w:rsid w:val="00C74F0D"/>
    <w:rsid w:val="00C7539A"/>
    <w:rsid w:val="00C75997"/>
    <w:rsid w:val="00C7616F"/>
    <w:rsid w:val="00C7669D"/>
    <w:rsid w:val="00C76827"/>
    <w:rsid w:val="00C7702C"/>
    <w:rsid w:val="00C800A1"/>
    <w:rsid w:val="00C819EF"/>
    <w:rsid w:val="00C8200A"/>
    <w:rsid w:val="00C8226C"/>
    <w:rsid w:val="00C823F0"/>
    <w:rsid w:val="00C82E54"/>
    <w:rsid w:val="00C8367C"/>
    <w:rsid w:val="00C83C5E"/>
    <w:rsid w:val="00C84026"/>
    <w:rsid w:val="00C84100"/>
    <w:rsid w:val="00C843A2"/>
    <w:rsid w:val="00C84733"/>
    <w:rsid w:val="00C84CDD"/>
    <w:rsid w:val="00C85353"/>
    <w:rsid w:val="00C854D4"/>
    <w:rsid w:val="00C855A9"/>
    <w:rsid w:val="00C859A7"/>
    <w:rsid w:val="00C85C60"/>
    <w:rsid w:val="00C85DE3"/>
    <w:rsid w:val="00C86C35"/>
    <w:rsid w:val="00C87D41"/>
    <w:rsid w:val="00C90556"/>
    <w:rsid w:val="00C90C3B"/>
    <w:rsid w:val="00C91851"/>
    <w:rsid w:val="00C91BE6"/>
    <w:rsid w:val="00C92416"/>
    <w:rsid w:val="00C9243A"/>
    <w:rsid w:val="00C92893"/>
    <w:rsid w:val="00C92B14"/>
    <w:rsid w:val="00C93F68"/>
    <w:rsid w:val="00C940F0"/>
    <w:rsid w:val="00C9413A"/>
    <w:rsid w:val="00C94900"/>
    <w:rsid w:val="00C94B15"/>
    <w:rsid w:val="00C94DBA"/>
    <w:rsid w:val="00C966A3"/>
    <w:rsid w:val="00C96BFB"/>
    <w:rsid w:val="00C96E25"/>
    <w:rsid w:val="00C96F6D"/>
    <w:rsid w:val="00C97175"/>
    <w:rsid w:val="00C97A34"/>
    <w:rsid w:val="00CA092B"/>
    <w:rsid w:val="00CA0D78"/>
    <w:rsid w:val="00CA0F98"/>
    <w:rsid w:val="00CA1F8A"/>
    <w:rsid w:val="00CA3875"/>
    <w:rsid w:val="00CA3B48"/>
    <w:rsid w:val="00CA40AF"/>
    <w:rsid w:val="00CA4855"/>
    <w:rsid w:val="00CA510B"/>
    <w:rsid w:val="00CA5D90"/>
    <w:rsid w:val="00CA7126"/>
    <w:rsid w:val="00CA713A"/>
    <w:rsid w:val="00CB0524"/>
    <w:rsid w:val="00CB0BDD"/>
    <w:rsid w:val="00CB15CB"/>
    <w:rsid w:val="00CB19B3"/>
    <w:rsid w:val="00CB1A36"/>
    <w:rsid w:val="00CB1CB4"/>
    <w:rsid w:val="00CB1EB1"/>
    <w:rsid w:val="00CB1FEA"/>
    <w:rsid w:val="00CB239F"/>
    <w:rsid w:val="00CB24FE"/>
    <w:rsid w:val="00CB356A"/>
    <w:rsid w:val="00CB37F3"/>
    <w:rsid w:val="00CB3E98"/>
    <w:rsid w:val="00CB3FD4"/>
    <w:rsid w:val="00CB487C"/>
    <w:rsid w:val="00CB48F9"/>
    <w:rsid w:val="00CB50DB"/>
    <w:rsid w:val="00CB53CF"/>
    <w:rsid w:val="00CB623F"/>
    <w:rsid w:val="00CB6601"/>
    <w:rsid w:val="00CB661A"/>
    <w:rsid w:val="00CB66E0"/>
    <w:rsid w:val="00CB68F3"/>
    <w:rsid w:val="00CB7828"/>
    <w:rsid w:val="00CB7D39"/>
    <w:rsid w:val="00CC02FD"/>
    <w:rsid w:val="00CC05BE"/>
    <w:rsid w:val="00CC06B6"/>
    <w:rsid w:val="00CC0B89"/>
    <w:rsid w:val="00CC0D92"/>
    <w:rsid w:val="00CC0ED2"/>
    <w:rsid w:val="00CC1DA8"/>
    <w:rsid w:val="00CC2272"/>
    <w:rsid w:val="00CC2AA0"/>
    <w:rsid w:val="00CC2C79"/>
    <w:rsid w:val="00CC36BE"/>
    <w:rsid w:val="00CC41F8"/>
    <w:rsid w:val="00CC445C"/>
    <w:rsid w:val="00CC4604"/>
    <w:rsid w:val="00CC4B6B"/>
    <w:rsid w:val="00CC54EF"/>
    <w:rsid w:val="00CC583C"/>
    <w:rsid w:val="00CC5950"/>
    <w:rsid w:val="00CC5A0E"/>
    <w:rsid w:val="00CC5A52"/>
    <w:rsid w:val="00CC5C78"/>
    <w:rsid w:val="00CC7C2B"/>
    <w:rsid w:val="00CC7E43"/>
    <w:rsid w:val="00CD0702"/>
    <w:rsid w:val="00CD0EE8"/>
    <w:rsid w:val="00CD2A83"/>
    <w:rsid w:val="00CD2B5B"/>
    <w:rsid w:val="00CD2DA4"/>
    <w:rsid w:val="00CD3500"/>
    <w:rsid w:val="00CD3B98"/>
    <w:rsid w:val="00CD3CFB"/>
    <w:rsid w:val="00CD3FA9"/>
    <w:rsid w:val="00CD4323"/>
    <w:rsid w:val="00CD434D"/>
    <w:rsid w:val="00CD45B0"/>
    <w:rsid w:val="00CD56AB"/>
    <w:rsid w:val="00CD58FD"/>
    <w:rsid w:val="00CD63CD"/>
    <w:rsid w:val="00CD6AFE"/>
    <w:rsid w:val="00CD6C11"/>
    <w:rsid w:val="00CD7CE9"/>
    <w:rsid w:val="00CE207D"/>
    <w:rsid w:val="00CE2731"/>
    <w:rsid w:val="00CE27AC"/>
    <w:rsid w:val="00CE2F3A"/>
    <w:rsid w:val="00CE37FA"/>
    <w:rsid w:val="00CE3ADA"/>
    <w:rsid w:val="00CE4376"/>
    <w:rsid w:val="00CE4492"/>
    <w:rsid w:val="00CE4F0D"/>
    <w:rsid w:val="00CE4F47"/>
    <w:rsid w:val="00CE5880"/>
    <w:rsid w:val="00CE5A68"/>
    <w:rsid w:val="00CE628E"/>
    <w:rsid w:val="00CE6449"/>
    <w:rsid w:val="00CE69D5"/>
    <w:rsid w:val="00CE6AE3"/>
    <w:rsid w:val="00CE6D94"/>
    <w:rsid w:val="00CE738E"/>
    <w:rsid w:val="00CE7653"/>
    <w:rsid w:val="00CF1E49"/>
    <w:rsid w:val="00CF3260"/>
    <w:rsid w:val="00CF3751"/>
    <w:rsid w:val="00CF49A1"/>
    <w:rsid w:val="00CF572C"/>
    <w:rsid w:val="00CF5762"/>
    <w:rsid w:val="00CF5916"/>
    <w:rsid w:val="00CF7B93"/>
    <w:rsid w:val="00D00060"/>
    <w:rsid w:val="00D0052E"/>
    <w:rsid w:val="00D00CD8"/>
    <w:rsid w:val="00D00D65"/>
    <w:rsid w:val="00D01059"/>
    <w:rsid w:val="00D017B7"/>
    <w:rsid w:val="00D01C91"/>
    <w:rsid w:val="00D02627"/>
    <w:rsid w:val="00D02721"/>
    <w:rsid w:val="00D02856"/>
    <w:rsid w:val="00D02991"/>
    <w:rsid w:val="00D03307"/>
    <w:rsid w:val="00D0384D"/>
    <w:rsid w:val="00D03AD5"/>
    <w:rsid w:val="00D0408C"/>
    <w:rsid w:val="00D04BE4"/>
    <w:rsid w:val="00D050B8"/>
    <w:rsid w:val="00D06C6A"/>
    <w:rsid w:val="00D06D9E"/>
    <w:rsid w:val="00D06E6F"/>
    <w:rsid w:val="00D06FA6"/>
    <w:rsid w:val="00D0708C"/>
    <w:rsid w:val="00D071BF"/>
    <w:rsid w:val="00D07A53"/>
    <w:rsid w:val="00D107DD"/>
    <w:rsid w:val="00D111B8"/>
    <w:rsid w:val="00D115B1"/>
    <w:rsid w:val="00D116BD"/>
    <w:rsid w:val="00D117E5"/>
    <w:rsid w:val="00D12CA5"/>
    <w:rsid w:val="00D12F9E"/>
    <w:rsid w:val="00D131F7"/>
    <w:rsid w:val="00D13942"/>
    <w:rsid w:val="00D13BD7"/>
    <w:rsid w:val="00D1469C"/>
    <w:rsid w:val="00D14E4A"/>
    <w:rsid w:val="00D15523"/>
    <w:rsid w:val="00D158B3"/>
    <w:rsid w:val="00D15CA2"/>
    <w:rsid w:val="00D164C8"/>
    <w:rsid w:val="00D1658D"/>
    <w:rsid w:val="00D167A0"/>
    <w:rsid w:val="00D16D4C"/>
    <w:rsid w:val="00D16F53"/>
    <w:rsid w:val="00D16FCF"/>
    <w:rsid w:val="00D17374"/>
    <w:rsid w:val="00D17B7C"/>
    <w:rsid w:val="00D206BF"/>
    <w:rsid w:val="00D20A11"/>
    <w:rsid w:val="00D21002"/>
    <w:rsid w:val="00D21C48"/>
    <w:rsid w:val="00D223E6"/>
    <w:rsid w:val="00D227DB"/>
    <w:rsid w:val="00D23B9B"/>
    <w:rsid w:val="00D23F1C"/>
    <w:rsid w:val="00D25026"/>
    <w:rsid w:val="00D262B9"/>
    <w:rsid w:val="00D26EF4"/>
    <w:rsid w:val="00D27389"/>
    <w:rsid w:val="00D2767D"/>
    <w:rsid w:val="00D279A7"/>
    <w:rsid w:val="00D27E42"/>
    <w:rsid w:val="00D308B7"/>
    <w:rsid w:val="00D30DA1"/>
    <w:rsid w:val="00D311C8"/>
    <w:rsid w:val="00D315FD"/>
    <w:rsid w:val="00D317D4"/>
    <w:rsid w:val="00D32CF2"/>
    <w:rsid w:val="00D332F1"/>
    <w:rsid w:val="00D33ACC"/>
    <w:rsid w:val="00D343FA"/>
    <w:rsid w:val="00D345C8"/>
    <w:rsid w:val="00D352AA"/>
    <w:rsid w:val="00D37579"/>
    <w:rsid w:val="00D37D43"/>
    <w:rsid w:val="00D40EF9"/>
    <w:rsid w:val="00D40F17"/>
    <w:rsid w:val="00D41214"/>
    <w:rsid w:val="00D41235"/>
    <w:rsid w:val="00D4136F"/>
    <w:rsid w:val="00D418FF"/>
    <w:rsid w:val="00D4259C"/>
    <w:rsid w:val="00D42636"/>
    <w:rsid w:val="00D43A38"/>
    <w:rsid w:val="00D444C4"/>
    <w:rsid w:val="00D444FE"/>
    <w:rsid w:val="00D45017"/>
    <w:rsid w:val="00D45D82"/>
    <w:rsid w:val="00D468C5"/>
    <w:rsid w:val="00D46ABF"/>
    <w:rsid w:val="00D471A2"/>
    <w:rsid w:val="00D47276"/>
    <w:rsid w:val="00D47BFA"/>
    <w:rsid w:val="00D50229"/>
    <w:rsid w:val="00D50B72"/>
    <w:rsid w:val="00D50FF3"/>
    <w:rsid w:val="00D5131C"/>
    <w:rsid w:val="00D513CF"/>
    <w:rsid w:val="00D526FE"/>
    <w:rsid w:val="00D529C8"/>
    <w:rsid w:val="00D534F4"/>
    <w:rsid w:val="00D536C0"/>
    <w:rsid w:val="00D53CAC"/>
    <w:rsid w:val="00D54772"/>
    <w:rsid w:val="00D55F35"/>
    <w:rsid w:val="00D56205"/>
    <w:rsid w:val="00D56C84"/>
    <w:rsid w:val="00D600C6"/>
    <w:rsid w:val="00D6021E"/>
    <w:rsid w:val="00D60691"/>
    <w:rsid w:val="00D60AEB"/>
    <w:rsid w:val="00D61800"/>
    <w:rsid w:val="00D61A8F"/>
    <w:rsid w:val="00D62087"/>
    <w:rsid w:val="00D62443"/>
    <w:rsid w:val="00D625F4"/>
    <w:rsid w:val="00D6311F"/>
    <w:rsid w:val="00D63606"/>
    <w:rsid w:val="00D652ED"/>
    <w:rsid w:val="00D6554B"/>
    <w:rsid w:val="00D659FD"/>
    <w:rsid w:val="00D65C76"/>
    <w:rsid w:val="00D66548"/>
    <w:rsid w:val="00D666E0"/>
    <w:rsid w:val="00D66755"/>
    <w:rsid w:val="00D66B0B"/>
    <w:rsid w:val="00D67976"/>
    <w:rsid w:val="00D67F1E"/>
    <w:rsid w:val="00D7047D"/>
    <w:rsid w:val="00D709CE"/>
    <w:rsid w:val="00D71193"/>
    <w:rsid w:val="00D711EC"/>
    <w:rsid w:val="00D71C24"/>
    <w:rsid w:val="00D734C7"/>
    <w:rsid w:val="00D73501"/>
    <w:rsid w:val="00D7356F"/>
    <w:rsid w:val="00D74270"/>
    <w:rsid w:val="00D745FE"/>
    <w:rsid w:val="00D74C18"/>
    <w:rsid w:val="00D74C41"/>
    <w:rsid w:val="00D74D07"/>
    <w:rsid w:val="00D7542B"/>
    <w:rsid w:val="00D757A9"/>
    <w:rsid w:val="00D7588A"/>
    <w:rsid w:val="00D75E77"/>
    <w:rsid w:val="00D761E2"/>
    <w:rsid w:val="00D76577"/>
    <w:rsid w:val="00D76F36"/>
    <w:rsid w:val="00D778C6"/>
    <w:rsid w:val="00D77E37"/>
    <w:rsid w:val="00D77F9D"/>
    <w:rsid w:val="00D80E6E"/>
    <w:rsid w:val="00D81465"/>
    <w:rsid w:val="00D829A5"/>
    <w:rsid w:val="00D8351F"/>
    <w:rsid w:val="00D83939"/>
    <w:rsid w:val="00D83D66"/>
    <w:rsid w:val="00D83E12"/>
    <w:rsid w:val="00D84E45"/>
    <w:rsid w:val="00D85227"/>
    <w:rsid w:val="00D854B1"/>
    <w:rsid w:val="00D859F9"/>
    <w:rsid w:val="00D85B2C"/>
    <w:rsid w:val="00D85E17"/>
    <w:rsid w:val="00D8604F"/>
    <w:rsid w:val="00D8626E"/>
    <w:rsid w:val="00D8636E"/>
    <w:rsid w:val="00D86455"/>
    <w:rsid w:val="00D86F5C"/>
    <w:rsid w:val="00D90585"/>
    <w:rsid w:val="00D90649"/>
    <w:rsid w:val="00D9089F"/>
    <w:rsid w:val="00D90CD0"/>
    <w:rsid w:val="00D90F09"/>
    <w:rsid w:val="00D91405"/>
    <w:rsid w:val="00D91695"/>
    <w:rsid w:val="00D92051"/>
    <w:rsid w:val="00D9380E"/>
    <w:rsid w:val="00D9386A"/>
    <w:rsid w:val="00D93D18"/>
    <w:rsid w:val="00D93EBB"/>
    <w:rsid w:val="00D94481"/>
    <w:rsid w:val="00D94610"/>
    <w:rsid w:val="00D94651"/>
    <w:rsid w:val="00D95242"/>
    <w:rsid w:val="00D96226"/>
    <w:rsid w:val="00D9633D"/>
    <w:rsid w:val="00D96E44"/>
    <w:rsid w:val="00D97445"/>
    <w:rsid w:val="00D97CA6"/>
    <w:rsid w:val="00DA131A"/>
    <w:rsid w:val="00DA16F8"/>
    <w:rsid w:val="00DA1BFE"/>
    <w:rsid w:val="00DA1D32"/>
    <w:rsid w:val="00DA21E1"/>
    <w:rsid w:val="00DA25F7"/>
    <w:rsid w:val="00DA2775"/>
    <w:rsid w:val="00DA2A1F"/>
    <w:rsid w:val="00DA2D85"/>
    <w:rsid w:val="00DA2DEF"/>
    <w:rsid w:val="00DA2F73"/>
    <w:rsid w:val="00DA3434"/>
    <w:rsid w:val="00DA415E"/>
    <w:rsid w:val="00DA4DD5"/>
    <w:rsid w:val="00DA4ED8"/>
    <w:rsid w:val="00DA51E2"/>
    <w:rsid w:val="00DA5379"/>
    <w:rsid w:val="00DA56AE"/>
    <w:rsid w:val="00DA5C5D"/>
    <w:rsid w:val="00DA5EEA"/>
    <w:rsid w:val="00DA5F3A"/>
    <w:rsid w:val="00DA6904"/>
    <w:rsid w:val="00DA6936"/>
    <w:rsid w:val="00DA6B40"/>
    <w:rsid w:val="00DA6FF3"/>
    <w:rsid w:val="00DA744F"/>
    <w:rsid w:val="00DA7477"/>
    <w:rsid w:val="00DA78A9"/>
    <w:rsid w:val="00DA7912"/>
    <w:rsid w:val="00DA7A55"/>
    <w:rsid w:val="00DA7CF9"/>
    <w:rsid w:val="00DB087A"/>
    <w:rsid w:val="00DB155B"/>
    <w:rsid w:val="00DB1A60"/>
    <w:rsid w:val="00DB1EEE"/>
    <w:rsid w:val="00DB212E"/>
    <w:rsid w:val="00DB26F6"/>
    <w:rsid w:val="00DB2B4D"/>
    <w:rsid w:val="00DB544A"/>
    <w:rsid w:val="00DB548F"/>
    <w:rsid w:val="00DB60F5"/>
    <w:rsid w:val="00DB69AF"/>
    <w:rsid w:val="00DB6E2C"/>
    <w:rsid w:val="00DB72AD"/>
    <w:rsid w:val="00DC0822"/>
    <w:rsid w:val="00DC19DF"/>
    <w:rsid w:val="00DC1A47"/>
    <w:rsid w:val="00DC1FBD"/>
    <w:rsid w:val="00DC302F"/>
    <w:rsid w:val="00DC307B"/>
    <w:rsid w:val="00DC343B"/>
    <w:rsid w:val="00DC3815"/>
    <w:rsid w:val="00DC3D36"/>
    <w:rsid w:val="00DC4419"/>
    <w:rsid w:val="00DC4555"/>
    <w:rsid w:val="00DC462F"/>
    <w:rsid w:val="00DC4988"/>
    <w:rsid w:val="00DC499A"/>
    <w:rsid w:val="00DC4CF4"/>
    <w:rsid w:val="00DC4F7B"/>
    <w:rsid w:val="00DC5064"/>
    <w:rsid w:val="00DC51F5"/>
    <w:rsid w:val="00DC5251"/>
    <w:rsid w:val="00DC58B5"/>
    <w:rsid w:val="00DC5D16"/>
    <w:rsid w:val="00DC707F"/>
    <w:rsid w:val="00DC79B7"/>
    <w:rsid w:val="00DC7E88"/>
    <w:rsid w:val="00DC7F1B"/>
    <w:rsid w:val="00DD16A0"/>
    <w:rsid w:val="00DD1C5C"/>
    <w:rsid w:val="00DD257C"/>
    <w:rsid w:val="00DD2ABA"/>
    <w:rsid w:val="00DD2E0D"/>
    <w:rsid w:val="00DD4169"/>
    <w:rsid w:val="00DD4A70"/>
    <w:rsid w:val="00DD4B3E"/>
    <w:rsid w:val="00DD5042"/>
    <w:rsid w:val="00DD54E4"/>
    <w:rsid w:val="00DD58B1"/>
    <w:rsid w:val="00DD5E00"/>
    <w:rsid w:val="00DD5E4C"/>
    <w:rsid w:val="00DD60FF"/>
    <w:rsid w:val="00DD6A21"/>
    <w:rsid w:val="00DD70AE"/>
    <w:rsid w:val="00DD746E"/>
    <w:rsid w:val="00DD747A"/>
    <w:rsid w:val="00DD7596"/>
    <w:rsid w:val="00DE01DB"/>
    <w:rsid w:val="00DE0A72"/>
    <w:rsid w:val="00DE0DB3"/>
    <w:rsid w:val="00DE0ECA"/>
    <w:rsid w:val="00DE130A"/>
    <w:rsid w:val="00DE1716"/>
    <w:rsid w:val="00DE18A7"/>
    <w:rsid w:val="00DE1AC3"/>
    <w:rsid w:val="00DE1BA8"/>
    <w:rsid w:val="00DE1FAE"/>
    <w:rsid w:val="00DE2055"/>
    <w:rsid w:val="00DE2097"/>
    <w:rsid w:val="00DE2357"/>
    <w:rsid w:val="00DE236E"/>
    <w:rsid w:val="00DE2BED"/>
    <w:rsid w:val="00DE2E09"/>
    <w:rsid w:val="00DE2EFB"/>
    <w:rsid w:val="00DE34A3"/>
    <w:rsid w:val="00DE3A78"/>
    <w:rsid w:val="00DE3A92"/>
    <w:rsid w:val="00DE4C42"/>
    <w:rsid w:val="00DE5460"/>
    <w:rsid w:val="00DE60CA"/>
    <w:rsid w:val="00DE6323"/>
    <w:rsid w:val="00DE6CDB"/>
    <w:rsid w:val="00DF0ABD"/>
    <w:rsid w:val="00DF0E78"/>
    <w:rsid w:val="00DF1803"/>
    <w:rsid w:val="00DF1D91"/>
    <w:rsid w:val="00DF1FDD"/>
    <w:rsid w:val="00DF2A23"/>
    <w:rsid w:val="00DF36E4"/>
    <w:rsid w:val="00DF3E1A"/>
    <w:rsid w:val="00DF439A"/>
    <w:rsid w:val="00DF598E"/>
    <w:rsid w:val="00DF5C72"/>
    <w:rsid w:val="00DF5EC6"/>
    <w:rsid w:val="00DF6115"/>
    <w:rsid w:val="00DF740E"/>
    <w:rsid w:val="00DF7F76"/>
    <w:rsid w:val="00E00308"/>
    <w:rsid w:val="00E0188E"/>
    <w:rsid w:val="00E019C5"/>
    <w:rsid w:val="00E02517"/>
    <w:rsid w:val="00E026AF"/>
    <w:rsid w:val="00E02789"/>
    <w:rsid w:val="00E0307D"/>
    <w:rsid w:val="00E03809"/>
    <w:rsid w:val="00E04484"/>
    <w:rsid w:val="00E045F0"/>
    <w:rsid w:val="00E0474E"/>
    <w:rsid w:val="00E04ED7"/>
    <w:rsid w:val="00E05559"/>
    <w:rsid w:val="00E05CA0"/>
    <w:rsid w:val="00E05F8B"/>
    <w:rsid w:val="00E062C9"/>
    <w:rsid w:val="00E06935"/>
    <w:rsid w:val="00E06BE8"/>
    <w:rsid w:val="00E07A12"/>
    <w:rsid w:val="00E07D05"/>
    <w:rsid w:val="00E07E22"/>
    <w:rsid w:val="00E07FDB"/>
    <w:rsid w:val="00E1000C"/>
    <w:rsid w:val="00E10BF3"/>
    <w:rsid w:val="00E10D19"/>
    <w:rsid w:val="00E10E4D"/>
    <w:rsid w:val="00E1122A"/>
    <w:rsid w:val="00E11E21"/>
    <w:rsid w:val="00E11E40"/>
    <w:rsid w:val="00E12834"/>
    <w:rsid w:val="00E12BB5"/>
    <w:rsid w:val="00E12E86"/>
    <w:rsid w:val="00E14342"/>
    <w:rsid w:val="00E14833"/>
    <w:rsid w:val="00E14918"/>
    <w:rsid w:val="00E14D00"/>
    <w:rsid w:val="00E1500B"/>
    <w:rsid w:val="00E1569E"/>
    <w:rsid w:val="00E157CF"/>
    <w:rsid w:val="00E15EEB"/>
    <w:rsid w:val="00E16097"/>
    <w:rsid w:val="00E1675F"/>
    <w:rsid w:val="00E167F9"/>
    <w:rsid w:val="00E16D24"/>
    <w:rsid w:val="00E16EF5"/>
    <w:rsid w:val="00E17337"/>
    <w:rsid w:val="00E2005D"/>
    <w:rsid w:val="00E20A3D"/>
    <w:rsid w:val="00E216BC"/>
    <w:rsid w:val="00E21C51"/>
    <w:rsid w:val="00E21DD8"/>
    <w:rsid w:val="00E23235"/>
    <w:rsid w:val="00E2362B"/>
    <w:rsid w:val="00E23ED7"/>
    <w:rsid w:val="00E2453B"/>
    <w:rsid w:val="00E24907"/>
    <w:rsid w:val="00E24FA3"/>
    <w:rsid w:val="00E250A3"/>
    <w:rsid w:val="00E25414"/>
    <w:rsid w:val="00E25B7D"/>
    <w:rsid w:val="00E265A9"/>
    <w:rsid w:val="00E26AB0"/>
    <w:rsid w:val="00E26B28"/>
    <w:rsid w:val="00E26DB1"/>
    <w:rsid w:val="00E2700E"/>
    <w:rsid w:val="00E27B0E"/>
    <w:rsid w:val="00E27CB3"/>
    <w:rsid w:val="00E30156"/>
    <w:rsid w:val="00E30E04"/>
    <w:rsid w:val="00E31465"/>
    <w:rsid w:val="00E314CD"/>
    <w:rsid w:val="00E31E73"/>
    <w:rsid w:val="00E3207F"/>
    <w:rsid w:val="00E32234"/>
    <w:rsid w:val="00E32694"/>
    <w:rsid w:val="00E328CD"/>
    <w:rsid w:val="00E32ECD"/>
    <w:rsid w:val="00E33237"/>
    <w:rsid w:val="00E3333E"/>
    <w:rsid w:val="00E3385E"/>
    <w:rsid w:val="00E3489E"/>
    <w:rsid w:val="00E356FE"/>
    <w:rsid w:val="00E35719"/>
    <w:rsid w:val="00E357FF"/>
    <w:rsid w:val="00E36263"/>
    <w:rsid w:val="00E362F0"/>
    <w:rsid w:val="00E36B4C"/>
    <w:rsid w:val="00E36B95"/>
    <w:rsid w:val="00E3790A"/>
    <w:rsid w:val="00E37B2E"/>
    <w:rsid w:val="00E37DBD"/>
    <w:rsid w:val="00E37F0B"/>
    <w:rsid w:val="00E4003F"/>
    <w:rsid w:val="00E40A6F"/>
    <w:rsid w:val="00E4104B"/>
    <w:rsid w:val="00E426DF"/>
    <w:rsid w:val="00E42A6E"/>
    <w:rsid w:val="00E42D06"/>
    <w:rsid w:val="00E42D40"/>
    <w:rsid w:val="00E4347A"/>
    <w:rsid w:val="00E441D1"/>
    <w:rsid w:val="00E4479C"/>
    <w:rsid w:val="00E450AE"/>
    <w:rsid w:val="00E45336"/>
    <w:rsid w:val="00E458F6"/>
    <w:rsid w:val="00E45954"/>
    <w:rsid w:val="00E45A2E"/>
    <w:rsid w:val="00E45FBD"/>
    <w:rsid w:val="00E46290"/>
    <w:rsid w:val="00E46704"/>
    <w:rsid w:val="00E46E8F"/>
    <w:rsid w:val="00E47A48"/>
    <w:rsid w:val="00E47BD8"/>
    <w:rsid w:val="00E50C1E"/>
    <w:rsid w:val="00E510A6"/>
    <w:rsid w:val="00E511CF"/>
    <w:rsid w:val="00E51E06"/>
    <w:rsid w:val="00E52275"/>
    <w:rsid w:val="00E5263C"/>
    <w:rsid w:val="00E52696"/>
    <w:rsid w:val="00E52821"/>
    <w:rsid w:val="00E53546"/>
    <w:rsid w:val="00E537C1"/>
    <w:rsid w:val="00E53C46"/>
    <w:rsid w:val="00E53FB5"/>
    <w:rsid w:val="00E53FDC"/>
    <w:rsid w:val="00E5413B"/>
    <w:rsid w:val="00E549C1"/>
    <w:rsid w:val="00E54DB8"/>
    <w:rsid w:val="00E5552C"/>
    <w:rsid w:val="00E55DE0"/>
    <w:rsid w:val="00E55EA9"/>
    <w:rsid w:val="00E55F24"/>
    <w:rsid w:val="00E55FB3"/>
    <w:rsid w:val="00E563A8"/>
    <w:rsid w:val="00E56857"/>
    <w:rsid w:val="00E573FF"/>
    <w:rsid w:val="00E575D0"/>
    <w:rsid w:val="00E57B37"/>
    <w:rsid w:val="00E60A27"/>
    <w:rsid w:val="00E60F87"/>
    <w:rsid w:val="00E610B5"/>
    <w:rsid w:val="00E61C9A"/>
    <w:rsid w:val="00E62C82"/>
    <w:rsid w:val="00E63D67"/>
    <w:rsid w:val="00E64BF8"/>
    <w:rsid w:val="00E64CB6"/>
    <w:rsid w:val="00E64D11"/>
    <w:rsid w:val="00E658EE"/>
    <w:rsid w:val="00E67110"/>
    <w:rsid w:val="00E67D84"/>
    <w:rsid w:val="00E7016D"/>
    <w:rsid w:val="00E71301"/>
    <w:rsid w:val="00E716C1"/>
    <w:rsid w:val="00E71836"/>
    <w:rsid w:val="00E71A74"/>
    <w:rsid w:val="00E71AAC"/>
    <w:rsid w:val="00E7224A"/>
    <w:rsid w:val="00E7258E"/>
    <w:rsid w:val="00E73A9F"/>
    <w:rsid w:val="00E73BD7"/>
    <w:rsid w:val="00E73C4B"/>
    <w:rsid w:val="00E74813"/>
    <w:rsid w:val="00E74A4B"/>
    <w:rsid w:val="00E74B27"/>
    <w:rsid w:val="00E74E91"/>
    <w:rsid w:val="00E75E4F"/>
    <w:rsid w:val="00E760E5"/>
    <w:rsid w:val="00E762B7"/>
    <w:rsid w:val="00E767FC"/>
    <w:rsid w:val="00E7699C"/>
    <w:rsid w:val="00E77B08"/>
    <w:rsid w:val="00E8088C"/>
    <w:rsid w:val="00E80C69"/>
    <w:rsid w:val="00E81DA8"/>
    <w:rsid w:val="00E82856"/>
    <w:rsid w:val="00E82980"/>
    <w:rsid w:val="00E82CAB"/>
    <w:rsid w:val="00E82F9D"/>
    <w:rsid w:val="00E8314B"/>
    <w:rsid w:val="00E83677"/>
    <w:rsid w:val="00E849B1"/>
    <w:rsid w:val="00E84E1D"/>
    <w:rsid w:val="00E84E56"/>
    <w:rsid w:val="00E85595"/>
    <w:rsid w:val="00E86100"/>
    <w:rsid w:val="00E862EB"/>
    <w:rsid w:val="00E864B5"/>
    <w:rsid w:val="00E90185"/>
    <w:rsid w:val="00E90850"/>
    <w:rsid w:val="00E909A3"/>
    <w:rsid w:val="00E90F08"/>
    <w:rsid w:val="00E91154"/>
    <w:rsid w:val="00E9129C"/>
    <w:rsid w:val="00E91447"/>
    <w:rsid w:val="00E9186E"/>
    <w:rsid w:val="00E92D0A"/>
    <w:rsid w:val="00E93614"/>
    <w:rsid w:val="00E93CBE"/>
    <w:rsid w:val="00E953F7"/>
    <w:rsid w:val="00E957BC"/>
    <w:rsid w:val="00E959E5"/>
    <w:rsid w:val="00E95A5E"/>
    <w:rsid w:val="00E95DD6"/>
    <w:rsid w:val="00E966B1"/>
    <w:rsid w:val="00EA01B4"/>
    <w:rsid w:val="00EA0623"/>
    <w:rsid w:val="00EA095B"/>
    <w:rsid w:val="00EA0DAA"/>
    <w:rsid w:val="00EA0F7B"/>
    <w:rsid w:val="00EA1560"/>
    <w:rsid w:val="00EA19F9"/>
    <w:rsid w:val="00EA2FFA"/>
    <w:rsid w:val="00EA369A"/>
    <w:rsid w:val="00EA3F45"/>
    <w:rsid w:val="00EA44D9"/>
    <w:rsid w:val="00EA48DB"/>
    <w:rsid w:val="00EA53D5"/>
    <w:rsid w:val="00EA5880"/>
    <w:rsid w:val="00EA5979"/>
    <w:rsid w:val="00EA5D9E"/>
    <w:rsid w:val="00EA5E4A"/>
    <w:rsid w:val="00EA7584"/>
    <w:rsid w:val="00EA7BFC"/>
    <w:rsid w:val="00EA7F78"/>
    <w:rsid w:val="00EB0A66"/>
    <w:rsid w:val="00EB25B2"/>
    <w:rsid w:val="00EB5756"/>
    <w:rsid w:val="00EB5B97"/>
    <w:rsid w:val="00EB666A"/>
    <w:rsid w:val="00EB68E7"/>
    <w:rsid w:val="00EB69FB"/>
    <w:rsid w:val="00EB6A76"/>
    <w:rsid w:val="00EB7009"/>
    <w:rsid w:val="00EB7483"/>
    <w:rsid w:val="00EC0216"/>
    <w:rsid w:val="00EC063C"/>
    <w:rsid w:val="00EC131C"/>
    <w:rsid w:val="00EC13B5"/>
    <w:rsid w:val="00EC1707"/>
    <w:rsid w:val="00EC19DC"/>
    <w:rsid w:val="00EC25A7"/>
    <w:rsid w:val="00EC2FD9"/>
    <w:rsid w:val="00EC3028"/>
    <w:rsid w:val="00EC509F"/>
    <w:rsid w:val="00EC658A"/>
    <w:rsid w:val="00EC6F33"/>
    <w:rsid w:val="00EC758F"/>
    <w:rsid w:val="00EC77E7"/>
    <w:rsid w:val="00EC7914"/>
    <w:rsid w:val="00EC7E30"/>
    <w:rsid w:val="00ED023F"/>
    <w:rsid w:val="00ED0459"/>
    <w:rsid w:val="00ED05CD"/>
    <w:rsid w:val="00ED1002"/>
    <w:rsid w:val="00ED140C"/>
    <w:rsid w:val="00ED1515"/>
    <w:rsid w:val="00ED19C1"/>
    <w:rsid w:val="00ED2594"/>
    <w:rsid w:val="00ED2760"/>
    <w:rsid w:val="00ED2AD4"/>
    <w:rsid w:val="00ED3490"/>
    <w:rsid w:val="00ED498F"/>
    <w:rsid w:val="00ED4F93"/>
    <w:rsid w:val="00ED5498"/>
    <w:rsid w:val="00ED5F30"/>
    <w:rsid w:val="00ED6AB9"/>
    <w:rsid w:val="00ED73FF"/>
    <w:rsid w:val="00ED7B80"/>
    <w:rsid w:val="00EE0323"/>
    <w:rsid w:val="00EE082B"/>
    <w:rsid w:val="00EE0A27"/>
    <w:rsid w:val="00EE0CD0"/>
    <w:rsid w:val="00EE0EFD"/>
    <w:rsid w:val="00EE1095"/>
    <w:rsid w:val="00EE18E4"/>
    <w:rsid w:val="00EE18F8"/>
    <w:rsid w:val="00EE1960"/>
    <w:rsid w:val="00EE19BA"/>
    <w:rsid w:val="00EE1CDA"/>
    <w:rsid w:val="00EE27CF"/>
    <w:rsid w:val="00EE2BCE"/>
    <w:rsid w:val="00EE33E3"/>
    <w:rsid w:val="00EE347F"/>
    <w:rsid w:val="00EE366F"/>
    <w:rsid w:val="00EE66FF"/>
    <w:rsid w:val="00EE7708"/>
    <w:rsid w:val="00EE78F5"/>
    <w:rsid w:val="00EF0367"/>
    <w:rsid w:val="00EF05B7"/>
    <w:rsid w:val="00EF05C5"/>
    <w:rsid w:val="00EF1081"/>
    <w:rsid w:val="00EF11A5"/>
    <w:rsid w:val="00EF1C16"/>
    <w:rsid w:val="00EF1E57"/>
    <w:rsid w:val="00EF257A"/>
    <w:rsid w:val="00EF2BBA"/>
    <w:rsid w:val="00EF2D9C"/>
    <w:rsid w:val="00EF3A06"/>
    <w:rsid w:val="00EF5967"/>
    <w:rsid w:val="00EF625E"/>
    <w:rsid w:val="00EF67E3"/>
    <w:rsid w:val="00EF6B8F"/>
    <w:rsid w:val="00EF744A"/>
    <w:rsid w:val="00EF7604"/>
    <w:rsid w:val="00F0006F"/>
    <w:rsid w:val="00F00D57"/>
    <w:rsid w:val="00F00FD6"/>
    <w:rsid w:val="00F017B0"/>
    <w:rsid w:val="00F02011"/>
    <w:rsid w:val="00F02222"/>
    <w:rsid w:val="00F0277A"/>
    <w:rsid w:val="00F02CE1"/>
    <w:rsid w:val="00F03383"/>
    <w:rsid w:val="00F038EA"/>
    <w:rsid w:val="00F039A4"/>
    <w:rsid w:val="00F03D6D"/>
    <w:rsid w:val="00F04C66"/>
    <w:rsid w:val="00F05935"/>
    <w:rsid w:val="00F0667D"/>
    <w:rsid w:val="00F0699C"/>
    <w:rsid w:val="00F06CBC"/>
    <w:rsid w:val="00F06FBB"/>
    <w:rsid w:val="00F0701A"/>
    <w:rsid w:val="00F0799D"/>
    <w:rsid w:val="00F07B44"/>
    <w:rsid w:val="00F07BE2"/>
    <w:rsid w:val="00F07D62"/>
    <w:rsid w:val="00F104A2"/>
    <w:rsid w:val="00F107A0"/>
    <w:rsid w:val="00F10AA7"/>
    <w:rsid w:val="00F10CC7"/>
    <w:rsid w:val="00F10DF5"/>
    <w:rsid w:val="00F10ED5"/>
    <w:rsid w:val="00F116D8"/>
    <w:rsid w:val="00F118C2"/>
    <w:rsid w:val="00F1224B"/>
    <w:rsid w:val="00F12445"/>
    <w:rsid w:val="00F127A8"/>
    <w:rsid w:val="00F13CC8"/>
    <w:rsid w:val="00F13F30"/>
    <w:rsid w:val="00F14809"/>
    <w:rsid w:val="00F14854"/>
    <w:rsid w:val="00F14C6D"/>
    <w:rsid w:val="00F14E0B"/>
    <w:rsid w:val="00F14FD5"/>
    <w:rsid w:val="00F1516D"/>
    <w:rsid w:val="00F15E62"/>
    <w:rsid w:val="00F165F9"/>
    <w:rsid w:val="00F16C3D"/>
    <w:rsid w:val="00F16DA8"/>
    <w:rsid w:val="00F17297"/>
    <w:rsid w:val="00F17520"/>
    <w:rsid w:val="00F17819"/>
    <w:rsid w:val="00F21098"/>
    <w:rsid w:val="00F21EA5"/>
    <w:rsid w:val="00F22006"/>
    <w:rsid w:val="00F220A5"/>
    <w:rsid w:val="00F24760"/>
    <w:rsid w:val="00F2492C"/>
    <w:rsid w:val="00F24F0F"/>
    <w:rsid w:val="00F24F52"/>
    <w:rsid w:val="00F25B1A"/>
    <w:rsid w:val="00F25CB8"/>
    <w:rsid w:val="00F26AE5"/>
    <w:rsid w:val="00F27409"/>
    <w:rsid w:val="00F27482"/>
    <w:rsid w:val="00F27CB1"/>
    <w:rsid w:val="00F30642"/>
    <w:rsid w:val="00F3100F"/>
    <w:rsid w:val="00F3149D"/>
    <w:rsid w:val="00F319D0"/>
    <w:rsid w:val="00F32031"/>
    <w:rsid w:val="00F32035"/>
    <w:rsid w:val="00F32A44"/>
    <w:rsid w:val="00F32E88"/>
    <w:rsid w:val="00F332AD"/>
    <w:rsid w:val="00F33600"/>
    <w:rsid w:val="00F34086"/>
    <w:rsid w:val="00F34362"/>
    <w:rsid w:val="00F34BA9"/>
    <w:rsid w:val="00F34BC9"/>
    <w:rsid w:val="00F34EAE"/>
    <w:rsid w:val="00F350D8"/>
    <w:rsid w:val="00F35355"/>
    <w:rsid w:val="00F35B45"/>
    <w:rsid w:val="00F37993"/>
    <w:rsid w:val="00F37B12"/>
    <w:rsid w:val="00F37B16"/>
    <w:rsid w:val="00F401EC"/>
    <w:rsid w:val="00F40943"/>
    <w:rsid w:val="00F416DC"/>
    <w:rsid w:val="00F42785"/>
    <w:rsid w:val="00F43297"/>
    <w:rsid w:val="00F437CC"/>
    <w:rsid w:val="00F439E2"/>
    <w:rsid w:val="00F43FB9"/>
    <w:rsid w:val="00F4419D"/>
    <w:rsid w:val="00F44C7C"/>
    <w:rsid w:val="00F44E42"/>
    <w:rsid w:val="00F458E7"/>
    <w:rsid w:val="00F45B38"/>
    <w:rsid w:val="00F46022"/>
    <w:rsid w:val="00F46796"/>
    <w:rsid w:val="00F468C8"/>
    <w:rsid w:val="00F4701F"/>
    <w:rsid w:val="00F47316"/>
    <w:rsid w:val="00F513AE"/>
    <w:rsid w:val="00F51A49"/>
    <w:rsid w:val="00F51C43"/>
    <w:rsid w:val="00F51E60"/>
    <w:rsid w:val="00F520E5"/>
    <w:rsid w:val="00F528FF"/>
    <w:rsid w:val="00F52D6B"/>
    <w:rsid w:val="00F53249"/>
    <w:rsid w:val="00F533FC"/>
    <w:rsid w:val="00F53455"/>
    <w:rsid w:val="00F534D7"/>
    <w:rsid w:val="00F53D5D"/>
    <w:rsid w:val="00F54497"/>
    <w:rsid w:val="00F54C9E"/>
    <w:rsid w:val="00F54F92"/>
    <w:rsid w:val="00F5578F"/>
    <w:rsid w:val="00F55C8A"/>
    <w:rsid w:val="00F5630B"/>
    <w:rsid w:val="00F56772"/>
    <w:rsid w:val="00F567EF"/>
    <w:rsid w:val="00F571BC"/>
    <w:rsid w:val="00F5727C"/>
    <w:rsid w:val="00F57531"/>
    <w:rsid w:val="00F6065C"/>
    <w:rsid w:val="00F6099D"/>
    <w:rsid w:val="00F611E3"/>
    <w:rsid w:val="00F61A3D"/>
    <w:rsid w:val="00F61A47"/>
    <w:rsid w:val="00F621E8"/>
    <w:rsid w:val="00F6293E"/>
    <w:rsid w:val="00F62E43"/>
    <w:rsid w:val="00F62F19"/>
    <w:rsid w:val="00F630B5"/>
    <w:rsid w:val="00F63B89"/>
    <w:rsid w:val="00F64608"/>
    <w:rsid w:val="00F64DAD"/>
    <w:rsid w:val="00F657A7"/>
    <w:rsid w:val="00F65CB7"/>
    <w:rsid w:val="00F65CC8"/>
    <w:rsid w:val="00F66174"/>
    <w:rsid w:val="00F6630E"/>
    <w:rsid w:val="00F666F7"/>
    <w:rsid w:val="00F66FCE"/>
    <w:rsid w:val="00F67687"/>
    <w:rsid w:val="00F703AB"/>
    <w:rsid w:val="00F722B2"/>
    <w:rsid w:val="00F723B4"/>
    <w:rsid w:val="00F73067"/>
    <w:rsid w:val="00F73147"/>
    <w:rsid w:val="00F73644"/>
    <w:rsid w:val="00F73D4A"/>
    <w:rsid w:val="00F73F09"/>
    <w:rsid w:val="00F743B7"/>
    <w:rsid w:val="00F74FC6"/>
    <w:rsid w:val="00F752E9"/>
    <w:rsid w:val="00F75661"/>
    <w:rsid w:val="00F75AA3"/>
    <w:rsid w:val="00F75F13"/>
    <w:rsid w:val="00F76146"/>
    <w:rsid w:val="00F7700E"/>
    <w:rsid w:val="00F77511"/>
    <w:rsid w:val="00F7798C"/>
    <w:rsid w:val="00F77C70"/>
    <w:rsid w:val="00F8003D"/>
    <w:rsid w:val="00F80EE6"/>
    <w:rsid w:val="00F810B9"/>
    <w:rsid w:val="00F8127E"/>
    <w:rsid w:val="00F8187A"/>
    <w:rsid w:val="00F81A4C"/>
    <w:rsid w:val="00F82391"/>
    <w:rsid w:val="00F82BD4"/>
    <w:rsid w:val="00F8300E"/>
    <w:rsid w:val="00F8302E"/>
    <w:rsid w:val="00F83085"/>
    <w:rsid w:val="00F83512"/>
    <w:rsid w:val="00F83CD0"/>
    <w:rsid w:val="00F83DF1"/>
    <w:rsid w:val="00F83FA1"/>
    <w:rsid w:val="00F84023"/>
    <w:rsid w:val="00F84896"/>
    <w:rsid w:val="00F85017"/>
    <w:rsid w:val="00F85550"/>
    <w:rsid w:val="00F861D1"/>
    <w:rsid w:val="00F86971"/>
    <w:rsid w:val="00F86DAB"/>
    <w:rsid w:val="00F86F42"/>
    <w:rsid w:val="00F8739B"/>
    <w:rsid w:val="00F87DAE"/>
    <w:rsid w:val="00F904CD"/>
    <w:rsid w:val="00F90904"/>
    <w:rsid w:val="00F91028"/>
    <w:rsid w:val="00F9213E"/>
    <w:rsid w:val="00F92695"/>
    <w:rsid w:val="00F92967"/>
    <w:rsid w:val="00F9315E"/>
    <w:rsid w:val="00F933C4"/>
    <w:rsid w:val="00F93CA4"/>
    <w:rsid w:val="00F94CCA"/>
    <w:rsid w:val="00F94EBD"/>
    <w:rsid w:val="00F956E8"/>
    <w:rsid w:val="00F95A42"/>
    <w:rsid w:val="00F95BBB"/>
    <w:rsid w:val="00F9686C"/>
    <w:rsid w:val="00F96AAC"/>
    <w:rsid w:val="00F97B0E"/>
    <w:rsid w:val="00FA0274"/>
    <w:rsid w:val="00FA0BE1"/>
    <w:rsid w:val="00FA0FBF"/>
    <w:rsid w:val="00FA111B"/>
    <w:rsid w:val="00FA11C3"/>
    <w:rsid w:val="00FA1526"/>
    <w:rsid w:val="00FA1567"/>
    <w:rsid w:val="00FA1739"/>
    <w:rsid w:val="00FA1A8B"/>
    <w:rsid w:val="00FA2318"/>
    <w:rsid w:val="00FA2843"/>
    <w:rsid w:val="00FA299A"/>
    <w:rsid w:val="00FA2EB1"/>
    <w:rsid w:val="00FA3E72"/>
    <w:rsid w:val="00FA458A"/>
    <w:rsid w:val="00FA4916"/>
    <w:rsid w:val="00FA5174"/>
    <w:rsid w:val="00FA58CD"/>
    <w:rsid w:val="00FA5E62"/>
    <w:rsid w:val="00FA68AC"/>
    <w:rsid w:val="00FA708C"/>
    <w:rsid w:val="00FA72B0"/>
    <w:rsid w:val="00FA7848"/>
    <w:rsid w:val="00FA7BEB"/>
    <w:rsid w:val="00FA7E5C"/>
    <w:rsid w:val="00FB06D1"/>
    <w:rsid w:val="00FB0F3F"/>
    <w:rsid w:val="00FB193D"/>
    <w:rsid w:val="00FB1B8A"/>
    <w:rsid w:val="00FB3422"/>
    <w:rsid w:val="00FB3546"/>
    <w:rsid w:val="00FB389A"/>
    <w:rsid w:val="00FB5AB5"/>
    <w:rsid w:val="00FB6011"/>
    <w:rsid w:val="00FB610A"/>
    <w:rsid w:val="00FB63E6"/>
    <w:rsid w:val="00FB6433"/>
    <w:rsid w:val="00FB652D"/>
    <w:rsid w:val="00FB671E"/>
    <w:rsid w:val="00FB67A5"/>
    <w:rsid w:val="00FB6BEA"/>
    <w:rsid w:val="00FC01AC"/>
    <w:rsid w:val="00FC0287"/>
    <w:rsid w:val="00FC05CF"/>
    <w:rsid w:val="00FC062D"/>
    <w:rsid w:val="00FC163A"/>
    <w:rsid w:val="00FC1743"/>
    <w:rsid w:val="00FC1FD5"/>
    <w:rsid w:val="00FC2DCF"/>
    <w:rsid w:val="00FC357E"/>
    <w:rsid w:val="00FC3805"/>
    <w:rsid w:val="00FC39AC"/>
    <w:rsid w:val="00FC3BE5"/>
    <w:rsid w:val="00FC4147"/>
    <w:rsid w:val="00FC441F"/>
    <w:rsid w:val="00FC4F4F"/>
    <w:rsid w:val="00FC5317"/>
    <w:rsid w:val="00FC5548"/>
    <w:rsid w:val="00FC558D"/>
    <w:rsid w:val="00FC5C1A"/>
    <w:rsid w:val="00FC5C78"/>
    <w:rsid w:val="00FC62EC"/>
    <w:rsid w:val="00FC66BD"/>
    <w:rsid w:val="00FC6A8E"/>
    <w:rsid w:val="00FC6B9E"/>
    <w:rsid w:val="00FC6CFD"/>
    <w:rsid w:val="00FC7294"/>
    <w:rsid w:val="00FC7DFF"/>
    <w:rsid w:val="00FD0035"/>
    <w:rsid w:val="00FD01B5"/>
    <w:rsid w:val="00FD0BC6"/>
    <w:rsid w:val="00FD154D"/>
    <w:rsid w:val="00FD1F8A"/>
    <w:rsid w:val="00FD2C14"/>
    <w:rsid w:val="00FD2FF2"/>
    <w:rsid w:val="00FD3008"/>
    <w:rsid w:val="00FD390D"/>
    <w:rsid w:val="00FD3C72"/>
    <w:rsid w:val="00FD40CA"/>
    <w:rsid w:val="00FD44E3"/>
    <w:rsid w:val="00FD47EE"/>
    <w:rsid w:val="00FD484E"/>
    <w:rsid w:val="00FD4E9E"/>
    <w:rsid w:val="00FD4F00"/>
    <w:rsid w:val="00FD4FEF"/>
    <w:rsid w:val="00FD519D"/>
    <w:rsid w:val="00FD5BF0"/>
    <w:rsid w:val="00FD626C"/>
    <w:rsid w:val="00FD63D3"/>
    <w:rsid w:val="00FD6D68"/>
    <w:rsid w:val="00FD7087"/>
    <w:rsid w:val="00FD71F9"/>
    <w:rsid w:val="00FE0857"/>
    <w:rsid w:val="00FE105A"/>
    <w:rsid w:val="00FE149F"/>
    <w:rsid w:val="00FE15E2"/>
    <w:rsid w:val="00FE2749"/>
    <w:rsid w:val="00FE33DA"/>
    <w:rsid w:val="00FE3B0C"/>
    <w:rsid w:val="00FE4404"/>
    <w:rsid w:val="00FE4DDC"/>
    <w:rsid w:val="00FE4FE3"/>
    <w:rsid w:val="00FE5482"/>
    <w:rsid w:val="00FE5A9D"/>
    <w:rsid w:val="00FF031F"/>
    <w:rsid w:val="00FF238F"/>
    <w:rsid w:val="00FF2839"/>
    <w:rsid w:val="00FF2D38"/>
    <w:rsid w:val="00FF36CF"/>
    <w:rsid w:val="00FF3E7A"/>
    <w:rsid w:val="00FF3F57"/>
    <w:rsid w:val="00FF5BB9"/>
    <w:rsid w:val="00FF60C9"/>
    <w:rsid w:val="00FF6237"/>
    <w:rsid w:val="00FF6264"/>
    <w:rsid w:val="00FF6367"/>
    <w:rsid w:val="00FF6A4B"/>
    <w:rsid w:val="00FF77EA"/>
    <w:rsid w:val="037AB08B"/>
    <w:rsid w:val="03905834"/>
    <w:rsid w:val="03D05AF6"/>
    <w:rsid w:val="03D23A70"/>
    <w:rsid w:val="041F2BC0"/>
    <w:rsid w:val="0480E7D4"/>
    <w:rsid w:val="04F2F570"/>
    <w:rsid w:val="05040A90"/>
    <w:rsid w:val="050E5B1E"/>
    <w:rsid w:val="0562FA1A"/>
    <w:rsid w:val="05F23048"/>
    <w:rsid w:val="0628F6B1"/>
    <w:rsid w:val="06957F0D"/>
    <w:rsid w:val="0700F19B"/>
    <w:rsid w:val="0709F340"/>
    <w:rsid w:val="07BF0F83"/>
    <w:rsid w:val="086E053B"/>
    <w:rsid w:val="08E47C9D"/>
    <w:rsid w:val="090E2498"/>
    <w:rsid w:val="094DE7F5"/>
    <w:rsid w:val="09C13B2F"/>
    <w:rsid w:val="0A9296E5"/>
    <w:rsid w:val="0AD47EBD"/>
    <w:rsid w:val="0AFA06B0"/>
    <w:rsid w:val="0B53D154"/>
    <w:rsid w:val="0B98D1EB"/>
    <w:rsid w:val="0C48FE61"/>
    <w:rsid w:val="0D50E455"/>
    <w:rsid w:val="0D740494"/>
    <w:rsid w:val="0E1FAB0F"/>
    <w:rsid w:val="0E4A0571"/>
    <w:rsid w:val="0EB5752C"/>
    <w:rsid w:val="10D9DA2E"/>
    <w:rsid w:val="12E118F7"/>
    <w:rsid w:val="13250B0D"/>
    <w:rsid w:val="1336C92D"/>
    <w:rsid w:val="1352881E"/>
    <w:rsid w:val="14B4CA57"/>
    <w:rsid w:val="14F6094F"/>
    <w:rsid w:val="151264F9"/>
    <w:rsid w:val="15503A90"/>
    <w:rsid w:val="1607EABC"/>
    <w:rsid w:val="1876A50F"/>
    <w:rsid w:val="18D1CC37"/>
    <w:rsid w:val="18E7A79D"/>
    <w:rsid w:val="197A9A97"/>
    <w:rsid w:val="1B065AB0"/>
    <w:rsid w:val="1B22B103"/>
    <w:rsid w:val="1C96F43A"/>
    <w:rsid w:val="1CA099FB"/>
    <w:rsid w:val="1CE1FF7A"/>
    <w:rsid w:val="1E3FDC22"/>
    <w:rsid w:val="1F02FE7C"/>
    <w:rsid w:val="1F66915E"/>
    <w:rsid w:val="201DB5D1"/>
    <w:rsid w:val="2095598C"/>
    <w:rsid w:val="20C26558"/>
    <w:rsid w:val="20DD98C2"/>
    <w:rsid w:val="2138E412"/>
    <w:rsid w:val="216BB3F2"/>
    <w:rsid w:val="21E42F7D"/>
    <w:rsid w:val="229535EF"/>
    <w:rsid w:val="244644F5"/>
    <w:rsid w:val="24CCE8D0"/>
    <w:rsid w:val="263F74A1"/>
    <w:rsid w:val="26518879"/>
    <w:rsid w:val="26ABF708"/>
    <w:rsid w:val="26B50474"/>
    <w:rsid w:val="28A3E86A"/>
    <w:rsid w:val="28A46049"/>
    <w:rsid w:val="29A23BC3"/>
    <w:rsid w:val="29CC90E2"/>
    <w:rsid w:val="29D61D3D"/>
    <w:rsid w:val="2B59D8EA"/>
    <w:rsid w:val="2BAF93A3"/>
    <w:rsid w:val="2BF302BD"/>
    <w:rsid w:val="2C7BBDE7"/>
    <w:rsid w:val="2C89E89B"/>
    <w:rsid w:val="2CD2F16A"/>
    <w:rsid w:val="2DE95E2D"/>
    <w:rsid w:val="2DFE264A"/>
    <w:rsid w:val="2F5E2C5D"/>
    <w:rsid w:val="2F7618B4"/>
    <w:rsid w:val="307D5E76"/>
    <w:rsid w:val="30ABB2A9"/>
    <w:rsid w:val="30B53A5C"/>
    <w:rsid w:val="30B752D9"/>
    <w:rsid w:val="311AE3A2"/>
    <w:rsid w:val="311B0089"/>
    <w:rsid w:val="344957E0"/>
    <w:rsid w:val="35C752E2"/>
    <w:rsid w:val="35DB3BB1"/>
    <w:rsid w:val="3694F12A"/>
    <w:rsid w:val="36BF5B2C"/>
    <w:rsid w:val="37A78740"/>
    <w:rsid w:val="388B2EB3"/>
    <w:rsid w:val="3894DCA2"/>
    <w:rsid w:val="38CFC4CB"/>
    <w:rsid w:val="391EDD3B"/>
    <w:rsid w:val="3A0DD3F7"/>
    <w:rsid w:val="3B45C3A5"/>
    <w:rsid w:val="3B7A2FBC"/>
    <w:rsid w:val="3C27FB48"/>
    <w:rsid w:val="3C607D4E"/>
    <w:rsid w:val="3D8867C4"/>
    <w:rsid w:val="4032F8A3"/>
    <w:rsid w:val="40FE62C5"/>
    <w:rsid w:val="414F56AC"/>
    <w:rsid w:val="417F018E"/>
    <w:rsid w:val="43A99093"/>
    <w:rsid w:val="43F9B46F"/>
    <w:rsid w:val="44A7F0A4"/>
    <w:rsid w:val="46DD7202"/>
    <w:rsid w:val="471F022D"/>
    <w:rsid w:val="4785EA48"/>
    <w:rsid w:val="48028519"/>
    <w:rsid w:val="48A4E622"/>
    <w:rsid w:val="48DE2145"/>
    <w:rsid w:val="4C8A33D1"/>
    <w:rsid w:val="4D597438"/>
    <w:rsid w:val="4D9C2D29"/>
    <w:rsid w:val="4DD3E5B0"/>
    <w:rsid w:val="4EA7563D"/>
    <w:rsid w:val="4F238FA9"/>
    <w:rsid w:val="4F603AB7"/>
    <w:rsid w:val="4FAAFDB7"/>
    <w:rsid w:val="4FB8FDE0"/>
    <w:rsid w:val="5110523E"/>
    <w:rsid w:val="512ACC7D"/>
    <w:rsid w:val="51D1EF03"/>
    <w:rsid w:val="52396DE4"/>
    <w:rsid w:val="5269E956"/>
    <w:rsid w:val="52E84F3F"/>
    <w:rsid w:val="53252E77"/>
    <w:rsid w:val="555EDD4C"/>
    <w:rsid w:val="560E44E2"/>
    <w:rsid w:val="561A7BED"/>
    <w:rsid w:val="588FA5DC"/>
    <w:rsid w:val="58A8AA4D"/>
    <w:rsid w:val="5A3651C7"/>
    <w:rsid w:val="5A50D1C4"/>
    <w:rsid w:val="5B12F54E"/>
    <w:rsid w:val="5B5146AF"/>
    <w:rsid w:val="5B64F1B2"/>
    <w:rsid w:val="5B78288B"/>
    <w:rsid w:val="5B9D0277"/>
    <w:rsid w:val="5DB7E469"/>
    <w:rsid w:val="60108AE2"/>
    <w:rsid w:val="60401969"/>
    <w:rsid w:val="60848A0B"/>
    <w:rsid w:val="60927FE4"/>
    <w:rsid w:val="60AF1C3E"/>
    <w:rsid w:val="60E63129"/>
    <w:rsid w:val="6106C8BB"/>
    <w:rsid w:val="61624E97"/>
    <w:rsid w:val="6239C2C5"/>
    <w:rsid w:val="623DA8AC"/>
    <w:rsid w:val="63174AD4"/>
    <w:rsid w:val="641DA9A1"/>
    <w:rsid w:val="643F0F67"/>
    <w:rsid w:val="64E6EFA0"/>
    <w:rsid w:val="64F3350D"/>
    <w:rsid w:val="64F8D72A"/>
    <w:rsid w:val="6535AF43"/>
    <w:rsid w:val="657FC839"/>
    <w:rsid w:val="65BB246D"/>
    <w:rsid w:val="660EAC7B"/>
    <w:rsid w:val="6614B4BC"/>
    <w:rsid w:val="66299D1F"/>
    <w:rsid w:val="6683B7B2"/>
    <w:rsid w:val="676D1986"/>
    <w:rsid w:val="67841A0D"/>
    <w:rsid w:val="67E7AD49"/>
    <w:rsid w:val="67FC2F09"/>
    <w:rsid w:val="68203DAA"/>
    <w:rsid w:val="6A1D29AB"/>
    <w:rsid w:val="6AD61126"/>
    <w:rsid w:val="6BC8881B"/>
    <w:rsid w:val="6FBF2F20"/>
    <w:rsid w:val="6FBF4192"/>
    <w:rsid w:val="6FD3D8BC"/>
    <w:rsid w:val="70493BA4"/>
    <w:rsid w:val="70A8D2EA"/>
    <w:rsid w:val="70AFE453"/>
    <w:rsid w:val="7152766C"/>
    <w:rsid w:val="7168AA1A"/>
    <w:rsid w:val="7255AC50"/>
    <w:rsid w:val="72759993"/>
    <w:rsid w:val="73646C06"/>
    <w:rsid w:val="739554DA"/>
    <w:rsid w:val="73EEE8A2"/>
    <w:rsid w:val="74A81DF5"/>
    <w:rsid w:val="76766168"/>
    <w:rsid w:val="773402E9"/>
    <w:rsid w:val="7780ECFB"/>
    <w:rsid w:val="77957794"/>
    <w:rsid w:val="7929AE5E"/>
    <w:rsid w:val="79C18D65"/>
    <w:rsid w:val="79F1B3D4"/>
    <w:rsid w:val="7A38BCEF"/>
    <w:rsid w:val="7A4E6402"/>
    <w:rsid w:val="7A68A8B7"/>
    <w:rsid w:val="7BD7D801"/>
    <w:rsid w:val="7C6235DF"/>
    <w:rsid w:val="7C7E2C98"/>
    <w:rsid w:val="7CB4CA2E"/>
    <w:rsid w:val="7CE969ED"/>
    <w:rsid w:val="7D1289DA"/>
    <w:rsid w:val="7EDF2E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6DCE3"/>
  <w15:chartTrackingRefBased/>
  <w15:docId w15:val="{E0209E54-8BCE-44C5-AB6A-A6E1D1B9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uiPriority="99" w:qFormat="1"/>
    <w:lsdException w:name="endnote text" w:locked="0" w:uiPriority="99"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HTML Top of Form" w:locked="0"/>
    <w:lsdException w:name="HTML Bottom of Form" w:locked="0"/>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8545E"/>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aliases w:val="2_G"/>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aliases w:val="2_G Char"/>
    <w:link w:val="EndnoteText"/>
    <w:uiPriority w:val="99"/>
    <w:rsid w:val="00E55F24"/>
    <w:rPr>
      <w:rFonts w:ascii="Open Sans" w:eastAsia="MS Mincho" w:hAnsi="Open Sans"/>
    </w:rPr>
  </w:style>
  <w:style w:type="character" w:styleId="EndnoteReference">
    <w:name w:val="endnote reference"/>
    <w:aliases w:val="QUOTE,1_G,Quote1"/>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7"/>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Brief List Paragraph 1,Bullet 1,Bullet Points,CV text,Colorful List - Accent 11,Dot pt,F5 List Paragraph,Indicator Text,L,List Paragraph Char Char Char,List Paragraph1,List Paragraph11,List Paragraph12,MAIN CONTENT,Recommendation,列出段"/>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AD131A"/>
    <w:rPr>
      <w:rFonts w:ascii="Open Sans" w:eastAsia="MS Mincho" w:hAnsi="Open Sans"/>
      <w:sz w:val="24"/>
      <w:szCs w:val="24"/>
    </w:rPr>
  </w:style>
  <w:style w:type="paragraph" w:styleId="FootnoteText">
    <w:name w:val="footnote text"/>
    <w:basedOn w:val="Normal"/>
    <w:link w:val="FootnoteTextChar"/>
    <w:locked/>
    <w:rsid w:val="007B39D0"/>
    <w:pPr>
      <w:spacing w:before="0" w:after="0"/>
    </w:pPr>
    <w:rPr>
      <w:sz w:val="20"/>
      <w:szCs w:val="20"/>
    </w:rPr>
  </w:style>
  <w:style w:type="character" w:customStyle="1" w:styleId="FootnoteTextChar">
    <w:name w:val="Footnote Text Char"/>
    <w:basedOn w:val="DefaultParagraphFont"/>
    <w:link w:val="FootnoteText"/>
    <w:rsid w:val="007B39D0"/>
    <w:rPr>
      <w:rFonts w:ascii="Open Sans" w:eastAsia="MS Mincho" w:hAnsi="Open Sans"/>
    </w:rPr>
  </w:style>
  <w:style w:type="character" w:styleId="FootnoteReference">
    <w:name w:val="footnote reference"/>
    <w:basedOn w:val="DefaultParagraphFont"/>
    <w:locked/>
    <w:rsid w:val="007B39D0"/>
    <w:rPr>
      <w:vertAlign w:val="superscript"/>
    </w:rPr>
  </w:style>
  <w:style w:type="character" w:customStyle="1" w:styleId="ListParagraphChar">
    <w:name w:val="List Paragraph Char"/>
    <w:aliases w:val="Brief List Paragraph 1 Char,Bullet 1 Char,Bullet Points Char,CV text Char,Colorful List - Accent 11 Char,Dot pt Char,F5 List Paragraph Char,Indicator Text Char,L Char,List Paragraph Char Char Char Char,List Paragraph1 Char,列出段 Char"/>
    <w:basedOn w:val="DefaultParagraphFont"/>
    <w:link w:val="ListParagraph"/>
    <w:uiPriority w:val="34"/>
    <w:qFormat/>
    <w:locked/>
    <w:rsid w:val="003F34CD"/>
    <w:rPr>
      <w:rFonts w:ascii="Open Sans" w:eastAsia="MS Mincho" w:hAnsi="Open Sans"/>
      <w:sz w:val="24"/>
      <w:szCs w:val="24"/>
    </w:rPr>
  </w:style>
  <w:style w:type="character" w:styleId="Mention">
    <w:name w:val="Mention"/>
    <w:basedOn w:val="DefaultParagraphFont"/>
    <w:uiPriority w:val="99"/>
    <w:unhideWhenUsed/>
    <w:rsid w:val="00B70E85"/>
    <w:rPr>
      <w:color w:val="2B579A"/>
      <w:shd w:val="clear" w:color="auto" w:fill="E1DFDD"/>
    </w:rPr>
  </w:style>
  <w:style w:type="character" w:styleId="UnresolvedMention">
    <w:name w:val="Unresolved Mention"/>
    <w:basedOn w:val="DefaultParagraphFont"/>
    <w:uiPriority w:val="99"/>
    <w:semiHidden/>
    <w:unhideWhenUsed/>
    <w:rsid w:val="00167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0040">
      <w:bodyDiv w:val="1"/>
      <w:marLeft w:val="0"/>
      <w:marRight w:val="0"/>
      <w:marTop w:val="0"/>
      <w:marBottom w:val="0"/>
      <w:divBdr>
        <w:top w:val="none" w:sz="0" w:space="0" w:color="auto"/>
        <w:left w:val="none" w:sz="0" w:space="0" w:color="auto"/>
        <w:bottom w:val="none" w:sz="0" w:space="0" w:color="auto"/>
        <w:right w:val="none" w:sz="0" w:space="0" w:color="auto"/>
      </w:divBdr>
    </w:div>
    <w:div w:id="139731303">
      <w:bodyDiv w:val="1"/>
      <w:marLeft w:val="0"/>
      <w:marRight w:val="0"/>
      <w:marTop w:val="0"/>
      <w:marBottom w:val="0"/>
      <w:divBdr>
        <w:top w:val="none" w:sz="0" w:space="0" w:color="auto"/>
        <w:left w:val="none" w:sz="0" w:space="0" w:color="auto"/>
        <w:bottom w:val="none" w:sz="0" w:space="0" w:color="auto"/>
        <w:right w:val="none" w:sz="0" w:space="0" w:color="auto"/>
      </w:divBdr>
    </w:div>
    <w:div w:id="461310660">
      <w:bodyDiv w:val="1"/>
      <w:marLeft w:val="0"/>
      <w:marRight w:val="0"/>
      <w:marTop w:val="0"/>
      <w:marBottom w:val="0"/>
      <w:divBdr>
        <w:top w:val="none" w:sz="0" w:space="0" w:color="auto"/>
        <w:left w:val="none" w:sz="0" w:space="0" w:color="auto"/>
        <w:bottom w:val="none" w:sz="0" w:space="0" w:color="auto"/>
        <w:right w:val="none" w:sz="0" w:space="0" w:color="auto"/>
      </w:divBdr>
    </w:div>
    <w:div w:id="558787349">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70724155">
      <w:bodyDiv w:val="1"/>
      <w:marLeft w:val="0"/>
      <w:marRight w:val="0"/>
      <w:marTop w:val="0"/>
      <w:marBottom w:val="0"/>
      <w:divBdr>
        <w:top w:val="none" w:sz="0" w:space="0" w:color="auto"/>
        <w:left w:val="none" w:sz="0" w:space="0" w:color="auto"/>
        <w:bottom w:val="none" w:sz="0" w:space="0" w:color="auto"/>
        <w:right w:val="none" w:sz="0" w:space="0" w:color="auto"/>
      </w:divBdr>
    </w:div>
    <w:div w:id="91215621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836648155">
      <w:bodyDiv w:val="1"/>
      <w:marLeft w:val="0"/>
      <w:marRight w:val="0"/>
      <w:marTop w:val="0"/>
      <w:marBottom w:val="0"/>
      <w:divBdr>
        <w:top w:val="none" w:sz="0" w:space="0" w:color="auto"/>
        <w:left w:val="none" w:sz="0" w:space="0" w:color="auto"/>
        <w:bottom w:val="none" w:sz="0" w:space="0" w:color="auto"/>
        <w:right w:val="none" w:sz="0" w:space="0" w:color="auto"/>
      </w:divBdr>
    </w:div>
    <w:div w:id="1910529740">
      <w:bodyDiv w:val="1"/>
      <w:marLeft w:val="0"/>
      <w:marRight w:val="0"/>
      <w:marTop w:val="0"/>
      <w:marBottom w:val="0"/>
      <w:divBdr>
        <w:top w:val="none" w:sz="0" w:space="0" w:color="auto"/>
        <w:left w:val="none" w:sz="0" w:space="0" w:color="auto"/>
        <w:bottom w:val="none" w:sz="0" w:space="0" w:color="auto"/>
        <w:right w:val="none" w:sz="0" w:space="0" w:color="auto"/>
      </w:divBdr>
    </w:div>
    <w:div w:id="1931892788">
      <w:bodyDiv w:val="1"/>
      <w:marLeft w:val="0"/>
      <w:marRight w:val="0"/>
      <w:marTop w:val="0"/>
      <w:marBottom w:val="0"/>
      <w:divBdr>
        <w:top w:val="none" w:sz="0" w:space="0" w:color="auto"/>
        <w:left w:val="none" w:sz="0" w:space="0" w:color="auto"/>
        <w:bottom w:val="none" w:sz="0" w:space="0" w:color="auto"/>
        <w:right w:val="none" w:sz="0" w:space="0" w:color="auto"/>
      </w:divBdr>
    </w:div>
    <w:div w:id="207716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3" Type="http://schemas.openxmlformats.org/officeDocument/2006/relationships/hyperlink" Target="https://www.ag.gov.au/rights-and-protections/human-rights-and-anti-discrimination/australias-anti-discrimination-law/review-disability-discrimination-act" TargetMode="External"/><Relationship Id="rId2" Type="http://schemas.openxmlformats.org/officeDocument/2006/relationships/hyperlink" Target="https://www.alrc.gov.au/wp-content/uploads/2019/08/alrc_124_whole_pdf_file.pdf" TargetMode="External"/><Relationship Id="rId1" Type="http://schemas.openxmlformats.org/officeDocument/2006/relationships/hyperlink" Target="https://www.ag.gov.au/rights-and-protections/human-rights-and-anti-discrimination/australias-anti-discrimination-law/review-disability-discrimination-act" TargetMode="External"/><Relationship Id="rId5" Type="http://schemas.openxmlformats.org/officeDocument/2006/relationships/hyperlink" Target="https://www.ag.gov.au/rights-and-protections/publications/government-response-privacy-act-review-report" TargetMode="External"/><Relationship Id="rId4" Type="http://schemas.openxmlformats.org/officeDocument/2006/relationships/hyperlink" Target="https://humanrights.gov.au/our-work/rights-and-freedoms/publications/free-and-equal-reform-agenda-federal-discrimination-la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85A9227C-B7D2-4990-BA58-B5E3D152996C}">
    <t:Anchor>
      <t:Comment id="1940941335"/>
    </t:Anchor>
    <t:History>
      <t:Event id="{C1665332-6BF4-4E18-98BC-4230FC9D8B16}" time="2025-03-18T03:33:02.666Z">
        <t:Attribution userId="S::alexandra.dunn@humanrights.gov.au::b8e5b7d9-7273-4502-b615-8d43c45772b6" userProvider="AD" userName="Alexandra Dunn"/>
        <t:Anchor>
          <t:Comment id="1375458331"/>
        </t:Anchor>
        <t:Create/>
      </t:Event>
      <t:Event id="{D7892C8F-8CCC-443A-83BF-CD67C8E24961}" time="2025-03-18T03:33:02.666Z">
        <t:Attribution userId="S::alexandra.dunn@humanrights.gov.au::b8e5b7d9-7273-4502-b615-8d43c45772b6" userProvider="AD" userName="Alexandra Dunn"/>
        <t:Anchor>
          <t:Comment id="1375458331"/>
        </t:Anchor>
        <t:Assign userId="S::louisa.wong@humanrights.gov.au::dd786ba1-49bc-47e3-99b2-69145e36d655" userProvider="AD" userName="Louisa Wong"/>
      </t:Event>
      <t:Event id="{AF07F16D-DAC0-45AC-B042-D6F46A3107C2}" time="2025-03-18T03:33:02.666Z">
        <t:Attribution userId="S::alexandra.dunn@humanrights.gov.au::b8e5b7d9-7273-4502-b615-8d43c45772b6" userProvider="AD" userName="Alexandra Dunn"/>
        <t:Anchor>
          <t:Comment id="1375458331"/>
        </t:Anchor>
        <t:SetTitle title="Legal Review - @Louisa Wong Can you please check endnote 26 and 27. The explanatory text for endnote 26 may not be necessary. "/>
      </t:Event>
      <t:Event id="{91D2E788-FBC6-423E-94D8-7A2A5AE41BC3}" time="2025-03-18T06:23:22.093Z">
        <t:Attribution userId="S::alexandra.dunn@humanrights.gov.au::b8e5b7d9-7273-4502-b615-8d43c45772b6" userProvider="AD" userName="Alexandra Dun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WEV44C3EEZP4-1056255319-9549</_dlc_DocId>
    <_dlc_DocIdUrl xmlns="6500fe01-343b-4fb9-a1b0-68ac19d62e01">
      <Url>https://australianhrc.sharepoint.com/sites/DisabilityRights/_layouts/15/DocIdRedir.aspx?ID=WEV44C3EEZP4-1056255319-9549</Url>
      <Description>WEV44C3EEZP4-1056255319-9549</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975c5ac6-a0cc-43ed-b850-4a2ae59237b6" ContentTypeId="0x0101" PreviousValue="false" LastSyncTimeStamp="2019-01-22T02:06:15.047Z"/>
</file>

<file path=customXml/itemProps1.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2.xml><?xml version="1.0" encoding="utf-8"?>
<ds:datastoreItem xmlns:ds="http://schemas.openxmlformats.org/officeDocument/2006/customXml" ds:itemID="{9D234E28-B345-4108-8EB3-981E9AB2F75F}">
  <ds:schemaRefs>
    <ds:schemaRef ds:uri="http://purl.org/dc/terms/"/>
    <ds:schemaRef ds:uri="http://schemas.microsoft.com/office/2006/documentManagement/types"/>
    <ds:schemaRef ds:uri="d305f544-be6d-4a06-9182-35e488c047b9"/>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39d46e2e-af2c-4283-b2c0-dbe09d693c60"/>
    <ds:schemaRef ds:uri="6500fe01-343b-4fb9-a1b0-68ac19d62e01"/>
    <ds:schemaRef ds:uri="http://www.w3.org/XML/1998/namespace"/>
  </ds:schemaRefs>
</ds:datastoreItem>
</file>

<file path=customXml/itemProps3.xml><?xml version="1.0" encoding="utf-8"?>
<ds:datastoreItem xmlns:ds="http://schemas.openxmlformats.org/officeDocument/2006/customXml" ds:itemID="{0DF7606B-64CD-4B86-8CB1-2E0DE0CD8911}">
  <ds:schemaRefs>
    <ds:schemaRef ds:uri="http://schemas.microsoft.com/office/2006/metadata/customXsn"/>
  </ds:schemaRefs>
</ds:datastoreItem>
</file>

<file path=customXml/itemProps4.xml><?xml version="1.0" encoding="utf-8"?>
<ds:datastoreItem xmlns:ds="http://schemas.openxmlformats.org/officeDocument/2006/customXml" ds:itemID="{D67322B3-4D92-4E52-8079-B9273C73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FFF486-CE15-45B2-AD37-2BE2B10776FD}">
  <ds:schemaRefs>
    <ds:schemaRef ds:uri="http://schemas.microsoft.com/sharepoint/events"/>
  </ds:schemaRefs>
</ds:datastoreItem>
</file>

<file path=customXml/itemProps6.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customXml/itemProps7.xml><?xml version="1.0" encoding="utf-8"?>
<ds:datastoreItem xmlns:ds="http://schemas.openxmlformats.org/officeDocument/2006/customXml" ds:itemID="{3B3C5130-51C0-43DC-86C9-4C38672B5C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6413</Words>
  <Characters>37005</Characters>
  <Application>Microsoft Office Word</Application>
  <DocSecurity>0</DocSecurity>
  <Lines>672</Lines>
  <Paragraphs>224</Paragraphs>
  <ScaleCrop>false</ScaleCrop>
  <Company>Human Rights and Equal Opportunity Commission</Company>
  <LinksUpToDate>false</LinksUpToDate>
  <CharactersWithSpaces>43194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Dunn</dc:creator>
  <cp:keywords/>
  <dc:description/>
  <cp:lastModifiedBy>Alexandra Dunn</cp:lastModifiedBy>
  <cp:revision>2</cp:revision>
  <cp:lastPrinted>2025-03-26T16:33:00Z</cp:lastPrinted>
  <dcterms:created xsi:type="dcterms:W3CDTF">2025-11-05T03:39:00Z</dcterms:created>
  <dcterms:modified xsi:type="dcterms:W3CDTF">2025-11-05T03:39:00Z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350bccba-2d4a-45dd-a9b4-ba162f523b2a</vt:lpwstr>
  </property>
</Properties>
</file>