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44D3" w14:textId="0D4865E1" w:rsidR="0047762D" w:rsidRPr="002D4943" w:rsidRDefault="00D11163" w:rsidP="0047762D">
      <w:pPr>
        <w:pStyle w:val="Title"/>
        <w:spacing w:before="2520"/>
        <w:jc w:val="right"/>
        <w:rPr>
          <w:rFonts w:ascii="Open Sans" w:hAnsi="Open Sans" w:cs="Open Sans"/>
          <w:i/>
          <w:lang w:val="en-AU"/>
        </w:rPr>
      </w:pPr>
      <w:r w:rsidRPr="002D4943">
        <w:rPr>
          <w:rFonts w:ascii="Open Sans" w:hAnsi="Open Sans" w:cs="Open Sans"/>
          <w:noProof/>
        </w:rPr>
        <w:drawing>
          <wp:anchor distT="0" distB="0" distL="114300" distR="114300" simplePos="0" relativeHeight="251658240" behindDoc="1" locked="1" layoutInCell="1" allowOverlap="1" wp14:anchorId="120CC1EC" wp14:editId="6C6C291F">
            <wp:simplePos x="0" y="0"/>
            <wp:positionH relativeFrom="page">
              <wp:posOffset>10795</wp:posOffset>
            </wp:positionH>
            <wp:positionV relativeFrom="page">
              <wp:posOffset>-6985</wp:posOffset>
            </wp:positionV>
            <wp:extent cx="7573013" cy="10713394"/>
            <wp:effectExtent l="0" t="0" r="0" b="0"/>
            <wp:wrapNone/>
            <wp:docPr id="1511016239" name="Picture 2" descr="Australian Human Rights Commission.&#10;www.humanright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16239" name="Picture 2" descr="Australian Human Rights Commission.&#10;www.humanrights.gov.au"/>
                    <pic:cNvPicPr/>
                  </pic:nvPicPr>
                  <pic:blipFill>
                    <a:blip r:embed="rId14">
                      <a:extLst>
                        <a:ext uri="{28A0092B-C50C-407E-A947-70E740481C1C}">
                          <a14:useLocalDpi xmlns:a14="http://schemas.microsoft.com/office/drawing/2010/main"/>
                        </a:ext>
                      </a:extLst>
                    </a:blip>
                    <a:stretch>
                      <a:fillRect/>
                    </a:stretch>
                  </pic:blipFill>
                  <pic:spPr>
                    <a:xfrm>
                      <a:off x="0" y="0"/>
                      <a:ext cx="7573013" cy="10713394"/>
                    </a:xfrm>
                    <a:prstGeom prst="rect">
                      <a:avLst/>
                    </a:prstGeom>
                  </pic:spPr>
                </pic:pic>
              </a:graphicData>
            </a:graphic>
            <wp14:sizeRelH relativeFrom="margin">
              <wp14:pctWidth>0</wp14:pctWidth>
            </wp14:sizeRelH>
            <wp14:sizeRelV relativeFrom="margin">
              <wp14:pctHeight>0</wp14:pctHeight>
            </wp14:sizeRelV>
          </wp:anchor>
        </w:drawing>
      </w:r>
      <w:r w:rsidR="0047762D" w:rsidRPr="002D4943">
        <w:rPr>
          <w:rFonts w:ascii="Open Sans" w:hAnsi="Open Sans" w:cs="Open Sans"/>
        </w:rPr>
        <w:t xml:space="preserve"> </w:t>
      </w:r>
      <w:r w:rsidR="0047762D" w:rsidRPr="0CCE7D1F">
        <w:rPr>
          <w:rFonts w:ascii="Open Sans" w:hAnsi="Open Sans" w:cs="Open Sans"/>
          <w:i/>
          <w:iCs/>
          <w:lang w:val="en-AU"/>
        </w:rPr>
        <w:t>Disability Discrimination</w:t>
      </w:r>
    </w:p>
    <w:p w14:paraId="09807BA6" w14:textId="5A4B2782" w:rsidR="007B2DB2" w:rsidRPr="002D4943" w:rsidRDefault="0047762D" w:rsidP="0047762D">
      <w:pPr>
        <w:pStyle w:val="Title"/>
        <w:spacing w:before="2520"/>
        <w:jc w:val="right"/>
        <w:rPr>
          <w:rFonts w:ascii="Open Sans" w:hAnsi="Open Sans" w:cs="Open Sans"/>
          <w:lang w:val="en-AU"/>
        </w:rPr>
      </w:pPr>
      <w:r w:rsidRPr="002D4943">
        <w:rPr>
          <w:rFonts w:ascii="Open Sans" w:hAnsi="Open Sans" w:cs="Open Sans"/>
          <w:i/>
          <w:lang w:val="en-AU"/>
        </w:rPr>
        <w:t>Act 1992</w:t>
      </w:r>
      <w:r w:rsidR="00D72D21" w:rsidRPr="002D4943">
        <w:rPr>
          <w:rFonts w:ascii="Open Sans" w:hAnsi="Open Sans" w:cs="Open Sans"/>
          <w:lang w:val="en-AU"/>
        </w:rPr>
        <w:t xml:space="preserve"> (</w:t>
      </w:r>
      <w:proofErr w:type="spellStart"/>
      <w:r w:rsidR="00E20FA1" w:rsidRPr="002D4943">
        <w:rPr>
          <w:rFonts w:ascii="Open Sans" w:hAnsi="Open Sans" w:cs="Open Sans"/>
          <w:lang w:val="en-AU"/>
        </w:rPr>
        <w:t>Cth</w:t>
      </w:r>
      <w:proofErr w:type="spellEnd"/>
      <w:r w:rsidR="00D72D21" w:rsidRPr="002D4943">
        <w:rPr>
          <w:rFonts w:ascii="Open Sans" w:hAnsi="Open Sans" w:cs="Open Sans"/>
          <w:lang w:val="en-AU"/>
        </w:rPr>
        <w:t>)</w:t>
      </w:r>
      <w:r w:rsidRPr="002D4943">
        <w:rPr>
          <w:rFonts w:ascii="Open Sans" w:hAnsi="Open Sans" w:cs="Open Sans"/>
          <w:lang w:val="en-AU"/>
        </w:rPr>
        <w:t xml:space="preserve"> Review</w:t>
      </w:r>
    </w:p>
    <w:p w14:paraId="05675DD6" w14:textId="77777777" w:rsidR="0047762D" w:rsidRPr="0000563D" w:rsidRDefault="0047762D" w:rsidP="009F62EB">
      <w:pPr>
        <w:pStyle w:val="Subtitle"/>
        <w:jc w:val="right"/>
        <w:rPr>
          <w:rFonts w:cs="Open Sans"/>
        </w:rPr>
      </w:pPr>
      <w:r w:rsidRPr="0000563D">
        <w:rPr>
          <w:rFonts w:cs="Open Sans"/>
        </w:rPr>
        <w:t>Submission to the Attorney-General’s Department</w:t>
      </w:r>
    </w:p>
    <w:p w14:paraId="20A64C17" w14:textId="458C3740" w:rsidR="0036065F" w:rsidRPr="0000563D" w:rsidRDefault="002D4943" w:rsidP="009F62EB">
      <w:pPr>
        <w:pStyle w:val="Subtitle"/>
        <w:jc w:val="right"/>
        <w:rPr>
          <w:rFonts w:cs="Open Sans"/>
        </w:rPr>
      </w:pPr>
      <w:r>
        <w:rPr>
          <w:rFonts w:cs="Open Sans"/>
        </w:rPr>
        <w:t>14 November 2025</w:t>
      </w:r>
    </w:p>
    <w:sdt>
      <w:sdtPr>
        <w:rPr>
          <w:rFonts w:ascii="Open Sans" w:eastAsiaTheme="minorEastAsia" w:hAnsi="Open Sans" w:cs="Open Sans"/>
          <w:b w:val="0"/>
          <w:noProof/>
          <w:color w:val="000000" w:themeColor="text1"/>
          <w:sz w:val="24"/>
          <w:szCs w:val="24"/>
          <w:lang w:val="en-AU" w:eastAsia="ja-JP"/>
        </w:rPr>
        <w:id w:val="672380359"/>
        <w:docPartObj>
          <w:docPartGallery w:val="Table of Contents"/>
          <w:docPartUnique/>
        </w:docPartObj>
      </w:sdtPr>
      <w:sdtEndPr>
        <w:rPr>
          <w:b/>
          <w:bCs/>
          <w:color w:val="143C65" w:themeColor="accent1"/>
        </w:rPr>
      </w:sdtEndPr>
      <w:sdtContent>
        <w:p w14:paraId="26C1D278" w14:textId="44935BE7" w:rsidR="00AA0C6A" w:rsidRPr="002D4943" w:rsidRDefault="00AA0C6A" w:rsidP="008E6114">
          <w:pPr>
            <w:pStyle w:val="TOCHeading"/>
            <w:rPr>
              <w:rFonts w:ascii="Open Sans" w:hAnsi="Open Sans" w:cs="Open Sans"/>
              <w:lang w:val="en-AU"/>
            </w:rPr>
          </w:pPr>
          <w:r w:rsidRPr="002D4943">
            <w:rPr>
              <w:rFonts w:ascii="Open Sans" w:hAnsi="Open Sans" w:cs="Open Sans"/>
              <w:lang w:val="en-AU"/>
            </w:rPr>
            <w:t>Contents</w:t>
          </w:r>
        </w:p>
        <w:p w14:paraId="19D7C3F8" w14:textId="6FD4FCB8" w:rsidR="00790427" w:rsidRDefault="0069742B">
          <w:pPr>
            <w:pStyle w:val="TOC1"/>
            <w:rPr>
              <w:rFonts w:asciiTheme="minorHAnsi" w:hAnsiTheme="minorHAnsi"/>
              <w:b w:val="0"/>
              <w:color w:val="auto"/>
              <w:kern w:val="2"/>
              <w:lang w:eastAsia="en-AU"/>
              <w14:ligatures w14:val="standardContextual"/>
            </w:rPr>
          </w:pPr>
          <w:r w:rsidRPr="0000563D">
            <w:rPr>
              <w:rFonts w:cs="Open Sans"/>
              <w:b w:val="0"/>
              <w:sz w:val="22"/>
            </w:rPr>
            <w:fldChar w:fldCharType="begin"/>
          </w:r>
          <w:r w:rsidRPr="0000563D">
            <w:rPr>
              <w:rFonts w:cs="Open Sans"/>
              <w:b w:val="0"/>
              <w:sz w:val="22"/>
            </w:rPr>
            <w:instrText xml:space="preserve"> TOC \o "1-1" \h \z \t "Heading 2,2" </w:instrText>
          </w:r>
          <w:r w:rsidRPr="0000563D">
            <w:rPr>
              <w:rFonts w:cs="Open Sans"/>
              <w:b w:val="0"/>
              <w:sz w:val="22"/>
            </w:rPr>
            <w:fldChar w:fldCharType="separate"/>
          </w:r>
          <w:hyperlink w:anchor="_Toc214961106" w:history="1">
            <w:r w:rsidR="00790427" w:rsidRPr="00164E9C">
              <w:rPr>
                <w:rStyle w:val="Hyperlink"/>
                <w:rFonts w:cs="Open Sans"/>
              </w:rPr>
              <w:t>Overview</w:t>
            </w:r>
            <w:r w:rsidR="00790427">
              <w:rPr>
                <w:webHidden/>
              </w:rPr>
              <w:tab/>
            </w:r>
            <w:r w:rsidR="00790427">
              <w:rPr>
                <w:webHidden/>
              </w:rPr>
              <w:fldChar w:fldCharType="begin"/>
            </w:r>
            <w:r w:rsidR="00790427">
              <w:rPr>
                <w:webHidden/>
              </w:rPr>
              <w:instrText xml:space="preserve"> PAGEREF _Toc214961106 \h </w:instrText>
            </w:r>
            <w:r w:rsidR="00790427">
              <w:rPr>
                <w:webHidden/>
              </w:rPr>
            </w:r>
            <w:r w:rsidR="00790427">
              <w:rPr>
                <w:webHidden/>
              </w:rPr>
              <w:fldChar w:fldCharType="separate"/>
            </w:r>
            <w:r w:rsidR="00EF6C83">
              <w:rPr>
                <w:webHidden/>
              </w:rPr>
              <w:t>5</w:t>
            </w:r>
            <w:r w:rsidR="00790427">
              <w:rPr>
                <w:webHidden/>
              </w:rPr>
              <w:fldChar w:fldCharType="end"/>
            </w:r>
          </w:hyperlink>
        </w:p>
        <w:p w14:paraId="0585B6BF" w14:textId="311CE68B" w:rsidR="00790427" w:rsidRDefault="00790427">
          <w:pPr>
            <w:pStyle w:val="TOC2"/>
            <w:rPr>
              <w:rFonts w:asciiTheme="minorHAnsi" w:hAnsiTheme="minorHAnsi"/>
              <w:color w:val="auto"/>
              <w:kern w:val="2"/>
              <w:lang w:val="en-AU" w:eastAsia="en-AU"/>
              <w14:ligatures w14:val="standardContextual"/>
            </w:rPr>
          </w:pPr>
          <w:hyperlink w:anchor="_Toc214961107" w:history="1">
            <w:r w:rsidRPr="00164E9C">
              <w:rPr>
                <w:rStyle w:val="Hyperlink"/>
                <w:rFonts w:cs="Open Sans"/>
              </w:rPr>
              <w:t>Summary</w:t>
            </w:r>
            <w:r>
              <w:rPr>
                <w:webHidden/>
              </w:rPr>
              <w:tab/>
            </w:r>
            <w:r>
              <w:rPr>
                <w:webHidden/>
              </w:rPr>
              <w:fldChar w:fldCharType="begin"/>
            </w:r>
            <w:r>
              <w:rPr>
                <w:webHidden/>
              </w:rPr>
              <w:instrText xml:space="preserve"> PAGEREF _Toc214961107 \h </w:instrText>
            </w:r>
            <w:r>
              <w:rPr>
                <w:webHidden/>
              </w:rPr>
            </w:r>
            <w:r>
              <w:rPr>
                <w:webHidden/>
              </w:rPr>
              <w:fldChar w:fldCharType="separate"/>
            </w:r>
            <w:r w:rsidR="00EF6C83">
              <w:rPr>
                <w:webHidden/>
              </w:rPr>
              <w:t>5</w:t>
            </w:r>
            <w:r>
              <w:rPr>
                <w:webHidden/>
              </w:rPr>
              <w:fldChar w:fldCharType="end"/>
            </w:r>
          </w:hyperlink>
        </w:p>
        <w:p w14:paraId="75C072F5" w14:textId="75F8FD4A" w:rsidR="00790427" w:rsidRDefault="00790427">
          <w:pPr>
            <w:pStyle w:val="TOC2"/>
            <w:rPr>
              <w:rFonts w:asciiTheme="minorHAnsi" w:hAnsiTheme="minorHAnsi"/>
              <w:color w:val="auto"/>
              <w:kern w:val="2"/>
              <w:lang w:val="en-AU" w:eastAsia="en-AU"/>
              <w14:ligatures w14:val="standardContextual"/>
            </w:rPr>
          </w:pPr>
          <w:hyperlink w:anchor="_Toc214961108" w:history="1">
            <w:r w:rsidRPr="00164E9C">
              <w:rPr>
                <w:rStyle w:val="Hyperlink"/>
                <w:rFonts w:cs="Open Sans"/>
              </w:rPr>
              <w:t>Recommendations</w:t>
            </w:r>
            <w:r>
              <w:rPr>
                <w:webHidden/>
              </w:rPr>
              <w:tab/>
            </w:r>
            <w:r>
              <w:rPr>
                <w:webHidden/>
              </w:rPr>
              <w:fldChar w:fldCharType="begin"/>
            </w:r>
            <w:r>
              <w:rPr>
                <w:webHidden/>
              </w:rPr>
              <w:instrText xml:space="preserve"> PAGEREF _Toc214961108 \h </w:instrText>
            </w:r>
            <w:r>
              <w:rPr>
                <w:webHidden/>
              </w:rPr>
            </w:r>
            <w:r>
              <w:rPr>
                <w:webHidden/>
              </w:rPr>
              <w:fldChar w:fldCharType="separate"/>
            </w:r>
            <w:r w:rsidR="00EF6C83">
              <w:rPr>
                <w:webHidden/>
              </w:rPr>
              <w:t>6</w:t>
            </w:r>
            <w:r>
              <w:rPr>
                <w:webHidden/>
              </w:rPr>
              <w:fldChar w:fldCharType="end"/>
            </w:r>
          </w:hyperlink>
        </w:p>
        <w:p w14:paraId="73071C55" w14:textId="3C655F08" w:rsidR="00790427" w:rsidRDefault="00790427">
          <w:pPr>
            <w:pStyle w:val="TOC1"/>
            <w:rPr>
              <w:rFonts w:asciiTheme="minorHAnsi" w:hAnsiTheme="minorHAnsi"/>
              <w:b w:val="0"/>
              <w:color w:val="auto"/>
              <w:kern w:val="2"/>
              <w:lang w:eastAsia="en-AU"/>
              <w14:ligatures w14:val="standardContextual"/>
            </w:rPr>
          </w:pPr>
          <w:hyperlink w:anchor="_Toc214961109" w:history="1">
            <w:r w:rsidRPr="00164E9C">
              <w:rPr>
                <w:rStyle w:val="Hyperlink"/>
                <w:rFonts w:cs="Open Sans"/>
              </w:rPr>
              <w:t>1</w:t>
            </w:r>
            <w:r>
              <w:rPr>
                <w:rFonts w:asciiTheme="minorHAnsi" w:hAnsiTheme="minorHAnsi"/>
                <w:b w:val="0"/>
                <w:color w:val="auto"/>
                <w:kern w:val="2"/>
                <w:lang w:eastAsia="en-AU"/>
                <w14:ligatures w14:val="standardContextual"/>
              </w:rPr>
              <w:tab/>
            </w:r>
            <w:r w:rsidRPr="00164E9C">
              <w:rPr>
                <w:rStyle w:val="Hyperlink"/>
                <w:rFonts w:cs="Open Sans"/>
              </w:rPr>
              <w:t>Introduction</w:t>
            </w:r>
            <w:r>
              <w:rPr>
                <w:webHidden/>
              </w:rPr>
              <w:tab/>
            </w:r>
            <w:r>
              <w:rPr>
                <w:webHidden/>
              </w:rPr>
              <w:fldChar w:fldCharType="begin"/>
            </w:r>
            <w:r>
              <w:rPr>
                <w:webHidden/>
              </w:rPr>
              <w:instrText xml:space="preserve"> PAGEREF _Toc214961109 \h </w:instrText>
            </w:r>
            <w:r>
              <w:rPr>
                <w:webHidden/>
              </w:rPr>
            </w:r>
            <w:r>
              <w:rPr>
                <w:webHidden/>
              </w:rPr>
              <w:fldChar w:fldCharType="separate"/>
            </w:r>
            <w:r w:rsidR="00EF6C83">
              <w:rPr>
                <w:webHidden/>
              </w:rPr>
              <w:t>11</w:t>
            </w:r>
            <w:r>
              <w:rPr>
                <w:webHidden/>
              </w:rPr>
              <w:fldChar w:fldCharType="end"/>
            </w:r>
          </w:hyperlink>
        </w:p>
        <w:p w14:paraId="72D6E87B" w14:textId="2A3093C4" w:rsidR="00790427" w:rsidRDefault="00790427">
          <w:pPr>
            <w:pStyle w:val="TOC1"/>
            <w:rPr>
              <w:rFonts w:asciiTheme="minorHAnsi" w:hAnsiTheme="minorHAnsi"/>
              <w:b w:val="0"/>
              <w:color w:val="auto"/>
              <w:kern w:val="2"/>
              <w:lang w:eastAsia="en-AU"/>
              <w14:ligatures w14:val="standardContextual"/>
            </w:rPr>
          </w:pPr>
          <w:hyperlink w:anchor="_Toc214961110" w:history="1">
            <w:r w:rsidRPr="00164E9C">
              <w:rPr>
                <w:rStyle w:val="Hyperlink"/>
                <w:rFonts w:cs="Open Sans"/>
              </w:rPr>
              <w:t>2</w:t>
            </w:r>
            <w:r>
              <w:rPr>
                <w:rFonts w:asciiTheme="minorHAnsi" w:hAnsiTheme="minorHAnsi"/>
                <w:b w:val="0"/>
                <w:color w:val="auto"/>
                <w:kern w:val="2"/>
                <w:lang w:eastAsia="en-AU"/>
                <w14:ligatures w14:val="standardContextual"/>
              </w:rPr>
              <w:tab/>
            </w:r>
            <w:r w:rsidRPr="00164E9C">
              <w:rPr>
                <w:rStyle w:val="Hyperlink"/>
                <w:rFonts w:cs="Open Sans"/>
              </w:rPr>
              <w:t>Human Rights Framework</w:t>
            </w:r>
            <w:r>
              <w:rPr>
                <w:webHidden/>
              </w:rPr>
              <w:tab/>
            </w:r>
            <w:r>
              <w:rPr>
                <w:webHidden/>
              </w:rPr>
              <w:fldChar w:fldCharType="begin"/>
            </w:r>
            <w:r>
              <w:rPr>
                <w:webHidden/>
              </w:rPr>
              <w:instrText xml:space="preserve"> PAGEREF _Toc214961110 \h </w:instrText>
            </w:r>
            <w:r>
              <w:rPr>
                <w:webHidden/>
              </w:rPr>
            </w:r>
            <w:r>
              <w:rPr>
                <w:webHidden/>
              </w:rPr>
              <w:fldChar w:fldCharType="separate"/>
            </w:r>
            <w:r w:rsidR="00EF6C83">
              <w:rPr>
                <w:webHidden/>
              </w:rPr>
              <w:t>12</w:t>
            </w:r>
            <w:r>
              <w:rPr>
                <w:webHidden/>
              </w:rPr>
              <w:fldChar w:fldCharType="end"/>
            </w:r>
          </w:hyperlink>
        </w:p>
        <w:p w14:paraId="39A19D69" w14:textId="6460BBE1" w:rsidR="00790427" w:rsidRDefault="00790427">
          <w:pPr>
            <w:pStyle w:val="TOC2"/>
            <w:rPr>
              <w:rFonts w:asciiTheme="minorHAnsi" w:hAnsiTheme="minorHAnsi"/>
              <w:color w:val="auto"/>
              <w:kern w:val="2"/>
              <w:lang w:val="en-AU" w:eastAsia="en-AU"/>
              <w14:ligatures w14:val="standardContextual"/>
            </w:rPr>
          </w:pPr>
          <w:hyperlink w:anchor="_Toc214961111" w:history="1">
            <w:r w:rsidRPr="00164E9C">
              <w:rPr>
                <w:rStyle w:val="Hyperlink"/>
                <w:rFonts w:cs="Open Sans"/>
              </w:rPr>
              <w:t xml:space="preserve">The UN </w:t>
            </w:r>
            <w:r w:rsidRPr="00164E9C">
              <w:rPr>
                <w:rStyle w:val="Hyperlink"/>
                <w:rFonts w:cs="Open Sans"/>
                <w:i/>
              </w:rPr>
              <w:t xml:space="preserve">Convention on the Rights of Persons with Disabilities </w:t>
            </w:r>
            <w:r w:rsidRPr="00164E9C">
              <w:rPr>
                <w:rStyle w:val="Hyperlink"/>
                <w:rFonts w:cs="Open Sans"/>
              </w:rPr>
              <w:t>(CRPD)</w:t>
            </w:r>
            <w:r>
              <w:rPr>
                <w:webHidden/>
              </w:rPr>
              <w:tab/>
            </w:r>
            <w:r>
              <w:rPr>
                <w:webHidden/>
              </w:rPr>
              <w:fldChar w:fldCharType="begin"/>
            </w:r>
            <w:r>
              <w:rPr>
                <w:webHidden/>
              </w:rPr>
              <w:instrText xml:space="preserve"> PAGEREF _Toc214961111 \h </w:instrText>
            </w:r>
            <w:r>
              <w:rPr>
                <w:webHidden/>
              </w:rPr>
            </w:r>
            <w:r>
              <w:rPr>
                <w:webHidden/>
              </w:rPr>
              <w:fldChar w:fldCharType="separate"/>
            </w:r>
            <w:r w:rsidR="00EF6C83">
              <w:rPr>
                <w:webHidden/>
              </w:rPr>
              <w:t>12</w:t>
            </w:r>
            <w:r>
              <w:rPr>
                <w:webHidden/>
              </w:rPr>
              <w:fldChar w:fldCharType="end"/>
            </w:r>
          </w:hyperlink>
        </w:p>
        <w:p w14:paraId="0820A030" w14:textId="23F73B0B" w:rsidR="00790427" w:rsidRDefault="00790427">
          <w:pPr>
            <w:pStyle w:val="TOC2"/>
            <w:rPr>
              <w:rFonts w:asciiTheme="minorHAnsi" w:hAnsiTheme="minorHAnsi"/>
              <w:color w:val="auto"/>
              <w:kern w:val="2"/>
              <w:lang w:val="en-AU" w:eastAsia="en-AU"/>
              <w14:ligatures w14:val="standardContextual"/>
            </w:rPr>
          </w:pPr>
          <w:hyperlink w:anchor="_Toc214961112" w:history="1">
            <w:r w:rsidRPr="00164E9C">
              <w:rPr>
                <w:rStyle w:val="Hyperlink"/>
                <w:rFonts w:cs="Open Sans"/>
              </w:rPr>
              <w:t>Disability Discrimination Act interpretation clauses</w:t>
            </w:r>
            <w:r>
              <w:rPr>
                <w:webHidden/>
              </w:rPr>
              <w:tab/>
            </w:r>
            <w:r>
              <w:rPr>
                <w:webHidden/>
              </w:rPr>
              <w:fldChar w:fldCharType="begin"/>
            </w:r>
            <w:r>
              <w:rPr>
                <w:webHidden/>
              </w:rPr>
              <w:instrText xml:space="preserve"> PAGEREF _Toc214961112 \h </w:instrText>
            </w:r>
            <w:r>
              <w:rPr>
                <w:webHidden/>
              </w:rPr>
            </w:r>
            <w:r>
              <w:rPr>
                <w:webHidden/>
              </w:rPr>
              <w:fldChar w:fldCharType="separate"/>
            </w:r>
            <w:r w:rsidR="00EF6C83">
              <w:rPr>
                <w:webHidden/>
              </w:rPr>
              <w:t>15</w:t>
            </w:r>
            <w:r>
              <w:rPr>
                <w:webHidden/>
              </w:rPr>
              <w:fldChar w:fldCharType="end"/>
            </w:r>
          </w:hyperlink>
        </w:p>
        <w:p w14:paraId="66ADF926" w14:textId="5B260562" w:rsidR="00790427" w:rsidRDefault="00790427">
          <w:pPr>
            <w:pStyle w:val="TOC2"/>
            <w:rPr>
              <w:rFonts w:asciiTheme="minorHAnsi" w:hAnsiTheme="minorHAnsi"/>
              <w:color w:val="auto"/>
              <w:kern w:val="2"/>
              <w:lang w:val="en-AU" w:eastAsia="en-AU"/>
              <w14:ligatures w14:val="standardContextual"/>
            </w:rPr>
          </w:pPr>
          <w:hyperlink w:anchor="_Toc214961113" w:history="1">
            <w:r w:rsidRPr="00164E9C">
              <w:rPr>
                <w:rStyle w:val="Hyperlink"/>
                <w:rFonts w:cs="Open Sans"/>
              </w:rPr>
              <w:t>CRPD Independent Monitoring Mechanism</w:t>
            </w:r>
            <w:r>
              <w:rPr>
                <w:webHidden/>
              </w:rPr>
              <w:tab/>
            </w:r>
            <w:r>
              <w:rPr>
                <w:webHidden/>
              </w:rPr>
              <w:fldChar w:fldCharType="begin"/>
            </w:r>
            <w:r>
              <w:rPr>
                <w:webHidden/>
              </w:rPr>
              <w:instrText xml:space="preserve"> PAGEREF _Toc214961113 \h </w:instrText>
            </w:r>
            <w:r>
              <w:rPr>
                <w:webHidden/>
              </w:rPr>
            </w:r>
            <w:r>
              <w:rPr>
                <w:webHidden/>
              </w:rPr>
              <w:fldChar w:fldCharType="separate"/>
            </w:r>
            <w:r w:rsidR="00EF6C83">
              <w:rPr>
                <w:webHidden/>
              </w:rPr>
              <w:t>17</w:t>
            </w:r>
            <w:r>
              <w:rPr>
                <w:webHidden/>
              </w:rPr>
              <w:fldChar w:fldCharType="end"/>
            </w:r>
          </w:hyperlink>
        </w:p>
        <w:p w14:paraId="3B3C0AFC" w14:textId="6AF090D6" w:rsidR="00790427" w:rsidRDefault="00790427">
          <w:pPr>
            <w:pStyle w:val="TOC2"/>
            <w:rPr>
              <w:rFonts w:asciiTheme="minorHAnsi" w:hAnsiTheme="minorHAnsi"/>
              <w:color w:val="auto"/>
              <w:kern w:val="2"/>
              <w:lang w:val="en-AU" w:eastAsia="en-AU"/>
              <w14:ligatures w14:val="standardContextual"/>
            </w:rPr>
          </w:pPr>
          <w:hyperlink w:anchor="_Toc214961114" w:history="1">
            <w:r w:rsidRPr="00164E9C">
              <w:rPr>
                <w:rStyle w:val="Hyperlink"/>
                <w:rFonts w:cs="Open Sans"/>
              </w:rPr>
              <w:t>Australia’s Human Rights Framework</w:t>
            </w:r>
            <w:r>
              <w:rPr>
                <w:webHidden/>
              </w:rPr>
              <w:tab/>
            </w:r>
            <w:r>
              <w:rPr>
                <w:webHidden/>
              </w:rPr>
              <w:fldChar w:fldCharType="begin"/>
            </w:r>
            <w:r>
              <w:rPr>
                <w:webHidden/>
              </w:rPr>
              <w:instrText xml:space="preserve"> PAGEREF _Toc214961114 \h </w:instrText>
            </w:r>
            <w:r>
              <w:rPr>
                <w:webHidden/>
              </w:rPr>
            </w:r>
            <w:r>
              <w:rPr>
                <w:webHidden/>
              </w:rPr>
              <w:fldChar w:fldCharType="separate"/>
            </w:r>
            <w:r w:rsidR="00EF6C83">
              <w:rPr>
                <w:webHidden/>
              </w:rPr>
              <w:t>18</w:t>
            </w:r>
            <w:r>
              <w:rPr>
                <w:webHidden/>
              </w:rPr>
              <w:fldChar w:fldCharType="end"/>
            </w:r>
          </w:hyperlink>
        </w:p>
        <w:p w14:paraId="097E39C5" w14:textId="2B615D02" w:rsidR="00790427" w:rsidRDefault="00790427">
          <w:pPr>
            <w:pStyle w:val="TOC2"/>
            <w:rPr>
              <w:rFonts w:asciiTheme="minorHAnsi" w:hAnsiTheme="minorHAnsi"/>
              <w:color w:val="auto"/>
              <w:kern w:val="2"/>
              <w:lang w:val="en-AU" w:eastAsia="en-AU"/>
              <w14:ligatures w14:val="standardContextual"/>
            </w:rPr>
          </w:pPr>
          <w:hyperlink w:anchor="_Toc214961115" w:history="1">
            <w:r w:rsidRPr="00164E9C">
              <w:rPr>
                <w:rStyle w:val="Hyperlink"/>
                <w:rFonts w:cs="Open Sans"/>
              </w:rPr>
              <w:t>Intersectional discrimination</w:t>
            </w:r>
            <w:r>
              <w:rPr>
                <w:webHidden/>
              </w:rPr>
              <w:tab/>
            </w:r>
            <w:r>
              <w:rPr>
                <w:webHidden/>
              </w:rPr>
              <w:fldChar w:fldCharType="begin"/>
            </w:r>
            <w:r>
              <w:rPr>
                <w:webHidden/>
              </w:rPr>
              <w:instrText xml:space="preserve"> PAGEREF _Toc214961115 \h </w:instrText>
            </w:r>
            <w:r>
              <w:rPr>
                <w:webHidden/>
              </w:rPr>
            </w:r>
            <w:r>
              <w:rPr>
                <w:webHidden/>
              </w:rPr>
              <w:fldChar w:fldCharType="separate"/>
            </w:r>
            <w:r w:rsidR="00EF6C83">
              <w:rPr>
                <w:webHidden/>
              </w:rPr>
              <w:t>20</w:t>
            </w:r>
            <w:r>
              <w:rPr>
                <w:webHidden/>
              </w:rPr>
              <w:fldChar w:fldCharType="end"/>
            </w:r>
          </w:hyperlink>
        </w:p>
        <w:p w14:paraId="4A7AF456" w14:textId="354C8EFF" w:rsidR="00790427" w:rsidRDefault="00790427">
          <w:pPr>
            <w:pStyle w:val="TOC2"/>
            <w:rPr>
              <w:rFonts w:asciiTheme="minorHAnsi" w:hAnsiTheme="minorHAnsi"/>
              <w:color w:val="auto"/>
              <w:kern w:val="2"/>
              <w:lang w:val="en-AU" w:eastAsia="en-AU"/>
              <w14:ligatures w14:val="standardContextual"/>
            </w:rPr>
          </w:pPr>
          <w:hyperlink w:anchor="_Toc214961116" w:history="1">
            <w:r w:rsidRPr="00164E9C">
              <w:rPr>
                <w:rStyle w:val="Hyperlink"/>
                <w:rFonts w:cs="Open Sans"/>
              </w:rPr>
              <w:t>Complaints handling and the requirement to notify of adverse allegations</w:t>
            </w:r>
            <w:r>
              <w:rPr>
                <w:webHidden/>
              </w:rPr>
              <w:tab/>
            </w:r>
            <w:r>
              <w:rPr>
                <w:webHidden/>
              </w:rPr>
              <w:fldChar w:fldCharType="begin"/>
            </w:r>
            <w:r>
              <w:rPr>
                <w:webHidden/>
              </w:rPr>
              <w:instrText xml:space="preserve"> PAGEREF _Toc214961116 \h </w:instrText>
            </w:r>
            <w:r>
              <w:rPr>
                <w:webHidden/>
              </w:rPr>
            </w:r>
            <w:r>
              <w:rPr>
                <w:webHidden/>
              </w:rPr>
              <w:fldChar w:fldCharType="separate"/>
            </w:r>
            <w:r w:rsidR="00EF6C83">
              <w:rPr>
                <w:webHidden/>
              </w:rPr>
              <w:t>22</w:t>
            </w:r>
            <w:r>
              <w:rPr>
                <w:webHidden/>
              </w:rPr>
              <w:fldChar w:fldCharType="end"/>
            </w:r>
          </w:hyperlink>
        </w:p>
        <w:p w14:paraId="69FC62CD" w14:textId="60E948E5" w:rsidR="00790427" w:rsidRDefault="00790427">
          <w:pPr>
            <w:pStyle w:val="TOC1"/>
            <w:rPr>
              <w:rFonts w:asciiTheme="minorHAnsi" w:hAnsiTheme="minorHAnsi"/>
              <w:b w:val="0"/>
              <w:color w:val="auto"/>
              <w:kern w:val="2"/>
              <w:lang w:eastAsia="en-AU"/>
              <w14:ligatures w14:val="standardContextual"/>
            </w:rPr>
          </w:pPr>
          <w:hyperlink w:anchor="_Toc214961117" w:history="1">
            <w:r w:rsidRPr="00164E9C">
              <w:rPr>
                <w:rStyle w:val="Hyperlink"/>
                <w:rFonts w:cs="Open Sans"/>
              </w:rPr>
              <w:t>3</w:t>
            </w:r>
            <w:r>
              <w:rPr>
                <w:rFonts w:asciiTheme="minorHAnsi" w:hAnsiTheme="minorHAnsi"/>
                <w:b w:val="0"/>
                <w:color w:val="auto"/>
                <w:kern w:val="2"/>
                <w:lang w:eastAsia="en-AU"/>
                <w14:ligatures w14:val="standardContextual"/>
              </w:rPr>
              <w:tab/>
            </w:r>
            <w:r w:rsidRPr="00164E9C">
              <w:rPr>
                <w:rStyle w:val="Hyperlink"/>
                <w:rFonts w:cs="Open Sans"/>
              </w:rPr>
              <w:t>Definitions of discrimination and defences</w:t>
            </w:r>
            <w:r>
              <w:rPr>
                <w:webHidden/>
              </w:rPr>
              <w:tab/>
            </w:r>
            <w:r>
              <w:rPr>
                <w:webHidden/>
              </w:rPr>
              <w:fldChar w:fldCharType="begin"/>
            </w:r>
            <w:r>
              <w:rPr>
                <w:webHidden/>
              </w:rPr>
              <w:instrText xml:space="preserve"> PAGEREF _Toc214961117 \h </w:instrText>
            </w:r>
            <w:r>
              <w:rPr>
                <w:webHidden/>
              </w:rPr>
            </w:r>
            <w:r>
              <w:rPr>
                <w:webHidden/>
              </w:rPr>
              <w:fldChar w:fldCharType="separate"/>
            </w:r>
            <w:r w:rsidR="00EF6C83">
              <w:rPr>
                <w:webHidden/>
              </w:rPr>
              <w:t>23</w:t>
            </w:r>
            <w:r>
              <w:rPr>
                <w:webHidden/>
              </w:rPr>
              <w:fldChar w:fldCharType="end"/>
            </w:r>
          </w:hyperlink>
        </w:p>
        <w:p w14:paraId="12675154" w14:textId="09259A91" w:rsidR="00790427" w:rsidRDefault="00790427">
          <w:pPr>
            <w:pStyle w:val="TOC2"/>
            <w:rPr>
              <w:rFonts w:asciiTheme="minorHAnsi" w:hAnsiTheme="minorHAnsi"/>
              <w:color w:val="auto"/>
              <w:kern w:val="2"/>
              <w:lang w:val="en-AU" w:eastAsia="en-AU"/>
              <w14:ligatures w14:val="standardContextual"/>
            </w:rPr>
          </w:pPr>
          <w:hyperlink w:anchor="_Toc214961118" w:history="1">
            <w:r w:rsidRPr="00164E9C">
              <w:rPr>
                <w:rStyle w:val="Hyperlink"/>
                <w:rFonts w:cs="Open Sans"/>
              </w:rPr>
              <w:t>Direct discrimination</w:t>
            </w:r>
            <w:r>
              <w:rPr>
                <w:webHidden/>
              </w:rPr>
              <w:tab/>
            </w:r>
            <w:r>
              <w:rPr>
                <w:webHidden/>
              </w:rPr>
              <w:fldChar w:fldCharType="begin"/>
            </w:r>
            <w:r>
              <w:rPr>
                <w:webHidden/>
              </w:rPr>
              <w:instrText xml:space="preserve"> PAGEREF _Toc214961118 \h </w:instrText>
            </w:r>
            <w:r>
              <w:rPr>
                <w:webHidden/>
              </w:rPr>
            </w:r>
            <w:r>
              <w:rPr>
                <w:webHidden/>
              </w:rPr>
              <w:fldChar w:fldCharType="separate"/>
            </w:r>
            <w:r w:rsidR="00EF6C83">
              <w:rPr>
                <w:webHidden/>
              </w:rPr>
              <w:t>23</w:t>
            </w:r>
            <w:r>
              <w:rPr>
                <w:webHidden/>
              </w:rPr>
              <w:fldChar w:fldCharType="end"/>
            </w:r>
          </w:hyperlink>
        </w:p>
        <w:p w14:paraId="20A7CAD9" w14:textId="6BB8B779" w:rsidR="00790427" w:rsidRDefault="00790427">
          <w:pPr>
            <w:pStyle w:val="TOC2"/>
            <w:rPr>
              <w:rFonts w:asciiTheme="minorHAnsi" w:hAnsiTheme="minorHAnsi"/>
              <w:color w:val="auto"/>
              <w:kern w:val="2"/>
              <w:lang w:val="en-AU" w:eastAsia="en-AU"/>
              <w14:ligatures w14:val="standardContextual"/>
            </w:rPr>
          </w:pPr>
          <w:hyperlink w:anchor="_Toc214961119" w:history="1">
            <w:r w:rsidRPr="00164E9C">
              <w:rPr>
                <w:rStyle w:val="Hyperlink"/>
                <w:rFonts w:cs="Open Sans"/>
              </w:rPr>
              <w:t>Indirect discrimination</w:t>
            </w:r>
            <w:r>
              <w:rPr>
                <w:webHidden/>
              </w:rPr>
              <w:tab/>
            </w:r>
            <w:r>
              <w:rPr>
                <w:webHidden/>
              </w:rPr>
              <w:fldChar w:fldCharType="begin"/>
            </w:r>
            <w:r>
              <w:rPr>
                <w:webHidden/>
              </w:rPr>
              <w:instrText xml:space="preserve"> PAGEREF _Toc214961119 \h </w:instrText>
            </w:r>
            <w:r>
              <w:rPr>
                <w:webHidden/>
              </w:rPr>
            </w:r>
            <w:r>
              <w:rPr>
                <w:webHidden/>
              </w:rPr>
              <w:fldChar w:fldCharType="separate"/>
            </w:r>
            <w:r w:rsidR="00EF6C83">
              <w:rPr>
                <w:webHidden/>
              </w:rPr>
              <w:t>29</w:t>
            </w:r>
            <w:r>
              <w:rPr>
                <w:webHidden/>
              </w:rPr>
              <w:fldChar w:fldCharType="end"/>
            </w:r>
          </w:hyperlink>
        </w:p>
        <w:p w14:paraId="601DBDAC" w14:textId="0F0A2829" w:rsidR="00790427" w:rsidRDefault="00790427">
          <w:pPr>
            <w:pStyle w:val="TOC2"/>
            <w:rPr>
              <w:rFonts w:asciiTheme="minorHAnsi" w:hAnsiTheme="minorHAnsi"/>
              <w:color w:val="auto"/>
              <w:kern w:val="2"/>
              <w:lang w:val="en-AU" w:eastAsia="en-AU"/>
              <w14:ligatures w14:val="standardContextual"/>
            </w:rPr>
          </w:pPr>
          <w:hyperlink w:anchor="_Toc214961120" w:history="1">
            <w:r w:rsidRPr="00164E9C">
              <w:rPr>
                <w:rStyle w:val="Hyperlink"/>
                <w:rFonts w:cs="Open Sans"/>
              </w:rPr>
              <w:t>Duty to provide adjustments</w:t>
            </w:r>
            <w:r>
              <w:rPr>
                <w:webHidden/>
              </w:rPr>
              <w:tab/>
            </w:r>
            <w:r>
              <w:rPr>
                <w:webHidden/>
              </w:rPr>
              <w:fldChar w:fldCharType="begin"/>
            </w:r>
            <w:r>
              <w:rPr>
                <w:webHidden/>
              </w:rPr>
              <w:instrText xml:space="preserve"> PAGEREF _Toc214961120 \h </w:instrText>
            </w:r>
            <w:r>
              <w:rPr>
                <w:webHidden/>
              </w:rPr>
            </w:r>
            <w:r>
              <w:rPr>
                <w:webHidden/>
              </w:rPr>
              <w:fldChar w:fldCharType="separate"/>
            </w:r>
            <w:r w:rsidR="00EF6C83">
              <w:rPr>
                <w:webHidden/>
              </w:rPr>
              <w:t>31</w:t>
            </w:r>
            <w:r>
              <w:rPr>
                <w:webHidden/>
              </w:rPr>
              <w:fldChar w:fldCharType="end"/>
            </w:r>
          </w:hyperlink>
        </w:p>
        <w:p w14:paraId="70025D54" w14:textId="6598B642" w:rsidR="00790427" w:rsidRDefault="00790427">
          <w:pPr>
            <w:pStyle w:val="TOC2"/>
            <w:rPr>
              <w:rFonts w:asciiTheme="minorHAnsi" w:hAnsiTheme="minorHAnsi"/>
              <w:color w:val="auto"/>
              <w:kern w:val="2"/>
              <w:lang w:val="en-AU" w:eastAsia="en-AU"/>
              <w14:ligatures w14:val="standardContextual"/>
            </w:rPr>
          </w:pPr>
          <w:hyperlink w:anchor="_Toc214961121" w:history="1">
            <w:r w:rsidRPr="00164E9C">
              <w:rPr>
                <w:rStyle w:val="Hyperlink"/>
                <w:rFonts w:cs="Open Sans"/>
              </w:rPr>
              <w:t>Offensive behaviour and vilification protections</w:t>
            </w:r>
            <w:r>
              <w:rPr>
                <w:webHidden/>
              </w:rPr>
              <w:tab/>
            </w:r>
            <w:r>
              <w:rPr>
                <w:webHidden/>
              </w:rPr>
              <w:fldChar w:fldCharType="begin"/>
            </w:r>
            <w:r>
              <w:rPr>
                <w:webHidden/>
              </w:rPr>
              <w:instrText xml:space="preserve"> PAGEREF _Toc214961121 \h </w:instrText>
            </w:r>
            <w:r>
              <w:rPr>
                <w:webHidden/>
              </w:rPr>
            </w:r>
            <w:r>
              <w:rPr>
                <w:webHidden/>
              </w:rPr>
              <w:fldChar w:fldCharType="separate"/>
            </w:r>
            <w:r w:rsidR="00EF6C83">
              <w:rPr>
                <w:webHidden/>
              </w:rPr>
              <w:t>34</w:t>
            </w:r>
            <w:r>
              <w:rPr>
                <w:webHidden/>
              </w:rPr>
              <w:fldChar w:fldCharType="end"/>
            </w:r>
          </w:hyperlink>
        </w:p>
        <w:p w14:paraId="25C3444C" w14:textId="206B4AF8" w:rsidR="00790427" w:rsidRDefault="00790427">
          <w:pPr>
            <w:pStyle w:val="TOC2"/>
            <w:rPr>
              <w:rFonts w:asciiTheme="minorHAnsi" w:hAnsiTheme="minorHAnsi"/>
              <w:color w:val="auto"/>
              <w:kern w:val="2"/>
              <w:lang w:val="en-AU" w:eastAsia="en-AU"/>
              <w14:ligatures w14:val="standardContextual"/>
            </w:rPr>
          </w:pPr>
          <w:hyperlink w:anchor="_Toc214961122" w:history="1">
            <w:r w:rsidRPr="00164E9C">
              <w:rPr>
                <w:rStyle w:val="Hyperlink"/>
                <w:rFonts w:cs="Open Sans"/>
              </w:rPr>
              <w:t>Unjustifiable hardship</w:t>
            </w:r>
            <w:r>
              <w:rPr>
                <w:webHidden/>
              </w:rPr>
              <w:tab/>
            </w:r>
            <w:r>
              <w:rPr>
                <w:webHidden/>
              </w:rPr>
              <w:fldChar w:fldCharType="begin"/>
            </w:r>
            <w:r>
              <w:rPr>
                <w:webHidden/>
              </w:rPr>
              <w:instrText xml:space="preserve"> PAGEREF _Toc214961122 \h </w:instrText>
            </w:r>
            <w:r>
              <w:rPr>
                <w:webHidden/>
              </w:rPr>
            </w:r>
            <w:r>
              <w:rPr>
                <w:webHidden/>
              </w:rPr>
              <w:fldChar w:fldCharType="separate"/>
            </w:r>
            <w:r w:rsidR="00EF6C83">
              <w:rPr>
                <w:webHidden/>
              </w:rPr>
              <w:t>40</w:t>
            </w:r>
            <w:r>
              <w:rPr>
                <w:webHidden/>
              </w:rPr>
              <w:fldChar w:fldCharType="end"/>
            </w:r>
          </w:hyperlink>
        </w:p>
        <w:p w14:paraId="4F1FD6EC" w14:textId="46AA4AA5" w:rsidR="00790427" w:rsidRDefault="00790427">
          <w:pPr>
            <w:pStyle w:val="TOC2"/>
            <w:rPr>
              <w:rFonts w:asciiTheme="minorHAnsi" w:hAnsiTheme="minorHAnsi"/>
              <w:color w:val="auto"/>
              <w:kern w:val="2"/>
              <w:lang w:val="en-AU" w:eastAsia="en-AU"/>
              <w14:ligatures w14:val="standardContextual"/>
            </w:rPr>
          </w:pPr>
          <w:hyperlink w:anchor="_Toc214961123" w:history="1">
            <w:r w:rsidRPr="00164E9C">
              <w:rPr>
                <w:rStyle w:val="Hyperlink"/>
                <w:rFonts w:cs="Open Sans"/>
              </w:rPr>
              <w:t>Inherent requirements of particular work</w:t>
            </w:r>
            <w:r>
              <w:rPr>
                <w:webHidden/>
              </w:rPr>
              <w:tab/>
            </w:r>
            <w:r>
              <w:rPr>
                <w:webHidden/>
              </w:rPr>
              <w:fldChar w:fldCharType="begin"/>
            </w:r>
            <w:r>
              <w:rPr>
                <w:webHidden/>
              </w:rPr>
              <w:instrText xml:space="preserve"> PAGEREF _Toc214961123 \h </w:instrText>
            </w:r>
            <w:r>
              <w:rPr>
                <w:webHidden/>
              </w:rPr>
            </w:r>
            <w:r>
              <w:rPr>
                <w:webHidden/>
              </w:rPr>
              <w:fldChar w:fldCharType="separate"/>
            </w:r>
            <w:r w:rsidR="00EF6C83">
              <w:rPr>
                <w:webHidden/>
              </w:rPr>
              <w:t>43</w:t>
            </w:r>
            <w:r>
              <w:rPr>
                <w:webHidden/>
              </w:rPr>
              <w:fldChar w:fldCharType="end"/>
            </w:r>
          </w:hyperlink>
        </w:p>
        <w:p w14:paraId="1385083C" w14:textId="77385CF8" w:rsidR="00790427" w:rsidRDefault="00790427">
          <w:pPr>
            <w:pStyle w:val="TOC1"/>
            <w:rPr>
              <w:rFonts w:asciiTheme="minorHAnsi" w:hAnsiTheme="minorHAnsi"/>
              <w:b w:val="0"/>
              <w:color w:val="auto"/>
              <w:kern w:val="2"/>
              <w:lang w:eastAsia="en-AU"/>
              <w14:ligatures w14:val="standardContextual"/>
            </w:rPr>
          </w:pPr>
          <w:hyperlink w:anchor="_Toc214961124" w:history="1">
            <w:r w:rsidRPr="00164E9C">
              <w:rPr>
                <w:rStyle w:val="Hyperlink"/>
                <w:rFonts w:cs="Open Sans"/>
              </w:rPr>
              <w:t>4</w:t>
            </w:r>
            <w:r>
              <w:rPr>
                <w:rFonts w:asciiTheme="minorHAnsi" w:hAnsiTheme="minorHAnsi"/>
                <w:b w:val="0"/>
                <w:color w:val="auto"/>
                <w:kern w:val="2"/>
                <w:lang w:eastAsia="en-AU"/>
                <w14:ligatures w14:val="standardContextual"/>
              </w:rPr>
              <w:tab/>
            </w:r>
            <w:r w:rsidRPr="00164E9C">
              <w:rPr>
                <w:rStyle w:val="Hyperlink"/>
                <w:rFonts w:cs="Open Sans"/>
              </w:rPr>
              <w:t>Positive duty to eliminate discrimination</w:t>
            </w:r>
            <w:r>
              <w:rPr>
                <w:webHidden/>
              </w:rPr>
              <w:tab/>
            </w:r>
            <w:r>
              <w:rPr>
                <w:webHidden/>
              </w:rPr>
              <w:fldChar w:fldCharType="begin"/>
            </w:r>
            <w:r>
              <w:rPr>
                <w:webHidden/>
              </w:rPr>
              <w:instrText xml:space="preserve"> PAGEREF _Toc214961124 \h </w:instrText>
            </w:r>
            <w:r>
              <w:rPr>
                <w:webHidden/>
              </w:rPr>
            </w:r>
            <w:r>
              <w:rPr>
                <w:webHidden/>
              </w:rPr>
              <w:fldChar w:fldCharType="separate"/>
            </w:r>
            <w:r w:rsidR="00EF6C83">
              <w:rPr>
                <w:webHidden/>
              </w:rPr>
              <w:t>45</w:t>
            </w:r>
            <w:r>
              <w:rPr>
                <w:webHidden/>
              </w:rPr>
              <w:fldChar w:fldCharType="end"/>
            </w:r>
          </w:hyperlink>
        </w:p>
        <w:p w14:paraId="719999DF" w14:textId="4A188F03" w:rsidR="00790427" w:rsidRDefault="00790427">
          <w:pPr>
            <w:pStyle w:val="TOC2"/>
            <w:rPr>
              <w:rFonts w:asciiTheme="minorHAnsi" w:hAnsiTheme="minorHAnsi"/>
              <w:color w:val="auto"/>
              <w:kern w:val="2"/>
              <w:lang w:val="en-AU" w:eastAsia="en-AU"/>
              <w14:ligatures w14:val="standardContextual"/>
            </w:rPr>
          </w:pPr>
          <w:hyperlink w:anchor="_Toc214961125" w:history="1">
            <w:r w:rsidRPr="00164E9C">
              <w:rPr>
                <w:rStyle w:val="Hyperlink"/>
                <w:rFonts w:cs="Open Sans"/>
              </w:rPr>
              <w:t>Costs and benefits of a positive duty</w:t>
            </w:r>
            <w:r>
              <w:rPr>
                <w:webHidden/>
              </w:rPr>
              <w:tab/>
            </w:r>
            <w:r>
              <w:rPr>
                <w:webHidden/>
              </w:rPr>
              <w:fldChar w:fldCharType="begin"/>
            </w:r>
            <w:r>
              <w:rPr>
                <w:webHidden/>
              </w:rPr>
              <w:instrText xml:space="preserve"> PAGEREF _Toc214961125 \h </w:instrText>
            </w:r>
            <w:r>
              <w:rPr>
                <w:webHidden/>
              </w:rPr>
            </w:r>
            <w:r>
              <w:rPr>
                <w:webHidden/>
              </w:rPr>
              <w:fldChar w:fldCharType="separate"/>
            </w:r>
            <w:r w:rsidR="00EF6C83">
              <w:rPr>
                <w:webHidden/>
              </w:rPr>
              <w:t>46</w:t>
            </w:r>
            <w:r>
              <w:rPr>
                <w:webHidden/>
              </w:rPr>
              <w:fldChar w:fldCharType="end"/>
            </w:r>
          </w:hyperlink>
        </w:p>
        <w:p w14:paraId="2CB0E312" w14:textId="6AB4E1C6" w:rsidR="00790427" w:rsidRDefault="00790427">
          <w:pPr>
            <w:pStyle w:val="TOC2"/>
            <w:rPr>
              <w:rFonts w:asciiTheme="minorHAnsi" w:hAnsiTheme="minorHAnsi"/>
              <w:color w:val="auto"/>
              <w:kern w:val="2"/>
              <w:lang w:val="en-AU" w:eastAsia="en-AU"/>
              <w14:ligatures w14:val="standardContextual"/>
            </w:rPr>
          </w:pPr>
          <w:hyperlink w:anchor="_Toc214961126" w:history="1">
            <w:r w:rsidRPr="00164E9C">
              <w:rPr>
                <w:rStyle w:val="Hyperlink"/>
                <w:rFonts w:cs="Open Sans"/>
              </w:rPr>
              <w:t>The scope of the proposed positive duty</w:t>
            </w:r>
            <w:r>
              <w:rPr>
                <w:webHidden/>
              </w:rPr>
              <w:tab/>
            </w:r>
            <w:r>
              <w:rPr>
                <w:webHidden/>
              </w:rPr>
              <w:fldChar w:fldCharType="begin"/>
            </w:r>
            <w:r>
              <w:rPr>
                <w:webHidden/>
              </w:rPr>
              <w:instrText xml:space="preserve"> PAGEREF _Toc214961126 \h </w:instrText>
            </w:r>
            <w:r>
              <w:rPr>
                <w:webHidden/>
              </w:rPr>
            </w:r>
            <w:r>
              <w:rPr>
                <w:webHidden/>
              </w:rPr>
              <w:fldChar w:fldCharType="separate"/>
            </w:r>
            <w:r w:rsidR="00EF6C83">
              <w:rPr>
                <w:webHidden/>
              </w:rPr>
              <w:t>47</w:t>
            </w:r>
            <w:r>
              <w:rPr>
                <w:webHidden/>
              </w:rPr>
              <w:fldChar w:fldCharType="end"/>
            </w:r>
          </w:hyperlink>
        </w:p>
        <w:p w14:paraId="1903E21D" w14:textId="7DF48946" w:rsidR="00790427" w:rsidRDefault="00790427">
          <w:pPr>
            <w:pStyle w:val="TOC2"/>
            <w:rPr>
              <w:rFonts w:asciiTheme="minorHAnsi" w:hAnsiTheme="minorHAnsi"/>
              <w:color w:val="auto"/>
              <w:kern w:val="2"/>
              <w:lang w:val="en-AU" w:eastAsia="en-AU"/>
              <w14:ligatures w14:val="standardContextual"/>
            </w:rPr>
          </w:pPr>
          <w:hyperlink w:anchor="_Toc214961127" w:history="1">
            <w:r w:rsidRPr="00164E9C">
              <w:rPr>
                <w:rStyle w:val="Hyperlink"/>
                <w:rFonts w:cs="Open Sans"/>
              </w:rPr>
              <w:t>Staged approach to implementation</w:t>
            </w:r>
            <w:r>
              <w:rPr>
                <w:webHidden/>
              </w:rPr>
              <w:tab/>
            </w:r>
            <w:r>
              <w:rPr>
                <w:webHidden/>
              </w:rPr>
              <w:fldChar w:fldCharType="begin"/>
            </w:r>
            <w:r>
              <w:rPr>
                <w:webHidden/>
              </w:rPr>
              <w:instrText xml:space="preserve"> PAGEREF _Toc214961127 \h </w:instrText>
            </w:r>
            <w:r>
              <w:rPr>
                <w:webHidden/>
              </w:rPr>
            </w:r>
            <w:r>
              <w:rPr>
                <w:webHidden/>
              </w:rPr>
              <w:fldChar w:fldCharType="separate"/>
            </w:r>
            <w:r w:rsidR="00EF6C83">
              <w:rPr>
                <w:webHidden/>
              </w:rPr>
              <w:t>50</w:t>
            </w:r>
            <w:r>
              <w:rPr>
                <w:webHidden/>
              </w:rPr>
              <w:fldChar w:fldCharType="end"/>
            </w:r>
          </w:hyperlink>
        </w:p>
        <w:p w14:paraId="45062B55" w14:textId="13324041" w:rsidR="00790427" w:rsidRDefault="00790427">
          <w:pPr>
            <w:pStyle w:val="TOC2"/>
            <w:rPr>
              <w:rFonts w:asciiTheme="minorHAnsi" w:hAnsiTheme="minorHAnsi"/>
              <w:color w:val="auto"/>
              <w:kern w:val="2"/>
              <w:lang w:val="en-AU" w:eastAsia="en-AU"/>
              <w14:ligatures w14:val="standardContextual"/>
            </w:rPr>
          </w:pPr>
          <w:hyperlink w:anchor="_Toc214961128" w:history="1">
            <w:r w:rsidRPr="00164E9C">
              <w:rPr>
                <w:rStyle w:val="Hyperlink"/>
                <w:rFonts w:cs="Open Sans"/>
              </w:rPr>
              <w:t>Regulatory landscape</w:t>
            </w:r>
            <w:r>
              <w:rPr>
                <w:webHidden/>
              </w:rPr>
              <w:tab/>
            </w:r>
            <w:r>
              <w:rPr>
                <w:webHidden/>
              </w:rPr>
              <w:fldChar w:fldCharType="begin"/>
            </w:r>
            <w:r>
              <w:rPr>
                <w:webHidden/>
              </w:rPr>
              <w:instrText xml:space="preserve"> PAGEREF _Toc214961128 \h </w:instrText>
            </w:r>
            <w:r>
              <w:rPr>
                <w:webHidden/>
              </w:rPr>
            </w:r>
            <w:r>
              <w:rPr>
                <w:webHidden/>
              </w:rPr>
              <w:fldChar w:fldCharType="separate"/>
            </w:r>
            <w:r w:rsidR="00EF6C83">
              <w:rPr>
                <w:webHidden/>
              </w:rPr>
              <w:t>51</w:t>
            </w:r>
            <w:r>
              <w:rPr>
                <w:webHidden/>
              </w:rPr>
              <w:fldChar w:fldCharType="end"/>
            </w:r>
          </w:hyperlink>
        </w:p>
        <w:p w14:paraId="18B92995" w14:textId="36520742" w:rsidR="00790427" w:rsidRDefault="00790427">
          <w:pPr>
            <w:pStyle w:val="TOC2"/>
            <w:rPr>
              <w:rFonts w:asciiTheme="minorHAnsi" w:hAnsiTheme="minorHAnsi"/>
              <w:color w:val="auto"/>
              <w:kern w:val="2"/>
              <w:lang w:val="en-AU" w:eastAsia="en-AU"/>
              <w14:ligatures w14:val="standardContextual"/>
            </w:rPr>
          </w:pPr>
          <w:hyperlink w:anchor="_Toc214961129" w:history="1">
            <w:r w:rsidRPr="00164E9C">
              <w:rPr>
                <w:rStyle w:val="Hyperlink"/>
                <w:rFonts w:cs="Open Sans"/>
              </w:rPr>
              <w:t>Strengthening the Commission’s regulatory powers</w:t>
            </w:r>
            <w:r>
              <w:rPr>
                <w:webHidden/>
              </w:rPr>
              <w:tab/>
            </w:r>
            <w:r>
              <w:rPr>
                <w:webHidden/>
              </w:rPr>
              <w:fldChar w:fldCharType="begin"/>
            </w:r>
            <w:r>
              <w:rPr>
                <w:webHidden/>
              </w:rPr>
              <w:instrText xml:space="preserve"> PAGEREF _Toc214961129 \h </w:instrText>
            </w:r>
            <w:r>
              <w:rPr>
                <w:webHidden/>
              </w:rPr>
            </w:r>
            <w:r>
              <w:rPr>
                <w:webHidden/>
              </w:rPr>
              <w:fldChar w:fldCharType="separate"/>
            </w:r>
            <w:r w:rsidR="00EF6C83">
              <w:rPr>
                <w:webHidden/>
              </w:rPr>
              <w:t>52</w:t>
            </w:r>
            <w:r>
              <w:rPr>
                <w:webHidden/>
              </w:rPr>
              <w:fldChar w:fldCharType="end"/>
            </w:r>
          </w:hyperlink>
        </w:p>
        <w:p w14:paraId="127CFA78" w14:textId="3CFBDA8B" w:rsidR="00790427" w:rsidRDefault="00790427">
          <w:pPr>
            <w:pStyle w:val="TOC2"/>
            <w:rPr>
              <w:rFonts w:asciiTheme="minorHAnsi" w:hAnsiTheme="minorHAnsi"/>
              <w:color w:val="auto"/>
              <w:kern w:val="2"/>
              <w:lang w:val="en-AU" w:eastAsia="en-AU"/>
              <w14:ligatures w14:val="standardContextual"/>
            </w:rPr>
          </w:pPr>
          <w:hyperlink w:anchor="_Toc214961130" w:history="1">
            <w:r w:rsidRPr="00164E9C">
              <w:rPr>
                <w:rStyle w:val="Hyperlink"/>
                <w:rFonts w:cs="Open Sans"/>
              </w:rPr>
              <w:t>Resourcing regulation of the positive duty</w:t>
            </w:r>
            <w:r>
              <w:rPr>
                <w:webHidden/>
              </w:rPr>
              <w:tab/>
            </w:r>
            <w:r>
              <w:rPr>
                <w:webHidden/>
              </w:rPr>
              <w:fldChar w:fldCharType="begin"/>
            </w:r>
            <w:r>
              <w:rPr>
                <w:webHidden/>
              </w:rPr>
              <w:instrText xml:space="preserve"> PAGEREF _Toc214961130 \h </w:instrText>
            </w:r>
            <w:r>
              <w:rPr>
                <w:webHidden/>
              </w:rPr>
            </w:r>
            <w:r>
              <w:rPr>
                <w:webHidden/>
              </w:rPr>
              <w:fldChar w:fldCharType="separate"/>
            </w:r>
            <w:r w:rsidR="00EF6C83">
              <w:rPr>
                <w:webHidden/>
              </w:rPr>
              <w:t>54</w:t>
            </w:r>
            <w:r>
              <w:rPr>
                <w:webHidden/>
              </w:rPr>
              <w:fldChar w:fldCharType="end"/>
            </w:r>
          </w:hyperlink>
        </w:p>
        <w:p w14:paraId="5FA1900E" w14:textId="6DC03613" w:rsidR="00790427" w:rsidRDefault="00790427">
          <w:pPr>
            <w:pStyle w:val="TOC1"/>
            <w:rPr>
              <w:rFonts w:asciiTheme="minorHAnsi" w:hAnsiTheme="minorHAnsi"/>
              <w:b w:val="0"/>
              <w:color w:val="auto"/>
              <w:kern w:val="2"/>
              <w:lang w:eastAsia="en-AU"/>
              <w14:ligatures w14:val="standardContextual"/>
            </w:rPr>
          </w:pPr>
          <w:hyperlink w:anchor="_Toc214961131" w:history="1">
            <w:r w:rsidRPr="00164E9C">
              <w:rPr>
                <w:rStyle w:val="Hyperlink"/>
                <w:rFonts w:cs="Open Sans"/>
              </w:rPr>
              <w:t>5</w:t>
            </w:r>
            <w:r>
              <w:rPr>
                <w:rFonts w:asciiTheme="minorHAnsi" w:hAnsiTheme="minorHAnsi"/>
                <w:b w:val="0"/>
                <w:color w:val="auto"/>
                <w:kern w:val="2"/>
                <w:lang w:eastAsia="en-AU"/>
                <w14:ligatures w14:val="standardContextual"/>
              </w:rPr>
              <w:tab/>
            </w:r>
            <w:r w:rsidRPr="00164E9C">
              <w:rPr>
                <w:rStyle w:val="Hyperlink"/>
                <w:rFonts w:cs="Open Sans"/>
              </w:rPr>
              <w:t>Exemptions and co-regulatory mechanisms</w:t>
            </w:r>
            <w:r>
              <w:rPr>
                <w:webHidden/>
              </w:rPr>
              <w:tab/>
            </w:r>
            <w:r>
              <w:rPr>
                <w:webHidden/>
              </w:rPr>
              <w:fldChar w:fldCharType="begin"/>
            </w:r>
            <w:r>
              <w:rPr>
                <w:webHidden/>
              </w:rPr>
              <w:instrText xml:space="preserve"> PAGEREF _Toc214961131 \h </w:instrText>
            </w:r>
            <w:r>
              <w:rPr>
                <w:webHidden/>
              </w:rPr>
            </w:r>
            <w:r>
              <w:rPr>
                <w:webHidden/>
              </w:rPr>
              <w:fldChar w:fldCharType="separate"/>
            </w:r>
            <w:r w:rsidR="00EF6C83">
              <w:rPr>
                <w:webHidden/>
              </w:rPr>
              <w:t>55</w:t>
            </w:r>
            <w:r>
              <w:rPr>
                <w:webHidden/>
              </w:rPr>
              <w:fldChar w:fldCharType="end"/>
            </w:r>
          </w:hyperlink>
        </w:p>
        <w:p w14:paraId="54204758" w14:textId="278EFB75" w:rsidR="00790427" w:rsidRDefault="00790427">
          <w:pPr>
            <w:pStyle w:val="TOC2"/>
            <w:rPr>
              <w:rFonts w:asciiTheme="minorHAnsi" w:hAnsiTheme="minorHAnsi"/>
              <w:color w:val="auto"/>
              <w:kern w:val="2"/>
              <w:lang w:val="en-AU" w:eastAsia="en-AU"/>
              <w14:ligatures w14:val="standardContextual"/>
            </w:rPr>
          </w:pPr>
          <w:hyperlink w:anchor="_Toc214961132" w:history="1">
            <w:r w:rsidRPr="00164E9C">
              <w:rPr>
                <w:rStyle w:val="Hyperlink"/>
                <w:rFonts w:cs="Open Sans"/>
              </w:rPr>
              <w:t>Permanent exemptions</w:t>
            </w:r>
            <w:r>
              <w:rPr>
                <w:webHidden/>
              </w:rPr>
              <w:tab/>
            </w:r>
            <w:r>
              <w:rPr>
                <w:webHidden/>
              </w:rPr>
              <w:fldChar w:fldCharType="begin"/>
            </w:r>
            <w:r>
              <w:rPr>
                <w:webHidden/>
              </w:rPr>
              <w:instrText xml:space="preserve"> PAGEREF _Toc214961132 \h </w:instrText>
            </w:r>
            <w:r>
              <w:rPr>
                <w:webHidden/>
              </w:rPr>
            </w:r>
            <w:r>
              <w:rPr>
                <w:webHidden/>
              </w:rPr>
              <w:fldChar w:fldCharType="separate"/>
            </w:r>
            <w:r w:rsidR="00EF6C83">
              <w:rPr>
                <w:webHidden/>
              </w:rPr>
              <w:t>55</w:t>
            </w:r>
            <w:r>
              <w:rPr>
                <w:webHidden/>
              </w:rPr>
              <w:fldChar w:fldCharType="end"/>
            </w:r>
          </w:hyperlink>
        </w:p>
        <w:p w14:paraId="755DE823" w14:textId="58258977" w:rsidR="00790427" w:rsidRDefault="00790427">
          <w:pPr>
            <w:pStyle w:val="TOC2"/>
            <w:rPr>
              <w:rFonts w:asciiTheme="minorHAnsi" w:hAnsiTheme="minorHAnsi"/>
              <w:color w:val="auto"/>
              <w:kern w:val="2"/>
              <w:lang w:val="en-AU" w:eastAsia="en-AU"/>
              <w14:ligatures w14:val="standardContextual"/>
            </w:rPr>
          </w:pPr>
          <w:hyperlink w:anchor="_Toc214961133" w:history="1">
            <w:r w:rsidRPr="00164E9C">
              <w:rPr>
                <w:rStyle w:val="Hyperlink"/>
                <w:rFonts w:cs="Open Sans"/>
              </w:rPr>
              <w:t>Temporary exemptions</w:t>
            </w:r>
            <w:r>
              <w:rPr>
                <w:webHidden/>
              </w:rPr>
              <w:tab/>
            </w:r>
            <w:r>
              <w:rPr>
                <w:webHidden/>
              </w:rPr>
              <w:fldChar w:fldCharType="begin"/>
            </w:r>
            <w:r>
              <w:rPr>
                <w:webHidden/>
              </w:rPr>
              <w:instrText xml:space="preserve"> PAGEREF _Toc214961133 \h </w:instrText>
            </w:r>
            <w:r>
              <w:rPr>
                <w:webHidden/>
              </w:rPr>
            </w:r>
            <w:r>
              <w:rPr>
                <w:webHidden/>
              </w:rPr>
              <w:fldChar w:fldCharType="separate"/>
            </w:r>
            <w:r w:rsidR="00EF6C83">
              <w:rPr>
                <w:webHidden/>
              </w:rPr>
              <w:t>57</w:t>
            </w:r>
            <w:r>
              <w:rPr>
                <w:webHidden/>
              </w:rPr>
              <w:fldChar w:fldCharType="end"/>
            </w:r>
          </w:hyperlink>
        </w:p>
        <w:p w14:paraId="2E9F7982" w14:textId="28B80697" w:rsidR="00790427" w:rsidRDefault="00790427">
          <w:pPr>
            <w:pStyle w:val="TOC2"/>
            <w:rPr>
              <w:rFonts w:asciiTheme="minorHAnsi" w:hAnsiTheme="minorHAnsi"/>
              <w:color w:val="auto"/>
              <w:kern w:val="2"/>
              <w:lang w:val="en-AU" w:eastAsia="en-AU"/>
              <w14:ligatures w14:val="standardContextual"/>
            </w:rPr>
          </w:pPr>
          <w:hyperlink w:anchor="_Toc214961134" w:history="1">
            <w:r w:rsidRPr="00164E9C">
              <w:rPr>
                <w:rStyle w:val="Hyperlink"/>
                <w:rFonts w:cs="Open Sans"/>
              </w:rPr>
              <w:t>Co-regulatory mechanisms</w:t>
            </w:r>
            <w:r>
              <w:rPr>
                <w:webHidden/>
              </w:rPr>
              <w:tab/>
            </w:r>
            <w:r>
              <w:rPr>
                <w:webHidden/>
              </w:rPr>
              <w:fldChar w:fldCharType="begin"/>
            </w:r>
            <w:r>
              <w:rPr>
                <w:webHidden/>
              </w:rPr>
              <w:instrText xml:space="preserve"> PAGEREF _Toc214961134 \h </w:instrText>
            </w:r>
            <w:r>
              <w:rPr>
                <w:webHidden/>
              </w:rPr>
            </w:r>
            <w:r>
              <w:rPr>
                <w:webHidden/>
              </w:rPr>
              <w:fldChar w:fldCharType="separate"/>
            </w:r>
            <w:r w:rsidR="00EF6C83">
              <w:rPr>
                <w:webHidden/>
              </w:rPr>
              <w:t>59</w:t>
            </w:r>
            <w:r>
              <w:rPr>
                <w:webHidden/>
              </w:rPr>
              <w:fldChar w:fldCharType="end"/>
            </w:r>
          </w:hyperlink>
        </w:p>
        <w:p w14:paraId="37052E31" w14:textId="04A804AD" w:rsidR="00790427" w:rsidRDefault="00790427">
          <w:pPr>
            <w:pStyle w:val="TOC2"/>
            <w:rPr>
              <w:rFonts w:asciiTheme="minorHAnsi" w:hAnsiTheme="minorHAnsi"/>
              <w:color w:val="auto"/>
              <w:kern w:val="2"/>
              <w:lang w:val="en-AU" w:eastAsia="en-AU"/>
              <w14:ligatures w14:val="standardContextual"/>
            </w:rPr>
          </w:pPr>
          <w:hyperlink w:anchor="_Toc214961135" w:history="1">
            <w:r w:rsidRPr="00164E9C">
              <w:rPr>
                <w:rStyle w:val="Hyperlink"/>
                <w:rFonts w:cs="Open Sans"/>
              </w:rPr>
              <w:t>Disability Standards</w:t>
            </w:r>
            <w:r>
              <w:rPr>
                <w:webHidden/>
              </w:rPr>
              <w:tab/>
            </w:r>
            <w:r>
              <w:rPr>
                <w:webHidden/>
              </w:rPr>
              <w:fldChar w:fldCharType="begin"/>
            </w:r>
            <w:r>
              <w:rPr>
                <w:webHidden/>
              </w:rPr>
              <w:instrText xml:space="preserve"> PAGEREF _Toc214961135 \h </w:instrText>
            </w:r>
            <w:r>
              <w:rPr>
                <w:webHidden/>
              </w:rPr>
            </w:r>
            <w:r>
              <w:rPr>
                <w:webHidden/>
              </w:rPr>
              <w:fldChar w:fldCharType="separate"/>
            </w:r>
            <w:r w:rsidR="00EF6C83">
              <w:rPr>
                <w:webHidden/>
              </w:rPr>
              <w:t>63</w:t>
            </w:r>
            <w:r>
              <w:rPr>
                <w:webHidden/>
              </w:rPr>
              <w:fldChar w:fldCharType="end"/>
            </w:r>
          </w:hyperlink>
        </w:p>
        <w:p w14:paraId="5CC9EFF5" w14:textId="61679557" w:rsidR="00790427" w:rsidRDefault="00790427">
          <w:pPr>
            <w:pStyle w:val="TOC1"/>
            <w:rPr>
              <w:rFonts w:asciiTheme="minorHAnsi" w:hAnsiTheme="minorHAnsi"/>
              <w:b w:val="0"/>
              <w:color w:val="auto"/>
              <w:kern w:val="2"/>
              <w:lang w:eastAsia="en-AU"/>
              <w14:ligatures w14:val="standardContextual"/>
            </w:rPr>
          </w:pPr>
          <w:hyperlink w:anchor="_Toc214961136" w:history="1">
            <w:r w:rsidRPr="00164E9C">
              <w:rPr>
                <w:rStyle w:val="Hyperlink"/>
                <w:rFonts w:cs="Open Sans"/>
              </w:rPr>
              <w:t>6</w:t>
            </w:r>
            <w:r>
              <w:rPr>
                <w:rFonts w:asciiTheme="minorHAnsi" w:hAnsiTheme="minorHAnsi"/>
                <w:b w:val="0"/>
                <w:color w:val="auto"/>
                <w:kern w:val="2"/>
                <w:lang w:eastAsia="en-AU"/>
                <w14:ligatures w14:val="standardContextual"/>
              </w:rPr>
              <w:tab/>
            </w:r>
            <w:r w:rsidRPr="00164E9C">
              <w:rPr>
                <w:rStyle w:val="Hyperlink"/>
                <w:rFonts w:cs="Open Sans"/>
              </w:rPr>
              <w:t>Definitions</w:t>
            </w:r>
            <w:r>
              <w:rPr>
                <w:webHidden/>
              </w:rPr>
              <w:tab/>
            </w:r>
            <w:r>
              <w:rPr>
                <w:webHidden/>
              </w:rPr>
              <w:fldChar w:fldCharType="begin"/>
            </w:r>
            <w:r>
              <w:rPr>
                <w:webHidden/>
              </w:rPr>
              <w:instrText xml:space="preserve"> PAGEREF _Toc214961136 \h </w:instrText>
            </w:r>
            <w:r>
              <w:rPr>
                <w:webHidden/>
              </w:rPr>
            </w:r>
            <w:r>
              <w:rPr>
                <w:webHidden/>
              </w:rPr>
              <w:fldChar w:fldCharType="separate"/>
            </w:r>
            <w:r w:rsidR="00EF6C83">
              <w:rPr>
                <w:webHidden/>
              </w:rPr>
              <w:t>67</w:t>
            </w:r>
            <w:r>
              <w:rPr>
                <w:webHidden/>
              </w:rPr>
              <w:fldChar w:fldCharType="end"/>
            </w:r>
          </w:hyperlink>
        </w:p>
        <w:p w14:paraId="4A0761E5" w14:textId="6E99E0E3" w:rsidR="00790427" w:rsidRDefault="00790427">
          <w:pPr>
            <w:pStyle w:val="TOC2"/>
            <w:rPr>
              <w:rFonts w:asciiTheme="minorHAnsi" w:hAnsiTheme="minorHAnsi"/>
              <w:color w:val="auto"/>
              <w:kern w:val="2"/>
              <w:lang w:val="en-AU" w:eastAsia="en-AU"/>
              <w14:ligatures w14:val="standardContextual"/>
            </w:rPr>
          </w:pPr>
          <w:hyperlink w:anchor="_Toc214961137" w:history="1">
            <w:r w:rsidRPr="00164E9C">
              <w:rPr>
                <w:rStyle w:val="Hyperlink"/>
                <w:rFonts w:cs="Open Sans"/>
              </w:rPr>
              <w:t>Definition of Disability</w:t>
            </w:r>
            <w:r>
              <w:rPr>
                <w:webHidden/>
              </w:rPr>
              <w:tab/>
            </w:r>
            <w:r>
              <w:rPr>
                <w:webHidden/>
              </w:rPr>
              <w:fldChar w:fldCharType="begin"/>
            </w:r>
            <w:r>
              <w:rPr>
                <w:webHidden/>
              </w:rPr>
              <w:instrText xml:space="preserve"> PAGEREF _Toc214961137 \h </w:instrText>
            </w:r>
            <w:r>
              <w:rPr>
                <w:webHidden/>
              </w:rPr>
            </w:r>
            <w:r>
              <w:rPr>
                <w:webHidden/>
              </w:rPr>
              <w:fldChar w:fldCharType="separate"/>
            </w:r>
            <w:r w:rsidR="00EF6C83">
              <w:rPr>
                <w:webHidden/>
              </w:rPr>
              <w:t>67</w:t>
            </w:r>
            <w:r>
              <w:rPr>
                <w:webHidden/>
              </w:rPr>
              <w:fldChar w:fldCharType="end"/>
            </w:r>
          </w:hyperlink>
        </w:p>
        <w:p w14:paraId="18436A81" w14:textId="04FE5D27" w:rsidR="00790427" w:rsidRDefault="00790427">
          <w:pPr>
            <w:pStyle w:val="TOC2"/>
            <w:rPr>
              <w:rFonts w:asciiTheme="minorHAnsi" w:hAnsiTheme="minorHAnsi"/>
              <w:color w:val="auto"/>
              <w:kern w:val="2"/>
              <w:lang w:val="en-AU" w:eastAsia="en-AU"/>
              <w14:ligatures w14:val="standardContextual"/>
            </w:rPr>
          </w:pPr>
          <w:hyperlink w:anchor="_Toc214961138" w:history="1">
            <w:r w:rsidRPr="00164E9C">
              <w:rPr>
                <w:rStyle w:val="Hyperlink"/>
                <w:rFonts w:cs="Open Sans"/>
              </w:rPr>
              <w:t>Exclusionary discipline and suspension</w:t>
            </w:r>
            <w:r>
              <w:rPr>
                <w:webHidden/>
              </w:rPr>
              <w:tab/>
            </w:r>
            <w:r>
              <w:rPr>
                <w:webHidden/>
              </w:rPr>
              <w:fldChar w:fldCharType="begin"/>
            </w:r>
            <w:r>
              <w:rPr>
                <w:webHidden/>
              </w:rPr>
              <w:instrText xml:space="preserve"> PAGEREF _Toc214961138 \h </w:instrText>
            </w:r>
            <w:r>
              <w:rPr>
                <w:webHidden/>
              </w:rPr>
            </w:r>
            <w:r>
              <w:rPr>
                <w:webHidden/>
              </w:rPr>
              <w:fldChar w:fldCharType="separate"/>
            </w:r>
            <w:r w:rsidR="00EF6C83">
              <w:rPr>
                <w:webHidden/>
              </w:rPr>
              <w:t>69</w:t>
            </w:r>
            <w:r>
              <w:rPr>
                <w:webHidden/>
              </w:rPr>
              <w:fldChar w:fldCharType="end"/>
            </w:r>
          </w:hyperlink>
        </w:p>
        <w:p w14:paraId="6D59A84F" w14:textId="480CD055" w:rsidR="00790427" w:rsidRDefault="00790427">
          <w:pPr>
            <w:pStyle w:val="TOC2"/>
            <w:rPr>
              <w:rFonts w:asciiTheme="minorHAnsi" w:hAnsiTheme="minorHAnsi"/>
              <w:color w:val="auto"/>
              <w:kern w:val="2"/>
              <w:lang w:val="en-AU" w:eastAsia="en-AU"/>
              <w14:ligatures w14:val="standardContextual"/>
            </w:rPr>
          </w:pPr>
          <w:hyperlink w:anchor="_Toc214961139" w:history="1">
            <w:r w:rsidRPr="00164E9C">
              <w:rPr>
                <w:rStyle w:val="Hyperlink"/>
                <w:rFonts w:cs="Open Sans"/>
              </w:rPr>
              <w:t>Assistance animals</w:t>
            </w:r>
            <w:r>
              <w:rPr>
                <w:webHidden/>
              </w:rPr>
              <w:tab/>
            </w:r>
            <w:r>
              <w:rPr>
                <w:webHidden/>
              </w:rPr>
              <w:fldChar w:fldCharType="begin"/>
            </w:r>
            <w:r>
              <w:rPr>
                <w:webHidden/>
              </w:rPr>
              <w:instrText xml:space="preserve"> PAGEREF _Toc214961139 \h </w:instrText>
            </w:r>
            <w:r>
              <w:rPr>
                <w:webHidden/>
              </w:rPr>
            </w:r>
            <w:r>
              <w:rPr>
                <w:webHidden/>
              </w:rPr>
              <w:fldChar w:fldCharType="separate"/>
            </w:r>
            <w:r w:rsidR="00EF6C83">
              <w:rPr>
                <w:webHidden/>
              </w:rPr>
              <w:t>70</w:t>
            </w:r>
            <w:r>
              <w:rPr>
                <w:webHidden/>
              </w:rPr>
              <w:fldChar w:fldCharType="end"/>
            </w:r>
          </w:hyperlink>
        </w:p>
        <w:p w14:paraId="239AC98D" w14:textId="784B8785" w:rsidR="00790427" w:rsidRDefault="00790427">
          <w:pPr>
            <w:pStyle w:val="TOC1"/>
            <w:rPr>
              <w:rFonts w:asciiTheme="minorHAnsi" w:hAnsiTheme="minorHAnsi"/>
              <w:b w:val="0"/>
              <w:color w:val="auto"/>
              <w:kern w:val="2"/>
              <w:lang w:eastAsia="en-AU"/>
              <w14:ligatures w14:val="standardContextual"/>
            </w:rPr>
          </w:pPr>
          <w:hyperlink w:anchor="_Toc214961140" w:history="1">
            <w:r w:rsidRPr="00164E9C">
              <w:rPr>
                <w:rStyle w:val="Hyperlink"/>
                <w:rFonts w:cs="Open Sans"/>
              </w:rPr>
              <w:t xml:space="preserve">Appendix A: Learnings from the implementation of the positive duty in the </w:t>
            </w:r>
            <w:r w:rsidRPr="00164E9C">
              <w:rPr>
                <w:rStyle w:val="Hyperlink"/>
                <w:rFonts w:cs="Open Sans"/>
                <w:i/>
              </w:rPr>
              <w:t xml:space="preserve">Sex Discrimination Act 1984 </w:t>
            </w:r>
            <w:r w:rsidRPr="00164E9C">
              <w:rPr>
                <w:rStyle w:val="Hyperlink"/>
                <w:rFonts w:cs="Open Sans"/>
              </w:rPr>
              <w:t>(Cth)</w:t>
            </w:r>
            <w:r>
              <w:rPr>
                <w:webHidden/>
              </w:rPr>
              <w:tab/>
            </w:r>
            <w:r>
              <w:rPr>
                <w:webHidden/>
              </w:rPr>
              <w:fldChar w:fldCharType="begin"/>
            </w:r>
            <w:r>
              <w:rPr>
                <w:webHidden/>
              </w:rPr>
              <w:instrText xml:space="preserve"> PAGEREF _Toc214961140 \h </w:instrText>
            </w:r>
            <w:r>
              <w:rPr>
                <w:webHidden/>
              </w:rPr>
            </w:r>
            <w:r>
              <w:rPr>
                <w:webHidden/>
              </w:rPr>
              <w:fldChar w:fldCharType="separate"/>
            </w:r>
            <w:r w:rsidR="00EF6C83">
              <w:rPr>
                <w:webHidden/>
              </w:rPr>
              <w:t>72</w:t>
            </w:r>
            <w:r>
              <w:rPr>
                <w:webHidden/>
              </w:rPr>
              <w:fldChar w:fldCharType="end"/>
            </w:r>
          </w:hyperlink>
        </w:p>
        <w:p w14:paraId="0432DA9A" w14:textId="47915E94" w:rsidR="00790427" w:rsidRDefault="00790427">
          <w:pPr>
            <w:pStyle w:val="TOC2"/>
            <w:rPr>
              <w:rFonts w:asciiTheme="minorHAnsi" w:hAnsiTheme="minorHAnsi"/>
              <w:color w:val="auto"/>
              <w:kern w:val="2"/>
              <w:lang w:val="en-AU" w:eastAsia="en-AU"/>
              <w14:ligatures w14:val="standardContextual"/>
            </w:rPr>
          </w:pPr>
          <w:hyperlink w:anchor="_Toc214961141" w:history="1">
            <w:r w:rsidRPr="00164E9C">
              <w:rPr>
                <w:rStyle w:val="Hyperlink"/>
                <w:rFonts w:cs="Open Sans"/>
                <w:lang w:eastAsia="en-AU"/>
              </w:rPr>
              <w:t>The positive duty in the Sex Discrimination Act</w:t>
            </w:r>
            <w:r>
              <w:rPr>
                <w:webHidden/>
              </w:rPr>
              <w:tab/>
            </w:r>
            <w:r>
              <w:rPr>
                <w:webHidden/>
              </w:rPr>
              <w:fldChar w:fldCharType="begin"/>
            </w:r>
            <w:r>
              <w:rPr>
                <w:webHidden/>
              </w:rPr>
              <w:instrText xml:space="preserve"> PAGEREF _Toc214961141 \h </w:instrText>
            </w:r>
            <w:r>
              <w:rPr>
                <w:webHidden/>
              </w:rPr>
            </w:r>
            <w:r>
              <w:rPr>
                <w:webHidden/>
              </w:rPr>
              <w:fldChar w:fldCharType="separate"/>
            </w:r>
            <w:r w:rsidR="00EF6C83">
              <w:rPr>
                <w:webHidden/>
              </w:rPr>
              <w:t>72</w:t>
            </w:r>
            <w:r>
              <w:rPr>
                <w:webHidden/>
              </w:rPr>
              <w:fldChar w:fldCharType="end"/>
            </w:r>
          </w:hyperlink>
        </w:p>
        <w:p w14:paraId="2DF8F826" w14:textId="508CF82D" w:rsidR="00790427" w:rsidRDefault="00790427">
          <w:pPr>
            <w:pStyle w:val="TOC2"/>
            <w:rPr>
              <w:rFonts w:asciiTheme="minorHAnsi" w:hAnsiTheme="minorHAnsi"/>
              <w:color w:val="auto"/>
              <w:kern w:val="2"/>
              <w:lang w:val="en-AU" w:eastAsia="en-AU"/>
              <w14:ligatures w14:val="standardContextual"/>
            </w:rPr>
          </w:pPr>
          <w:hyperlink w:anchor="_Toc214961142" w:history="1">
            <w:r w:rsidRPr="00164E9C">
              <w:rPr>
                <w:rStyle w:val="Hyperlink"/>
                <w:rFonts w:cs="Open Sans"/>
              </w:rPr>
              <w:t>Strengthening the Commission’s regulatory powers</w:t>
            </w:r>
            <w:r>
              <w:rPr>
                <w:webHidden/>
              </w:rPr>
              <w:tab/>
            </w:r>
            <w:r>
              <w:rPr>
                <w:webHidden/>
              </w:rPr>
              <w:fldChar w:fldCharType="begin"/>
            </w:r>
            <w:r>
              <w:rPr>
                <w:webHidden/>
              </w:rPr>
              <w:instrText xml:space="preserve"> PAGEREF _Toc214961142 \h </w:instrText>
            </w:r>
            <w:r>
              <w:rPr>
                <w:webHidden/>
              </w:rPr>
            </w:r>
            <w:r>
              <w:rPr>
                <w:webHidden/>
              </w:rPr>
              <w:fldChar w:fldCharType="separate"/>
            </w:r>
            <w:r w:rsidR="00EF6C83">
              <w:rPr>
                <w:webHidden/>
              </w:rPr>
              <w:t>75</w:t>
            </w:r>
            <w:r>
              <w:rPr>
                <w:webHidden/>
              </w:rPr>
              <w:fldChar w:fldCharType="end"/>
            </w:r>
          </w:hyperlink>
        </w:p>
        <w:p w14:paraId="4354981B" w14:textId="35913BB4" w:rsidR="00790427" w:rsidRDefault="00790427">
          <w:pPr>
            <w:pStyle w:val="TOC2"/>
            <w:rPr>
              <w:rFonts w:asciiTheme="minorHAnsi" w:hAnsiTheme="minorHAnsi"/>
              <w:color w:val="auto"/>
              <w:kern w:val="2"/>
              <w:lang w:val="en-AU" w:eastAsia="en-AU"/>
              <w14:ligatures w14:val="standardContextual"/>
            </w:rPr>
          </w:pPr>
          <w:hyperlink w:anchor="_Toc214961143" w:history="1">
            <w:r w:rsidRPr="00164E9C">
              <w:rPr>
                <w:rStyle w:val="Hyperlink"/>
                <w:rFonts w:cs="Open Sans"/>
              </w:rPr>
              <w:t>Enhancing regulatory coordination: The Commission’s collaborative approach to positive duty implementation</w:t>
            </w:r>
            <w:r>
              <w:rPr>
                <w:webHidden/>
              </w:rPr>
              <w:tab/>
            </w:r>
            <w:r>
              <w:rPr>
                <w:webHidden/>
              </w:rPr>
              <w:fldChar w:fldCharType="begin"/>
            </w:r>
            <w:r>
              <w:rPr>
                <w:webHidden/>
              </w:rPr>
              <w:instrText xml:space="preserve"> PAGEREF _Toc214961143 \h </w:instrText>
            </w:r>
            <w:r>
              <w:rPr>
                <w:webHidden/>
              </w:rPr>
            </w:r>
            <w:r>
              <w:rPr>
                <w:webHidden/>
              </w:rPr>
              <w:fldChar w:fldCharType="separate"/>
            </w:r>
            <w:r w:rsidR="00EF6C83">
              <w:rPr>
                <w:webHidden/>
              </w:rPr>
              <w:t>81</w:t>
            </w:r>
            <w:r>
              <w:rPr>
                <w:webHidden/>
              </w:rPr>
              <w:fldChar w:fldCharType="end"/>
            </w:r>
          </w:hyperlink>
        </w:p>
        <w:p w14:paraId="1F5C1688" w14:textId="2BD7E13D" w:rsidR="00790427" w:rsidRDefault="00790427">
          <w:pPr>
            <w:pStyle w:val="TOC1"/>
            <w:rPr>
              <w:rFonts w:asciiTheme="minorHAnsi" w:hAnsiTheme="minorHAnsi"/>
              <w:b w:val="0"/>
              <w:color w:val="auto"/>
              <w:kern w:val="2"/>
              <w:lang w:eastAsia="en-AU"/>
              <w14:ligatures w14:val="standardContextual"/>
            </w:rPr>
          </w:pPr>
          <w:hyperlink w:anchor="_Toc214961144" w:history="1">
            <w:r w:rsidRPr="00164E9C">
              <w:rPr>
                <w:rStyle w:val="Hyperlink"/>
                <w:rFonts w:cs="Open Sans"/>
              </w:rPr>
              <w:t>Endnotes</w:t>
            </w:r>
            <w:r>
              <w:rPr>
                <w:webHidden/>
              </w:rPr>
              <w:tab/>
            </w:r>
            <w:r>
              <w:rPr>
                <w:webHidden/>
              </w:rPr>
              <w:fldChar w:fldCharType="begin"/>
            </w:r>
            <w:r>
              <w:rPr>
                <w:webHidden/>
              </w:rPr>
              <w:instrText xml:space="preserve"> PAGEREF _Toc214961144 \h </w:instrText>
            </w:r>
            <w:r>
              <w:rPr>
                <w:webHidden/>
              </w:rPr>
            </w:r>
            <w:r>
              <w:rPr>
                <w:webHidden/>
              </w:rPr>
              <w:fldChar w:fldCharType="separate"/>
            </w:r>
            <w:r w:rsidR="00EF6C83">
              <w:rPr>
                <w:webHidden/>
              </w:rPr>
              <w:t>83</w:t>
            </w:r>
            <w:r>
              <w:rPr>
                <w:webHidden/>
              </w:rPr>
              <w:fldChar w:fldCharType="end"/>
            </w:r>
          </w:hyperlink>
        </w:p>
        <w:p w14:paraId="0DED84AE" w14:textId="2AD92744" w:rsidR="00AA0C6A" w:rsidRPr="0000563D" w:rsidRDefault="0069742B" w:rsidP="0047762D">
          <w:pPr>
            <w:pStyle w:val="TOC1"/>
            <w:rPr>
              <w:rFonts w:cs="Open Sans"/>
            </w:rPr>
          </w:pPr>
          <w:r w:rsidRPr="0000563D">
            <w:rPr>
              <w:rFonts w:cs="Open Sans"/>
              <w:b w:val="0"/>
              <w:sz w:val="22"/>
            </w:rPr>
            <w:fldChar w:fldCharType="end"/>
          </w:r>
        </w:p>
      </w:sdtContent>
    </w:sdt>
    <w:p w14:paraId="6C07CE2A" w14:textId="77777777" w:rsidR="003C05F0" w:rsidRPr="0000563D" w:rsidRDefault="003C05F0" w:rsidP="002D7DA0">
      <w:pPr>
        <w:pStyle w:val="Frontmatter"/>
        <w:rPr>
          <w:rFonts w:cs="Open Sans"/>
          <w:b/>
        </w:rPr>
        <w:sectPr w:rsidR="003C05F0" w:rsidRPr="0000563D" w:rsidSect="00DC4F5B">
          <w:endnotePr>
            <w:numFmt w:val="decimal"/>
          </w:endnotePr>
          <w:pgSz w:w="11906" w:h="16838" w:code="9"/>
          <w:pgMar w:top="1134" w:right="1440" w:bottom="1440" w:left="1440" w:header="720" w:footer="720" w:gutter="0"/>
          <w:cols w:space="720"/>
          <w:titlePg/>
          <w:docGrid w:linePitch="360"/>
        </w:sectPr>
      </w:pPr>
    </w:p>
    <w:p w14:paraId="74C4957F" w14:textId="77777777" w:rsidR="0034646B" w:rsidRPr="0000563D" w:rsidRDefault="0034646B" w:rsidP="00E60D9A">
      <w:pPr>
        <w:pStyle w:val="Heading3"/>
        <w:rPr>
          <w:rFonts w:cs="Open Sans"/>
        </w:rPr>
      </w:pPr>
      <w:r w:rsidRPr="0000563D">
        <w:rPr>
          <w:rFonts w:cs="Open Sans"/>
        </w:rPr>
        <w:lastRenderedPageBreak/>
        <w:t>About</w:t>
      </w:r>
      <w:r w:rsidR="00741485" w:rsidRPr="0000563D">
        <w:rPr>
          <w:rFonts w:cs="Open Sans"/>
        </w:rPr>
        <w:t xml:space="preserve"> the Australian Human Rights Commission</w:t>
      </w:r>
    </w:p>
    <w:p w14:paraId="2F596C8F" w14:textId="022D038B" w:rsidR="37EF66D2" w:rsidRPr="0000563D" w:rsidRDefault="37EF66D2" w:rsidP="3FBA0D3C">
      <w:pPr>
        <w:pStyle w:val="Frontmatter"/>
        <w:rPr>
          <w:rFonts w:cs="Open Sans"/>
        </w:rPr>
      </w:pPr>
      <w:r w:rsidRPr="0000563D">
        <w:rPr>
          <w:rFonts w:cs="Open Sans"/>
        </w:rPr>
        <w:t>The</w:t>
      </w:r>
      <w:r w:rsidR="00CA3F3A" w:rsidRPr="0000563D">
        <w:rPr>
          <w:rFonts w:cs="Open Sans"/>
        </w:rPr>
        <w:t xml:space="preserve"> Australian Human Rights</w:t>
      </w:r>
      <w:r w:rsidRPr="0000563D">
        <w:rPr>
          <w:rFonts w:cs="Open Sans"/>
        </w:rPr>
        <w:t xml:space="preserve"> Commission is Australia’s </w:t>
      </w:r>
      <w:r w:rsidR="00FF4C74" w:rsidRPr="0000563D">
        <w:rPr>
          <w:rFonts w:cs="Open Sans"/>
        </w:rPr>
        <w:t>N</w:t>
      </w:r>
      <w:r w:rsidRPr="0000563D">
        <w:rPr>
          <w:rFonts w:cs="Open Sans"/>
        </w:rPr>
        <w:t xml:space="preserve">ational </w:t>
      </w:r>
      <w:r w:rsidR="00FF4C74" w:rsidRPr="0000563D">
        <w:rPr>
          <w:rFonts w:cs="Open Sans"/>
        </w:rPr>
        <w:t>H</w:t>
      </w:r>
      <w:r w:rsidRPr="0000563D">
        <w:rPr>
          <w:rFonts w:cs="Open Sans"/>
        </w:rPr>
        <w:t xml:space="preserve">uman </w:t>
      </w:r>
      <w:r w:rsidR="00FF4C74" w:rsidRPr="0000563D">
        <w:rPr>
          <w:rFonts w:cs="Open Sans"/>
        </w:rPr>
        <w:t>R</w:t>
      </w:r>
      <w:r w:rsidRPr="0000563D">
        <w:rPr>
          <w:rFonts w:cs="Open Sans"/>
        </w:rPr>
        <w:t xml:space="preserve">ights </w:t>
      </w:r>
      <w:r w:rsidR="00FF4C74" w:rsidRPr="0000563D">
        <w:rPr>
          <w:rFonts w:cs="Open Sans"/>
        </w:rPr>
        <w:t>I</w:t>
      </w:r>
      <w:r w:rsidRPr="0000563D">
        <w:rPr>
          <w:rFonts w:cs="Open Sans"/>
        </w:rPr>
        <w:t>nstitution</w:t>
      </w:r>
      <w:r w:rsidR="00FF4C74" w:rsidRPr="0000563D">
        <w:rPr>
          <w:rFonts w:cs="Open Sans"/>
        </w:rPr>
        <w:t xml:space="preserve"> (NHRI)</w:t>
      </w:r>
      <w:r w:rsidRPr="0000563D">
        <w:rPr>
          <w:rFonts w:cs="Open Sans"/>
        </w:rPr>
        <w:t>. We are established and operat</w:t>
      </w:r>
      <w:r w:rsidR="36A28EA8" w:rsidRPr="0000563D">
        <w:rPr>
          <w:rFonts w:cs="Open Sans"/>
        </w:rPr>
        <w:t>e</w:t>
      </w:r>
      <w:r w:rsidRPr="0000563D">
        <w:rPr>
          <w:rFonts w:cs="Open Sans"/>
        </w:rPr>
        <w:t xml:space="preserve"> in accordance with federal legislation</w:t>
      </w:r>
      <w:r w:rsidR="7DE82BB0" w:rsidRPr="0000563D">
        <w:rPr>
          <w:rFonts w:cs="Open Sans"/>
        </w:rPr>
        <w:t>.</w:t>
      </w:r>
    </w:p>
    <w:p w14:paraId="34A82F1C" w14:textId="77777777" w:rsidR="00741485" w:rsidRPr="0000563D" w:rsidRDefault="00741485" w:rsidP="002D7DA0">
      <w:pPr>
        <w:pStyle w:val="Frontmatter"/>
        <w:rPr>
          <w:rFonts w:cs="Open Sans"/>
        </w:rPr>
      </w:pPr>
      <w:r w:rsidRPr="0000563D">
        <w:rPr>
          <w:rFonts w:cs="Open Sans"/>
        </w:rPr>
        <w:t>Our vision is an Australian society where human rights are respected, promoted and protected and where every person is equal in dignity and rights.</w:t>
      </w:r>
    </w:p>
    <w:p w14:paraId="33241652" w14:textId="77777777" w:rsidR="00741485" w:rsidRPr="0000563D" w:rsidRDefault="00741485" w:rsidP="002D7DA0">
      <w:pPr>
        <w:pStyle w:val="Frontmatter"/>
        <w:rPr>
          <w:rFonts w:cs="Open Sans"/>
        </w:rPr>
      </w:pPr>
      <w:r w:rsidRPr="0000563D">
        <w:rPr>
          <w:rFonts w:cs="Open Sans"/>
        </w:rPr>
        <w:t>The Commission’s key functions include:</w:t>
      </w:r>
    </w:p>
    <w:p w14:paraId="0A7916C4" w14:textId="77777777" w:rsidR="00741485" w:rsidRPr="0000563D" w:rsidRDefault="00741485" w:rsidP="005E298D">
      <w:pPr>
        <w:pStyle w:val="Frontmatter"/>
        <w:ind w:left="709" w:hanging="425"/>
        <w:rPr>
          <w:rFonts w:cs="Open Sans"/>
        </w:rPr>
      </w:pPr>
      <w:r w:rsidRPr="0000563D">
        <w:rPr>
          <w:rFonts w:cs="Open Sans"/>
        </w:rPr>
        <w:t>•</w:t>
      </w:r>
      <w:r w:rsidRPr="0000563D">
        <w:rPr>
          <w:rFonts w:cs="Open Sans"/>
        </w:rPr>
        <w:tab/>
      </w:r>
      <w:r w:rsidRPr="00A21A58">
        <w:rPr>
          <w:rFonts w:cs="Open Sans"/>
          <w:b/>
        </w:rPr>
        <w:t>Access to justice:</w:t>
      </w:r>
      <w:r w:rsidRPr="0000563D">
        <w:rPr>
          <w:rFonts w:cs="Open Sans"/>
        </w:rPr>
        <w:t xml:space="preserve"> We help people to resolve complaints of discrimination and human rights breaches through our investigation and conciliation services.</w:t>
      </w:r>
    </w:p>
    <w:p w14:paraId="626B21E9" w14:textId="77777777" w:rsidR="00741485" w:rsidRPr="0000563D" w:rsidRDefault="00741485" w:rsidP="005E298D">
      <w:pPr>
        <w:pStyle w:val="Frontmatter"/>
        <w:ind w:left="709" w:hanging="425"/>
        <w:rPr>
          <w:rFonts w:cs="Open Sans"/>
        </w:rPr>
      </w:pPr>
      <w:r w:rsidRPr="0000563D">
        <w:rPr>
          <w:rFonts w:cs="Open Sans"/>
        </w:rPr>
        <w:t>•</w:t>
      </w:r>
      <w:r w:rsidRPr="0000563D">
        <w:rPr>
          <w:rFonts w:cs="Open Sans"/>
        </w:rPr>
        <w:tab/>
      </w:r>
      <w:r w:rsidRPr="00A21A58">
        <w:rPr>
          <w:rFonts w:cs="Open Sans"/>
          <w:b/>
        </w:rPr>
        <w:t>Fairer laws, policies and practices:</w:t>
      </w:r>
      <w:r w:rsidRPr="0000563D">
        <w:rPr>
          <w:rFonts w:cs="Open Sans"/>
        </w:rPr>
        <w:t xml:space="preserve">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4300D723" w14:textId="77777777" w:rsidR="00741485" w:rsidRPr="0000563D" w:rsidRDefault="00741485" w:rsidP="005E298D">
      <w:pPr>
        <w:pStyle w:val="Frontmatter"/>
        <w:ind w:left="709" w:hanging="425"/>
        <w:rPr>
          <w:rFonts w:cs="Open Sans"/>
        </w:rPr>
      </w:pPr>
      <w:r w:rsidRPr="0000563D">
        <w:rPr>
          <w:rFonts w:cs="Open Sans"/>
        </w:rPr>
        <w:t>•</w:t>
      </w:r>
      <w:r w:rsidRPr="0000563D">
        <w:rPr>
          <w:rFonts w:cs="Open Sans"/>
        </w:rPr>
        <w:tab/>
      </w:r>
      <w:r w:rsidRPr="00A21A58">
        <w:rPr>
          <w:rFonts w:cs="Open Sans"/>
          <w:b/>
        </w:rPr>
        <w:t>Education and understanding:</w:t>
      </w:r>
      <w:r w:rsidRPr="0000563D">
        <w:rPr>
          <w:rFonts w:cs="Open Sans"/>
        </w:rPr>
        <w:t xml:space="preserve"> We </w:t>
      </w:r>
      <w:r w:rsidR="00D14B2C" w:rsidRPr="0000563D">
        <w:rPr>
          <w:rFonts w:cs="Open Sans"/>
        </w:rPr>
        <w:t xml:space="preserve">promote </w:t>
      </w:r>
      <w:r w:rsidRPr="0000563D">
        <w:rPr>
          <w:rFonts w:cs="Open Sans"/>
        </w:rPr>
        <w:t>understanding, acceptance and public discussion of human rights. We deliver workplace and community human rights education and training.</w:t>
      </w:r>
    </w:p>
    <w:p w14:paraId="124A3E59" w14:textId="77777777" w:rsidR="00741485" w:rsidRPr="0000563D" w:rsidRDefault="00741485" w:rsidP="005E298D">
      <w:pPr>
        <w:pStyle w:val="Frontmatter"/>
        <w:ind w:left="709" w:hanging="425"/>
        <w:rPr>
          <w:rFonts w:cs="Open Sans"/>
        </w:rPr>
      </w:pPr>
      <w:r w:rsidRPr="0000563D">
        <w:rPr>
          <w:rFonts w:cs="Open Sans"/>
        </w:rPr>
        <w:t>•</w:t>
      </w:r>
      <w:r w:rsidRPr="0000563D">
        <w:rPr>
          <w:rFonts w:cs="Open Sans"/>
        </w:rPr>
        <w:tab/>
      </w:r>
      <w:r w:rsidRPr="00A21A58">
        <w:rPr>
          <w:rFonts w:cs="Open Sans"/>
          <w:b/>
        </w:rPr>
        <w:t>Compliance:</w:t>
      </w:r>
      <w:r w:rsidRPr="0000563D">
        <w:rPr>
          <w:rFonts w:cs="Open Sans"/>
        </w:rPr>
        <w:t xml:space="preserve"> We are the regulator for positive duty laws requiring employers and others to address sexual harassment, sex discrimination and other unlawful conduct.</w:t>
      </w:r>
    </w:p>
    <w:p w14:paraId="45468DA3" w14:textId="77777777" w:rsidR="0034646B" w:rsidRPr="0000563D" w:rsidRDefault="0034646B" w:rsidP="00C214AA">
      <w:pPr>
        <w:pStyle w:val="Frontmatter"/>
        <w:rPr>
          <w:rFonts w:cs="Open Sans"/>
        </w:rPr>
      </w:pPr>
    </w:p>
    <w:p w14:paraId="3EB46D9F" w14:textId="77777777" w:rsidR="0034646B" w:rsidRPr="0000563D" w:rsidRDefault="0034646B" w:rsidP="00C214AA">
      <w:pPr>
        <w:pStyle w:val="Frontmatter"/>
        <w:rPr>
          <w:rFonts w:cs="Open Sans"/>
        </w:rPr>
      </w:pPr>
    </w:p>
    <w:p w14:paraId="2ADE4A93" w14:textId="77777777" w:rsidR="00FE19D1" w:rsidRPr="0000563D" w:rsidRDefault="00A11470" w:rsidP="00C214AA">
      <w:pPr>
        <w:pStyle w:val="Frontmatter"/>
        <w:rPr>
          <w:rFonts w:cs="Open Sans"/>
        </w:rPr>
      </w:pPr>
      <w:r w:rsidRPr="0000563D">
        <w:rPr>
          <w:rFonts w:cs="Open Sans"/>
        </w:rPr>
        <w:t>Australian Human Rights Commission</w:t>
      </w:r>
      <w:r w:rsidR="00FE19D1" w:rsidRPr="0000563D">
        <w:rPr>
          <w:rFonts w:cs="Open Sans"/>
        </w:rPr>
        <w:t xml:space="preserve"> </w:t>
      </w:r>
      <w:hyperlink r:id="rId15" w:history="1">
        <w:r w:rsidR="00FE19D1" w:rsidRPr="0000563D">
          <w:rPr>
            <w:rStyle w:val="Hyperlink"/>
            <w:rFonts w:cs="Open Sans"/>
            <w:sz w:val="22"/>
          </w:rPr>
          <w:t>www.humanrights.gov.au</w:t>
        </w:r>
      </w:hyperlink>
      <w:r w:rsidR="00FE19D1" w:rsidRPr="0000563D">
        <w:rPr>
          <w:rFonts w:cs="Open Sans"/>
        </w:rPr>
        <w:t xml:space="preserve"> </w:t>
      </w:r>
    </w:p>
    <w:p w14:paraId="2CDFACC4" w14:textId="77777777" w:rsidR="00FF6AEC" w:rsidRPr="0000563D" w:rsidRDefault="00A11470" w:rsidP="00C214AA">
      <w:pPr>
        <w:pStyle w:val="Frontmatter"/>
        <w:rPr>
          <w:rFonts w:cs="Open Sans"/>
        </w:rPr>
      </w:pPr>
      <w:r w:rsidRPr="0000563D">
        <w:rPr>
          <w:rFonts w:cs="Open Sans"/>
        </w:rPr>
        <w:t>ABN</w:t>
      </w:r>
      <w:r w:rsidR="00D81BD3" w:rsidRPr="0000563D">
        <w:rPr>
          <w:rFonts w:cs="Open Sans"/>
        </w:rPr>
        <w:t xml:space="preserve"> 47 996 232 602</w:t>
      </w:r>
    </w:p>
    <w:p w14:paraId="1BF399FF" w14:textId="77777777" w:rsidR="00601842" w:rsidRPr="0000563D" w:rsidRDefault="00601842" w:rsidP="00C214AA">
      <w:pPr>
        <w:pStyle w:val="Frontmatter"/>
        <w:rPr>
          <w:rFonts w:cs="Open Sans"/>
        </w:rPr>
      </w:pPr>
      <w:r w:rsidRPr="0000563D">
        <w:rPr>
          <w:rFonts w:cs="Open Sans"/>
        </w:rPr>
        <w:t>GPO Box 5218 Sydney NSW 2001</w:t>
      </w:r>
    </w:p>
    <w:p w14:paraId="6B67875A" w14:textId="77777777" w:rsidR="009E6F98" w:rsidRPr="0000563D" w:rsidRDefault="00FF6AEC" w:rsidP="00C214AA">
      <w:pPr>
        <w:pStyle w:val="Frontmatter"/>
        <w:rPr>
          <w:rFonts w:cs="Open Sans"/>
        </w:rPr>
      </w:pPr>
      <w:r w:rsidRPr="0000563D">
        <w:rPr>
          <w:rFonts w:cs="Open Sans"/>
        </w:rPr>
        <w:t>For general enquiries, call us on 1300 369 711.</w:t>
      </w:r>
      <w:r w:rsidR="009E6F98" w:rsidRPr="0000563D">
        <w:rPr>
          <w:rFonts w:cs="Open Sans"/>
        </w:rPr>
        <w:br/>
      </w:r>
      <w:r w:rsidRPr="0000563D">
        <w:rPr>
          <w:rFonts w:cs="Open Sans"/>
        </w:rPr>
        <w:t>For complaints, call us on 1300 656 419</w:t>
      </w:r>
      <w:r w:rsidR="009E6F98" w:rsidRPr="0000563D">
        <w:rPr>
          <w:rFonts w:cs="Open Sans"/>
        </w:rPr>
        <w:t>.</w:t>
      </w:r>
      <w:r w:rsidR="00FA2B1D" w:rsidRPr="0000563D">
        <w:rPr>
          <w:rFonts w:cs="Open Sans"/>
        </w:rPr>
        <w:br/>
      </w:r>
      <w:r w:rsidR="009E6F98" w:rsidRPr="0000563D">
        <w:rPr>
          <w:rFonts w:cs="Open Sans"/>
        </w:rPr>
        <w:t xml:space="preserve">For TTY, call </w:t>
      </w:r>
      <w:r w:rsidR="006F384B" w:rsidRPr="0000563D">
        <w:rPr>
          <w:rFonts w:cs="Open Sans"/>
        </w:rPr>
        <w:t>1800 620 241.</w:t>
      </w:r>
    </w:p>
    <w:p w14:paraId="7DC07EFA" w14:textId="77777777" w:rsidR="00A11470" w:rsidRPr="0000563D" w:rsidRDefault="00A11470" w:rsidP="00C214AA">
      <w:pPr>
        <w:pStyle w:val="Frontmatter"/>
        <w:rPr>
          <w:rFonts w:cs="Open Sans"/>
        </w:rPr>
      </w:pPr>
    </w:p>
    <w:p w14:paraId="5CD4439D" w14:textId="77777777" w:rsidR="00A418E2" w:rsidRPr="0000563D" w:rsidRDefault="00A418E2" w:rsidP="00295318">
      <w:pPr>
        <w:pStyle w:val="Frontmatter"/>
        <w:rPr>
          <w:rFonts w:cs="Open Sans"/>
        </w:rPr>
        <w:sectPr w:rsidR="00A418E2" w:rsidRPr="0000563D" w:rsidSect="0090680E">
          <w:endnotePr>
            <w:numFmt w:val="decimal"/>
          </w:endnotePr>
          <w:pgSz w:w="11906" w:h="16838" w:code="9"/>
          <w:pgMar w:top="1440" w:right="1440" w:bottom="1440" w:left="1440" w:header="720" w:footer="720" w:gutter="0"/>
          <w:cols w:space="720"/>
          <w:titlePg/>
          <w:docGrid w:linePitch="360"/>
        </w:sectPr>
      </w:pPr>
    </w:p>
    <w:p w14:paraId="5632D58B" w14:textId="77777777" w:rsidR="004024FD" w:rsidRPr="002D4943" w:rsidRDefault="00B8449B" w:rsidP="00983065">
      <w:pPr>
        <w:pStyle w:val="Heading1unnumbered"/>
        <w:rPr>
          <w:rFonts w:ascii="Open Sans" w:hAnsi="Open Sans" w:cs="Open Sans"/>
        </w:rPr>
      </w:pPr>
      <w:bookmarkStart w:id="0" w:name="_Toc214961106"/>
      <w:r w:rsidRPr="002D4943">
        <w:rPr>
          <w:rFonts w:ascii="Open Sans" w:hAnsi="Open Sans" w:cs="Open Sans"/>
        </w:rPr>
        <w:lastRenderedPageBreak/>
        <w:t>Overview</w:t>
      </w:r>
      <w:bookmarkEnd w:id="0"/>
    </w:p>
    <w:p w14:paraId="4C7DE358" w14:textId="77777777" w:rsidR="00D20DC1" w:rsidRPr="002D4943" w:rsidRDefault="000B1691" w:rsidP="00F774CB">
      <w:pPr>
        <w:pStyle w:val="Heading2"/>
        <w:rPr>
          <w:rFonts w:ascii="Open Sans" w:hAnsi="Open Sans" w:cs="Open Sans"/>
        </w:rPr>
      </w:pPr>
      <w:bookmarkStart w:id="1" w:name="_Toc214961107"/>
      <w:r w:rsidRPr="002D4943">
        <w:rPr>
          <w:rFonts w:ascii="Open Sans" w:hAnsi="Open Sans" w:cs="Open Sans"/>
        </w:rPr>
        <w:t>Summary</w:t>
      </w:r>
      <w:bookmarkEnd w:id="1"/>
    </w:p>
    <w:p w14:paraId="3980A420" w14:textId="44DFA633" w:rsidR="008B20EB" w:rsidRPr="002D4943" w:rsidRDefault="00D51CD3" w:rsidP="008B20EB">
      <w:r w:rsidRPr="0000563D">
        <w:rPr>
          <w:lang w:val="en-US"/>
        </w:rPr>
        <w:t xml:space="preserve">The Australian Human Rights Commission </w:t>
      </w:r>
      <w:r w:rsidR="00B338A5" w:rsidRPr="0000563D">
        <w:rPr>
          <w:lang w:val="en-US"/>
        </w:rPr>
        <w:t xml:space="preserve">(the Commission) </w:t>
      </w:r>
      <w:r w:rsidRPr="0000563D">
        <w:rPr>
          <w:lang w:val="en-US"/>
        </w:rPr>
        <w:t xml:space="preserve">welcomes the opportunity to provide a submission to the Attorney General’s Department Review of the </w:t>
      </w:r>
      <w:r w:rsidRPr="0000563D">
        <w:rPr>
          <w:i/>
          <w:iCs/>
          <w:lang w:val="en-US"/>
        </w:rPr>
        <w:t>Disability Discrimination Act 1992</w:t>
      </w:r>
      <w:r w:rsidRPr="0000563D">
        <w:rPr>
          <w:lang w:val="en-US"/>
        </w:rPr>
        <w:t xml:space="preserve"> (</w:t>
      </w:r>
      <w:proofErr w:type="spellStart"/>
      <w:r w:rsidRPr="0000563D">
        <w:rPr>
          <w:lang w:val="en-US"/>
        </w:rPr>
        <w:t>Cth</w:t>
      </w:r>
      <w:proofErr w:type="spellEnd"/>
      <w:r w:rsidRPr="0000563D">
        <w:rPr>
          <w:lang w:val="en-US"/>
        </w:rPr>
        <w:t>)</w:t>
      </w:r>
      <w:r w:rsidR="00846836" w:rsidRPr="0000563D">
        <w:t xml:space="preserve"> </w:t>
      </w:r>
      <w:r w:rsidR="00D34F1C" w:rsidRPr="0000563D">
        <w:t>(Disability Discrimination Act)</w:t>
      </w:r>
      <w:r w:rsidR="00846836" w:rsidRPr="0000563D">
        <w:t>.</w:t>
      </w:r>
      <w:r w:rsidRPr="0000563D">
        <w:t xml:space="preserve"> </w:t>
      </w:r>
      <w:r w:rsidRPr="0000563D">
        <w:rPr>
          <w:lang w:val="en-US"/>
        </w:rPr>
        <w:t xml:space="preserve">This submission </w:t>
      </w:r>
      <w:r w:rsidR="009C3DE7" w:rsidRPr="0000563D">
        <w:rPr>
          <w:lang w:val="en-US"/>
        </w:rPr>
        <w:t xml:space="preserve">addresses how </w:t>
      </w:r>
      <w:r w:rsidR="008B20EB" w:rsidRPr="0000563D">
        <w:rPr>
          <w:lang w:val="en-US"/>
        </w:rPr>
        <w:t xml:space="preserve">the Act </w:t>
      </w:r>
      <w:r w:rsidR="009C3DE7" w:rsidRPr="0000563D">
        <w:rPr>
          <w:lang w:val="en-US"/>
        </w:rPr>
        <w:t>can</w:t>
      </w:r>
      <w:r w:rsidR="008B20EB" w:rsidRPr="0000563D">
        <w:rPr>
          <w:lang w:val="en-US"/>
        </w:rPr>
        <w:t xml:space="preserve"> be </w:t>
      </w:r>
      <w:proofErr w:type="spellStart"/>
      <w:r w:rsidR="008B20EB" w:rsidRPr="0000563D">
        <w:rPr>
          <w:lang w:val="en-US"/>
        </w:rPr>
        <w:t>harmonised</w:t>
      </w:r>
      <w:proofErr w:type="spellEnd"/>
      <w:r w:rsidR="008B20EB" w:rsidRPr="0000563D">
        <w:rPr>
          <w:lang w:val="en-US"/>
        </w:rPr>
        <w:t xml:space="preserve">, simplified, and </w:t>
      </w:r>
      <w:proofErr w:type="spellStart"/>
      <w:r w:rsidR="009C3DE7" w:rsidRPr="0000563D">
        <w:rPr>
          <w:lang w:val="en-US"/>
        </w:rPr>
        <w:t>moderni</w:t>
      </w:r>
      <w:r w:rsidR="00CB41BA" w:rsidRPr="0000563D">
        <w:rPr>
          <w:lang w:val="en-US"/>
        </w:rPr>
        <w:t>s</w:t>
      </w:r>
      <w:r w:rsidR="009C3DE7" w:rsidRPr="0000563D">
        <w:rPr>
          <w:lang w:val="en-US"/>
        </w:rPr>
        <w:t>ed</w:t>
      </w:r>
      <w:proofErr w:type="spellEnd"/>
      <w:r w:rsidR="009C3DE7" w:rsidRPr="0000563D">
        <w:rPr>
          <w:lang w:val="en-US"/>
        </w:rPr>
        <w:t xml:space="preserve"> to remove barriers faced by </w:t>
      </w:r>
      <w:r w:rsidR="00CB41BA" w:rsidRPr="0000563D">
        <w:rPr>
          <w:lang w:val="en-US"/>
        </w:rPr>
        <w:t>people with disability.</w:t>
      </w:r>
    </w:p>
    <w:p w14:paraId="54871999" w14:textId="52D2C777" w:rsidR="00C6001C" w:rsidRPr="0000563D" w:rsidRDefault="008B20EB" w:rsidP="008B20EB">
      <w:pPr>
        <w:rPr>
          <w:lang w:val="en-US"/>
        </w:rPr>
      </w:pPr>
      <w:r w:rsidRPr="0000563D">
        <w:rPr>
          <w:lang w:val="en-US"/>
        </w:rPr>
        <w:t>Th</w:t>
      </w:r>
      <w:r w:rsidR="00193212" w:rsidRPr="0000563D">
        <w:rPr>
          <w:lang w:val="en-US"/>
        </w:rPr>
        <w:t>is</w:t>
      </w:r>
      <w:r w:rsidRPr="0000563D">
        <w:rPr>
          <w:lang w:val="en-US"/>
        </w:rPr>
        <w:t xml:space="preserve"> submission </w:t>
      </w:r>
      <w:r w:rsidR="00CB41BA" w:rsidRPr="0000563D">
        <w:rPr>
          <w:lang w:val="en-US"/>
        </w:rPr>
        <w:t>responds</w:t>
      </w:r>
      <w:r w:rsidRPr="0000563D">
        <w:rPr>
          <w:lang w:val="en-US"/>
        </w:rPr>
        <w:t xml:space="preserve"> to the relevant recommendations from the Royal Commission into Violence, Abuse, Neglect and Exploitation of People with Disability, </w:t>
      </w:r>
      <w:r w:rsidR="00CB41BA" w:rsidRPr="0000563D">
        <w:rPr>
          <w:lang w:val="en-US"/>
        </w:rPr>
        <w:t>all the while making</w:t>
      </w:r>
      <w:r w:rsidRPr="0000563D">
        <w:rPr>
          <w:lang w:val="en-US"/>
        </w:rPr>
        <w:t xml:space="preserve"> a strong call for </w:t>
      </w:r>
      <w:proofErr w:type="spellStart"/>
      <w:r w:rsidRPr="0000563D">
        <w:rPr>
          <w:lang w:val="en-US"/>
        </w:rPr>
        <w:t>harmonisation</w:t>
      </w:r>
      <w:proofErr w:type="spellEnd"/>
      <w:r w:rsidRPr="0000563D">
        <w:rPr>
          <w:lang w:val="en-US"/>
        </w:rPr>
        <w:t xml:space="preserve"> </w:t>
      </w:r>
      <w:r w:rsidR="00CB41BA" w:rsidRPr="0000563D">
        <w:rPr>
          <w:lang w:val="en-US"/>
        </w:rPr>
        <w:t>of</w:t>
      </w:r>
      <w:r w:rsidRPr="0000563D">
        <w:rPr>
          <w:lang w:val="en-US"/>
        </w:rPr>
        <w:t xml:space="preserve"> the 4 federal discrimination laws. Currently, the </w:t>
      </w:r>
      <w:r w:rsidR="0097671E" w:rsidRPr="0000563D">
        <w:rPr>
          <w:lang w:val="en-US"/>
        </w:rPr>
        <w:t>laws</w:t>
      </w:r>
      <w:r w:rsidRPr="0000563D">
        <w:rPr>
          <w:lang w:val="en-US"/>
        </w:rPr>
        <w:t xml:space="preserve"> operate in different ways and contain different protections, even though a person can experience discrimination in many ways which relate not just to their disability but also their age, race, sex, gender </w:t>
      </w:r>
      <w:r w:rsidR="00E14953" w:rsidRPr="0000563D">
        <w:rPr>
          <w:lang w:val="en-US"/>
        </w:rPr>
        <w:t xml:space="preserve">and / </w:t>
      </w:r>
      <w:r w:rsidRPr="0000563D">
        <w:rPr>
          <w:lang w:val="en-US"/>
        </w:rPr>
        <w:t>or sexuality. Throughout the submission, the Commission</w:t>
      </w:r>
      <w:r w:rsidR="00585D9A" w:rsidRPr="0000563D">
        <w:rPr>
          <w:lang w:val="en-US"/>
        </w:rPr>
        <w:t xml:space="preserve"> identifies</w:t>
      </w:r>
      <w:r w:rsidRPr="0000563D">
        <w:rPr>
          <w:lang w:val="en-US"/>
        </w:rPr>
        <w:t xml:space="preserve"> provisions and legal standards that should be made consistent in all 4 </w:t>
      </w:r>
      <w:r w:rsidR="0097671E" w:rsidRPr="0000563D">
        <w:rPr>
          <w:lang w:val="en-US"/>
        </w:rPr>
        <w:t>laws</w:t>
      </w:r>
      <w:r w:rsidRPr="0000563D">
        <w:rPr>
          <w:lang w:val="en-US"/>
        </w:rPr>
        <w:t xml:space="preserve"> to better protect</w:t>
      </w:r>
      <w:r w:rsidR="00342C96" w:rsidRPr="0000563D">
        <w:rPr>
          <w:lang w:val="en-US"/>
        </w:rPr>
        <w:t xml:space="preserve"> people from discrimination</w:t>
      </w:r>
      <w:r w:rsidRPr="0000563D">
        <w:rPr>
          <w:lang w:val="en-US"/>
        </w:rPr>
        <w:t xml:space="preserve"> and to </w:t>
      </w:r>
      <w:proofErr w:type="spellStart"/>
      <w:r w:rsidRPr="0000563D">
        <w:rPr>
          <w:lang w:val="en-US"/>
        </w:rPr>
        <w:t>minimi</w:t>
      </w:r>
      <w:r w:rsidR="00D17114" w:rsidRPr="0000563D">
        <w:rPr>
          <w:lang w:val="en-US"/>
        </w:rPr>
        <w:t>s</w:t>
      </w:r>
      <w:r w:rsidRPr="0000563D">
        <w:rPr>
          <w:lang w:val="en-US"/>
        </w:rPr>
        <w:t>e</w:t>
      </w:r>
      <w:proofErr w:type="spellEnd"/>
      <w:r w:rsidRPr="0000563D">
        <w:rPr>
          <w:lang w:val="en-US"/>
        </w:rPr>
        <w:t xml:space="preserve"> the complexity and burden for </w:t>
      </w:r>
      <w:proofErr w:type="spellStart"/>
      <w:r w:rsidR="00342C96" w:rsidRPr="0000563D">
        <w:rPr>
          <w:lang w:val="en-US"/>
        </w:rPr>
        <w:t>organisations</w:t>
      </w:r>
      <w:proofErr w:type="spellEnd"/>
      <w:r w:rsidR="00342C96" w:rsidRPr="0000563D">
        <w:rPr>
          <w:lang w:val="en-US"/>
        </w:rPr>
        <w:t xml:space="preserve"> and people who must comply with the laws (</w:t>
      </w:r>
      <w:r w:rsidRPr="0000563D">
        <w:rPr>
          <w:lang w:val="en-US"/>
        </w:rPr>
        <w:t>duty holders</w:t>
      </w:r>
      <w:r w:rsidR="00342C96" w:rsidRPr="0000563D">
        <w:rPr>
          <w:lang w:val="en-US"/>
        </w:rPr>
        <w:t>)</w:t>
      </w:r>
      <w:r w:rsidRPr="0000563D">
        <w:rPr>
          <w:lang w:val="en-US"/>
        </w:rPr>
        <w:t>.</w:t>
      </w:r>
      <w:r w:rsidR="009B7245" w:rsidRPr="0000563D">
        <w:rPr>
          <w:lang w:val="en-US"/>
        </w:rPr>
        <w:t xml:space="preserve"> </w:t>
      </w:r>
      <w:r w:rsidR="005D493B" w:rsidRPr="0000563D">
        <w:rPr>
          <w:lang w:val="en-US"/>
        </w:rPr>
        <w:t xml:space="preserve">Other </w:t>
      </w:r>
      <w:proofErr w:type="spellStart"/>
      <w:r w:rsidR="005D493B" w:rsidRPr="0000563D">
        <w:rPr>
          <w:lang w:val="en-US"/>
        </w:rPr>
        <w:t>harmoni</w:t>
      </w:r>
      <w:r w:rsidR="00D17114" w:rsidRPr="0000563D">
        <w:rPr>
          <w:lang w:val="en-US"/>
        </w:rPr>
        <w:t>s</w:t>
      </w:r>
      <w:r w:rsidR="005D493B" w:rsidRPr="0000563D">
        <w:rPr>
          <w:lang w:val="en-US"/>
        </w:rPr>
        <w:t>ing</w:t>
      </w:r>
      <w:proofErr w:type="spellEnd"/>
      <w:r w:rsidR="005D493B" w:rsidRPr="0000563D">
        <w:rPr>
          <w:lang w:val="en-US"/>
        </w:rPr>
        <w:t xml:space="preserve"> changes are identified</w:t>
      </w:r>
      <w:r w:rsidR="009B7245" w:rsidRPr="0000563D">
        <w:rPr>
          <w:lang w:val="en-US"/>
        </w:rPr>
        <w:t xml:space="preserve"> to </w:t>
      </w:r>
      <w:r w:rsidR="00B176D1" w:rsidRPr="0000563D">
        <w:rPr>
          <w:lang w:val="en-US"/>
        </w:rPr>
        <w:t>create</w:t>
      </w:r>
      <w:r w:rsidR="009B7245" w:rsidRPr="0000563D">
        <w:rPr>
          <w:lang w:val="en-US"/>
        </w:rPr>
        <w:t xml:space="preserve"> a greater connection between the United Nations Convention on the Rights of Persons with Disabilities and the Disability Discrimination Act.</w:t>
      </w:r>
    </w:p>
    <w:p w14:paraId="07265DEB" w14:textId="4FAA0967" w:rsidR="008B20EB" w:rsidRPr="0000563D" w:rsidRDefault="00FB46E8" w:rsidP="008B20EB">
      <w:pPr>
        <w:rPr>
          <w:lang w:val="en-US"/>
        </w:rPr>
      </w:pPr>
      <w:r w:rsidRPr="0000563D">
        <w:rPr>
          <w:lang w:val="en-US"/>
        </w:rPr>
        <w:t>S</w:t>
      </w:r>
      <w:r w:rsidR="002B4D48" w:rsidRPr="0000563D">
        <w:rPr>
          <w:lang w:val="en-US"/>
        </w:rPr>
        <w:t xml:space="preserve">ome legal tests in </w:t>
      </w:r>
      <w:r w:rsidR="008B20EB" w:rsidRPr="0000563D">
        <w:rPr>
          <w:lang w:val="en-US"/>
        </w:rPr>
        <w:t xml:space="preserve">the </w:t>
      </w:r>
      <w:r w:rsidR="005D493B" w:rsidRPr="0000563D">
        <w:rPr>
          <w:lang w:val="en-US"/>
        </w:rPr>
        <w:t>Disability Discrimination Act</w:t>
      </w:r>
      <w:r w:rsidRPr="0000563D">
        <w:rPr>
          <w:lang w:val="en-US"/>
        </w:rPr>
        <w:t xml:space="preserve"> should be simplified</w:t>
      </w:r>
      <w:r w:rsidR="00DF0F3D" w:rsidRPr="0000563D">
        <w:rPr>
          <w:lang w:val="en-US"/>
        </w:rPr>
        <w:t xml:space="preserve">: the tests for direct and indirect discrimination, the </w:t>
      </w:r>
      <w:r w:rsidR="00A867C6" w:rsidRPr="0000563D">
        <w:rPr>
          <w:lang w:val="en-US"/>
        </w:rPr>
        <w:t>introduction of a standalone duty to provide adjustments and</w:t>
      </w:r>
      <w:r w:rsidR="00DD3451" w:rsidRPr="0000563D">
        <w:rPr>
          <w:lang w:val="en-US"/>
        </w:rPr>
        <w:t xml:space="preserve"> new provisions to encourage greater consultation with people with disability.</w:t>
      </w:r>
      <w:r w:rsidR="002B4D48" w:rsidRPr="0000563D">
        <w:rPr>
          <w:lang w:val="en-US"/>
        </w:rPr>
        <w:t xml:space="preserve"> </w:t>
      </w:r>
      <w:r w:rsidR="00832CD9" w:rsidRPr="0000563D">
        <w:rPr>
          <w:lang w:val="en-US"/>
        </w:rPr>
        <w:t>Drawing</w:t>
      </w:r>
      <w:r w:rsidR="006D7BBB" w:rsidRPr="0000563D">
        <w:rPr>
          <w:lang w:val="en-US"/>
        </w:rPr>
        <w:t xml:space="preserve"> on </w:t>
      </w:r>
      <w:r w:rsidR="00922F7B" w:rsidRPr="0000563D">
        <w:rPr>
          <w:lang w:val="en-US"/>
        </w:rPr>
        <w:t>our</w:t>
      </w:r>
      <w:r w:rsidR="006D7BBB" w:rsidRPr="0000563D">
        <w:rPr>
          <w:lang w:val="en-US"/>
        </w:rPr>
        <w:t xml:space="preserve"> Equality at Work project</w:t>
      </w:r>
      <w:r w:rsidR="00832CD9" w:rsidRPr="0000563D">
        <w:rPr>
          <w:lang w:val="en-US"/>
        </w:rPr>
        <w:t xml:space="preserve">, </w:t>
      </w:r>
      <w:r w:rsidR="00922F7B" w:rsidRPr="0000563D">
        <w:rPr>
          <w:lang w:val="en-US"/>
        </w:rPr>
        <w:t>we</w:t>
      </w:r>
      <w:r w:rsidR="00832CD9" w:rsidRPr="0000563D">
        <w:rPr>
          <w:lang w:val="en-US"/>
        </w:rPr>
        <w:t xml:space="preserve"> highlight</w:t>
      </w:r>
      <w:r w:rsidR="007D0B6D" w:rsidRPr="0000563D">
        <w:rPr>
          <w:lang w:val="en-US"/>
        </w:rPr>
        <w:t xml:space="preserve"> the continued need for flexibility and innovation</w:t>
      </w:r>
      <w:r w:rsidR="00832CD9" w:rsidRPr="0000563D">
        <w:rPr>
          <w:lang w:val="en-US"/>
        </w:rPr>
        <w:t xml:space="preserve"> to respond to contemporary employment contexts</w:t>
      </w:r>
      <w:r w:rsidR="007D0B6D" w:rsidRPr="0000563D">
        <w:rPr>
          <w:lang w:val="en-US"/>
        </w:rPr>
        <w:t xml:space="preserve"> </w:t>
      </w:r>
      <w:r w:rsidR="002F3D77" w:rsidRPr="0000563D">
        <w:rPr>
          <w:lang w:val="en-US"/>
        </w:rPr>
        <w:t>in</w:t>
      </w:r>
      <w:r w:rsidR="007D0B6D" w:rsidRPr="0000563D">
        <w:rPr>
          <w:lang w:val="en-US"/>
        </w:rPr>
        <w:t xml:space="preserve"> how inheren</w:t>
      </w:r>
      <w:r w:rsidR="00832CD9" w:rsidRPr="0000563D">
        <w:rPr>
          <w:lang w:val="en-US"/>
        </w:rPr>
        <w:t xml:space="preserve">t </w:t>
      </w:r>
      <w:r w:rsidR="007D0B6D" w:rsidRPr="0000563D">
        <w:rPr>
          <w:lang w:val="en-US"/>
        </w:rPr>
        <w:t>requirements of work are defined in the Act</w:t>
      </w:r>
      <w:r w:rsidR="0032460A" w:rsidRPr="0000563D">
        <w:rPr>
          <w:lang w:val="en-US"/>
        </w:rPr>
        <w:t>.</w:t>
      </w:r>
      <w:r w:rsidR="000E2408" w:rsidRPr="0000563D">
        <w:rPr>
          <w:lang w:val="en-US"/>
        </w:rPr>
        <w:t xml:space="preserve"> </w:t>
      </w:r>
      <w:r w:rsidR="00D661C9" w:rsidRPr="0000563D">
        <w:rPr>
          <w:lang w:val="en-US"/>
        </w:rPr>
        <w:t>The issue of how best to respond to harassment and vilification, including in online spaces, is addressed.</w:t>
      </w:r>
      <w:r w:rsidR="0032460A" w:rsidRPr="0000563D">
        <w:rPr>
          <w:lang w:val="en-US"/>
        </w:rPr>
        <w:t xml:space="preserve"> </w:t>
      </w:r>
      <w:r w:rsidR="00222944" w:rsidRPr="0000563D">
        <w:rPr>
          <w:lang w:val="en-US"/>
        </w:rPr>
        <w:t xml:space="preserve">This submission also responds to questions about </w:t>
      </w:r>
      <w:r w:rsidR="00070B74" w:rsidRPr="0000563D">
        <w:rPr>
          <w:lang w:val="en-US"/>
        </w:rPr>
        <w:t xml:space="preserve">how disability should be defined, </w:t>
      </w:r>
      <w:r w:rsidR="0045252D" w:rsidRPr="0000563D">
        <w:rPr>
          <w:lang w:val="en-US"/>
        </w:rPr>
        <w:t xml:space="preserve">how to </w:t>
      </w:r>
      <w:r w:rsidR="003A0BFC" w:rsidRPr="0000563D">
        <w:rPr>
          <w:lang w:val="en-US"/>
        </w:rPr>
        <w:t xml:space="preserve">most effectively prevent the use of exclusionary discipline in schools, </w:t>
      </w:r>
      <w:r w:rsidR="00A330DF" w:rsidRPr="0000563D">
        <w:rPr>
          <w:lang w:val="en-US"/>
        </w:rPr>
        <w:t xml:space="preserve">and </w:t>
      </w:r>
      <w:r w:rsidR="00D567C2" w:rsidRPr="0000563D">
        <w:rPr>
          <w:lang w:val="en-US"/>
        </w:rPr>
        <w:t xml:space="preserve">how to afford equal </w:t>
      </w:r>
      <w:proofErr w:type="gramStart"/>
      <w:r w:rsidR="00D567C2" w:rsidRPr="0000563D">
        <w:rPr>
          <w:lang w:val="en-US"/>
        </w:rPr>
        <w:t>protections</w:t>
      </w:r>
      <w:proofErr w:type="gramEnd"/>
      <w:r w:rsidR="00D567C2" w:rsidRPr="0000563D">
        <w:rPr>
          <w:lang w:val="en-US"/>
        </w:rPr>
        <w:t xml:space="preserve"> </w:t>
      </w:r>
      <w:r w:rsidR="006D7BBB" w:rsidRPr="0000563D">
        <w:rPr>
          <w:lang w:val="en-US"/>
        </w:rPr>
        <w:t xml:space="preserve">with regards to </w:t>
      </w:r>
      <w:proofErr w:type="gramStart"/>
      <w:r w:rsidR="006D7BBB" w:rsidRPr="0000563D">
        <w:rPr>
          <w:lang w:val="en-US"/>
        </w:rPr>
        <w:t>assistance</w:t>
      </w:r>
      <w:proofErr w:type="gramEnd"/>
      <w:r w:rsidR="006D7BBB" w:rsidRPr="0000563D">
        <w:rPr>
          <w:lang w:val="en-US"/>
        </w:rPr>
        <w:t xml:space="preserve"> animals.</w:t>
      </w:r>
    </w:p>
    <w:p w14:paraId="65EDBD10" w14:textId="6D7221F8" w:rsidR="008B20EB" w:rsidRPr="0000563D" w:rsidRDefault="008B20EB" w:rsidP="008B20EB">
      <w:pPr>
        <w:rPr>
          <w:lang w:val="en-US"/>
        </w:rPr>
      </w:pPr>
      <w:r w:rsidRPr="0000563D">
        <w:rPr>
          <w:lang w:val="en-US"/>
        </w:rPr>
        <w:t>Finally, the Disability Discrimination Act</w:t>
      </w:r>
      <w:r w:rsidR="00493A50" w:rsidRPr="0000563D">
        <w:rPr>
          <w:lang w:val="en-US"/>
        </w:rPr>
        <w:t xml:space="preserve"> needs to</w:t>
      </w:r>
      <w:r w:rsidRPr="0000563D">
        <w:rPr>
          <w:lang w:val="en-US"/>
        </w:rPr>
        <w:t xml:space="preserve"> be </w:t>
      </w:r>
      <w:proofErr w:type="spellStart"/>
      <w:r w:rsidR="00720F09" w:rsidRPr="0000563D">
        <w:rPr>
          <w:lang w:val="en-US"/>
        </w:rPr>
        <w:t>moderni</w:t>
      </w:r>
      <w:r w:rsidR="008A3AB3" w:rsidRPr="0000563D">
        <w:rPr>
          <w:lang w:val="en-US"/>
        </w:rPr>
        <w:t>s</w:t>
      </w:r>
      <w:r w:rsidR="00720F09" w:rsidRPr="0000563D">
        <w:rPr>
          <w:lang w:val="en-US"/>
        </w:rPr>
        <w:t>ed</w:t>
      </w:r>
      <w:proofErr w:type="spellEnd"/>
      <w:r w:rsidR="00493A50" w:rsidRPr="0000563D">
        <w:rPr>
          <w:lang w:val="en-US"/>
        </w:rPr>
        <w:t xml:space="preserve"> to better respond to </w:t>
      </w:r>
      <w:r w:rsidR="00D0593C" w:rsidRPr="0000563D">
        <w:rPr>
          <w:lang w:val="en-US"/>
        </w:rPr>
        <w:t>the</w:t>
      </w:r>
      <w:r w:rsidR="00071FB4" w:rsidRPr="0000563D">
        <w:rPr>
          <w:lang w:val="en-US"/>
        </w:rPr>
        <w:t xml:space="preserve"> challenges faced by people with </w:t>
      </w:r>
      <w:proofErr w:type="gramStart"/>
      <w:r w:rsidR="00071FB4" w:rsidRPr="0000563D">
        <w:rPr>
          <w:lang w:val="en-US"/>
        </w:rPr>
        <w:t>disability</w:t>
      </w:r>
      <w:proofErr w:type="gramEnd"/>
      <w:r w:rsidRPr="0000563D">
        <w:rPr>
          <w:lang w:val="en-US"/>
        </w:rPr>
        <w:t xml:space="preserve">. </w:t>
      </w:r>
      <w:r w:rsidR="002D430B" w:rsidRPr="0000563D">
        <w:rPr>
          <w:lang w:val="en-US"/>
        </w:rPr>
        <w:t>T</w:t>
      </w:r>
      <w:r w:rsidRPr="0000563D">
        <w:rPr>
          <w:lang w:val="en-US"/>
        </w:rPr>
        <w:t xml:space="preserve">he most significant recommendation </w:t>
      </w:r>
      <w:r w:rsidR="002D430B" w:rsidRPr="0000563D">
        <w:rPr>
          <w:lang w:val="en-US"/>
        </w:rPr>
        <w:t xml:space="preserve">in this submission </w:t>
      </w:r>
      <w:r w:rsidRPr="0000563D">
        <w:rPr>
          <w:lang w:val="en-US"/>
        </w:rPr>
        <w:t>is for the introduction of a positive duty to eliminate</w:t>
      </w:r>
      <w:r w:rsidR="00FF7112" w:rsidRPr="0000563D">
        <w:rPr>
          <w:lang w:val="en-US"/>
        </w:rPr>
        <w:t xml:space="preserve"> discrimination</w:t>
      </w:r>
      <w:r w:rsidRPr="0000563D">
        <w:rPr>
          <w:lang w:val="en-US"/>
        </w:rPr>
        <w:t xml:space="preserve"> in all areas of public life protected under the Disability Discrimination Act. </w:t>
      </w:r>
      <w:r w:rsidRPr="0000563D">
        <w:t xml:space="preserve">A positive duty would mean that duty holders </w:t>
      </w:r>
      <w:proofErr w:type="gramStart"/>
      <w:r w:rsidRPr="0000563D">
        <w:t>have to</w:t>
      </w:r>
      <w:proofErr w:type="gramEnd"/>
      <w:r w:rsidRPr="0000563D">
        <w:t xml:space="preserve"> take proactive and reasonable steps to prevent disability discrimination from occurring, rather than responding reactively after harm occurs. </w:t>
      </w:r>
      <w:r w:rsidR="00B91054" w:rsidRPr="0000563D">
        <w:rPr>
          <w:lang w:val="en-US"/>
        </w:rPr>
        <w:t>Based</w:t>
      </w:r>
      <w:r w:rsidRPr="0000563D">
        <w:rPr>
          <w:lang w:val="en-US"/>
        </w:rPr>
        <w:t xml:space="preserve"> on </w:t>
      </w:r>
      <w:r w:rsidR="0024623C" w:rsidRPr="0000563D">
        <w:rPr>
          <w:lang w:val="en-US"/>
        </w:rPr>
        <w:t>our</w:t>
      </w:r>
      <w:r w:rsidRPr="0000563D">
        <w:rPr>
          <w:lang w:val="en-US"/>
        </w:rPr>
        <w:t xml:space="preserve"> </w:t>
      </w:r>
      <w:r w:rsidRPr="0000563D">
        <w:rPr>
          <w:lang w:val="en-US"/>
        </w:rPr>
        <w:lastRenderedPageBreak/>
        <w:t xml:space="preserve">experience in regulating the positive duty under the </w:t>
      </w:r>
      <w:r w:rsidRPr="0000563D">
        <w:rPr>
          <w:i/>
          <w:iCs/>
          <w:lang w:val="en-US"/>
        </w:rPr>
        <w:t>Sex Discrimination Act</w:t>
      </w:r>
      <w:r w:rsidR="00B90A6D" w:rsidRPr="0000563D">
        <w:rPr>
          <w:i/>
          <w:iCs/>
          <w:lang w:val="en-US"/>
        </w:rPr>
        <w:t xml:space="preserve"> 1984</w:t>
      </w:r>
      <w:r w:rsidR="00B90A6D" w:rsidRPr="0000563D">
        <w:rPr>
          <w:lang w:val="en-US"/>
        </w:rPr>
        <w:t xml:space="preserve"> (</w:t>
      </w:r>
      <w:proofErr w:type="spellStart"/>
      <w:r w:rsidR="00B90A6D" w:rsidRPr="0000563D">
        <w:rPr>
          <w:lang w:val="en-US"/>
        </w:rPr>
        <w:t>Cth</w:t>
      </w:r>
      <w:proofErr w:type="spellEnd"/>
      <w:r w:rsidR="00B90A6D" w:rsidRPr="0000563D">
        <w:rPr>
          <w:lang w:val="en-US"/>
        </w:rPr>
        <w:t>)</w:t>
      </w:r>
      <w:r w:rsidRPr="0000563D">
        <w:rPr>
          <w:lang w:val="en-US"/>
        </w:rPr>
        <w:t xml:space="preserve">, </w:t>
      </w:r>
      <w:r w:rsidR="007D2A12" w:rsidRPr="0000563D">
        <w:rPr>
          <w:lang w:val="en-US"/>
        </w:rPr>
        <w:t>we</w:t>
      </w:r>
      <w:r w:rsidRPr="0000563D">
        <w:rPr>
          <w:lang w:val="en-US"/>
        </w:rPr>
        <w:t xml:space="preserve"> </w:t>
      </w:r>
      <w:r w:rsidR="00B91054" w:rsidRPr="0000563D">
        <w:rPr>
          <w:lang w:val="en-US"/>
        </w:rPr>
        <w:t>highlight the</w:t>
      </w:r>
      <w:r w:rsidRPr="0000563D">
        <w:rPr>
          <w:lang w:val="en-US"/>
        </w:rPr>
        <w:t xml:space="preserve"> importance </w:t>
      </w:r>
      <w:r w:rsidR="00B91054" w:rsidRPr="0000563D">
        <w:rPr>
          <w:lang w:val="en-US"/>
        </w:rPr>
        <w:t>for</w:t>
      </w:r>
      <w:r w:rsidRPr="0000563D">
        <w:rPr>
          <w:lang w:val="en-US"/>
        </w:rPr>
        <w:t xml:space="preserve"> such a duty to be supported by </w:t>
      </w:r>
      <w:r w:rsidR="00B91054" w:rsidRPr="0000563D">
        <w:rPr>
          <w:lang w:val="en-US"/>
        </w:rPr>
        <w:t xml:space="preserve">strong </w:t>
      </w:r>
      <w:r w:rsidRPr="0000563D">
        <w:rPr>
          <w:lang w:val="en-US"/>
        </w:rPr>
        <w:t>regulatory functions and powers</w:t>
      </w:r>
      <w:r w:rsidR="00B91054" w:rsidRPr="0000563D">
        <w:rPr>
          <w:lang w:val="en-US"/>
        </w:rPr>
        <w:t xml:space="preserve"> and</w:t>
      </w:r>
      <w:r w:rsidR="00AA3173" w:rsidRPr="0000563D">
        <w:rPr>
          <w:lang w:val="en-US"/>
        </w:rPr>
        <w:t xml:space="preserve"> </w:t>
      </w:r>
      <w:r w:rsidR="002013CB" w:rsidRPr="0000563D">
        <w:rPr>
          <w:lang w:val="en-US"/>
        </w:rPr>
        <w:t xml:space="preserve">through </w:t>
      </w:r>
      <w:r w:rsidR="00534E3C" w:rsidRPr="0000563D">
        <w:rPr>
          <w:lang w:val="en-US"/>
        </w:rPr>
        <w:t xml:space="preserve">enhancements to co-regulatory mechanisms in the Act, such as </w:t>
      </w:r>
      <w:r w:rsidR="00312F2B" w:rsidRPr="0000563D">
        <w:rPr>
          <w:lang w:val="en-US"/>
        </w:rPr>
        <w:t>special measures</w:t>
      </w:r>
      <w:r w:rsidR="00EA6A7B" w:rsidRPr="0000563D">
        <w:rPr>
          <w:lang w:val="en-US"/>
        </w:rPr>
        <w:t xml:space="preserve"> and </w:t>
      </w:r>
      <w:r w:rsidR="00312F2B" w:rsidRPr="0000563D">
        <w:rPr>
          <w:lang w:val="en-US"/>
        </w:rPr>
        <w:t xml:space="preserve">Disability </w:t>
      </w:r>
      <w:r w:rsidR="00EA6A7B" w:rsidRPr="0000563D">
        <w:rPr>
          <w:lang w:val="en-US"/>
        </w:rPr>
        <w:t>Action</w:t>
      </w:r>
      <w:r w:rsidR="00312F2B" w:rsidRPr="0000563D">
        <w:rPr>
          <w:lang w:val="en-US"/>
        </w:rPr>
        <w:t xml:space="preserve"> Plans</w:t>
      </w:r>
      <w:r w:rsidR="00EA6A7B" w:rsidRPr="0000563D">
        <w:rPr>
          <w:lang w:val="en-US"/>
        </w:rPr>
        <w:t>.</w:t>
      </w:r>
      <w:r w:rsidRPr="0000563D">
        <w:rPr>
          <w:lang w:val="en-US"/>
        </w:rPr>
        <w:t xml:space="preserve"> </w:t>
      </w:r>
    </w:p>
    <w:p w14:paraId="012F9697" w14:textId="30BE3681" w:rsidR="00810A64" w:rsidRPr="002D4943" w:rsidRDefault="00810A64" w:rsidP="005925BA">
      <w:pPr>
        <w:pStyle w:val="Heading2"/>
        <w:rPr>
          <w:rFonts w:ascii="Open Sans" w:hAnsi="Open Sans" w:cs="Open Sans"/>
        </w:rPr>
      </w:pPr>
      <w:bookmarkStart w:id="2" w:name="_Toc214961108"/>
      <w:r w:rsidRPr="002D4943">
        <w:rPr>
          <w:rFonts w:ascii="Open Sans" w:hAnsi="Open Sans" w:cs="Open Sans"/>
        </w:rPr>
        <w:t>Recommendations</w:t>
      </w:r>
      <w:bookmarkEnd w:id="2"/>
    </w:p>
    <w:p w14:paraId="04FDDF52" w14:textId="77777777" w:rsidR="009E3777" w:rsidRPr="00076EA3" w:rsidRDefault="009E3777" w:rsidP="00076EA3">
      <w:pPr>
        <w:pStyle w:val="ListParagraph"/>
        <w:numPr>
          <w:ilvl w:val="0"/>
          <w:numId w:val="30"/>
        </w:numPr>
        <w:contextualSpacing w:val="0"/>
      </w:pPr>
      <w:r w:rsidRPr="00076EA3">
        <w:t xml:space="preserve">Section 3 of the </w:t>
      </w:r>
      <w:r w:rsidRPr="00076EA3">
        <w:rPr>
          <w:i/>
          <w:iCs/>
        </w:rPr>
        <w:t>Disability Discrimination Act 1992</w:t>
      </w:r>
      <w:r w:rsidRPr="00076EA3">
        <w:t xml:space="preserve"> (</w:t>
      </w:r>
      <w:proofErr w:type="spellStart"/>
      <w:r w:rsidRPr="00076EA3">
        <w:t>Cth</w:t>
      </w:r>
      <w:proofErr w:type="spellEnd"/>
      <w:r w:rsidRPr="00076EA3">
        <w:t xml:space="preserve">) should be amended to insert a new object to give effect to Australia’s obligations under the United Nations </w:t>
      </w:r>
      <w:r w:rsidRPr="00076EA3">
        <w:rPr>
          <w:i/>
          <w:iCs/>
        </w:rPr>
        <w:t>Convention on the Rights of Persons with Disabilities</w:t>
      </w:r>
      <w:r w:rsidRPr="00076EA3">
        <w:t>.</w:t>
      </w:r>
    </w:p>
    <w:p w14:paraId="078A5396" w14:textId="77777777" w:rsidR="009E3777" w:rsidRPr="00076EA3" w:rsidRDefault="009E3777" w:rsidP="00076EA3">
      <w:pPr>
        <w:pStyle w:val="ListParagraph"/>
        <w:numPr>
          <w:ilvl w:val="0"/>
          <w:numId w:val="30"/>
        </w:numPr>
        <w:contextualSpacing w:val="0"/>
      </w:pPr>
      <w:r w:rsidRPr="00076EA3">
        <w:t xml:space="preserve">The United Nations </w:t>
      </w:r>
      <w:r w:rsidRPr="00076EA3">
        <w:rPr>
          <w:i/>
          <w:iCs/>
        </w:rPr>
        <w:t>Convention on the Rights of Persons with Disabilities</w:t>
      </w:r>
      <w:r w:rsidRPr="00076EA3">
        <w:t xml:space="preserve"> should be included as a Schedule to the </w:t>
      </w:r>
      <w:r w:rsidRPr="00076EA3">
        <w:rPr>
          <w:i/>
          <w:iCs/>
        </w:rPr>
        <w:t>Disability Discrimination Act 1992</w:t>
      </w:r>
      <w:r w:rsidRPr="00076EA3">
        <w:t xml:space="preserve"> (</w:t>
      </w:r>
      <w:proofErr w:type="spellStart"/>
      <w:r w:rsidRPr="00076EA3">
        <w:t>Cth</w:t>
      </w:r>
      <w:proofErr w:type="spellEnd"/>
      <w:r w:rsidRPr="00076EA3">
        <w:t>).</w:t>
      </w:r>
    </w:p>
    <w:p w14:paraId="20EF15D0" w14:textId="77777777" w:rsidR="009E3777" w:rsidRPr="00076EA3" w:rsidRDefault="009E3777" w:rsidP="00076EA3">
      <w:pPr>
        <w:pStyle w:val="ListParagraph"/>
        <w:numPr>
          <w:ilvl w:val="0"/>
          <w:numId w:val="30"/>
        </w:numPr>
        <w:contextualSpacing w:val="0"/>
      </w:pPr>
      <w:r w:rsidRPr="00076EA3">
        <w:t xml:space="preserve">Section 4 of the </w:t>
      </w:r>
      <w:r w:rsidRPr="00076EA3">
        <w:rPr>
          <w:i/>
          <w:iCs/>
        </w:rPr>
        <w:t>Disability Discrimination Act 1992</w:t>
      </w:r>
      <w:r w:rsidRPr="00076EA3">
        <w:t xml:space="preserve"> (</w:t>
      </w:r>
      <w:proofErr w:type="spellStart"/>
      <w:r w:rsidRPr="00076EA3">
        <w:t>Cth</w:t>
      </w:r>
      <w:proofErr w:type="spellEnd"/>
      <w:r w:rsidRPr="00076EA3">
        <w:t xml:space="preserve">) should be amended to insert a new provision for the Act to be interpreted in a way that is beneficial to people with disability, to the extent that it is possible to do so consistently with the United Nations </w:t>
      </w:r>
      <w:r w:rsidRPr="00076EA3">
        <w:rPr>
          <w:i/>
        </w:rPr>
        <w:t>Convention on the Rights of Persons with Disability</w:t>
      </w:r>
      <w:r w:rsidRPr="00076EA3">
        <w:t xml:space="preserve">, the </w:t>
      </w:r>
      <w:r w:rsidRPr="00076EA3">
        <w:rPr>
          <w:i/>
          <w:iCs/>
        </w:rPr>
        <w:t xml:space="preserve">International </w:t>
      </w:r>
      <w:r w:rsidRPr="00076EA3">
        <w:rPr>
          <w:i/>
        </w:rPr>
        <w:t>Covenant on Civil and Political Rights</w:t>
      </w:r>
      <w:r w:rsidRPr="00076EA3">
        <w:t>, and</w:t>
      </w:r>
      <w:r w:rsidRPr="00076EA3">
        <w:rPr>
          <w:i/>
        </w:rPr>
        <w:t xml:space="preserve"> International Covenant on Economic, Social and Cultural Rights</w:t>
      </w:r>
      <w:r w:rsidRPr="00076EA3">
        <w:t>.</w:t>
      </w:r>
    </w:p>
    <w:p w14:paraId="4207D37C" w14:textId="77777777" w:rsidR="009E3777" w:rsidRPr="00076EA3" w:rsidRDefault="009E3777" w:rsidP="00076EA3">
      <w:pPr>
        <w:pStyle w:val="ListParagraph"/>
        <w:numPr>
          <w:ilvl w:val="0"/>
          <w:numId w:val="30"/>
        </w:numPr>
        <w:contextualSpacing w:val="0"/>
      </w:pPr>
      <w:r w:rsidRPr="00076EA3">
        <w:t xml:space="preserve">The </w:t>
      </w:r>
      <w:r w:rsidRPr="00076EA3">
        <w:rPr>
          <w:i/>
        </w:rPr>
        <w:t>Australian Human Rights Commission Act</w:t>
      </w:r>
      <w:r w:rsidRPr="00076EA3">
        <w:t xml:space="preserve"> 1986 (</w:t>
      </w:r>
      <w:proofErr w:type="spellStart"/>
      <w:r w:rsidRPr="00076EA3">
        <w:t>Cth</w:t>
      </w:r>
      <w:proofErr w:type="spellEnd"/>
      <w:r w:rsidRPr="00076EA3">
        <w:t xml:space="preserve">) should be amended to formally designate the Australian Human Rights Commission as the independent monitoring mechanisms for the purposes of Article 33(2) of the United Nations </w:t>
      </w:r>
      <w:r w:rsidRPr="00076EA3">
        <w:rPr>
          <w:i/>
        </w:rPr>
        <w:t>Convention on the Rights of Persons with Disabilities</w:t>
      </w:r>
      <w:r w:rsidRPr="00076EA3">
        <w:t>.</w:t>
      </w:r>
    </w:p>
    <w:p w14:paraId="6E025790" w14:textId="77777777" w:rsidR="009E3777" w:rsidRPr="00076EA3" w:rsidRDefault="009E3777" w:rsidP="00076EA3">
      <w:pPr>
        <w:pStyle w:val="ListParagraph"/>
        <w:numPr>
          <w:ilvl w:val="0"/>
          <w:numId w:val="30"/>
        </w:numPr>
        <w:contextualSpacing w:val="0"/>
      </w:pPr>
      <w:r w:rsidRPr="00076EA3">
        <w:t xml:space="preserve">The Australian Government should introduce a national Human Rights Act </w:t>
      </w:r>
      <w:proofErr w:type="gramStart"/>
      <w:r w:rsidRPr="00076EA3">
        <w:t>in order to</w:t>
      </w:r>
      <w:proofErr w:type="gramEnd"/>
      <w:r w:rsidRPr="00076EA3">
        <w:t xml:space="preserve"> fully meet Australia’s obligations under the United Nations </w:t>
      </w:r>
      <w:r w:rsidRPr="00076EA3">
        <w:rPr>
          <w:i/>
          <w:iCs/>
        </w:rPr>
        <w:t>Convention on the Rights of Persons with Disabilities</w:t>
      </w:r>
      <w:r w:rsidRPr="00076EA3">
        <w:t>.</w:t>
      </w:r>
    </w:p>
    <w:p w14:paraId="2BFB7F84" w14:textId="77777777" w:rsidR="009E3777" w:rsidRPr="00076EA3" w:rsidRDefault="009E3777" w:rsidP="00076EA3">
      <w:pPr>
        <w:pStyle w:val="ListParagraph"/>
        <w:numPr>
          <w:ilvl w:val="0"/>
          <w:numId w:val="30"/>
        </w:numPr>
        <w:contextualSpacing w:val="0"/>
      </w:pPr>
      <w:r w:rsidRPr="00076EA3">
        <w:t>The Australian Government should harmonise federal discrimination laws</w:t>
      </w:r>
      <w:r w:rsidRPr="00076EA3">
        <w:rPr>
          <w:rFonts w:eastAsia="Aptos"/>
          <w:lang w:eastAsia="en-US"/>
        </w:rPr>
        <w:t xml:space="preserve"> to ensure consistency in their operation</w:t>
      </w:r>
      <w:r w:rsidRPr="00076EA3">
        <w:t xml:space="preserve">. </w:t>
      </w:r>
    </w:p>
    <w:p w14:paraId="486EBE9B" w14:textId="77777777" w:rsidR="009E3777" w:rsidRPr="00076EA3" w:rsidRDefault="009E3777" w:rsidP="00076EA3">
      <w:pPr>
        <w:pStyle w:val="ListParagraph"/>
        <w:numPr>
          <w:ilvl w:val="0"/>
          <w:numId w:val="30"/>
        </w:numPr>
        <w:contextualSpacing w:val="0"/>
      </w:pPr>
      <w:r w:rsidRPr="00076EA3">
        <w:t xml:space="preserve">A new provision should be added across all federal discrimination laws that identifies that discrimination may occur </w:t>
      </w:r>
      <w:proofErr w:type="gramStart"/>
      <w:r w:rsidRPr="00076EA3">
        <w:t>on the basis of</w:t>
      </w:r>
      <w:proofErr w:type="gramEnd"/>
      <w:r w:rsidRPr="00076EA3">
        <w:t xml:space="preserve"> a particular protected attribute ‘or a particular combination of 2 or more protected attributes’ covered under the 4 federal discrimination laws. </w:t>
      </w:r>
    </w:p>
    <w:p w14:paraId="34604634" w14:textId="77777777" w:rsidR="009E3777" w:rsidRPr="00076EA3" w:rsidRDefault="009E3777" w:rsidP="00076EA3">
      <w:pPr>
        <w:pStyle w:val="ListParagraph"/>
        <w:numPr>
          <w:ilvl w:val="0"/>
          <w:numId w:val="30"/>
        </w:numPr>
        <w:contextualSpacing w:val="0"/>
      </w:pPr>
      <w:r w:rsidRPr="00076EA3">
        <w:t>Section 46PF(7)(c) and 46</w:t>
      </w:r>
      <w:proofErr w:type="gramStart"/>
      <w:r w:rsidRPr="00076EA3">
        <w:t>PF(</w:t>
      </w:r>
      <w:proofErr w:type="gramEnd"/>
      <w:r w:rsidRPr="00076EA3">
        <w:t xml:space="preserve">9) of the </w:t>
      </w:r>
      <w:r w:rsidRPr="00076EA3">
        <w:rPr>
          <w:i/>
          <w:iCs/>
        </w:rPr>
        <w:t xml:space="preserve">Australian Human Rights Commission Act 1986 </w:t>
      </w:r>
      <w:r w:rsidRPr="00076EA3">
        <w:t>(</w:t>
      </w:r>
      <w:proofErr w:type="spellStart"/>
      <w:r w:rsidRPr="00076EA3">
        <w:t>Cth</w:t>
      </w:r>
      <w:proofErr w:type="spellEnd"/>
      <w:r w:rsidRPr="00076EA3">
        <w:t xml:space="preserve">), requiring the Commission to notify people of adverse allegations, should be removed. </w:t>
      </w:r>
    </w:p>
    <w:p w14:paraId="0C52B0ED" w14:textId="77777777" w:rsidR="009E3777" w:rsidRPr="00076EA3" w:rsidRDefault="009E3777" w:rsidP="00076EA3">
      <w:pPr>
        <w:pStyle w:val="ListParagraph"/>
        <w:numPr>
          <w:ilvl w:val="0"/>
          <w:numId w:val="30"/>
        </w:numPr>
        <w:contextualSpacing w:val="0"/>
      </w:pPr>
      <w:r w:rsidRPr="00076EA3">
        <w:t xml:space="preserve">Section 5(1) of the </w:t>
      </w:r>
      <w:r w:rsidRPr="00076EA3">
        <w:rPr>
          <w:i/>
        </w:rPr>
        <w:t>Disability Discrimination Act 1992</w:t>
      </w:r>
      <w:r w:rsidRPr="00076EA3">
        <w:t xml:space="preserve"> (</w:t>
      </w:r>
      <w:proofErr w:type="spellStart"/>
      <w:r w:rsidRPr="00076EA3">
        <w:t>Cth</w:t>
      </w:r>
      <w:proofErr w:type="spellEnd"/>
      <w:r w:rsidRPr="00076EA3">
        <w:t xml:space="preserve">) should be amended to replace the ‘comparator test’ with a ‘detriment test’, in direct discrimination. </w:t>
      </w:r>
    </w:p>
    <w:p w14:paraId="70AD2DB9" w14:textId="77777777" w:rsidR="009E3777" w:rsidRPr="00076EA3" w:rsidRDefault="009E3777" w:rsidP="00076EA3">
      <w:pPr>
        <w:pStyle w:val="ListParagraph"/>
        <w:numPr>
          <w:ilvl w:val="0"/>
          <w:numId w:val="30"/>
        </w:numPr>
        <w:contextualSpacing w:val="0"/>
      </w:pPr>
      <w:r w:rsidRPr="00076EA3">
        <w:t xml:space="preserve">Section 5(1) of the </w:t>
      </w:r>
      <w:r w:rsidRPr="00076EA3">
        <w:rPr>
          <w:i/>
          <w:iCs/>
        </w:rPr>
        <w:t>Disability Discrimination Act 1992</w:t>
      </w:r>
      <w:r w:rsidRPr="00076EA3">
        <w:t xml:space="preserve"> (</w:t>
      </w:r>
      <w:proofErr w:type="spellStart"/>
      <w:r w:rsidRPr="00076EA3">
        <w:t>Cth</w:t>
      </w:r>
      <w:proofErr w:type="spellEnd"/>
      <w:r w:rsidRPr="00076EA3">
        <w:t xml:space="preserve">) should be amended to shift the burden of proof for establishing that less favourable treatment </w:t>
      </w:r>
      <w:r w:rsidRPr="00076EA3">
        <w:lastRenderedPageBreak/>
        <w:t>was because of a person’s disability to respondents, once a prima facie case is established.</w:t>
      </w:r>
    </w:p>
    <w:p w14:paraId="1BCC43EE" w14:textId="77777777" w:rsidR="009E3777" w:rsidRPr="00076EA3" w:rsidRDefault="009E3777" w:rsidP="00076EA3">
      <w:pPr>
        <w:pStyle w:val="ListParagraph"/>
        <w:numPr>
          <w:ilvl w:val="0"/>
          <w:numId w:val="30"/>
        </w:numPr>
        <w:contextualSpacing w:val="0"/>
      </w:pPr>
      <w:r w:rsidRPr="00076EA3">
        <w:t xml:space="preserve">Section 6(1)(b) of the </w:t>
      </w:r>
      <w:r w:rsidRPr="00076EA3">
        <w:rPr>
          <w:i/>
        </w:rPr>
        <w:t>Disability Discrimination Act 1992</w:t>
      </w:r>
      <w:r w:rsidRPr="00076EA3">
        <w:t xml:space="preserve"> (</w:t>
      </w:r>
      <w:proofErr w:type="spellStart"/>
      <w:r w:rsidRPr="00076EA3">
        <w:t>Cth</w:t>
      </w:r>
      <w:proofErr w:type="spellEnd"/>
      <w:r w:rsidRPr="00076EA3">
        <w:t>) should be removed.</w:t>
      </w:r>
    </w:p>
    <w:p w14:paraId="38459D27" w14:textId="2682C39B" w:rsidR="009E3777" w:rsidRPr="00076EA3" w:rsidRDefault="009E3777" w:rsidP="00076EA3">
      <w:pPr>
        <w:pStyle w:val="ListParagraph"/>
        <w:numPr>
          <w:ilvl w:val="0"/>
          <w:numId w:val="30"/>
        </w:numPr>
        <w:contextualSpacing w:val="0"/>
      </w:pPr>
      <w:r w:rsidRPr="00076EA3">
        <w:t xml:space="preserve">Section 6(3) of the </w:t>
      </w:r>
      <w:r w:rsidRPr="00076EA3">
        <w:rPr>
          <w:i/>
        </w:rPr>
        <w:t>Disability Discrimination Act 1992</w:t>
      </w:r>
      <w:r w:rsidRPr="00076EA3">
        <w:t xml:space="preserve"> (</w:t>
      </w:r>
      <w:proofErr w:type="spellStart"/>
      <w:r w:rsidRPr="00076EA3">
        <w:t>Cth</w:t>
      </w:r>
      <w:proofErr w:type="spellEnd"/>
      <w:r w:rsidRPr="00076EA3">
        <w:t xml:space="preserve">) should be amended to replace the ‘reasonableness’ </w:t>
      </w:r>
      <w:r w:rsidR="00A21A58" w:rsidRPr="00076EA3">
        <w:t>test</w:t>
      </w:r>
      <w:r w:rsidRPr="00076EA3">
        <w:t xml:space="preserve"> for the condition or requirement imposed with a ‘legitimate and proportionate’ test.</w:t>
      </w:r>
    </w:p>
    <w:p w14:paraId="122E2D51" w14:textId="77777777" w:rsidR="009E3777" w:rsidRPr="00076EA3" w:rsidRDefault="009E3777" w:rsidP="00076EA3">
      <w:pPr>
        <w:pStyle w:val="ListParagraph"/>
        <w:numPr>
          <w:ilvl w:val="0"/>
          <w:numId w:val="30"/>
        </w:numPr>
        <w:contextualSpacing w:val="0"/>
      </w:pPr>
      <w:r w:rsidRPr="00076EA3">
        <w:t xml:space="preserve">A standalone duty to provide adjustments for people with disability should be introduced in the </w:t>
      </w:r>
      <w:r w:rsidRPr="00076EA3">
        <w:rPr>
          <w:i/>
          <w:iCs/>
        </w:rPr>
        <w:t>Disability Discrimination Act 1992</w:t>
      </w:r>
      <w:r w:rsidRPr="00076EA3">
        <w:t xml:space="preserve"> (</w:t>
      </w:r>
      <w:proofErr w:type="spellStart"/>
      <w:r w:rsidRPr="00076EA3">
        <w:t>Cth</w:t>
      </w:r>
      <w:proofErr w:type="spellEnd"/>
      <w:r w:rsidRPr="00076EA3">
        <w:t xml:space="preserve">). </w:t>
      </w:r>
    </w:p>
    <w:p w14:paraId="5972D5A1" w14:textId="77777777" w:rsidR="009E3777" w:rsidRPr="00076EA3" w:rsidRDefault="009E3777" w:rsidP="00076EA3">
      <w:pPr>
        <w:pStyle w:val="ListParagraph"/>
        <w:numPr>
          <w:ilvl w:val="0"/>
          <w:numId w:val="30"/>
        </w:numPr>
        <w:contextualSpacing w:val="0"/>
      </w:pPr>
      <w:r w:rsidRPr="00076EA3">
        <w:t xml:space="preserve">Section 4 of the </w:t>
      </w:r>
      <w:r w:rsidRPr="00076EA3">
        <w:rPr>
          <w:i/>
          <w:iCs/>
        </w:rPr>
        <w:t xml:space="preserve">Disability Discrimination Act 1992 </w:t>
      </w:r>
      <w:r w:rsidRPr="00076EA3">
        <w:t>(</w:t>
      </w:r>
      <w:proofErr w:type="spellStart"/>
      <w:r w:rsidRPr="00076EA3">
        <w:t>Cth</w:t>
      </w:r>
      <w:proofErr w:type="spellEnd"/>
      <w:r w:rsidRPr="00076EA3">
        <w:t xml:space="preserve">) should be amended to remove the word ‘reasonable’ from the definition of ‘reasonable </w:t>
      </w:r>
      <w:proofErr w:type="gramStart"/>
      <w:r w:rsidRPr="00076EA3">
        <w:t>adjustments’</w:t>
      </w:r>
      <w:proofErr w:type="gramEnd"/>
      <w:r w:rsidRPr="00076EA3">
        <w:t>.</w:t>
      </w:r>
    </w:p>
    <w:p w14:paraId="7CB54B95" w14:textId="77777777" w:rsidR="009E3777" w:rsidRPr="00076EA3" w:rsidRDefault="009E3777" w:rsidP="00076EA3">
      <w:pPr>
        <w:pStyle w:val="ListParagraph"/>
        <w:numPr>
          <w:ilvl w:val="0"/>
          <w:numId w:val="30"/>
        </w:numPr>
        <w:contextualSpacing w:val="0"/>
      </w:pPr>
      <w:r w:rsidRPr="00076EA3">
        <w:t xml:space="preserve">Sections 35, 37 and 39 of the </w:t>
      </w:r>
      <w:r w:rsidRPr="00076EA3">
        <w:rPr>
          <w:i/>
        </w:rPr>
        <w:t>Disability Discrimination Act 1992</w:t>
      </w:r>
      <w:r w:rsidRPr="00076EA3">
        <w:t xml:space="preserve"> (</w:t>
      </w:r>
      <w:proofErr w:type="spellStart"/>
      <w:r w:rsidRPr="00076EA3">
        <w:t>Cth</w:t>
      </w:r>
      <w:proofErr w:type="spellEnd"/>
      <w:r w:rsidRPr="00076EA3">
        <w:t xml:space="preserve">) should be replaced with offensive behaviour provisions in the same terms, and similar exemptions, as sections 18C and 18D of the </w:t>
      </w:r>
      <w:r w:rsidRPr="00076EA3">
        <w:rPr>
          <w:i/>
        </w:rPr>
        <w:t>Racial Discrimination Act 1975</w:t>
      </w:r>
      <w:r w:rsidRPr="00076EA3">
        <w:t xml:space="preserve"> (</w:t>
      </w:r>
      <w:proofErr w:type="spellStart"/>
      <w:r w:rsidRPr="00076EA3">
        <w:t>Cth</w:t>
      </w:r>
      <w:proofErr w:type="spellEnd"/>
      <w:r w:rsidRPr="00076EA3">
        <w:t>).</w:t>
      </w:r>
    </w:p>
    <w:p w14:paraId="0A8DB264" w14:textId="274427BD" w:rsidR="009E3777" w:rsidRPr="00076EA3" w:rsidRDefault="009E3777" w:rsidP="00076EA3">
      <w:pPr>
        <w:pStyle w:val="ListParagraph"/>
        <w:numPr>
          <w:ilvl w:val="0"/>
          <w:numId w:val="30"/>
        </w:numPr>
        <w:contextualSpacing w:val="0"/>
      </w:pPr>
      <w:r w:rsidRPr="00076EA3">
        <w:t>Section 11 of the Disability Discrimination Act should be amended to insert the following additional considerations:</w:t>
      </w:r>
    </w:p>
    <w:p w14:paraId="7901699C" w14:textId="77777777" w:rsidR="009E3777" w:rsidRPr="00076EA3" w:rsidRDefault="009E3777" w:rsidP="008A2F5A">
      <w:pPr>
        <w:ind w:left="720"/>
      </w:pPr>
      <w:r w:rsidRPr="00076EA3">
        <w:t>(</w:t>
      </w:r>
      <w:proofErr w:type="gramStart"/>
      <w:r w:rsidRPr="00076EA3">
        <w:t>1)(</w:t>
      </w:r>
      <w:proofErr w:type="gramEnd"/>
      <w:r w:rsidRPr="00076EA3">
        <w:t>aa) the nature and extent of the first person</w:t>
      </w:r>
      <w:r w:rsidRPr="00076EA3">
        <w:rPr>
          <w:lang w:val="en-US"/>
        </w:rPr>
        <w:t>’</w:t>
      </w:r>
      <w:r w:rsidRPr="00076EA3">
        <w:t xml:space="preserve">s consultations with any person with disability </w:t>
      </w:r>
      <w:proofErr w:type="gramStart"/>
      <w:r w:rsidRPr="00076EA3">
        <w:t>concerned;</w:t>
      </w:r>
      <w:proofErr w:type="gramEnd"/>
      <w:r w:rsidRPr="00076EA3">
        <w:t xml:space="preserve"> </w:t>
      </w:r>
    </w:p>
    <w:p w14:paraId="659C112B" w14:textId="77777777" w:rsidR="009E3777" w:rsidRPr="00076EA3" w:rsidRDefault="009E3777" w:rsidP="008A2F5A">
      <w:pPr>
        <w:ind w:left="720"/>
      </w:pPr>
      <w:r w:rsidRPr="00076EA3">
        <w:t>(ab) the first person</w:t>
      </w:r>
      <w:r w:rsidRPr="00076EA3">
        <w:rPr>
          <w:lang w:val="en-US"/>
        </w:rPr>
        <w:t>’s</w:t>
      </w:r>
      <w:r w:rsidRPr="00076EA3">
        <w:t xml:space="preserve"> consideration of all available and appropriate alternative measures or actions.</w:t>
      </w:r>
    </w:p>
    <w:p w14:paraId="05097573" w14:textId="77777777" w:rsidR="009E3777" w:rsidRPr="00076EA3" w:rsidRDefault="009E3777" w:rsidP="00076EA3">
      <w:pPr>
        <w:pStyle w:val="ListParagraph"/>
        <w:numPr>
          <w:ilvl w:val="0"/>
          <w:numId w:val="30"/>
        </w:numPr>
        <w:contextualSpacing w:val="0"/>
      </w:pPr>
      <w:r w:rsidRPr="00076EA3">
        <w:t xml:space="preserve">Section 11 of the </w:t>
      </w:r>
      <w:r w:rsidRPr="00076EA3">
        <w:rPr>
          <w:i/>
        </w:rPr>
        <w:t>Disability Discrimination Act 1992</w:t>
      </w:r>
      <w:r w:rsidRPr="00076EA3">
        <w:t xml:space="preserve"> (</w:t>
      </w:r>
      <w:proofErr w:type="spellStart"/>
      <w:r w:rsidRPr="00076EA3">
        <w:t>Cth</w:t>
      </w:r>
      <w:proofErr w:type="spellEnd"/>
      <w:r w:rsidRPr="00076EA3">
        <w:t>) should be amended to insert a requirement for duty holders to provide reasons, if requested, for contending that unjustifiable hardship existed at the time of alleged unlawful discrimination.</w:t>
      </w:r>
    </w:p>
    <w:p w14:paraId="1C79D99F" w14:textId="77777777" w:rsidR="009E3777" w:rsidRPr="00076EA3" w:rsidRDefault="009E3777" w:rsidP="00076EA3">
      <w:pPr>
        <w:pStyle w:val="ListParagraph"/>
        <w:numPr>
          <w:ilvl w:val="0"/>
          <w:numId w:val="30"/>
        </w:numPr>
        <w:contextualSpacing w:val="0"/>
      </w:pPr>
      <w:r w:rsidRPr="00076EA3">
        <w:t>Section 21</w:t>
      </w:r>
      <w:proofErr w:type="gramStart"/>
      <w:r w:rsidRPr="00076EA3">
        <w:t>A(</w:t>
      </w:r>
      <w:proofErr w:type="gramEnd"/>
      <w:r w:rsidRPr="00076EA3">
        <w:t xml:space="preserve">2) of the </w:t>
      </w:r>
      <w:r w:rsidRPr="00076EA3">
        <w:rPr>
          <w:i/>
          <w:iCs/>
        </w:rPr>
        <w:t>Disability Discrimination Act 1992</w:t>
      </w:r>
      <w:r w:rsidRPr="00076EA3">
        <w:t xml:space="preserve"> (</w:t>
      </w:r>
      <w:proofErr w:type="spellStart"/>
      <w:r w:rsidRPr="00076EA3">
        <w:t>Cth</w:t>
      </w:r>
      <w:proofErr w:type="spellEnd"/>
      <w:r w:rsidRPr="00076EA3">
        <w:t xml:space="preserve">) should be amended to include 2 additional factors to be taken in account: </w:t>
      </w:r>
    </w:p>
    <w:p w14:paraId="5F4F377F" w14:textId="77777777" w:rsidR="009E3777" w:rsidRPr="00076EA3" w:rsidRDefault="009E3777" w:rsidP="00076EA3">
      <w:pPr>
        <w:pStyle w:val="ListParagraph"/>
        <w:numPr>
          <w:ilvl w:val="1"/>
          <w:numId w:val="32"/>
        </w:numPr>
        <w:contextualSpacing w:val="0"/>
      </w:pPr>
      <w:r w:rsidRPr="00076EA3">
        <w:t>the nature and extent of any adjustments made</w:t>
      </w:r>
    </w:p>
    <w:p w14:paraId="7F39AE98" w14:textId="77777777" w:rsidR="009E3777" w:rsidRPr="00076EA3" w:rsidRDefault="009E3777" w:rsidP="00076EA3">
      <w:pPr>
        <w:pStyle w:val="ListParagraph"/>
        <w:numPr>
          <w:ilvl w:val="1"/>
          <w:numId w:val="32"/>
        </w:numPr>
        <w:contextualSpacing w:val="0"/>
      </w:pPr>
      <w:r w:rsidRPr="00076EA3">
        <w:t>the extent of consultation with any person with disability concerned.</w:t>
      </w:r>
    </w:p>
    <w:p w14:paraId="1B82FAAE" w14:textId="77777777" w:rsidR="009E3777" w:rsidRPr="00076EA3" w:rsidRDefault="009E3777" w:rsidP="00076EA3">
      <w:pPr>
        <w:pStyle w:val="ListParagraph"/>
        <w:numPr>
          <w:ilvl w:val="0"/>
          <w:numId w:val="30"/>
        </w:numPr>
        <w:contextualSpacing w:val="0"/>
      </w:pPr>
      <w:r w:rsidRPr="00076EA3">
        <w:t xml:space="preserve">The </w:t>
      </w:r>
      <w:r w:rsidRPr="00076EA3">
        <w:rPr>
          <w:i/>
          <w:iCs/>
        </w:rPr>
        <w:t>Disability Discrimination Act 1992</w:t>
      </w:r>
      <w:r w:rsidRPr="00076EA3">
        <w:t xml:space="preserve"> (</w:t>
      </w:r>
      <w:proofErr w:type="spellStart"/>
      <w:r w:rsidRPr="00076EA3">
        <w:t>Cth</w:t>
      </w:r>
      <w:proofErr w:type="spellEnd"/>
      <w:r w:rsidRPr="00076EA3">
        <w:t xml:space="preserve">) should be amended to introduce a positive duty on all duty-holders under the Act to eliminate disability discrimination, harassment and victimisation as far as possible. The positive duty should be modelled on the positive duty in the </w:t>
      </w:r>
      <w:r w:rsidRPr="00076EA3">
        <w:rPr>
          <w:i/>
          <w:iCs/>
        </w:rPr>
        <w:t>Sex Discrimination Act 1984</w:t>
      </w:r>
      <w:r w:rsidRPr="00076EA3">
        <w:t xml:space="preserve"> (</w:t>
      </w:r>
      <w:proofErr w:type="spellStart"/>
      <w:r w:rsidRPr="00076EA3">
        <w:t>Cth</w:t>
      </w:r>
      <w:proofErr w:type="spellEnd"/>
      <w:r w:rsidRPr="00076EA3">
        <w:t>).</w:t>
      </w:r>
    </w:p>
    <w:p w14:paraId="582450CC" w14:textId="77777777" w:rsidR="009E3777" w:rsidRPr="00076EA3" w:rsidRDefault="009E3777" w:rsidP="00076EA3">
      <w:pPr>
        <w:pStyle w:val="ListParagraph"/>
        <w:numPr>
          <w:ilvl w:val="0"/>
          <w:numId w:val="30"/>
        </w:numPr>
        <w:contextualSpacing w:val="0"/>
      </w:pPr>
      <w:r w:rsidRPr="00076EA3">
        <w:rPr>
          <w:lang w:eastAsia="en-US"/>
        </w:rPr>
        <w:lastRenderedPageBreak/>
        <w:t xml:space="preserve">The implementation of the positive duty to eliminate discrimination in the </w:t>
      </w:r>
      <w:r w:rsidRPr="00076EA3">
        <w:rPr>
          <w:i/>
          <w:iCs/>
          <w:lang w:eastAsia="en-US"/>
        </w:rPr>
        <w:t>Disability Discrimination Act 1992</w:t>
      </w:r>
      <w:r w:rsidRPr="00076EA3">
        <w:rPr>
          <w:lang w:eastAsia="en-US"/>
        </w:rPr>
        <w:t xml:space="preserve"> (</w:t>
      </w:r>
      <w:proofErr w:type="spellStart"/>
      <w:r w:rsidRPr="00076EA3">
        <w:rPr>
          <w:lang w:eastAsia="en-US"/>
        </w:rPr>
        <w:t>Cth</w:t>
      </w:r>
      <w:proofErr w:type="spellEnd"/>
      <w:r w:rsidRPr="00076EA3">
        <w:rPr>
          <w:lang w:eastAsia="en-US"/>
        </w:rPr>
        <w:t xml:space="preserve">) should be staged across 18 months.  </w:t>
      </w:r>
    </w:p>
    <w:p w14:paraId="1A739649" w14:textId="77777777" w:rsidR="009E3777" w:rsidRPr="00076EA3" w:rsidRDefault="009E3777" w:rsidP="00076EA3">
      <w:pPr>
        <w:pStyle w:val="ListParagraph"/>
        <w:numPr>
          <w:ilvl w:val="0"/>
          <w:numId w:val="30"/>
        </w:numPr>
        <w:contextualSpacing w:val="0"/>
      </w:pPr>
      <w:r w:rsidRPr="00076EA3">
        <w:rPr>
          <w:lang w:eastAsia="en-US"/>
        </w:rPr>
        <w:t xml:space="preserve">The </w:t>
      </w:r>
      <w:r w:rsidRPr="00076EA3">
        <w:rPr>
          <w:i/>
          <w:iCs/>
          <w:lang w:eastAsia="en-US"/>
        </w:rPr>
        <w:t>Disability Discrimination Act 1992</w:t>
      </w:r>
      <w:r w:rsidRPr="00076EA3">
        <w:rPr>
          <w:lang w:eastAsia="en-US"/>
        </w:rPr>
        <w:t xml:space="preserve"> (</w:t>
      </w:r>
      <w:proofErr w:type="spellStart"/>
      <w:r w:rsidRPr="00076EA3">
        <w:rPr>
          <w:lang w:eastAsia="en-US"/>
        </w:rPr>
        <w:t>Cth</w:t>
      </w:r>
      <w:proofErr w:type="spellEnd"/>
      <w:r w:rsidRPr="00076EA3">
        <w:rPr>
          <w:lang w:eastAsia="en-US"/>
        </w:rPr>
        <w:t>) amendments should include a statutory requirement for review of the implementation of the positive duty within 5 years of commencement.</w:t>
      </w:r>
    </w:p>
    <w:p w14:paraId="76C9DB0A" w14:textId="77777777" w:rsidR="009E3777" w:rsidRPr="00076EA3" w:rsidRDefault="009E3777" w:rsidP="00076EA3">
      <w:pPr>
        <w:pStyle w:val="ListParagraph"/>
        <w:numPr>
          <w:ilvl w:val="0"/>
          <w:numId w:val="30"/>
        </w:numPr>
        <w:contextualSpacing w:val="0"/>
      </w:pPr>
      <w:r w:rsidRPr="00076EA3">
        <w:t xml:space="preserve">Civil penalties for breach of the positive duty should be introduced into the </w:t>
      </w:r>
      <w:r w:rsidRPr="00076EA3">
        <w:rPr>
          <w:i/>
        </w:rPr>
        <w:t>Sex Discrimination Act 1984</w:t>
      </w:r>
      <w:r w:rsidRPr="00076EA3">
        <w:t xml:space="preserve"> (</w:t>
      </w:r>
      <w:proofErr w:type="spellStart"/>
      <w:r w:rsidRPr="00076EA3">
        <w:t>Cth</w:t>
      </w:r>
      <w:proofErr w:type="spellEnd"/>
      <w:r w:rsidRPr="00076EA3">
        <w:t xml:space="preserve">) and the </w:t>
      </w:r>
      <w:r w:rsidRPr="00076EA3">
        <w:rPr>
          <w:i/>
          <w:iCs/>
        </w:rPr>
        <w:t>Disability Discrimination Act 1992</w:t>
      </w:r>
      <w:r w:rsidRPr="00076EA3">
        <w:t xml:space="preserve"> (</w:t>
      </w:r>
      <w:proofErr w:type="spellStart"/>
      <w:r w:rsidRPr="00076EA3">
        <w:t>Cth</w:t>
      </w:r>
      <w:proofErr w:type="spellEnd"/>
      <w:r w:rsidRPr="00076EA3">
        <w:t xml:space="preserve">). </w:t>
      </w:r>
    </w:p>
    <w:p w14:paraId="518EB228" w14:textId="77777777" w:rsidR="009E3777" w:rsidRPr="00076EA3" w:rsidRDefault="009E3777" w:rsidP="00076EA3">
      <w:pPr>
        <w:pStyle w:val="ListParagraph"/>
        <w:numPr>
          <w:ilvl w:val="0"/>
          <w:numId w:val="30"/>
        </w:numPr>
        <w:contextualSpacing w:val="0"/>
      </w:pPr>
      <w:r w:rsidRPr="00076EA3">
        <w:t xml:space="preserve">Penalties for non-compliance or ‘interference’ with the Commission’s administration and enforcement of the positive duty in the </w:t>
      </w:r>
      <w:r w:rsidRPr="00076EA3">
        <w:rPr>
          <w:i/>
          <w:iCs/>
        </w:rPr>
        <w:t>Sex Discrimination Act 1984</w:t>
      </w:r>
      <w:r w:rsidRPr="00076EA3">
        <w:t xml:space="preserve"> (</w:t>
      </w:r>
      <w:proofErr w:type="spellStart"/>
      <w:r w:rsidRPr="00076EA3">
        <w:t>Cth</w:t>
      </w:r>
      <w:proofErr w:type="spellEnd"/>
      <w:r w:rsidRPr="00076EA3">
        <w:t xml:space="preserve">) and the </w:t>
      </w:r>
      <w:r w:rsidRPr="00076EA3">
        <w:rPr>
          <w:i/>
          <w:iCs/>
        </w:rPr>
        <w:t>Disability Discrimination Act 1992</w:t>
      </w:r>
      <w:r w:rsidRPr="00076EA3">
        <w:t xml:space="preserve"> (</w:t>
      </w:r>
      <w:proofErr w:type="spellStart"/>
      <w:r w:rsidRPr="00076EA3">
        <w:t>Cth</w:t>
      </w:r>
      <w:proofErr w:type="spellEnd"/>
      <w:r w:rsidRPr="00076EA3">
        <w:t xml:space="preserve">) should be increased. </w:t>
      </w:r>
    </w:p>
    <w:p w14:paraId="466EE890" w14:textId="77777777" w:rsidR="009E3777" w:rsidRPr="00076EA3" w:rsidRDefault="009E3777" w:rsidP="00076EA3">
      <w:pPr>
        <w:pStyle w:val="ListParagraph"/>
        <w:numPr>
          <w:ilvl w:val="0"/>
          <w:numId w:val="30"/>
        </w:numPr>
        <w:contextualSpacing w:val="0"/>
      </w:pPr>
      <w:r w:rsidRPr="00076EA3">
        <w:t xml:space="preserve">The </w:t>
      </w:r>
      <w:r w:rsidRPr="00076EA3">
        <w:rPr>
          <w:i/>
          <w:iCs/>
        </w:rPr>
        <w:t>Australian Human Rights Commission Act 1986</w:t>
      </w:r>
      <w:r w:rsidRPr="00076EA3">
        <w:t xml:space="preserve"> (</w:t>
      </w:r>
      <w:proofErr w:type="spellStart"/>
      <w:r w:rsidRPr="00076EA3">
        <w:t>Cth</w:t>
      </w:r>
      <w:proofErr w:type="spellEnd"/>
      <w:r w:rsidRPr="00076EA3">
        <w:t xml:space="preserve">) should be amended to provide the Australian Human Rights Commission with information-gathering powers to monitor and enforce compliance with the positive duty in the </w:t>
      </w:r>
      <w:r w:rsidRPr="00076EA3">
        <w:rPr>
          <w:i/>
          <w:iCs/>
        </w:rPr>
        <w:t>Sex Discrimination Act 1984</w:t>
      </w:r>
      <w:r w:rsidRPr="00076EA3">
        <w:t xml:space="preserve"> (</w:t>
      </w:r>
      <w:proofErr w:type="spellStart"/>
      <w:r w:rsidRPr="00076EA3">
        <w:t>Cth</w:t>
      </w:r>
      <w:proofErr w:type="spellEnd"/>
      <w:r w:rsidRPr="00076EA3">
        <w:t xml:space="preserve">) and the </w:t>
      </w:r>
      <w:r w:rsidRPr="00076EA3">
        <w:rPr>
          <w:i/>
          <w:iCs/>
        </w:rPr>
        <w:t>Disability Discrimination Act 1992</w:t>
      </w:r>
      <w:r w:rsidRPr="00076EA3">
        <w:t xml:space="preserve"> (</w:t>
      </w:r>
      <w:proofErr w:type="spellStart"/>
      <w:r w:rsidRPr="00076EA3">
        <w:t>Cth</w:t>
      </w:r>
      <w:proofErr w:type="spellEnd"/>
      <w:r w:rsidRPr="00076EA3">
        <w:t xml:space="preserve">) </w:t>
      </w:r>
      <w:r w:rsidRPr="00076EA3">
        <w:rPr>
          <w:i/>
          <w:iCs/>
        </w:rPr>
        <w:t xml:space="preserve">prior </w:t>
      </w:r>
      <w:r w:rsidRPr="00076EA3">
        <w:t>to a formal inquiry commencing.  </w:t>
      </w:r>
    </w:p>
    <w:p w14:paraId="1604C2E6" w14:textId="77777777" w:rsidR="009E3777" w:rsidRPr="00076EA3" w:rsidRDefault="009E3777" w:rsidP="00076EA3">
      <w:pPr>
        <w:pStyle w:val="ListParagraph"/>
        <w:numPr>
          <w:ilvl w:val="0"/>
          <w:numId w:val="30"/>
        </w:numPr>
        <w:contextualSpacing w:val="0"/>
      </w:pPr>
      <w:r w:rsidRPr="00076EA3">
        <w:t xml:space="preserve">The </w:t>
      </w:r>
      <w:r w:rsidRPr="00076EA3">
        <w:rPr>
          <w:i/>
          <w:iCs/>
        </w:rPr>
        <w:t xml:space="preserve">Australian Human Rights Commission Act 1986 </w:t>
      </w:r>
      <w:r w:rsidRPr="00076EA3">
        <w:t>(</w:t>
      </w:r>
      <w:proofErr w:type="spellStart"/>
      <w:r w:rsidRPr="00076EA3">
        <w:t>Cth</w:t>
      </w:r>
      <w:proofErr w:type="spellEnd"/>
      <w:r w:rsidRPr="00076EA3">
        <w:t xml:space="preserve">) should be amended to enable better information sharing with other regulators and the public. The scope of these amendments should be considered and informed by the independent review of the positive duty in the </w:t>
      </w:r>
      <w:r w:rsidRPr="00076EA3">
        <w:rPr>
          <w:i/>
          <w:iCs/>
        </w:rPr>
        <w:t>Sex Discrimination Act 1984</w:t>
      </w:r>
      <w:r w:rsidRPr="00076EA3">
        <w:t xml:space="preserve"> (</w:t>
      </w:r>
      <w:proofErr w:type="spellStart"/>
      <w:r w:rsidRPr="00076EA3">
        <w:t>Cth</w:t>
      </w:r>
      <w:proofErr w:type="spellEnd"/>
      <w:r w:rsidRPr="00076EA3">
        <w:t xml:space="preserve">) due to commence in 2026.    </w:t>
      </w:r>
    </w:p>
    <w:p w14:paraId="3DEECC44" w14:textId="77777777" w:rsidR="009E3777" w:rsidRPr="00076EA3" w:rsidRDefault="009E3777" w:rsidP="00076EA3">
      <w:pPr>
        <w:pStyle w:val="ListParagraph"/>
        <w:numPr>
          <w:ilvl w:val="0"/>
          <w:numId w:val="30"/>
        </w:numPr>
        <w:contextualSpacing w:val="0"/>
      </w:pPr>
      <w:r w:rsidRPr="00076EA3">
        <w:rPr>
          <w:lang w:eastAsia="en-US"/>
        </w:rPr>
        <w:t xml:space="preserve">Adequate and sufficient funding should be provided to the Australian Human Rights Commission as regulator of the duties in the </w:t>
      </w:r>
      <w:r w:rsidRPr="00076EA3">
        <w:rPr>
          <w:i/>
          <w:iCs/>
          <w:lang w:eastAsia="en-US"/>
        </w:rPr>
        <w:t>Disability Discrimination Act 1992</w:t>
      </w:r>
      <w:r w:rsidRPr="00076EA3">
        <w:rPr>
          <w:lang w:eastAsia="en-US"/>
        </w:rPr>
        <w:t xml:space="preserve"> (</w:t>
      </w:r>
      <w:proofErr w:type="spellStart"/>
      <w:r w:rsidRPr="00076EA3">
        <w:rPr>
          <w:lang w:eastAsia="en-US"/>
        </w:rPr>
        <w:t>Cth</w:t>
      </w:r>
      <w:proofErr w:type="spellEnd"/>
      <w:r w:rsidRPr="00076EA3">
        <w:rPr>
          <w:lang w:eastAsia="en-US"/>
        </w:rPr>
        <w:t>). Funding should allow for the development of required guidance, including to undertake consultation.</w:t>
      </w:r>
    </w:p>
    <w:p w14:paraId="6291E3F9" w14:textId="77777777" w:rsidR="009E3777" w:rsidRPr="00076EA3" w:rsidRDefault="009E3777" w:rsidP="00076EA3">
      <w:pPr>
        <w:pStyle w:val="ListParagraph"/>
        <w:numPr>
          <w:ilvl w:val="0"/>
          <w:numId w:val="30"/>
        </w:numPr>
        <w:contextualSpacing w:val="0"/>
      </w:pPr>
      <w:r w:rsidRPr="00076EA3">
        <w:t xml:space="preserve">The </w:t>
      </w:r>
      <w:r w:rsidRPr="00076EA3">
        <w:rPr>
          <w:i/>
          <w:iCs/>
        </w:rPr>
        <w:t>Disability Discrimination Act 1992</w:t>
      </w:r>
      <w:r w:rsidRPr="00076EA3">
        <w:t xml:space="preserve"> (</w:t>
      </w:r>
      <w:proofErr w:type="spellStart"/>
      <w:r w:rsidRPr="00076EA3">
        <w:t>Cth</w:t>
      </w:r>
      <w:proofErr w:type="spellEnd"/>
      <w:r w:rsidRPr="00076EA3">
        <w:t>) should be amended to introduce a requirement for permanent exemptions in sections 46-54 to be reviewed every 10 years, having regard to the following:</w:t>
      </w:r>
    </w:p>
    <w:p w14:paraId="53476044" w14:textId="77777777" w:rsidR="009E3777" w:rsidRPr="00076EA3" w:rsidRDefault="009E3777" w:rsidP="00076EA3">
      <w:pPr>
        <w:pStyle w:val="ListParagraph"/>
        <w:numPr>
          <w:ilvl w:val="0"/>
          <w:numId w:val="33"/>
        </w:numPr>
        <w:contextualSpacing w:val="0"/>
      </w:pPr>
      <w:r w:rsidRPr="00076EA3">
        <w:t>whether the scope of the exemption remains necessary, reasonable and proportionate in the circumstances.</w:t>
      </w:r>
    </w:p>
    <w:p w14:paraId="74503966" w14:textId="77777777" w:rsidR="001E0CAD" w:rsidRPr="00076EA3" w:rsidRDefault="009E3777" w:rsidP="00076EA3">
      <w:pPr>
        <w:pStyle w:val="ListParagraph"/>
        <w:numPr>
          <w:ilvl w:val="0"/>
          <w:numId w:val="33"/>
        </w:numPr>
        <w:contextualSpacing w:val="0"/>
      </w:pPr>
      <w:r w:rsidRPr="00076EA3">
        <w:t xml:space="preserve">whether the exemption should be </w:t>
      </w:r>
    </w:p>
    <w:p w14:paraId="05D44289" w14:textId="662A0009" w:rsidR="009E3777" w:rsidRPr="00076EA3" w:rsidRDefault="009E3777" w:rsidP="00076EA3">
      <w:pPr>
        <w:pStyle w:val="ListParagraph"/>
        <w:numPr>
          <w:ilvl w:val="1"/>
          <w:numId w:val="33"/>
        </w:numPr>
        <w:contextualSpacing w:val="0"/>
      </w:pPr>
      <w:r w:rsidRPr="00076EA3">
        <w:t>continued or removed, and</w:t>
      </w:r>
    </w:p>
    <w:p w14:paraId="61142FDD" w14:textId="77777777" w:rsidR="009E3777" w:rsidRPr="00076EA3" w:rsidRDefault="009E3777" w:rsidP="00076EA3">
      <w:pPr>
        <w:pStyle w:val="ListParagraph"/>
        <w:numPr>
          <w:ilvl w:val="1"/>
          <w:numId w:val="33"/>
        </w:numPr>
        <w:contextualSpacing w:val="0"/>
      </w:pPr>
      <w:r w:rsidRPr="00076EA3">
        <w:t xml:space="preserve">if continued, be time limited and regularly reviewed, or be </w:t>
      </w:r>
      <w:proofErr w:type="spellStart"/>
      <w:r w:rsidRPr="00076EA3">
        <w:t>sunsetted</w:t>
      </w:r>
      <w:proofErr w:type="spellEnd"/>
      <w:r w:rsidRPr="00076EA3">
        <w:t xml:space="preserve">. </w:t>
      </w:r>
    </w:p>
    <w:p w14:paraId="65A4A9A3" w14:textId="77777777" w:rsidR="009E3777" w:rsidRPr="00076EA3" w:rsidRDefault="009E3777" w:rsidP="00076EA3">
      <w:pPr>
        <w:pStyle w:val="ListParagraph"/>
        <w:numPr>
          <w:ilvl w:val="0"/>
          <w:numId w:val="33"/>
        </w:numPr>
        <w:contextualSpacing w:val="0"/>
      </w:pPr>
      <w:r w:rsidRPr="00076EA3">
        <w:t>Australia</w:t>
      </w:r>
      <w:r w:rsidRPr="00076EA3">
        <w:rPr>
          <w:lang w:val="en-US"/>
        </w:rPr>
        <w:t>’</w:t>
      </w:r>
      <w:r w:rsidRPr="00076EA3">
        <w:t>s international human rights obligations, giving specific regard to the United Nations Convention on the Rights of Persons with Disabilities.</w:t>
      </w:r>
    </w:p>
    <w:p w14:paraId="5D917124" w14:textId="77777777" w:rsidR="009E3777" w:rsidRPr="00076EA3" w:rsidRDefault="009E3777" w:rsidP="00076EA3">
      <w:pPr>
        <w:ind w:left="454"/>
      </w:pPr>
      <w:r w:rsidRPr="00076EA3">
        <w:lastRenderedPageBreak/>
        <w:t>The first such review of permanent exemptions should occur at the commencement of these legislative amendments.</w:t>
      </w:r>
    </w:p>
    <w:p w14:paraId="3AD1F4B9" w14:textId="77777777" w:rsidR="009E3777" w:rsidRPr="00076EA3" w:rsidRDefault="009E3777" w:rsidP="00076EA3">
      <w:pPr>
        <w:pStyle w:val="ListParagraph"/>
        <w:numPr>
          <w:ilvl w:val="0"/>
          <w:numId w:val="30"/>
        </w:numPr>
        <w:contextualSpacing w:val="0"/>
      </w:pPr>
      <w:r w:rsidRPr="00076EA3">
        <w:t xml:space="preserve">The </w:t>
      </w:r>
      <w:r w:rsidRPr="00076EA3">
        <w:rPr>
          <w:i/>
          <w:iCs/>
        </w:rPr>
        <w:t>Disability Discrimination Act 1992</w:t>
      </w:r>
      <w:r w:rsidRPr="00076EA3">
        <w:t xml:space="preserve"> (</w:t>
      </w:r>
      <w:proofErr w:type="spellStart"/>
      <w:r w:rsidRPr="00076EA3">
        <w:t>Cth</w:t>
      </w:r>
      <w:proofErr w:type="spellEnd"/>
      <w:r w:rsidRPr="00076EA3">
        <w:t xml:space="preserve">) should be amended to replace references to permanent exemptions with new terminology of </w:t>
      </w:r>
      <w:r w:rsidRPr="00076EA3">
        <w:rPr>
          <w:lang w:val="en-US"/>
        </w:rPr>
        <w:t>’</w:t>
      </w:r>
      <w:r w:rsidRPr="00076EA3">
        <w:t>exceptions</w:t>
      </w:r>
      <w:r w:rsidRPr="00076EA3">
        <w:rPr>
          <w:lang w:val="en-US"/>
        </w:rPr>
        <w:t>’</w:t>
      </w:r>
      <w:r w:rsidRPr="00076EA3">
        <w:t xml:space="preserve"> to be defined as </w:t>
      </w:r>
      <w:r w:rsidRPr="00076EA3">
        <w:rPr>
          <w:lang w:val="en-US"/>
        </w:rPr>
        <w:t>’</w:t>
      </w:r>
      <w:r w:rsidRPr="00076EA3">
        <w:t>conduct which, but for the operation of the excepting provision, would be unlawful discrimination, but is permanently excepted from being considered such in the relevant Act</w:t>
      </w:r>
      <w:r w:rsidRPr="00076EA3">
        <w:rPr>
          <w:lang w:val="en-US"/>
        </w:rPr>
        <w:t>’</w:t>
      </w:r>
      <w:r w:rsidRPr="00076EA3">
        <w:t xml:space="preserve">. </w:t>
      </w:r>
    </w:p>
    <w:p w14:paraId="23665F82" w14:textId="77777777" w:rsidR="009E3777" w:rsidRPr="00076EA3" w:rsidRDefault="009E3777" w:rsidP="00076EA3">
      <w:pPr>
        <w:pStyle w:val="ListParagraph"/>
        <w:numPr>
          <w:ilvl w:val="0"/>
          <w:numId w:val="30"/>
        </w:numPr>
        <w:contextualSpacing w:val="0"/>
      </w:pPr>
      <w:r w:rsidRPr="00076EA3">
        <w:t xml:space="preserve">The </w:t>
      </w:r>
      <w:r w:rsidRPr="00076EA3">
        <w:rPr>
          <w:i/>
          <w:iCs/>
        </w:rPr>
        <w:t>Disability Discrimination Act 1992</w:t>
      </w:r>
      <w:r w:rsidRPr="00076EA3">
        <w:t xml:space="preserve"> (</w:t>
      </w:r>
      <w:proofErr w:type="spellStart"/>
      <w:r w:rsidRPr="00076EA3">
        <w:t>Cth</w:t>
      </w:r>
      <w:proofErr w:type="spellEnd"/>
      <w:r w:rsidRPr="00076EA3">
        <w:t xml:space="preserve">) should be amended to define </w:t>
      </w:r>
      <w:r w:rsidRPr="00076EA3">
        <w:rPr>
          <w:lang w:val="en-US"/>
        </w:rPr>
        <w:t>’</w:t>
      </w:r>
      <w:r w:rsidRPr="00076EA3">
        <w:t>temporary exemptions</w:t>
      </w:r>
      <w:r w:rsidRPr="00076EA3">
        <w:rPr>
          <w:lang w:val="en-US"/>
        </w:rPr>
        <w:t xml:space="preserve">’ </w:t>
      </w:r>
      <w:r w:rsidRPr="00076EA3">
        <w:t>as ‘temporary permissive authorisation for conduct which, but for the operation of the exemption, would be unlawful</w:t>
      </w:r>
      <w:r w:rsidRPr="00076EA3">
        <w:rPr>
          <w:lang w:val="en-US"/>
        </w:rPr>
        <w:t>’.</w:t>
      </w:r>
    </w:p>
    <w:p w14:paraId="333028FE" w14:textId="77777777" w:rsidR="009E3777" w:rsidRPr="00076EA3" w:rsidRDefault="009E3777" w:rsidP="00076EA3">
      <w:pPr>
        <w:pStyle w:val="ListParagraph"/>
        <w:numPr>
          <w:ilvl w:val="0"/>
          <w:numId w:val="30"/>
        </w:numPr>
        <w:contextualSpacing w:val="0"/>
      </w:pPr>
      <w:r w:rsidRPr="00076EA3">
        <w:t xml:space="preserve">Section 45 of the </w:t>
      </w:r>
      <w:r w:rsidRPr="00076EA3">
        <w:rPr>
          <w:i/>
          <w:iCs/>
        </w:rPr>
        <w:t>Disability Discrimination Act 1992</w:t>
      </w:r>
      <w:r w:rsidRPr="00076EA3">
        <w:t xml:space="preserve"> (</w:t>
      </w:r>
      <w:proofErr w:type="spellStart"/>
      <w:r w:rsidRPr="00076EA3">
        <w:t>Cth</w:t>
      </w:r>
      <w:proofErr w:type="spellEnd"/>
      <w:r w:rsidRPr="00076EA3">
        <w:t>) should be amended to clarify that the interpretation of what amounts to a special measure be aligned with the understanding of this term under international law and</w:t>
      </w:r>
      <w:proofErr w:type="gramStart"/>
      <w:r w:rsidRPr="00076EA3">
        <w:t>, in particular, that</w:t>
      </w:r>
      <w:proofErr w:type="gramEnd"/>
      <w:r w:rsidRPr="00076EA3">
        <w:t xml:space="preserve"> special measures be construed as positive measures to address disability.  </w:t>
      </w:r>
    </w:p>
    <w:p w14:paraId="6C69589B" w14:textId="77777777" w:rsidR="009E3777" w:rsidRPr="00076EA3" w:rsidRDefault="009E3777" w:rsidP="00076EA3">
      <w:pPr>
        <w:pStyle w:val="ListParagraph"/>
        <w:numPr>
          <w:ilvl w:val="0"/>
          <w:numId w:val="30"/>
        </w:numPr>
        <w:contextualSpacing w:val="0"/>
      </w:pPr>
      <w:r w:rsidRPr="00076EA3">
        <w:t xml:space="preserve">The </w:t>
      </w:r>
      <w:r w:rsidRPr="00076EA3">
        <w:rPr>
          <w:i/>
          <w:iCs/>
        </w:rPr>
        <w:t>Disability Discrimination Act</w:t>
      </w:r>
      <w:r w:rsidRPr="00076EA3">
        <w:t xml:space="preserve"> (1992) should be amended to:</w:t>
      </w:r>
    </w:p>
    <w:p w14:paraId="04CABB90" w14:textId="5CC42918" w:rsidR="006E6045" w:rsidRPr="00076EA3" w:rsidRDefault="009E3777" w:rsidP="00076EA3">
      <w:pPr>
        <w:pStyle w:val="ListParagraph"/>
        <w:numPr>
          <w:ilvl w:val="1"/>
          <w:numId w:val="30"/>
        </w:numPr>
        <w:contextualSpacing w:val="0"/>
      </w:pPr>
      <w:r w:rsidRPr="00076EA3">
        <w:t>provide the Australian Human Rights Commission a power to issue special measures certification, as administrative decisions, subject to administrative review</w:t>
      </w:r>
    </w:p>
    <w:p w14:paraId="708A33B7" w14:textId="1DC7B5FF" w:rsidR="006E6045" w:rsidRPr="00076EA3" w:rsidRDefault="009E3777" w:rsidP="00076EA3">
      <w:pPr>
        <w:pStyle w:val="ListParagraph"/>
        <w:numPr>
          <w:ilvl w:val="1"/>
          <w:numId w:val="30"/>
        </w:numPr>
        <w:contextualSpacing w:val="0"/>
      </w:pPr>
      <w:r w:rsidRPr="00076EA3">
        <w:t>empower the Commission to consult with relevant stakeholders when deliberating on whether to certify a special measure</w:t>
      </w:r>
    </w:p>
    <w:p w14:paraId="00EEE5DC" w14:textId="77777777" w:rsidR="006E6045" w:rsidRPr="00076EA3" w:rsidRDefault="009E3777" w:rsidP="00076EA3">
      <w:pPr>
        <w:pStyle w:val="ListParagraph"/>
        <w:numPr>
          <w:ilvl w:val="1"/>
          <w:numId w:val="30"/>
        </w:numPr>
        <w:contextualSpacing w:val="0"/>
      </w:pPr>
      <w:r w:rsidRPr="00076EA3">
        <w:t xml:space="preserve">limit certification for a period up to 5 years </w:t>
      </w:r>
    </w:p>
    <w:p w14:paraId="67F4CC36" w14:textId="77777777" w:rsidR="006E6045" w:rsidRPr="00076EA3" w:rsidRDefault="009E3777" w:rsidP="00076EA3">
      <w:pPr>
        <w:pStyle w:val="ListParagraph"/>
        <w:numPr>
          <w:ilvl w:val="1"/>
          <w:numId w:val="30"/>
        </w:numPr>
        <w:contextualSpacing w:val="0"/>
      </w:pPr>
      <w:r w:rsidRPr="00076EA3">
        <w:t xml:space="preserve">maintain certification as voluntary, with duty holders able to rely on existing provisions </w:t>
      </w:r>
    </w:p>
    <w:p w14:paraId="354B22AA" w14:textId="77777777" w:rsidR="006E6045" w:rsidRPr="00076EA3" w:rsidRDefault="009E3777" w:rsidP="00076EA3">
      <w:pPr>
        <w:pStyle w:val="ListParagraph"/>
        <w:numPr>
          <w:ilvl w:val="1"/>
          <w:numId w:val="30"/>
        </w:numPr>
        <w:contextualSpacing w:val="0"/>
      </w:pPr>
      <w:r w:rsidRPr="00076EA3">
        <w:t xml:space="preserve">limit the certification power </w:t>
      </w:r>
      <w:proofErr w:type="gramStart"/>
      <w:r w:rsidRPr="00076EA3">
        <w:t>so as to</w:t>
      </w:r>
      <w:proofErr w:type="gramEnd"/>
      <w:r w:rsidRPr="00076EA3">
        <w:t xml:space="preserve"> not extend to the certification of legislative provisions as special measures.</w:t>
      </w:r>
    </w:p>
    <w:p w14:paraId="6131932C" w14:textId="77777777" w:rsidR="006E6045" w:rsidRPr="00076EA3" w:rsidRDefault="009E3777" w:rsidP="00076EA3">
      <w:pPr>
        <w:pStyle w:val="ListParagraph"/>
        <w:numPr>
          <w:ilvl w:val="0"/>
          <w:numId w:val="30"/>
        </w:numPr>
        <w:contextualSpacing w:val="0"/>
      </w:pPr>
      <w:r w:rsidRPr="00076EA3">
        <w:t xml:space="preserve">The Australian Human Rights Commission should be adequately resourced to promote understanding of special measures under the </w:t>
      </w:r>
      <w:r w:rsidRPr="00076EA3">
        <w:rPr>
          <w:i/>
          <w:iCs/>
        </w:rPr>
        <w:t>Disability Discrimination Act 1992</w:t>
      </w:r>
      <w:r w:rsidRPr="00076EA3">
        <w:t xml:space="preserve"> (</w:t>
      </w:r>
      <w:proofErr w:type="spellStart"/>
      <w:r w:rsidRPr="00076EA3">
        <w:t>Cth</w:t>
      </w:r>
      <w:proofErr w:type="spellEnd"/>
      <w:r w:rsidRPr="00076EA3">
        <w:t>) as well as to process applications.</w:t>
      </w:r>
    </w:p>
    <w:p w14:paraId="538B5A02" w14:textId="0C46EC24" w:rsidR="006E6045" w:rsidRPr="00076EA3" w:rsidRDefault="009E3777" w:rsidP="00076EA3">
      <w:pPr>
        <w:pStyle w:val="ListParagraph"/>
        <w:numPr>
          <w:ilvl w:val="0"/>
          <w:numId w:val="30"/>
        </w:numPr>
        <w:contextualSpacing w:val="0"/>
      </w:pPr>
      <w:r w:rsidRPr="00076EA3">
        <w:t xml:space="preserve">Part 6 of the </w:t>
      </w:r>
      <w:r w:rsidRPr="00076EA3">
        <w:rPr>
          <w:i/>
          <w:iCs/>
        </w:rPr>
        <w:t>Disability Discrimination Act 1992</w:t>
      </w:r>
      <w:r w:rsidRPr="00076EA3">
        <w:t xml:space="preserve"> (</w:t>
      </w:r>
      <w:proofErr w:type="spellStart"/>
      <w:r w:rsidRPr="00076EA3">
        <w:t>Cth</w:t>
      </w:r>
      <w:proofErr w:type="spellEnd"/>
      <w:r w:rsidRPr="00076EA3">
        <w:t>) should be amended to:</w:t>
      </w:r>
    </w:p>
    <w:p w14:paraId="2408D98B" w14:textId="77777777" w:rsidR="006E6045" w:rsidRPr="00076EA3" w:rsidRDefault="009E3777" w:rsidP="00076EA3">
      <w:pPr>
        <w:pStyle w:val="ListParagraph"/>
        <w:numPr>
          <w:ilvl w:val="1"/>
          <w:numId w:val="30"/>
        </w:numPr>
        <w:contextualSpacing w:val="0"/>
      </w:pPr>
      <w:r w:rsidRPr="00076EA3">
        <w:t>clarify that the Commission may provide advice on the development and implementation of action plans</w:t>
      </w:r>
    </w:p>
    <w:p w14:paraId="028E62AC" w14:textId="77777777" w:rsidR="006E6045" w:rsidRPr="00076EA3" w:rsidRDefault="009E3777" w:rsidP="00076EA3">
      <w:pPr>
        <w:pStyle w:val="ListParagraph"/>
        <w:numPr>
          <w:ilvl w:val="1"/>
          <w:numId w:val="30"/>
        </w:numPr>
        <w:contextualSpacing w:val="0"/>
      </w:pPr>
      <w:r w:rsidRPr="00076EA3">
        <w:t>clarify that the Commission may set minimum requirements for action plans (such as through guidelines) and not accept action plans that fail to meet these requirements</w:t>
      </w:r>
    </w:p>
    <w:p w14:paraId="2B6C044D" w14:textId="77777777" w:rsidR="006E6045" w:rsidRPr="00076EA3" w:rsidRDefault="009E3777" w:rsidP="00076EA3">
      <w:pPr>
        <w:pStyle w:val="ListParagraph"/>
        <w:numPr>
          <w:ilvl w:val="1"/>
          <w:numId w:val="30"/>
        </w:numPr>
        <w:contextualSpacing w:val="0"/>
      </w:pPr>
      <w:r w:rsidRPr="00076EA3">
        <w:t xml:space="preserve">introduce a set timeframe within which action plans will </w:t>
      </w:r>
      <w:proofErr w:type="gramStart"/>
      <w:r w:rsidRPr="00076EA3">
        <w:t>lapse, and</w:t>
      </w:r>
      <w:proofErr w:type="gramEnd"/>
      <w:r w:rsidRPr="00076EA3">
        <w:t xml:space="preserve"> require that outcomes of the evaluation of previous action plans be </w:t>
      </w:r>
      <w:r w:rsidRPr="00076EA3">
        <w:lastRenderedPageBreak/>
        <w:t>provided to the Commission when submitting a subsequent action plan.</w:t>
      </w:r>
    </w:p>
    <w:p w14:paraId="5965CB6C" w14:textId="77777777" w:rsidR="006E6045" w:rsidRPr="00076EA3" w:rsidRDefault="009E3777" w:rsidP="00076EA3">
      <w:pPr>
        <w:pStyle w:val="ListParagraph"/>
        <w:numPr>
          <w:ilvl w:val="0"/>
          <w:numId w:val="30"/>
        </w:numPr>
        <w:contextualSpacing w:val="0"/>
      </w:pPr>
      <w:r w:rsidRPr="00076EA3">
        <w:t xml:space="preserve">The Education Ministers Meeting should publicly report on implementation of Recommendation 7.9 of the Royal Commission into Violence, Abuse, Neglect and Exploitation of People with Disability. </w:t>
      </w:r>
    </w:p>
    <w:p w14:paraId="556E494E" w14:textId="4E95F261" w:rsidR="006E6045" w:rsidRPr="00076EA3" w:rsidRDefault="009E3777" w:rsidP="00076EA3">
      <w:pPr>
        <w:pStyle w:val="ListParagraph"/>
        <w:numPr>
          <w:ilvl w:val="0"/>
          <w:numId w:val="30"/>
        </w:numPr>
        <w:contextualSpacing w:val="0"/>
      </w:pPr>
      <w:r w:rsidRPr="00076EA3">
        <w:t>Treasury should publicly report on the implementation of Action 3 arising from the 2022 Review of the Premises Standards, including any barriers to implementation.</w:t>
      </w:r>
    </w:p>
    <w:p w14:paraId="6CC8CD52" w14:textId="4C7F946F" w:rsidR="009E3777" w:rsidRPr="002D4943" w:rsidRDefault="009E3777" w:rsidP="00076EA3">
      <w:pPr>
        <w:pStyle w:val="ListParagraph"/>
        <w:numPr>
          <w:ilvl w:val="0"/>
          <w:numId w:val="30"/>
        </w:numPr>
        <w:contextualSpacing w:val="0"/>
        <w:rPr>
          <w:b/>
          <w:bCs/>
        </w:rPr>
      </w:pPr>
      <w:r w:rsidRPr="00076EA3">
        <w:t xml:space="preserve">The Australian Government should establish a national framework for mandatory compliance reporting against the </w:t>
      </w:r>
      <w:r w:rsidRPr="00076EA3">
        <w:rPr>
          <w:i/>
          <w:iCs/>
        </w:rPr>
        <w:t xml:space="preserve">Disability Standards for Accessible Public Transport 2002 </w:t>
      </w:r>
      <w:r w:rsidRPr="00076EA3">
        <w:t>(</w:t>
      </w:r>
      <w:proofErr w:type="spellStart"/>
      <w:r w:rsidRPr="00076EA3">
        <w:t>Cth</w:t>
      </w:r>
      <w:proofErr w:type="spellEnd"/>
      <w:r w:rsidRPr="00076EA3">
        <w:t>).</w:t>
      </w:r>
      <w:r w:rsidRPr="002D4943">
        <w:rPr>
          <w:b/>
          <w:bCs/>
        </w:rPr>
        <w:t xml:space="preserve"> </w:t>
      </w:r>
    </w:p>
    <w:p w14:paraId="6E79BCD8" w14:textId="77777777" w:rsidR="009E3777" w:rsidRPr="0000563D" w:rsidRDefault="009E3777" w:rsidP="009E3777">
      <w:pPr>
        <w:rPr>
          <w:b/>
          <w:bCs/>
        </w:rPr>
      </w:pPr>
    </w:p>
    <w:p w14:paraId="4F4EA6A0" w14:textId="77777777" w:rsidR="009E3777" w:rsidRPr="0000563D" w:rsidRDefault="009E3777" w:rsidP="009E3777"/>
    <w:p w14:paraId="7A4A4222" w14:textId="77777777" w:rsidR="00810A64" w:rsidRPr="0000563D" w:rsidRDefault="00810A64" w:rsidP="008911EA">
      <w:pPr>
        <w:sectPr w:rsidR="00810A64" w:rsidRPr="0000563D" w:rsidSect="00810A64">
          <w:headerReference w:type="default" r:id="rId16"/>
          <w:footerReference w:type="default" r:id="rId17"/>
          <w:footerReference w:type="first" r:id="rId18"/>
          <w:endnotePr>
            <w:numFmt w:val="decimal"/>
          </w:endnotePr>
          <w:pgSz w:w="11906" w:h="16838" w:code="9"/>
          <w:pgMar w:top="1440" w:right="1440" w:bottom="1440" w:left="1440" w:header="720" w:footer="720" w:gutter="0"/>
          <w:cols w:space="720"/>
          <w:docGrid w:linePitch="360"/>
        </w:sectPr>
      </w:pPr>
    </w:p>
    <w:p w14:paraId="7BF604D9" w14:textId="3499E2E5" w:rsidR="00A83AD6" w:rsidRPr="002D4943" w:rsidRDefault="00A83AD6" w:rsidP="00A97614">
      <w:pPr>
        <w:pStyle w:val="Heading1"/>
        <w:rPr>
          <w:rFonts w:ascii="Open Sans" w:hAnsi="Open Sans" w:cs="Open Sans"/>
        </w:rPr>
      </w:pPr>
      <w:bookmarkStart w:id="3" w:name="_Toc214961109"/>
      <w:r w:rsidRPr="002D4943">
        <w:rPr>
          <w:rFonts w:ascii="Open Sans" w:hAnsi="Open Sans" w:cs="Open Sans"/>
        </w:rPr>
        <w:lastRenderedPageBreak/>
        <w:t>Introduction</w:t>
      </w:r>
      <w:bookmarkEnd w:id="3"/>
    </w:p>
    <w:p w14:paraId="60C1311D" w14:textId="7CFC5224" w:rsidR="001830BD" w:rsidRPr="0000563D" w:rsidRDefault="00846836" w:rsidP="008911EA">
      <w:r w:rsidRPr="0000563D">
        <w:t>The Australian Government should r</w:t>
      </w:r>
      <w:r w:rsidR="00876A3E" w:rsidRPr="0000563D">
        <w:t xml:space="preserve">eform </w:t>
      </w:r>
      <w:r w:rsidR="00061DD0" w:rsidRPr="0000563D">
        <w:t xml:space="preserve">the Disability Discrimination Act </w:t>
      </w:r>
      <w:r w:rsidRPr="0000563D">
        <w:t>to ensure it</w:t>
      </w:r>
      <w:r w:rsidR="00061DD0" w:rsidRPr="0000563D">
        <w:t xml:space="preserve"> </w:t>
      </w:r>
      <w:r w:rsidR="5E8790F7" w:rsidRPr="0000563D">
        <w:t xml:space="preserve">effectively serves the </w:t>
      </w:r>
      <w:r w:rsidR="00FA1DED" w:rsidRPr="0000563D">
        <w:t xml:space="preserve">modern </w:t>
      </w:r>
      <w:r w:rsidR="5E8790F7" w:rsidRPr="0000563D">
        <w:t>Australian community</w:t>
      </w:r>
      <w:r w:rsidR="3EE6C39E" w:rsidRPr="0000563D">
        <w:t>.</w:t>
      </w:r>
      <w:r w:rsidR="00105A8C" w:rsidRPr="0000563D">
        <w:t xml:space="preserve"> </w:t>
      </w:r>
      <w:r w:rsidR="001830BD" w:rsidRPr="0000563D">
        <w:t xml:space="preserve">The last time the Disability Discrimination Act underwent significant amendments was in 2009, </w:t>
      </w:r>
      <w:proofErr w:type="gramStart"/>
      <w:r w:rsidR="001830BD" w:rsidRPr="0000563D">
        <w:t>as a result of</w:t>
      </w:r>
      <w:proofErr w:type="gramEnd"/>
      <w:r w:rsidR="001830BD" w:rsidRPr="0000563D">
        <w:t xml:space="preserve"> the Productivity Commission’s 2004 Review</w:t>
      </w:r>
      <w:r w:rsidR="001830BD" w:rsidRPr="0000563D">
        <w:rPr>
          <w:rStyle w:val="EndnoteReference"/>
        </w:rPr>
        <w:endnoteReference w:id="2"/>
      </w:r>
      <w:r w:rsidR="001830BD" w:rsidRPr="0000563D">
        <w:t xml:space="preserve"> and following Australia’s ratification in 2008 of the </w:t>
      </w:r>
      <w:r w:rsidR="001830BD" w:rsidRPr="0000563D">
        <w:rPr>
          <w:i/>
          <w:iCs/>
        </w:rPr>
        <w:t>United Nations Convention on the Rights of Persons with Disabilities</w:t>
      </w:r>
      <w:r w:rsidR="001830BD" w:rsidRPr="0000563D">
        <w:t xml:space="preserve"> (CRPD).</w:t>
      </w:r>
      <w:r w:rsidR="001830BD" w:rsidRPr="0000563D">
        <w:rPr>
          <w:rStyle w:val="EndnoteReference"/>
        </w:rPr>
        <w:endnoteReference w:id="3"/>
      </w:r>
    </w:p>
    <w:p w14:paraId="04FB3CCC" w14:textId="620DF2BC" w:rsidR="0066610C" w:rsidRPr="0000563D" w:rsidRDefault="00637478" w:rsidP="0066610C">
      <w:r w:rsidRPr="0000563D">
        <w:t>It is notable that</w:t>
      </w:r>
      <w:r w:rsidR="008F5714" w:rsidRPr="0000563D">
        <w:t>,</w:t>
      </w:r>
      <w:r w:rsidRPr="0000563D">
        <w:t xml:space="preserve"> since the Disability Discrimination Act came into effect, there have been significant improvements in the inclusion of </w:t>
      </w:r>
      <w:r w:rsidR="007E6CEC" w:rsidRPr="0000563D">
        <w:t>people</w:t>
      </w:r>
      <w:r w:rsidRPr="0000563D">
        <w:t xml:space="preserve"> with disability across </w:t>
      </w:r>
      <w:r w:rsidR="007E6CEC" w:rsidRPr="0000563D">
        <w:t xml:space="preserve">Australian </w:t>
      </w:r>
      <w:r w:rsidRPr="0000563D">
        <w:t xml:space="preserve">society. </w:t>
      </w:r>
    </w:p>
    <w:p w14:paraId="3608AEFE" w14:textId="163B2788" w:rsidR="0066610C" w:rsidRPr="0000563D" w:rsidRDefault="3FF95840" w:rsidP="770BF407">
      <w:r w:rsidRPr="0000563D">
        <w:t>However, the Royal Commission into Violence, Abuse, Neglect and Exploitation of People with Disability (Disability Royal Commission) c</w:t>
      </w:r>
      <w:r w:rsidR="72E5C10A" w:rsidRPr="0000563D">
        <w:t xml:space="preserve">learly </w:t>
      </w:r>
      <w:r w:rsidRPr="0000563D">
        <w:t>identifie</w:t>
      </w:r>
      <w:r w:rsidR="6961F784" w:rsidRPr="0000563D">
        <w:t>s</w:t>
      </w:r>
      <w:r w:rsidRPr="0000563D">
        <w:t xml:space="preserve"> the need for </w:t>
      </w:r>
      <w:r w:rsidR="420B919B" w:rsidRPr="0000563D">
        <w:t>significant</w:t>
      </w:r>
      <w:r w:rsidRPr="0000563D">
        <w:t xml:space="preserve"> improvements </w:t>
      </w:r>
      <w:r w:rsidR="316E08D5" w:rsidRPr="0000563D">
        <w:t xml:space="preserve">to </w:t>
      </w:r>
      <w:r w:rsidRPr="0000563D">
        <w:t>the legislation</w:t>
      </w:r>
      <w:r w:rsidR="556B2683" w:rsidRPr="0000563D">
        <w:t xml:space="preserve"> to address a range of longstanding, ongoing challenges.</w:t>
      </w:r>
    </w:p>
    <w:p w14:paraId="6A86EE54" w14:textId="57F33F63" w:rsidR="0066610C" w:rsidRPr="0000563D" w:rsidRDefault="3FF95840" w:rsidP="0066610C">
      <w:r w:rsidRPr="0000563D">
        <w:t xml:space="preserve">Rates of </w:t>
      </w:r>
      <w:r w:rsidR="007761F1" w:rsidRPr="0000563D">
        <w:t>l</w:t>
      </w:r>
      <w:r w:rsidR="00BD692E" w:rsidRPr="0000563D">
        <w:t>abour force participation</w:t>
      </w:r>
      <w:r w:rsidR="007761F1" w:rsidRPr="0000563D">
        <w:t xml:space="preserve"> </w:t>
      </w:r>
      <w:r w:rsidRPr="0000563D">
        <w:t>have barely shifted</w:t>
      </w:r>
      <w:r w:rsidR="00EB474B" w:rsidRPr="0000563D">
        <w:t xml:space="preserve"> o</w:t>
      </w:r>
      <w:r w:rsidR="0066610C" w:rsidRPr="0000563D">
        <w:t xml:space="preserve">ver the </w:t>
      </w:r>
      <w:r w:rsidRPr="0000563D">
        <w:t>30 year period since the enactment of the Disability Discrimination Act.</w:t>
      </w:r>
      <w:r w:rsidR="00637478" w:rsidRPr="0000563D">
        <w:rPr>
          <w:rStyle w:val="EndnoteReference"/>
        </w:rPr>
        <w:endnoteReference w:id="4"/>
      </w:r>
      <w:r w:rsidRPr="0000563D">
        <w:t xml:space="preserve"> The </w:t>
      </w:r>
      <w:r w:rsidR="0066610C" w:rsidRPr="0000563D">
        <w:t xml:space="preserve">Commission has </w:t>
      </w:r>
      <w:r w:rsidRPr="0000563D">
        <w:t xml:space="preserve">conducted significant research and engagement to understand the reasons for this – such as through </w:t>
      </w:r>
      <w:r w:rsidR="00877CE6" w:rsidRPr="0000563D">
        <w:t xml:space="preserve">our </w:t>
      </w:r>
      <w:r w:rsidRPr="0000563D">
        <w:rPr>
          <w:i/>
          <w:iCs/>
        </w:rPr>
        <w:t>Willing to Work: National Inquiry into Employment Discrimination</w:t>
      </w:r>
      <w:r w:rsidR="00637478" w:rsidRPr="0000563D">
        <w:rPr>
          <w:rStyle w:val="EndnoteReference"/>
          <w:i/>
          <w:iCs/>
        </w:rPr>
        <w:endnoteReference w:id="5"/>
      </w:r>
      <w:r w:rsidR="00DA5B2C" w:rsidRPr="0000563D">
        <w:rPr>
          <w:i/>
          <w:iCs/>
        </w:rPr>
        <w:t xml:space="preserve"> </w:t>
      </w:r>
      <w:r w:rsidR="00DA5B2C" w:rsidRPr="0000563D">
        <w:t>(Willing to Work)</w:t>
      </w:r>
      <w:r w:rsidRPr="0000563D">
        <w:t xml:space="preserve">, and current </w:t>
      </w:r>
      <w:proofErr w:type="spellStart"/>
      <w:r w:rsidR="00084379" w:rsidRPr="0000563D">
        <w:t>IncludeAbility</w:t>
      </w:r>
      <w:proofErr w:type="spellEnd"/>
      <w:r w:rsidR="00084379" w:rsidRPr="0000563D">
        <w:t xml:space="preserve"> </w:t>
      </w:r>
      <w:r w:rsidR="0022165C" w:rsidRPr="0000563D">
        <w:t>(</w:t>
      </w:r>
      <w:r w:rsidRPr="0000563D">
        <w:t>Equality at Work</w:t>
      </w:r>
      <w:r w:rsidR="0022165C" w:rsidRPr="0000563D">
        <w:t>)</w:t>
      </w:r>
      <w:r w:rsidRPr="0000563D">
        <w:t xml:space="preserve"> project.</w:t>
      </w:r>
      <w:r w:rsidR="00637478" w:rsidRPr="0000563D">
        <w:rPr>
          <w:rStyle w:val="EndnoteReference"/>
        </w:rPr>
        <w:endnoteReference w:id="6"/>
      </w:r>
      <w:r w:rsidRPr="0000563D">
        <w:t xml:space="preserve"> These point to the need for more effective discrimination law protections at the national level for people with disability to achieve employment on an equal basis with others.</w:t>
      </w:r>
    </w:p>
    <w:p w14:paraId="60BB6774" w14:textId="149B23EB" w:rsidR="0066610C" w:rsidRPr="0000563D" w:rsidRDefault="3FF95840" w:rsidP="0066610C">
      <w:r w:rsidRPr="0000563D">
        <w:t>T</w:t>
      </w:r>
      <w:r w:rsidR="0066610C" w:rsidRPr="0000563D">
        <w:t>he Commission has</w:t>
      </w:r>
      <w:r w:rsidR="467A3024" w:rsidRPr="0000563D">
        <w:t xml:space="preserve"> also</w:t>
      </w:r>
      <w:r w:rsidR="0066610C" w:rsidRPr="0000563D">
        <w:t xml:space="preserve"> consistently received more discrimination complaints under the Disability Discrimination Act than under any other discrimination law. Disability complaints regularly account for approximately 50% of all complaints. </w:t>
      </w:r>
    </w:p>
    <w:p w14:paraId="27E8B0E1" w14:textId="378AF966" w:rsidR="00E866B4" w:rsidRPr="0000563D" w:rsidRDefault="18C9294E" w:rsidP="008911EA">
      <w:r w:rsidRPr="0000563D">
        <w:t>In 2021, t</w:t>
      </w:r>
      <w:r w:rsidR="3EE6C39E" w:rsidRPr="0000563D">
        <w:t>he Commission</w:t>
      </w:r>
      <w:r w:rsidR="11422FFD" w:rsidRPr="0000563D">
        <w:t xml:space="preserve"> released</w:t>
      </w:r>
      <w:r w:rsidR="3EE6C39E" w:rsidRPr="0000563D">
        <w:t xml:space="preserve"> </w:t>
      </w:r>
      <w:r w:rsidR="3EE6C39E" w:rsidRPr="0000563D">
        <w:rPr>
          <w:i/>
          <w:iCs/>
        </w:rPr>
        <w:t>Free and Equal: A reform agenda for federal discrimination law</w:t>
      </w:r>
      <w:r w:rsidR="00726A5F" w:rsidRPr="0000563D">
        <w:rPr>
          <w:rStyle w:val="EndnoteReference"/>
        </w:rPr>
        <w:endnoteReference w:id="7"/>
      </w:r>
      <w:r w:rsidR="3EE6C39E" w:rsidRPr="0000563D">
        <w:rPr>
          <w:i/>
          <w:iCs/>
        </w:rPr>
        <w:t xml:space="preserve"> </w:t>
      </w:r>
      <w:r w:rsidR="3EE6C39E" w:rsidRPr="0000563D">
        <w:t>(2021 Free &amp; Equal Position Paper) put</w:t>
      </w:r>
      <w:r w:rsidR="001E051D" w:rsidRPr="0000563D">
        <w:t>ting</w:t>
      </w:r>
      <w:r w:rsidR="3EE6C39E" w:rsidRPr="0000563D">
        <w:t xml:space="preserve"> forward a comprehensive plan </w:t>
      </w:r>
      <w:r w:rsidR="00AC2A97" w:rsidRPr="0000563D">
        <w:t xml:space="preserve">for </w:t>
      </w:r>
      <w:r w:rsidR="00386B66" w:rsidRPr="0000563D">
        <w:t xml:space="preserve">reforms </w:t>
      </w:r>
      <w:r w:rsidR="00E866B4" w:rsidRPr="0000563D">
        <w:t xml:space="preserve">across all </w:t>
      </w:r>
      <w:r w:rsidR="00DF570D" w:rsidRPr="0000563D">
        <w:t xml:space="preserve">4 </w:t>
      </w:r>
      <w:r w:rsidR="00AC2A97" w:rsidRPr="0000563D">
        <w:t>federal</w:t>
      </w:r>
      <w:r w:rsidR="00E866B4" w:rsidRPr="0000563D">
        <w:t xml:space="preserve"> discrimination laws as well as specific reforms to</w:t>
      </w:r>
      <w:r w:rsidR="00386B66" w:rsidRPr="0000563D">
        <w:t xml:space="preserve"> the Disability Discrimination Act</w:t>
      </w:r>
      <w:r w:rsidR="007477DA" w:rsidRPr="0000563D">
        <w:t>.</w:t>
      </w:r>
      <w:r w:rsidR="3EE6C39E" w:rsidRPr="0000563D">
        <w:t xml:space="preserve"> </w:t>
      </w:r>
    </w:p>
    <w:p w14:paraId="642F0CF2" w14:textId="4C7CDA24" w:rsidR="3EE6C39E" w:rsidRPr="0000563D" w:rsidRDefault="00106F8B" w:rsidP="008911EA">
      <w:r w:rsidRPr="0000563D">
        <w:t>In 2023, t</w:t>
      </w:r>
      <w:r w:rsidR="3EE6C39E" w:rsidRPr="0000563D">
        <w:t xml:space="preserve">he Disability Royal Commission </w:t>
      </w:r>
      <w:r w:rsidRPr="0000563D">
        <w:t xml:space="preserve">heavily </w:t>
      </w:r>
      <w:r w:rsidR="3EE6C39E" w:rsidRPr="0000563D">
        <w:t>relied on</w:t>
      </w:r>
      <w:r w:rsidRPr="0000563D">
        <w:t xml:space="preserve"> the </w:t>
      </w:r>
      <w:r w:rsidR="3EE6C39E" w:rsidRPr="0000563D">
        <w:t xml:space="preserve">2021 Free &amp; Equal Position Paper </w:t>
      </w:r>
      <w:r w:rsidR="00FD7E38" w:rsidRPr="0000563D">
        <w:t>as the basis for its</w:t>
      </w:r>
      <w:r w:rsidR="3EE6C39E" w:rsidRPr="0000563D">
        <w:t xml:space="preserve"> recommendations to </w:t>
      </w:r>
      <w:r w:rsidRPr="0000563D">
        <w:t>improve the</w:t>
      </w:r>
      <w:r w:rsidR="3EE6C39E" w:rsidRPr="0000563D">
        <w:t xml:space="preserve"> Disability Discrimination Act. </w:t>
      </w:r>
    </w:p>
    <w:p w14:paraId="49EE328A" w14:textId="7F044461" w:rsidR="00FD7E38" w:rsidRPr="0000563D" w:rsidRDefault="00FD7E38" w:rsidP="008911EA">
      <w:r w:rsidRPr="0000563D">
        <w:t xml:space="preserve">This consultation process </w:t>
      </w:r>
      <w:r w:rsidR="00270448" w:rsidRPr="0000563D">
        <w:t>is focused on how to implement the Disability Royal Commission recommendations, while also noting additional areas for reform identified by the Commission.</w:t>
      </w:r>
      <w:r w:rsidR="001861D1" w:rsidRPr="0000563D">
        <w:t xml:space="preserve"> All case examples are taken </w:t>
      </w:r>
      <w:r w:rsidR="00D545E2" w:rsidRPr="0000563D">
        <w:t>from the Commission’s online conciliation register.</w:t>
      </w:r>
    </w:p>
    <w:p w14:paraId="1E16CD0F" w14:textId="250EFF29" w:rsidR="006B0867" w:rsidRPr="002D4943" w:rsidRDefault="009952DD" w:rsidP="00E66370">
      <w:pPr>
        <w:pStyle w:val="Heading1"/>
        <w:rPr>
          <w:rFonts w:ascii="Open Sans" w:hAnsi="Open Sans" w:cs="Open Sans"/>
        </w:rPr>
      </w:pPr>
      <w:bookmarkStart w:id="4" w:name="_Toc214961110"/>
      <w:r w:rsidRPr="002D4943">
        <w:rPr>
          <w:rFonts w:ascii="Open Sans" w:hAnsi="Open Sans" w:cs="Open Sans"/>
        </w:rPr>
        <w:lastRenderedPageBreak/>
        <w:t>Human Rights Framework</w:t>
      </w:r>
      <w:bookmarkEnd w:id="4"/>
    </w:p>
    <w:p w14:paraId="2930DBEF" w14:textId="77777777" w:rsidR="00B5045E" w:rsidRPr="0000563D" w:rsidRDefault="00DB1445" w:rsidP="001B1446">
      <w:pPr>
        <w:pStyle w:val="Sectionsummarybody"/>
        <w:rPr>
          <w:rFonts w:cs="Open Sans"/>
        </w:rPr>
      </w:pPr>
      <w:r w:rsidRPr="0000563D">
        <w:rPr>
          <w:rFonts w:cs="Open Sans"/>
        </w:rPr>
        <w:t>This section</w:t>
      </w:r>
      <w:r w:rsidR="00217B07" w:rsidRPr="0000563D">
        <w:rPr>
          <w:rFonts w:cs="Open Sans"/>
        </w:rPr>
        <w:t xml:space="preserve"> explains the key human rights protected in the Disability Discrimination Act: the</w:t>
      </w:r>
      <w:r w:rsidR="006C3FC8" w:rsidRPr="0000563D">
        <w:rPr>
          <w:rFonts w:cs="Open Sans"/>
        </w:rPr>
        <w:t xml:space="preserve"> right to equality and non-discrimination</w:t>
      </w:r>
      <w:r w:rsidR="008D5441" w:rsidRPr="0000563D">
        <w:rPr>
          <w:rFonts w:cs="Open Sans"/>
        </w:rPr>
        <w:t xml:space="preserve"> </w:t>
      </w:r>
      <w:r w:rsidR="00217B07" w:rsidRPr="0000563D">
        <w:rPr>
          <w:rFonts w:cs="Open Sans"/>
        </w:rPr>
        <w:t xml:space="preserve">and the right to </w:t>
      </w:r>
      <w:r w:rsidR="00837D70" w:rsidRPr="0000563D">
        <w:rPr>
          <w:rFonts w:cs="Open Sans"/>
        </w:rPr>
        <w:t>access justice on an equal basis with others.</w:t>
      </w:r>
      <w:r w:rsidR="0074585A" w:rsidRPr="0000563D">
        <w:rPr>
          <w:rFonts w:cs="Open Sans"/>
        </w:rPr>
        <w:t xml:space="preserve"> The CRPD standard for the protection of these rights is provided</w:t>
      </w:r>
      <w:r w:rsidR="006C3FC8" w:rsidRPr="0000563D">
        <w:rPr>
          <w:rFonts w:cs="Open Sans"/>
        </w:rPr>
        <w:t xml:space="preserve">. </w:t>
      </w:r>
    </w:p>
    <w:p w14:paraId="53828369" w14:textId="47948EA3" w:rsidR="00303187" w:rsidRPr="0000563D" w:rsidRDefault="001B1446" w:rsidP="001B1446">
      <w:pPr>
        <w:pStyle w:val="Sectionsummarybody"/>
        <w:rPr>
          <w:rFonts w:cs="Open Sans"/>
        </w:rPr>
      </w:pPr>
      <w:r w:rsidRPr="0000563D">
        <w:rPr>
          <w:rFonts w:cs="Open Sans"/>
        </w:rPr>
        <w:t>Recommendations are made to</w:t>
      </w:r>
      <w:r w:rsidR="00303187" w:rsidRPr="0000563D">
        <w:rPr>
          <w:rFonts w:cs="Open Sans"/>
        </w:rPr>
        <w:t>:</w:t>
      </w:r>
    </w:p>
    <w:p w14:paraId="347918A6" w14:textId="4ECD07B0" w:rsidR="008475AA" w:rsidRPr="0000563D" w:rsidRDefault="008475AA" w:rsidP="001B1446">
      <w:pPr>
        <w:pStyle w:val="Sectionsummarybody"/>
        <w:rPr>
          <w:rFonts w:cs="Open Sans"/>
        </w:rPr>
      </w:pPr>
      <w:r w:rsidRPr="0000563D">
        <w:rPr>
          <w:rFonts w:cs="Open Sans"/>
        </w:rPr>
        <w:t>-</w:t>
      </w:r>
      <w:r w:rsidR="005342BC" w:rsidRPr="0000563D">
        <w:rPr>
          <w:rFonts w:cs="Open Sans"/>
        </w:rPr>
        <w:t xml:space="preserve"> introduce</w:t>
      </w:r>
      <w:r w:rsidR="0088422F" w:rsidRPr="0000563D">
        <w:rPr>
          <w:rFonts w:cs="Open Sans"/>
        </w:rPr>
        <w:t xml:space="preserve"> interpretative clauses</w:t>
      </w:r>
      <w:r w:rsidR="001B1446" w:rsidRPr="0000563D">
        <w:rPr>
          <w:rFonts w:cs="Open Sans"/>
        </w:rPr>
        <w:t xml:space="preserve"> in the Disability Discrimination Act</w:t>
      </w:r>
      <w:r w:rsidR="0088422F" w:rsidRPr="0000563D">
        <w:rPr>
          <w:rFonts w:cs="Open Sans"/>
        </w:rPr>
        <w:t xml:space="preserve"> to </w:t>
      </w:r>
      <w:r w:rsidR="00303187" w:rsidRPr="0000563D">
        <w:rPr>
          <w:rFonts w:cs="Open Sans"/>
        </w:rPr>
        <w:t>ensure interpretation in line with the jurisprudence under the CRPD</w:t>
      </w:r>
      <w:r w:rsidR="004D0CD7" w:rsidRPr="0000563D">
        <w:rPr>
          <w:rFonts w:cs="Open Sans"/>
        </w:rPr>
        <w:t>.</w:t>
      </w:r>
      <w:r w:rsidR="001B1446" w:rsidRPr="0000563D">
        <w:rPr>
          <w:rFonts w:cs="Open Sans"/>
        </w:rPr>
        <w:t xml:space="preserve"> </w:t>
      </w:r>
    </w:p>
    <w:p w14:paraId="09355EAA" w14:textId="69ABA21F" w:rsidR="001B1446" w:rsidRPr="0000563D" w:rsidRDefault="008475AA" w:rsidP="001B1446">
      <w:pPr>
        <w:pStyle w:val="Sectionsummarybody"/>
        <w:rPr>
          <w:rFonts w:cs="Open Sans"/>
        </w:rPr>
      </w:pPr>
      <w:r w:rsidRPr="0000563D">
        <w:rPr>
          <w:rFonts w:cs="Open Sans"/>
        </w:rPr>
        <w:t xml:space="preserve">- designate the </w:t>
      </w:r>
      <w:r w:rsidR="001B1446" w:rsidRPr="0000563D">
        <w:rPr>
          <w:rFonts w:cs="Open Sans"/>
        </w:rPr>
        <w:t xml:space="preserve">Australian Human Rights Commission as Independent Monitoring Mechanism under Article 33(2) of the CRPD. </w:t>
      </w:r>
    </w:p>
    <w:p w14:paraId="122D3F90" w14:textId="21DF9A74" w:rsidR="00AD5CBC" w:rsidRPr="0000563D" w:rsidRDefault="00077447" w:rsidP="000217C7">
      <w:pPr>
        <w:pStyle w:val="Sectionsummarybody"/>
        <w:rPr>
          <w:rFonts w:cs="Open Sans"/>
        </w:rPr>
      </w:pPr>
      <w:r w:rsidRPr="0000563D">
        <w:rPr>
          <w:rFonts w:cs="Open Sans"/>
        </w:rPr>
        <w:t>Australia needs a</w:t>
      </w:r>
      <w:r w:rsidR="00762575" w:rsidRPr="0000563D">
        <w:rPr>
          <w:rFonts w:cs="Open Sans"/>
        </w:rPr>
        <w:t xml:space="preserve"> revitalised National Human Rights Framework</w:t>
      </w:r>
      <w:r w:rsidR="008D5441" w:rsidRPr="0000563D">
        <w:rPr>
          <w:rFonts w:cs="Open Sans"/>
        </w:rPr>
        <w:t xml:space="preserve"> to better protect the rights of people in Australia</w:t>
      </w:r>
      <w:r w:rsidR="00DE7829" w:rsidRPr="0000563D">
        <w:rPr>
          <w:rFonts w:cs="Open Sans"/>
        </w:rPr>
        <w:t xml:space="preserve"> and deliver on its</w:t>
      </w:r>
      <w:r w:rsidRPr="0000563D">
        <w:rPr>
          <w:rFonts w:cs="Open Sans"/>
        </w:rPr>
        <w:t xml:space="preserve"> international human rights obligations</w:t>
      </w:r>
      <w:r w:rsidR="008D5441" w:rsidRPr="0000563D">
        <w:rPr>
          <w:rFonts w:cs="Open Sans"/>
        </w:rPr>
        <w:t>. The Framework should</w:t>
      </w:r>
      <w:r w:rsidR="00762575" w:rsidRPr="0000563D">
        <w:rPr>
          <w:rFonts w:cs="Open Sans"/>
        </w:rPr>
        <w:t xml:space="preserve"> comprise of a federal </w:t>
      </w:r>
      <w:r w:rsidR="7C6F03DF" w:rsidRPr="0000563D">
        <w:rPr>
          <w:rFonts w:cs="Open Sans"/>
        </w:rPr>
        <w:t>H</w:t>
      </w:r>
      <w:r w:rsidR="00762575" w:rsidRPr="0000563D">
        <w:rPr>
          <w:rFonts w:cs="Open Sans"/>
        </w:rPr>
        <w:t xml:space="preserve">uman </w:t>
      </w:r>
      <w:r w:rsidR="663A62C8" w:rsidRPr="0000563D">
        <w:rPr>
          <w:rFonts w:cs="Open Sans"/>
        </w:rPr>
        <w:t>R</w:t>
      </w:r>
      <w:r w:rsidR="00762575" w:rsidRPr="0000563D">
        <w:rPr>
          <w:rFonts w:cs="Open Sans"/>
        </w:rPr>
        <w:t xml:space="preserve">ights </w:t>
      </w:r>
      <w:r w:rsidR="319F23FA" w:rsidRPr="0000563D">
        <w:rPr>
          <w:rFonts w:cs="Open Sans"/>
        </w:rPr>
        <w:t>A</w:t>
      </w:r>
      <w:r w:rsidR="00762575" w:rsidRPr="0000563D">
        <w:rPr>
          <w:rFonts w:cs="Open Sans"/>
        </w:rPr>
        <w:t>ct,</w:t>
      </w:r>
      <w:r w:rsidR="008D5441" w:rsidRPr="0000563D">
        <w:rPr>
          <w:rFonts w:cs="Open Sans"/>
        </w:rPr>
        <w:t xml:space="preserve"> as well as</w:t>
      </w:r>
      <w:r w:rsidR="00762575" w:rsidRPr="0000563D">
        <w:rPr>
          <w:rFonts w:cs="Open Sans"/>
        </w:rPr>
        <w:t xml:space="preserve"> modernised and harmonised</w:t>
      </w:r>
      <w:r w:rsidR="009326FC" w:rsidRPr="0000563D">
        <w:rPr>
          <w:rFonts w:cs="Open Sans"/>
        </w:rPr>
        <w:t xml:space="preserve"> protections across all 4</w:t>
      </w:r>
      <w:r w:rsidR="00762575" w:rsidRPr="0000563D">
        <w:rPr>
          <w:rFonts w:cs="Open Sans"/>
        </w:rPr>
        <w:t xml:space="preserve"> federal discrimination law</w:t>
      </w:r>
      <w:r w:rsidR="009326FC" w:rsidRPr="0000563D">
        <w:rPr>
          <w:rFonts w:cs="Open Sans"/>
        </w:rPr>
        <w:t>s</w:t>
      </w:r>
      <w:r w:rsidR="00762575" w:rsidRPr="0000563D">
        <w:rPr>
          <w:rFonts w:cs="Open Sans"/>
        </w:rPr>
        <w:t xml:space="preserve">. </w:t>
      </w:r>
    </w:p>
    <w:p w14:paraId="490505C1" w14:textId="796B3101" w:rsidR="004D0CD7" w:rsidRPr="0000563D" w:rsidRDefault="004C38FD" w:rsidP="000217C7">
      <w:pPr>
        <w:pStyle w:val="Sectionsummarybody"/>
        <w:rPr>
          <w:rFonts w:cs="Open Sans"/>
        </w:rPr>
      </w:pPr>
      <w:r w:rsidRPr="0000563D">
        <w:rPr>
          <w:rFonts w:cs="Open Sans"/>
        </w:rPr>
        <w:t>C</w:t>
      </w:r>
      <w:r w:rsidR="0085102C" w:rsidRPr="0000563D">
        <w:rPr>
          <w:rFonts w:cs="Open Sans"/>
        </w:rPr>
        <w:t xml:space="preserve">hanges could be made to </w:t>
      </w:r>
      <w:r w:rsidR="00CE0169" w:rsidRPr="0000563D">
        <w:rPr>
          <w:rFonts w:cs="Open Sans"/>
        </w:rPr>
        <w:t>reduce complexity and costs of</w:t>
      </w:r>
      <w:r w:rsidR="0085102C" w:rsidRPr="0000563D">
        <w:rPr>
          <w:rFonts w:cs="Open Sans"/>
        </w:rPr>
        <w:t xml:space="preserve"> </w:t>
      </w:r>
      <w:r w:rsidR="00170C1B" w:rsidRPr="0000563D">
        <w:rPr>
          <w:rFonts w:cs="Open Sans"/>
        </w:rPr>
        <w:t xml:space="preserve">complaints of intersectional </w:t>
      </w:r>
      <w:r w:rsidR="00CE0169" w:rsidRPr="0000563D">
        <w:rPr>
          <w:rFonts w:cs="Open Sans"/>
        </w:rPr>
        <w:t>discrimination (on multiple grounds)</w:t>
      </w:r>
      <w:r w:rsidR="001E3371" w:rsidRPr="0000563D">
        <w:rPr>
          <w:rFonts w:cs="Open Sans"/>
        </w:rPr>
        <w:t xml:space="preserve">, </w:t>
      </w:r>
      <w:r w:rsidR="007F7496" w:rsidRPr="0000563D">
        <w:rPr>
          <w:rFonts w:cs="Open Sans"/>
        </w:rPr>
        <w:t xml:space="preserve">and around the requirement to notify </w:t>
      </w:r>
      <w:r w:rsidR="00B152E4" w:rsidRPr="0000563D">
        <w:rPr>
          <w:rFonts w:cs="Open Sans"/>
        </w:rPr>
        <w:t>about adverse allegations.</w:t>
      </w:r>
    </w:p>
    <w:p w14:paraId="31EC3C55" w14:textId="221F8E2F" w:rsidR="00CD076B" w:rsidRPr="002D4943" w:rsidRDefault="00CD076B" w:rsidP="00CD076B">
      <w:pPr>
        <w:pStyle w:val="Heading2"/>
        <w:rPr>
          <w:rFonts w:ascii="Open Sans" w:hAnsi="Open Sans" w:cs="Open Sans"/>
        </w:rPr>
      </w:pPr>
      <w:bookmarkStart w:id="5" w:name="_Toc214961111"/>
      <w:r w:rsidRPr="002D4943">
        <w:rPr>
          <w:rFonts w:ascii="Open Sans" w:hAnsi="Open Sans" w:cs="Open Sans"/>
        </w:rPr>
        <w:t xml:space="preserve">The </w:t>
      </w:r>
      <w:r w:rsidR="00790427">
        <w:rPr>
          <w:rFonts w:ascii="Open Sans" w:hAnsi="Open Sans" w:cs="Open Sans"/>
        </w:rPr>
        <w:t>UN</w:t>
      </w:r>
      <w:r w:rsidRPr="002D4943">
        <w:rPr>
          <w:rFonts w:ascii="Open Sans" w:hAnsi="Open Sans" w:cs="Open Sans"/>
        </w:rPr>
        <w:t xml:space="preserve"> </w:t>
      </w:r>
      <w:r w:rsidRPr="002D4943">
        <w:rPr>
          <w:rFonts w:ascii="Open Sans" w:hAnsi="Open Sans" w:cs="Open Sans"/>
          <w:i/>
        </w:rPr>
        <w:t xml:space="preserve">Convention on the Rights of Persons with Disabilities </w:t>
      </w:r>
      <w:r w:rsidR="009B74E7" w:rsidRPr="002D4943">
        <w:rPr>
          <w:rFonts w:ascii="Open Sans" w:hAnsi="Open Sans" w:cs="Open Sans"/>
        </w:rPr>
        <w:t>(CRPD)</w:t>
      </w:r>
      <w:bookmarkEnd w:id="5"/>
      <w:r w:rsidR="009B74E7" w:rsidRPr="002D4943">
        <w:rPr>
          <w:rFonts w:ascii="Open Sans" w:hAnsi="Open Sans" w:cs="Open Sans"/>
        </w:rPr>
        <w:t xml:space="preserve"> </w:t>
      </w:r>
    </w:p>
    <w:p w14:paraId="1D763A63" w14:textId="49CBFE85" w:rsidR="00EB459B" w:rsidRPr="0000563D" w:rsidRDefault="00387E3F" w:rsidP="008911EA">
      <w:r w:rsidRPr="0000563D">
        <w:t xml:space="preserve">This section explains the </w:t>
      </w:r>
      <w:r w:rsidR="0042226F" w:rsidRPr="0000563D">
        <w:t xml:space="preserve">CRPD standards and framework for the protection of rights of people with disability, </w:t>
      </w:r>
      <w:r w:rsidR="00BD6348" w:rsidRPr="0000563D">
        <w:t xml:space="preserve">to frame the </w:t>
      </w:r>
      <w:r w:rsidR="000153D1" w:rsidRPr="0000563D">
        <w:t xml:space="preserve">whole of this submission. </w:t>
      </w:r>
      <w:r w:rsidR="00E55358" w:rsidRPr="0000563D">
        <w:t xml:space="preserve">Australia ratified the CRPD in 2008 and therefore has obligations to translate </w:t>
      </w:r>
      <w:r w:rsidR="00FD12A6" w:rsidRPr="0000563D">
        <w:t>obligations into its domestic laws</w:t>
      </w:r>
      <w:r w:rsidR="00C0243D" w:rsidRPr="0000563D">
        <w:t xml:space="preserve"> and policies.</w:t>
      </w:r>
      <w:r w:rsidR="00E55358" w:rsidRPr="0000563D">
        <w:t xml:space="preserve"> </w:t>
      </w:r>
    </w:p>
    <w:p w14:paraId="6A9E4107" w14:textId="599753C9" w:rsidR="00D30267" w:rsidRPr="0000563D" w:rsidRDefault="00CD076B" w:rsidP="008911EA">
      <w:r w:rsidRPr="0000563D">
        <w:t>The CRPD is the international human rights law that sets out the fundamental human rights as they apply to people with disability, including civil, political, economic, social and cultural rights.</w:t>
      </w:r>
      <w:r w:rsidRPr="0000563D">
        <w:rPr>
          <w:rStyle w:val="EndnoteReference"/>
        </w:rPr>
        <w:endnoteReference w:id="8"/>
      </w:r>
      <w:r w:rsidRPr="0000563D">
        <w:t xml:space="preserve"> </w:t>
      </w:r>
      <w:r w:rsidR="003A2490" w:rsidRPr="0000563D">
        <w:t xml:space="preserve">It was developed to provide specific guidance on measures that need to be addressed </w:t>
      </w:r>
      <w:proofErr w:type="gramStart"/>
      <w:r w:rsidR="003A2490" w:rsidRPr="0000563D">
        <w:t>in order to</w:t>
      </w:r>
      <w:proofErr w:type="gramEnd"/>
      <w:r w:rsidR="003A2490" w:rsidRPr="0000563D">
        <w:t xml:space="preserve"> achieve equality for persons with disability</w:t>
      </w:r>
      <w:r w:rsidR="003520F9" w:rsidRPr="0000563D">
        <w:t>.</w:t>
      </w:r>
      <w:r w:rsidR="00D21F39" w:rsidRPr="0000563D">
        <w:t xml:space="preserve"> </w:t>
      </w:r>
      <w:r w:rsidR="00D30267" w:rsidRPr="0000563D">
        <w:t>One of the aims of the CRPD is to eliminate ableism in society</w:t>
      </w:r>
      <w:r w:rsidR="055A0281" w:rsidRPr="0000563D">
        <w:t>.</w:t>
      </w:r>
      <w:r w:rsidR="00D30267" w:rsidRPr="0000563D">
        <w:t xml:space="preserve"> Ableism, like racism and sexism, results in inequality and discrimination. It views disability as a deficit within the individual who needs to be treated or fixed, to be cared for, and is a burden on society. </w:t>
      </w:r>
    </w:p>
    <w:p w14:paraId="5BBC76D2" w14:textId="2617743A" w:rsidR="00151857" w:rsidRPr="0000563D" w:rsidRDefault="00CD076B" w:rsidP="008911EA">
      <w:r w:rsidRPr="0000563D">
        <w:t xml:space="preserve">The CRPD </w:t>
      </w:r>
      <w:r w:rsidR="002E169D" w:rsidRPr="0000563D">
        <w:t xml:space="preserve">is a </w:t>
      </w:r>
      <w:r w:rsidR="007D6BA1" w:rsidRPr="0000563D">
        <w:t>significant legal and policy</w:t>
      </w:r>
      <w:r w:rsidRPr="0000563D">
        <w:t xml:space="preserve"> shift </w:t>
      </w:r>
      <w:r w:rsidR="00BA1F78" w:rsidRPr="0000563D">
        <w:t xml:space="preserve">that </w:t>
      </w:r>
      <w:r w:rsidRPr="0000563D">
        <w:t>recognise</w:t>
      </w:r>
      <w:r w:rsidR="00BA1F78" w:rsidRPr="0000563D">
        <w:t>s</w:t>
      </w:r>
      <w:r w:rsidRPr="0000563D">
        <w:t xml:space="preserve"> people with disabilit</w:t>
      </w:r>
      <w:r w:rsidR="00035FB3" w:rsidRPr="0000563D">
        <w:t>y</w:t>
      </w:r>
      <w:r w:rsidRPr="0000563D">
        <w:t xml:space="preserve"> as </w:t>
      </w:r>
      <w:r w:rsidR="003F38E5" w:rsidRPr="0000563D">
        <w:t xml:space="preserve">rights holders and </w:t>
      </w:r>
      <w:r w:rsidRPr="0000563D">
        <w:t xml:space="preserve">persons before the law with the right to make choices for themselves and to be active members of society. </w:t>
      </w:r>
      <w:r w:rsidR="00B937A2" w:rsidRPr="0000563D">
        <w:t>This is</w:t>
      </w:r>
      <w:r w:rsidR="00710F35" w:rsidRPr="0000563D">
        <w:t>,</w:t>
      </w:r>
      <w:r w:rsidR="00B937A2" w:rsidRPr="0000563D">
        <w:t xml:space="preserve"> </w:t>
      </w:r>
      <w:r w:rsidR="009807BB" w:rsidRPr="0000563D">
        <w:t>in part</w:t>
      </w:r>
      <w:r w:rsidR="00710F35" w:rsidRPr="0000563D">
        <w:t>,</w:t>
      </w:r>
      <w:r w:rsidR="009807BB" w:rsidRPr="0000563D">
        <w:t xml:space="preserve"> reflected</w:t>
      </w:r>
      <w:r w:rsidR="00FF2ED1" w:rsidRPr="0000563D">
        <w:t xml:space="preserve"> </w:t>
      </w:r>
      <w:r w:rsidR="00A23A9B" w:rsidRPr="0000563D">
        <w:t xml:space="preserve">in the general obligation under CRPD Article 4.3 </w:t>
      </w:r>
      <w:r w:rsidR="00A37A35" w:rsidRPr="0000563D">
        <w:t>for States Partie</w:t>
      </w:r>
      <w:r w:rsidR="00654744" w:rsidRPr="0000563D">
        <w:t xml:space="preserve">s to </w:t>
      </w:r>
      <w:r w:rsidR="00100E7A" w:rsidRPr="0000563D">
        <w:lastRenderedPageBreak/>
        <w:t xml:space="preserve">closely </w:t>
      </w:r>
      <w:r w:rsidR="00654744" w:rsidRPr="0000563D">
        <w:t>consult</w:t>
      </w:r>
      <w:r w:rsidR="00100E7A" w:rsidRPr="0000563D">
        <w:t xml:space="preserve"> with and actively involve</w:t>
      </w:r>
      <w:r w:rsidR="00C56080" w:rsidRPr="0000563D">
        <w:t xml:space="preserve"> </w:t>
      </w:r>
      <w:r w:rsidR="00C56BB4" w:rsidRPr="0000563D">
        <w:t>people</w:t>
      </w:r>
      <w:r w:rsidR="00C56080" w:rsidRPr="0000563D">
        <w:t xml:space="preserve"> with disabilit</w:t>
      </w:r>
      <w:r w:rsidR="00C56BB4" w:rsidRPr="0000563D">
        <w:t>y and their representative organisations</w:t>
      </w:r>
      <w:r w:rsidR="00C85007" w:rsidRPr="0000563D">
        <w:t xml:space="preserve"> </w:t>
      </w:r>
      <w:r w:rsidR="00100E7A" w:rsidRPr="0000563D">
        <w:t>i</w:t>
      </w:r>
      <w:r w:rsidR="00C85007" w:rsidRPr="0000563D">
        <w:t>n decision-making processes that concern</w:t>
      </w:r>
      <w:r w:rsidR="00803839" w:rsidRPr="0000563D">
        <w:t xml:space="preserve"> them.</w:t>
      </w:r>
      <w:r w:rsidR="009807BB" w:rsidRPr="0000563D">
        <w:t xml:space="preserve"> </w:t>
      </w:r>
    </w:p>
    <w:p w14:paraId="596A2126" w14:textId="28C15C96" w:rsidR="002A14F8" w:rsidRPr="0000563D" w:rsidRDefault="00CD076B" w:rsidP="008911EA">
      <w:r w:rsidRPr="0000563D">
        <w:t>The CRPD</w:t>
      </w:r>
      <w:r w:rsidR="00DF0EEE" w:rsidRPr="0000563D">
        <w:t xml:space="preserve"> </w:t>
      </w:r>
      <w:r w:rsidRPr="0000563D">
        <w:t>recognises that impairment is a natural aspect of human diversity</w:t>
      </w:r>
      <w:r w:rsidR="00AD17BD" w:rsidRPr="0000563D">
        <w:t xml:space="preserve"> and that disability results from the interaction between people with impairments and barriers that prevent participation and inclusion in society on an equal basis with others.</w:t>
      </w:r>
      <w:r w:rsidR="00D420A3" w:rsidRPr="0000563D">
        <w:rPr>
          <w:rStyle w:val="EndnoteReference"/>
        </w:rPr>
        <w:endnoteReference w:id="9"/>
      </w:r>
      <w:r w:rsidR="00FF2ED1" w:rsidRPr="0000563D">
        <w:t xml:space="preserve"> </w:t>
      </w:r>
    </w:p>
    <w:p w14:paraId="7BEE5342" w14:textId="2B39344E" w:rsidR="00E83EDA" w:rsidRPr="0000563D" w:rsidRDefault="00E83EDA" w:rsidP="00E83EDA">
      <w:pPr>
        <w:pStyle w:val="Heading3"/>
        <w:rPr>
          <w:rFonts w:cs="Open Sans"/>
        </w:rPr>
      </w:pPr>
      <w:r w:rsidRPr="0000563D">
        <w:rPr>
          <w:rFonts w:cs="Open Sans"/>
        </w:rPr>
        <w:t>Equality and non-discrimination</w:t>
      </w:r>
    </w:p>
    <w:p w14:paraId="1A1D73B3" w14:textId="6CFA439E" w:rsidR="00800D5F" w:rsidRPr="0000563D" w:rsidRDefault="00800D5F" w:rsidP="008911EA">
      <w:r w:rsidRPr="0000563D">
        <w:t>Equality before the law and non-discrimination are foundational human rights principles. They are both a general principle and standalone human right.</w:t>
      </w:r>
      <w:r w:rsidRPr="0000563D">
        <w:rPr>
          <w:rStyle w:val="EndnoteReference"/>
        </w:rPr>
        <w:endnoteReference w:id="10"/>
      </w:r>
      <w:r w:rsidRPr="0000563D">
        <w:t xml:space="preserve"> The right to non-discrimination is contained in Article 7 of the </w:t>
      </w:r>
      <w:r w:rsidRPr="0000563D">
        <w:rPr>
          <w:i/>
          <w:iCs/>
        </w:rPr>
        <w:t>Universal Declaration of Human Rights</w:t>
      </w:r>
      <w:r w:rsidRPr="0000563D">
        <w:t xml:space="preserve"> (UDHR) and set out as a binding obligation in all </w:t>
      </w:r>
      <w:proofErr w:type="gramStart"/>
      <w:r w:rsidRPr="0000563D">
        <w:t>core</w:t>
      </w:r>
      <w:proofErr w:type="gramEnd"/>
      <w:r w:rsidRPr="0000563D">
        <w:t xml:space="preserve"> international treaties.</w:t>
      </w:r>
      <w:r w:rsidRPr="0000563D">
        <w:rPr>
          <w:rStyle w:val="EndnoteReference"/>
        </w:rPr>
        <w:endnoteReference w:id="11"/>
      </w:r>
    </w:p>
    <w:p w14:paraId="7537500F" w14:textId="2A1F56F2" w:rsidR="00CD076B" w:rsidRPr="0000563D" w:rsidRDefault="00CD076B" w:rsidP="008911EA">
      <w:r w:rsidRPr="0000563D">
        <w:t xml:space="preserve">Article 5 of the CRPD </w:t>
      </w:r>
      <w:r w:rsidR="00F57CC6" w:rsidRPr="0000563D">
        <w:t>protects</w:t>
      </w:r>
      <w:r w:rsidRPr="0000563D">
        <w:t xml:space="preserve"> the right to equality and non-discrimination, recognising that: </w:t>
      </w:r>
    </w:p>
    <w:p w14:paraId="66074F46" w14:textId="619E12A4" w:rsidR="00CD076B" w:rsidRPr="0000563D" w:rsidRDefault="00CD076B" w:rsidP="000A5DE2">
      <w:pPr>
        <w:pStyle w:val="ListBullet"/>
        <w:rPr>
          <w:rFonts w:cs="Open Sans"/>
        </w:rPr>
      </w:pPr>
      <w:r w:rsidRPr="0000563D">
        <w:rPr>
          <w:rFonts w:cs="Open Sans"/>
        </w:rPr>
        <w:t>All people are equal before and under the law and are entitled without any discrimination to the equal protection and equal benefit of the law.</w:t>
      </w:r>
      <w:r w:rsidR="00484458" w:rsidRPr="0000563D">
        <w:rPr>
          <w:rStyle w:val="EndnoteReference"/>
          <w:rFonts w:cs="Open Sans"/>
        </w:rPr>
        <w:endnoteReference w:id="12"/>
      </w:r>
    </w:p>
    <w:p w14:paraId="41792C23" w14:textId="77777777" w:rsidR="00CD076B" w:rsidRPr="0000563D" w:rsidRDefault="00CD076B" w:rsidP="000A5DE2">
      <w:pPr>
        <w:pStyle w:val="ListBullet"/>
        <w:rPr>
          <w:rFonts w:cs="Open Sans"/>
        </w:rPr>
      </w:pPr>
      <w:r w:rsidRPr="0000563D">
        <w:rPr>
          <w:rFonts w:cs="Open Sans"/>
        </w:rPr>
        <w:t xml:space="preserve">States Parties shall prohibit all discrimination </w:t>
      </w:r>
      <w:proofErr w:type="gramStart"/>
      <w:r w:rsidRPr="0000563D">
        <w:rPr>
          <w:rFonts w:cs="Open Sans"/>
        </w:rPr>
        <w:t>on the basis of</w:t>
      </w:r>
      <w:proofErr w:type="gramEnd"/>
      <w:r w:rsidRPr="0000563D">
        <w:rPr>
          <w:rFonts w:cs="Open Sans"/>
        </w:rPr>
        <w:t xml:space="preserve"> disability and guarantee to persons with disabilities equal and effective legal protection against discrimination on all grounds.</w:t>
      </w:r>
      <w:r w:rsidRPr="0000563D">
        <w:rPr>
          <w:rStyle w:val="EndnoteReference"/>
          <w:rFonts w:cs="Open Sans"/>
        </w:rPr>
        <w:endnoteReference w:id="13"/>
      </w:r>
    </w:p>
    <w:p w14:paraId="56F8DDC8" w14:textId="6CD297E7" w:rsidR="001F1DA1" w:rsidRPr="0000563D" w:rsidRDefault="005B7432" w:rsidP="00FF4C74">
      <w:r w:rsidRPr="0000563D">
        <w:t>The CRPD defines discrimination as ‘any distinction, exclusion or restriction on the basis of disability’ with the effect of impairing the enjoyment or exercise of human rights.</w:t>
      </w:r>
      <w:r w:rsidRPr="0000563D">
        <w:rPr>
          <w:rStyle w:val="EndnoteReference"/>
        </w:rPr>
        <w:endnoteReference w:id="14"/>
      </w:r>
      <w:r w:rsidRPr="0000563D">
        <w:t xml:space="preserve"> </w:t>
      </w:r>
      <w:r w:rsidR="005D718C" w:rsidRPr="0000563D">
        <w:t>The United Nations Committee on the Rights of Persons with Disabilities (CRPD Committee)</w:t>
      </w:r>
      <w:r w:rsidR="0062079B" w:rsidRPr="0000563D">
        <w:t xml:space="preserve"> </w:t>
      </w:r>
      <w:r w:rsidR="00D65012" w:rsidRPr="0000563D">
        <w:t>identifies</w:t>
      </w:r>
      <w:r w:rsidR="000E3F18" w:rsidRPr="0000563D">
        <w:t xml:space="preserve"> 4 main </w:t>
      </w:r>
      <w:r w:rsidR="001F1DA1" w:rsidRPr="0000563D">
        <w:t>forms of discrimination</w:t>
      </w:r>
      <w:r w:rsidR="00CD4C3E" w:rsidRPr="0000563D">
        <w:t xml:space="preserve"> that are protected in the CRPD</w:t>
      </w:r>
      <w:r w:rsidR="001F1DA1" w:rsidRPr="0000563D">
        <w:t xml:space="preserve">: </w:t>
      </w:r>
      <w:r w:rsidR="009367E6" w:rsidRPr="0000563D">
        <w:t xml:space="preserve">direct </w:t>
      </w:r>
      <w:r w:rsidR="00B84752" w:rsidRPr="0000563D">
        <w:t>discrimination, indirect discrimination, the denial of reasonable accommodation, and harassment</w:t>
      </w:r>
      <w:r w:rsidR="00FA21DE" w:rsidRPr="0000563D">
        <w:t xml:space="preserve">. </w:t>
      </w:r>
    </w:p>
    <w:p w14:paraId="574C9C9E" w14:textId="74C540A2" w:rsidR="00250542" w:rsidRPr="0000563D" w:rsidRDefault="00E60CD2" w:rsidP="008911EA">
      <w:r w:rsidRPr="0000563D">
        <w:t xml:space="preserve">Two </w:t>
      </w:r>
      <w:r w:rsidR="00D706B7" w:rsidRPr="0000563D">
        <w:t xml:space="preserve">obligations </w:t>
      </w:r>
      <w:r w:rsidRPr="0000563D">
        <w:t>are c</w:t>
      </w:r>
      <w:r w:rsidR="00CD076B" w:rsidRPr="0000563D">
        <w:t xml:space="preserve">entral to the </w:t>
      </w:r>
      <w:r w:rsidR="00D827EB" w:rsidRPr="0000563D">
        <w:t>realisation</w:t>
      </w:r>
      <w:r w:rsidR="00CD076B" w:rsidRPr="0000563D">
        <w:t xml:space="preserve"> of equality and non-discrimination</w:t>
      </w:r>
      <w:r w:rsidR="00D827EB" w:rsidRPr="0000563D">
        <w:t xml:space="preserve"> for people with disability</w:t>
      </w:r>
      <w:r w:rsidRPr="0000563D">
        <w:t xml:space="preserve">: </w:t>
      </w:r>
    </w:p>
    <w:p w14:paraId="3C68D6A4" w14:textId="12B8F632" w:rsidR="00250542" w:rsidRPr="0000563D" w:rsidRDefault="00C40846" w:rsidP="000A5DE2">
      <w:pPr>
        <w:pStyle w:val="ListBullet"/>
        <w:rPr>
          <w:rFonts w:cs="Open Sans"/>
        </w:rPr>
      </w:pPr>
      <w:r w:rsidRPr="0000563D">
        <w:rPr>
          <w:rFonts w:cs="Open Sans"/>
        </w:rPr>
        <w:t xml:space="preserve">the general obligation of </w:t>
      </w:r>
      <w:r w:rsidR="00E60CD2" w:rsidRPr="0000563D">
        <w:rPr>
          <w:rFonts w:cs="Open Sans"/>
        </w:rPr>
        <w:t>accessibility</w:t>
      </w:r>
      <w:r w:rsidR="007C4E34" w:rsidRPr="0000563D">
        <w:rPr>
          <w:rFonts w:cs="Open Sans"/>
        </w:rPr>
        <w:t>,</w:t>
      </w:r>
      <w:r w:rsidR="00E60CD2" w:rsidRPr="0000563D">
        <w:rPr>
          <w:rFonts w:cs="Open Sans"/>
        </w:rPr>
        <w:t xml:space="preserve"> and </w:t>
      </w:r>
    </w:p>
    <w:p w14:paraId="75B6FAD9" w14:textId="023167D4" w:rsidR="00E60CD2" w:rsidRPr="0000563D" w:rsidRDefault="00E60CD2" w:rsidP="000A5DE2">
      <w:pPr>
        <w:pStyle w:val="ListBullet"/>
        <w:rPr>
          <w:rFonts w:cs="Open Sans"/>
        </w:rPr>
      </w:pPr>
      <w:r w:rsidRPr="0000563D">
        <w:rPr>
          <w:rFonts w:cs="Open Sans"/>
        </w:rPr>
        <w:t xml:space="preserve">the </w:t>
      </w:r>
      <w:r w:rsidR="00C40846" w:rsidRPr="0000563D">
        <w:rPr>
          <w:rFonts w:cs="Open Sans"/>
        </w:rPr>
        <w:t xml:space="preserve">individual right to the </w:t>
      </w:r>
      <w:r w:rsidRPr="0000563D">
        <w:rPr>
          <w:rFonts w:cs="Open Sans"/>
        </w:rPr>
        <w:t xml:space="preserve">provision of reasonable accommodation. </w:t>
      </w:r>
    </w:p>
    <w:p w14:paraId="19BC43BD" w14:textId="2CEA296C" w:rsidR="00E60CD2" w:rsidRPr="0000563D" w:rsidRDefault="00070959" w:rsidP="008911EA">
      <w:r w:rsidRPr="0000563D">
        <w:t>A</w:t>
      </w:r>
      <w:r w:rsidR="00E60CD2" w:rsidRPr="0000563D">
        <w:t>ccessibility</w:t>
      </w:r>
      <w:r w:rsidR="00CB052F" w:rsidRPr="0000563D">
        <w:t xml:space="preserve"> is a </w:t>
      </w:r>
      <w:r w:rsidR="007740E1" w:rsidRPr="0000563D">
        <w:t xml:space="preserve">general </w:t>
      </w:r>
      <w:r w:rsidR="00CB052F" w:rsidRPr="0000563D">
        <w:t>principle</w:t>
      </w:r>
      <w:r w:rsidRPr="0000563D">
        <w:t xml:space="preserve"> of the CRPD, </w:t>
      </w:r>
      <w:r w:rsidR="00A63BF0" w:rsidRPr="0000563D">
        <w:t xml:space="preserve">and a State </w:t>
      </w:r>
      <w:r w:rsidR="00593283" w:rsidRPr="0000563D">
        <w:t xml:space="preserve">Party </w:t>
      </w:r>
      <w:r w:rsidR="00A63BF0" w:rsidRPr="0000563D">
        <w:t xml:space="preserve">obligation </w:t>
      </w:r>
      <w:r w:rsidRPr="0000563D">
        <w:t xml:space="preserve">which </w:t>
      </w:r>
      <w:r w:rsidR="00BE7748" w:rsidRPr="0000563D">
        <w:t xml:space="preserve">is </w:t>
      </w:r>
      <w:r w:rsidR="002B1E20" w:rsidRPr="0000563D">
        <w:t>outlined</w:t>
      </w:r>
      <w:r w:rsidR="00CB052F" w:rsidRPr="0000563D">
        <w:t xml:space="preserve"> in Article 9.</w:t>
      </w:r>
      <w:r w:rsidR="004461E5" w:rsidRPr="0000563D">
        <w:t xml:space="preserve"> </w:t>
      </w:r>
      <w:r w:rsidR="00AE72F3" w:rsidRPr="0000563D">
        <w:t xml:space="preserve">Article 9 introduces a </w:t>
      </w:r>
      <w:r w:rsidR="007D6163" w:rsidRPr="0000563D">
        <w:t>proactive, systemic duty</w:t>
      </w:r>
      <w:r w:rsidR="004461E5" w:rsidRPr="0000563D">
        <w:t xml:space="preserve"> </w:t>
      </w:r>
      <w:r w:rsidR="00D41A6D" w:rsidRPr="0000563D">
        <w:t>on State Parties to take appropriate measures to</w:t>
      </w:r>
      <w:r w:rsidR="000156E1" w:rsidRPr="0000563D">
        <w:t xml:space="preserve"> identify and</w:t>
      </w:r>
      <w:r w:rsidR="00F756A1" w:rsidRPr="0000563D">
        <w:t xml:space="preserve"> remove barriers to accessibility</w:t>
      </w:r>
      <w:r w:rsidR="000156E1" w:rsidRPr="0000563D">
        <w:t xml:space="preserve"> in environments, systems and services</w:t>
      </w:r>
      <w:r w:rsidR="00F756A1" w:rsidRPr="0000563D">
        <w:t xml:space="preserve">. </w:t>
      </w:r>
      <w:r w:rsidR="00A4281D" w:rsidRPr="0000563D">
        <w:t>This applies</w:t>
      </w:r>
      <w:r w:rsidR="00F756A1" w:rsidRPr="0000563D">
        <w:t xml:space="preserve"> to </w:t>
      </w:r>
      <w:r w:rsidR="06A45F3C" w:rsidRPr="0000563D">
        <w:t>the built environment</w:t>
      </w:r>
      <w:r w:rsidR="138F1FC7" w:rsidRPr="0000563D">
        <w:t xml:space="preserve">, transport, </w:t>
      </w:r>
      <w:r w:rsidR="06A45F3C" w:rsidRPr="0000563D">
        <w:t>ICT systems</w:t>
      </w:r>
      <w:r w:rsidR="4BCA9E62" w:rsidRPr="0000563D">
        <w:t xml:space="preserve"> and other facilities and services available and open to the public</w:t>
      </w:r>
      <w:r w:rsidR="00E559B0" w:rsidRPr="0000563D">
        <w:t>.</w:t>
      </w:r>
      <w:r w:rsidR="000632A8" w:rsidRPr="0000563D">
        <w:rPr>
          <w:rStyle w:val="EndnoteReference"/>
        </w:rPr>
        <w:endnoteReference w:id="15"/>
      </w:r>
      <w:r w:rsidR="004A719A" w:rsidRPr="0000563D">
        <w:t xml:space="preserve"> This requirement applies broadly</w:t>
      </w:r>
      <w:r w:rsidR="006C245C" w:rsidRPr="0000563D">
        <w:t xml:space="preserve">, without </w:t>
      </w:r>
      <w:r w:rsidR="00515E96" w:rsidRPr="0000563D">
        <w:t xml:space="preserve">having regard to the </w:t>
      </w:r>
      <w:proofErr w:type="gramStart"/>
      <w:r w:rsidR="00515E96" w:rsidRPr="0000563D">
        <w:t>particular needs</w:t>
      </w:r>
      <w:proofErr w:type="gramEnd"/>
      <w:r w:rsidR="00515E96" w:rsidRPr="0000563D">
        <w:t xml:space="preserve"> of any individual with disability.</w:t>
      </w:r>
      <w:r w:rsidR="00515E96" w:rsidRPr="0000563D">
        <w:rPr>
          <w:rStyle w:val="EndnoteReference"/>
        </w:rPr>
        <w:endnoteReference w:id="16"/>
      </w:r>
    </w:p>
    <w:p w14:paraId="609F1048" w14:textId="799D5C2C" w:rsidR="00CD076B" w:rsidRPr="0000563D" w:rsidRDefault="00441FB8" w:rsidP="008911EA">
      <w:r w:rsidRPr="0000563D">
        <w:lastRenderedPageBreak/>
        <w:t xml:space="preserve">The </w:t>
      </w:r>
      <w:r w:rsidR="00782CCF" w:rsidRPr="0000563D">
        <w:t xml:space="preserve">general obligation of </w:t>
      </w:r>
      <w:r w:rsidRPr="0000563D">
        <w:t xml:space="preserve">accessibility </w:t>
      </w:r>
      <w:r w:rsidR="008C2A15" w:rsidRPr="0000563D">
        <w:t xml:space="preserve">operates in parallel </w:t>
      </w:r>
      <w:r w:rsidR="009C43AD" w:rsidRPr="0000563D">
        <w:t xml:space="preserve">to </w:t>
      </w:r>
      <w:r w:rsidR="00CD076B" w:rsidRPr="0000563D">
        <w:t xml:space="preserve">the </w:t>
      </w:r>
      <w:r w:rsidR="00D827EB" w:rsidRPr="0000563D">
        <w:t>provision</w:t>
      </w:r>
      <w:r w:rsidR="00CD076B" w:rsidRPr="0000563D">
        <w:t xml:space="preserve"> of reasonable accommodation</w:t>
      </w:r>
      <w:r w:rsidR="00151857" w:rsidRPr="0000563D">
        <w:t>,</w:t>
      </w:r>
      <w:r w:rsidRPr="0000563D">
        <w:t xml:space="preserve"> which respond</w:t>
      </w:r>
      <w:r w:rsidR="00F13493" w:rsidRPr="0000563D">
        <w:t>s</w:t>
      </w:r>
      <w:r w:rsidRPr="0000563D">
        <w:t xml:space="preserve"> to individual barriers and requirements. Reasonable </w:t>
      </w:r>
      <w:r w:rsidR="00A937B3" w:rsidRPr="0000563D">
        <w:t>accommodation</w:t>
      </w:r>
      <w:r w:rsidRPr="0000563D">
        <w:t xml:space="preserve"> is</w:t>
      </w:r>
      <w:r w:rsidR="00151857" w:rsidRPr="0000563D">
        <w:t xml:space="preserve"> </w:t>
      </w:r>
      <w:r w:rsidR="00CD076B" w:rsidRPr="0000563D">
        <w:t>defined</w:t>
      </w:r>
      <w:r w:rsidR="004420A4" w:rsidRPr="0000563D">
        <w:t xml:space="preserve"> in the CRPD</w:t>
      </w:r>
      <w:r w:rsidR="00CD076B" w:rsidRPr="0000563D">
        <w:t xml:space="preserve"> as:</w:t>
      </w:r>
    </w:p>
    <w:p w14:paraId="514084A1" w14:textId="35A30892" w:rsidR="00CD076B" w:rsidRPr="0000563D" w:rsidRDefault="00CD076B" w:rsidP="006E7E5F">
      <w:pPr>
        <w:pStyle w:val="Quote"/>
      </w:pPr>
      <w:r w:rsidRPr="0000563D">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sidRPr="0000563D">
        <w:rPr>
          <w:rStyle w:val="EndnoteReference"/>
        </w:rPr>
        <w:endnoteReference w:id="17"/>
      </w:r>
    </w:p>
    <w:p w14:paraId="458E9AC1" w14:textId="307A5FC6" w:rsidR="00761CF7" w:rsidRPr="0000563D" w:rsidRDefault="00F611F1" w:rsidP="008911EA">
      <w:r w:rsidRPr="0000563D">
        <w:t xml:space="preserve">The </w:t>
      </w:r>
      <w:r w:rsidR="0054564B" w:rsidRPr="0000563D">
        <w:t>CRPD establishes a requirement for reasonable accommodation to be provided ‘</w:t>
      </w:r>
      <w:r w:rsidR="00783185" w:rsidRPr="0000563D">
        <w:t xml:space="preserve">from the moment that a person with a disability requires access to non-accessible situations or </w:t>
      </w:r>
      <w:proofErr w:type="gramStart"/>
      <w:r w:rsidR="00783185" w:rsidRPr="0000563D">
        <w:t>environments, or</w:t>
      </w:r>
      <w:proofErr w:type="gramEnd"/>
      <w:r w:rsidR="00783185" w:rsidRPr="0000563D">
        <w:t xml:space="preserve"> wants to exercise his or her rights</w:t>
      </w:r>
      <w:r w:rsidR="004D6027" w:rsidRPr="0000563D">
        <w:t>’</w:t>
      </w:r>
      <w:r w:rsidR="00783185" w:rsidRPr="0000563D">
        <w:t>.</w:t>
      </w:r>
      <w:r w:rsidR="00716518" w:rsidRPr="0000563D">
        <w:rPr>
          <w:rStyle w:val="EndnoteReference"/>
        </w:rPr>
        <w:endnoteReference w:id="18"/>
      </w:r>
      <w:r w:rsidR="007A2C5F" w:rsidRPr="0000563D">
        <w:t xml:space="preserve"> </w:t>
      </w:r>
      <w:r w:rsidR="006C21F3" w:rsidRPr="0000563D">
        <w:t>The accommodation is to be negotiated with the person who requires it</w:t>
      </w:r>
      <w:r w:rsidR="00945848" w:rsidRPr="0000563D">
        <w:t xml:space="preserve">. It </w:t>
      </w:r>
      <w:r w:rsidR="006C21F3" w:rsidRPr="0000563D">
        <w:t>act</w:t>
      </w:r>
      <w:r w:rsidR="00945848" w:rsidRPr="0000563D">
        <w:t>s</w:t>
      </w:r>
      <w:r w:rsidR="006C21F3" w:rsidRPr="0000563D">
        <w:t xml:space="preserve"> as an individualised and reactive duty</w:t>
      </w:r>
      <w:r w:rsidR="003C1B33" w:rsidRPr="0000563D">
        <w:t>, with the</w:t>
      </w:r>
      <w:r w:rsidR="006C21F3" w:rsidRPr="0000563D">
        <w:t xml:space="preserve"> aim </w:t>
      </w:r>
      <w:r w:rsidR="003C1B33" w:rsidRPr="0000563D">
        <w:t xml:space="preserve">of </w:t>
      </w:r>
      <w:r w:rsidR="006C21F3" w:rsidRPr="0000563D">
        <w:t>respect</w:t>
      </w:r>
      <w:r w:rsidR="003C1B33" w:rsidRPr="0000563D">
        <w:t>ing</w:t>
      </w:r>
      <w:r w:rsidR="006C21F3" w:rsidRPr="0000563D">
        <w:t xml:space="preserve"> and </w:t>
      </w:r>
      <w:r w:rsidR="003C1B33" w:rsidRPr="0000563D">
        <w:t xml:space="preserve">responding to </w:t>
      </w:r>
      <w:r w:rsidR="006C21F3" w:rsidRPr="0000563D">
        <w:t>difference by removing the detriment but not the difference itself.</w:t>
      </w:r>
      <w:r w:rsidR="00B805BF" w:rsidRPr="0000563D">
        <w:t xml:space="preserve"> </w:t>
      </w:r>
    </w:p>
    <w:p w14:paraId="4219E3B2" w14:textId="249515B5" w:rsidR="00DF7504" w:rsidRPr="0000563D" w:rsidRDefault="002623EA" w:rsidP="008911EA">
      <w:r w:rsidRPr="0000563D">
        <w:t>Obligations to provide a</w:t>
      </w:r>
      <w:r w:rsidR="000A4EB6" w:rsidRPr="0000563D">
        <w:t xml:space="preserve">ccommodation </w:t>
      </w:r>
      <w:r w:rsidRPr="0000563D">
        <w:t xml:space="preserve">in specific contexts </w:t>
      </w:r>
      <w:r w:rsidR="000A4EB6" w:rsidRPr="0000563D">
        <w:t xml:space="preserve">are also </w:t>
      </w:r>
      <w:r w:rsidR="009153CA" w:rsidRPr="0000563D">
        <w:t xml:space="preserve">included in the following </w:t>
      </w:r>
      <w:r w:rsidR="00DC32E9" w:rsidRPr="0000563D">
        <w:t xml:space="preserve">articles of the </w:t>
      </w:r>
      <w:r w:rsidR="009153CA" w:rsidRPr="0000563D">
        <w:t>CRPD</w:t>
      </w:r>
      <w:r w:rsidR="00DF7504" w:rsidRPr="0000563D">
        <w:t>:</w:t>
      </w:r>
    </w:p>
    <w:p w14:paraId="33A7F9F8" w14:textId="066E883D" w:rsidR="00DF7504" w:rsidRPr="0000563D" w:rsidRDefault="00DF7504" w:rsidP="000A5DE2">
      <w:pPr>
        <w:pStyle w:val="ListBullet"/>
        <w:rPr>
          <w:rFonts w:cs="Open Sans"/>
        </w:rPr>
      </w:pPr>
      <w:r w:rsidRPr="0000563D">
        <w:rPr>
          <w:rFonts w:cs="Open Sans"/>
        </w:rPr>
        <w:t xml:space="preserve">Article 14 </w:t>
      </w:r>
      <w:r w:rsidR="00954CD9" w:rsidRPr="0000563D">
        <w:rPr>
          <w:rFonts w:cs="Open Sans"/>
        </w:rPr>
        <w:t xml:space="preserve">reiterates the obligation to provide reasonable </w:t>
      </w:r>
      <w:r w:rsidR="00425021" w:rsidRPr="0000563D">
        <w:rPr>
          <w:rFonts w:cs="Open Sans"/>
        </w:rPr>
        <w:t>accommodation</w:t>
      </w:r>
      <w:r w:rsidR="00954CD9" w:rsidRPr="0000563D">
        <w:rPr>
          <w:rFonts w:cs="Open Sans"/>
        </w:rPr>
        <w:t xml:space="preserve"> in any process that deprives a person with disability of their liberty.</w:t>
      </w:r>
    </w:p>
    <w:p w14:paraId="1085EED8" w14:textId="53A12B0F" w:rsidR="00AF422A" w:rsidRPr="0000563D" w:rsidRDefault="00AF422A" w:rsidP="000A5DE2">
      <w:pPr>
        <w:pStyle w:val="ListBullet"/>
        <w:rPr>
          <w:rFonts w:cs="Open Sans"/>
        </w:rPr>
      </w:pPr>
      <w:r w:rsidRPr="0000563D">
        <w:rPr>
          <w:rFonts w:cs="Open Sans"/>
        </w:rPr>
        <w:t xml:space="preserve">Article 24 </w:t>
      </w:r>
      <w:r w:rsidR="00425021" w:rsidRPr="0000563D">
        <w:rPr>
          <w:rFonts w:cs="Open Sans"/>
        </w:rPr>
        <w:t xml:space="preserve">requires </w:t>
      </w:r>
      <w:r w:rsidR="00E850BA" w:rsidRPr="0000563D">
        <w:rPr>
          <w:rFonts w:cs="Open Sans"/>
        </w:rPr>
        <w:t>reasonable accommodation be provided to realise the right to non</w:t>
      </w:r>
      <w:r w:rsidR="00B314EC" w:rsidRPr="0000563D">
        <w:rPr>
          <w:rFonts w:cs="Open Sans"/>
        </w:rPr>
        <w:t>-</w:t>
      </w:r>
      <w:r w:rsidR="00E850BA" w:rsidRPr="0000563D">
        <w:rPr>
          <w:rFonts w:cs="Open Sans"/>
        </w:rPr>
        <w:t>discrimination and equal opportunity in education</w:t>
      </w:r>
      <w:r w:rsidR="00146D6A" w:rsidRPr="0000563D">
        <w:rPr>
          <w:rFonts w:cs="Open Sans"/>
        </w:rPr>
        <w:t>.</w:t>
      </w:r>
    </w:p>
    <w:p w14:paraId="2B7E571E" w14:textId="50D2CF01" w:rsidR="008A1A80" w:rsidRPr="0000563D" w:rsidRDefault="008A1A80" w:rsidP="000A5DE2">
      <w:pPr>
        <w:pStyle w:val="ListBullet"/>
        <w:rPr>
          <w:rFonts w:cs="Open Sans"/>
        </w:rPr>
      </w:pPr>
      <w:r w:rsidRPr="0000563D">
        <w:rPr>
          <w:rFonts w:cs="Open Sans"/>
        </w:rPr>
        <w:t>Article 27 requires reasonable accommodation be provided to realise the right to non</w:t>
      </w:r>
      <w:r w:rsidR="00B314EC" w:rsidRPr="0000563D">
        <w:rPr>
          <w:rFonts w:cs="Open Sans"/>
        </w:rPr>
        <w:t>-</w:t>
      </w:r>
      <w:r w:rsidRPr="0000563D">
        <w:rPr>
          <w:rFonts w:cs="Open Sans"/>
        </w:rPr>
        <w:t>discrimination and equal opportunity in the workplace.</w:t>
      </w:r>
    </w:p>
    <w:p w14:paraId="18137AD7" w14:textId="61B8FD87" w:rsidR="00AD5CBC" w:rsidRPr="0000563D" w:rsidRDefault="00AD5CBC" w:rsidP="00AD5CBC">
      <w:r w:rsidRPr="0000563D">
        <w:t>Equality and non-discrimination do not mean identical treatment in every instance. Rather, different treatment might be needed to ensure equal outcomes.</w:t>
      </w:r>
      <w:r w:rsidRPr="0000563D">
        <w:rPr>
          <w:rStyle w:val="EndnoteReference"/>
        </w:rPr>
        <w:endnoteReference w:id="19"/>
      </w:r>
      <w:r w:rsidRPr="0000563D">
        <w:t xml:space="preserve"> This recognises that equality of opportunities and equality of outcomes (referred to as substantive equality) is necessary for the fulfilment of the right to equality and non-discrimination. Substantive equality is only possible with the recognition that structures and systems disadvantage people. </w:t>
      </w:r>
    </w:p>
    <w:p w14:paraId="3E5C5A5B" w14:textId="724ED4F3" w:rsidR="00AD5CBC" w:rsidRPr="0000563D" w:rsidRDefault="00AD5CBC" w:rsidP="00AD5CBC">
      <w:r w:rsidRPr="0000563D">
        <w:t>The CRPD seeks to achieve transformative equality (or inclusive equality) as a roadmap for change. Transformative equality goes beyond reforming existing systems, particularly where they are specialised or segregated, by taking steps to transform structures.</w:t>
      </w:r>
      <w:r w:rsidRPr="0000563D">
        <w:rPr>
          <w:rStyle w:val="EndnoteReference"/>
        </w:rPr>
        <w:endnoteReference w:id="20"/>
      </w:r>
    </w:p>
    <w:p w14:paraId="3FBAF4A4" w14:textId="191C9490" w:rsidR="00E83EDA" w:rsidRPr="0000563D" w:rsidRDefault="00E83EDA" w:rsidP="00E83EDA">
      <w:pPr>
        <w:pStyle w:val="Heading3"/>
        <w:rPr>
          <w:rFonts w:cs="Open Sans"/>
        </w:rPr>
      </w:pPr>
      <w:r w:rsidRPr="0000563D">
        <w:rPr>
          <w:rFonts w:cs="Open Sans"/>
        </w:rPr>
        <w:t>Access to justice</w:t>
      </w:r>
    </w:p>
    <w:p w14:paraId="122EB5AD" w14:textId="6C3D3DE6" w:rsidR="00A74FF3" w:rsidRPr="0000563D" w:rsidRDefault="00A74FF3" w:rsidP="00801E38">
      <w:r w:rsidRPr="0000563D">
        <w:t>Article 13 of the CRPD requires States Parties to accommodate the active participation of people with disability in the</w:t>
      </w:r>
      <w:r w:rsidR="00510BDA" w:rsidRPr="0000563D">
        <w:rPr>
          <w:b/>
        </w:rPr>
        <w:t xml:space="preserve"> </w:t>
      </w:r>
      <w:r w:rsidRPr="002D4943">
        <w:t>justice system. Access to justice must be ensured for people with disability in all interactions with the justice system, whether as a complainant, witness, juror or defendant.</w:t>
      </w:r>
    </w:p>
    <w:p w14:paraId="55779085" w14:textId="4F1C60D1" w:rsidR="0054342E" w:rsidRPr="0000563D" w:rsidRDefault="00886BB0" w:rsidP="00FF4C74">
      <w:proofErr w:type="gramStart"/>
      <w:r w:rsidRPr="0000563D">
        <w:t>In particular, Article</w:t>
      </w:r>
      <w:proofErr w:type="gramEnd"/>
      <w:r w:rsidRPr="0000563D">
        <w:t xml:space="preserve"> 13 requires:</w:t>
      </w:r>
    </w:p>
    <w:p w14:paraId="5216DA4E" w14:textId="6DE65A1F" w:rsidR="00886BB0" w:rsidRPr="0000563D" w:rsidRDefault="007D0E8F" w:rsidP="000A5DE2">
      <w:pPr>
        <w:pStyle w:val="ListBullet"/>
        <w:rPr>
          <w:rFonts w:cs="Open Sans"/>
        </w:rPr>
      </w:pPr>
      <w:r w:rsidRPr="0000563D">
        <w:rPr>
          <w:rFonts w:cs="Open Sans"/>
        </w:rPr>
        <w:lastRenderedPageBreak/>
        <w:t xml:space="preserve">the provision of </w:t>
      </w:r>
      <w:r w:rsidR="00886BB0" w:rsidRPr="0000563D">
        <w:rPr>
          <w:rFonts w:cs="Open Sans"/>
        </w:rPr>
        <w:t>procedural and age-appropriate accommodation to facilitate the effective participation of people with disability in all legal proceedings, including</w:t>
      </w:r>
      <w:r w:rsidR="0054342E" w:rsidRPr="0000563D">
        <w:rPr>
          <w:rFonts w:cs="Open Sans"/>
        </w:rPr>
        <w:t xml:space="preserve"> </w:t>
      </w:r>
      <w:r w:rsidR="00886BB0" w:rsidRPr="0000563D">
        <w:rPr>
          <w:rFonts w:cs="Open Sans"/>
        </w:rPr>
        <w:t>preliminary processes.</w:t>
      </w:r>
      <w:r w:rsidR="006D40AD" w:rsidRPr="0000563D">
        <w:rPr>
          <w:rStyle w:val="EndnoteReference"/>
          <w:rFonts w:cs="Open Sans"/>
        </w:rPr>
        <w:endnoteReference w:id="21"/>
      </w:r>
    </w:p>
    <w:p w14:paraId="0E70F20B" w14:textId="0FE3FB84" w:rsidR="00A74FF3" w:rsidRPr="0000563D" w:rsidRDefault="00886BB0" w:rsidP="000A5DE2">
      <w:pPr>
        <w:pStyle w:val="ListBullet"/>
        <w:rPr>
          <w:rFonts w:cs="Open Sans"/>
        </w:rPr>
      </w:pPr>
      <w:r w:rsidRPr="0000563D">
        <w:rPr>
          <w:rFonts w:cs="Open Sans"/>
        </w:rPr>
        <w:t>appropriate training for those involved in the administration of justice,</w:t>
      </w:r>
      <w:r w:rsidR="0054342E" w:rsidRPr="0000563D">
        <w:rPr>
          <w:rFonts w:cs="Open Sans"/>
        </w:rPr>
        <w:t xml:space="preserve"> </w:t>
      </w:r>
      <w:r w:rsidRPr="0000563D">
        <w:rPr>
          <w:rFonts w:cs="Open Sans"/>
        </w:rPr>
        <w:t>including judicial officers, lawyers, court staff, police and prison staff.</w:t>
      </w:r>
      <w:r w:rsidR="001455E3" w:rsidRPr="0000563D">
        <w:rPr>
          <w:rStyle w:val="EndnoteReference"/>
          <w:rFonts w:cs="Open Sans"/>
        </w:rPr>
        <w:endnoteReference w:id="22"/>
      </w:r>
    </w:p>
    <w:p w14:paraId="14D629C2" w14:textId="22DC7296" w:rsidR="004212C7" w:rsidRPr="0000563D" w:rsidRDefault="004212C7" w:rsidP="008911EA">
      <w:r w:rsidRPr="0000563D">
        <w:t>The language of Article 13 is broad, referring to any</w:t>
      </w:r>
      <w:r w:rsidR="001A1851" w:rsidRPr="0000563D">
        <w:t xml:space="preserve"> </w:t>
      </w:r>
      <w:r w:rsidRPr="0000563D">
        <w:t>procedural and age-appropriate accommodation. This was a deliberate decision made in the drafting process to ensure that the provision would encompass the requirements of all people with disability, not only those with common or more straightforward support needs.</w:t>
      </w:r>
      <w:r w:rsidR="00665D61" w:rsidRPr="0000563D">
        <w:rPr>
          <w:rStyle w:val="EndnoteReference"/>
        </w:rPr>
        <w:endnoteReference w:id="23"/>
      </w:r>
    </w:p>
    <w:p w14:paraId="439B2938" w14:textId="596FC59D" w:rsidR="005F7ACC" w:rsidRPr="0000563D" w:rsidRDefault="005F7ACC" w:rsidP="008911EA">
      <w:r w:rsidRPr="0000563D">
        <w:t xml:space="preserve">Importantly, Article 13 places a positive duty on States Parties to provide the requisite accommodation to ensure access to justice for people with disability. Unlike </w:t>
      </w:r>
      <w:r w:rsidR="00951A68" w:rsidRPr="0000563D">
        <w:t xml:space="preserve">the reasonable accommodation </w:t>
      </w:r>
      <w:r w:rsidRPr="0000563D">
        <w:t xml:space="preserve">obligations under </w:t>
      </w:r>
      <w:r w:rsidR="00951A68" w:rsidRPr="0000563D">
        <w:t>Article 5</w:t>
      </w:r>
      <w:r w:rsidRPr="0000563D">
        <w:t xml:space="preserve">, this duty is not limited by the concept of </w:t>
      </w:r>
      <w:r w:rsidR="00E169E6" w:rsidRPr="0000563D">
        <w:t xml:space="preserve">disproportionate or </w:t>
      </w:r>
      <w:r w:rsidR="00951A68" w:rsidRPr="0000563D">
        <w:t xml:space="preserve">undue burden </w:t>
      </w:r>
      <w:r w:rsidRPr="0000563D">
        <w:t>and, as such, it is owed to all people with disability, even those who require complex and intensive supports.</w:t>
      </w:r>
      <w:r w:rsidR="00665D61" w:rsidRPr="0000563D">
        <w:rPr>
          <w:rStyle w:val="EndnoteReference"/>
        </w:rPr>
        <w:endnoteReference w:id="24"/>
      </w:r>
    </w:p>
    <w:p w14:paraId="733133FE" w14:textId="77777777" w:rsidR="00077447" w:rsidRPr="002D4943" w:rsidRDefault="00077447" w:rsidP="00077447">
      <w:pPr>
        <w:pStyle w:val="Heading2"/>
        <w:rPr>
          <w:rFonts w:ascii="Open Sans" w:hAnsi="Open Sans" w:cs="Open Sans"/>
        </w:rPr>
      </w:pPr>
      <w:bookmarkStart w:id="6" w:name="_Toc214961112"/>
      <w:r w:rsidRPr="002D4943">
        <w:rPr>
          <w:rFonts w:ascii="Open Sans" w:hAnsi="Open Sans" w:cs="Open Sans"/>
        </w:rPr>
        <w:t>Disability Discrimination Act interpretation clauses</w:t>
      </w:r>
      <w:bookmarkEnd w:id="6"/>
      <w:r w:rsidRPr="002D4943">
        <w:rPr>
          <w:rFonts w:ascii="Open Sans" w:hAnsi="Open Sans" w:cs="Open Sans"/>
        </w:rPr>
        <w:t xml:space="preserve"> </w:t>
      </w:r>
    </w:p>
    <w:p w14:paraId="41A48A4A" w14:textId="77777777" w:rsidR="00077447" w:rsidRPr="0000563D" w:rsidRDefault="00077447" w:rsidP="00077447">
      <w:r w:rsidRPr="0000563D">
        <w:t xml:space="preserve">The Issues Paper seeks views on recommendation 4.33 of the Disability Royal Commission to introduce an explicit reference to the CRPD in the objects of the Disability Discrimination Act. </w:t>
      </w:r>
    </w:p>
    <w:p w14:paraId="605A0BD4" w14:textId="77777777" w:rsidR="00077447" w:rsidRPr="0000563D" w:rsidRDefault="00077447" w:rsidP="00077447">
      <w:r w:rsidRPr="0000563D">
        <w:t xml:space="preserve">The Commission supports this inclusion to ensure greater clarity on the purpose of the Act to give effect to the CRPD, and to ensure that the provisions of the Act are interpreted having regard to the CRPD.  </w:t>
      </w:r>
    </w:p>
    <w:p w14:paraId="7984A0C6" w14:textId="77777777" w:rsidR="00077447" w:rsidRPr="0000563D" w:rsidRDefault="00077447" w:rsidP="00077447">
      <w:r w:rsidRPr="0000563D">
        <w:t xml:space="preserve">The </w:t>
      </w:r>
      <w:r w:rsidRPr="0000563D">
        <w:rPr>
          <w:i/>
          <w:iCs/>
        </w:rPr>
        <w:t>Acts Interpretation Act</w:t>
      </w:r>
      <w:r w:rsidRPr="0000563D">
        <w:t xml:space="preserve"> </w:t>
      </w:r>
      <w:r w:rsidRPr="0000563D">
        <w:rPr>
          <w:i/>
          <w:iCs/>
        </w:rPr>
        <w:t xml:space="preserve">1901 </w:t>
      </w:r>
      <w:r w:rsidRPr="0000563D">
        <w:t>(</w:t>
      </w:r>
      <w:proofErr w:type="spellStart"/>
      <w:r w:rsidRPr="0000563D">
        <w:t>Cth</w:t>
      </w:r>
      <w:proofErr w:type="spellEnd"/>
      <w:r w:rsidRPr="0000563D">
        <w:t>) provides for rules for interpreting law, including that any treaties referred to in an Act can form part of the ‘extrinsic material’ that may be referred to and relied upon when interpreting that Act.</w:t>
      </w:r>
      <w:r w:rsidRPr="0000563D">
        <w:rPr>
          <w:rStyle w:val="EndnoteReference"/>
        </w:rPr>
        <w:endnoteReference w:id="25"/>
      </w:r>
      <w:r w:rsidRPr="0000563D">
        <w:t xml:space="preserve"> It also provides that: </w:t>
      </w:r>
    </w:p>
    <w:p w14:paraId="7018C72F" w14:textId="77777777" w:rsidR="00077447" w:rsidRPr="0000563D" w:rsidRDefault="00077447" w:rsidP="00077447">
      <w:pPr>
        <w:pStyle w:val="Blockquote"/>
        <w:rPr>
          <w:rFonts w:cs="Open Sans"/>
          <w:sz w:val="22"/>
          <w:szCs w:val="22"/>
        </w:rPr>
      </w:pPr>
      <w:r w:rsidRPr="0000563D">
        <w:rPr>
          <w:rFonts w:cs="Open Sans"/>
          <w:sz w:val="22"/>
          <w:szCs w:val="22"/>
        </w:rPr>
        <w:t>In interpreting a provision of an Act, the interpretation that would best achieve the purpose or object of the Act (</w:t>
      </w:r>
      <w:proofErr w:type="gramStart"/>
      <w:r w:rsidRPr="0000563D">
        <w:rPr>
          <w:rFonts w:cs="Open Sans"/>
          <w:sz w:val="22"/>
          <w:szCs w:val="22"/>
        </w:rPr>
        <w:t>whether or not</w:t>
      </w:r>
      <w:proofErr w:type="gramEnd"/>
      <w:r w:rsidRPr="0000563D">
        <w:rPr>
          <w:rFonts w:cs="Open Sans"/>
          <w:sz w:val="22"/>
          <w:szCs w:val="22"/>
        </w:rPr>
        <w:t xml:space="preserve"> that purpose or object is expressly stated in the Act) is to be preferred to each other interpretation.</w:t>
      </w:r>
      <w:r w:rsidRPr="0000563D">
        <w:rPr>
          <w:rStyle w:val="EndnoteReference"/>
          <w:rFonts w:cs="Open Sans"/>
          <w:sz w:val="22"/>
          <w:szCs w:val="22"/>
        </w:rPr>
        <w:endnoteReference w:id="26"/>
      </w:r>
    </w:p>
    <w:p w14:paraId="019E4EA3" w14:textId="4F0EC9F0" w:rsidR="00077447" w:rsidRPr="0000563D" w:rsidRDefault="00077447" w:rsidP="00077447">
      <w:r w:rsidRPr="0000563D">
        <w:t>The Disability Discrimination Act was enacted in 1992 before the drafting and introduction of the CRPD. Amendments made in 2009 sought to reflect the Australian Government’s commitments post</w:t>
      </w:r>
      <w:r w:rsidR="00ED43F4" w:rsidRPr="0000563D">
        <w:t>-</w:t>
      </w:r>
      <w:r w:rsidRPr="0000563D">
        <w:t xml:space="preserve">ratification of the CRPD. </w:t>
      </w:r>
    </w:p>
    <w:p w14:paraId="313B80BB" w14:textId="77777777" w:rsidR="00077447" w:rsidRPr="0000563D" w:rsidRDefault="00077447" w:rsidP="00077447">
      <w:r w:rsidRPr="0000563D">
        <w:t>While the objects of the Disability Discrimination Act align with the CRPD’s general principle of non-discrimination, the Act does not explicitly include the object of giving effect to the CRPD. It only references the CRPD in the providing that the provisions of the Act addressing discrimination apply to the extent that they give effect to the CRPD and other international human rights treaties.</w:t>
      </w:r>
      <w:r w:rsidRPr="0000563D">
        <w:rPr>
          <w:rStyle w:val="EndnoteReference"/>
        </w:rPr>
        <w:endnoteReference w:id="27"/>
      </w:r>
    </w:p>
    <w:p w14:paraId="52C664A5" w14:textId="77777777" w:rsidR="00077447" w:rsidRPr="0000563D" w:rsidRDefault="00077447" w:rsidP="00077447">
      <w:r w:rsidRPr="0000563D">
        <w:lastRenderedPageBreak/>
        <w:t xml:space="preserve">One of the benefits of including the CRPD in the objects clause would be to ensure that the Disability Discrimination Act is interpreted in line with the jurisprudence under the CRPD. </w:t>
      </w:r>
    </w:p>
    <w:p w14:paraId="200FE3B3" w14:textId="4B85864D" w:rsidR="00077447" w:rsidRPr="0000563D" w:rsidRDefault="00077447" w:rsidP="00077447">
      <w:pPr>
        <w:rPr>
          <w:iCs/>
        </w:rPr>
      </w:pPr>
      <w:r w:rsidRPr="0000563D">
        <w:t xml:space="preserve">For example, as discussed </w:t>
      </w:r>
      <w:r w:rsidR="00EF5F44" w:rsidRPr="0000563D">
        <w:t>under in section 3</w:t>
      </w:r>
      <w:r w:rsidRPr="0000563D">
        <w:t xml:space="preserve">, the Commission is concerned by the </w:t>
      </w:r>
      <w:r w:rsidRPr="0000563D">
        <w:rPr>
          <w:iCs/>
        </w:rPr>
        <w:t xml:space="preserve">impact of the </w:t>
      </w:r>
      <w:proofErr w:type="spellStart"/>
      <w:r w:rsidRPr="0000563D">
        <w:rPr>
          <w:i/>
        </w:rPr>
        <w:t>Sklavos</w:t>
      </w:r>
      <w:proofErr w:type="spellEnd"/>
      <w:r w:rsidRPr="0000563D">
        <w:rPr>
          <w:iCs/>
        </w:rPr>
        <w:t xml:space="preserve"> decision on the meaning of reasonable adjustment under the Disability Discrimination Act. It is likely that a stronger connection to the CRPD in the law would have assisted in the domestic interpretation of reasonable accommodation. </w:t>
      </w:r>
    </w:p>
    <w:p w14:paraId="1C9F0C6B" w14:textId="77777777" w:rsidR="00077447" w:rsidRPr="0000563D" w:rsidRDefault="00077447" w:rsidP="00077447">
      <w:r w:rsidRPr="0000563D">
        <w:t>Including a reference to the CRPD in the objects clause would also be consistent with the legislated objects in other federal discrimination laws.</w:t>
      </w:r>
    </w:p>
    <w:p w14:paraId="1CAC15CD" w14:textId="77777777" w:rsidR="00077447" w:rsidRPr="0000563D" w:rsidRDefault="00077447" w:rsidP="00077447">
      <w:pPr>
        <w:pStyle w:val="ListBullet"/>
        <w:rPr>
          <w:rFonts w:cs="Open Sans"/>
        </w:rPr>
      </w:pPr>
      <w:r w:rsidRPr="0000563D">
        <w:rPr>
          <w:rFonts w:cs="Open Sans"/>
        </w:rPr>
        <w:t>The Age Discrimination Act includes the requirement to bear ‘in mind the international commitment to eliminate age discrimination reflected in the political declaration adopted in Madrid, Spain on 12 April 2002 by the Second World Assembly on Ageing’.</w:t>
      </w:r>
      <w:r w:rsidRPr="0000563D">
        <w:rPr>
          <w:rStyle w:val="EndnoteReference"/>
          <w:rFonts w:cs="Open Sans"/>
        </w:rPr>
        <w:endnoteReference w:id="28"/>
      </w:r>
      <w:r w:rsidRPr="0000563D">
        <w:rPr>
          <w:rFonts w:cs="Open Sans"/>
        </w:rPr>
        <w:t xml:space="preserve"> </w:t>
      </w:r>
    </w:p>
    <w:p w14:paraId="10CD2467" w14:textId="77777777" w:rsidR="00077447" w:rsidRPr="0000563D" w:rsidRDefault="00077447" w:rsidP="00077447">
      <w:pPr>
        <w:pStyle w:val="ListBullet"/>
        <w:rPr>
          <w:rFonts w:cs="Open Sans"/>
        </w:rPr>
      </w:pPr>
      <w:r w:rsidRPr="0000563D">
        <w:rPr>
          <w:rFonts w:cs="Open Sans"/>
        </w:rPr>
        <w:t xml:space="preserve">The Sex Discrimination Act includes the requirement to give effect to United Nations </w:t>
      </w:r>
      <w:r w:rsidRPr="0000563D">
        <w:rPr>
          <w:rFonts w:cs="Open Sans"/>
          <w:i/>
        </w:rPr>
        <w:t>Convention on the Elimination of all forms of Discrimination Against Women</w:t>
      </w:r>
      <w:r w:rsidRPr="0000563D">
        <w:rPr>
          <w:rFonts w:cs="Open Sans"/>
        </w:rPr>
        <w:t>, which is included as a schedule to the Act.</w:t>
      </w:r>
      <w:r w:rsidRPr="0000563D">
        <w:rPr>
          <w:rStyle w:val="EndnoteReference"/>
          <w:rFonts w:cs="Open Sans"/>
        </w:rPr>
        <w:t xml:space="preserve"> </w:t>
      </w:r>
      <w:r w:rsidRPr="0000563D">
        <w:rPr>
          <w:rStyle w:val="EndnoteReference"/>
          <w:rFonts w:cs="Open Sans"/>
        </w:rPr>
        <w:endnoteReference w:id="29"/>
      </w:r>
      <w:r w:rsidRPr="0000563D">
        <w:rPr>
          <w:rFonts w:cs="Open Sans"/>
        </w:rPr>
        <w:t xml:space="preserve"> </w:t>
      </w:r>
    </w:p>
    <w:p w14:paraId="28FA4F79" w14:textId="2CF4CDCE" w:rsidR="00077447" w:rsidRPr="0000563D" w:rsidRDefault="00077447" w:rsidP="00077447">
      <w:pPr>
        <w:pStyle w:val="ListBullet"/>
        <w:rPr>
          <w:rFonts w:cs="Open Sans"/>
        </w:rPr>
      </w:pPr>
      <w:r w:rsidRPr="0000563D">
        <w:rPr>
          <w:rFonts w:cs="Open Sans"/>
        </w:rPr>
        <w:t xml:space="preserve">The Racial Discrimination Act includes the United Nations </w:t>
      </w:r>
      <w:r w:rsidRPr="0000563D">
        <w:rPr>
          <w:rFonts w:cs="Open Sans"/>
          <w:i/>
        </w:rPr>
        <w:t>International Convention on the Elimination of All Forms of Racial Discrimination</w:t>
      </w:r>
      <w:r w:rsidRPr="0000563D" w:rsidDel="005A2011">
        <w:rPr>
          <w:rFonts w:cs="Open Sans"/>
        </w:rPr>
        <w:t xml:space="preserve"> </w:t>
      </w:r>
      <w:r w:rsidRPr="0000563D">
        <w:rPr>
          <w:rFonts w:cs="Open Sans"/>
        </w:rPr>
        <w:t>as a schedule to the Act.</w:t>
      </w:r>
      <w:r w:rsidRPr="0000563D">
        <w:rPr>
          <w:rStyle w:val="EndnoteReference"/>
          <w:rFonts w:cs="Open Sans"/>
        </w:rPr>
        <w:endnoteReference w:id="30"/>
      </w:r>
    </w:p>
    <w:p w14:paraId="25C79672" w14:textId="77777777" w:rsidR="00077447" w:rsidRPr="0000563D" w:rsidRDefault="00077447" w:rsidP="00077447">
      <w:r w:rsidRPr="0000563D">
        <w:t>The Commission sees value in the CRPD being included as a schedule to the Disability Discrimination Act, in line with the approach taken with CEDAW in the Sex Discrimination Act and ICERD in the Racial Discrimination Act.</w:t>
      </w:r>
    </w:p>
    <w:p w14:paraId="74E363CF" w14:textId="2E28305B" w:rsidR="00077447" w:rsidRPr="0000563D" w:rsidRDefault="00077447" w:rsidP="00077447">
      <w:pPr>
        <w:rPr>
          <w:b/>
          <w:bCs/>
        </w:rPr>
      </w:pPr>
      <w:r w:rsidRPr="0000563D">
        <w:rPr>
          <w:b/>
          <w:bCs/>
        </w:rPr>
        <w:t xml:space="preserve">Recommendation </w:t>
      </w:r>
      <w:r w:rsidR="00595277" w:rsidRPr="0000563D">
        <w:rPr>
          <w:b/>
          <w:bCs/>
        </w:rPr>
        <w:t>1</w:t>
      </w:r>
      <w:r w:rsidRPr="0000563D">
        <w:rPr>
          <w:b/>
          <w:bCs/>
        </w:rPr>
        <w:t xml:space="preserve">: Section 3 of the </w:t>
      </w:r>
      <w:r w:rsidRPr="0000563D">
        <w:rPr>
          <w:b/>
          <w:bCs/>
          <w:i/>
          <w:iCs/>
        </w:rPr>
        <w:t>Disability Discrimination Act 1992</w:t>
      </w:r>
      <w:r w:rsidRPr="0000563D">
        <w:rPr>
          <w:b/>
          <w:bCs/>
        </w:rPr>
        <w:t xml:space="preserve"> (</w:t>
      </w:r>
      <w:proofErr w:type="spellStart"/>
      <w:r w:rsidRPr="0000563D">
        <w:rPr>
          <w:b/>
          <w:bCs/>
        </w:rPr>
        <w:t>Cth</w:t>
      </w:r>
      <w:proofErr w:type="spellEnd"/>
      <w:r w:rsidRPr="0000563D">
        <w:rPr>
          <w:b/>
          <w:bCs/>
        </w:rPr>
        <w:t>) should be amended to insert a new object to give effect to Australia</w:t>
      </w:r>
      <w:r w:rsidR="00D70F13" w:rsidRPr="0000563D">
        <w:rPr>
          <w:b/>
          <w:bCs/>
        </w:rPr>
        <w:t>’</w:t>
      </w:r>
      <w:r w:rsidRPr="0000563D">
        <w:rPr>
          <w:b/>
          <w:bCs/>
        </w:rPr>
        <w:t xml:space="preserve">s obligations under the United Nations </w:t>
      </w:r>
      <w:r w:rsidRPr="0000563D">
        <w:rPr>
          <w:b/>
          <w:bCs/>
          <w:i/>
          <w:iCs/>
        </w:rPr>
        <w:t>Convention on the Rights of Persons with Disabilities</w:t>
      </w:r>
      <w:r w:rsidRPr="0000563D">
        <w:rPr>
          <w:b/>
          <w:bCs/>
        </w:rPr>
        <w:t>.</w:t>
      </w:r>
    </w:p>
    <w:p w14:paraId="5278F894" w14:textId="56D3E421" w:rsidR="00077447" w:rsidRPr="0000563D" w:rsidRDefault="00077447" w:rsidP="00077447">
      <w:pPr>
        <w:rPr>
          <w:b/>
          <w:bCs/>
        </w:rPr>
      </w:pPr>
      <w:r w:rsidRPr="0000563D">
        <w:rPr>
          <w:b/>
          <w:bCs/>
        </w:rPr>
        <w:t xml:space="preserve">Recommendation </w:t>
      </w:r>
      <w:r w:rsidR="00595277" w:rsidRPr="0000563D">
        <w:rPr>
          <w:b/>
          <w:bCs/>
        </w:rPr>
        <w:t>2</w:t>
      </w:r>
      <w:r w:rsidRPr="0000563D">
        <w:rPr>
          <w:b/>
          <w:bCs/>
        </w:rPr>
        <w:t xml:space="preserve">: The United Nations </w:t>
      </w:r>
      <w:r w:rsidRPr="0000563D">
        <w:rPr>
          <w:b/>
          <w:bCs/>
          <w:i/>
          <w:iCs/>
        </w:rPr>
        <w:t>Convention on the Rights of Persons with Disabilities</w:t>
      </w:r>
      <w:r w:rsidRPr="0000563D">
        <w:rPr>
          <w:b/>
          <w:bCs/>
        </w:rPr>
        <w:t xml:space="preserve"> should be included as a Schedule to the </w:t>
      </w:r>
      <w:r w:rsidRPr="0000563D">
        <w:rPr>
          <w:b/>
          <w:bCs/>
          <w:i/>
          <w:iCs/>
        </w:rPr>
        <w:t>Disability Discrimination Act 1992</w:t>
      </w:r>
      <w:r w:rsidRPr="0000563D">
        <w:rPr>
          <w:b/>
          <w:bCs/>
        </w:rPr>
        <w:t xml:space="preserve"> (</w:t>
      </w:r>
      <w:proofErr w:type="spellStart"/>
      <w:r w:rsidRPr="0000563D">
        <w:rPr>
          <w:b/>
          <w:bCs/>
        </w:rPr>
        <w:t>Cth</w:t>
      </w:r>
      <w:proofErr w:type="spellEnd"/>
      <w:r w:rsidRPr="0000563D">
        <w:rPr>
          <w:b/>
          <w:bCs/>
        </w:rPr>
        <w:t>).</w:t>
      </w:r>
    </w:p>
    <w:p w14:paraId="05E533B0" w14:textId="77777777" w:rsidR="00077447" w:rsidRPr="0000563D" w:rsidRDefault="00077447" w:rsidP="00077447">
      <w:r w:rsidRPr="0000563D">
        <w:t>The Issues Paper also seeks views on the Disability Royal Commission recommendation for the introduction of an additional interpretative clause to expressly provide that the Disability Discrimination Act is beneficial legislation that must be interpreted in a way that benefits people with disability.</w:t>
      </w:r>
      <w:r w:rsidRPr="0000563D">
        <w:rPr>
          <w:rStyle w:val="EndnoteReference"/>
        </w:rPr>
        <w:endnoteReference w:id="31"/>
      </w:r>
      <w:r w:rsidRPr="0000563D">
        <w:t xml:space="preserve"> The Commission supports this amendment and the wording proposed by the Disability Royal Commission. </w:t>
      </w:r>
    </w:p>
    <w:p w14:paraId="44FCAC52" w14:textId="527FFE8B" w:rsidR="00077447" w:rsidRPr="0000563D" w:rsidRDefault="00077447" w:rsidP="00077447">
      <w:pPr>
        <w:rPr>
          <w:b/>
          <w:bCs/>
        </w:rPr>
      </w:pPr>
      <w:r w:rsidRPr="0000563D">
        <w:rPr>
          <w:b/>
          <w:bCs/>
        </w:rPr>
        <w:t xml:space="preserve">Recommendation </w:t>
      </w:r>
      <w:r w:rsidR="00595277" w:rsidRPr="0000563D">
        <w:rPr>
          <w:b/>
          <w:bCs/>
        </w:rPr>
        <w:t>3</w:t>
      </w:r>
      <w:r w:rsidRPr="0000563D">
        <w:rPr>
          <w:b/>
          <w:bCs/>
        </w:rPr>
        <w:t xml:space="preserve">: Section 4 of the </w:t>
      </w:r>
      <w:r w:rsidRPr="0000563D">
        <w:rPr>
          <w:b/>
          <w:bCs/>
          <w:i/>
          <w:iCs/>
        </w:rPr>
        <w:t>Disability Discrimination Act 1992</w:t>
      </w:r>
      <w:r w:rsidRPr="0000563D">
        <w:rPr>
          <w:b/>
          <w:bCs/>
        </w:rPr>
        <w:t xml:space="preserve"> (</w:t>
      </w:r>
      <w:proofErr w:type="spellStart"/>
      <w:r w:rsidRPr="0000563D">
        <w:rPr>
          <w:b/>
          <w:bCs/>
        </w:rPr>
        <w:t>Cth</w:t>
      </w:r>
      <w:proofErr w:type="spellEnd"/>
      <w:r w:rsidRPr="0000563D">
        <w:rPr>
          <w:b/>
          <w:bCs/>
        </w:rPr>
        <w:t xml:space="preserve">) should be amended to insert a new provision for the Act to be interpreted in a way that is beneficial to people with disability, to the extent that it is </w:t>
      </w:r>
      <w:r w:rsidRPr="0000563D">
        <w:rPr>
          <w:b/>
          <w:bCs/>
        </w:rPr>
        <w:lastRenderedPageBreak/>
        <w:t>possible to do so consistently with the</w:t>
      </w:r>
      <w:r w:rsidR="00CC719F" w:rsidRPr="0000563D">
        <w:rPr>
          <w:b/>
          <w:bCs/>
        </w:rPr>
        <w:t xml:space="preserve"> United Nations</w:t>
      </w:r>
      <w:r w:rsidRPr="0000563D">
        <w:rPr>
          <w:b/>
          <w:bCs/>
        </w:rPr>
        <w:t xml:space="preserve"> </w:t>
      </w:r>
      <w:r w:rsidRPr="0000563D">
        <w:rPr>
          <w:b/>
          <w:bCs/>
          <w:i/>
        </w:rPr>
        <w:t>Convention on the Rights of Persons with Disability</w:t>
      </w:r>
      <w:r w:rsidRPr="0000563D">
        <w:rPr>
          <w:b/>
          <w:bCs/>
        </w:rPr>
        <w:t xml:space="preserve">, the </w:t>
      </w:r>
      <w:r w:rsidRPr="0000563D">
        <w:rPr>
          <w:b/>
          <w:bCs/>
          <w:i/>
          <w:iCs/>
        </w:rPr>
        <w:t xml:space="preserve">International </w:t>
      </w:r>
      <w:r w:rsidRPr="0000563D">
        <w:rPr>
          <w:b/>
          <w:bCs/>
          <w:i/>
        </w:rPr>
        <w:t>Covenant on Civil and Political Rights</w:t>
      </w:r>
      <w:r w:rsidRPr="0000563D">
        <w:rPr>
          <w:b/>
          <w:bCs/>
        </w:rPr>
        <w:t>, and</w:t>
      </w:r>
      <w:r w:rsidRPr="0000563D">
        <w:rPr>
          <w:b/>
          <w:bCs/>
          <w:i/>
        </w:rPr>
        <w:t xml:space="preserve"> International Covenant on Economic, Social and Cultural Rights</w:t>
      </w:r>
      <w:r w:rsidRPr="0000563D">
        <w:rPr>
          <w:b/>
          <w:bCs/>
        </w:rPr>
        <w:t>.</w:t>
      </w:r>
    </w:p>
    <w:p w14:paraId="2C6BA746" w14:textId="77777777" w:rsidR="00077447" w:rsidRPr="002D4943" w:rsidRDefault="00077447" w:rsidP="00077447">
      <w:pPr>
        <w:pStyle w:val="Heading2"/>
        <w:rPr>
          <w:rFonts w:ascii="Open Sans" w:hAnsi="Open Sans" w:cs="Open Sans"/>
        </w:rPr>
      </w:pPr>
      <w:bookmarkStart w:id="7" w:name="_Toc214961113"/>
      <w:r w:rsidRPr="002D4943">
        <w:rPr>
          <w:rFonts w:ascii="Open Sans" w:hAnsi="Open Sans" w:cs="Open Sans"/>
        </w:rPr>
        <w:t>CRPD Independent Monitoring Mechanism</w:t>
      </w:r>
      <w:bookmarkEnd w:id="7"/>
    </w:p>
    <w:p w14:paraId="38FCE7F8" w14:textId="77777777" w:rsidR="00077447" w:rsidRPr="0000563D" w:rsidRDefault="00077447" w:rsidP="00077447">
      <w:r w:rsidRPr="0000563D">
        <w:t>Article 33(2) of the CRPD requires States Parties to designate one or more independent monitoring mechanisms (IMM), to promote, protect and monitor implementation of the CRPD. The IMM should be functionally and substantively independent from government and the focal point designated for the purposes of CRPD Article 33(1) and be established having regard to the Paris Principles pertaining to the role of NHRIs.</w:t>
      </w:r>
      <w:r w:rsidRPr="0000563D">
        <w:rPr>
          <w:rStyle w:val="EndnoteReference"/>
        </w:rPr>
        <w:endnoteReference w:id="32"/>
      </w:r>
    </w:p>
    <w:p w14:paraId="595BF021" w14:textId="6EB16560" w:rsidR="00077447" w:rsidRPr="0000563D" w:rsidRDefault="00077447" w:rsidP="00077447">
      <w:r w:rsidRPr="0000563D">
        <w:t>Australia does not have a formally designated IMM as required by Article 33(2). Instead, the Commission is viewed by the Australian Government as having a de-facto role in monitoring the implementation of the CRPD in Australia,</w:t>
      </w:r>
      <w:r w:rsidRPr="0000563D">
        <w:rPr>
          <w:rStyle w:val="EndnoteReference"/>
        </w:rPr>
        <w:endnoteReference w:id="33"/>
      </w:r>
      <w:r w:rsidRPr="0000563D">
        <w:t xml:space="preserve"> by way of </w:t>
      </w:r>
      <w:r w:rsidR="002619BC" w:rsidRPr="0000563D">
        <w:t xml:space="preserve">our </w:t>
      </w:r>
      <w:r w:rsidRPr="0000563D">
        <w:t xml:space="preserve">broad statutory functions under the </w:t>
      </w:r>
      <w:r w:rsidRPr="0000563D">
        <w:rPr>
          <w:i/>
        </w:rPr>
        <w:t>Australian Human Rights Commission Act</w:t>
      </w:r>
      <w:r w:rsidR="001357CD" w:rsidRPr="0000563D">
        <w:rPr>
          <w:i/>
        </w:rPr>
        <w:t xml:space="preserve"> 1986</w:t>
      </w:r>
      <w:r w:rsidR="001357CD" w:rsidRPr="0000563D">
        <w:t xml:space="preserve"> (</w:t>
      </w:r>
      <w:proofErr w:type="spellStart"/>
      <w:r w:rsidR="001357CD" w:rsidRPr="0000563D">
        <w:t>Cth</w:t>
      </w:r>
      <w:proofErr w:type="spellEnd"/>
      <w:r w:rsidR="001357CD" w:rsidRPr="0000563D">
        <w:t>)</w:t>
      </w:r>
      <w:r w:rsidRPr="0000563D">
        <w:rPr>
          <w:rStyle w:val="EndnoteReference"/>
        </w:rPr>
        <w:endnoteReference w:id="34"/>
      </w:r>
      <w:r w:rsidRPr="0000563D">
        <w:t xml:space="preserve"> </w:t>
      </w:r>
      <w:r w:rsidR="00DB31D1" w:rsidRPr="0000563D">
        <w:t xml:space="preserve">(Australian Human Rights Commission Act) </w:t>
      </w:r>
      <w:r w:rsidRPr="0000563D">
        <w:t xml:space="preserve">and </w:t>
      </w:r>
      <w:r w:rsidR="002619BC" w:rsidRPr="0000563D">
        <w:t xml:space="preserve">our </w:t>
      </w:r>
      <w:r w:rsidRPr="0000563D">
        <w:t>mandate as</w:t>
      </w:r>
      <w:r w:rsidR="00E73958" w:rsidRPr="0000563D">
        <w:t xml:space="preserve"> an</w:t>
      </w:r>
      <w:r w:rsidRPr="0000563D">
        <w:t xml:space="preserve"> A-status NHRI. </w:t>
      </w:r>
    </w:p>
    <w:p w14:paraId="3718166D" w14:textId="5F810D6A" w:rsidR="00077447" w:rsidRPr="0000563D" w:rsidRDefault="00077447" w:rsidP="00077447">
      <w:r w:rsidRPr="0000563D">
        <w:t xml:space="preserve">The </w:t>
      </w:r>
      <w:r w:rsidR="00577B6A" w:rsidRPr="0000563D">
        <w:t>CRPD Committee</w:t>
      </w:r>
      <w:r w:rsidRPr="0000563D">
        <w:t xml:space="preserve"> raised concerns about the lack of a participatory and responsive structure for implementing and monitoring the CRPD in Australia</w:t>
      </w:r>
      <w:r w:rsidR="00F308EB" w:rsidRPr="0000563D">
        <w:t>. In</w:t>
      </w:r>
      <w:r w:rsidRPr="0000563D">
        <w:t xml:space="preserve"> 2019</w:t>
      </w:r>
      <w:r w:rsidR="00FC5FB5" w:rsidRPr="0000563D">
        <w:t>,</w:t>
      </w:r>
      <w:r w:rsidRPr="0000563D">
        <w:t xml:space="preserve"> </w:t>
      </w:r>
      <w:r w:rsidR="00F308EB" w:rsidRPr="0000563D">
        <w:t>it</w:t>
      </w:r>
      <w:r w:rsidRPr="0000563D">
        <w:t xml:space="preserve"> recommended </w:t>
      </w:r>
      <w:r w:rsidR="00F308EB" w:rsidRPr="0000563D">
        <w:t>that</w:t>
      </w:r>
      <w:r w:rsidRPr="0000563D">
        <w:t xml:space="preserve"> the Australian Government amend existing laws (or enact new laws) to expand and strengthen the scope and power of the Australian Human Rights Commission to perform the task of IMM in line with </w:t>
      </w:r>
      <w:r w:rsidR="000D6F33" w:rsidRPr="0000563D">
        <w:t xml:space="preserve">Article </w:t>
      </w:r>
      <w:r w:rsidRPr="0000563D">
        <w:t xml:space="preserve">33(2) and </w:t>
      </w:r>
      <w:r w:rsidR="00F911C5" w:rsidRPr="0000563D">
        <w:t>the CRPD Committee’s</w:t>
      </w:r>
      <w:r w:rsidRPr="0000563D">
        <w:t xml:space="preserve"> General Comment No. 7.</w:t>
      </w:r>
      <w:r w:rsidRPr="0000563D">
        <w:rPr>
          <w:rStyle w:val="EndnoteReference"/>
        </w:rPr>
        <w:endnoteReference w:id="35"/>
      </w:r>
    </w:p>
    <w:p w14:paraId="322137C7" w14:textId="23E1DA5E" w:rsidR="00077447" w:rsidRPr="0000563D" w:rsidRDefault="00077447" w:rsidP="00077447">
      <w:r w:rsidRPr="0000563D">
        <w:t xml:space="preserve">The </w:t>
      </w:r>
      <w:r w:rsidR="00020ECA" w:rsidRPr="0000563D">
        <w:t>Australian Human Rights Commission Act could be amended to</w:t>
      </w:r>
      <w:r w:rsidRPr="0000563D">
        <w:t xml:space="preserve"> </w:t>
      </w:r>
      <w:r w:rsidR="00A4281D" w:rsidRPr="0000563D">
        <w:t>formally designate</w:t>
      </w:r>
      <w:r w:rsidR="002E2571" w:rsidRPr="0000563D">
        <w:t xml:space="preserve"> the Commission</w:t>
      </w:r>
      <w:r w:rsidRPr="0000563D">
        <w:t xml:space="preserve"> as IMM </w:t>
      </w:r>
      <w:r w:rsidR="000A1B72" w:rsidRPr="0000563D">
        <w:t xml:space="preserve">as </w:t>
      </w:r>
      <w:r w:rsidR="00020ECA" w:rsidRPr="0000563D">
        <w:t xml:space="preserve">part of </w:t>
      </w:r>
      <w:r w:rsidR="002E2571" w:rsidRPr="0000563D">
        <w:t>the</w:t>
      </w:r>
      <w:r w:rsidR="00020ECA" w:rsidRPr="0000563D">
        <w:t xml:space="preserve"> </w:t>
      </w:r>
      <w:r w:rsidR="002E2571" w:rsidRPr="0000563D">
        <w:t>package</w:t>
      </w:r>
      <w:r w:rsidR="00020ECA" w:rsidRPr="0000563D">
        <w:t xml:space="preserve"> of amendments that should be</w:t>
      </w:r>
      <w:r w:rsidRPr="0000563D">
        <w:t xml:space="preserve"> introduced </w:t>
      </w:r>
      <w:proofErr w:type="gramStart"/>
      <w:r w:rsidRPr="0000563D">
        <w:t>as a result of</w:t>
      </w:r>
      <w:proofErr w:type="gramEnd"/>
      <w:r w:rsidRPr="0000563D">
        <w:t xml:space="preserve"> this review of the Disability Discrimination Act.</w:t>
      </w:r>
    </w:p>
    <w:p w14:paraId="3F65A183" w14:textId="77777777" w:rsidR="00077447" w:rsidRPr="0000563D" w:rsidRDefault="00077447" w:rsidP="00801E38">
      <w:pPr>
        <w:keepNext/>
      </w:pPr>
      <w:r w:rsidRPr="0000563D">
        <w:t xml:space="preserve">The statutory amendment could be worded similarly to that used by the Canadian Government to designate the Canadian Human Rights Commission as IMM in 2019: </w:t>
      </w:r>
    </w:p>
    <w:p w14:paraId="38F1FEB9" w14:textId="2C6158D7" w:rsidR="00077447" w:rsidRPr="0000563D" w:rsidRDefault="00077447" w:rsidP="00801E38">
      <w:pPr>
        <w:ind w:left="720"/>
        <w:rPr>
          <w:sz w:val="22"/>
          <w:szCs w:val="22"/>
        </w:rPr>
      </w:pPr>
      <w:r w:rsidRPr="0000563D">
        <w:rPr>
          <w:sz w:val="22"/>
          <w:szCs w:val="22"/>
        </w:rPr>
        <w:t>The Commission is, for the purposes of paragraph 2 of article 33 of the Convention on the Rights of Persons with Disabilities, adopted by the General Assembly of the United Nations on December 13, 2006, designated as a body responsible for monitoring the Government of Canada’s implementation of that Convention.</w:t>
      </w:r>
      <w:r w:rsidRPr="0000563D">
        <w:rPr>
          <w:rStyle w:val="EndnoteReference"/>
          <w:sz w:val="22"/>
          <w:szCs w:val="22"/>
        </w:rPr>
        <w:endnoteReference w:id="36"/>
      </w:r>
    </w:p>
    <w:p w14:paraId="3BD12F92" w14:textId="46882B15" w:rsidR="002A6493" w:rsidRPr="0000563D" w:rsidRDefault="00077447" w:rsidP="002A6493">
      <w:pPr>
        <w:rPr>
          <w:b/>
          <w:bCs/>
        </w:rPr>
      </w:pPr>
      <w:r w:rsidRPr="0000563D">
        <w:rPr>
          <w:b/>
        </w:rPr>
        <w:t xml:space="preserve">Recommendation </w:t>
      </w:r>
      <w:r w:rsidR="00595277" w:rsidRPr="0000563D">
        <w:rPr>
          <w:b/>
        </w:rPr>
        <w:t>4</w:t>
      </w:r>
      <w:r w:rsidRPr="0000563D">
        <w:rPr>
          <w:b/>
        </w:rPr>
        <w:t xml:space="preserve">: The </w:t>
      </w:r>
      <w:r w:rsidRPr="0000563D">
        <w:rPr>
          <w:b/>
          <w:i/>
        </w:rPr>
        <w:t>Australian Human Rights Commission Act</w:t>
      </w:r>
      <w:r w:rsidRPr="0000563D">
        <w:rPr>
          <w:b/>
        </w:rPr>
        <w:t xml:space="preserve"> 1986 (</w:t>
      </w:r>
      <w:proofErr w:type="spellStart"/>
      <w:r w:rsidRPr="0000563D">
        <w:rPr>
          <w:b/>
        </w:rPr>
        <w:t>Cth</w:t>
      </w:r>
      <w:proofErr w:type="spellEnd"/>
      <w:r w:rsidRPr="0000563D">
        <w:rPr>
          <w:b/>
        </w:rPr>
        <w:t xml:space="preserve">) should be amended to formally designate the Australian Human Rights Commission as the independent monitoring mechanisms for the purposes </w:t>
      </w:r>
      <w:r w:rsidRPr="0000563D">
        <w:rPr>
          <w:b/>
        </w:rPr>
        <w:lastRenderedPageBreak/>
        <w:t xml:space="preserve">of Article 33(2) of the United Nations </w:t>
      </w:r>
      <w:r w:rsidRPr="0000563D">
        <w:rPr>
          <w:b/>
          <w:i/>
        </w:rPr>
        <w:t>Convention on the Rights of Persons with Disabilities</w:t>
      </w:r>
      <w:r w:rsidRPr="0000563D">
        <w:rPr>
          <w:b/>
        </w:rPr>
        <w:t>.</w:t>
      </w:r>
    </w:p>
    <w:p w14:paraId="6D46F235" w14:textId="74B76CAD" w:rsidR="00F014A5" w:rsidRPr="002D4943" w:rsidRDefault="00F014A5" w:rsidP="00F014A5">
      <w:pPr>
        <w:pStyle w:val="Heading2"/>
        <w:rPr>
          <w:rFonts w:ascii="Open Sans" w:hAnsi="Open Sans" w:cs="Open Sans"/>
        </w:rPr>
      </w:pPr>
      <w:bookmarkStart w:id="8" w:name="_Toc214961114"/>
      <w:r w:rsidRPr="002D4943">
        <w:rPr>
          <w:rFonts w:ascii="Open Sans" w:hAnsi="Open Sans" w:cs="Open Sans"/>
        </w:rPr>
        <w:t>Australia’s Human Rights Framework</w:t>
      </w:r>
      <w:bookmarkEnd w:id="8"/>
    </w:p>
    <w:p w14:paraId="7CA8F68D" w14:textId="0D58315D" w:rsidR="00AE53D5" w:rsidRPr="0000563D" w:rsidRDefault="00F014A5" w:rsidP="008911EA">
      <w:r w:rsidRPr="0000563D">
        <w:t xml:space="preserve">Obligations contained in international </w:t>
      </w:r>
      <w:r w:rsidR="00CE57E1" w:rsidRPr="0000563D">
        <w:t xml:space="preserve">human rights treaties </w:t>
      </w:r>
      <w:r w:rsidRPr="0000563D">
        <w:t xml:space="preserve">are binding as a matter of international </w:t>
      </w:r>
      <w:r w:rsidR="00A4281D" w:rsidRPr="0000563D">
        <w:t>law but</w:t>
      </w:r>
      <w:r w:rsidRPr="0000563D">
        <w:t xml:space="preserve"> must be enacted in domestic law to be enforceable in a domestic context. </w:t>
      </w:r>
    </w:p>
    <w:p w14:paraId="66DFC6CD" w14:textId="3EE2CDAE" w:rsidR="00F60822" w:rsidRPr="0000563D" w:rsidRDefault="00330353" w:rsidP="008911EA">
      <w:r w:rsidRPr="0000563D">
        <w:t xml:space="preserve">The Disability Discrimination Act </w:t>
      </w:r>
      <w:r w:rsidR="009722A1" w:rsidRPr="0000563D">
        <w:t xml:space="preserve">has an integral role to play in the implementation of Australia’s human rights obligations, especially </w:t>
      </w:r>
      <w:r w:rsidR="00727C96" w:rsidRPr="0000563D">
        <w:t>those</w:t>
      </w:r>
      <w:r w:rsidR="009722A1" w:rsidRPr="0000563D">
        <w:t xml:space="preserve"> set out in the CRPD.</w:t>
      </w:r>
      <w:r w:rsidR="007B1DE1" w:rsidRPr="0000563D">
        <w:t xml:space="preserve"> </w:t>
      </w:r>
      <w:r w:rsidR="00F60822" w:rsidRPr="0000563D">
        <w:t xml:space="preserve">However, discrimination laws alone will not be sufficient to fully implement </w:t>
      </w:r>
      <w:proofErr w:type="gramStart"/>
      <w:r w:rsidR="00F60822" w:rsidRPr="0000563D">
        <w:t>all of</w:t>
      </w:r>
      <w:proofErr w:type="gramEnd"/>
      <w:r w:rsidR="00F60822" w:rsidRPr="0000563D">
        <w:t xml:space="preserve"> the obligations in the CRPD or to achieve its goal of transformative equality.</w:t>
      </w:r>
    </w:p>
    <w:p w14:paraId="2E27C63D" w14:textId="023D8BFF" w:rsidR="00454102" w:rsidRPr="0000563D" w:rsidRDefault="00454102" w:rsidP="008911EA">
      <w:r w:rsidRPr="0000563D">
        <w:t>Australian can and should do better in protecting and promoting human rights</w:t>
      </w:r>
      <w:r w:rsidR="00F748B1" w:rsidRPr="0000563D">
        <w:t>.</w:t>
      </w:r>
    </w:p>
    <w:p w14:paraId="20530A85" w14:textId="64AB153A" w:rsidR="009A725C" w:rsidRPr="0000563D" w:rsidRDefault="00C13291" w:rsidP="008911EA">
      <w:r w:rsidRPr="0000563D">
        <w:t xml:space="preserve">The Commission’s major, five-year-long project, </w:t>
      </w:r>
      <w:r w:rsidRPr="0000563D">
        <w:rPr>
          <w:i/>
          <w:iCs/>
        </w:rPr>
        <w:t>Free and Equal: An Australian Conversation on Human Rights</w:t>
      </w:r>
      <w:r w:rsidRPr="0000563D">
        <w:t xml:space="preserve">, proposes a Human Rights Framework </w:t>
      </w:r>
      <w:r w:rsidR="009A725C" w:rsidRPr="0000563D">
        <w:t xml:space="preserve">that would incorporate new and renewed initiatives </w:t>
      </w:r>
      <w:r w:rsidR="002E7598" w:rsidRPr="0000563D">
        <w:t xml:space="preserve">for </w:t>
      </w:r>
      <w:r w:rsidR="00974240" w:rsidRPr="0000563D">
        <w:t>human rights protections</w:t>
      </w:r>
      <w:r w:rsidR="00A81B64" w:rsidRPr="0000563D">
        <w:t xml:space="preserve"> that meet </w:t>
      </w:r>
      <w:r w:rsidR="00ED16AE" w:rsidRPr="0000563D">
        <w:t xml:space="preserve">the </w:t>
      </w:r>
      <w:r w:rsidR="00A81B64" w:rsidRPr="0000563D">
        <w:t>challenges of 21</w:t>
      </w:r>
      <w:r w:rsidR="00A81B64" w:rsidRPr="0000563D">
        <w:rPr>
          <w:vertAlign w:val="superscript"/>
        </w:rPr>
        <w:t>st</w:t>
      </w:r>
      <w:r w:rsidR="00A81B64" w:rsidRPr="0000563D">
        <w:t xml:space="preserve"> century life</w:t>
      </w:r>
      <w:r w:rsidR="009A725C" w:rsidRPr="0000563D">
        <w:t>.</w:t>
      </w:r>
      <w:r w:rsidR="001144F6" w:rsidRPr="0000563D">
        <w:rPr>
          <w:rStyle w:val="EndnoteReference"/>
        </w:rPr>
        <w:endnoteReference w:id="37"/>
      </w:r>
      <w:r w:rsidR="009A725C" w:rsidRPr="0000563D">
        <w:t xml:space="preserve"> </w:t>
      </w:r>
      <w:r w:rsidR="00B73F5E" w:rsidRPr="0000563D">
        <w:t>The</w:t>
      </w:r>
      <w:r w:rsidR="009A725C" w:rsidRPr="0000563D">
        <w:t xml:space="preserve"> </w:t>
      </w:r>
      <w:r w:rsidR="00607C6F" w:rsidRPr="0000563D">
        <w:t xml:space="preserve">proposed </w:t>
      </w:r>
      <w:r w:rsidR="009A725C" w:rsidRPr="0000563D">
        <w:t xml:space="preserve">Framework </w:t>
      </w:r>
      <w:r w:rsidR="00070F13" w:rsidRPr="0000563D">
        <w:t xml:space="preserve">comprises </w:t>
      </w:r>
      <w:r w:rsidR="00B73F5E" w:rsidRPr="0000563D">
        <w:t>7 pillars</w:t>
      </w:r>
      <w:r w:rsidR="00791D8C" w:rsidRPr="0000563D">
        <w:t xml:space="preserve"> with</w:t>
      </w:r>
      <w:r w:rsidR="00A81B64" w:rsidRPr="0000563D">
        <w:t xml:space="preserve"> </w:t>
      </w:r>
      <w:r w:rsidR="009A725C" w:rsidRPr="0000563D">
        <w:t>a national Human Rights Act</w:t>
      </w:r>
      <w:r w:rsidR="00791D8C" w:rsidRPr="0000563D">
        <w:t xml:space="preserve"> at its heart</w:t>
      </w:r>
      <w:r w:rsidR="00515108" w:rsidRPr="0000563D">
        <w:t>, alongside federal discrimination law reform</w:t>
      </w:r>
      <w:r w:rsidR="009A725C" w:rsidRPr="0000563D">
        <w:t xml:space="preserve">. </w:t>
      </w:r>
    </w:p>
    <w:p w14:paraId="2CC75301" w14:textId="07A881B5" w:rsidR="009A725C" w:rsidRPr="0000563D" w:rsidRDefault="009A725C" w:rsidP="008911EA">
      <w:r w:rsidRPr="0000563D">
        <w:t xml:space="preserve">The Australian Government is considering a national Human Rights Act in the context of its response to both the final report of the Parliamentary Joint Committee on Human Rights (PJCHR) Inquiry into Australia’s Human Rights </w:t>
      </w:r>
      <w:r w:rsidR="00735655" w:rsidRPr="0000563D">
        <w:t>Framework</w:t>
      </w:r>
      <w:r w:rsidR="00B36F25" w:rsidRPr="0000563D">
        <w:t>,</w:t>
      </w:r>
      <w:r w:rsidRPr="0000563D">
        <w:rPr>
          <w:rStyle w:val="EndnoteReference"/>
        </w:rPr>
        <w:endnoteReference w:id="38"/>
      </w:r>
      <w:r w:rsidRPr="0000563D">
        <w:t xml:space="preserve"> and the recommendations made by the Disability Royal Commission for a Disability Rights Act.</w:t>
      </w:r>
      <w:r w:rsidRPr="0000563D">
        <w:rPr>
          <w:rStyle w:val="EndnoteReference"/>
        </w:rPr>
        <w:endnoteReference w:id="39"/>
      </w:r>
      <w:r w:rsidRPr="0000563D">
        <w:t xml:space="preserve"> </w:t>
      </w:r>
      <w:r w:rsidR="008C36D9" w:rsidRPr="0000563D">
        <w:t xml:space="preserve">The Commission encourages the Australian Government to act swiftly on </w:t>
      </w:r>
      <w:r w:rsidR="002D1616" w:rsidRPr="0000563D">
        <w:t>these reforms.</w:t>
      </w:r>
    </w:p>
    <w:p w14:paraId="75C81A29" w14:textId="0A3FA051" w:rsidR="009A725C" w:rsidRPr="0000563D" w:rsidRDefault="009A725C" w:rsidP="008911EA">
      <w:pPr>
        <w:rPr>
          <w:b/>
          <w:bCs/>
        </w:rPr>
      </w:pPr>
      <w:r w:rsidRPr="0000563D">
        <w:rPr>
          <w:b/>
          <w:bCs/>
        </w:rPr>
        <w:t>Recommendation</w:t>
      </w:r>
      <w:r w:rsidR="00D13293" w:rsidRPr="0000563D">
        <w:rPr>
          <w:b/>
          <w:bCs/>
        </w:rPr>
        <w:t xml:space="preserve"> </w:t>
      </w:r>
      <w:r w:rsidR="00595277" w:rsidRPr="0000563D">
        <w:rPr>
          <w:b/>
          <w:bCs/>
        </w:rPr>
        <w:t>5</w:t>
      </w:r>
      <w:r w:rsidRPr="0000563D">
        <w:rPr>
          <w:b/>
          <w:bCs/>
        </w:rPr>
        <w:t>: The Australian Government should introduce a national Human Rights Act</w:t>
      </w:r>
      <w:r w:rsidR="00A26481" w:rsidRPr="0000563D">
        <w:rPr>
          <w:b/>
          <w:bCs/>
        </w:rPr>
        <w:t xml:space="preserve"> </w:t>
      </w:r>
      <w:proofErr w:type="gramStart"/>
      <w:r w:rsidR="00A26481" w:rsidRPr="0000563D">
        <w:rPr>
          <w:b/>
          <w:bCs/>
        </w:rPr>
        <w:t>in order to</w:t>
      </w:r>
      <w:proofErr w:type="gramEnd"/>
      <w:r w:rsidR="00A26481" w:rsidRPr="0000563D">
        <w:rPr>
          <w:b/>
          <w:bCs/>
        </w:rPr>
        <w:t xml:space="preserve"> fully meet Australia’s obligations under the </w:t>
      </w:r>
      <w:r w:rsidR="00DB55D5" w:rsidRPr="0000563D">
        <w:rPr>
          <w:b/>
          <w:bCs/>
        </w:rPr>
        <w:t xml:space="preserve">United Nations </w:t>
      </w:r>
      <w:r w:rsidR="00DB55D5" w:rsidRPr="0000563D">
        <w:rPr>
          <w:b/>
          <w:bCs/>
          <w:i/>
          <w:iCs/>
        </w:rPr>
        <w:t>Convention on the Rights of Persons with Disabilities</w:t>
      </w:r>
      <w:r w:rsidRPr="0000563D">
        <w:rPr>
          <w:b/>
          <w:bCs/>
        </w:rPr>
        <w:t>.</w:t>
      </w:r>
    </w:p>
    <w:p w14:paraId="6F1E89AE" w14:textId="64DF6C2F" w:rsidR="00A328AA" w:rsidRPr="0000563D" w:rsidRDefault="00A328AA" w:rsidP="00A2165D">
      <w:pPr>
        <w:pStyle w:val="Heading3"/>
        <w:rPr>
          <w:rFonts w:cs="Open Sans"/>
        </w:rPr>
      </w:pPr>
      <w:r w:rsidRPr="0000563D">
        <w:rPr>
          <w:rFonts w:cs="Open Sans"/>
        </w:rPr>
        <w:t>Federal discrimination law</w:t>
      </w:r>
    </w:p>
    <w:p w14:paraId="0C864134" w14:textId="1FB29214" w:rsidR="00D37345" w:rsidRPr="0000563D" w:rsidRDefault="00A328AA" w:rsidP="008911EA">
      <w:pPr>
        <w:rPr>
          <w:rFonts w:eastAsia="Aptos"/>
          <w:lang w:eastAsia="en-US"/>
        </w:rPr>
      </w:pPr>
      <w:r w:rsidRPr="0000563D">
        <w:t xml:space="preserve">Another of the 7 pillars </w:t>
      </w:r>
      <w:r w:rsidR="004B4016" w:rsidRPr="0000563D">
        <w:t>in the Commission’s revitalised human rights framework is reform</w:t>
      </w:r>
      <w:r w:rsidR="007E5B98" w:rsidRPr="0000563D">
        <w:t xml:space="preserve"> to harmonise and</w:t>
      </w:r>
      <w:r w:rsidR="004B4016" w:rsidRPr="0000563D">
        <w:t xml:space="preserve"> modernise</w:t>
      </w:r>
      <w:r w:rsidRPr="0000563D">
        <w:t xml:space="preserve"> federal discrimination law</w:t>
      </w:r>
      <w:r w:rsidR="007E5B98" w:rsidRPr="0000563D">
        <w:t>s</w:t>
      </w:r>
      <w:r w:rsidRPr="0000563D">
        <w:t xml:space="preserve"> to a proactive and preventative model</w:t>
      </w:r>
      <w:r w:rsidR="004B4016" w:rsidRPr="0000563D">
        <w:t>.</w:t>
      </w:r>
      <w:r w:rsidR="00D37345" w:rsidRPr="0000563D">
        <w:t xml:space="preserve"> </w:t>
      </w:r>
      <w:r w:rsidR="0039743D" w:rsidRPr="0000563D">
        <w:rPr>
          <w:rFonts w:eastAsia="Aptos"/>
          <w:lang w:eastAsia="en-US"/>
        </w:rPr>
        <w:t>The Commission sees harmonisation as a necessary step to the realisation of the right to equality and non-discrimination for all people in Australia.</w:t>
      </w:r>
      <w:r w:rsidR="007F230E" w:rsidRPr="0000563D">
        <w:rPr>
          <w:rFonts w:eastAsia="Aptos"/>
          <w:lang w:eastAsia="en-US"/>
        </w:rPr>
        <w:t xml:space="preserve"> </w:t>
      </w:r>
    </w:p>
    <w:p w14:paraId="08CB3A72" w14:textId="30B93E33" w:rsidR="00F014A5" w:rsidRPr="0000563D" w:rsidRDefault="00D37345" w:rsidP="008911EA">
      <w:r w:rsidRPr="0000563D">
        <w:t>Four</w:t>
      </w:r>
      <w:r w:rsidR="00F014A5" w:rsidRPr="0000563D">
        <w:t xml:space="preserve"> </w:t>
      </w:r>
      <w:r w:rsidRPr="0000563D">
        <w:t xml:space="preserve">federal </w:t>
      </w:r>
      <w:r w:rsidR="00F014A5" w:rsidRPr="0000563D">
        <w:t xml:space="preserve">discrimination </w:t>
      </w:r>
      <w:r w:rsidR="00866745" w:rsidRPr="0000563D">
        <w:t>laws</w:t>
      </w:r>
      <w:r w:rsidR="00F014A5" w:rsidRPr="0000563D">
        <w:t xml:space="preserve"> </w:t>
      </w:r>
      <w:r w:rsidR="005D7728" w:rsidRPr="0000563D">
        <w:t xml:space="preserve">provide </w:t>
      </w:r>
      <w:r w:rsidR="00F014A5" w:rsidRPr="0000563D">
        <w:t xml:space="preserve">protections against discrimination on the grounds of </w:t>
      </w:r>
      <w:proofErr w:type="gramStart"/>
      <w:r w:rsidR="00F014A5" w:rsidRPr="0000563D">
        <w:t>particular attributes</w:t>
      </w:r>
      <w:proofErr w:type="gramEnd"/>
      <w:r w:rsidR="00F014A5" w:rsidRPr="0000563D">
        <w:t xml:space="preserve">: </w:t>
      </w:r>
    </w:p>
    <w:p w14:paraId="778DD6B1" w14:textId="5EF2536B" w:rsidR="00F014A5" w:rsidRPr="0000563D" w:rsidRDefault="00F014A5" w:rsidP="00FF4C74">
      <w:pPr>
        <w:pStyle w:val="Bodylistbullets"/>
        <w:ind w:left="1080"/>
      </w:pPr>
      <w:r w:rsidRPr="0000563D">
        <w:t xml:space="preserve">race, colour, descent, national or ethnic origin and immigration status in the </w:t>
      </w:r>
      <w:r w:rsidRPr="0000563D">
        <w:rPr>
          <w:i/>
        </w:rPr>
        <w:t>Racial Discrimination Act</w:t>
      </w:r>
      <w:r w:rsidR="006B35D9" w:rsidRPr="0000563D">
        <w:rPr>
          <w:i/>
          <w:iCs/>
        </w:rPr>
        <w:t xml:space="preserve"> 1975</w:t>
      </w:r>
      <w:r w:rsidR="006B35D9" w:rsidRPr="0000563D">
        <w:t xml:space="preserve"> (</w:t>
      </w:r>
      <w:proofErr w:type="spellStart"/>
      <w:r w:rsidR="006B35D9" w:rsidRPr="0000563D">
        <w:t>Cth</w:t>
      </w:r>
      <w:proofErr w:type="spellEnd"/>
      <w:r w:rsidR="006B35D9" w:rsidRPr="0000563D">
        <w:t>) (Racial Discrimination Act)</w:t>
      </w:r>
    </w:p>
    <w:p w14:paraId="177235BF" w14:textId="1BF0F39E" w:rsidR="00F014A5" w:rsidRPr="0000563D" w:rsidRDefault="00F014A5" w:rsidP="00FF4C74">
      <w:pPr>
        <w:pStyle w:val="Bodylistbullets"/>
        <w:ind w:left="1080"/>
      </w:pPr>
      <w:r w:rsidRPr="0000563D">
        <w:lastRenderedPageBreak/>
        <w:t>sex, pregnancy, marital or relationship status, breastfeeding, gender identity, intersex status, sexual orientation or family responsibilities in the</w:t>
      </w:r>
      <w:r w:rsidRPr="0000563D">
        <w:rPr>
          <w:i/>
        </w:rPr>
        <w:t xml:space="preserve"> Sex Discrimination Act</w:t>
      </w:r>
      <w:r w:rsidR="006B35D9" w:rsidRPr="0000563D">
        <w:rPr>
          <w:i/>
          <w:iCs/>
        </w:rPr>
        <w:t xml:space="preserve"> 1984 </w:t>
      </w:r>
      <w:r w:rsidR="006B35D9" w:rsidRPr="0000563D">
        <w:t>(</w:t>
      </w:r>
      <w:proofErr w:type="spellStart"/>
      <w:r w:rsidR="006B35D9" w:rsidRPr="0000563D">
        <w:t>Cth</w:t>
      </w:r>
      <w:proofErr w:type="spellEnd"/>
      <w:r w:rsidR="006B35D9" w:rsidRPr="0000563D">
        <w:t>) (Sex Discrimination Act)</w:t>
      </w:r>
    </w:p>
    <w:p w14:paraId="1384942A" w14:textId="77777777" w:rsidR="00F014A5" w:rsidRPr="0000563D" w:rsidRDefault="00F014A5" w:rsidP="00FF4C74">
      <w:pPr>
        <w:pStyle w:val="Bodylistbullets"/>
        <w:ind w:left="1080"/>
      </w:pPr>
      <w:r w:rsidRPr="0000563D">
        <w:t>disability in the Disability Discrimination Act</w:t>
      </w:r>
    </w:p>
    <w:p w14:paraId="6034D670" w14:textId="7EF4333E" w:rsidR="00F014A5" w:rsidRPr="0000563D" w:rsidRDefault="00F014A5" w:rsidP="00FF4C74">
      <w:pPr>
        <w:pStyle w:val="Bodylistbullets"/>
        <w:ind w:left="1080"/>
      </w:pPr>
      <w:r w:rsidRPr="0000563D">
        <w:t xml:space="preserve">age in the </w:t>
      </w:r>
      <w:r w:rsidRPr="0000563D">
        <w:rPr>
          <w:i/>
        </w:rPr>
        <w:t>Age Discrimination Act</w:t>
      </w:r>
      <w:r w:rsidR="00202721" w:rsidRPr="0000563D">
        <w:rPr>
          <w:i/>
          <w:iCs/>
        </w:rPr>
        <w:t xml:space="preserve"> 2004</w:t>
      </w:r>
      <w:r w:rsidR="00202721" w:rsidRPr="0000563D">
        <w:t xml:space="preserve"> (</w:t>
      </w:r>
      <w:proofErr w:type="spellStart"/>
      <w:r w:rsidR="00202721" w:rsidRPr="0000563D">
        <w:t>Cth</w:t>
      </w:r>
      <w:proofErr w:type="spellEnd"/>
      <w:r w:rsidR="00202721" w:rsidRPr="0000563D">
        <w:t>) (Age Discrimination Act).</w:t>
      </w:r>
    </w:p>
    <w:p w14:paraId="23B24E9A" w14:textId="0569B4CB" w:rsidR="00F014A5" w:rsidRPr="0000563D" w:rsidRDefault="00F014A5" w:rsidP="008911EA">
      <w:r w:rsidRPr="0000563D">
        <w:t xml:space="preserve">These laws were developed and introduced </w:t>
      </w:r>
      <w:r w:rsidR="008653A0" w:rsidRPr="0000563D">
        <w:t xml:space="preserve">at </w:t>
      </w:r>
      <w:r w:rsidR="00F60700" w:rsidRPr="0000563D">
        <w:t>different</w:t>
      </w:r>
      <w:r w:rsidR="008653A0" w:rsidRPr="0000563D">
        <w:t xml:space="preserve"> times</w:t>
      </w:r>
      <w:r w:rsidRPr="0000563D">
        <w:t xml:space="preserve"> and </w:t>
      </w:r>
      <w:r w:rsidR="008653A0" w:rsidRPr="0000563D">
        <w:t xml:space="preserve">in varying </w:t>
      </w:r>
      <w:r w:rsidRPr="0000563D">
        <w:t>political climates</w:t>
      </w:r>
      <w:r w:rsidR="007F5C2F" w:rsidRPr="0000563D">
        <w:t xml:space="preserve">. </w:t>
      </w:r>
      <w:r w:rsidRPr="0000563D">
        <w:t>Reform ha</w:t>
      </w:r>
      <w:r w:rsidR="007A501D" w:rsidRPr="0000563D">
        <w:t xml:space="preserve">s </w:t>
      </w:r>
      <w:r w:rsidR="0085786C" w:rsidRPr="0000563D">
        <w:t>been piecemeal</w:t>
      </w:r>
      <w:r w:rsidR="003A7DF4" w:rsidRPr="0000563D">
        <w:t xml:space="preserve">, usually in response </w:t>
      </w:r>
      <w:r w:rsidR="0028436B" w:rsidRPr="0000563D">
        <w:t>to</w:t>
      </w:r>
      <w:r w:rsidR="0085786C" w:rsidRPr="0000563D">
        <w:t xml:space="preserve"> specific</w:t>
      </w:r>
      <w:r w:rsidRPr="0000563D">
        <w:t xml:space="preserve"> issues. </w:t>
      </w:r>
      <w:r w:rsidR="00113F17" w:rsidRPr="0000563D">
        <w:t>Significant developments in some laws – such as the introduction of the positive duty into the Sex Discrimination Act</w:t>
      </w:r>
      <w:r w:rsidR="00113F17" w:rsidRPr="0000563D">
        <w:rPr>
          <w:rStyle w:val="EndnoteReference"/>
        </w:rPr>
        <w:endnoteReference w:id="40"/>
      </w:r>
      <w:r w:rsidR="00113F17" w:rsidRPr="0000563D">
        <w:t xml:space="preserve"> – have not been implemented across all federal discrimination laws, leading to disparities in the level of protections available for different attributes. </w:t>
      </w:r>
      <w:r w:rsidRPr="0000563D">
        <w:t xml:space="preserve">The absence of a combined review of all federal discrimination laws has </w:t>
      </w:r>
      <w:r w:rsidR="003A7DF4" w:rsidRPr="0000563D">
        <w:t>meant there has been no</w:t>
      </w:r>
      <w:r w:rsidRPr="0000563D">
        <w:t xml:space="preserve"> </w:t>
      </w:r>
      <w:r w:rsidR="003A7DF4" w:rsidRPr="0000563D">
        <w:t xml:space="preserve">questioning of whether </w:t>
      </w:r>
      <w:r w:rsidRPr="0000563D">
        <w:t xml:space="preserve">they </w:t>
      </w:r>
      <w:r w:rsidR="00C82DA2" w:rsidRPr="0000563D">
        <w:t xml:space="preserve">are </w:t>
      </w:r>
      <w:r w:rsidR="007A04D8" w:rsidRPr="0000563D">
        <w:t>act</w:t>
      </w:r>
      <w:r w:rsidR="00C82DA2" w:rsidRPr="0000563D">
        <w:t>ing</w:t>
      </w:r>
      <w:r w:rsidR="007A04D8" w:rsidRPr="0000563D">
        <w:t xml:space="preserve"> in tandem to best serve </w:t>
      </w:r>
      <w:r w:rsidRPr="0000563D">
        <w:t>the community</w:t>
      </w:r>
      <w:r w:rsidR="004C129A" w:rsidRPr="0000563D">
        <w:t>.</w:t>
      </w:r>
      <w:r w:rsidRPr="0000563D">
        <w:rPr>
          <w:rStyle w:val="EndnoteReference"/>
        </w:rPr>
        <w:endnoteReference w:id="41"/>
      </w:r>
      <w:r w:rsidR="004E6B16" w:rsidRPr="0000563D">
        <w:t xml:space="preserve"> </w:t>
      </w:r>
    </w:p>
    <w:p w14:paraId="09C0A05B" w14:textId="51F8D75D" w:rsidR="009516DE" w:rsidRPr="0000563D" w:rsidRDefault="00F014A5" w:rsidP="008911EA">
      <w:r w:rsidRPr="0000563D">
        <w:t xml:space="preserve">A call for harmonised federal discrimination laws has been </w:t>
      </w:r>
      <w:r w:rsidR="686F74B6" w:rsidRPr="0000563D">
        <w:t>made</w:t>
      </w:r>
      <w:r w:rsidRPr="0000563D">
        <w:t xml:space="preserve"> for many years. In 2012, an Exposure Draft of a </w:t>
      </w:r>
      <w:r w:rsidRPr="0000563D">
        <w:rPr>
          <w:i/>
          <w:iCs/>
        </w:rPr>
        <w:t>Human Rights and Anti-Discrimination Bill</w:t>
      </w:r>
      <w:r w:rsidRPr="0000563D">
        <w:t xml:space="preserve"> </w:t>
      </w:r>
      <w:r w:rsidR="00592BF5" w:rsidRPr="0000563D">
        <w:rPr>
          <w:i/>
          <w:iCs/>
        </w:rPr>
        <w:t>2012</w:t>
      </w:r>
      <w:r w:rsidR="00592BF5" w:rsidRPr="0000563D">
        <w:t xml:space="preserve"> </w:t>
      </w:r>
      <w:r w:rsidRPr="0000563D">
        <w:t>(HRAD Bill)</w:t>
      </w:r>
      <w:r w:rsidR="009F2FA8" w:rsidRPr="0000563D">
        <w:t xml:space="preserve">, </w:t>
      </w:r>
      <w:r w:rsidRPr="0000563D">
        <w:t xml:space="preserve">a single consolidated federal anti-discrimination </w:t>
      </w:r>
      <w:r w:rsidR="005E1E70" w:rsidRPr="0000563D">
        <w:t>Act</w:t>
      </w:r>
      <w:r w:rsidR="009F2FA8" w:rsidRPr="0000563D">
        <w:t xml:space="preserve">, was </w:t>
      </w:r>
      <w:r w:rsidR="003A660D" w:rsidRPr="0000563D">
        <w:t xml:space="preserve">released for public comment. </w:t>
      </w:r>
      <w:r w:rsidR="0040585F" w:rsidRPr="0000563D">
        <w:t>The objective was ‘to create a more effective system of protections from unlawful discrimination, greater certainty for businesses and the most efficient enforcement mechanisms’.</w:t>
      </w:r>
      <w:r w:rsidR="0040585F" w:rsidRPr="0000563D">
        <w:rPr>
          <w:rStyle w:val="EndnoteReference"/>
        </w:rPr>
        <w:endnoteReference w:id="42"/>
      </w:r>
      <w:r w:rsidR="0040585F" w:rsidRPr="0000563D">
        <w:t xml:space="preserve"> </w:t>
      </w:r>
      <w:r w:rsidRPr="0000563D">
        <w:t>Ultimately, the attempt to consolidate federal discrimination law was unsuccessful</w:t>
      </w:r>
      <w:r w:rsidR="00A41DBB" w:rsidRPr="0000563D">
        <w:t>. M</w:t>
      </w:r>
      <w:r w:rsidR="001F4E3C" w:rsidRPr="0000563D">
        <w:t>ore than a decade later, the</w:t>
      </w:r>
      <w:r w:rsidRPr="0000563D">
        <w:t xml:space="preserve"> need for harmonisation of the federal discrimination laws remains. </w:t>
      </w:r>
    </w:p>
    <w:p w14:paraId="1D76D19B" w14:textId="1D38FE30" w:rsidR="00F014A5" w:rsidRPr="0000563D" w:rsidRDefault="004C3FB6" w:rsidP="008911EA">
      <w:pPr>
        <w:rPr>
          <w:rFonts w:eastAsia="Aptos"/>
          <w:lang w:eastAsia="en-US"/>
        </w:rPr>
      </w:pPr>
      <w:r w:rsidRPr="0000563D">
        <w:rPr>
          <w:rFonts w:eastAsia="Aptos"/>
          <w:lang w:eastAsia="en-US"/>
        </w:rPr>
        <w:t>The introduction of harmonised federal discrimination laws</w:t>
      </w:r>
      <w:r w:rsidR="004E529A" w:rsidRPr="0000563D">
        <w:rPr>
          <w:rFonts w:eastAsia="Aptos"/>
          <w:lang w:eastAsia="en-US"/>
        </w:rPr>
        <w:t xml:space="preserve"> </w:t>
      </w:r>
      <w:r w:rsidRPr="0000563D">
        <w:rPr>
          <w:rFonts w:eastAsia="Aptos"/>
          <w:lang w:eastAsia="en-US"/>
        </w:rPr>
        <w:t>would ensure consisten</w:t>
      </w:r>
      <w:r w:rsidR="00B45409" w:rsidRPr="0000563D">
        <w:rPr>
          <w:rFonts w:eastAsia="Aptos"/>
          <w:lang w:eastAsia="en-US"/>
        </w:rPr>
        <w:t>t protections</w:t>
      </w:r>
      <w:r w:rsidRPr="0000563D">
        <w:rPr>
          <w:rFonts w:eastAsia="Aptos"/>
          <w:lang w:eastAsia="en-US"/>
        </w:rPr>
        <w:t xml:space="preserve"> for all people with protected attributes </w:t>
      </w:r>
      <w:r w:rsidR="004E529A" w:rsidRPr="0000563D">
        <w:rPr>
          <w:rFonts w:eastAsia="Aptos"/>
          <w:kern w:val="2"/>
          <w:lang w:eastAsia="en-US"/>
          <w14:ligatures w14:val="standardContextual"/>
        </w:rPr>
        <w:t>as required under international human rights law</w:t>
      </w:r>
      <w:r w:rsidRPr="0000563D">
        <w:rPr>
          <w:rFonts w:eastAsia="Aptos"/>
          <w:lang w:eastAsia="en-US"/>
        </w:rPr>
        <w:t>.</w:t>
      </w:r>
      <w:r w:rsidR="007D3C64" w:rsidRPr="0000563D">
        <w:rPr>
          <w:rFonts w:eastAsia="Aptos"/>
          <w:lang w:eastAsia="en-US"/>
        </w:rPr>
        <w:t xml:space="preserve"> It would go some way to </w:t>
      </w:r>
      <w:r w:rsidR="000E24E9" w:rsidRPr="0000563D">
        <w:rPr>
          <w:rFonts w:eastAsia="Aptos"/>
          <w:lang w:eastAsia="en-US"/>
        </w:rPr>
        <w:t>address intersectional and compounding experiences of discrimination.</w:t>
      </w:r>
      <w:r w:rsidRPr="0000563D">
        <w:rPr>
          <w:rFonts w:eastAsia="Aptos"/>
          <w:lang w:eastAsia="en-US"/>
        </w:rPr>
        <w:t xml:space="preserve"> </w:t>
      </w:r>
      <w:r w:rsidR="00F014A5" w:rsidRPr="0000563D">
        <w:rPr>
          <w:rFonts w:eastAsia="Aptos"/>
          <w:kern w:val="2"/>
          <w:lang w:eastAsia="en-US"/>
          <w14:ligatures w14:val="standardContextual"/>
        </w:rPr>
        <w:t>It</w:t>
      </w:r>
      <w:r w:rsidR="00F014A5" w:rsidRPr="0000563D">
        <w:rPr>
          <w:rFonts w:eastAsia="Aptos"/>
          <w:lang w:eastAsia="en-US"/>
        </w:rPr>
        <w:t xml:space="preserve"> would also reduce the regulatory </w:t>
      </w:r>
      <w:r w:rsidR="00066566" w:rsidRPr="0000563D">
        <w:rPr>
          <w:rFonts w:eastAsia="Aptos"/>
          <w:lang w:eastAsia="en-US"/>
        </w:rPr>
        <w:t xml:space="preserve">complexity </w:t>
      </w:r>
      <w:r w:rsidR="00F014A5" w:rsidRPr="0000563D">
        <w:rPr>
          <w:rFonts w:eastAsia="Aptos"/>
          <w:lang w:eastAsia="en-US"/>
        </w:rPr>
        <w:t>for both duty holder</w:t>
      </w:r>
      <w:r w:rsidR="00211E3F" w:rsidRPr="0000563D">
        <w:rPr>
          <w:rFonts w:eastAsia="Aptos"/>
          <w:lang w:eastAsia="en-US"/>
        </w:rPr>
        <w:t>s</w:t>
      </w:r>
      <w:r w:rsidR="00F014A5" w:rsidRPr="0000563D">
        <w:rPr>
          <w:rFonts w:eastAsia="Aptos"/>
          <w:lang w:eastAsia="en-US"/>
        </w:rPr>
        <w:t xml:space="preserve"> and regulators by avoiding the operation of different</w:t>
      </w:r>
      <w:r w:rsidR="00066566" w:rsidRPr="0000563D">
        <w:rPr>
          <w:rFonts w:eastAsia="Aptos"/>
          <w:lang w:eastAsia="en-US"/>
        </w:rPr>
        <w:t xml:space="preserve"> rights, responsibilities and duties with respect to different forms of unlawful discrimination. </w:t>
      </w:r>
    </w:p>
    <w:p w14:paraId="741E64E4" w14:textId="66EE0FA5" w:rsidR="00A51032" w:rsidRPr="0000563D" w:rsidRDefault="00A50EFF" w:rsidP="770BF407">
      <w:pPr>
        <w:rPr>
          <w:rFonts w:eastAsia="Aptos"/>
          <w:lang w:eastAsia="en-US"/>
        </w:rPr>
      </w:pPr>
      <w:proofErr w:type="gramStart"/>
      <w:r w:rsidRPr="0000563D">
        <w:t>In the course of</w:t>
      </w:r>
      <w:proofErr w:type="gramEnd"/>
      <w:r w:rsidRPr="0000563D">
        <w:t xml:space="preserve"> </w:t>
      </w:r>
      <w:r w:rsidR="004E36F7" w:rsidRPr="0000563D">
        <w:t>our</w:t>
      </w:r>
      <w:r w:rsidRPr="0000563D">
        <w:t xml:space="preserve"> consultations </w:t>
      </w:r>
      <w:r w:rsidR="00382DEE" w:rsidRPr="0000563D">
        <w:t>for Free &amp; Equal, the Commission heard from b</w:t>
      </w:r>
      <w:r w:rsidR="009516DE" w:rsidRPr="0000563D">
        <w:t xml:space="preserve">usiness representatives </w:t>
      </w:r>
      <w:r w:rsidR="00382DEE" w:rsidRPr="0000563D">
        <w:t>about</w:t>
      </w:r>
      <w:r w:rsidR="009516DE" w:rsidRPr="0000563D">
        <w:t xml:space="preserve"> </w:t>
      </w:r>
      <w:r w:rsidR="00387F2E" w:rsidRPr="0000563D">
        <w:t xml:space="preserve">how important it is for them to have </w:t>
      </w:r>
      <w:r w:rsidR="009516DE" w:rsidRPr="0000563D">
        <w:t>confidence</w:t>
      </w:r>
      <w:r w:rsidR="002C4E6D" w:rsidRPr="0000563D">
        <w:t xml:space="preserve"> and clarity</w:t>
      </w:r>
      <w:r w:rsidR="00B036CB" w:rsidRPr="0000563D">
        <w:t xml:space="preserve"> of expectations</w:t>
      </w:r>
      <w:r w:rsidR="00387F2E" w:rsidRPr="0000563D">
        <w:t xml:space="preserve"> </w:t>
      </w:r>
      <w:r w:rsidR="009516DE" w:rsidRPr="0000563D">
        <w:t>in discrimination law and that any reform to discrimination laws should result in a ‘net improvement to the regulatory framework, including in the capacity of employers to comply’.</w:t>
      </w:r>
      <w:r w:rsidR="009516DE" w:rsidRPr="0000563D">
        <w:rPr>
          <w:rStyle w:val="EndnoteReference"/>
        </w:rPr>
        <w:endnoteReference w:id="43"/>
      </w:r>
      <w:r w:rsidR="00126303" w:rsidRPr="0000563D">
        <w:t xml:space="preserve"> </w:t>
      </w:r>
    </w:p>
    <w:p w14:paraId="78F0F63C" w14:textId="2369E7CD" w:rsidR="00A51032" w:rsidRPr="0000563D" w:rsidRDefault="007E5B98" w:rsidP="008911EA">
      <w:pPr>
        <w:rPr>
          <w:rFonts w:eastAsia="Aptos"/>
          <w:lang w:eastAsia="en-US"/>
        </w:rPr>
      </w:pPr>
      <w:r w:rsidRPr="0000563D">
        <w:rPr>
          <w:rFonts w:eastAsia="Aptos"/>
          <w:lang w:eastAsia="en-US"/>
        </w:rPr>
        <w:t>The principles of regulatory best practice require that regulators consider, and aim to improve, the combined regulatory burden of governments on business and the community.</w:t>
      </w:r>
      <w:r w:rsidRPr="0000563D">
        <w:rPr>
          <w:rFonts w:eastAsia="Aptos"/>
          <w:vertAlign w:val="superscript"/>
          <w:lang w:eastAsia="en-US"/>
        </w:rPr>
        <w:endnoteReference w:id="44"/>
      </w:r>
      <w:r w:rsidRPr="0000563D">
        <w:rPr>
          <w:rFonts w:eastAsia="Aptos"/>
          <w:lang w:eastAsia="en-US"/>
        </w:rPr>
        <w:t xml:space="preserve"> In a 2025 survey of its members, the</w:t>
      </w:r>
      <w:r w:rsidR="00A51032" w:rsidRPr="0000563D">
        <w:rPr>
          <w:rFonts w:eastAsia="Aptos"/>
          <w:lang w:eastAsia="en-US"/>
        </w:rPr>
        <w:t xml:space="preserve"> Australian Institute of Company Directors (AICD) </w:t>
      </w:r>
      <w:r w:rsidRPr="0000563D">
        <w:rPr>
          <w:rFonts w:eastAsia="Aptos"/>
          <w:lang w:eastAsia="en-US"/>
        </w:rPr>
        <w:t>found n</w:t>
      </w:r>
      <w:r w:rsidR="00A51032" w:rsidRPr="0000563D">
        <w:rPr>
          <w:rFonts w:eastAsia="Aptos"/>
          <w:lang w:eastAsia="en-US"/>
        </w:rPr>
        <w:t xml:space="preserve">early 60 per cent of survey responders rated compliance and regulation as the top issue affecting organisational risk </w:t>
      </w:r>
      <w:r w:rsidR="00A51032" w:rsidRPr="0000563D">
        <w:rPr>
          <w:rFonts w:eastAsia="Aptos"/>
          <w:lang w:eastAsia="en-US"/>
        </w:rPr>
        <w:lastRenderedPageBreak/>
        <w:t>appetite.</w:t>
      </w:r>
      <w:r w:rsidR="00A51032" w:rsidRPr="0000563D">
        <w:rPr>
          <w:rFonts w:eastAsia="Aptos"/>
          <w:vertAlign w:val="superscript"/>
          <w:lang w:eastAsia="en-US"/>
        </w:rPr>
        <w:endnoteReference w:id="45"/>
      </w:r>
      <w:r w:rsidR="00A51032" w:rsidRPr="0000563D">
        <w:rPr>
          <w:rFonts w:eastAsia="Aptos"/>
          <w:lang w:eastAsia="en-US"/>
        </w:rPr>
        <w:t xml:space="preserve"> The AICD attributed these results to the rise in part to duplication and overlap of regulation.</w:t>
      </w:r>
      <w:r w:rsidR="00A51032" w:rsidRPr="0000563D">
        <w:rPr>
          <w:rStyle w:val="EndnoteReference"/>
          <w:rFonts w:eastAsia="Aptos"/>
          <w:lang w:eastAsia="en-US"/>
        </w:rPr>
        <w:endnoteReference w:id="46"/>
      </w:r>
      <w:r w:rsidR="00A51032" w:rsidRPr="0000563D">
        <w:rPr>
          <w:rFonts w:eastAsia="Aptos"/>
          <w:lang w:eastAsia="en-US"/>
        </w:rPr>
        <w:t xml:space="preserve"> </w:t>
      </w:r>
    </w:p>
    <w:p w14:paraId="0F62231B" w14:textId="55DB1AB6" w:rsidR="00D82B44" w:rsidRPr="0000563D" w:rsidRDefault="00D82B44" w:rsidP="008911EA">
      <w:r w:rsidRPr="0000563D">
        <w:rPr>
          <w:rFonts w:eastAsia="Aptos"/>
          <w:lang w:eastAsia="en-US"/>
        </w:rPr>
        <w:t>The Commission notes that the duty bearers who are required to comply with each discrimination law are generally the same – for example, employers, business owners providing goods and services</w:t>
      </w:r>
      <w:r w:rsidR="00FF5A2A" w:rsidRPr="0000563D">
        <w:rPr>
          <w:rFonts w:eastAsia="Aptos"/>
          <w:lang w:eastAsia="en-US"/>
        </w:rPr>
        <w:t xml:space="preserve"> and</w:t>
      </w:r>
      <w:r w:rsidRPr="0000563D">
        <w:rPr>
          <w:rFonts w:eastAsia="Aptos"/>
          <w:lang w:eastAsia="en-US"/>
        </w:rPr>
        <w:t xml:space="preserve"> educational providers. Requiring such duty bearers to understand and meet different standards under each discrimination law is inefficient, adds unnecessary regulatory burden</w:t>
      </w:r>
      <w:r w:rsidR="000923C3" w:rsidRPr="0000563D">
        <w:rPr>
          <w:rFonts w:eastAsia="Aptos"/>
          <w:lang w:eastAsia="en-US"/>
        </w:rPr>
        <w:t>,</w:t>
      </w:r>
      <w:r w:rsidRPr="0000563D">
        <w:rPr>
          <w:rFonts w:eastAsia="Aptos"/>
          <w:lang w:eastAsia="en-US"/>
        </w:rPr>
        <w:t xml:space="preserve"> and ultimately significantly impacts on the ability of everyday people to understand the law.</w:t>
      </w:r>
    </w:p>
    <w:p w14:paraId="4F559865" w14:textId="1B0BCEC6" w:rsidR="00F6139A" w:rsidRPr="0000563D" w:rsidRDefault="00DE2FB0" w:rsidP="008911EA">
      <w:r w:rsidRPr="0000563D">
        <w:t>The ad</w:t>
      </w:r>
      <w:r w:rsidR="00711B29" w:rsidRPr="0000563D">
        <w:t>o</w:t>
      </w:r>
      <w:r w:rsidRPr="0000563D">
        <w:t>ption of</w:t>
      </w:r>
      <w:r w:rsidR="009516DE" w:rsidRPr="0000563D">
        <w:t xml:space="preserve"> </w:t>
      </w:r>
      <w:r w:rsidR="004A1EE7" w:rsidRPr="0000563D">
        <w:t>harmonised</w:t>
      </w:r>
      <w:r w:rsidR="009516DE" w:rsidRPr="0000563D">
        <w:t xml:space="preserve"> federal discrimination law</w:t>
      </w:r>
      <w:r w:rsidR="00711B29" w:rsidRPr="0000563D">
        <w:t xml:space="preserve"> </w:t>
      </w:r>
      <w:r w:rsidR="009516DE" w:rsidRPr="0000563D">
        <w:t xml:space="preserve">would set a clear expectation that all duty holders must always act in a non-discriminatory manner and pre-emptively consider and address risks of unlawful discrimination. </w:t>
      </w:r>
      <w:r w:rsidR="00F6139A" w:rsidRPr="0000563D">
        <w:t>The</w:t>
      </w:r>
      <w:r w:rsidR="00AE3175" w:rsidRPr="0000563D">
        <w:t>re are a few ways to achieve harmonisation of federal discrimination laws:</w:t>
      </w:r>
    </w:p>
    <w:p w14:paraId="535D25B6" w14:textId="526AE0CD" w:rsidR="00AE3175" w:rsidRPr="0000563D" w:rsidRDefault="00AE3175" w:rsidP="000A5DE2">
      <w:pPr>
        <w:pStyle w:val="ListBullet"/>
        <w:rPr>
          <w:rFonts w:cs="Open Sans"/>
        </w:rPr>
      </w:pPr>
      <w:r w:rsidRPr="0000563D">
        <w:rPr>
          <w:rFonts w:cs="Open Sans"/>
        </w:rPr>
        <w:t xml:space="preserve">Replace the existing </w:t>
      </w:r>
      <w:r w:rsidR="00DF570D" w:rsidRPr="0000563D">
        <w:rPr>
          <w:rFonts w:cs="Open Sans"/>
        </w:rPr>
        <w:t xml:space="preserve">4 </w:t>
      </w:r>
      <w:r w:rsidRPr="0000563D">
        <w:rPr>
          <w:rFonts w:cs="Open Sans"/>
        </w:rPr>
        <w:t xml:space="preserve">federal discrimination laws with one combined </w:t>
      </w:r>
      <w:r w:rsidR="0015791C" w:rsidRPr="0000563D">
        <w:rPr>
          <w:rFonts w:cs="Open Sans"/>
        </w:rPr>
        <w:t>law.</w:t>
      </w:r>
    </w:p>
    <w:p w14:paraId="543903AD" w14:textId="693F0664" w:rsidR="00AE3175" w:rsidRPr="0000563D" w:rsidRDefault="00AE3175" w:rsidP="000A5DE2">
      <w:pPr>
        <w:pStyle w:val="ListBullet"/>
        <w:rPr>
          <w:rFonts w:cs="Open Sans"/>
        </w:rPr>
      </w:pPr>
      <w:r w:rsidRPr="0000563D">
        <w:rPr>
          <w:rFonts w:cs="Open Sans"/>
        </w:rPr>
        <w:t xml:space="preserve">Ensure consistency </w:t>
      </w:r>
      <w:r w:rsidR="00865619" w:rsidRPr="0000563D">
        <w:rPr>
          <w:rFonts w:cs="Open Sans"/>
        </w:rPr>
        <w:t>of legal standards and requirements</w:t>
      </w:r>
      <w:r w:rsidRPr="0000563D">
        <w:rPr>
          <w:rFonts w:cs="Open Sans"/>
        </w:rPr>
        <w:t xml:space="preserve"> across the </w:t>
      </w:r>
      <w:r w:rsidR="00DF570D" w:rsidRPr="0000563D">
        <w:rPr>
          <w:rFonts w:cs="Open Sans"/>
        </w:rPr>
        <w:t xml:space="preserve">4 </w:t>
      </w:r>
      <w:r w:rsidRPr="0000563D">
        <w:rPr>
          <w:rFonts w:cs="Open Sans"/>
        </w:rPr>
        <w:t xml:space="preserve">existing discrimination laws. </w:t>
      </w:r>
    </w:p>
    <w:p w14:paraId="5520B12B" w14:textId="6E9AE463" w:rsidR="00AE3175" w:rsidRPr="0000563D" w:rsidRDefault="004676CA" w:rsidP="008911EA">
      <w:pPr>
        <w:rPr>
          <w:rFonts w:eastAsia="Aptos"/>
          <w:lang w:eastAsia="en-US"/>
        </w:rPr>
      </w:pPr>
      <w:r w:rsidRPr="0000563D">
        <w:rPr>
          <w:rFonts w:eastAsia="Aptos"/>
          <w:lang w:eastAsia="en-US"/>
        </w:rPr>
        <w:t>The Commission notes that the Government has not committed to ensuring that all federal discrimination laws operate in a consistent, standardised manner and has only committed to reforming the Disability Discrimination Act.</w:t>
      </w:r>
    </w:p>
    <w:p w14:paraId="6CD32E5F" w14:textId="4297C8E7" w:rsidR="004676CA" w:rsidRPr="0000563D" w:rsidRDefault="004676CA" w:rsidP="008911EA">
      <w:pPr>
        <w:rPr>
          <w:rFonts w:eastAsia="Aptos"/>
          <w:lang w:eastAsia="en-US"/>
        </w:rPr>
      </w:pPr>
      <w:r w:rsidRPr="0000563D">
        <w:rPr>
          <w:rFonts w:eastAsia="Aptos"/>
          <w:lang w:eastAsia="en-US"/>
        </w:rPr>
        <w:t xml:space="preserve">Any changes to complaint handling processes related to disability discrimination </w:t>
      </w:r>
      <w:r w:rsidR="008F50B2" w:rsidRPr="0000563D">
        <w:rPr>
          <w:rFonts w:eastAsia="Aptos"/>
          <w:lang w:eastAsia="en-US"/>
        </w:rPr>
        <w:t>would be achieved by reforming the Australian Human Rights Commission</w:t>
      </w:r>
      <w:r w:rsidR="00A875D3" w:rsidRPr="0000563D">
        <w:rPr>
          <w:rFonts w:eastAsia="Aptos"/>
          <w:lang w:eastAsia="en-US"/>
        </w:rPr>
        <w:t xml:space="preserve"> Act. As this also</w:t>
      </w:r>
      <w:r w:rsidR="008F50B2" w:rsidRPr="0000563D">
        <w:rPr>
          <w:rFonts w:eastAsia="Aptos"/>
          <w:lang w:eastAsia="en-US"/>
        </w:rPr>
        <w:t xml:space="preserve"> governs how the complaint processes work under </w:t>
      </w:r>
      <w:r w:rsidR="00A750FE" w:rsidRPr="0000563D">
        <w:rPr>
          <w:rFonts w:eastAsia="Aptos"/>
          <w:lang w:eastAsia="en-US"/>
        </w:rPr>
        <w:t xml:space="preserve">all </w:t>
      </w:r>
      <w:r w:rsidR="00DF570D" w:rsidRPr="0000563D">
        <w:rPr>
          <w:rFonts w:eastAsia="Aptos"/>
          <w:lang w:eastAsia="en-US"/>
        </w:rPr>
        <w:t>4</w:t>
      </w:r>
      <w:r w:rsidR="008F50B2" w:rsidRPr="0000563D">
        <w:rPr>
          <w:rFonts w:eastAsia="Aptos"/>
          <w:lang w:eastAsia="en-US"/>
        </w:rPr>
        <w:t xml:space="preserve"> discrimination laws</w:t>
      </w:r>
      <w:r w:rsidR="00A875D3" w:rsidRPr="0000563D">
        <w:rPr>
          <w:rFonts w:eastAsia="Aptos"/>
          <w:lang w:eastAsia="en-US"/>
        </w:rPr>
        <w:t xml:space="preserve">, any reforms to that Act would </w:t>
      </w:r>
      <w:r w:rsidR="00AA33AF" w:rsidRPr="0000563D">
        <w:rPr>
          <w:rFonts w:eastAsia="Aptos"/>
          <w:lang w:eastAsia="en-US"/>
        </w:rPr>
        <w:t xml:space="preserve">contribute to a broader </w:t>
      </w:r>
      <w:r w:rsidR="008F50B2" w:rsidRPr="0000563D">
        <w:rPr>
          <w:rFonts w:eastAsia="Aptos"/>
          <w:lang w:eastAsia="en-US"/>
        </w:rPr>
        <w:t>harmonis</w:t>
      </w:r>
      <w:r w:rsidR="00AA33AF" w:rsidRPr="0000563D">
        <w:rPr>
          <w:rFonts w:eastAsia="Aptos"/>
          <w:lang w:eastAsia="en-US"/>
        </w:rPr>
        <w:t>ation of the law.</w:t>
      </w:r>
    </w:p>
    <w:p w14:paraId="74D152AB" w14:textId="63902F40" w:rsidR="004A1EE7" w:rsidRPr="0000563D" w:rsidRDefault="00AA33AF" w:rsidP="008911EA">
      <w:pPr>
        <w:rPr>
          <w:rFonts w:eastAsia="Aptos"/>
          <w:lang w:eastAsia="en-US"/>
        </w:rPr>
      </w:pPr>
      <w:r w:rsidRPr="0000563D">
        <w:rPr>
          <w:rFonts w:eastAsia="Aptos"/>
          <w:lang w:eastAsia="en-US"/>
        </w:rPr>
        <w:t xml:space="preserve">However, </w:t>
      </w:r>
      <w:r w:rsidR="0049269D" w:rsidRPr="0000563D">
        <w:rPr>
          <w:rFonts w:eastAsia="Aptos"/>
          <w:lang w:eastAsia="en-US"/>
        </w:rPr>
        <w:t>there are</w:t>
      </w:r>
      <w:r w:rsidRPr="0000563D">
        <w:rPr>
          <w:rFonts w:eastAsia="Aptos"/>
          <w:lang w:eastAsia="en-US"/>
        </w:rPr>
        <w:t xml:space="preserve"> </w:t>
      </w:r>
      <w:r w:rsidR="007F54A0" w:rsidRPr="0000563D">
        <w:rPr>
          <w:rFonts w:eastAsia="Aptos"/>
          <w:lang w:eastAsia="en-US"/>
        </w:rPr>
        <w:t>many</w:t>
      </w:r>
      <w:r w:rsidRPr="0000563D">
        <w:rPr>
          <w:rFonts w:eastAsia="Aptos"/>
          <w:lang w:eastAsia="en-US"/>
        </w:rPr>
        <w:t xml:space="preserve"> significant </w:t>
      </w:r>
      <w:r w:rsidR="007F54A0" w:rsidRPr="0000563D">
        <w:rPr>
          <w:rFonts w:eastAsia="Aptos"/>
          <w:lang w:eastAsia="en-US"/>
        </w:rPr>
        <w:t xml:space="preserve">issues in the discrimination laws themselves. </w:t>
      </w:r>
      <w:r w:rsidR="002F5C84" w:rsidRPr="0000563D">
        <w:rPr>
          <w:rFonts w:eastAsia="Aptos"/>
          <w:lang w:eastAsia="en-US"/>
        </w:rPr>
        <w:t xml:space="preserve">This includes </w:t>
      </w:r>
      <w:r w:rsidR="008E3B8A" w:rsidRPr="0000563D">
        <w:rPr>
          <w:rFonts w:eastAsia="Aptos"/>
          <w:lang w:eastAsia="en-US"/>
        </w:rPr>
        <w:t>differences in</w:t>
      </w:r>
      <w:r w:rsidR="002F5C84" w:rsidRPr="0000563D">
        <w:rPr>
          <w:rFonts w:eastAsia="Aptos"/>
          <w:lang w:eastAsia="en-US"/>
        </w:rPr>
        <w:t xml:space="preserve"> definitions of discrimination, evidentiary requirements</w:t>
      </w:r>
      <w:r w:rsidR="009C668C" w:rsidRPr="0000563D">
        <w:rPr>
          <w:rFonts w:eastAsia="Aptos"/>
          <w:lang w:eastAsia="en-US"/>
        </w:rPr>
        <w:t xml:space="preserve"> and any</w:t>
      </w:r>
      <w:r w:rsidR="002F5C84" w:rsidRPr="0000563D">
        <w:rPr>
          <w:rFonts w:eastAsia="Aptos"/>
          <w:lang w:eastAsia="en-US"/>
        </w:rPr>
        <w:t xml:space="preserve"> positive duties. </w:t>
      </w:r>
      <w:r w:rsidR="004A1EE7" w:rsidRPr="0000563D">
        <w:rPr>
          <w:rFonts w:eastAsia="Aptos"/>
          <w:lang w:eastAsia="en-US"/>
        </w:rPr>
        <w:t xml:space="preserve">The Commission </w:t>
      </w:r>
      <w:r w:rsidR="009C668C" w:rsidRPr="0000563D">
        <w:rPr>
          <w:rFonts w:eastAsia="Aptos"/>
          <w:lang w:eastAsia="en-US"/>
        </w:rPr>
        <w:t xml:space="preserve">strongly encourages the </w:t>
      </w:r>
      <w:r w:rsidR="005121F0" w:rsidRPr="0000563D">
        <w:rPr>
          <w:rFonts w:eastAsia="Aptos"/>
          <w:lang w:eastAsia="en-US"/>
        </w:rPr>
        <w:t xml:space="preserve">Australian </w:t>
      </w:r>
      <w:r w:rsidR="00987C62" w:rsidRPr="0000563D">
        <w:rPr>
          <w:rFonts w:eastAsia="Aptos"/>
          <w:lang w:eastAsia="en-US"/>
        </w:rPr>
        <w:t>G</w:t>
      </w:r>
      <w:r w:rsidR="009C668C" w:rsidRPr="0000563D">
        <w:rPr>
          <w:rFonts w:eastAsia="Aptos"/>
          <w:lang w:eastAsia="en-US"/>
        </w:rPr>
        <w:t xml:space="preserve">overnment to </w:t>
      </w:r>
      <w:r w:rsidR="00D22EB5" w:rsidRPr="0000563D">
        <w:rPr>
          <w:rFonts w:eastAsia="Aptos"/>
          <w:lang w:eastAsia="en-US"/>
        </w:rPr>
        <w:t>apply</w:t>
      </w:r>
      <w:r w:rsidR="00CA467C" w:rsidRPr="0000563D">
        <w:rPr>
          <w:rFonts w:eastAsia="Aptos"/>
          <w:lang w:eastAsia="en-US"/>
        </w:rPr>
        <w:t xml:space="preserve"> any a</w:t>
      </w:r>
      <w:r w:rsidR="00F014A5" w:rsidRPr="0000563D">
        <w:rPr>
          <w:rFonts w:eastAsia="Aptos"/>
          <w:lang w:eastAsia="en-US"/>
        </w:rPr>
        <w:t>mendments to the Disability Discrimination Act</w:t>
      </w:r>
      <w:r w:rsidR="005645D5" w:rsidRPr="0000563D">
        <w:rPr>
          <w:rFonts w:eastAsia="Aptos"/>
          <w:lang w:eastAsia="en-US"/>
        </w:rPr>
        <w:t xml:space="preserve"> across the remaining </w:t>
      </w:r>
      <w:r w:rsidR="00B90148" w:rsidRPr="0000563D">
        <w:rPr>
          <w:rFonts w:eastAsia="Aptos"/>
          <w:lang w:eastAsia="en-US"/>
        </w:rPr>
        <w:t xml:space="preserve">3 </w:t>
      </w:r>
      <w:r w:rsidR="005645D5" w:rsidRPr="0000563D">
        <w:rPr>
          <w:rFonts w:eastAsia="Aptos"/>
          <w:lang w:eastAsia="en-US"/>
        </w:rPr>
        <w:t xml:space="preserve">discrimination laws where there are common issues. The </w:t>
      </w:r>
      <w:r w:rsidR="00987C62" w:rsidRPr="0000563D">
        <w:rPr>
          <w:rFonts w:eastAsia="Aptos"/>
          <w:lang w:eastAsia="en-US"/>
        </w:rPr>
        <w:t>G</w:t>
      </w:r>
      <w:r w:rsidR="005645D5" w:rsidRPr="0000563D">
        <w:rPr>
          <w:rFonts w:eastAsia="Aptos"/>
          <w:lang w:eastAsia="en-US"/>
        </w:rPr>
        <w:t xml:space="preserve">overnment should ensure </w:t>
      </w:r>
      <w:r w:rsidR="00F014A5" w:rsidRPr="0000563D">
        <w:rPr>
          <w:rFonts w:eastAsia="Aptos"/>
          <w:lang w:eastAsia="en-US"/>
        </w:rPr>
        <w:t xml:space="preserve">consistency </w:t>
      </w:r>
      <w:r w:rsidR="0036361F" w:rsidRPr="0000563D">
        <w:rPr>
          <w:rFonts w:eastAsia="Aptos"/>
          <w:lang w:eastAsia="en-US"/>
        </w:rPr>
        <w:t xml:space="preserve">in </w:t>
      </w:r>
      <w:r w:rsidR="00F014A5" w:rsidRPr="0000563D">
        <w:rPr>
          <w:rFonts w:eastAsia="Aptos"/>
          <w:lang w:eastAsia="en-US"/>
        </w:rPr>
        <w:t>definitions, legal tests and defences.</w:t>
      </w:r>
      <w:r w:rsidR="002648FA" w:rsidRPr="0000563D">
        <w:rPr>
          <w:rFonts w:eastAsia="Aptos"/>
          <w:lang w:eastAsia="en-US"/>
        </w:rPr>
        <w:t xml:space="preserve"> </w:t>
      </w:r>
    </w:p>
    <w:p w14:paraId="3BBE56D6" w14:textId="2D718AC2" w:rsidR="00F014A5" w:rsidRPr="0000563D" w:rsidRDefault="00F014A5" w:rsidP="008911EA">
      <w:pPr>
        <w:rPr>
          <w:b/>
          <w:bCs/>
        </w:rPr>
      </w:pPr>
      <w:r w:rsidRPr="0000563D">
        <w:rPr>
          <w:b/>
          <w:bCs/>
        </w:rPr>
        <w:t>Recommendation</w:t>
      </w:r>
      <w:r w:rsidR="00D13293" w:rsidRPr="0000563D">
        <w:rPr>
          <w:b/>
          <w:bCs/>
        </w:rPr>
        <w:t xml:space="preserve"> </w:t>
      </w:r>
      <w:r w:rsidR="00595277" w:rsidRPr="0000563D">
        <w:rPr>
          <w:b/>
          <w:bCs/>
        </w:rPr>
        <w:t>6</w:t>
      </w:r>
      <w:r w:rsidRPr="0000563D">
        <w:rPr>
          <w:b/>
          <w:bCs/>
        </w:rPr>
        <w:t xml:space="preserve">: </w:t>
      </w:r>
      <w:r w:rsidR="009F19F2" w:rsidRPr="0000563D">
        <w:rPr>
          <w:b/>
          <w:bCs/>
        </w:rPr>
        <w:t>The Australian Government should</w:t>
      </w:r>
      <w:r w:rsidR="00494A46" w:rsidRPr="0000563D">
        <w:rPr>
          <w:b/>
          <w:bCs/>
        </w:rPr>
        <w:t xml:space="preserve"> </w:t>
      </w:r>
      <w:r w:rsidR="009F19F2" w:rsidRPr="0000563D">
        <w:rPr>
          <w:b/>
          <w:bCs/>
        </w:rPr>
        <w:t xml:space="preserve">harmonise </w:t>
      </w:r>
      <w:r w:rsidRPr="0000563D">
        <w:rPr>
          <w:b/>
          <w:bCs/>
        </w:rPr>
        <w:t>federal discrimination law</w:t>
      </w:r>
      <w:r w:rsidR="00884EA4" w:rsidRPr="0000563D">
        <w:rPr>
          <w:b/>
          <w:bCs/>
        </w:rPr>
        <w:t>s</w:t>
      </w:r>
      <w:r w:rsidR="006A2625" w:rsidRPr="0000563D">
        <w:rPr>
          <w:rFonts w:eastAsia="Aptos"/>
          <w:b/>
          <w:bCs/>
          <w:lang w:eastAsia="en-US"/>
        </w:rPr>
        <w:t xml:space="preserve"> to ensure consistency in </w:t>
      </w:r>
      <w:r w:rsidR="00E001B4" w:rsidRPr="0000563D">
        <w:rPr>
          <w:rFonts w:eastAsia="Aptos"/>
          <w:b/>
          <w:bCs/>
          <w:lang w:eastAsia="en-US"/>
        </w:rPr>
        <w:t>their operation</w:t>
      </w:r>
      <w:r w:rsidRPr="0000563D">
        <w:rPr>
          <w:b/>
          <w:bCs/>
        </w:rPr>
        <w:t xml:space="preserve">. </w:t>
      </w:r>
    </w:p>
    <w:p w14:paraId="6D9F8C73" w14:textId="48619A0E" w:rsidR="00AB5DDB" w:rsidRPr="002D4943" w:rsidRDefault="00AB5DDB" w:rsidP="00B82521">
      <w:pPr>
        <w:pStyle w:val="Heading2"/>
        <w:rPr>
          <w:rFonts w:ascii="Open Sans" w:hAnsi="Open Sans" w:cs="Open Sans"/>
        </w:rPr>
      </w:pPr>
      <w:bookmarkStart w:id="9" w:name="_Toc214961115"/>
      <w:r w:rsidRPr="002D4943">
        <w:rPr>
          <w:rFonts w:ascii="Open Sans" w:hAnsi="Open Sans" w:cs="Open Sans"/>
        </w:rPr>
        <w:t>Intersectional discrimination</w:t>
      </w:r>
      <w:bookmarkEnd w:id="9"/>
    </w:p>
    <w:p w14:paraId="6ECF4B93" w14:textId="2F4BD98E" w:rsidR="00913278" w:rsidRPr="0000563D" w:rsidRDefault="00913278" w:rsidP="008911EA">
      <w:r w:rsidRPr="0000563D">
        <w:t xml:space="preserve">The Issues Paper seeks views on amendments to the Disability Discrimination Act to expressly allow </w:t>
      </w:r>
      <w:r w:rsidR="00990C39" w:rsidRPr="0000563D">
        <w:t xml:space="preserve">discrimination </w:t>
      </w:r>
      <w:r w:rsidRPr="0000563D">
        <w:t xml:space="preserve">claims to be brought for multiple or </w:t>
      </w:r>
      <w:r w:rsidRPr="0000563D">
        <w:lastRenderedPageBreak/>
        <w:t xml:space="preserve">combined protected attributes, and whether other changes should be made to this Act to protect people with disability who have intersecting identities. </w:t>
      </w:r>
    </w:p>
    <w:p w14:paraId="2D0C08BC" w14:textId="5CD72B0E" w:rsidR="00FE60A3" w:rsidRPr="0000563D" w:rsidRDefault="00FE60A3" w:rsidP="008911EA">
      <w:r w:rsidRPr="0000563D">
        <w:t>Intersectional discrimination refers to the fact that ‘people often experience multiple overlapping forms of discrimination and harassment, for example on the basis of gender, race, disability or sexuality.’</w:t>
      </w:r>
      <w:r w:rsidRPr="0000563D">
        <w:rPr>
          <w:rStyle w:val="EndnoteReference"/>
        </w:rPr>
        <w:endnoteReference w:id="47"/>
      </w:r>
      <w:r w:rsidRPr="0000563D">
        <w:t xml:space="preserve"> Many people with disability provided evidence on their experiences of intersectional discrimination to the Disability Royal Commission. </w:t>
      </w:r>
    </w:p>
    <w:p w14:paraId="1CDBF8BD" w14:textId="44BC076B" w:rsidR="00AB5DDB" w:rsidRPr="0000563D" w:rsidRDefault="00AB5DDB" w:rsidP="008911EA">
      <w:r w:rsidRPr="0000563D">
        <w:t xml:space="preserve">International human rights law recognises that discrimination may occur on the grounds of various attributes. The </w:t>
      </w:r>
      <w:r w:rsidR="00931389" w:rsidRPr="0000563D">
        <w:t>International Covenant on Civil and Political Rights (ICCPR)</w:t>
      </w:r>
      <w:r w:rsidRPr="0000563D">
        <w:t xml:space="preserve"> protects rights without distinction of any kind, such as race, colour, sex, language, religion, political or other opinion, national or social origin, property, birth or other status.</w:t>
      </w:r>
      <w:r w:rsidRPr="0000563D">
        <w:rPr>
          <w:rStyle w:val="EndnoteReference"/>
        </w:rPr>
        <w:endnoteReference w:id="48"/>
      </w:r>
      <w:r w:rsidRPr="0000563D">
        <w:t xml:space="preserve"> This list is non-exhaustive </w:t>
      </w:r>
      <w:r w:rsidR="00BE6ACE" w:rsidRPr="0000563D">
        <w:t xml:space="preserve">through </w:t>
      </w:r>
      <w:r w:rsidRPr="0000563D">
        <w:t xml:space="preserve">the inclusion of ‘other status’, </w:t>
      </w:r>
      <w:r w:rsidR="00FB044C" w:rsidRPr="0000563D">
        <w:t>which refers to grounds for discrimination that are not explicitly listed</w:t>
      </w:r>
      <w:r w:rsidR="0068092B" w:rsidRPr="0000563D">
        <w:t xml:space="preserve">, </w:t>
      </w:r>
      <w:r w:rsidRPr="0000563D">
        <w:t xml:space="preserve">and </w:t>
      </w:r>
      <w:r w:rsidR="00613ED5" w:rsidRPr="0000563D">
        <w:t xml:space="preserve">is </w:t>
      </w:r>
      <w:r w:rsidRPr="0000563D">
        <w:t xml:space="preserve">far </w:t>
      </w:r>
      <w:r w:rsidR="00613ED5" w:rsidRPr="0000563D">
        <w:t xml:space="preserve">broader than </w:t>
      </w:r>
      <w:r w:rsidRPr="0000563D">
        <w:t xml:space="preserve">the attributes currently protected by federal discrimination law in Australia. </w:t>
      </w:r>
    </w:p>
    <w:p w14:paraId="07DDE721" w14:textId="291E0E34" w:rsidR="00ED58AF" w:rsidRPr="0000563D" w:rsidRDefault="00ED58AF" w:rsidP="008911EA">
      <w:r w:rsidRPr="0000563D">
        <w:t xml:space="preserve">In the 2019 review of Australia’s implementation of the CRPD, the </w:t>
      </w:r>
      <w:r w:rsidR="00CA160E" w:rsidRPr="0000563D">
        <w:t>CRPD Committee</w:t>
      </w:r>
      <w:r w:rsidRPr="0000563D">
        <w:t xml:space="preserve"> expressed concern that </w:t>
      </w:r>
      <w:r w:rsidR="002E2E05" w:rsidRPr="0000563D">
        <w:t>Australian</w:t>
      </w:r>
      <w:r w:rsidRPr="0000563D">
        <w:t xml:space="preserve"> laws do not facilitate an individual bringing a complaint of discrimination relating to multiple protected attributes.</w:t>
      </w:r>
      <w:r w:rsidRPr="0000563D">
        <w:rPr>
          <w:vertAlign w:val="superscript"/>
        </w:rPr>
        <w:endnoteReference w:id="49"/>
      </w:r>
      <w:r w:rsidRPr="0000563D">
        <w:t xml:space="preserve"> The CRPD Committee recommended anti-discrimination laws</w:t>
      </w:r>
      <w:r w:rsidR="00AC10FA" w:rsidRPr="0000563D">
        <w:t xml:space="preserve"> be strengthened</w:t>
      </w:r>
      <w:r w:rsidRPr="0000563D">
        <w:t xml:space="preserve">, </w:t>
      </w:r>
      <w:r w:rsidR="00AC10FA" w:rsidRPr="0000563D">
        <w:t xml:space="preserve">and </w:t>
      </w:r>
      <w:r w:rsidRPr="0000563D">
        <w:t>particularly the Disability Discrimination Act to ‘[a]</w:t>
      </w:r>
      <w:proofErr w:type="spellStart"/>
      <w:r w:rsidRPr="0000563D">
        <w:t>ddress</w:t>
      </w:r>
      <w:proofErr w:type="spellEnd"/>
      <w:r w:rsidRPr="0000563D">
        <w:t xml:space="preserve"> and prohibit systemic, intersectional and multiple forms of discrimination, recognizing discrimination on a single or on multiple and/or intersectional characteristics’.</w:t>
      </w:r>
      <w:r w:rsidRPr="0000563D">
        <w:rPr>
          <w:rStyle w:val="EndnoteReference"/>
        </w:rPr>
        <w:endnoteReference w:id="50"/>
      </w:r>
      <w:r w:rsidRPr="0000563D">
        <w:t xml:space="preserve"> </w:t>
      </w:r>
    </w:p>
    <w:p w14:paraId="774150D0" w14:textId="5A42EE34" w:rsidR="00FA3186" w:rsidRPr="0000563D" w:rsidRDefault="00AB5DDB" w:rsidP="008911EA">
      <w:r w:rsidRPr="0000563D">
        <w:t xml:space="preserve">Through </w:t>
      </w:r>
      <w:r w:rsidR="007F3CCA" w:rsidRPr="0000563D">
        <w:t xml:space="preserve">our </w:t>
      </w:r>
      <w:r w:rsidRPr="0000563D">
        <w:t xml:space="preserve">complaints handling functions, the Commission routinely receives complaints based on multiple grounds of discrimination. </w:t>
      </w:r>
      <w:r w:rsidR="00303DCA" w:rsidRPr="0000563D">
        <w:t xml:space="preserve">The flexibility of the complaints process allows </w:t>
      </w:r>
      <w:r w:rsidR="00D83C3C" w:rsidRPr="0000563D">
        <w:t>t</w:t>
      </w:r>
      <w:r w:rsidRPr="0000563D">
        <w:t xml:space="preserve">hese </w:t>
      </w:r>
      <w:r w:rsidR="00D83C3C" w:rsidRPr="0000563D">
        <w:t xml:space="preserve">to be </w:t>
      </w:r>
      <w:r w:rsidRPr="0000563D">
        <w:t xml:space="preserve">dealt with as one complaint, rather than </w:t>
      </w:r>
      <w:r w:rsidR="00F03358" w:rsidRPr="0000563D">
        <w:t xml:space="preserve">the </w:t>
      </w:r>
      <w:r w:rsidRPr="0000563D">
        <w:t xml:space="preserve">complaint </w:t>
      </w:r>
      <w:r w:rsidR="00EB3826" w:rsidRPr="0000563D">
        <w:t xml:space="preserve">being separated </w:t>
      </w:r>
      <w:r w:rsidRPr="0000563D">
        <w:t xml:space="preserve">into their component parts. As such, applicants are not required to choose only one attribute when making a complaint to the Commission and can proceed with a complaint on multiple grounds, provided the complaint relates to attributes protected in any of the </w:t>
      </w:r>
      <w:r w:rsidR="00260196" w:rsidRPr="0000563D">
        <w:t xml:space="preserve">4 </w:t>
      </w:r>
      <w:r w:rsidRPr="0000563D">
        <w:t xml:space="preserve">federal discrimination </w:t>
      </w:r>
      <w:r w:rsidR="001C624C" w:rsidRPr="0000563D">
        <w:t>A</w:t>
      </w:r>
      <w:r w:rsidRPr="0000563D">
        <w:t>cts.</w:t>
      </w:r>
      <w:r w:rsidR="002C3CC8" w:rsidRPr="0000563D">
        <w:t xml:space="preserve"> </w:t>
      </w:r>
    </w:p>
    <w:p w14:paraId="1073968B" w14:textId="3CA9A9D8" w:rsidR="00686493" w:rsidRPr="0000563D" w:rsidRDefault="002C3CC8" w:rsidP="008911EA">
      <w:r w:rsidRPr="0000563D">
        <w:t xml:space="preserve">However, </w:t>
      </w:r>
      <w:r w:rsidR="00186EED" w:rsidRPr="0000563D">
        <w:t xml:space="preserve">as noted in the Issues Paper, </w:t>
      </w:r>
      <w:r w:rsidR="002A4996" w:rsidRPr="0000563D">
        <w:t>if a complaint proceeds to court, the</w:t>
      </w:r>
      <w:r w:rsidR="00604DC4" w:rsidRPr="0000563D">
        <w:t xml:space="preserve">re is less flexibility and </w:t>
      </w:r>
      <w:r w:rsidR="008245FD" w:rsidRPr="0000563D">
        <w:t xml:space="preserve">more complexity in </w:t>
      </w:r>
      <w:r w:rsidR="00901CCB" w:rsidRPr="0000563D">
        <w:t xml:space="preserve">making out claims under the different federal discrimination laws, which </w:t>
      </w:r>
      <w:r w:rsidR="00DF5F45" w:rsidRPr="0000563D">
        <w:t>have different tests</w:t>
      </w:r>
      <w:r w:rsidR="00EA42A8" w:rsidRPr="0000563D">
        <w:t xml:space="preserve"> for discrimination</w:t>
      </w:r>
      <w:r w:rsidR="00DF5F45" w:rsidRPr="0000563D">
        <w:t>.</w:t>
      </w:r>
      <w:r w:rsidR="00AB5DDB" w:rsidRPr="0000563D">
        <w:t xml:space="preserve"> </w:t>
      </w:r>
      <w:r w:rsidR="00B519B1" w:rsidRPr="0000563D">
        <w:t>The court process</w:t>
      </w:r>
      <w:r w:rsidR="00B1587A" w:rsidRPr="0000563D">
        <w:t xml:space="preserve"> </w:t>
      </w:r>
      <w:r w:rsidR="00E10CD9" w:rsidRPr="0000563D">
        <w:t xml:space="preserve">requires </w:t>
      </w:r>
      <w:r w:rsidR="00BB78C8" w:rsidRPr="0000563D">
        <w:t xml:space="preserve">an applicant </w:t>
      </w:r>
      <w:r w:rsidR="00E10CD9" w:rsidRPr="0000563D">
        <w:t xml:space="preserve">to satisfy </w:t>
      </w:r>
      <w:r w:rsidR="00684986" w:rsidRPr="0000563D">
        <w:t xml:space="preserve">each of the </w:t>
      </w:r>
      <w:r w:rsidR="00E10CD9" w:rsidRPr="0000563D">
        <w:t>different tests and elements of proof for different attributes under the various discrimination laws</w:t>
      </w:r>
      <w:r w:rsidR="00856425" w:rsidRPr="0000563D">
        <w:t>,</w:t>
      </w:r>
      <w:r w:rsidR="00E10CD9" w:rsidRPr="0000563D">
        <w:t xml:space="preserve"> creat</w:t>
      </w:r>
      <w:r w:rsidR="00856425" w:rsidRPr="0000563D">
        <w:t>ing</w:t>
      </w:r>
      <w:r w:rsidR="00E10CD9" w:rsidRPr="0000563D">
        <w:t xml:space="preserve"> difficulties for individuals who have experience</w:t>
      </w:r>
      <w:r w:rsidR="00856425" w:rsidRPr="0000563D">
        <w:t>d</w:t>
      </w:r>
      <w:r w:rsidR="00E10CD9" w:rsidRPr="0000563D">
        <w:t xml:space="preserve"> intersectional discrimination.</w:t>
      </w:r>
      <w:r w:rsidR="00E10CD9" w:rsidRPr="0000563D">
        <w:rPr>
          <w:rStyle w:val="EndnoteReference"/>
        </w:rPr>
        <w:endnoteReference w:id="51"/>
      </w:r>
      <w:r w:rsidR="00E10CD9" w:rsidRPr="0000563D">
        <w:t xml:space="preserve"> </w:t>
      </w:r>
    </w:p>
    <w:p w14:paraId="5A848D72" w14:textId="2A1C4C44" w:rsidR="00686493" w:rsidRPr="0000563D" w:rsidRDefault="000A7201" w:rsidP="008911EA">
      <w:r w:rsidRPr="0000563D">
        <w:t xml:space="preserve">This </w:t>
      </w:r>
      <w:r w:rsidR="008D3650" w:rsidRPr="0000563D">
        <w:t xml:space="preserve">adds complexity to the court proceedings, including cost. Where </w:t>
      </w:r>
      <w:r w:rsidR="00807DF7" w:rsidRPr="0000563D">
        <w:t>a person’s</w:t>
      </w:r>
      <w:r w:rsidR="00431FE5" w:rsidRPr="0000563D">
        <w:t xml:space="preserve"> experience</w:t>
      </w:r>
      <w:r w:rsidR="00807DF7" w:rsidRPr="0000563D">
        <w:t xml:space="preserve"> of</w:t>
      </w:r>
      <w:r w:rsidR="00431FE5" w:rsidRPr="0000563D">
        <w:t xml:space="preserve"> </w:t>
      </w:r>
      <w:r w:rsidR="008D3650" w:rsidRPr="0000563D">
        <w:t>disability discrimination</w:t>
      </w:r>
      <w:r w:rsidR="00431FE5" w:rsidRPr="0000563D">
        <w:t xml:space="preserve"> also </w:t>
      </w:r>
      <w:r w:rsidR="00807DF7" w:rsidRPr="0000563D">
        <w:t>intersects with</w:t>
      </w:r>
      <w:r w:rsidR="00431FE5" w:rsidRPr="0000563D">
        <w:t xml:space="preserve"> discrimination covered under the other discrimination laws – for example, </w:t>
      </w:r>
      <w:proofErr w:type="gramStart"/>
      <w:r w:rsidR="00431FE5" w:rsidRPr="0000563D">
        <w:t>on the basis of</w:t>
      </w:r>
      <w:proofErr w:type="gramEnd"/>
      <w:r w:rsidR="00431FE5" w:rsidRPr="0000563D">
        <w:t xml:space="preserve"> a </w:t>
      </w:r>
      <w:r w:rsidR="00431FE5" w:rsidRPr="0000563D">
        <w:lastRenderedPageBreak/>
        <w:t xml:space="preserve">person’s gender or ethnic background </w:t>
      </w:r>
      <w:r w:rsidR="007D3242" w:rsidRPr="0000563D">
        <w:t>–</w:t>
      </w:r>
      <w:r w:rsidR="00431FE5" w:rsidRPr="0000563D">
        <w:t xml:space="preserve"> </w:t>
      </w:r>
      <w:r w:rsidR="007D3242" w:rsidRPr="0000563D">
        <w:t xml:space="preserve">the </w:t>
      </w:r>
      <w:r w:rsidR="00807DF7" w:rsidRPr="0000563D">
        <w:t>requirements for</w:t>
      </w:r>
      <w:r w:rsidR="007D3242" w:rsidRPr="0000563D">
        <w:t xml:space="preserve"> reasonable adjustment </w:t>
      </w:r>
      <w:r w:rsidR="00807DF7" w:rsidRPr="0000563D">
        <w:t xml:space="preserve">are </w:t>
      </w:r>
      <w:r w:rsidR="007C1E14" w:rsidRPr="0000563D">
        <w:t>not as clearly addressed.</w:t>
      </w:r>
    </w:p>
    <w:p w14:paraId="1BB0A38A" w14:textId="197EC7D5" w:rsidR="00FC2AAF" w:rsidRPr="0000563D" w:rsidRDefault="00FC2AAF" w:rsidP="008911EA">
      <w:r w:rsidRPr="0000563D">
        <w:t xml:space="preserve">The Commission notes that </w:t>
      </w:r>
      <w:r w:rsidR="00B74E71" w:rsidRPr="0000563D">
        <w:t>multiple responses are required to</w:t>
      </w:r>
      <w:r w:rsidRPr="0000563D">
        <w:t xml:space="preserve"> effectively address intersectionality:</w:t>
      </w:r>
    </w:p>
    <w:p w14:paraId="7886615D" w14:textId="341F0356" w:rsidR="00FC2AAF" w:rsidRPr="0000563D" w:rsidRDefault="00166782" w:rsidP="00606A3C">
      <w:pPr>
        <w:pStyle w:val="ListParagraph"/>
        <w:numPr>
          <w:ilvl w:val="0"/>
          <w:numId w:val="25"/>
        </w:numPr>
      </w:pPr>
      <w:r w:rsidRPr="0000563D">
        <w:t>Harmonisation would go some way</w:t>
      </w:r>
      <w:r w:rsidR="0000612F" w:rsidRPr="0000563D">
        <w:t xml:space="preserve">, </w:t>
      </w:r>
      <w:r w:rsidR="00FC2AAF" w:rsidRPr="0000563D">
        <w:t xml:space="preserve">especially </w:t>
      </w:r>
      <w:r w:rsidR="0000612F" w:rsidRPr="0000563D">
        <w:t xml:space="preserve">by aligning the tests for discrimination across all 4 federal discrimination laws. </w:t>
      </w:r>
    </w:p>
    <w:p w14:paraId="65D25193" w14:textId="57B40CEE" w:rsidR="00B74E71" w:rsidRPr="0000563D" w:rsidRDefault="00B74E71" w:rsidP="00606A3C">
      <w:pPr>
        <w:pStyle w:val="ListParagraph"/>
        <w:numPr>
          <w:ilvl w:val="0"/>
          <w:numId w:val="25"/>
        </w:numPr>
      </w:pPr>
      <w:r w:rsidRPr="0000563D">
        <w:t>R</w:t>
      </w:r>
      <w:r w:rsidR="0000612F" w:rsidRPr="0000563D">
        <w:t xml:space="preserve">emoving the comparator test in the Disability Discrimination Act, </w:t>
      </w:r>
      <w:r w:rsidRPr="0000563D">
        <w:t>(</w:t>
      </w:r>
      <w:r w:rsidR="0000612F" w:rsidRPr="0000563D">
        <w:t xml:space="preserve">addressed and supported at section </w:t>
      </w:r>
      <w:r w:rsidR="006576EA" w:rsidRPr="0000563D">
        <w:t>3</w:t>
      </w:r>
      <w:r w:rsidR="0000612F" w:rsidRPr="0000563D">
        <w:t xml:space="preserve"> of in this submission</w:t>
      </w:r>
      <w:r w:rsidRPr="0000563D">
        <w:t>)</w:t>
      </w:r>
      <w:r w:rsidR="0000612F" w:rsidRPr="0000563D">
        <w:t xml:space="preserve">, would </w:t>
      </w:r>
      <w:r w:rsidR="00FC2AAF" w:rsidRPr="0000563D">
        <w:t>also contribute to this</w:t>
      </w:r>
      <w:r w:rsidR="00F927EE" w:rsidRPr="0000563D">
        <w:t>,</w:t>
      </w:r>
      <w:r w:rsidR="00FC2AAF" w:rsidRPr="0000563D">
        <w:t xml:space="preserve"> although it would </w:t>
      </w:r>
      <w:r w:rsidR="0000612F" w:rsidRPr="0000563D">
        <w:t xml:space="preserve">not, </w:t>
      </w:r>
      <w:r w:rsidR="00FC2AAF" w:rsidRPr="0000563D">
        <w:t>of</w:t>
      </w:r>
      <w:r w:rsidR="0000612F" w:rsidRPr="0000563D">
        <w:t xml:space="preserve"> itself, be </w:t>
      </w:r>
      <w:r w:rsidR="00F22CC1" w:rsidRPr="0000563D">
        <w:t>sufficient</w:t>
      </w:r>
      <w:r w:rsidR="0000612F" w:rsidRPr="0000563D">
        <w:t xml:space="preserve">. </w:t>
      </w:r>
    </w:p>
    <w:p w14:paraId="67B27D3C" w14:textId="7DEFB579" w:rsidR="00202405" w:rsidRPr="0000563D" w:rsidRDefault="00B74E71" w:rsidP="00606A3C">
      <w:pPr>
        <w:pStyle w:val="ListParagraph"/>
        <w:numPr>
          <w:ilvl w:val="0"/>
          <w:numId w:val="25"/>
        </w:numPr>
      </w:pPr>
      <w:r w:rsidRPr="0000563D">
        <w:t>Formally recognising i</w:t>
      </w:r>
      <w:r w:rsidR="00323B3D" w:rsidRPr="0000563D">
        <w:t xml:space="preserve">ntersectional discrimination </w:t>
      </w:r>
      <w:r w:rsidR="00746CE5" w:rsidRPr="0000563D">
        <w:t>in a new provision</w:t>
      </w:r>
      <w:r w:rsidR="00CB76DB" w:rsidRPr="0000563D">
        <w:t xml:space="preserve"> expressly acknowledg</w:t>
      </w:r>
      <w:r w:rsidR="00746CE5" w:rsidRPr="0000563D">
        <w:t>ing</w:t>
      </w:r>
      <w:r w:rsidR="00CB76DB" w:rsidRPr="0000563D">
        <w:t xml:space="preserve"> </w:t>
      </w:r>
      <w:r w:rsidR="00A452E4" w:rsidRPr="0000563D">
        <w:t xml:space="preserve">that complaints </w:t>
      </w:r>
      <w:r w:rsidR="00967AE1" w:rsidRPr="0000563D">
        <w:t xml:space="preserve">involving </w:t>
      </w:r>
      <w:proofErr w:type="gramStart"/>
      <w:r w:rsidR="00967AE1" w:rsidRPr="0000563D">
        <w:t>a number of</w:t>
      </w:r>
      <w:proofErr w:type="gramEnd"/>
      <w:r w:rsidR="00967AE1" w:rsidRPr="0000563D">
        <w:t xml:space="preserve"> grounds</w:t>
      </w:r>
      <w:r w:rsidR="00EF3726" w:rsidRPr="0000563D">
        <w:t xml:space="preserve"> of discrimination</w:t>
      </w:r>
      <w:r w:rsidR="00967AE1" w:rsidRPr="0000563D">
        <w:t xml:space="preserve"> could be made in one complaint</w:t>
      </w:r>
      <w:r w:rsidR="00F534BA" w:rsidRPr="0000563D">
        <w:t>.</w:t>
      </w:r>
    </w:p>
    <w:p w14:paraId="25DA1BCA" w14:textId="5E3A52F9" w:rsidR="00AB5DDB" w:rsidRPr="0000563D" w:rsidRDefault="00794C4D" w:rsidP="008911EA">
      <w:r w:rsidRPr="0000563D">
        <w:t xml:space="preserve">Consistent with </w:t>
      </w:r>
      <w:r w:rsidR="00691F07" w:rsidRPr="0000563D">
        <w:t xml:space="preserve">our </w:t>
      </w:r>
      <w:r w:rsidRPr="0000563D">
        <w:t>position in</w:t>
      </w:r>
      <w:r w:rsidR="00C701B8" w:rsidRPr="0000563D">
        <w:t xml:space="preserve"> </w:t>
      </w:r>
      <w:r w:rsidR="00AB5DDB" w:rsidRPr="0000563D">
        <w:t xml:space="preserve">Willing to Work and </w:t>
      </w:r>
      <w:r w:rsidR="00691F07" w:rsidRPr="0000563D">
        <w:t xml:space="preserve">our </w:t>
      </w:r>
      <w:r w:rsidR="00FA2721" w:rsidRPr="0000563D">
        <w:t>Free &amp; Equal 2021 Position Paper</w:t>
      </w:r>
      <w:r w:rsidR="00F07DDE" w:rsidRPr="0000563D">
        <w:t xml:space="preserve">, the Commission </w:t>
      </w:r>
      <w:r w:rsidRPr="0000563D">
        <w:t>makes the following recommendation</w:t>
      </w:r>
      <w:r w:rsidR="00AB5DDB" w:rsidRPr="0000563D">
        <w:t>.</w:t>
      </w:r>
      <w:r w:rsidR="00AB5DDB" w:rsidRPr="0000563D">
        <w:rPr>
          <w:rStyle w:val="EndnoteReference"/>
        </w:rPr>
        <w:endnoteReference w:id="52"/>
      </w:r>
    </w:p>
    <w:p w14:paraId="3B68D68C" w14:textId="76AC6B70" w:rsidR="00AB5DDB" w:rsidRPr="0000563D" w:rsidRDefault="00AB5DDB" w:rsidP="008911EA">
      <w:pPr>
        <w:rPr>
          <w:b/>
          <w:bCs/>
        </w:rPr>
      </w:pPr>
      <w:r w:rsidRPr="0000563D">
        <w:rPr>
          <w:b/>
          <w:bCs/>
        </w:rPr>
        <w:t>Recommendation</w:t>
      </w:r>
      <w:r w:rsidR="0048679B" w:rsidRPr="0000563D">
        <w:rPr>
          <w:b/>
          <w:bCs/>
        </w:rPr>
        <w:t xml:space="preserve"> </w:t>
      </w:r>
      <w:r w:rsidR="00595277" w:rsidRPr="0000563D">
        <w:rPr>
          <w:b/>
          <w:bCs/>
        </w:rPr>
        <w:t>7</w:t>
      </w:r>
      <w:r w:rsidRPr="0000563D">
        <w:rPr>
          <w:b/>
          <w:bCs/>
        </w:rPr>
        <w:t xml:space="preserve">: A new provision should be added across all federal discrimination laws that identifies that discrimination may occur </w:t>
      </w:r>
      <w:proofErr w:type="gramStart"/>
      <w:r w:rsidRPr="0000563D">
        <w:rPr>
          <w:b/>
          <w:bCs/>
        </w:rPr>
        <w:t>on the basis of</w:t>
      </w:r>
      <w:proofErr w:type="gramEnd"/>
      <w:r w:rsidRPr="0000563D">
        <w:rPr>
          <w:b/>
          <w:bCs/>
        </w:rPr>
        <w:t xml:space="preserve"> a particular protected attribute ‘or a particular combination of 2 or more protected attributes’</w:t>
      </w:r>
      <w:r w:rsidR="003A2736" w:rsidRPr="0000563D">
        <w:rPr>
          <w:b/>
          <w:bCs/>
        </w:rPr>
        <w:t xml:space="preserve"> covered under the </w:t>
      </w:r>
      <w:r w:rsidR="000C52FD" w:rsidRPr="0000563D">
        <w:rPr>
          <w:b/>
          <w:bCs/>
        </w:rPr>
        <w:t xml:space="preserve">4 </w:t>
      </w:r>
      <w:r w:rsidR="003A2736" w:rsidRPr="0000563D">
        <w:rPr>
          <w:b/>
          <w:bCs/>
        </w:rPr>
        <w:t>federal discrimination laws</w:t>
      </w:r>
      <w:r w:rsidRPr="0000563D">
        <w:rPr>
          <w:b/>
          <w:bCs/>
        </w:rPr>
        <w:t xml:space="preserve">. </w:t>
      </w:r>
    </w:p>
    <w:p w14:paraId="36F283F7" w14:textId="1D6F756E" w:rsidR="00946F98" w:rsidRPr="002D4943" w:rsidRDefault="00B82521" w:rsidP="00B82521">
      <w:pPr>
        <w:pStyle w:val="Heading2"/>
        <w:rPr>
          <w:rFonts w:ascii="Open Sans" w:hAnsi="Open Sans" w:cs="Open Sans"/>
        </w:rPr>
      </w:pPr>
      <w:bookmarkStart w:id="10" w:name="_Toc214961116"/>
      <w:r w:rsidRPr="002D4943">
        <w:rPr>
          <w:rFonts w:ascii="Open Sans" w:hAnsi="Open Sans" w:cs="Open Sans"/>
        </w:rPr>
        <w:t xml:space="preserve">Complaints handling and the requirement to notify </w:t>
      </w:r>
      <w:r w:rsidR="00117616" w:rsidRPr="002D4943">
        <w:rPr>
          <w:rFonts w:ascii="Open Sans" w:hAnsi="Open Sans" w:cs="Open Sans"/>
        </w:rPr>
        <w:t>of adverse allegations</w:t>
      </w:r>
      <w:bookmarkEnd w:id="10"/>
    </w:p>
    <w:p w14:paraId="663A16BF" w14:textId="628123FD" w:rsidR="00EF64BF" w:rsidRPr="0000563D" w:rsidRDefault="00803A38" w:rsidP="005713AD">
      <w:r w:rsidRPr="0000563D">
        <w:t>The Australian Human Rights Commission Act requires the Commission to notify people who are not respondents to a discrimination complaint of any adverse allegations made about them in a complaint.</w:t>
      </w:r>
      <w:r w:rsidR="00C6169E" w:rsidRPr="0000563D">
        <w:t xml:space="preserve"> </w:t>
      </w:r>
      <w:r w:rsidR="004C563A" w:rsidRPr="0000563D">
        <w:t>This requirement is in addition</w:t>
      </w:r>
      <w:r w:rsidR="001C6099" w:rsidRPr="0000563D">
        <w:t>,</w:t>
      </w:r>
      <w:r w:rsidR="004C563A" w:rsidRPr="0000563D">
        <w:t xml:space="preserve"> and separate</w:t>
      </w:r>
      <w:r w:rsidR="001C6099" w:rsidRPr="0000563D">
        <w:t>,</w:t>
      </w:r>
      <w:r w:rsidR="004C563A" w:rsidRPr="0000563D">
        <w:t xml:space="preserve"> to the requirement to notify each respondent to a complaint.</w:t>
      </w:r>
    </w:p>
    <w:p w14:paraId="1B1E5371" w14:textId="7F8C030A" w:rsidR="00FF54B3" w:rsidRPr="0000563D" w:rsidRDefault="00666523" w:rsidP="005713AD">
      <w:r w:rsidRPr="0000563D">
        <w:t>The person required to be notified of an adverse allegation is not a respondent to the complaint and they are not subject to any legal action if the complaint proceeds</w:t>
      </w:r>
      <w:r w:rsidR="00ED7F0B" w:rsidRPr="0000563D">
        <w:t xml:space="preserve"> to court. The adverse allegation notification requirement is without precedent</w:t>
      </w:r>
      <w:r w:rsidR="004C563A" w:rsidRPr="0000563D">
        <w:t>, in that n</w:t>
      </w:r>
      <w:r w:rsidR="00ED7F0B" w:rsidRPr="0000563D">
        <w:t xml:space="preserve">o equivalent requirement exists in any other state or territory discrimination or human rights legislation. </w:t>
      </w:r>
    </w:p>
    <w:p w14:paraId="69391B9D" w14:textId="73D081ED" w:rsidR="009779EE" w:rsidRPr="0000563D" w:rsidRDefault="009779EE" w:rsidP="009779EE">
      <w:r w:rsidRPr="0000563D">
        <w:t xml:space="preserve">The requirement was introduced in 2017 with the purpose of enhancing the Commission’s operation and efficiency, and to ensure that people against whom complaints are made are treated fairly. However, the notification process increases the time it takes </w:t>
      </w:r>
      <w:r w:rsidR="00A70639" w:rsidRPr="0000563D">
        <w:t>for</w:t>
      </w:r>
      <w:r w:rsidRPr="0000563D">
        <w:t xml:space="preserve"> the Commission to assess complaints and comply with notification obligations. It </w:t>
      </w:r>
      <w:r w:rsidR="003179E1" w:rsidRPr="0000563D">
        <w:t>also</w:t>
      </w:r>
      <w:r w:rsidRPr="0000563D">
        <w:t xml:space="preserve"> </w:t>
      </w:r>
      <w:r w:rsidR="006A327B" w:rsidRPr="0000563D">
        <w:t>leads to complainants adding those individuals as respondents upon becoming aware of the</w:t>
      </w:r>
      <w:r w:rsidR="003926A0" w:rsidRPr="0000563D">
        <w:t xml:space="preserve"> Commission’s obligation to notify them. This increases</w:t>
      </w:r>
      <w:r w:rsidR="006A327B" w:rsidRPr="0000563D">
        <w:t xml:space="preserve"> </w:t>
      </w:r>
      <w:r w:rsidRPr="0000563D">
        <w:t>the number of people being named as respondents, adding to complexity of discrimination matters. I</w:t>
      </w:r>
      <w:r w:rsidR="003179E1" w:rsidRPr="0000563D">
        <w:t>n addition, i</w:t>
      </w:r>
      <w:r w:rsidRPr="0000563D">
        <w:t xml:space="preserve">t </w:t>
      </w:r>
      <w:r w:rsidRPr="0000563D">
        <w:lastRenderedPageBreak/>
        <w:t>increases the administrative burden on organisational respondents to complaints. People notified of adverse allegations typically do not seek to have any further engagement with the Commission after the notification has taken place. Most commonly</w:t>
      </w:r>
      <w:r w:rsidR="00136730" w:rsidRPr="0000563D">
        <w:t>,</w:t>
      </w:r>
      <w:r w:rsidRPr="0000563D">
        <w:t xml:space="preserve"> they express confusion and distress about why they have been notified of a complaint in circumstances where they are not a respondent and cannot be named as such in any subsequent court action.</w:t>
      </w:r>
    </w:p>
    <w:p w14:paraId="5AB6EAC2" w14:textId="4907B947" w:rsidR="00B64627" w:rsidRPr="0000563D" w:rsidRDefault="00B64627" w:rsidP="005713AD">
      <w:r w:rsidRPr="0000563D">
        <w:t>In 2025, the Commission reviewed complaints received under the Disability Discrimination Act 1992 (</w:t>
      </w:r>
      <w:proofErr w:type="spellStart"/>
      <w:r w:rsidRPr="0000563D">
        <w:t>Cth</w:t>
      </w:r>
      <w:proofErr w:type="spellEnd"/>
      <w:r w:rsidRPr="0000563D">
        <w:t>) and Sex Discrimination Act 1984 (</w:t>
      </w:r>
      <w:proofErr w:type="spellStart"/>
      <w:r w:rsidRPr="0000563D">
        <w:t>Cth</w:t>
      </w:r>
      <w:proofErr w:type="spellEnd"/>
      <w:r w:rsidRPr="0000563D">
        <w:t>)</w:t>
      </w:r>
      <w:r w:rsidR="00602CD4" w:rsidRPr="0000563D">
        <w:t xml:space="preserve"> over a </w:t>
      </w:r>
      <w:r w:rsidR="00A4281D" w:rsidRPr="0000563D">
        <w:t>2-month</w:t>
      </w:r>
      <w:r w:rsidR="00602CD4" w:rsidRPr="0000563D">
        <w:t xml:space="preserve"> period</w:t>
      </w:r>
      <w:r w:rsidRPr="0000563D">
        <w:t xml:space="preserve">. Approximately 20% included adverse allegation notification requirements for </w:t>
      </w:r>
      <w:r w:rsidR="00420450" w:rsidRPr="0000563D">
        <w:t>one</w:t>
      </w:r>
      <w:r w:rsidRPr="0000563D">
        <w:t xml:space="preserve"> or more people.</w:t>
      </w:r>
    </w:p>
    <w:p w14:paraId="0F48D9B2" w14:textId="4A23513D" w:rsidR="005D7C23" w:rsidRPr="0000563D" w:rsidRDefault="009779EE" w:rsidP="005713AD">
      <w:r w:rsidRPr="0000563D">
        <w:t>The Commission has consistently raised concerns about th</w:t>
      </w:r>
      <w:r w:rsidR="009B5398" w:rsidRPr="0000563D">
        <w:t>is</w:t>
      </w:r>
      <w:r w:rsidRPr="0000563D">
        <w:t xml:space="preserve"> requirement</w:t>
      </w:r>
      <w:r w:rsidR="009B5398" w:rsidRPr="0000563D">
        <w:t>,</w:t>
      </w:r>
      <w:r w:rsidRPr="0000563D">
        <w:t xml:space="preserve"> including in </w:t>
      </w:r>
      <w:r w:rsidR="00691F07" w:rsidRPr="0000563D">
        <w:t>o</w:t>
      </w:r>
      <w:r w:rsidR="00EE3C01" w:rsidRPr="0000563D">
        <w:t>ur</w:t>
      </w:r>
      <w:r w:rsidR="00691F07" w:rsidRPr="0000563D">
        <w:t xml:space="preserve"> </w:t>
      </w:r>
      <w:r w:rsidRPr="0000563D">
        <w:t>2021 Free &amp; Equal Position Paper. The</w:t>
      </w:r>
      <w:r w:rsidR="009B5398" w:rsidRPr="0000563D">
        <w:t xml:space="preserve"> Commission’s</w:t>
      </w:r>
      <w:r w:rsidRPr="0000563D">
        <w:t xml:space="preserve"> recommendation to r</w:t>
      </w:r>
      <w:r w:rsidR="005D7C23" w:rsidRPr="0000563D">
        <w:t>emov</w:t>
      </w:r>
      <w:r w:rsidRPr="0000563D">
        <w:t>e</w:t>
      </w:r>
      <w:r w:rsidR="005D7C23" w:rsidRPr="0000563D">
        <w:t xml:space="preserve"> th</w:t>
      </w:r>
      <w:r w:rsidR="009B5398" w:rsidRPr="0000563D">
        <w:t>is</w:t>
      </w:r>
      <w:r w:rsidR="005D7C23" w:rsidRPr="0000563D">
        <w:t xml:space="preserve"> requirement </w:t>
      </w:r>
      <w:r w:rsidRPr="0000563D">
        <w:t xml:space="preserve">is repeated here. </w:t>
      </w:r>
    </w:p>
    <w:p w14:paraId="1D52C5C1" w14:textId="1F46A57E" w:rsidR="009779EE" w:rsidRPr="0000563D" w:rsidRDefault="009779EE" w:rsidP="00801E38">
      <w:pPr>
        <w:rPr>
          <w:b/>
        </w:rPr>
      </w:pPr>
      <w:r w:rsidRPr="0000563D">
        <w:rPr>
          <w:b/>
          <w:bCs/>
        </w:rPr>
        <w:t>Recommendation</w:t>
      </w:r>
      <w:r w:rsidR="00B82521" w:rsidRPr="0000563D">
        <w:rPr>
          <w:b/>
          <w:bCs/>
        </w:rPr>
        <w:t xml:space="preserve"> </w:t>
      </w:r>
      <w:r w:rsidR="00595277" w:rsidRPr="0000563D">
        <w:rPr>
          <w:b/>
          <w:bCs/>
        </w:rPr>
        <w:t>8</w:t>
      </w:r>
      <w:r w:rsidRPr="0000563D">
        <w:rPr>
          <w:b/>
          <w:bCs/>
        </w:rPr>
        <w:t xml:space="preserve">: </w:t>
      </w:r>
      <w:r w:rsidR="008F071A" w:rsidRPr="0000563D">
        <w:rPr>
          <w:b/>
          <w:bCs/>
        </w:rPr>
        <w:t>Section</w:t>
      </w:r>
      <w:r w:rsidR="00EE52A6" w:rsidRPr="0000563D">
        <w:rPr>
          <w:b/>
          <w:bCs/>
        </w:rPr>
        <w:t xml:space="preserve"> 46PF(7)(c) and 46</w:t>
      </w:r>
      <w:proofErr w:type="gramStart"/>
      <w:r w:rsidR="00EE52A6" w:rsidRPr="0000563D">
        <w:rPr>
          <w:b/>
          <w:bCs/>
        </w:rPr>
        <w:t>PF(</w:t>
      </w:r>
      <w:proofErr w:type="gramEnd"/>
      <w:r w:rsidR="00EE52A6" w:rsidRPr="0000563D">
        <w:rPr>
          <w:b/>
          <w:bCs/>
        </w:rPr>
        <w:t xml:space="preserve">9) of the </w:t>
      </w:r>
      <w:r w:rsidR="00EE52A6" w:rsidRPr="0000563D">
        <w:rPr>
          <w:b/>
          <w:bCs/>
          <w:i/>
          <w:iCs/>
        </w:rPr>
        <w:t xml:space="preserve">Australian Human Rights Commission Act 1986 </w:t>
      </w:r>
      <w:r w:rsidR="00EE52A6" w:rsidRPr="0000563D">
        <w:rPr>
          <w:b/>
          <w:bCs/>
        </w:rPr>
        <w:t>(</w:t>
      </w:r>
      <w:proofErr w:type="spellStart"/>
      <w:r w:rsidR="00EE52A6" w:rsidRPr="0000563D">
        <w:rPr>
          <w:b/>
          <w:bCs/>
        </w:rPr>
        <w:t>Cth</w:t>
      </w:r>
      <w:proofErr w:type="spellEnd"/>
      <w:r w:rsidR="00EE52A6" w:rsidRPr="0000563D">
        <w:rPr>
          <w:b/>
          <w:bCs/>
        </w:rPr>
        <w:t>)</w:t>
      </w:r>
      <w:r w:rsidR="00621E2F" w:rsidRPr="0000563D">
        <w:rPr>
          <w:b/>
          <w:bCs/>
        </w:rPr>
        <w:t>,</w:t>
      </w:r>
      <w:r w:rsidR="00EE52A6" w:rsidRPr="0000563D">
        <w:rPr>
          <w:b/>
          <w:bCs/>
        </w:rPr>
        <w:t xml:space="preserve"> requiring the Commission to notify </w:t>
      </w:r>
      <w:r w:rsidR="00EE35D9" w:rsidRPr="0000563D">
        <w:rPr>
          <w:b/>
          <w:bCs/>
        </w:rPr>
        <w:t>people of adverse allegations</w:t>
      </w:r>
      <w:r w:rsidR="00621E2F" w:rsidRPr="0000563D">
        <w:rPr>
          <w:b/>
          <w:bCs/>
        </w:rPr>
        <w:t>,</w:t>
      </w:r>
      <w:r w:rsidR="00EE35D9" w:rsidRPr="0000563D">
        <w:rPr>
          <w:b/>
          <w:bCs/>
        </w:rPr>
        <w:t xml:space="preserve"> </w:t>
      </w:r>
      <w:r w:rsidR="00EE52A6" w:rsidRPr="0000563D">
        <w:rPr>
          <w:b/>
          <w:bCs/>
        </w:rPr>
        <w:t xml:space="preserve">should be removed. </w:t>
      </w:r>
    </w:p>
    <w:p w14:paraId="0DD7FC9A" w14:textId="5858D20B" w:rsidR="00810A64" w:rsidRPr="002D4943" w:rsidRDefault="00A05B44" w:rsidP="00A97614">
      <w:pPr>
        <w:pStyle w:val="Heading1"/>
        <w:rPr>
          <w:rFonts w:ascii="Open Sans" w:hAnsi="Open Sans" w:cs="Open Sans"/>
        </w:rPr>
      </w:pPr>
      <w:bookmarkStart w:id="11" w:name="_Toc212482415"/>
      <w:bookmarkStart w:id="12" w:name="_Toc212482419"/>
      <w:bookmarkStart w:id="13" w:name="_Toc212482420"/>
      <w:bookmarkStart w:id="14" w:name="_Toc212482421"/>
      <w:bookmarkStart w:id="15" w:name="_Toc212482422"/>
      <w:bookmarkStart w:id="16" w:name="_Toc212482423"/>
      <w:bookmarkStart w:id="17" w:name="_Toc212482424"/>
      <w:bookmarkStart w:id="18" w:name="_Toc212482426"/>
      <w:bookmarkStart w:id="19" w:name="_Toc212482427"/>
      <w:bookmarkStart w:id="20" w:name="_Toc212482428"/>
      <w:bookmarkStart w:id="21" w:name="_Toc212482429"/>
      <w:bookmarkStart w:id="22" w:name="_Toc212482430"/>
      <w:bookmarkStart w:id="23" w:name="_Toc212482431"/>
      <w:bookmarkStart w:id="24" w:name="_Toc212482432"/>
      <w:bookmarkStart w:id="25" w:name="_Toc212482434"/>
      <w:bookmarkStart w:id="26" w:name="_Toc212482436"/>
      <w:bookmarkStart w:id="27" w:name="_Toc212482439"/>
      <w:bookmarkStart w:id="28" w:name="_Toc21496111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D4943">
        <w:rPr>
          <w:rFonts w:ascii="Open Sans" w:hAnsi="Open Sans" w:cs="Open Sans"/>
        </w:rPr>
        <w:t>Definitions of d</w:t>
      </w:r>
      <w:r w:rsidR="00810A64" w:rsidRPr="002D4943">
        <w:rPr>
          <w:rFonts w:ascii="Open Sans" w:hAnsi="Open Sans" w:cs="Open Sans"/>
        </w:rPr>
        <w:t>iscrimination</w:t>
      </w:r>
      <w:r w:rsidRPr="002D4943">
        <w:rPr>
          <w:rFonts w:ascii="Open Sans" w:hAnsi="Open Sans" w:cs="Open Sans"/>
        </w:rPr>
        <w:t xml:space="preserve"> and defences</w:t>
      </w:r>
      <w:bookmarkEnd w:id="28"/>
    </w:p>
    <w:p w14:paraId="27B61825" w14:textId="7DDA2EE4" w:rsidR="000C5592" w:rsidRPr="0000563D" w:rsidRDefault="00CC730F" w:rsidP="000C5592">
      <w:pPr>
        <w:pStyle w:val="Sectionsummarybody"/>
        <w:rPr>
          <w:rFonts w:cs="Open Sans"/>
        </w:rPr>
      </w:pPr>
      <w:r w:rsidRPr="0000563D">
        <w:rPr>
          <w:rFonts w:cs="Open Sans"/>
        </w:rPr>
        <w:t>This section outlines how certain provisions in the Disability Discrimination Act can be simplified to better protect people with disability</w:t>
      </w:r>
      <w:r w:rsidR="00954D76" w:rsidRPr="0000563D">
        <w:rPr>
          <w:rFonts w:cs="Open Sans"/>
        </w:rPr>
        <w:t xml:space="preserve">, </w:t>
      </w:r>
      <w:r w:rsidR="006F6C9C" w:rsidRPr="0000563D">
        <w:rPr>
          <w:rFonts w:cs="Open Sans"/>
        </w:rPr>
        <w:t>in a way that maintains</w:t>
      </w:r>
      <w:r w:rsidR="00954D76" w:rsidRPr="0000563D">
        <w:rPr>
          <w:rFonts w:cs="Open Sans"/>
        </w:rPr>
        <w:t xml:space="preserve"> </w:t>
      </w:r>
      <w:r w:rsidR="006F6C9C" w:rsidRPr="0000563D">
        <w:rPr>
          <w:rFonts w:cs="Open Sans"/>
        </w:rPr>
        <w:t xml:space="preserve">a </w:t>
      </w:r>
      <w:r w:rsidR="000B3352" w:rsidRPr="0000563D">
        <w:rPr>
          <w:rFonts w:cs="Open Sans"/>
        </w:rPr>
        <w:t xml:space="preserve">balanced and </w:t>
      </w:r>
      <w:r w:rsidR="006F6C9C" w:rsidRPr="0000563D">
        <w:rPr>
          <w:rFonts w:cs="Open Sans"/>
        </w:rPr>
        <w:t xml:space="preserve">proportionate </w:t>
      </w:r>
      <w:r w:rsidR="00954D76" w:rsidRPr="0000563D">
        <w:rPr>
          <w:rFonts w:cs="Open Sans"/>
        </w:rPr>
        <w:t>regulatory burden on duty holder</w:t>
      </w:r>
      <w:r w:rsidR="007D5BAA" w:rsidRPr="0000563D">
        <w:rPr>
          <w:rFonts w:cs="Open Sans"/>
        </w:rPr>
        <w:t>s</w:t>
      </w:r>
      <w:r w:rsidRPr="0000563D">
        <w:rPr>
          <w:rFonts w:cs="Open Sans"/>
        </w:rPr>
        <w:t xml:space="preserve">. </w:t>
      </w:r>
      <w:r w:rsidR="000B3352" w:rsidRPr="0000563D">
        <w:rPr>
          <w:rFonts w:cs="Open Sans"/>
        </w:rPr>
        <w:t>Recommendations are made</w:t>
      </w:r>
      <w:r w:rsidR="00664751" w:rsidRPr="0000563D">
        <w:rPr>
          <w:rFonts w:cs="Open Sans"/>
        </w:rPr>
        <w:t xml:space="preserve"> to:</w:t>
      </w:r>
    </w:p>
    <w:p w14:paraId="45E3F29C" w14:textId="77777777" w:rsidR="000C5592" w:rsidRPr="0000563D" w:rsidRDefault="000C5592" w:rsidP="000C5592">
      <w:pPr>
        <w:pStyle w:val="Sectionsummarybody"/>
        <w:rPr>
          <w:rFonts w:cs="Open Sans"/>
        </w:rPr>
      </w:pPr>
      <w:r w:rsidRPr="0000563D">
        <w:rPr>
          <w:rFonts w:cs="Open Sans"/>
        </w:rPr>
        <w:t xml:space="preserve">- </w:t>
      </w:r>
      <w:r w:rsidR="007D5BAA" w:rsidRPr="0000563D">
        <w:rPr>
          <w:rFonts w:cs="Open Sans"/>
        </w:rPr>
        <w:t>r</w:t>
      </w:r>
      <w:r w:rsidR="00664751" w:rsidRPr="0000563D">
        <w:rPr>
          <w:rFonts w:cs="Open Sans"/>
        </w:rPr>
        <w:t>emove the comparator test in direct discrimination, as well as shift the burden of proof</w:t>
      </w:r>
      <w:r w:rsidR="007D5BAA" w:rsidRPr="0000563D">
        <w:rPr>
          <w:rFonts w:cs="Open Sans"/>
        </w:rPr>
        <w:t>.</w:t>
      </w:r>
    </w:p>
    <w:p w14:paraId="77861E33" w14:textId="2EF402F7" w:rsidR="000C5592" w:rsidRPr="0000563D" w:rsidRDefault="000C5592" w:rsidP="000C5592">
      <w:pPr>
        <w:pStyle w:val="Sectionsummarybody"/>
        <w:rPr>
          <w:rFonts w:cs="Open Sans"/>
        </w:rPr>
      </w:pPr>
      <w:r w:rsidRPr="0000563D">
        <w:rPr>
          <w:rFonts w:cs="Open Sans"/>
        </w:rPr>
        <w:t xml:space="preserve">- simplify </w:t>
      </w:r>
      <w:r w:rsidR="0008461E" w:rsidRPr="0000563D">
        <w:rPr>
          <w:rFonts w:cs="Open Sans"/>
        </w:rPr>
        <w:t>the test for indirect discrimination</w:t>
      </w:r>
      <w:r w:rsidR="006F6C9C" w:rsidRPr="0000563D">
        <w:rPr>
          <w:rFonts w:cs="Open Sans"/>
        </w:rPr>
        <w:t>,</w:t>
      </w:r>
      <w:r w:rsidR="0008461E" w:rsidRPr="0000563D">
        <w:rPr>
          <w:rFonts w:cs="Open Sans"/>
        </w:rPr>
        <w:t xml:space="preserve"> including by </w:t>
      </w:r>
      <w:r w:rsidR="007D5BAA" w:rsidRPr="0000563D">
        <w:rPr>
          <w:rFonts w:cs="Open Sans"/>
        </w:rPr>
        <w:t>r</w:t>
      </w:r>
      <w:r w:rsidR="00664751" w:rsidRPr="0000563D">
        <w:rPr>
          <w:rFonts w:cs="Open Sans"/>
        </w:rPr>
        <w:t>emov</w:t>
      </w:r>
      <w:r w:rsidR="0008461E" w:rsidRPr="0000563D">
        <w:rPr>
          <w:rFonts w:cs="Open Sans"/>
        </w:rPr>
        <w:t xml:space="preserve">ing </w:t>
      </w:r>
      <w:r w:rsidR="00664751" w:rsidRPr="0000563D">
        <w:rPr>
          <w:rFonts w:cs="Open Sans"/>
        </w:rPr>
        <w:t>dual defences</w:t>
      </w:r>
      <w:r w:rsidRPr="0000563D">
        <w:rPr>
          <w:rFonts w:cs="Open Sans"/>
        </w:rPr>
        <w:t>.</w:t>
      </w:r>
    </w:p>
    <w:p w14:paraId="415CBD66" w14:textId="22791C13" w:rsidR="000C5592" w:rsidRPr="0000563D" w:rsidRDefault="000C5592" w:rsidP="000C5592">
      <w:pPr>
        <w:pStyle w:val="Sectionsummarybody"/>
        <w:rPr>
          <w:rFonts w:cs="Open Sans"/>
        </w:rPr>
      </w:pPr>
      <w:r w:rsidRPr="0000563D">
        <w:rPr>
          <w:rFonts w:cs="Open Sans"/>
        </w:rPr>
        <w:t xml:space="preserve">- </w:t>
      </w:r>
      <w:r w:rsidR="0008461E" w:rsidRPr="0000563D">
        <w:rPr>
          <w:rFonts w:cs="Open Sans"/>
        </w:rPr>
        <w:t>c</w:t>
      </w:r>
      <w:r w:rsidR="00664751" w:rsidRPr="0000563D">
        <w:rPr>
          <w:rFonts w:cs="Open Sans"/>
        </w:rPr>
        <w:t>reate a standalone duty to provide adjustments</w:t>
      </w:r>
      <w:r w:rsidRPr="0000563D">
        <w:rPr>
          <w:rFonts w:cs="Open Sans"/>
        </w:rPr>
        <w:t>.</w:t>
      </w:r>
    </w:p>
    <w:p w14:paraId="08361B0F" w14:textId="77777777" w:rsidR="000C5592" w:rsidRPr="0000563D" w:rsidRDefault="000C5592" w:rsidP="000C5592">
      <w:pPr>
        <w:pStyle w:val="Sectionsummarybody"/>
        <w:rPr>
          <w:rFonts w:cs="Open Sans"/>
        </w:rPr>
      </w:pPr>
      <w:r w:rsidRPr="0000563D">
        <w:rPr>
          <w:rFonts w:cs="Open Sans"/>
        </w:rPr>
        <w:t xml:space="preserve">- </w:t>
      </w:r>
      <w:r w:rsidR="007C2845" w:rsidRPr="0000563D">
        <w:rPr>
          <w:rFonts w:cs="Open Sans"/>
        </w:rPr>
        <w:t>i</w:t>
      </w:r>
      <w:r w:rsidR="00664751" w:rsidRPr="0000563D">
        <w:rPr>
          <w:rFonts w:cs="Open Sans"/>
        </w:rPr>
        <w:t xml:space="preserve">ncrease protections against harassment, limited by similar exceptions as in </w:t>
      </w:r>
      <w:r w:rsidR="0082306C" w:rsidRPr="0000563D">
        <w:rPr>
          <w:rFonts w:cs="Open Sans"/>
        </w:rPr>
        <w:t xml:space="preserve">sections 18C and 18 D of </w:t>
      </w:r>
      <w:r w:rsidR="00664751" w:rsidRPr="0000563D">
        <w:rPr>
          <w:rFonts w:cs="Open Sans"/>
        </w:rPr>
        <w:t>the Racial Discrimination Act</w:t>
      </w:r>
      <w:r w:rsidRPr="0000563D">
        <w:rPr>
          <w:rFonts w:cs="Open Sans"/>
        </w:rPr>
        <w:t>.</w:t>
      </w:r>
    </w:p>
    <w:p w14:paraId="242DD2D4" w14:textId="77777777" w:rsidR="000C5592" w:rsidRPr="0000563D" w:rsidRDefault="000C5592" w:rsidP="000C5592">
      <w:pPr>
        <w:pStyle w:val="Sectionsummarybody"/>
        <w:rPr>
          <w:rFonts w:cs="Open Sans"/>
        </w:rPr>
      </w:pPr>
      <w:r w:rsidRPr="0000563D">
        <w:rPr>
          <w:rFonts w:cs="Open Sans"/>
        </w:rPr>
        <w:t xml:space="preserve">- </w:t>
      </w:r>
      <w:r w:rsidR="007C2845" w:rsidRPr="0000563D">
        <w:rPr>
          <w:rFonts w:cs="Open Sans"/>
        </w:rPr>
        <w:t>r</w:t>
      </w:r>
      <w:r w:rsidR="0082306C" w:rsidRPr="0000563D">
        <w:rPr>
          <w:rFonts w:cs="Open Sans"/>
        </w:rPr>
        <w:t>equire greater consultation with people with disability and the consideration of alternatives to avoid unjustifiable hardship, as well as greater transparency by duty holders</w:t>
      </w:r>
      <w:r w:rsidRPr="0000563D">
        <w:rPr>
          <w:rFonts w:cs="Open Sans"/>
        </w:rPr>
        <w:t xml:space="preserve">. </w:t>
      </w:r>
    </w:p>
    <w:p w14:paraId="12D2D0AC" w14:textId="4BE7F824" w:rsidR="00810A64" w:rsidRPr="0000563D" w:rsidRDefault="000C5592" w:rsidP="000C5592">
      <w:pPr>
        <w:pStyle w:val="Sectionsummarybody"/>
        <w:rPr>
          <w:rFonts w:cs="Open Sans"/>
        </w:rPr>
      </w:pPr>
      <w:r w:rsidRPr="0000563D">
        <w:rPr>
          <w:rFonts w:cs="Open Sans"/>
        </w:rPr>
        <w:t xml:space="preserve">- </w:t>
      </w:r>
      <w:r w:rsidR="007C2845" w:rsidRPr="0000563D">
        <w:rPr>
          <w:rFonts w:cs="Open Sans"/>
        </w:rPr>
        <w:t>c</w:t>
      </w:r>
      <w:r w:rsidR="0082306C" w:rsidRPr="0000563D">
        <w:rPr>
          <w:rFonts w:cs="Open Sans"/>
        </w:rPr>
        <w:t>larify provisions about inherent requirements all the while maintaining room for innovation, flexibility, and responsiveness.</w:t>
      </w:r>
    </w:p>
    <w:p w14:paraId="1B143520" w14:textId="55117C04" w:rsidR="00810A64" w:rsidRPr="002D4943" w:rsidRDefault="008E13B9" w:rsidP="0058707A">
      <w:pPr>
        <w:pStyle w:val="Heading2"/>
        <w:rPr>
          <w:rFonts w:ascii="Open Sans" w:hAnsi="Open Sans" w:cs="Open Sans"/>
        </w:rPr>
      </w:pPr>
      <w:bookmarkStart w:id="29" w:name="_Toc214961118"/>
      <w:r w:rsidRPr="002D4943">
        <w:rPr>
          <w:rFonts w:ascii="Open Sans" w:hAnsi="Open Sans" w:cs="Open Sans"/>
        </w:rPr>
        <w:t>D</w:t>
      </w:r>
      <w:r w:rsidR="00810A64" w:rsidRPr="002D4943">
        <w:rPr>
          <w:rFonts w:ascii="Open Sans" w:hAnsi="Open Sans" w:cs="Open Sans"/>
        </w:rPr>
        <w:t>irect discrimination</w:t>
      </w:r>
      <w:bookmarkEnd w:id="29"/>
      <w:r w:rsidR="00810A64" w:rsidRPr="002D4943">
        <w:rPr>
          <w:rFonts w:ascii="Open Sans" w:hAnsi="Open Sans" w:cs="Open Sans"/>
        </w:rPr>
        <w:t xml:space="preserve"> </w:t>
      </w:r>
    </w:p>
    <w:p w14:paraId="773E0FAA" w14:textId="622295FF" w:rsidR="004404DA" w:rsidRPr="0000563D" w:rsidRDefault="004404DA" w:rsidP="008911EA">
      <w:r w:rsidRPr="0000563D">
        <w:t xml:space="preserve">The Issues Paper seeks views on </w:t>
      </w:r>
      <w:r w:rsidR="00CB6872" w:rsidRPr="0000563D">
        <w:t xml:space="preserve">2 </w:t>
      </w:r>
      <w:r w:rsidRPr="0000563D">
        <w:t xml:space="preserve">recommendations made by the Disability Royal Commission relating to direct discrimination in the Disability </w:t>
      </w:r>
      <w:r w:rsidRPr="0000563D">
        <w:lastRenderedPageBreak/>
        <w:t xml:space="preserve">Discrimination Act. The first recommendation proposes </w:t>
      </w:r>
      <w:r w:rsidR="00D051AF" w:rsidRPr="0000563D">
        <w:t>a change to the definition and test for direct discrimination and the second relates to the burden of proof. Each of these are addressed in turn.</w:t>
      </w:r>
    </w:p>
    <w:p w14:paraId="1C2E6B2D" w14:textId="77777777" w:rsidR="00D051AF" w:rsidRPr="0000563D" w:rsidRDefault="00D051AF" w:rsidP="00D051AF">
      <w:pPr>
        <w:pStyle w:val="Heading3"/>
        <w:rPr>
          <w:rFonts w:cs="Open Sans"/>
        </w:rPr>
      </w:pPr>
      <w:r w:rsidRPr="0000563D">
        <w:rPr>
          <w:rFonts w:cs="Open Sans"/>
        </w:rPr>
        <w:t>The ‘comparator test’</w:t>
      </w:r>
    </w:p>
    <w:p w14:paraId="74FD2017" w14:textId="5F5C693C" w:rsidR="00810A64" w:rsidRPr="0000563D" w:rsidRDefault="00810A64" w:rsidP="008911EA">
      <w:r w:rsidRPr="0000563D">
        <w:t>The current test for direct discrimination under the Disability Discrimination Act requires that an aggrieved person prove the following:</w:t>
      </w:r>
    </w:p>
    <w:p w14:paraId="2DC4F9FC" w14:textId="6B95AC2B" w:rsidR="00810A64" w:rsidRPr="0000563D" w:rsidRDefault="00914C1B" w:rsidP="000A5DE2">
      <w:pPr>
        <w:pStyle w:val="ListBullet"/>
        <w:rPr>
          <w:rFonts w:cs="Open Sans"/>
        </w:rPr>
      </w:pPr>
      <w:r w:rsidRPr="0000563D">
        <w:rPr>
          <w:rFonts w:cs="Open Sans"/>
        </w:rPr>
        <w:t>a</w:t>
      </w:r>
      <w:r w:rsidR="00810A64" w:rsidRPr="0000563D">
        <w:rPr>
          <w:rFonts w:cs="Open Sans"/>
        </w:rPr>
        <w:t xml:space="preserve"> person with disability has been</w:t>
      </w:r>
      <w:r w:rsidR="008259BC" w:rsidRPr="0000563D">
        <w:rPr>
          <w:rFonts w:cs="Open Sans"/>
        </w:rPr>
        <w:t>, or is proposed to be,</w:t>
      </w:r>
      <w:r w:rsidR="00810A64" w:rsidRPr="0000563D">
        <w:rPr>
          <w:rFonts w:cs="Open Sans"/>
        </w:rPr>
        <w:t xml:space="preserve"> treated less favourably compared to a person without a disability in similar circumstances, and</w:t>
      </w:r>
    </w:p>
    <w:p w14:paraId="78B6F41D" w14:textId="124E2608" w:rsidR="00810A64" w:rsidRPr="0000563D" w:rsidRDefault="00810A64" w:rsidP="000A5DE2">
      <w:pPr>
        <w:pStyle w:val="ListBullet"/>
        <w:rPr>
          <w:rFonts w:cs="Open Sans"/>
        </w:rPr>
      </w:pPr>
      <w:r w:rsidRPr="0000563D">
        <w:rPr>
          <w:rFonts w:cs="Open Sans"/>
        </w:rPr>
        <w:t>the less favourable treatment occurred because of a disability.</w:t>
      </w:r>
      <w:r w:rsidRPr="0000563D">
        <w:rPr>
          <w:rStyle w:val="EndnoteReference"/>
          <w:rFonts w:cs="Open Sans"/>
        </w:rPr>
        <w:endnoteReference w:id="53"/>
      </w:r>
    </w:p>
    <w:p w14:paraId="65E2F7ED" w14:textId="3C16BC81" w:rsidR="00810A64" w:rsidRPr="0000563D" w:rsidRDefault="00810A64" w:rsidP="008911EA">
      <w:r w:rsidRPr="0000563D">
        <w:t xml:space="preserve">The </w:t>
      </w:r>
      <w:r w:rsidR="00BC6980" w:rsidRPr="0000563D">
        <w:t xml:space="preserve">first limb </w:t>
      </w:r>
      <w:r w:rsidRPr="0000563D">
        <w:t xml:space="preserve">of </w:t>
      </w:r>
      <w:r w:rsidR="00BC6980" w:rsidRPr="0000563D">
        <w:t xml:space="preserve">the test for </w:t>
      </w:r>
      <w:r w:rsidRPr="0000563D">
        <w:t>direct discrimination</w:t>
      </w:r>
      <w:r w:rsidR="000064BB" w:rsidRPr="0000563D">
        <w:t xml:space="preserve"> – </w:t>
      </w:r>
      <w:r w:rsidR="00D52ED0" w:rsidRPr="0000563D">
        <w:t>commonly</w:t>
      </w:r>
      <w:r w:rsidR="000064BB" w:rsidRPr="0000563D">
        <w:t xml:space="preserve"> </w:t>
      </w:r>
      <w:r w:rsidR="00D52ED0" w:rsidRPr="0000563D">
        <w:t xml:space="preserve">referred to </w:t>
      </w:r>
      <w:r w:rsidR="00716E0F" w:rsidRPr="0000563D">
        <w:t>as the</w:t>
      </w:r>
      <w:r w:rsidRPr="0000563D">
        <w:t xml:space="preserve"> comparator test</w:t>
      </w:r>
      <w:r w:rsidR="000064BB" w:rsidRPr="0000563D">
        <w:t xml:space="preserve"> – </w:t>
      </w:r>
      <w:r w:rsidRPr="0000563D">
        <w:t>requires</w:t>
      </w:r>
      <w:r w:rsidR="000064BB" w:rsidRPr="0000563D">
        <w:t xml:space="preserve"> </w:t>
      </w:r>
      <w:r w:rsidRPr="0000563D">
        <w:t xml:space="preserve">a comparison </w:t>
      </w:r>
      <w:r w:rsidR="00051E38" w:rsidRPr="0000563D">
        <w:t xml:space="preserve">to be made </w:t>
      </w:r>
      <w:r w:rsidRPr="0000563D">
        <w:t xml:space="preserve">between the treatment or the proposed treatment of the person with disability and the treatment of a person without the disability </w:t>
      </w:r>
      <w:r w:rsidR="00716E0F" w:rsidRPr="0000563D">
        <w:t xml:space="preserve">(i.e. </w:t>
      </w:r>
      <w:r w:rsidRPr="0000563D">
        <w:t>the comparator</w:t>
      </w:r>
      <w:r w:rsidR="00716E0F" w:rsidRPr="0000563D">
        <w:t>)</w:t>
      </w:r>
      <w:r w:rsidRPr="0000563D">
        <w:t>, in circumstances that are materially</w:t>
      </w:r>
      <w:r w:rsidR="00051E38" w:rsidRPr="0000563D">
        <w:t xml:space="preserve"> the same</w:t>
      </w:r>
      <w:r w:rsidRPr="0000563D">
        <w:t xml:space="preserve">. A comparator may be actual or hypothetical. </w:t>
      </w:r>
      <w:r w:rsidR="00716E0F" w:rsidRPr="0000563D">
        <w:t>T</w:t>
      </w:r>
      <w:r w:rsidRPr="0000563D">
        <w:t>he comparator test i</w:t>
      </w:r>
      <w:r w:rsidR="00716E0F" w:rsidRPr="0000563D">
        <w:t xml:space="preserve">s also </w:t>
      </w:r>
      <w:r w:rsidR="007B39A9" w:rsidRPr="0000563D">
        <w:t xml:space="preserve">a requirement </w:t>
      </w:r>
      <w:r w:rsidR="00612B4F" w:rsidRPr="0000563D">
        <w:t>in</w:t>
      </w:r>
      <w:r w:rsidRPr="0000563D">
        <w:t xml:space="preserve"> establishing direct discrimination</w:t>
      </w:r>
      <w:r w:rsidR="00612B4F" w:rsidRPr="0000563D">
        <w:t xml:space="preserve"> under the Age</w:t>
      </w:r>
      <w:r w:rsidR="005400BE" w:rsidRPr="0000563D">
        <w:t xml:space="preserve"> Discrimination Act</w:t>
      </w:r>
      <w:r w:rsidR="00612B4F" w:rsidRPr="0000563D">
        <w:t xml:space="preserve"> and Sex Discrimination Act</w:t>
      </w:r>
      <w:r w:rsidRPr="0000563D">
        <w:t>.</w:t>
      </w:r>
      <w:r w:rsidRPr="0000563D">
        <w:rPr>
          <w:rStyle w:val="EndnoteReference"/>
        </w:rPr>
        <w:endnoteReference w:id="54"/>
      </w:r>
    </w:p>
    <w:p w14:paraId="79C7A517" w14:textId="2960ECB3" w:rsidR="008B1DED" w:rsidRPr="0000563D" w:rsidRDefault="00531357" w:rsidP="008911EA">
      <w:r w:rsidRPr="0000563D">
        <w:t>The complexity with the</w:t>
      </w:r>
      <w:r w:rsidR="008C3307" w:rsidRPr="0000563D">
        <w:t xml:space="preserve"> comparator test </w:t>
      </w:r>
      <w:r w:rsidRPr="0000563D">
        <w:t>lies in the</w:t>
      </w:r>
      <w:r w:rsidR="008C3307" w:rsidRPr="0000563D">
        <w:t xml:space="preserve"> uncertainty in how it will be applied</w:t>
      </w:r>
      <w:r w:rsidR="00481D14" w:rsidRPr="0000563D">
        <w:t>. The test relies on a court’s conception, which can be unpredictable and uncertain, of the material circumstances of a case to determine whether the discrimination is attributed to the circumstances or a person’s disability.</w:t>
      </w:r>
      <w:r w:rsidR="00A2477F" w:rsidRPr="0000563D">
        <w:t xml:space="preserve"> </w:t>
      </w:r>
    </w:p>
    <w:p w14:paraId="1B5717C1" w14:textId="63E1306D" w:rsidR="008C3307" w:rsidRPr="0000563D" w:rsidRDefault="0093254B" w:rsidP="008911EA">
      <w:r w:rsidRPr="0000563D">
        <w:t>It is rare for</w:t>
      </w:r>
      <w:r w:rsidR="00531357" w:rsidRPr="0000563D">
        <w:t xml:space="preserve"> a</w:t>
      </w:r>
      <w:r w:rsidR="008C3307" w:rsidRPr="0000563D">
        <w:t xml:space="preserve">n actual or direct comparator </w:t>
      </w:r>
      <w:r w:rsidRPr="0000563D">
        <w:t xml:space="preserve">to be </w:t>
      </w:r>
      <w:r w:rsidR="008C3307" w:rsidRPr="0000563D">
        <w:t>available, meaning that the comparator is often a hypothetical person without disability in a hypothetical scenario.</w:t>
      </w:r>
      <w:r w:rsidR="008C3307" w:rsidRPr="0000563D">
        <w:rPr>
          <w:vertAlign w:val="superscript"/>
        </w:rPr>
        <w:endnoteReference w:id="55"/>
      </w:r>
      <w:r w:rsidR="008C3307" w:rsidRPr="0000563D">
        <w:t xml:space="preserve"> The</w:t>
      </w:r>
      <w:r w:rsidR="008B1DED" w:rsidRPr="0000563D">
        <w:t xml:space="preserve"> exercise </w:t>
      </w:r>
      <w:r w:rsidR="008C3307" w:rsidRPr="0000563D">
        <w:t>le</w:t>
      </w:r>
      <w:r w:rsidR="00742463" w:rsidRPr="0000563D">
        <w:t>a</w:t>
      </w:r>
      <w:r w:rsidR="008C3307" w:rsidRPr="0000563D">
        <w:t>d</w:t>
      </w:r>
      <w:r w:rsidR="00742463" w:rsidRPr="0000563D">
        <w:t>s</w:t>
      </w:r>
      <w:r w:rsidR="008C3307" w:rsidRPr="0000563D">
        <w:t xml:space="preserve"> to ‘technically complex, abstract and time-consuming legal arguments’ focusing on the identification or </w:t>
      </w:r>
      <w:r w:rsidR="00AD55A1" w:rsidRPr="0000563D">
        <w:t>creation</w:t>
      </w:r>
      <w:r w:rsidR="008C3307" w:rsidRPr="0000563D">
        <w:t xml:space="preserve"> of a comparator</w:t>
      </w:r>
      <w:r w:rsidR="002662D8" w:rsidRPr="0000563D">
        <w:t>, rather than</w:t>
      </w:r>
      <w:r w:rsidR="008C3307" w:rsidRPr="0000563D">
        <w:t xml:space="preserve"> the merits of the complaint.</w:t>
      </w:r>
      <w:r w:rsidR="008C3307" w:rsidRPr="0000563D">
        <w:rPr>
          <w:vertAlign w:val="superscript"/>
        </w:rPr>
        <w:endnoteReference w:id="56"/>
      </w:r>
      <w:r w:rsidR="008C3307" w:rsidRPr="0000563D">
        <w:t xml:space="preserve"> This can result in direct discrimination</w:t>
      </w:r>
      <w:r w:rsidR="007077B5" w:rsidRPr="0000563D">
        <w:t xml:space="preserve"> not being made out</w:t>
      </w:r>
      <w:r w:rsidR="008C3307" w:rsidRPr="0000563D">
        <w:t>, even if the person with disability has been treated unfavourably.  </w:t>
      </w:r>
    </w:p>
    <w:p w14:paraId="4F4E1D5B" w14:textId="069A4E9E" w:rsidR="00810A64" w:rsidRPr="0000563D" w:rsidRDefault="00810A64" w:rsidP="001A1961">
      <w:r w:rsidRPr="0000563D">
        <w:rPr>
          <w:noProof/>
        </w:rPr>
        <w:lastRenderedPageBreak/>
        <mc:AlternateContent>
          <mc:Choice Requires="wps">
            <w:drawing>
              <wp:inline distT="45720" distB="45720" distL="114300" distR="114300" wp14:anchorId="00D6A19B" wp14:editId="164F45B2">
                <wp:extent cx="5759450" cy="5800299"/>
                <wp:effectExtent l="0" t="0" r="12700" b="10160"/>
                <wp:docPr id="1980994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5800299"/>
                        </a:xfrm>
                        <a:prstGeom prst="rect">
                          <a:avLst/>
                        </a:prstGeom>
                        <a:solidFill>
                          <a:schemeClr val="tx2">
                            <a:lumMod val="10000"/>
                            <a:lumOff val="90000"/>
                          </a:schemeClr>
                        </a:solidFill>
                        <a:ln w="9525">
                          <a:solidFill>
                            <a:schemeClr val="bg1"/>
                          </a:solidFill>
                          <a:miter lim="800000"/>
                          <a:headEnd/>
                          <a:tailEnd/>
                        </a:ln>
                      </wps:spPr>
                      <wps:txbx>
                        <w:txbxContent>
                          <w:p w14:paraId="4A738E07" w14:textId="1E689760" w:rsidR="00810A64" w:rsidRPr="000C5592" w:rsidRDefault="00810A64" w:rsidP="006E7E5F">
                            <w:pPr>
                              <w:rPr>
                                <w:b/>
                                <w:bCs/>
                              </w:rPr>
                            </w:pPr>
                            <w:r w:rsidRPr="000C5592">
                              <w:rPr>
                                <w:rFonts w:hint="eastAsia"/>
                                <w:b/>
                                <w:bCs/>
                                <w:i/>
                              </w:rPr>
                              <w:t xml:space="preserve">Purvis v State of </w:t>
                            </w:r>
                            <w:r w:rsidR="00630247" w:rsidRPr="000C5592">
                              <w:rPr>
                                <w:rFonts w:hint="eastAsia"/>
                                <w:b/>
                                <w:bCs/>
                                <w:i/>
                                <w:iCs/>
                              </w:rPr>
                              <w:t>New South Wales</w:t>
                            </w:r>
                            <w:r w:rsidR="00630247" w:rsidRPr="000C5592">
                              <w:rPr>
                                <w:b/>
                                <w:bCs/>
                              </w:rPr>
                              <w:t xml:space="preserve"> </w:t>
                            </w:r>
                            <w:r w:rsidRPr="000C5592">
                              <w:rPr>
                                <w:b/>
                                <w:bCs/>
                              </w:rPr>
                              <w:t>(Department of Education and Training) (2003) 217 CLR 92</w:t>
                            </w:r>
                            <w:r w:rsidRPr="000C5592" w:rsidDel="00C93DA4">
                              <w:rPr>
                                <w:b/>
                                <w:bCs/>
                              </w:rPr>
                              <w:t xml:space="preserve"> </w:t>
                            </w:r>
                            <w:r w:rsidRPr="000C5592">
                              <w:rPr>
                                <w:b/>
                                <w:bCs/>
                              </w:rPr>
                              <w:t>(Purvis)</w:t>
                            </w:r>
                          </w:p>
                          <w:p w14:paraId="4E1C74AA" w14:textId="56CF942E" w:rsidR="00810A64" w:rsidRPr="007B30EB" w:rsidRDefault="00810A64" w:rsidP="006E7E5F">
                            <w:r>
                              <w:t xml:space="preserve">In 2003, the High Court in </w:t>
                            </w:r>
                            <w:r w:rsidRPr="007B30EB">
                              <w:t xml:space="preserve">Purvis considered whether expelling a student with disability on the grounds of misbehaviour was discriminatory. </w:t>
                            </w:r>
                          </w:p>
                          <w:p w14:paraId="34B47A98" w14:textId="38A08E12" w:rsidR="00810A64" w:rsidRPr="007B30EB" w:rsidRDefault="00215EBD" w:rsidP="006E7E5F">
                            <w:r>
                              <w:t>The case was about</w:t>
                            </w:r>
                            <w:r w:rsidR="00810A64" w:rsidRPr="007B30EB">
                              <w:t xml:space="preserve"> a student with disability, who </w:t>
                            </w:r>
                            <w:r w:rsidR="00653270">
                              <w:t xml:space="preserve">was expelled from the school due to </w:t>
                            </w:r>
                            <w:r w:rsidR="00810A64" w:rsidRPr="007B30EB">
                              <w:t>instances of behaving violently towards himself and others at school</w:t>
                            </w:r>
                            <w:r w:rsidR="00810A64">
                              <w:t xml:space="preserve">. This behaviour </w:t>
                            </w:r>
                            <w:r w:rsidR="00810A64" w:rsidRPr="007B30EB">
                              <w:t xml:space="preserve">arose due to manifestations of </w:t>
                            </w:r>
                            <w:r w:rsidR="00810A64">
                              <w:t>the student’s</w:t>
                            </w:r>
                            <w:r w:rsidR="00810A64" w:rsidRPr="007B30EB">
                              <w:t xml:space="preserve"> disability. </w:t>
                            </w:r>
                            <w:r w:rsidR="00810A64">
                              <w:t>The student’s</w:t>
                            </w:r>
                            <w:r w:rsidR="00810A64" w:rsidRPr="007B30EB">
                              <w:t xml:space="preserve"> family argued that </w:t>
                            </w:r>
                            <w:r w:rsidR="00810A64">
                              <w:t>the</w:t>
                            </w:r>
                            <w:r w:rsidR="00810A64" w:rsidRPr="007B30EB">
                              <w:t xml:space="preserve"> behaviour was largely because of the discriminatory treatment </w:t>
                            </w:r>
                            <w:r w:rsidR="00810A64">
                              <w:t>t</w:t>
                            </w:r>
                            <w:r w:rsidR="00810A64" w:rsidRPr="007B30EB">
                              <w:t>he</w:t>
                            </w:r>
                            <w:r w:rsidR="00810A64">
                              <w:t xml:space="preserve"> student</w:t>
                            </w:r>
                            <w:r w:rsidR="00810A64" w:rsidRPr="007B30EB">
                              <w:t xml:space="preserve"> was experiencing at school. </w:t>
                            </w:r>
                          </w:p>
                          <w:p w14:paraId="0ACFF516" w14:textId="490474F3" w:rsidR="00810A64" w:rsidRDefault="00810A64" w:rsidP="006E7E5F">
                            <w:r>
                              <w:t xml:space="preserve">In considering the appropriate comparator, the </w:t>
                            </w:r>
                            <w:r w:rsidRPr="007B30EB">
                              <w:t xml:space="preserve">High Court found that no actual comparator </w:t>
                            </w:r>
                            <w:r>
                              <w:t xml:space="preserve">was </w:t>
                            </w:r>
                            <w:r w:rsidRPr="007B30EB">
                              <w:t>available</w:t>
                            </w:r>
                            <w:r>
                              <w:t xml:space="preserve"> and, instead,</w:t>
                            </w:r>
                            <w:r w:rsidRPr="007B30EB">
                              <w:t xml:space="preserve"> created a hypothetical comparator. The Court decided that the hypothetical comparator should be a student without a disability who was also behaving violently towards themselves and others. </w:t>
                            </w:r>
                          </w:p>
                          <w:p w14:paraId="66F9F4A1" w14:textId="353CC756" w:rsidR="00810A64" w:rsidRDefault="00810A64" w:rsidP="006E7E5F">
                            <w:r w:rsidRPr="007B30EB">
                              <w:t xml:space="preserve">The High Court found that the behaviours in question formed part of the comparator, instead of acknowledging that these behaviours </w:t>
                            </w:r>
                            <w:r>
                              <w:t xml:space="preserve">were </w:t>
                            </w:r>
                            <w:r w:rsidRPr="007B30EB">
                              <w:t>manifestations</w:t>
                            </w:r>
                            <w:r>
                              <w:t xml:space="preserve"> or </w:t>
                            </w:r>
                            <w:r w:rsidRPr="007B30EB">
                              <w:t xml:space="preserve">characteristics of the student’s disability. The Court </w:t>
                            </w:r>
                            <w:r>
                              <w:t>held</w:t>
                            </w:r>
                            <w:r w:rsidRPr="007B30EB">
                              <w:t xml:space="preserve"> that the school had not acted in a discriminatory manner because, as argued by the school, the school would have expelled another student without disability in similar circumstances if that student displayed the same behaviours. </w:t>
                            </w:r>
                          </w:p>
                          <w:p w14:paraId="1E2AA1B4" w14:textId="35D1C6A4" w:rsidR="00810A64" w:rsidRPr="007B30EB" w:rsidRDefault="00810A64" w:rsidP="006E7E5F">
                            <w:r w:rsidRPr="007B30EB">
                              <w:t>This finding disregarded the fact that the behaviour in question arose from</w:t>
                            </w:r>
                            <w:r>
                              <w:t>,</w:t>
                            </w:r>
                            <w:r w:rsidRPr="007B30EB">
                              <w:t xml:space="preserve"> and was linked to</w:t>
                            </w:r>
                            <w:r>
                              <w:t>,</w:t>
                            </w:r>
                            <w:r w:rsidRPr="007B30EB">
                              <w:t xml:space="preserve"> </w:t>
                            </w:r>
                            <w:r w:rsidR="00630247">
                              <w:t>the student’s</w:t>
                            </w:r>
                            <w:r w:rsidR="00630247" w:rsidRPr="007B30EB">
                              <w:t xml:space="preserve"> </w:t>
                            </w:r>
                            <w:r w:rsidRPr="007B30EB">
                              <w:t>disability.</w:t>
                            </w:r>
                          </w:p>
                        </w:txbxContent>
                      </wps:txbx>
                      <wps:bodyPr rot="0" vert="horz" wrap="square" lIns="144000" tIns="144000" rIns="144000" bIns="14400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504E2CA7">
              <v:shapetype id="_x0000_t202" coordsize="21600,21600" o:spt="202" path="m,l,21600r21600,l21600,xe" w14:anchorId="00D6A19B">
                <v:stroke joinstyle="miter"/>
                <v:path gradientshapeok="t" o:connecttype="rect"/>
              </v:shapetype>
              <v:shape id="Text Box 2" style="width:453.5pt;height:456.7pt;visibility:visible;mso-wrap-style:square;mso-left-percent:-10001;mso-top-percent:-10001;mso-position-horizontal:absolute;mso-position-horizontal-relative:char;mso-position-vertical:absolute;mso-position-vertical-relative:line;mso-left-percent:-10001;mso-top-percent:-10001;v-text-anchor:top" o:spid="_x0000_s1026" fillcolor="#ececec [351]"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">
                <v:textbox inset="4mm,4mm,4mm,4mm">
                  <w:txbxContent>
                    <w:p w:rsidRPr="000C5592" w:rsidR="00810A64" w:rsidP="006E7E5F" w:rsidRDefault="00810A64" w14:paraId="601E3A90" w14:textId="1E689760">
                      <w:pPr>
                        <w:rPr>
                          <w:rFonts w:hint="eastAsia"/>
                          <w:b/>
                          <w:bCs/>
                        </w:rPr>
                      </w:pPr>
                      <w:r w:rsidRPr="000C5592">
                        <w:rPr>
                          <w:rFonts w:hint="eastAsia"/>
                          <w:b/>
                          <w:bCs/>
                          <w:i/>
                        </w:rPr>
                        <w:t xml:space="preserve">Purvis v State of </w:t>
                      </w:r>
                      <w:r w:rsidRPr="000C5592" w:rsidR="00630247">
                        <w:rPr>
                          <w:rFonts w:hint="eastAsia"/>
                          <w:b/>
                          <w:bCs/>
                          <w:i/>
                          <w:iCs/>
                        </w:rPr>
                        <w:t>New South Wales</w:t>
                      </w:r>
                      <w:r w:rsidRPr="000C5592" w:rsidR="00630247">
                        <w:rPr>
                          <w:b/>
                          <w:bCs/>
                        </w:rPr>
                        <w:t xml:space="preserve"> </w:t>
                      </w:r>
                      <w:r w:rsidRPr="000C5592">
                        <w:rPr>
                          <w:b/>
                          <w:bCs/>
                        </w:rPr>
                        <w:t>(Department of Education and Training) (2003) 217 CLR 92</w:t>
                      </w:r>
                      <w:r w:rsidRPr="000C5592" w:rsidDel="00C93DA4">
                        <w:rPr>
                          <w:b/>
                          <w:bCs/>
                        </w:rPr>
                        <w:t xml:space="preserve"> </w:t>
                      </w:r>
                      <w:r w:rsidRPr="000C5592">
                        <w:rPr>
                          <w:b/>
                          <w:bCs/>
                        </w:rPr>
                        <w:t>(Purvis)</w:t>
                      </w:r>
                    </w:p>
                    <w:p w:rsidRPr="007B30EB" w:rsidR="00810A64" w:rsidP="006E7E5F" w:rsidRDefault="00810A64" w14:paraId="0C2D01C1" w14:textId="56CF942E">
                      <w:pPr>
                        <w:rPr>
                          <w:rFonts w:hint="eastAsia"/>
                        </w:rPr>
                      </w:pPr>
                      <w:r>
                        <w:t xml:space="preserve">In 2003, the High Court in </w:t>
                      </w:r>
                      <w:r w:rsidRPr="007B30EB">
                        <w:t xml:space="preserve">Purvis considered whether expelling a student with disability on the grounds of misbehaviour was discriminatory. </w:t>
                      </w:r>
                    </w:p>
                    <w:p w:rsidRPr="007B30EB" w:rsidR="00810A64" w:rsidP="006E7E5F" w:rsidRDefault="00215EBD" w14:paraId="0FF0D6E8" w14:textId="38A08E12">
                      <w:pPr>
                        <w:rPr>
                          <w:rFonts w:hint="eastAsia"/>
                        </w:rPr>
                      </w:pPr>
                      <w:r>
                        <w:t>The case was about</w:t>
                      </w:r>
                      <w:r w:rsidRPr="007B30EB" w:rsidR="00810A64">
                        <w:t xml:space="preserve"> a student with disability, who </w:t>
                      </w:r>
                      <w:r w:rsidR="00653270">
                        <w:t xml:space="preserve">was expelled from the school due to </w:t>
                      </w:r>
                      <w:r w:rsidRPr="007B30EB" w:rsidR="00810A64">
                        <w:t>instances of behaving violently towards himself and others at school</w:t>
                      </w:r>
                      <w:r w:rsidR="00810A64">
                        <w:t xml:space="preserve">. This behaviour </w:t>
                      </w:r>
                      <w:r w:rsidRPr="007B30EB" w:rsidR="00810A64">
                        <w:t xml:space="preserve">arose due to manifestations of </w:t>
                      </w:r>
                      <w:r w:rsidR="00810A64">
                        <w:t>the student’s</w:t>
                      </w:r>
                      <w:r w:rsidRPr="007B30EB" w:rsidR="00810A64">
                        <w:t xml:space="preserve"> disability. </w:t>
                      </w:r>
                      <w:r w:rsidR="00810A64">
                        <w:t>The student’s</w:t>
                      </w:r>
                      <w:r w:rsidRPr="007B30EB" w:rsidR="00810A64">
                        <w:t xml:space="preserve"> family argued that </w:t>
                      </w:r>
                      <w:r w:rsidR="00810A64">
                        <w:t>the</w:t>
                      </w:r>
                      <w:r w:rsidRPr="007B30EB" w:rsidR="00810A64">
                        <w:t xml:space="preserve"> behaviour was largely because of the discriminatory treatment </w:t>
                      </w:r>
                      <w:r w:rsidR="00810A64">
                        <w:t>t</w:t>
                      </w:r>
                      <w:r w:rsidRPr="007B30EB" w:rsidR="00810A64">
                        <w:t>he</w:t>
                      </w:r>
                      <w:r w:rsidR="00810A64">
                        <w:t xml:space="preserve"> student</w:t>
                      </w:r>
                      <w:r w:rsidRPr="007B30EB" w:rsidR="00810A64">
                        <w:t xml:space="preserve"> was experiencing at school. </w:t>
                      </w:r>
                    </w:p>
                    <w:p w:rsidR="00810A64" w:rsidP="006E7E5F" w:rsidRDefault="00810A64" w14:paraId="64602E5F" w14:textId="490474F3">
                      <w:pPr>
                        <w:rPr>
                          <w:rFonts w:hint="eastAsia"/>
                        </w:rPr>
                      </w:pPr>
                      <w:r>
                        <w:t xml:space="preserve">In considering the appropriate comparator, the </w:t>
                      </w:r>
                      <w:r w:rsidRPr="007B30EB">
                        <w:t xml:space="preserve">High Court found that no actual comparator </w:t>
                      </w:r>
                      <w:r>
                        <w:t xml:space="preserve">was </w:t>
                      </w:r>
                      <w:r w:rsidRPr="007B30EB">
                        <w:t>available</w:t>
                      </w:r>
                      <w:r>
                        <w:t xml:space="preserve"> and, instead,</w:t>
                      </w:r>
                      <w:r w:rsidRPr="007B30EB">
                        <w:t xml:space="preserve"> created a hypothetical comparator. The Court decided that the hypothetical comparator should be a student without a disability who was also behaving violently towards themselves and others. </w:t>
                      </w:r>
                    </w:p>
                    <w:p w:rsidR="00810A64" w:rsidP="006E7E5F" w:rsidRDefault="00810A64" w14:paraId="4AA38A57" w14:textId="353CC756">
                      <w:pPr>
                        <w:rPr>
                          <w:rFonts w:hint="eastAsia"/>
                        </w:rPr>
                      </w:pPr>
                      <w:r w:rsidRPr="007B30EB">
                        <w:t xml:space="preserve">The High Court found that the behaviours in question formed part of the comparator, instead of acknowledging that these behaviours </w:t>
                      </w:r>
                      <w:r>
                        <w:t xml:space="preserve">were </w:t>
                      </w:r>
                      <w:r w:rsidRPr="007B30EB">
                        <w:t>manifestations</w:t>
                      </w:r>
                      <w:r>
                        <w:t xml:space="preserve"> or </w:t>
                      </w:r>
                      <w:r w:rsidRPr="007B30EB">
                        <w:t xml:space="preserve">characteristics of the student’s disability. The Court </w:t>
                      </w:r>
                      <w:r>
                        <w:t>held</w:t>
                      </w:r>
                      <w:r w:rsidRPr="007B30EB">
                        <w:t xml:space="preserve"> that the school had not acted in a discriminatory manner because, as argued by the school, the school would have expelled another student without disability in similar circumstances if that student displayed the same behaviours. </w:t>
                      </w:r>
                    </w:p>
                    <w:p w:rsidRPr="007B30EB" w:rsidR="00810A64" w:rsidP="006E7E5F" w:rsidRDefault="00810A64" w14:paraId="0915301D" w14:textId="35D1C6A4">
                      <w:pPr>
                        <w:rPr>
                          <w:rFonts w:hint="eastAsia"/>
                        </w:rPr>
                      </w:pPr>
                      <w:r w:rsidRPr="007B30EB">
                        <w:t>This finding disregarded the fact that the behaviour in question arose from</w:t>
                      </w:r>
                      <w:r>
                        <w:t>,</w:t>
                      </w:r>
                      <w:r w:rsidRPr="007B30EB">
                        <w:t xml:space="preserve"> and was linked to</w:t>
                      </w:r>
                      <w:r>
                        <w:t>,</w:t>
                      </w:r>
                      <w:r w:rsidRPr="007B30EB">
                        <w:t xml:space="preserve"> </w:t>
                      </w:r>
                      <w:r w:rsidR="00630247">
                        <w:t>the student’s</w:t>
                      </w:r>
                      <w:r w:rsidRPr="007B30EB" w:rsidR="00630247">
                        <w:t xml:space="preserve"> </w:t>
                      </w:r>
                      <w:r w:rsidRPr="007B30EB">
                        <w:t>disability.</w:t>
                      </w:r>
                    </w:p>
                  </w:txbxContent>
                </v:textbox>
                <w10:anchorlock/>
              </v:shape>
            </w:pict>
          </mc:Fallback>
        </mc:AlternateContent>
      </w:r>
      <w:r w:rsidRPr="0000563D">
        <w:t xml:space="preserve"> </w:t>
      </w:r>
    </w:p>
    <w:p w14:paraId="44C638A3" w14:textId="0E5956EF" w:rsidR="00F738D6" w:rsidRPr="0000563D" w:rsidRDefault="00E36609" w:rsidP="008911EA">
      <w:pPr>
        <w:rPr>
          <w:lang w:val="en-US"/>
        </w:rPr>
      </w:pPr>
      <w:r w:rsidRPr="0000563D">
        <w:t>The practical implication of the precedent set in Purvis is that there is almost no consideration in direct discrimination cases of how</w:t>
      </w:r>
      <w:r w:rsidR="009E158E" w:rsidRPr="0000563D">
        <w:t xml:space="preserve"> and when</w:t>
      </w:r>
      <w:r w:rsidRPr="0000563D">
        <w:t xml:space="preserve"> disability may inform or alter behaviour.</w:t>
      </w:r>
      <w:r w:rsidRPr="0000563D">
        <w:rPr>
          <w:rStyle w:val="EndnoteReference"/>
        </w:rPr>
        <w:endnoteReference w:id="57"/>
      </w:r>
      <w:r w:rsidRPr="0000563D">
        <w:t xml:space="preserve"> </w:t>
      </w:r>
      <w:r w:rsidR="00212181" w:rsidRPr="0000563D">
        <w:t>I</w:t>
      </w:r>
      <w:proofErr w:type="spellStart"/>
      <w:r w:rsidR="0018541D" w:rsidRPr="0000563D">
        <w:rPr>
          <w:lang w:val="en-US"/>
        </w:rPr>
        <w:t>f</w:t>
      </w:r>
      <w:proofErr w:type="spellEnd"/>
      <w:r w:rsidR="0018541D" w:rsidRPr="0000563D">
        <w:rPr>
          <w:lang w:val="en-US"/>
        </w:rPr>
        <w:t xml:space="preserve"> the court </w:t>
      </w:r>
      <w:r w:rsidR="009E158E" w:rsidRPr="0000563D">
        <w:rPr>
          <w:lang w:val="en-US"/>
        </w:rPr>
        <w:t xml:space="preserve">creates </w:t>
      </w:r>
      <w:r w:rsidR="006029C8" w:rsidRPr="0000563D">
        <w:rPr>
          <w:lang w:val="en-US"/>
        </w:rPr>
        <w:t>a comparator without disability</w:t>
      </w:r>
      <w:r w:rsidR="00C07B0D" w:rsidRPr="0000563D">
        <w:rPr>
          <w:lang w:val="en-US"/>
        </w:rPr>
        <w:t>,</w:t>
      </w:r>
      <w:r w:rsidR="006029C8" w:rsidRPr="0000563D">
        <w:rPr>
          <w:lang w:val="en-US"/>
        </w:rPr>
        <w:t xml:space="preserve"> and therefore without th</w:t>
      </w:r>
      <w:r w:rsidR="003B1F06" w:rsidRPr="0000563D">
        <w:rPr>
          <w:lang w:val="en-US"/>
        </w:rPr>
        <w:t xml:space="preserve">ose </w:t>
      </w:r>
      <w:proofErr w:type="spellStart"/>
      <w:r w:rsidR="003B1F06" w:rsidRPr="0000563D">
        <w:rPr>
          <w:lang w:val="en-US"/>
        </w:rPr>
        <w:t>behaviours</w:t>
      </w:r>
      <w:proofErr w:type="spellEnd"/>
      <w:r w:rsidR="003B1F06" w:rsidRPr="0000563D">
        <w:rPr>
          <w:lang w:val="en-US"/>
        </w:rPr>
        <w:t>, it creates a comparator</w:t>
      </w:r>
      <w:r w:rsidR="0088529A" w:rsidRPr="0000563D">
        <w:rPr>
          <w:lang w:val="en-US"/>
        </w:rPr>
        <w:t xml:space="preserve"> </w:t>
      </w:r>
      <w:r w:rsidR="00EC5D70" w:rsidRPr="0000563D">
        <w:rPr>
          <w:lang w:val="en-US"/>
        </w:rPr>
        <w:t>who behaved the same way as the person with disability. </w:t>
      </w:r>
      <w:r w:rsidR="00F738D6" w:rsidRPr="0000563D">
        <w:t xml:space="preserve">The interpretation misunderstands disability by separating the disability from any manifestations or characteristics </w:t>
      </w:r>
      <w:r w:rsidR="00D55C46" w:rsidRPr="0000563D">
        <w:t xml:space="preserve">that are inherently </w:t>
      </w:r>
      <w:r w:rsidR="00F738D6" w:rsidRPr="0000563D">
        <w:t>related</w:t>
      </w:r>
      <w:r w:rsidR="00120467" w:rsidRPr="0000563D">
        <w:t xml:space="preserve"> to it</w:t>
      </w:r>
      <w:r w:rsidR="00F738D6" w:rsidRPr="0000563D">
        <w:t>.</w:t>
      </w:r>
    </w:p>
    <w:p w14:paraId="45523062" w14:textId="3B468672" w:rsidR="006D0408" w:rsidRPr="0000563D" w:rsidRDefault="00CB48C8" w:rsidP="008911EA">
      <w:r w:rsidRPr="0000563D">
        <w:rPr>
          <w:lang w:val="en-US"/>
        </w:rPr>
        <w:t xml:space="preserve">This is what </w:t>
      </w:r>
      <w:r w:rsidR="005A54B2" w:rsidRPr="0000563D">
        <w:rPr>
          <w:lang w:val="en-US"/>
        </w:rPr>
        <w:t xml:space="preserve">happened in </w:t>
      </w:r>
      <w:proofErr w:type="gramStart"/>
      <w:r w:rsidR="005A54B2" w:rsidRPr="0000563D">
        <w:rPr>
          <w:lang w:val="en-US"/>
        </w:rPr>
        <w:t>Purvis</w:t>
      </w:r>
      <w:r w:rsidR="00E36609" w:rsidRPr="0000563D">
        <w:rPr>
          <w:lang w:val="en-US"/>
        </w:rPr>
        <w:t xml:space="preserve">, </w:t>
      </w:r>
      <w:r w:rsidR="005F5E53" w:rsidRPr="0000563D">
        <w:rPr>
          <w:lang w:val="en-US"/>
        </w:rPr>
        <w:t>and</w:t>
      </w:r>
      <w:proofErr w:type="gramEnd"/>
      <w:r w:rsidR="005F5E53" w:rsidRPr="0000563D">
        <w:rPr>
          <w:lang w:val="en-US"/>
        </w:rPr>
        <w:t xml:space="preserve"> </w:t>
      </w:r>
      <w:r w:rsidR="00E36609" w:rsidRPr="0000563D">
        <w:rPr>
          <w:lang w:val="en-US"/>
        </w:rPr>
        <w:t>led</w:t>
      </w:r>
      <w:r w:rsidR="005F5E53" w:rsidRPr="0000563D">
        <w:rPr>
          <w:lang w:val="en-US"/>
        </w:rPr>
        <w:t xml:space="preserve"> to discrimination not being identified</w:t>
      </w:r>
      <w:r w:rsidR="001B7EA6" w:rsidRPr="0000563D">
        <w:t>.</w:t>
      </w:r>
      <w:r w:rsidR="00120467" w:rsidRPr="0000563D">
        <w:t xml:space="preserve"> </w:t>
      </w:r>
      <w:r w:rsidR="006D0408" w:rsidRPr="0000563D">
        <w:t xml:space="preserve">In </w:t>
      </w:r>
      <w:r w:rsidR="00EE3C01" w:rsidRPr="0000563D">
        <w:t xml:space="preserve">our </w:t>
      </w:r>
      <w:r w:rsidR="006D0408" w:rsidRPr="0000563D">
        <w:t>Free &amp; Equal 2021 Position Paper, the Commission stated that the precedent in Purvis</w:t>
      </w:r>
    </w:p>
    <w:p w14:paraId="7D16E6DB" w14:textId="68015ACA" w:rsidR="006D0408" w:rsidRPr="0000563D" w:rsidRDefault="006D0408" w:rsidP="00F102A3">
      <w:pPr>
        <w:pStyle w:val="Quote"/>
      </w:pPr>
      <w:r w:rsidRPr="0000563D">
        <w:t xml:space="preserve">effectively obscures or ignores the basis or cause of the behaviour for the person with </w:t>
      </w:r>
      <w:proofErr w:type="gramStart"/>
      <w:r w:rsidRPr="0000563D">
        <w:t>disability, and</w:t>
      </w:r>
      <w:proofErr w:type="gramEnd"/>
      <w:r w:rsidRPr="0000563D">
        <w:t xml:space="preserve"> treats manifestations of their disability as though they were something discretionary that could be removed or taken off. The result is a very </w:t>
      </w:r>
      <w:r w:rsidRPr="0000563D">
        <w:lastRenderedPageBreak/>
        <w:t xml:space="preserve">narrow test for direct discrimination that prohibits discrimination </w:t>
      </w:r>
      <w:proofErr w:type="gramStart"/>
      <w:r w:rsidRPr="0000563D">
        <w:t>on the basis of</w:t>
      </w:r>
      <w:proofErr w:type="gramEnd"/>
      <w:r w:rsidRPr="0000563D">
        <w:t xml:space="preserve"> disability itself, but not </w:t>
      </w:r>
      <w:proofErr w:type="gramStart"/>
      <w:r w:rsidRPr="0000563D">
        <w:t>on the basis of</w:t>
      </w:r>
      <w:proofErr w:type="gramEnd"/>
      <w:r w:rsidRPr="0000563D">
        <w:t xml:space="preserve"> outward manifestations of it that may be perceived as socially undesirable.</w:t>
      </w:r>
      <w:r w:rsidRPr="0000563D">
        <w:rPr>
          <w:rStyle w:val="EndnoteReference"/>
          <w:i/>
          <w:color w:val="auto"/>
        </w:rPr>
        <w:endnoteReference w:id="58"/>
      </w:r>
    </w:p>
    <w:p w14:paraId="0C71BBB3" w14:textId="647C8A11" w:rsidR="00810A64" w:rsidRPr="0000563D" w:rsidRDefault="00FC2DE1" w:rsidP="001A1961">
      <w:r w:rsidRPr="0000563D">
        <w:t xml:space="preserve">The Purvis case has negative consequences for many people who have disability that affects the way they behave. </w:t>
      </w:r>
      <w:r w:rsidR="0C860FAC" w:rsidRPr="0000563D">
        <w:t>The Purvis case</w:t>
      </w:r>
      <w:r w:rsidR="00DD5D41" w:rsidRPr="0000563D">
        <w:t xml:space="preserve"> </w:t>
      </w:r>
      <w:r w:rsidR="000E3325" w:rsidRPr="0000563D">
        <w:t>has also been criticised for setting a precedent that undermines substantive equality</w:t>
      </w:r>
      <w:r w:rsidR="00D12EA8" w:rsidRPr="0000563D">
        <w:t xml:space="preserve"> by leading to </w:t>
      </w:r>
      <w:r w:rsidR="00812553" w:rsidRPr="0000563D">
        <w:t xml:space="preserve">arguments being made that </w:t>
      </w:r>
      <w:r w:rsidR="009C428C" w:rsidRPr="0000563D">
        <w:t>anyone else would receive the same treatment.</w:t>
      </w:r>
      <w:r w:rsidR="009C428C" w:rsidRPr="0000563D">
        <w:rPr>
          <w:rStyle w:val="EndnoteReference"/>
        </w:rPr>
        <w:endnoteReference w:id="59"/>
      </w:r>
      <w:r w:rsidR="00462341" w:rsidRPr="0000563D">
        <w:t xml:space="preserve"> This fails to recognise that the same treatment can entrench disadvantage and produce unequal outcomes.</w:t>
      </w:r>
      <w:r w:rsidR="00B60645" w:rsidRPr="0000563D">
        <w:t xml:space="preserve"> </w:t>
      </w:r>
      <w:r w:rsidR="001737F7" w:rsidRPr="0000563D">
        <w:t xml:space="preserve">Together, the comparator test and the Purvis case make it </w:t>
      </w:r>
      <w:r w:rsidR="00314EE4" w:rsidRPr="0000563D">
        <w:t xml:space="preserve">far </w:t>
      </w:r>
      <w:r w:rsidR="001737F7" w:rsidRPr="0000563D">
        <w:t>more difficult for people with disability to be successful in proving a direct discrimination claim.</w:t>
      </w:r>
    </w:p>
    <w:p w14:paraId="45E4A344" w14:textId="637D4F78" w:rsidR="001D58AF" w:rsidRPr="0000563D" w:rsidRDefault="001D58AF" w:rsidP="001A1961"/>
    <w:p w14:paraId="61A899A2" w14:textId="54523994" w:rsidR="00C75524" w:rsidRPr="0000563D" w:rsidRDefault="00C75524" w:rsidP="001A1961">
      <w:r w:rsidRPr="0000563D">
        <w:rPr>
          <w:noProof/>
        </w:rPr>
        <mc:AlternateContent>
          <mc:Choice Requires="wps">
            <w:drawing>
              <wp:inline distT="45720" distB="45720" distL="114300" distR="114300" wp14:anchorId="7177BA21" wp14:editId="3A6851B0">
                <wp:extent cx="5731510" cy="6106602"/>
                <wp:effectExtent l="0" t="0" r="21590" b="27940"/>
                <wp:docPr id="1972135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06602"/>
                        </a:xfrm>
                        <a:prstGeom prst="rect">
                          <a:avLst/>
                        </a:prstGeom>
                        <a:solidFill>
                          <a:schemeClr val="tx2">
                            <a:lumMod val="10000"/>
                            <a:lumOff val="90000"/>
                          </a:schemeClr>
                        </a:solidFill>
                        <a:ln w="9525">
                          <a:solidFill>
                            <a:schemeClr val="bg1"/>
                          </a:solidFill>
                          <a:miter lim="800000"/>
                          <a:headEnd/>
                          <a:tailEnd/>
                        </a:ln>
                      </wps:spPr>
                      <wps:txbx>
                        <w:txbxContent>
                          <w:p w14:paraId="1B267954" w14:textId="7BD228F9" w:rsidR="002131D6" w:rsidRPr="002131D6" w:rsidRDefault="002131D6" w:rsidP="002131D6">
                            <w:pPr>
                              <w:rPr>
                                <w:b/>
                                <w:bCs/>
                                <w:i/>
                              </w:rPr>
                            </w:pPr>
                            <w:r w:rsidRPr="002131D6">
                              <w:rPr>
                                <w:b/>
                                <w:bCs/>
                                <w:i/>
                                <w:iCs/>
                              </w:rPr>
                              <w:t>Slattery v Manningham City Council (Human Rights) </w:t>
                            </w:r>
                            <w:r w:rsidRPr="002131D6">
                              <w:rPr>
                                <w:b/>
                                <w:bCs/>
                                <w:i/>
                              </w:rPr>
                              <w:t>[2013] VCAT 1869 (30 October 2013)</w:t>
                            </w:r>
                            <w:r w:rsidR="00E15BF9">
                              <w:rPr>
                                <w:b/>
                                <w:bCs/>
                                <w:i/>
                              </w:rPr>
                              <w:t xml:space="preserve"> (Slattery)</w:t>
                            </w:r>
                          </w:p>
                          <w:p w14:paraId="66952D16" w14:textId="7F83C0D6" w:rsidR="005E4ECB" w:rsidRDefault="005E4ECB" w:rsidP="00FB4319">
                            <w:pPr>
                              <w:rPr>
                                <w:iCs/>
                              </w:rPr>
                            </w:pPr>
                            <w:r>
                              <w:rPr>
                                <w:iCs/>
                              </w:rPr>
                              <w:t xml:space="preserve">In Slattery, the Victorian Civil and Administrative Tribunal (VCAT) found that the Manningham </w:t>
                            </w:r>
                            <w:r w:rsidR="00E15BF9">
                              <w:rPr>
                                <w:iCs/>
                              </w:rPr>
                              <w:t xml:space="preserve">City </w:t>
                            </w:r>
                            <w:r>
                              <w:rPr>
                                <w:iCs/>
                              </w:rPr>
                              <w:t xml:space="preserve">Council directly discriminated against </w:t>
                            </w:r>
                            <w:r w:rsidR="00BE12E3">
                              <w:rPr>
                                <w:iCs/>
                              </w:rPr>
                              <w:t xml:space="preserve">Mr Slattery on the grounds of disability, contrary to the </w:t>
                            </w:r>
                            <w:r w:rsidR="00BE12E3" w:rsidRPr="002D4943">
                              <w:rPr>
                                <w:i/>
                              </w:rPr>
                              <w:t>Equal Opportunity Act 2010</w:t>
                            </w:r>
                            <w:r w:rsidR="00BE12E3">
                              <w:rPr>
                                <w:iCs/>
                              </w:rPr>
                              <w:t xml:space="preserve"> (Vic). The</w:t>
                            </w:r>
                            <w:r w:rsidR="008C38D8">
                              <w:rPr>
                                <w:iCs/>
                              </w:rPr>
                              <w:t xml:space="preserve"> tribunal </w:t>
                            </w:r>
                            <w:r w:rsidR="00E55854">
                              <w:rPr>
                                <w:iCs/>
                              </w:rPr>
                              <w:t xml:space="preserve">also </w:t>
                            </w:r>
                            <w:r w:rsidR="008C38D8">
                              <w:rPr>
                                <w:iCs/>
                              </w:rPr>
                              <w:t xml:space="preserve">made </w:t>
                            </w:r>
                            <w:r w:rsidR="00E55854">
                              <w:rPr>
                                <w:iCs/>
                              </w:rPr>
                              <w:t>findings of breaches of the Victorian Charter</w:t>
                            </w:r>
                            <w:r w:rsidR="008C38D8">
                              <w:rPr>
                                <w:iCs/>
                              </w:rPr>
                              <w:t>,</w:t>
                            </w:r>
                            <w:r w:rsidR="00E55854">
                              <w:rPr>
                                <w:iCs/>
                              </w:rPr>
                              <w:t xml:space="preserve"> which are not addressed here.</w:t>
                            </w:r>
                          </w:p>
                          <w:p w14:paraId="4D3F89BB" w14:textId="577289CA" w:rsidR="00FB4319" w:rsidRDefault="00FB4319" w:rsidP="00FB4319">
                            <w:pPr>
                              <w:rPr>
                                <w:iCs/>
                              </w:rPr>
                            </w:pPr>
                            <w:r w:rsidRPr="002D4943">
                              <w:rPr>
                                <w:iCs/>
                              </w:rPr>
                              <w:t>Mr Slattery had several impairments, including bipolar disorder, attention deficit hyperactive disorder, post-traumatic stress disorder and an acquired brain injury. He had an ardent desire to participate in society, strong views about local government accountability and a compulsion to monitor health and safety in the local area</w:t>
                            </w:r>
                            <w:r w:rsidR="00D6651F">
                              <w:rPr>
                                <w:iCs/>
                              </w:rPr>
                              <w:t xml:space="preserve">, including </w:t>
                            </w:r>
                            <w:r w:rsidRPr="002D4943">
                              <w:rPr>
                                <w:iCs/>
                              </w:rPr>
                              <w:t>overhanging branches</w:t>
                            </w:r>
                            <w:r w:rsidR="00F62281">
                              <w:rPr>
                                <w:iCs/>
                              </w:rPr>
                              <w:t xml:space="preserve"> and</w:t>
                            </w:r>
                            <w:r w:rsidRPr="002D4943">
                              <w:rPr>
                                <w:iCs/>
                              </w:rPr>
                              <w:t xml:space="preserve"> tripping hazards. He </w:t>
                            </w:r>
                            <w:r w:rsidR="00F62281">
                              <w:rPr>
                                <w:iCs/>
                              </w:rPr>
                              <w:t>made</w:t>
                            </w:r>
                            <w:r w:rsidRPr="002D4943">
                              <w:rPr>
                                <w:iCs/>
                              </w:rPr>
                              <w:t xml:space="preserve"> thousands of complaints to Manningham City Council. He was ultimately banned from attending any building that was owned, occupied or managed by the Council. The Council’s actions had wide implications and extended to preventing him from taking his grandchildren to the local pool, visiting the local library or even using public toilets. </w:t>
                            </w:r>
                          </w:p>
                          <w:p w14:paraId="59140A56" w14:textId="601CF17C" w:rsidR="000A0474" w:rsidRDefault="000A0474" w:rsidP="00FB4319">
                            <w:pPr>
                              <w:rPr>
                                <w:iCs/>
                              </w:rPr>
                            </w:pPr>
                            <w:r>
                              <w:rPr>
                                <w:iCs/>
                              </w:rPr>
                              <w:t>VCAT found that Mr Slattery’s</w:t>
                            </w:r>
                            <w:r w:rsidR="00831DCA">
                              <w:rPr>
                                <w:iCs/>
                              </w:rPr>
                              <w:t xml:space="preserve"> behaviours</w:t>
                            </w:r>
                            <w:r w:rsidR="00903446">
                              <w:rPr>
                                <w:iCs/>
                              </w:rPr>
                              <w:t xml:space="preserve"> (i.e. overzealous complaints</w:t>
                            </w:r>
                            <w:r w:rsidR="00746153">
                              <w:rPr>
                                <w:iCs/>
                              </w:rPr>
                              <w:t xml:space="preserve"> and other related behaviours</w:t>
                            </w:r>
                            <w:r w:rsidR="00B32681">
                              <w:rPr>
                                <w:iCs/>
                              </w:rPr>
                              <w:t>) were manifestations of his disability and</w:t>
                            </w:r>
                            <w:r w:rsidR="00C323C4">
                              <w:rPr>
                                <w:iCs/>
                              </w:rPr>
                              <w:t>,</w:t>
                            </w:r>
                            <w:r w:rsidR="00B32681">
                              <w:rPr>
                                <w:iCs/>
                              </w:rPr>
                              <w:t xml:space="preserve"> therefore</w:t>
                            </w:r>
                            <w:r w:rsidR="00C323C4">
                              <w:rPr>
                                <w:iCs/>
                              </w:rPr>
                              <w:t>,</w:t>
                            </w:r>
                            <w:r w:rsidR="00B32681">
                              <w:rPr>
                                <w:iCs/>
                              </w:rPr>
                              <w:t xml:space="preserve"> that the Council discriminated </w:t>
                            </w:r>
                            <w:r w:rsidR="00FA7A43">
                              <w:rPr>
                                <w:iCs/>
                              </w:rPr>
                              <w:t>against him.</w:t>
                            </w:r>
                          </w:p>
                          <w:p w14:paraId="29937BD1" w14:textId="5168F97D" w:rsidR="00BC31C5" w:rsidRPr="002D4943" w:rsidRDefault="00B42297" w:rsidP="00FB4319">
                            <w:pPr>
                              <w:rPr>
                                <w:iCs/>
                              </w:rPr>
                            </w:pPr>
                            <w:r>
                              <w:rPr>
                                <w:iCs/>
                              </w:rPr>
                              <w:t>The</w:t>
                            </w:r>
                            <w:r w:rsidR="0089249C">
                              <w:rPr>
                                <w:iCs/>
                              </w:rPr>
                              <w:t xml:space="preserve"> </w:t>
                            </w:r>
                            <w:r w:rsidR="00791FBE">
                              <w:rPr>
                                <w:iCs/>
                              </w:rPr>
                              <w:t xml:space="preserve">Victorian </w:t>
                            </w:r>
                            <w:r w:rsidR="00791FBE" w:rsidRPr="002D4943">
                              <w:rPr>
                                <w:i/>
                              </w:rPr>
                              <w:t>Equal Opportunity Act</w:t>
                            </w:r>
                            <w:r w:rsidR="00F51C61" w:rsidRPr="002D4943">
                              <w:rPr>
                                <w:i/>
                              </w:rPr>
                              <w:t xml:space="preserve"> </w:t>
                            </w:r>
                            <w:r w:rsidR="00F51C61">
                              <w:rPr>
                                <w:iCs/>
                              </w:rPr>
                              <w:t xml:space="preserve">had </w:t>
                            </w:r>
                            <w:r w:rsidR="00AA79DF">
                              <w:rPr>
                                <w:iCs/>
                              </w:rPr>
                              <w:t>earlier</w:t>
                            </w:r>
                            <w:r w:rsidR="00F51C61">
                              <w:rPr>
                                <w:iCs/>
                              </w:rPr>
                              <w:t xml:space="preserve"> been amended to </w:t>
                            </w:r>
                            <w:r w:rsidR="00796BF2">
                              <w:rPr>
                                <w:iCs/>
                              </w:rPr>
                              <w:t xml:space="preserve">remove the </w:t>
                            </w:r>
                            <w:r w:rsidR="00791FBE">
                              <w:rPr>
                                <w:iCs/>
                              </w:rPr>
                              <w:t>‘comparator test’</w:t>
                            </w:r>
                            <w:r w:rsidR="00796BF2">
                              <w:rPr>
                                <w:iCs/>
                              </w:rPr>
                              <w:t xml:space="preserve">. Therefore, </w:t>
                            </w:r>
                            <w:r w:rsidR="00BC31C5" w:rsidRPr="00BC31C5">
                              <w:rPr>
                                <w:iCs/>
                              </w:rPr>
                              <w:t>Mr Slattery did not have to prove that he was treated worse than others who had acted in the same way were, or would have been, treated. Instead, the test was whether he had been treated unfavourably. Unlike in the case of Purvis, to assert his rights</w:t>
                            </w:r>
                            <w:r w:rsidR="00BE2D22">
                              <w:rPr>
                                <w:iCs/>
                              </w:rPr>
                              <w:t>,</w:t>
                            </w:r>
                            <w:r w:rsidR="00BC31C5" w:rsidRPr="00BC31C5">
                              <w:rPr>
                                <w:iCs/>
                              </w:rPr>
                              <w:t xml:space="preserve"> he did not need to be compared with that of anyone else</w:t>
                            </w:r>
                            <w:r w:rsidR="008833F3">
                              <w:rPr>
                                <w:iCs/>
                              </w:rPr>
                              <w:t xml:space="preserve">. </w:t>
                            </w:r>
                          </w:p>
                          <w:p w14:paraId="7402198E" w14:textId="2351CED8" w:rsidR="00C75524" w:rsidRPr="007B30EB" w:rsidRDefault="00C75524" w:rsidP="00C75524"/>
                        </w:txbxContent>
                      </wps:txbx>
                      <wps:bodyPr rot="0" vert="horz" wrap="square" lIns="144000" tIns="144000" rIns="144000" bIns="14400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2826CB53">
              <v:shape id="_x0000_s1027" style="width:451.3pt;height:480.85pt;visibility:visible;mso-wrap-style:square;mso-left-percent:-10001;mso-top-percent:-10001;mso-position-horizontal:absolute;mso-position-horizontal-relative:char;mso-position-vertical:absolute;mso-position-vertical-relative:line;mso-left-percent:-10001;mso-top-percent:-10001;v-text-anchor:top" fillcolor="#ececec [351]"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" w14:anchorId="7177BA21">
                <v:textbox inset="4mm,4mm,4mm,4mm">
                  <w:txbxContent>
                    <w:p w:rsidRPr="002131D6" w:rsidR="002131D6" w:rsidP="002131D6" w:rsidRDefault="002131D6" w14:paraId="52ED0A4D" w14:textId="7BD228F9">
                      <w:pPr>
                        <w:rPr>
                          <w:rFonts w:hint="eastAsia"/>
                          <w:b/>
                          <w:bCs/>
                          <w:i/>
                        </w:rPr>
                      </w:pPr>
                      <w:r w:rsidRPr="002131D6">
                        <w:rPr>
                          <w:b/>
                          <w:bCs/>
                          <w:i/>
                          <w:iCs/>
                        </w:rPr>
                        <w:t>Slattery v Manningham City Council (Human Rights) </w:t>
                      </w:r>
                      <w:r w:rsidRPr="002131D6">
                        <w:rPr>
                          <w:b/>
                          <w:bCs/>
                          <w:i/>
                        </w:rPr>
                        <w:t>[2013] VCAT 1869 (30 October 2013)</w:t>
                      </w:r>
                      <w:r w:rsidR="00E15BF9">
                        <w:rPr>
                          <w:b/>
                          <w:bCs/>
                          <w:i/>
                        </w:rPr>
                        <w:t xml:space="preserve"> (Slattery)</w:t>
                      </w:r>
                    </w:p>
                    <w:p w:rsidR="005E4ECB" w:rsidP="00FB4319" w:rsidRDefault="005E4ECB" w14:paraId="36C65B3C" w14:textId="7F83C0D6">
                      <w:pPr>
                        <w:rPr>
                          <w:rFonts w:hint="eastAsia"/>
                          <w:iCs/>
                        </w:rPr>
                      </w:pPr>
                      <w:r>
                        <w:rPr>
                          <w:iCs/>
                        </w:rPr>
                        <w:t xml:space="preserve">In Slattery, the Victorian Civil and Administrative Tribunal (VCAT) found that the Manningham </w:t>
                      </w:r>
                      <w:r w:rsidR="00E15BF9">
                        <w:rPr>
                          <w:iCs/>
                        </w:rPr>
                        <w:t xml:space="preserve">City </w:t>
                      </w:r>
                      <w:r>
                        <w:rPr>
                          <w:iCs/>
                        </w:rPr>
                        <w:t xml:space="preserve">Council directly discriminated against </w:t>
                      </w:r>
                      <w:r w:rsidR="00BE12E3">
                        <w:rPr>
                          <w:iCs/>
                        </w:rPr>
                        <w:t xml:space="preserve">Mr Slattery on the grounds of disability, contrary to the </w:t>
                      </w:r>
                      <w:r w:rsidRPr="002D4943" w:rsidR="00BE12E3">
                        <w:rPr>
                          <w:i/>
                        </w:rPr>
                        <w:t>Equal Opportunity Act 2010</w:t>
                      </w:r>
                      <w:r w:rsidR="00BE12E3">
                        <w:rPr>
                          <w:iCs/>
                        </w:rPr>
                        <w:t xml:space="preserve"> (Vic). The</w:t>
                      </w:r>
                      <w:r w:rsidR="008C38D8">
                        <w:rPr>
                          <w:iCs/>
                        </w:rPr>
                        <w:t xml:space="preserve"> tribunal </w:t>
                      </w:r>
                      <w:r w:rsidR="00E55854">
                        <w:rPr>
                          <w:iCs/>
                        </w:rPr>
                        <w:t xml:space="preserve">also </w:t>
                      </w:r>
                      <w:r w:rsidR="008C38D8">
                        <w:rPr>
                          <w:iCs/>
                        </w:rPr>
                        <w:t xml:space="preserve">made </w:t>
                      </w:r>
                      <w:r w:rsidR="00E55854">
                        <w:rPr>
                          <w:iCs/>
                        </w:rPr>
                        <w:t>findings of breaches of the Victorian Charter</w:t>
                      </w:r>
                      <w:r w:rsidR="008C38D8">
                        <w:rPr>
                          <w:iCs/>
                        </w:rPr>
                        <w:t>,</w:t>
                      </w:r>
                      <w:r w:rsidR="00E55854">
                        <w:rPr>
                          <w:iCs/>
                        </w:rPr>
                        <w:t xml:space="preserve"> which are not addressed here.</w:t>
                      </w:r>
                    </w:p>
                    <w:p w:rsidR="00FB4319" w:rsidP="00FB4319" w:rsidRDefault="00FB4319" w14:paraId="02696B70" w14:textId="577289CA">
                      <w:pPr>
                        <w:rPr>
                          <w:rFonts w:hint="eastAsia"/>
                          <w:iCs/>
                        </w:rPr>
                      </w:pPr>
                      <w:r w:rsidRPr="002D4943">
                        <w:rPr>
                          <w:iCs/>
                        </w:rPr>
                        <w:t>Mr Slattery had several impairments, including bipolar disorder, attention deficit hyperactive disorder, post-traumatic stress disorder and an acquired brain injury. He had an ardent desire to participate in society, strong views about local government accountability and a compulsion to monitor health and safety in the local area</w:t>
                      </w:r>
                      <w:r w:rsidR="00D6651F">
                        <w:rPr>
                          <w:iCs/>
                        </w:rPr>
                        <w:t xml:space="preserve">, including </w:t>
                      </w:r>
                      <w:r w:rsidRPr="002D4943">
                        <w:rPr>
                          <w:iCs/>
                        </w:rPr>
                        <w:t>overhanging branches</w:t>
                      </w:r>
                      <w:r w:rsidR="00F62281">
                        <w:rPr>
                          <w:iCs/>
                        </w:rPr>
                        <w:t xml:space="preserve"> and</w:t>
                      </w:r>
                      <w:r w:rsidRPr="002D4943">
                        <w:rPr>
                          <w:iCs/>
                        </w:rPr>
                        <w:t xml:space="preserve"> tripping hazards. He </w:t>
                      </w:r>
                      <w:r w:rsidR="00F62281">
                        <w:rPr>
                          <w:iCs/>
                        </w:rPr>
                        <w:t>made</w:t>
                      </w:r>
                      <w:r w:rsidRPr="002D4943">
                        <w:rPr>
                          <w:iCs/>
                        </w:rPr>
                        <w:t xml:space="preserve"> thousands of complaints to Manningham City Council. He was ultimately banned from attending any building that was owned, occupied or managed by the Council. The Council’s actions had wide implications and extended to preventing him from taking his grandchildren to the local pool, visiting the local library or even using public toilets. </w:t>
                      </w:r>
                    </w:p>
                    <w:p w:rsidR="000A0474" w:rsidP="00FB4319" w:rsidRDefault="000A0474" w14:paraId="15DF2194" w14:textId="601CF17C">
                      <w:pPr>
                        <w:rPr>
                          <w:rFonts w:hint="eastAsia"/>
                          <w:iCs/>
                        </w:rPr>
                      </w:pPr>
                      <w:r>
                        <w:rPr>
                          <w:iCs/>
                        </w:rPr>
                        <w:t>VCAT found that Mr Slattery’s</w:t>
                      </w:r>
                      <w:r w:rsidR="00831DCA">
                        <w:rPr>
                          <w:iCs/>
                        </w:rPr>
                        <w:t xml:space="preserve"> behaviours</w:t>
                      </w:r>
                      <w:r w:rsidR="00903446">
                        <w:rPr>
                          <w:iCs/>
                        </w:rPr>
                        <w:t xml:space="preserve"> (i.e. overzealous complaints</w:t>
                      </w:r>
                      <w:r w:rsidR="00746153">
                        <w:rPr>
                          <w:iCs/>
                        </w:rPr>
                        <w:t xml:space="preserve"> and other related behaviours</w:t>
                      </w:r>
                      <w:r w:rsidR="00B32681">
                        <w:rPr>
                          <w:iCs/>
                        </w:rPr>
                        <w:t>) were manifestations of his disability and</w:t>
                      </w:r>
                      <w:r w:rsidR="00C323C4">
                        <w:rPr>
                          <w:iCs/>
                        </w:rPr>
                        <w:t>,</w:t>
                      </w:r>
                      <w:r w:rsidR="00B32681">
                        <w:rPr>
                          <w:iCs/>
                        </w:rPr>
                        <w:t xml:space="preserve"> therefore</w:t>
                      </w:r>
                      <w:r w:rsidR="00C323C4">
                        <w:rPr>
                          <w:iCs/>
                        </w:rPr>
                        <w:t>,</w:t>
                      </w:r>
                      <w:r w:rsidR="00B32681">
                        <w:rPr>
                          <w:iCs/>
                        </w:rPr>
                        <w:t xml:space="preserve"> that the Council discriminated </w:t>
                      </w:r>
                      <w:r w:rsidR="00FA7A43">
                        <w:rPr>
                          <w:iCs/>
                        </w:rPr>
                        <w:t>against him.</w:t>
                      </w:r>
                    </w:p>
                    <w:p w:rsidRPr="002D4943" w:rsidR="00BC31C5" w:rsidP="00FB4319" w:rsidRDefault="00B42297" w14:paraId="641FFA66" w14:textId="5168F97D">
                      <w:pPr>
                        <w:rPr>
                          <w:rFonts w:hint="eastAsia"/>
                          <w:iCs/>
                        </w:rPr>
                      </w:pPr>
                      <w:r>
                        <w:rPr>
                          <w:iCs/>
                        </w:rPr>
                        <w:t>The</w:t>
                      </w:r>
                      <w:r w:rsidR="0089249C">
                        <w:rPr>
                          <w:iCs/>
                        </w:rPr>
                        <w:t xml:space="preserve"> </w:t>
                      </w:r>
                      <w:r w:rsidR="00791FBE">
                        <w:rPr>
                          <w:iCs/>
                        </w:rPr>
                        <w:t xml:space="preserve">Victorian </w:t>
                      </w:r>
                      <w:r w:rsidRPr="002D4943" w:rsidR="00791FBE">
                        <w:rPr>
                          <w:i/>
                        </w:rPr>
                        <w:t>Equal Opportunity Act</w:t>
                      </w:r>
                      <w:r w:rsidRPr="002D4943" w:rsidR="00F51C61">
                        <w:rPr>
                          <w:i/>
                        </w:rPr>
                        <w:t xml:space="preserve"> </w:t>
                      </w:r>
                      <w:r w:rsidR="00F51C61">
                        <w:rPr>
                          <w:iCs/>
                        </w:rPr>
                        <w:t xml:space="preserve">had </w:t>
                      </w:r>
                      <w:r w:rsidR="00AA79DF">
                        <w:rPr>
                          <w:iCs/>
                        </w:rPr>
                        <w:t>earlier</w:t>
                      </w:r>
                      <w:r w:rsidR="00F51C61">
                        <w:rPr>
                          <w:iCs/>
                        </w:rPr>
                        <w:t xml:space="preserve"> been amended to </w:t>
                      </w:r>
                      <w:r w:rsidR="00796BF2">
                        <w:rPr>
                          <w:iCs/>
                        </w:rPr>
                        <w:t xml:space="preserve">remove the </w:t>
                      </w:r>
                      <w:r w:rsidR="00791FBE">
                        <w:rPr>
                          <w:iCs/>
                        </w:rPr>
                        <w:t>‘comparator test’</w:t>
                      </w:r>
                      <w:r w:rsidR="00796BF2">
                        <w:rPr>
                          <w:iCs/>
                        </w:rPr>
                        <w:t xml:space="preserve">. Therefore, </w:t>
                      </w:r>
                      <w:r w:rsidRPr="00BC31C5" w:rsidR="00BC31C5">
                        <w:rPr>
                          <w:iCs/>
                        </w:rPr>
                        <w:t>Mr Slattery did not have to prove that he was treated worse than others who had acted in the same way were, or would have been, treated. Instead, the test was whether he had been treated unfavourably. Unlike in the case of Purvis, to assert his rights</w:t>
                      </w:r>
                      <w:r w:rsidR="00BE2D22">
                        <w:rPr>
                          <w:iCs/>
                        </w:rPr>
                        <w:t>,</w:t>
                      </w:r>
                      <w:r w:rsidRPr="00BC31C5" w:rsidR="00BC31C5">
                        <w:rPr>
                          <w:iCs/>
                        </w:rPr>
                        <w:t xml:space="preserve"> he did not need to be compared with that of anyone else</w:t>
                      </w:r>
                      <w:r w:rsidR="008833F3">
                        <w:rPr>
                          <w:iCs/>
                        </w:rPr>
                        <w:t xml:space="preserve">. </w:t>
                      </w:r>
                    </w:p>
                    <w:p w:rsidRPr="007B30EB" w:rsidR="00C75524" w:rsidP="00C75524" w:rsidRDefault="00C75524" w14:paraId="672A6659" w14:textId="2351CED8">
                      <w:pPr>
                        <w:rPr>
                          <w:rFonts w:hint="eastAsia"/>
                        </w:rPr>
                      </w:pPr>
                    </w:p>
                  </w:txbxContent>
                </v:textbox>
                <w10:anchorlock/>
              </v:shape>
            </w:pict>
          </mc:Fallback>
        </mc:AlternateContent>
      </w:r>
    </w:p>
    <w:p w14:paraId="5A2609A7" w14:textId="77777777" w:rsidR="00810A64" w:rsidRPr="0000563D" w:rsidRDefault="00810A64" w:rsidP="00BC2602">
      <w:pPr>
        <w:pStyle w:val="Heading3"/>
        <w:rPr>
          <w:rFonts w:cs="Open Sans"/>
        </w:rPr>
      </w:pPr>
      <w:r w:rsidRPr="0000563D">
        <w:rPr>
          <w:rFonts w:cs="Open Sans"/>
        </w:rPr>
        <w:lastRenderedPageBreak/>
        <w:t>The Detriment Test</w:t>
      </w:r>
    </w:p>
    <w:p w14:paraId="7937458E" w14:textId="2025E256" w:rsidR="00810A64" w:rsidRPr="0000563D" w:rsidRDefault="00A4298D" w:rsidP="008911EA">
      <w:r w:rsidRPr="0000563D">
        <w:t xml:space="preserve">In </w:t>
      </w:r>
      <w:r w:rsidR="00EE3C01" w:rsidRPr="0000563D">
        <w:t xml:space="preserve">our </w:t>
      </w:r>
      <w:r w:rsidR="0008461E" w:rsidRPr="0000563D">
        <w:t xml:space="preserve">2021 Free &amp; Equal Position Paper, </w:t>
      </w:r>
      <w:r w:rsidR="003E068C" w:rsidRPr="0000563D">
        <w:t>we</w:t>
      </w:r>
      <w:r w:rsidR="00E3620F" w:rsidRPr="0000563D">
        <w:t xml:space="preserve"> recommend</w:t>
      </w:r>
      <w:r w:rsidR="0008461E" w:rsidRPr="0000563D">
        <w:t>ed</w:t>
      </w:r>
      <w:r w:rsidR="00287CBD" w:rsidRPr="0000563D">
        <w:t xml:space="preserve"> that</w:t>
      </w:r>
      <w:r w:rsidR="00E3620F" w:rsidRPr="0000563D">
        <w:t xml:space="preserve"> th</w:t>
      </w:r>
      <w:r w:rsidR="002F3A3E" w:rsidRPr="0000563D">
        <w:t xml:space="preserve">e </w:t>
      </w:r>
      <w:r w:rsidR="003B40C5" w:rsidRPr="0000563D">
        <w:t xml:space="preserve">comparator </w:t>
      </w:r>
      <w:r w:rsidR="002F3A3E" w:rsidRPr="0000563D">
        <w:t xml:space="preserve">test </w:t>
      </w:r>
      <w:r w:rsidR="003B40C5" w:rsidRPr="0000563D">
        <w:t xml:space="preserve">for direct discrimination </w:t>
      </w:r>
      <w:r w:rsidR="005F400D" w:rsidRPr="0000563D">
        <w:t>be replaced by a determination of</w:t>
      </w:r>
      <w:r w:rsidR="00810A64" w:rsidRPr="0000563D">
        <w:t xml:space="preserve"> unfavourable treatment</w:t>
      </w:r>
      <w:r w:rsidR="005F400D" w:rsidRPr="0000563D">
        <w:t xml:space="preserve"> on the ground of </w:t>
      </w:r>
      <w:r w:rsidR="002F3A3E" w:rsidRPr="0000563D">
        <w:t>disability</w:t>
      </w:r>
      <w:r w:rsidR="003435FB" w:rsidRPr="0000563D">
        <w:t>.</w:t>
      </w:r>
      <w:r w:rsidR="003435FB" w:rsidRPr="0000563D">
        <w:rPr>
          <w:rStyle w:val="EndnoteReference"/>
        </w:rPr>
        <w:t xml:space="preserve"> </w:t>
      </w:r>
      <w:r w:rsidR="003435FB" w:rsidRPr="0000563D">
        <w:rPr>
          <w:rStyle w:val="EndnoteReference"/>
        </w:rPr>
        <w:endnoteReference w:id="60"/>
      </w:r>
      <w:r w:rsidR="002F3A3E" w:rsidRPr="0000563D">
        <w:t xml:space="preserve"> </w:t>
      </w:r>
      <w:r w:rsidR="001A453F" w:rsidRPr="0000563D">
        <w:t>This simpler test for direct discrimination</w:t>
      </w:r>
      <w:r w:rsidR="008D489A" w:rsidRPr="0000563D">
        <w:t xml:space="preserve"> (</w:t>
      </w:r>
      <w:r w:rsidR="003435FB" w:rsidRPr="0000563D">
        <w:t>commonly referred to as the detriment test</w:t>
      </w:r>
      <w:r w:rsidR="008D489A" w:rsidRPr="0000563D">
        <w:t>)</w:t>
      </w:r>
      <w:r w:rsidR="001A453F" w:rsidRPr="0000563D">
        <w:t xml:space="preserve"> increases the focus on the discrimination,</w:t>
      </w:r>
      <w:r w:rsidR="001A453F" w:rsidRPr="0000563D">
        <w:rPr>
          <w:rStyle w:val="EndnoteReference"/>
        </w:rPr>
        <w:endnoteReference w:id="61"/>
      </w:r>
      <w:r w:rsidR="001A453F" w:rsidRPr="0000563D">
        <w:t xml:space="preserve"> and would promote substantive equality.</w:t>
      </w:r>
      <w:r w:rsidR="001A453F" w:rsidRPr="0000563D">
        <w:rPr>
          <w:rStyle w:val="EndnoteReference"/>
        </w:rPr>
        <w:endnoteReference w:id="62"/>
      </w:r>
    </w:p>
    <w:p w14:paraId="027F0F22" w14:textId="367E5E4F" w:rsidR="00810A64" w:rsidRPr="0000563D" w:rsidRDefault="002F3A3E" w:rsidP="008911EA">
      <w:r w:rsidRPr="0000563D">
        <w:t>The elements of</w:t>
      </w:r>
      <w:r w:rsidR="00810A64" w:rsidRPr="0000563D">
        <w:t xml:space="preserve"> the detriment test</w:t>
      </w:r>
      <w:r w:rsidR="000E6BED" w:rsidRPr="0000563D">
        <w:t xml:space="preserve">, in the context of disability discrimination, </w:t>
      </w:r>
      <w:r w:rsidRPr="0000563D">
        <w:t>are</w:t>
      </w:r>
      <w:r w:rsidR="00810A64" w:rsidRPr="0000563D">
        <w:t>:</w:t>
      </w:r>
    </w:p>
    <w:p w14:paraId="5F744558" w14:textId="0C8699BE" w:rsidR="00810A64" w:rsidRPr="0000563D" w:rsidRDefault="00810A64" w:rsidP="000A5DE2">
      <w:pPr>
        <w:pStyle w:val="ListBullet"/>
        <w:rPr>
          <w:rFonts w:cs="Open Sans"/>
        </w:rPr>
      </w:pPr>
      <w:r w:rsidRPr="0000563D">
        <w:rPr>
          <w:rFonts w:cs="Open Sans"/>
        </w:rPr>
        <w:t xml:space="preserve">the unfavourable treatment caused the </w:t>
      </w:r>
      <w:r w:rsidR="00D61151" w:rsidRPr="0000563D">
        <w:rPr>
          <w:rFonts w:cs="Open Sans"/>
        </w:rPr>
        <w:t xml:space="preserve">person with disability </w:t>
      </w:r>
      <w:r w:rsidRPr="0000563D">
        <w:rPr>
          <w:rFonts w:cs="Open Sans"/>
        </w:rPr>
        <w:t>to experience detriment or disadvantage, and</w:t>
      </w:r>
    </w:p>
    <w:p w14:paraId="0A953171" w14:textId="6868B7FC" w:rsidR="00810A64" w:rsidRPr="0000563D" w:rsidRDefault="00810A64" w:rsidP="000A5DE2">
      <w:pPr>
        <w:pStyle w:val="ListBullet"/>
        <w:rPr>
          <w:rFonts w:cs="Open Sans"/>
        </w:rPr>
      </w:pPr>
      <w:r w:rsidRPr="0000563D">
        <w:rPr>
          <w:rFonts w:cs="Open Sans"/>
        </w:rPr>
        <w:t xml:space="preserve">the treatment was </w:t>
      </w:r>
      <w:r w:rsidR="00730379" w:rsidRPr="0000563D">
        <w:rPr>
          <w:rFonts w:cs="Open Sans"/>
        </w:rPr>
        <w:t>because of</w:t>
      </w:r>
      <w:r w:rsidRPr="0000563D">
        <w:rPr>
          <w:rFonts w:cs="Open Sans"/>
        </w:rPr>
        <w:t xml:space="preserve"> the </w:t>
      </w:r>
      <w:r w:rsidR="000E6BED" w:rsidRPr="0000563D">
        <w:rPr>
          <w:rFonts w:cs="Open Sans"/>
        </w:rPr>
        <w:t>person</w:t>
      </w:r>
      <w:r w:rsidR="00CF3FD7" w:rsidRPr="0000563D">
        <w:rPr>
          <w:rFonts w:cs="Open Sans"/>
        </w:rPr>
        <w:t>’s</w:t>
      </w:r>
      <w:r w:rsidR="000E6BED" w:rsidRPr="0000563D">
        <w:rPr>
          <w:rFonts w:cs="Open Sans"/>
        </w:rPr>
        <w:t xml:space="preserve"> </w:t>
      </w:r>
      <w:r w:rsidR="00FA42AB" w:rsidRPr="0000563D">
        <w:rPr>
          <w:rFonts w:cs="Open Sans"/>
        </w:rPr>
        <w:t>disability</w:t>
      </w:r>
      <w:r w:rsidRPr="0000563D">
        <w:rPr>
          <w:rFonts w:cs="Open Sans"/>
        </w:rPr>
        <w:t>.</w:t>
      </w:r>
    </w:p>
    <w:p w14:paraId="189678D2" w14:textId="2072319B" w:rsidR="00810A64" w:rsidRPr="0000563D" w:rsidRDefault="00810A64" w:rsidP="008911EA">
      <w:r w:rsidRPr="0000563D">
        <w:t xml:space="preserve">Under the detriment test, it would be sufficient for a person with disability to show </w:t>
      </w:r>
      <w:r w:rsidR="004C2138" w:rsidRPr="0000563D">
        <w:t xml:space="preserve">that </w:t>
      </w:r>
      <w:r w:rsidRPr="0000563D">
        <w:t xml:space="preserve">they have been treated unfavourably, without the additional element of proving that a person without the same disability would have been treated more favourably in the same circumstances. </w:t>
      </w:r>
      <w:r w:rsidR="00C632F9" w:rsidRPr="0000563D">
        <w:t>T</w:t>
      </w:r>
      <w:r w:rsidR="00B155DF" w:rsidRPr="0000563D">
        <w:t xml:space="preserve">he detriment test does not require a comparator, </w:t>
      </w:r>
      <w:r w:rsidR="00C632F9" w:rsidRPr="0000563D">
        <w:t xml:space="preserve">but </w:t>
      </w:r>
      <w:r w:rsidR="00B155DF" w:rsidRPr="0000563D">
        <w:t xml:space="preserve">a complainant may </w:t>
      </w:r>
      <w:r w:rsidR="00C632F9" w:rsidRPr="0000563D">
        <w:t xml:space="preserve">nonetheless </w:t>
      </w:r>
      <w:r w:rsidR="00B155DF" w:rsidRPr="0000563D">
        <w:t>choose to refer to a comparator to assist or bolster their claim.</w:t>
      </w:r>
      <w:r w:rsidR="00B155DF" w:rsidRPr="0000563D">
        <w:rPr>
          <w:rStyle w:val="EndnoteReference"/>
        </w:rPr>
        <w:endnoteReference w:id="63"/>
      </w:r>
      <w:r w:rsidR="00B155DF" w:rsidRPr="0000563D">
        <w:t xml:space="preserve"> </w:t>
      </w:r>
    </w:p>
    <w:p w14:paraId="5FA5CFAD" w14:textId="48CFA87D" w:rsidR="00810A64" w:rsidRPr="0000563D" w:rsidRDefault="00E53A4E" w:rsidP="008911EA">
      <w:r w:rsidRPr="0000563D">
        <w:t>Both t</w:t>
      </w:r>
      <w:r w:rsidR="00810A64" w:rsidRPr="0000563D">
        <w:t>he</w:t>
      </w:r>
      <w:r w:rsidR="00253893" w:rsidRPr="0000563D">
        <w:t xml:space="preserve"> </w:t>
      </w:r>
      <w:r w:rsidR="00253893" w:rsidRPr="0000563D">
        <w:rPr>
          <w:i/>
        </w:rPr>
        <w:t>Discrimination Act 1991</w:t>
      </w:r>
      <w:r w:rsidR="00253893" w:rsidRPr="0000563D">
        <w:t xml:space="preserve"> (ACT) and</w:t>
      </w:r>
      <w:r w:rsidR="00810A64" w:rsidRPr="0000563D">
        <w:t xml:space="preserve"> </w:t>
      </w:r>
      <w:r w:rsidR="00810A64" w:rsidRPr="0000563D">
        <w:rPr>
          <w:i/>
        </w:rPr>
        <w:t>Equal Opportunity Act 2010</w:t>
      </w:r>
      <w:r w:rsidR="00810A64" w:rsidRPr="0000563D">
        <w:t xml:space="preserve"> (Vic) apply the detriment test, and it has been proposed in Western Australia and Queensland. The </w:t>
      </w:r>
      <w:r w:rsidR="00810A64" w:rsidRPr="0000563D">
        <w:rPr>
          <w:i/>
        </w:rPr>
        <w:t>Fair Work Act 2009</w:t>
      </w:r>
      <w:r w:rsidR="00810A64" w:rsidRPr="0000563D">
        <w:t xml:space="preserve"> (</w:t>
      </w:r>
      <w:proofErr w:type="spellStart"/>
      <w:r w:rsidR="00810A64" w:rsidRPr="0000563D">
        <w:t>Cth</w:t>
      </w:r>
      <w:proofErr w:type="spellEnd"/>
      <w:r w:rsidR="00810A64" w:rsidRPr="0000563D">
        <w:t>)</w:t>
      </w:r>
      <w:r w:rsidR="000A3F9E" w:rsidRPr="0000563D">
        <w:t xml:space="preserve"> (Fair Work Act</w:t>
      </w:r>
      <w:r w:rsidR="00810A64" w:rsidRPr="0000563D">
        <w:t>) also uses a similar test</w:t>
      </w:r>
      <w:r w:rsidR="005A66B4" w:rsidRPr="0000563D">
        <w:t xml:space="preserve"> by</w:t>
      </w:r>
      <w:r w:rsidR="00810A64" w:rsidRPr="0000563D">
        <w:t xml:space="preserve"> prohibiting ‘adverse action’ against a person due to their disability.</w:t>
      </w:r>
      <w:r w:rsidR="005A66B4" w:rsidRPr="0000563D">
        <w:rPr>
          <w:rStyle w:val="EndnoteReference"/>
        </w:rPr>
        <w:endnoteReference w:id="64"/>
      </w:r>
      <w:r w:rsidR="00810A64" w:rsidRPr="0000563D">
        <w:t xml:space="preserve"> Jurisprudence in these jurisdictions demonstrate</w:t>
      </w:r>
      <w:r w:rsidR="00B155DF" w:rsidRPr="0000563D">
        <w:t>s</w:t>
      </w:r>
      <w:r w:rsidR="00810A64" w:rsidRPr="0000563D">
        <w:t xml:space="preserve"> how the detriment test applies in practice, providing evidence of the positive outcomes that could be achieved through making the test for direct discrimination simpler and easier for people who have experienced discrimination. </w:t>
      </w:r>
    </w:p>
    <w:p w14:paraId="4468BFA7" w14:textId="5ED4C266" w:rsidR="00810A64" w:rsidRPr="0000563D" w:rsidRDefault="00810A64" w:rsidP="008911EA">
      <w:r w:rsidRPr="0000563D">
        <w:t xml:space="preserve">Given that the Age Discrimination Act and Sex Discrimination Act also include the comparator test in the determination of direct discrimination, any changes to the test for direct discrimination that </w:t>
      </w:r>
      <w:r w:rsidR="007C6793" w:rsidRPr="0000563D">
        <w:t xml:space="preserve">are </w:t>
      </w:r>
      <w:r w:rsidRPr="0000563D">
        <w:t>made to the Disability Discrimination Act should also be reflected in those Acts.</w:t>
      </w:r>
      <w:r w:rsidR="00A4298D" w:rsidRPr="0000563D">
        <w:t xml:space="preserve"> </w:t>
      </w:r>
    </w:p>
    <w:p w14:paraId="20152E0A" w14:textId="2332A98F" w:rsidR="00973A51" w:rsidRPr="0000563D" w:rsidRDefault="00973A51" w:rsidP="008911EA">
      <w:pPr>
        <w:rPr>
          <w:b/>
          <w:bCs/>
        </w:rPr>
      </w:pPr>
      <w:r w:rsidRPr="0000563D">
        <w:rPr>
          <w:b/>
          <w:bCs/>
        </w:rPr>
        <w:t xml:space="preserve">Recommendation </w:t>
      </w:r>
      <w:r w:rsidR="00595277" w:rsidRPr="0000563D">
        <w:rPr>
          <w:b/>
          <w:bCs/>
        </w:rPr>
        <w:t>9</w:t>
      </w:r>
      <w:r w:rsidRPr="0000563D">
        <w:rPr>
          <w:b/>
          <w:bCs/>
        </w:rPr>
        <w:t xml:space="preserve">: </w:t>
      </w:r>
      <w:r w:rsidR="00FB73B9" w:rsidRPr="0000563D">
        <w:rPr>
          <w:b/>
          <w:bCs/>
        </w:rPr>
        <w:t xml:space="preserve">Section </w:t>
      </w:r>
      <w:r w:rsidR="00C07F0C" w:rsidRPr="0000563D">
        <w:rPr>
          <w:b/>
          <w:bCs/>
        </w:rPr>
        <w:t>5</w:t>
      </w:r>
      <w:r w:rsidR="0045047E" w:rsidRPr="0000563D">
        <w:rPr>
          <w:b/>
          <w:bCs/>
        </w:rPr>
        <w:t>(1)</w:t>
      </w:r>
      <w:r w:rsidR="00FB73B9" w:rsidRPr="0000563D">
        <w:rPr>
          <w:b/>
          <w:bCs/>
        </w:rPr>
        <w:t xml:space="preserve"> of the </w:t>
      </w:r>
      <w:r w:rsidR="00FB73B9" w:rsidRPr="0000563D">
        <w:rPr>
          <w:b/>
          <w:i/>
        </w:rPr>
        <w:t>Disability Discrimination Act</w:t>
      </w:r>
      <w:r w:rsidR="00CE62DE" w:rsidRPr="0000563D">
        <w:rPr>
          <w:b/>
          <w:i/>
        </w:rPr>
        <w:t xml:space="preserve"> 1992</w:t>
      </w:r>
      <w:r w:rsidR="00CE62DE" w:rsidRPr="0000563D">
        <w:rPr>
          <w:b/>
          <w:bCs/>
        </w:rPr>
        <w:t xml:space="preserve"> (</w:t>
      </w:r>
      <w:proofErr w:type="spellStart"/>
      <w:r w:rsidR="00CE62DE" w:rsidRPr="0000563D">
        <w:rPr>
          <w:b/>
          <w:bCs/>
        </w:rPr>
        <w:t>Cth</w:t>
      </w:r>
      <w:proofErr w:type="spellEnd"/>
      <w:r w:rsidR="00CE62DE" w:rsidRPr="0000563D">
        <w:rPr>
          <w:b/>
          <w:bCs/>
        </w:rPr>
        <w:t>)</w:t>
      </w:r>
      <w:r w:rsidR="00FB73B9" w:rsidRPr="0000563D">
        <w:rPr>
          <w:b/>
          <w:bCs/>
        </w:rPr>
        <w:t xml:space="preserve"> should </w:t>
      </w:r>
      <w:r w:rsidR="00CE62DE" w:rsidRPr="0000563D">
        <w:rPr>
          <w:b/>
          <w:bCs/>
        </w:rPr>
        <w:t xml:space="preserve">be amended to replace </w:t>
      </w:r>
      <w:r w:rsidR="00FB73B9" w:rsidRPr="0000563D">
        <w:rPr>
          <w:b/>
          <w:bCs/>
        </w:rPr>
        <w:t>the</w:t>
      </w:r>
      <w:r w:rsidRPr="0000563D">
        <w:rPr>
          <w:b/>
          <w:bCs/>
        </w:rPr>
        <w:t xml:space="preserve"> ‘comparator test’</w:t>
      </w:r>
      <w:r w:rsidR="003C3C2C" w:rsidRPr="0000563D">
        <w:rPr>
          <w:b/>
          <w:bCs/>
        </w:rPr>
        <w:t xml:space="preserve"> </w:t>
      </w:r>
      <w:r w:rsidRPr="0000563D">
        <w:rPr>
          <w:b/>
          <w:bCs/>
        </w:rPr>
        <w:t>with a ‘detriment test’, in direct discrimination.</w:t>
      </w:r>
      <w:r w:rsidR="005C54B4" w:rsidRPr="0000563D">
        <w:rPr>
          <w:b/>
          <w:bCs/>
        </w:rPr>
        <w:t xml:space="preserve"> </w:t>
      </w:r>
    </w:p>
    <w:p w14:paraId="3EAF1F42" w14:textId="1E82CC4C" w:rsidR="00810A64" w:rsidRPr="0000563D" w:rsidRDefault="00810A64" w:rsidP="001A5578">
      <w:pPr>
        <w:pStyle w:val="Heading3"/>
        <w:rPr>
          <w:rFonts w:cs="Open Sans"/>
        </w:rPr>
      </w:pPr>
      <w:r w:rsidRPr="0000563D">
        <w:rPr>
          <w:rFonts w:cs="Open Sans"/>
        </w:rPr>
        <w:t xml:space="preserve">Burden of Proof </w:t>
      </w:r>
    </w:p>
    <w:p w14:paraId="2611B9B1" w14:textId="0B95D023" w:rsidR="00C045C2" w:rsidRPr="0000563D" w:rsidRDefault="00810A64" w:rsidP="008911EA">
      <w:r w:rsidRPr="0000563D">
        <w:t>Under the current test for direct discrimination</w:t>
      </w:r>
      <w:r w:rsidR="00D4757F" w:rsidRPr="0000563D">
        <w:t xml:space="preserve"> </w:t>
      </w:r>
      <w:r w:rsidR="00B8484B" w:rsidRPr="0000563D">
        <w:t>in the Disability Discrimination Act</w:t>
      </w:r>
      <w:r w:rsidRPr="0000563D">
        <w:t xml:space="preserve">, </w:t>
      </w:r>
      <w:r w:rsidRPr="0000563D" w:rsidDel="009F70DC">
        <w:t>a person with disability</w:t>
      </w:r>
      <w:r w:rsidR="009F70DC" w:rsidRPr="0000563D">
        <w:t xml:space="preserve"> must not only</w:t>
      </w:r>
      <w:r w:rsidRPr="0000563D">
        <w:t xml:space="preserve"> establish that </w:t>
      </w:r>
      <w:r w:rsidR="009F70DC" w:rsidRPr="0000563D">
        <w:t>they</w:t>
      </w:r>
      <w:r w:rsidRPr="0000563D">
        <w:t xml:space="preserve"> w</w:t>
      </w:r>
      <w:r w:rsidR="005A11F3" w:rsidRPr="0000563D">
        <w:t>ere</w:t>
      </w:r>
      <w:r w:rsidRPr="0000563D">
        <w:t>, or w</w:t>
      </w:r>
      <w:r w:rsidR="005A11F3" w:rsidRPr="0000563D">
        <w:t>ere</w:t>
      </w:r>
      <w:r w:rsidRPr="0000563D">
        <w:t xml:space="preserve"> proposed to be, treated less favourably, </w:t>
      </w:r>
      <w:r w:rsidR="005A11F3" w:rsidRPr="0000563D">
        <w:t>but also that</w:t>
      </w:r>
      <w:r w:rsidRPr="0000563D" w:rsidDel="005A11F3">
        <w:t xml:space="preserve"> </w:t>
      </w:r>
      <w:r w:rsidRPr="0000563D">
        <w:t xml:space="preserve">the less favourable treatment was </w:t>
      </w:r>
      <w:r w:rsidRPr="0000563D">
        <w:rPr>
          <w:bCs/>
          <w:i/>
          <w:iCs/>
        </w:rPr>
        <w:t>because of</w:t>
      </w:r>
      <w:r w:rsidRPr="0000563D">
        <w:rPr>
          <w:i/>
        </w:rPr>
        <w:t xml:space="preserve"> </w:t>
      </w:r>
      <w:r w:rsidRPr="0000563D">
        <w:t>the disability.</w:t>
      </w:r>
      <w:r w:rsidRPr="0000563D">
        <w:rPr>
          <w:rStyle w:val="EndnoteReference"/>
        </w:rPr>
        <w:endnoteReference w:id="65"/>
      </w:r>
      <w:r w:rsidRPr="0000563D">
        <w:t xml:space="preserve"> </w:t>
      </w:r>
      <w:r w:rsidR="003E2E81" w:rsidRPr="0000563D">
        <w:t>T</w:t>
      </w:r>
      <w:r w:rsidR="00C045C2" w:rsidRPr="0000563D">
        <w:t xml:space="preserve">he disability </w:t>
      </w:r>
      <w:r w:rsidR="003E2E81" w:rsidRPr="0000563D">
        <w:t xml:space="preserve">does not </w:t>
      </w:r>
      <w:r w:rsidR="00C045C2" w:rsidRPr="0000563D">
        <w:t>need not be the only reason for the less favourable treatment</w:t>
      </w:r>
      <w:r w:rsidR="003E2E81" w:rsidRPr="0000563D">
        <w:t>;</w:t>
      </w:r>
      <w:r w:rsidR="00C045C2" w:rsidRPr="0000563D">
        <w:t xml:space="preserve"> it must be one of the reasons.</w:t>
      </w:r>
      <w:r w:rsidR="00C045C2" w:rsidRPr="0000563D">
        <w:rPr>
          <w:rStyle w:val="EndnoteReference"/>
        </w:rPr>
        <w:endnoteReference w:id="66"/>
      </w:r>
      <w:r w:rsidR="00C045C2" w:rsidRPr="0000563D">
        <w:t xml:space="preserve"> </w:t>
      </w:r>
    </w:p>
    <w:p w14:paraId="743B4AF7" w14:textId="699F9901" w:rsidR="00810A64" w:rsidRPr="0000563D" w:rsidRDefault="00C045C2" w:rsidP="008911EA">
      <w:r w:rsidRPr="0000563D">
        <w:lastRenderedPageBreak/>
        <w:t xml:space="preserve">The </w:t>
      </w:r>
      <w:r w:rsidR="00810A64" w:rsidRPr="0000563D">
        <w:t xml:space="preserve">person with disability bears the burden of proving that, on the balance of probabilities, the disability was a reason for </w:t>
      </w:r>
      <w:r w:rsidR="00D43BAA" w:rsidRPr="0000563D">
        <w:t>the</w:t>
      </w:r>
      <w:r w:rsidR="00810A64" w:rsidRPr="0000563D">
        <w:t xml:space="preserve"> discriminatory treatment.</w:t>
      </w:r>
      <w:r w:rsidR="00810A64" w:rsidRPr="0000563D">
        <w:rPr>
          <w:rStyle w:val="EndnoteReference"/>
        </w:rPr>
        <w:endnoteReference w:id="67"/>
      </w:r>
      <w:r w:rsidR="00810A64" w:rsidRPr="0000563D">
        <w:t xml:space="preserve"> </w:t>
      </w:r>
      <w:r w:rsidR="007D1C61" w:rsidRPr="0000563D">
        <w:t xml:space="preserve">Often a person with disability will not have enough information to be able to prove why </w:t>
      </w:r>
      <w:r w:rsidR="00333F32" w:rsidRPr="0000563D">
        <w:t xml:space="preserve">another </w:t>
      </w:r>
      <w:r w:rsidR="007D1C61" w:rsidRPr="0000563D">
        <w:t xml:space="preserve">person treated them less favourably. This makes it </w:t>
      </w:r>
      <w:r w:rsidR="00E0190E" w:rsidRPr="0000563D">
        <w:t>more difficult</w:t>
      </w:r>
      <w:r w:rsidR="007D1C61" w:rsidRPr="0000563D">
        <w:t xml:space="preserve"> for the person who has been discriminated against to meet the burden of proof and </w:t>
      </w:r>
      <w:r w:rsidR="003F4C87" w:rsidRPr="0000563D">
        <w:t xml:space="preserve">to </w:t>
      </w:r>
      <w:r w:rsidR="007D1C61" w:rsidRPr="0000563D">
        <w:t>be successful in their discrimination claim.</w:t>
      </w:r>
    </w:p>
    <w:p w14:paraId="68F94BDF" w14:textId="0B3E4F20" w:rsidR="00D15294" w:rsidRPr="0000563D" w:rsidRDefault="003412E2" w:rsidP="008911EA">
      <w:r w:rsidRPr="0000563D">
        <w:t>I</w:t>
      </w:r>
      <w:r w:rsidR="00052698" w:rsidRPr="0000563D">
        <w:t>n practice,</w:t>
      </w:r>
      <w:r w:rsidR="00810A64" w:rsidRPr="0000563D">
        <w:t xml:space="preserve"> a court would usually expect the respondent to explain why they </w:t>
      </w:r>
      <w:proofErr w:type="gramStart"/>
      <w:r w:rsidR="00810A64" w:rsidRPr="0000563D">
        <w:t>made a decision</w:t>
      </w:r>
      <w:proofErr w:type="gramEnd"/>
      <w:r w:rsidR="00810A64" w:rsidRPr="0000563D">
        <w:t xml:space="preserve"> or acted or failed to act in a way that caused the</w:t>
      </w:r>
      <w:r w:rsidR="00FD0F74" w:rsidRPr="0000563D">
        <w:t xml:space="preserve"> less </w:t>
      </w:r>
      <w:r w:rsidR="00810A64" w:rsidRPr="0000563D">
        <w:t>favourable treatment</w:t>
      </w:r>
      <w:r w:rsidRPr="0000563D">
        <w:t xml:space="preserve">. However, </w:t>
      </w:r>
      <w:r w:rsidR="00810A64" w:rsidRPr="0000563D">
        <w:t>this is not a requirement under the Disability Discrimination Act.</w:t>
      </w:r>
      <w:r w:rsidR="00B563BC" w:rsidRPr="0000563D">
        <w:rPr>
          <w:rStyle w:val="EndnoteReference"/>
        </w:rPr>
        <w:endnoteReference w:id="68"/>
      </w:r>
      <w:r w:rsidR="00810A64" w:rsidRPr="0000563D">
        <w:t xml:space="preserve"> Generally, evidence of the reasons for the alleged discriminatory conduct would be held by the respondent</w:t>
      </w:r>
      <w:r w:rsidR="00737B87" w:rsidRPr="0000563D">
        <w:t>,</w:t>
      </w:r>
      <w:r w:rsidR="00810A64" w:rsidRPr="0000563D">
        <w:t xml:space="preserve"> and the person </w:t>
      </w:r>
      <w:r w:rsidR="006D4720" w:rsidRPr="0000563D">
        <w:t>with disability</w:t>
      </w:r>
      <w:r w:rsidR="00810A64" w:rsidRPr="0000563D">
        <w:t xml:space="preserve"> would not have access to this information.</w:t>
      </w:r>
      <w:r w:rsidR="00810A64" w:rsidRPr="0000563D">
        <w:rPr>
          <w:rStyle w:val="EndnoteReference"/>
        </w:rPr>
        <w:endnoteReference w:id="69"/>
      </w:r>
    </w:p>
    <w:p w14:paraId="27A0AC20" w14:textId="755908B6" w:rsidR="00810A64" w:rsidRPr="0000563D" w:rsidRDefault="00295F49" w:rsidP="008911EA">
      <w:r w:rsidRPr="0000563D">
        <w:t>In addition, t</w:t>
      </w:r>
      <w:r w:rsidR="00810A64" w:rsidRPr="0000563D">
        <w:t xml:space="preserve">here is </w:t>
      </w:r>
      <w:r w:rsidRPr="0000563D">
        <w:t xml:space="preserve">often </w:t>
      </w:r>
      <w:r w:rsidR="00810A64" w:rsidRPr="0000563D">
        <w:t xml:space="preserve">a power imbalance between </w:t>
      </w:r>
      <w:r w:rsidR="00015E1F" w:rsidRPr="0000563D">
        <w:t xml:space="preserve">the </w:t>
      </w:r>
      <w:r w:rsidR="00810A64" w:rsidRPr="0000563D">
        <w:t>person</w:t>
      </w:r>
      <w:r w:rsidR="00015E1F" w:rsidRPr="0000563D">
        <w:t xml:space="preserve"> with disability</w:t>
      </w:r>
      <w:r w:rsidR="00810A64" w:rsidRPr="0000563D">
        <w:t xml:space="preserve"> and a respondent, </w:t>
      </w:r>
      <w:r w:rsidR="00A65177" w:rsidRPr="0000563D">
        <w:t xml:space="preserve">especially when the respondent is </w:t>
      </w:r>
      <w:r w:rsidR="00810A64" w:rsidRPr="0000563D">
        <w:t xml:space="preserve">an organisation with </w:t>
      </w:r>
      <w:r w:rsidR="0026727C" w:rsidRPr="0000563D">
        <w:t xml:space="preserve">access to resources and legal </w:t>
      </w:r>
      <w:r w:rsidR="00810A64" w:rsidRPr="0000563D">
        <w:t>expertise</w:t>
      </w:r>
      <w:r w:rsidR="00810A64" w:rsidRPr="0000563D" w:rsidDel="0026727C">
        <w:t xml:space="preserve"> </w:t>
      </w:r>
      <w:r w:rsidR="00810A64" w:rsidRPr="0000563D">
        <w:t xml:space="preserve">to defend </w:t>
      </w:r>
      <w:r w:rsidR="00772D10" w:rsidRPr="0000563D">
        <w:t xml:space="preserve">a discrimination </w:t>
      </w:r>
      <w:r w:rsidR="00810A64" w:rsidRPr="0000563D">
        <w:t xml:space="preserve">matter. This imbalance is amplified because the current burden of proof for direct discrimination claims </w:t>
      </w:r>
      <w:r w:rsidR="002F6508" w:rsidRPr="0000563D">
        <w:t xml:space="preserve">is placed on the </w:t>
      </w:r>
      <w:r w:rsidR="00F64395" w:rsidRPr="0000563D">
        <w:t>person with disability</w:t>
      </w:r>
      <w:r w:rsidR="002F6508" w:rsidRPr="0000563D">
        <w:t xml:space="preserve">. </w:t>
      </w:r>
      <w:r w:rsidR="009A4B44" w:rsidRPr="0000563D">
        <w:t>This is not always the case</w:t>
      </w:r>
      <w:r w:rsidR="00EF33E9" w:rsidRPr="0000563D">
        <w:t>; i</w:t>
      </w:r>
      <w:r w:rsidR="00BF0C34" w:rsidRPr="0000563D" w:rsidDel="00A65177">
        <w:t xml:space="preserve">n many </w:t>
      </w:r>
      <w:r w:rsidR="005C5E61" w:rsidRPr="0000563D" w:rsidDel="00A65177">
        <w:t>instances</w:t>
      </w:r>
      <w:r w:rsidR="00BF0C34" w:rsidRPr="0000563D" w:rsidDel="00A65177">
        <w:t xml:space="preserve">, </w:t>
      </w:r>
      <w:r w:rsidR="002A3DCE" w:rsidRPr="0000563D" w:rsidDel="00A65177">
        <w:t>respondents</w:t>
      </w:r>
      <w:r w:rsidR="00F82BF9" w:rsidRPr="0000563D" w:rsidDel="00A65177">
        <w:t xml:space="preserve"> are</w:t>
      </w:r>
      <w:r w:rsidR="002A3DCE" w:rsidRPr="0000563D" w:rsidDel="00A65177">
        <w:t xml:space="preserve"> individuals</w:t>
      </w:r>
      <w:r w:rsidR="002F7E16" w:rsidRPr="0000563D" w:rsidDel="00A65177">
        <w:t xml:space="preserve"> who may not be as </w:t>
      </w:r>
      <w:r w:rsidR="00C152D7" w:rsidRPr="0000563D" w:rsidDel="00A65177">
        <w:t>well-resourced</w:t>
      </w:r>
      <w:r w:rsidR="002F7E16" w:rsidRPr="0000563D" w:rsidDel="00A65177">
        <w:t xml:space="preserve"> as an organisation.</w:t>
      </w:r>
    </w:p>
    <w:p w14:paraId="75F5C32C" w14:textId="03D86AA9" w:rsidR="009C63B1" w:rsidRPr="0000563D" w:rsidRDefault="009C63B1" w:rsidP="008911EA">
      <w:r w:rsidRPr="0000563D">
        <w:t>Victims of discrimination should not be subject to an undue burden in attempting to establish their complaint. While the person with disability may know or have evidence of why the alleged discriminatory treatment occurred, the respondent is best placed to provide evidence about why the disability was not a reason for the less favourable treatment.</w:t>
      </w:r>
      <w:r w:rsidRPr="0000563D">
        <w:rPr>
          <w:rStyle w:val="EndnoteReference"/>
        </w:rPr>
        <w:endnoteReference w:id="70"/>
      </w:r>
      <w:r w:rsidRPr="0000563D">
        <w:t xml:space="preserve"> </w:t>
      </w:r>
    </w:p>
    <w:p w14:paraId="46F1867F" w14:textId="56AC70D1" w:rsidR="00197B13" w:rsidRPr="0000563D" w:rsidRDefault="00622047" w:rsidP="008911EA">
      <w:r w:rsidRPr="0000563D">
        <w:t xml:space="preserve">The Disability Royal Commission recommended </w:t>
      </w:r>
      <w:r w:rsidR="008134C9" w:rsidRPr="0000563D">
        <w:t xml:space="preserve">that the </w:t>
      </w:r>
      <w:r w:rsidR="00DE0424" w:rsidRPr="0000563D">
        <w:t xml:space="preserve">burden </w:t>
      </w:r>
      <w:r w:rsidR="000304E5" w:rsidRPr="0000563D">
        <w:t xml:space="preserve">of </w:t>
      </w:r>
      <w:r w:rsidR="00DE0424" w:rsidRPr="0000563D">
        <w:t>proof</w:t>
      </w:r>
      <w:r w:rsidR="00BB3A42" w:rsidRPr="0000563D">
        <w:t xml:space="preserve"> </w:t>
      </w:r>
      <w:r w:rsidR="008134C9" w:rsidRPr="0000563D">
        <w:t xml:space="preserve">should be </w:t>
      </w:r>
      <w:r w:rsidR="00BB3A42" w:rsidRPr="0000563D">
        <w:t>consistent with</w:t>
      </w:r>
      <w:r w:rsidR="009F70B8" w:rsidRPr="0000563D">
        <w:t xml:space="preserve"> that in</w:t>
      </w:r>
      <w:r w:rsidR="00BB3A42" w:rsidRPr="0000563D">
        <w:t xml:space="preserve"> the Fair Work Act,</w:t>
      </w:r>
      <w:r w:rsidR="00BB3A42" w:rsidRPr="0000563D">
        <w:rPr>
          <w:rStyle w:val="EndnoteReference"/>
        </w:rPr>
        <w:endnoteReference w:id="71"/>
      </w:r>
      <w:r w:rsidR="00BB3A42" w:rsidRPr="0000563D">
        <w:t xml:space="preserve"> </w:t>
      </w:r>
      <w:r w:rsidR="00351208" w:rsidRPr="0000563D">
        <w:t xml:space="preserve">where the applicant </w:t>
      </w:r>
      <w:r w:rsidR="00097BB5" w:rsidRPr="0000563D">
        <w:t>must prove</w:t>
      </w:r>
      <w:r w:rsidR="00595377" w:rsidRPr="0000563D">
        <w:t xml:space="preserve"> a protected attribute and </w:t>
      </w:r>
      <w:r w:rsidR="00B97CDB" w:rsidRPr="0000563D">
        <w:t>adverse action,</w:t>
      </w:r>
      <w:r w:rsidR="00097BB5" w:rsidRPr="0000563D">
        <w:t xml:space="preserve"> </w:t>
      </w:r>
      <w:r w:rsidR="00197B13" w:rsidRPr="0000563D">
        <w:t>after which</w:t>
      </w:r>
      <w:r w:rsidR="008D332C" w:rsidRPr="0000563D">
        <w:t xml:space="preserve"> the burden shifts to the respondent to</w:t>
      </w:r>
      <w:r w:rsidR="00197B13" w:rsidRPr="0000563D">
        <w:t xml:space="preserve"> prove that the </w:t>
      </w:r>
      <w:r w:rsidR="00B97CDB" w:rsidRPr="0000563D">
        <w:t>action</w:t>
      </w:r>
      <w:r w:rsidR="00197B13" w:rsidRPr="0000563D">
        <w:t xml:space="preserve"> was not </w:t>
      </w:r>
      <w:r w:rsidR="00FE09A8" w:rsidRPr="0000563D">
        <w:t xml:space="preserve">taken </w:t>
      </w:r>
      <w:r w:rsidR="00197B13" w:rsidRPr="0000563D">
        <w:t>on the basis of the person’s disability.</w:t>
      </w:r>
      <w:r w:rsidR="00C60BE6" w:rsidRPr="0000563D">
        <w:rPr>
          <w:rStyle w:val="EndnoteReference"/>
        </w:rPr>
        <w:endnoteReference w:id="72"/>
      </w:r>
      <w:r w:rsidR="001F5CA1" w:rsidRPr="0000563D">
        <w:t xml:space="preserve"> Th</w:t>
      </w:r>
      <w:r w:rsidR="00C432D9" w:rsidRPr="0000563D">
        <w:t xml:space="preserve">is model operates on the presumption that an employer’s adverse action </w:t>
      </w:r>
      <w:r w:rsidR="00EE70EC" w:rsidRPr="0000563D">
        <w:t xml:space="preserve">was taken </w:t>
      </w:r>
      <w:r w:rsidR="00D72039" w:rsidRPr="0000563D">
        <w:t>on the basis of a prohibited reason</w:t>
      </w:r>
      <w:r w:rsidR="00533093" w:rsidRPr="0000563D">
        <w:t xml:space="preserve">; </w:t>
      </w:r>
      <w:r w:rsidR="00DE543D" w:rsidRPr="0000563D">
        <w:t>and that</w:t>
      </w:r>
      <w:r w:rsidR="00533093" w:rsidRPr="0000563D">
        <w:t xml:space="preserve"> it is up to the employer to </w:t>
      </w:r>
      <w:r w:rsidR="002065C4" w:rsidRPr="0000563D">
        <w:t xml:space="preserve">overturn that presumption. </w:t>
      </w:r>
      <w:r w:rsidR="00AE2EFA" w:rsidRPr="0000563D">
        <w:t>Th</w:t>
      </w:r>
      <w:r w:rsidR="008C4C0E" w:rsidRPr="0000563D">
        <w:t xml:space="preserve">ere is a </w:t>
      </w:r>
      <w:r w:rsidR="009C3615" w:rsidRPr="0000563D">
        <w:t xml:space="preserve">strong argument to support </w:t>
      </w:r>
      <w:r w:rsidR="003006BC" w:rsidRPr="0000563D">
        <w:t xml:space="preserve">consistency across </w:t>
      </w:r>
      <w:r w:rsidR="00392E00" w:rsidRPr="0000563D">
        <w:t xml:space="preserve">comparable </w:t>
      </w:r>
      <w:r w:rsidR="00CA1B1F" w:rsidRPr="0000563D">
        <w:t>laws,</w:t>
      </w:r>
      <w:r w:rsidR="00CE2855" w:rsidRPr="0000563D">
        <w:t xml:space="preserve"> and any alignment should maintain the highest threshold</w:t>
      </w:r>
      <w:r w:rsidR="00392E00" w:rsidRPr="0000563D">
        <w:t>.</w:t>
      </w:r>
    </w:p>
    <w:p w14:paraId="4852DF84" w14:textId="31DAD2DD" w:rsidR="00C5112F" w:rsidRPr="0000563D" w:rsidRDefault="002D094D" w:rsidP="008911EA">
      <w:pPr>
        <w:rPr>
          <w:b/>
        </w:rPr>
      </w:pPr>
      <w:r w:rsidRPr="0000563D">
        <w:t>We</w:t>
      </w:r>
      <w:r w:rsidR="00D4579D" w:rsidRPr="0000563D">
        <w:t xml:space="preserve"> considered the Fair Work Act model in </w:t>
      </w:r>
      <w:r w:rsidR="00EE3C01" w:rsidRPr="0000563D">
        <w:t xml:space="preserve">our </w:t>
      </w:r>
      <w:r w:rsidR="00FA0A4A" w:rsidRPr="0000563D">
        <w:t xml:space="preserve">2021 </w:t>
      </w:r>
      <w:r w:rsidR="00D4579D" w:rsidRPr="0000563D">
        <w:t>Free &amp; Equal Position Paper</w:t>
      </w:r>
      <w:r w:rsidR="008B6A20" w:rsidRPr="0000563D">
        <w:t xml:space="preserve"> and opted</w:t>
      </w:r>
      <w:r w:rsidR="00AD6B8D" w:rsidRPr="0000563D">
        <w:t>,</w:t>
      </w:r>
      <w:r w:rsidR="008B6A20" w:rsidRPr="0000563D">
        <w:t xml:space="preserve"> in</w:t>
      </w:r>
      <w:r w:rsidR="0058261B" w:rsidRPr="0000563D">
        <w:t>stead</w:t>
      </w:r>
      <w:r w:rsidR="00AD6B8D" w:rsidRPr="0000563D">
        <w:t>,</w:t>
      </w:r>
      <w:r w:rsidR="0058261B" w:rsidRPr="0000563D">
        <w:t xml:space="preserve"> in</w:t>
      </w:r>
      <w:r w:rsidR="008B6A20" w:rsidRPr="0000563D">
        <w:t xml:space="preserve"> favour of the </w:t>
      </w:r>
      <w:r w:rsidR="00B9353B" w:rsidRPr="0000563D">
        <w:t>UK model</w:t>
      </w:r>
      <w:r w:rsidR="00325E2F" w:rsidRPr="0000563D">
        <w:t xml:space="preserve"> (also incorporated in the </w:t>
      </w:r>
      <w:r w:rsidR="003114A3" w:rsidRPr="0000563D">
        <w:t xml:space="preserve">earlier </w:t>
      </w:r>
      <w:r w:rsidR="00325E2F" w:rsidRPr="0000563D">
        <w:t>HRAD Bill)</w:t>
      </w:r>
      <w:r w:rsidR="00B9353B" w:rsidRPr="0000563D">
        <w:t xml:space="preserve"> as one that strikes a fairer balance between a person with disability and respondent in direct discrimination matters.</w:t>
      </w:r>
      <w:r w:rsidR="00A461CC" w:rsidRPr="0000563D">
        <w:rPr>
          <w:rStyle w:val="EndnoteReference"/>
        </w:rPr>
        <w:endnoteReference w:id="73"/>
      </w:r>
      <w:r w:rsidR="001F1269" w:rsidRPr="0000563D">
        <w:t xml:space="preserve"> </w:t>
      </w:r>
      <w:r w:rsidR="00325E2F" w:rsidRPr="0000563D">
        <w:t xml:space="preserve">This model requires the complainant to establish a </w:t>
      </w:r>
      <w:r w:rsidR="00325E2F" w:rsidRPr="0000563D">
        <w:rPr>
          <w:i/>
        </w:rPr>
        <w:t>prima facie</w:t>
      </w:r>
      <w:r w:rsidR="00325E2F" w:rsidRPr="0000563D">
        <w:t xml:space="preserve"> case</w:t>
      </w:r>
      <w:r w:rsidR="00B837E4" w:rsidRPr="0000563D">
        <w:t xml:space="preserve"> </w:t>
      </w:r>
      <w:r w:rsidR="00021477" w:rsidRPr="0000563D">
        <w:t>that unlawful discrimination occurred.</w:t>
      </w:r>
      <w:r w:rsidR="00FE68D2" w:rsidRPr="0000563D">
        <w:t xml:space="preserve"> In other words, the complainant bears the onus of evidencing the connection between their disability and the unfavourable treatment.</w:t>
      </w:r>
      <w:r w:rsidR="00021477" w:rsidRPr="0000563D">
        <w:t xml:space="preserve"> It is then </w:t>
      </w:r>
      <w:r w:rsidR="00021477" w:rsidRPr="0000563D">
        <w:lastRenderedPageBreak/>
        <w:t xml:space="preserve">up to the respondent to </w:t>
      </w:r>
      <w:r w:rsidR="00DF7BF6" w:rsidRPr="0000563D">
        <w:t>show a non-discriminatory reason for the conduct, that the conduct was justifiable or that another exception applied.</w:t>
      </w:r>
      <w:r w:rsidR="00DF7BF6" w:rsidRPr="0000563D">
        <w:rPr>
          <w:rStyle w:val="EndnoteReference"/>
        </w:rPr>
        <w:endnoteReference w:id="74"/>
      </w:r>
      <w:r w:rsidR="009503A4" w:rsidRPr="0000563D">
        <w:t xml:space="preserve"> </w:t>
      </w:r>
      <w:r w:rsidR="00225154" w:rsidRPr="0000563D">
        <w:t xml:space="preserve">The Commission </w:t>
      </w:r>
      <w:r w:rsidR="00CC232B" w:rsidRPr="0000563D">
        <w:t xml:space="preserve">recommends </w:t>
      </w:r>
      <w:r w:rsidR="00225154" w:rsidRPr="0000563D">
        <w:t xml:space="preserve">this </w:t>
      </w:r>
      <w:r w:rsidR="00E713F4" w:rsidRPr="0000563D">
        <w:t>approach</w:t>
      </w:r>
      <w:r w:rsidR="00FE68D2" w:rsidRPr="0000563D">
        <w:t xml:space="preserve">, </w:t>
      </w:r>
      <w:r w:rsidR="00630B00" w:rsidRPr="0000563D">
        <w:t>which also</w:t>
      </w:r>
      <w:r w:rsidR="00C5112F" w:rsidRPr="0000563D">
        <w:t xml:space="preserve"> </w:t>
      </w:r>
      <w:r w:rsidR="00BE44E4" w:rsidRPr="0000563D">
        <w:t>aligns with</w:t>
      </w:r>
      <w:r w:rsidR="00C5112F" w:rsidRPr="0000563D">
        <w:t xml:space="preserve"> well-established practice in international and comparative human rights jurisprudence</w:t>
      </w:r>
      <w:r w:rsidR="00BE44E4" w:rsidRPr="0000563D">
        <w:t>.</w:t>
      </w:r>
      <w:r w:rsidR="00C5112F" w:rsidRPr="0000563D">
        <w:rPr>
          <w:rStyle w:val="EndnoteReference"/>
        </w:rPr>
        <w:endnoteReference w:id="75"/>
      </w:r>
      <w:r w:rsidR="00C5112F" w:rsidRPr="0000563D">
        <w:t xml:space="preserve"> </w:t>
      </w:r>
    </w:p>
    <w:p w14:paraId="43DF8D2C" w14:textId="32D837B6" w:rsidR="00810A64" w:rsidRPr="0000563D" w:rsidRDefault="00810A64" w:rsidP="008911EA">
      <w:pPr>
        <w:rPr>
          <w:b/>
          <w:bCs/>
        </w:rPr>
      </w:pPr>
      <w:r w:rsidRPr="0000563D">
        <w:rPr>
          <w:b/>
          <w:bCs/>
        </w:rPr>
        <w:t>Recommendation</w:t>
      </w:r>
      <w:r w:rsidR="00B82FCD" w:rsidRPr="0000563D">
        <w:rPr>
          <w:b/>
          <w:bCs/>
        </w:rPr>
        <w:t xml:space="preserve"> </w:t>
      </w:r>
      <w:r w:rsidR="00F034C9" w:rsidRPr="0000563D">
        <w:rPr>
          <w:b/>
          <w:bCs/>
        </w:rPr>
        <w:t>10</w:t>
      </w:r>
      <w:r w:rsidRPr="0000563D">
        <w:rPr>
          <w:b/>
          <w:bCs/>
        </w:rPr>
        <w:t xml:space="preserve">: </w:t>
      </w:r>
      <w:r w:rsidR="00CE39EF" w:rsidRPr="0000563D">
        <w:rPr>
          <w:b/>
          <w:bCs/>
        </w:rPr>
        <w:t>Section 5</w:t>
      </w:r>
      <w:r w:rsidR="009D58A1" w:rsidRPr="0000563D">
        <w:rPr>
          <w:b/>
          <w:bCs/>
        </w:rPr>
        <w:t>(1)</w:t>
      </w:r>
      <w:r w:rsidR="00CE39EF" w:rsidRPr="0000563D">
        <w:rPr>
          <w:b/>
          <w:bCs/>
        </w:rPr>
        <w:t xml:space="preserve"> of the </w:t>
      </w:r>
      <w:r w:rsidR="00CE39EF" w:rsidRPr="0000563D">
        <w:rPr>
          <w:b/>
          <w:bCs/>
          <w:i/>
          <w:iCs/>
        </w:rPr>
        <w:t>Disability Discrimination Act 1992</w:t>
      </w:r>
      <w:r w:rsidR="00CE39EF" w:rsidRPr="0000563D">
        <w:rPr>
          <w:b/>
          <w:bCs/>
        </w:rPr>
        <w:t xml:space="preserve"> (</w:t>
      </w:r>
      <w:proofErr w:type="spellStart"/>
      <w:r w:rsidR="00CE39EF" w:rsidRPr="0000563D">
        <w:rPr>
          <w:b/>
          <w:bCs/>
        </w:rPr>
        <w:t>Cth</w:t>
      </w:r>
      <w:proofErr w:type="spellEnd"/>
      <w:r w:rsidR="00CE39EF" w:rsidRPr="0000563D">
        <w:rPr>
          <w:b/>
          <w:bCs/>
        </w:rPr>
        <w:t xml:space="preserve">) should be amended </w:t>
      </w:r>
      <w:r w:rsidR="0051736F" w:rsidRPr="0000563D">
        <w:rPr>
          <w:b/>
          <w:bCs/>
        </w:rPr>
        <w:t xml:space="preserve">to </w:t>
      </w:r>
      <w:r w:rsidR="00B82FCD" w:rsidRPr="0000563D">
        <w:rPr>
          <w:b/>
          <w:bCs/>
        </w:rPr>
        <w:t xml:space="preserve">shift the burden of proof </w:t>
      </w:r>
      <w:r w:rsidR="00991992" w:rsidRPr="0000563D">
        <w:rPr>
          <w:b/>
          <w:bCs/>
        </w:rPr>
        <w:t xml:space="preserve">for establishing that </w:t>
      </w:r>
      <w:r w:rsidR="00E343FC" w:rsidRPr="0000563D">
        <w:rPr>
          <w:b/>
          <w:bCs/>
        </w:rPr>
        <w:t xml:space="preserve">less favourable treatment was because of a person’s disability </w:t>
      </w:r>
      <w:r w:rsidR="00B82FCD" w:rsidRPr="0000563D">
        <w:rPr>
          <w:b/>
          <w:bCs/>
        </w:rPr>
        <w:t>to respondents</w:t>
      </w:r>
      <w:r w:rsidR="00E343FC" w:rsidRPr="0000563D">
        <w:rPr>
          <w:b/>
          <w:bCs/>
        </w:rPr>
        <w:t>,</w:t>
      </w:r>
      <w:r w:rsidR="00B82FCD" w:rsidRPr="0000563D">
        <w:rPr>
          <w:b/>
          <w:bCs/>
        </w:rPr>
        <w:t xml:space="preserve"> once a prima facie case is established.</w:t>
      </w:r>
    </w:p>
    <w:p w14:paraId="18442AD5" w14:textId="161EEF68" w:rsidR="00810A64" w:rsidRPr="002D4943" w:rsidRDefault="008142F8" w:rsidP="0058707A">
      <w:pPr>
        <w:pStyle w:val="Heading2"/>
        <w:rPr>
          <w:rFonts w:ascii="Open Sans" w:hAnsi="Open Sans" w:cs="Open Sans"/>
        </w:rPr>
      </w:pPr>
      <w:bookmarkStart w:id="30" w:name="_Toc214961119"/>
      <w:r w:rsidRPr="002D4943">
        <w:rPr>
          <w:rFonts w:ascii="Open Sans" w:hAnsi="Open Sans" w:cs="Open Sans"/>
        </w:rPr>
        <w:t>I</w:t>
      </w:r>
      <w:r w:rsidR="00810A64" w:rsidRPr="002D4943">
        <w:rPr>
          <w:rFonts w:ascii="Open Sans" w:hAnsi="Open Sans" w:cs="Open Sans"/>
        </w:rPr>
        <w:t>ndirect discrimination</w:t>
      </w:r>
      <w:bookmarkEnd w:id="30"/>
      <w:r w:rsidR="00810A64" w:rsidRPr="002D4943">
        <w:rPr>
          <w:rFonts w:ascii="Open Sans" w:hAnsi="Open Sans" w:cs="Open Sans"/>
        </w:rPr>
        <w:t xml:space="preserve"> </w:t>
      </w:r>
    </w:p>
    <w:p w14:paraId="60850C9D" w14:textId="6B61FCE8" w:rsidR="00BC6D45" w:rsidRPr="0000563D" w:rsidRDefault="00BC6D45" w:rsidP="008911EA">
      <w:r w:rsidRPr="0000563D">
        <w:t xml:space="preserve">The Issues Paper seeks views on Disability Royal Commission recommendations to simplify the test for indirect discrimination. </w:t>
      </w:r>
    </w:p>
    <w:p w14:paraId="09B2CD77" w14:textId="2114B604" w:rsidR="00810A64" w:rsidRPr="0000563D" w:rsidRDefault="00810A64" w:rsidP="008911EA">
      <w:r w:rsidRPr="0000563D">
        <w:t>The current test for indirect discrimination in the Disability Discrimination Act requires</w:t>
      </w:r>
      <w:r w:rsidR="00F8594C" w:rsidRPr="0000563D">
        <w:t xml:space="preserve"> </w:t>
      </w:r>
      <w:r w:rsidR="00B90148" w:rsidRPr="0000563D">
        <w:t xml:space="preserve">3 </w:t>
      </w:r>
      <w:r w:rsidR="00E71354" w:rsidRPr="0000563D">
        <w:t>elements</w:t>
      </w:r>
      <w:r w:rsidRPr="0000563D">
        <w:t>:</w:t>
      </w:r>
    </w:p>
    <w:p w14:paraId="2B80F379" w14:textId="463A34C4" w:rsidR="00810A64" w:rsidRPr="0000563D" w:rsidRDefault="7471695A" w:rsidP="000A5DE2">
      <w:pPr>
        <w:pStyle w:val="ListBullet"/>
        <w:rPr>
          <w:rFonts w:cs="Open Sans"/>
        </w:rPr>
      </w:pPr>
      <w:r w:rsidRPr="0000563D">
        <w:rPr>
          <w:rFonts w:cs="Open Sans"/>
        </w:rPr>
        <w:t>a</w:t>
      </w:r>
      <w:r w:rsidR="00810A64" w:rsidRPr="0000563D">
        <w:rPr>
          <w:rFonts w:cs="Open Sans"/>
        </w:rPr>
        <w:t xml:space="preserve"> person is required to comply with a requirement or condition, </w:t>
      </w:r>
    </w:p>
    <w:p w14:paraId="0D092700" w14:textId="7E58E8A6" w:rsidR="00810A64" w:rsidRPr="0000563D" w:rsidRDefault="00810A64" w:rsidP="000A5DE2">
      <w:pPr>
        <w:pStyle w:val="ListBullet"/>
        <w:rPr>
          <w:rFonts w:cs="Open Sans"/>
        </w:rPr>
      </w:pPr>
      <w:r w:rsidRPr="0000563D">
        <w:rPr>
          <w:rFonts w:cs="Open Sans"/>
        </w:rPr>
        <w:t>because of the disability, the person does not or would not comply</w:t>
      </w:r>
      <w:r w:rsidR="003B3FE9" w:rsidRPr="0000563D">
        <w:rPr>
          <w:rFonts w:cs="Open Sans"/>
        </w:rPr>
        <w:t>,</w:t>
      </w:r>
      <w:r w:rsidRPr="0000563D">
        <w:rPr>
          <w:rFonts w:cs="Open Sans"/>
        </w:rPr>
        <w:t xml:space="preserve"> or is not able to or would not be able to comply</w:t>
      </w:r>
      <w:r w:rsidR="003B3FE9" w:rsidRPr="0000563D">
        <w:rPr>
          <w:rFonts w:cs="Open Sans"/>
        </w:rPr>
        <w:t>,</w:t>
      </w:r>
      <w:r w:rsidRPr="0000563D">
        <w:rPr>
          <w:rFonts w:cs="Open Sans"/>
        </w:rPr>
        <w:t xml:space="preserve"> with the requirement or condition, and</w:t>
      </w:r>
    </w:p>
    <w:p w14:paraId="4FA2DF6C" w14:textId="178D4B02" w:rsidR="00F8594C" w:rsidRPr="0000563D" w:rsidRDefault="00810A64" w:rsidP="000A5DE2">
      <w:pPr>
        <w:pStyle w:val="ListBullet"/>
        <w:rPr>
          <w:rFonts w:cs="Open Sans"/>
        </w:rPr>
      </w:pPr>
      <w:r w:rsidRPr="0000563D">
        <w:rPr>
          <w:rFonts w:cs="Open Sans"/>
        </w:rPr>
        <w:t>the requirement or condition disadvantages people with disability</w:t>
      </w:r>
      <w:r w:rsidR="00B2299A" w:rsidRPr="0000563D">
        <w:rPr>
          <w:rFonts w:cs="Open Sans"/>
        </w:rPr>
        <w:t>.</w:t>
      </w:r>
    </w:p>
    <w:p w14:paraId="6A93259B" w14:textId="67191A99" w:rsidR="00810A64" w:rsidRPr="0000563D" w:rsidRDefault="00DC18FA" w:rsidP="008911EA">
      <w:r w:rsidRPr="0000563D">
        <w:t>However, unlawful discrimination will not be established if the requirement or condition is reasonable, having regard to the circumstances of the case.</w:t>
      </w:r>
      <w:r w:rsidR="00F8594C" w:rsidRPr="0000563D">
        <w:rPr>
          <w:rStyle w:val="EndnoteReference"/>
        </w:rPr>
        <w:endnoteReference w:id="76"/>
      </w:r>
    </w:p>
    <w:p w14:paraId="2A16AE5C" w14:textId="355ACEFF" w:rsidR="00810A64" w:rsidRPr="0000563D" w:rsidRDefault="00810A64" w:rsidP="00967B79">
      <w:pPr>
        <w:pStyle w:val="Heading3"/>
        <w:rPr>
          <w:rFonts w:cs="Open Sans"/>
        </w:rPr>
      </w:pPr>
      <w:r w:rsidRPr="0000563D">
        <w:rPr>
          <w:rFonts w:cs="Open Sans"/>
        </w:rPr>
        <w:t>Inability to comply</w:t>
      </w:r>
    </w:p>
    <w:p w14:paraId="0271A594" w14:textId="271FD317" w:rsidR="00810A64" w:rsidRPr="0000563D" w:rsidRDefault="00810A64" w:rsidP="008911EA">
      <w:r w:rsidRPr="0000563D">
        <w:t xml:space="preserve">The requirement that a person not comply or be unable to comply is also found in other discrimination laws, including the Racial Discrimination Act and state and territory discrimination laws in New South Wales, </w:t>
      </w:r>
      <w:r w:rsidR="00BC6D45" w:rsidRPr="0000563D">
        <w:t xml:space="preserve">South Australia, </w:t>
      </w:r>
      <w:r w:rsidRPr="0000563D">
        <w:t>Queensland</w:t>
      </w:r>
      <w:r w:rsidR="00BC6D45" w:rsidRPr="0000563D">
        <w:t xml:space="preserve"> and </w:t>
      </w:r>
      <w:r w:rsidRPr="0000563D">
        <w:t>Western Australia.</w:t>
      </w:r>
      <w:r w:rsidRPr="0000563D">
        <w:rPr>
          <w:rStyle w:val="EndnoteReference"/>
        </w:rPr>
        <w:endnoteReference w:id="77"/>
      </w:r>
    </w:p>
    <w:p w14:paraId="5BAA60BD" w14:textId="77777777" w:rsidR="007612F2" w:rsidRPr="0000563D" w:rsidRDefault="00090780" w:rsidP="3FBA0D3C">
      <w:r w:rsidRPr="0000563D">
        <w:rPr>
          <w:rFonts w:eastAsia="Times New Roman"/>
        </w:rPr>
        <w:t>In its Discussion Paper on the consolidation of discrimination laws in 2011, the Attorney-General’s Department pointed out that ‘there is no clear policy reason for the inclusion of the requirement [to comply]</w:t>
      </w:r>
      <w:r w:rsidR="00944F3A" w:rsidRPr="0000563D">
        <w:rPr>
          <w:rFonts w:eastAsia="Times New Roman"/>
        </w:rPr>
        <w:t xml:space="preserve"> in the Disability Discrimination Act and Racial Discrimination Act but not the Age Discrimination Act and Sex Discrimination Act.</w:t>
      </w:r>
      <w:r w:rsidR="00944F3A" w:rsidRPr="0000563D">
        <w:rPr>
          <w:rStyle w:val="EndnoteReference"/>
          <w:rFonts w:eastAsia="Times New Roman"/>
        </w:rPr>
        <w:endnoteReference w:id="78"/>
      </w:r>
      <w:r w:rsidR="0007407E" w:rsidRPr="0000563D">
        <w:t xml:space="preserve"> </w:t>
      </w:r>
    </w:p>
    <w:p w14:paraId="674EB636" w14:textId="19458675" w:rsidR="0015027B" w:rsidRPr="0000563D" w:rsidRDefault="001C6E9D" w:rsidP="008911EA">
      <w:pPr>
        <w:rPr>
          <w:rFonts w:eastAsia="Times New Roman"/>
        </w:rPr>
      </w:pPr>
      <w:r w:rsidRPr="0000563D">
        <w:t xml:space="preserve">The </w:t>
      </w:r>
      <w:r w:rsidR="00DC54DC" w:rsidRPr="0000563D">
        <w:t xml:space="preserve">Commission </w:t>
      </w:r>
      <w:r w:rsidR="00082A7B" w:rsidRPr="0000563D">
        <w:t xml:space="preserve">repeats </w:t>
      </w:r>
      <w:r w:rsidR="00EE3C01" w:rsidRPr="0000563D">
        <w:t xml:space="preserve">our </w:t>
      </w:r>
      <w:r w:rsidR="00082A7B" w:rsidRPr="0000563D">
        <w:t>recommendation</w:t>
      </w:r>
      <w:r w:rsidR="006967D2" w:rsidRPr="0000563D">
        <w:t xml:space="preserve"> from the Free &amp; Equal 2021 Position Paper</w:t>
      </w:r>
      <w:r w:rsidR="00082A7B" w:rsidRPr="0000563D">
        <w:t xml:space="preserve"> for </w:t>
      </w:r>
      <w:r w:rsidR="00C34A8C" w:rsidRPr="0000563D">
        <w:rPr>
          <w:rFonts w:eastAsia="Times New Roman"/>
        </w:rPr>
        <w:t>th</w:t>
      </w:r>
      <w:r w:rsidR="008B2450" w:rsidRPr="0000563D">
        <w:rPr>
          <w:rFonts w:eastAsia="Times New Roman"/>
        </w:rPr>
        <w:t>is</w:t>
      </w:r>
      <w:r w:rsidR="00C34A8C" w:rsidRPr="0000563D">
        <w:rPr>
          <w:rFonts w:eastAsia="Times New Roman"/>
        </w:rPr>
        <w:t xml:space="preserve"> requirement to be removed</w:t>
      </w:r>
      <w:r w:rsidR="006967D2" w:rsidRPr="0000563D">
        <w:rPr>
          <w:rFonts w:eastAsia="Times New Roman"/>
        </w:rPr>
        <w:t xml:space="preserve"> </w:t>
      </w:r>
      <w:proofErr w:type="gramStart"/>
      <w:r w:rsidR="006967D2" w:rsidRPr="0000563D">
        <w:rPr>
          <w:rFonts w:eastAsia="Times New Roman"/>
        </w:rPr>
        <w:t>so as</w:t>
      </w:r>
      <w:r w:rsidR="00DB0B28" w:rsidRPr="0000563D">
        <w:rPr>
          <w:rFonts w:eastAsia="Times New Roman"/>
        </w:rPr>
        <w:t xml:space="preserve"> t</w:t>
      </w:r>
      <w:r w:rsidR="008D317C" w:rsidRPr="0000563D">
        <w:rPr>
          <w:rFonts w:eastAsia="Times New Roman"/>
        </w:rPr>
        <w:t>o</w:t>
      </w:r>
      <w:proofErr w:type="gramEnd"/>
      <w:r w:rsidR="008D317C" w:rsidRPr="0000563D">
        <w:rPr>
          <w:rFonts w:eastAsia="Times New Roman"/>
        </w:rPr>
        <w:t xml:space="preserve"> require only that a condition, requirement or practice has the effect of disadvantaging a person with disability. </w:t>
      </w:r>
      <w:r w:rsidR="00D40800" w:rsidRPr="0000563D">
        <w:rPr>
          <w:rFonts w:eastAsia="Times New Roman"/>
        </w:rPr>
        <w:t xml:space="preserve">This would align with the </w:t>
      </w:r>
      <w:r w:rsidR="00AB614E" w:rsidRPr="0000563D">
        <w:rPr>
          <w:rFonts w:eastAsia="Times New Roman"/>
        </w:rPr>
        <w:t xml:space="preserve">requirement in the Age </w:t>
      </w:r>
      <w:r w:rsidR="00E03A75" w:rsidRPr="0000563D">
        <w:rPr>
          <w:rFonts w:eastAsia="Times New Roman"/>
        </w:rPr>
        <w:t>Discrimination Act</w:t>
      </w:r>
      <w:r w:rsidR="008B2450" w:rsidRPr="0000563D">
        <w:rPr>
          <w:rFonts w:eastAsia="Times New Roman"/>
        </w:rPr>
        <w:t xml:space="preserve"> </w:t>
      </w:r>
      <w:r w:rsidR="00AB614E" w:rsidRPr="0000563D">
        <w:rPr>
          <w:rFonts w:eastAsia="Times New Roman"/>
        </w:rPr>
        <w:t xml:space="preserve">and Sex Discrimination Act, and </w:t>
      </w:r>
      <w:r w:rsidR="00D6700D" w:rsidRPr="0000563D">
        <w:rPr>
          <w:rFonts w:eastAsia="Times New Roman"/>
        </w:rPr>
        <w:t>in Tasmania and Victoria.</w:t>
      </w:r>
      <w:r w:rsidR="00D6700D" w:rsidRPr="0000563D">
        <w:rPr>
          <w:rStyle w:val="EndnoteReference"/>
        </w:rPr>
        <w:t xml:space="preserve"> </w:t>
      </w:r>
      <w:r w:rsidR="00D6700D" w:rsidRPr="0000563D">
        <w:rPr>
          <w:rStyle w:val="EndnoteReference"/>
        </w:rPr>
        <w:endnoteReference w:id="79"/>
      </w:r>
    </w:p>
    <w:p w14:paraId="4A375BF6" w14:textId="32978C33" w:rsidR="00810A64" w:rsidRPr="0000563D" w:rsidRDefault="00810A64" w:rsidP="008911EA">
      <w:r w:rsidRPr="0000563D">
        <w:t>Th</w:t>
      </w:r>
      <w:r w:rsidR="00BE0C69" w:rsidRPr="0000563D">
        <w:t>is</w:t>
      </w:r>
      <w:r w:rsidRPr="0000563D">
        <w:t xml:space="preserve"> proposed amendment should </w:t>
      </w:r>
      <w:r w:rsidR="007418C2" w:rsidRPr="0000563D">
        <w:t>also</w:t>
      </w:r>
      <w:r w:rsidR="00F25683" w:rsidRPr="0000563D">
        <w:t xml:space="preserve"> </w:t>
      </w:r>
      <w:r w:rsidRPr="0000563D">
        <w:t>be made to the Racial Discrimination Act.</w:t>
      </w:r>
      <w:r w:rsidRPr="0000563D">
        <w:rPr>
          <w:rStyle w:val="EndnoteReference"/>
        </w:rPr>
        <w:endnoteReference w:id="80"/>
      </w:r>
      <w:r w:rsidRPr="0000563D">
        <w:t xml:space="preserve"> </w:t>
      </w:r>
    </w:p>
    <w:p w14:paraId="3FFD69D7" w14:textId="1B43F872" w:rsidR="007912B5" w:rsidRPr="0000563D" w:rsidRDefault="007912B5" w:rsidP="008911EA">
      <w:pPr>
        <w:pStyle w:val="ListParagraph"/>
        <w:rPr>
          <w:b/>
        </w:rPr>
      </w:pPr>
      <w:r w:rsidRPr="0000563D">
        <w:rPr>
          <w:b/>
        </w:rPr>
        <w:lastRenderedPageBreak/>
        <w:t>Recommendation</w:t>
      </w:r>
      <w:r w:rsidR="00DD4C3F" w:rsidRPr="0000563D">
        <w:rPr>
          <w:b/>
        </w:rPr>
        <w:t xml:space="preserve"> 1</w:t>
      </w:r>
      <w:r w:rsidR="00D5026E" w:rsidRPr="0000563D">
        <w:rPr>
          <w:b/>
        </w:rPr>
        <w:t>1</w:t>
      </w:r>
      <w:r w:rsidRPr="0000563D">
        <w:rPr>
          <w:b/>
        </w:rPr>
        <w:t>:</w:t>
      </w:r>
      <w:r w:rsidR="00C669D4" w:rsidRPr="0000563D">
        <w:rPr>
          <w:b/>
        </w:rPr>
        <w:t xml:space="preserve"> </w:t>
      </w:r>
      <w:r w:rsidR="007E7CC6" w:rsidRPr="0000563D">
        <w:rPr>
          <w:b/>
        </w:rPr>
        <w:t>Section 6</w:t>
      </w:r>
      <w:r w:rsidR="00123999" w:rsidRPr="0000563D">
        <w:rPr>
          <w:b/>
        </w:rPr>
        <w:t>(1)(b)</w:t>
      </w:r>
      <w:r w:rsidR="007E7CC6" w:rsidRPr="0000563D">
        <w:rPr>
          <w:b/>
        </w:rPr>
        <w:t xml:space="preserve"> of the </w:t>
      </w:r>
      <w:r w:rsidR="007E7CC6" w:rsidRPr="0000563D">
        <w:rPr>
          <w:b/>
          <w:i/>
        </w:rPr>
        <w:t>Disability Discrimination Act</w:t>
      </w:r>
      <w:r w:rsidR="00F25683" w:rsidRPr="0000563D">
        <w:rPr>
          <w:b/>
          <w:i/>
        </w:rPr>
        <w:t xml:space="preserve"> </w:t>
      </w:r>
      <w:r w:rsidR="00123999" w:rsidRPr="0000563D">
        <w:rPr>
          <w:b/>
          <w:i/>
        </w:rPr>
        <w:t>1992</w:t>
      </w:r>
      <w:r w:rsidR="00123999" w:rsidRPr="0000563D">
        <w:rPr>
          <w:b/>
        </w:rPr>
        <w:t xml:space="preserve"> (</w:t>
      </w:r>
      <w:proofErr w:type="spellStart"/>
      <w:r w:rsidR="00123999" w:rsidRPr="0000563D">
        <w:rPr>
          <w:b/>
        </w:rPr>
        <w:t>Cth</w:t>
      </w:r>
      <w:proofErr w:type="spellEnd"/>
      <w:r w:rsidR="00123999" w:rsidRPr="0000563D">
        <w:rPr>
          <w:b/>
        </w:rPr>
        <w:t xml:space="preserve">) </w:t>
      </w:r>
      <w:r w:rsidR="007E7CC6" w:rsidRPr="0000563D">
        <w:rPr>
          <w:b/>
        </w:rPr>
        <w:t xml:space="preserve">should be </w:t>
      </w:r>
      <w:r w:rsidR="00123999" w:rsidRPr="0000563D">
        <w:rPr>
          <w:b/>
        </w:rPr>
        <w:t>removed.</w:t>
      </w:r>
    </w:p>
    <w:p w14:paraId="7AFA3634" w14:textId="63027F73" w:rsidR="00810A64" w:rsidRPr="0000563D" w:rsidRDefault="004E4CDD" w:rsidP="00967B79">
      <w:pPr>
        <w:pStyle w:val="Heading3"/>
        <w:rPr>
          <w:rFonts w:cs="Open Sans"/>
        </w:rPr>
      </w:pPr>
      <w:r w:rsidRPr="0000563D">
        <w:rPr>
          <w:rFonts w:cs="Open Sans"/>
        </w:rPr>
        <w:t>Dual defences</w:t>
      </w:r>
    </w:p>
    <w:p w14:paraId="6BFE53A9" w14:textId="7AEA44B5" w:rsidR="00810A64" w:rsidRPr="0000563D" w:rsidRDefault="00810A64" w:rsidP="008911EA">
      <w:r w:rsidRPr="0000563D">
        <w:t xml:space="preserve">Even if </w:t>
      </w:r>
      <w:r w:rsidR="00D44B46" w:rsidRPr="0000563D">
        <w:t xml:space="preserve">a </w:t>
      </w:r>
      <w:r w:rsidRPr="0000563D">
        <w:t>person</w:t>
      </w:r>
      <w:r w:rsidR="00D44B46" w:rsidRPr="0000563D">
        <w:t xml:space="preserve"> with disability</w:t>
      </w:r>
      <w:r w:rsidRPr="0000563D">
        <w:t xml:space="preserve"> establishes the </w:t>
      </w:r>
      <w:r w:rsidR="009A56DD" w:rsidRPr="0000563D">
        <w:t xml:space="preserve">3 </w:t>
      </w:r>
      <w:r w:rsidRPr="0000563D">
        <w:t xml:space="preserve">elements of the test for indirect discrimination, </w:t>
      </w:r>
      <w:r w:rsidR="00C669D4" w:rsidRPr="0000563D">
        <w:t>unlawful discrimination against a person with disability</w:t>
      </w:r>
      <w:r w:rsidR="000C747D" w:rsidRPr="0000563D">
        <w:t xml:space="preserve"> would not be established</w:t>
      </w:r>
      <w:r w:rsidR="00C669D4" w:rsidRPr="0000563D">
        <w:t xml:space="preserve"> </w:t>
      </w:r>
      <w:r w:rsidRPr="0000563D">
        <w:t xml:space="preserve">if the respondent </w:t>
      </w:r>
      <w:r w:rsidR="000E1B22" w:rsidRPr="0000563D">
        <w:t>can show</w:t>
      </w:r>
      <w:r w:rsidR="00942641" w:rsidRPr="0000563D">
        <w:t xml:space="preserve"> </w:t>
      </w:r>
      <w:r w:rsidRPr="0000563D">
        <w:t>that the requirement or condition imposed was reasonable in the circumstances</w:t>
      </w:r>
      <w:r w:rsidR="00825DE9" w:rsidRPr="0000563D">
        <w:t xml:space="preserve"> (reasonableness </w:t>
      </w:r>
      <w:r w:rsidR="00C6497F" w:rsidRPr="0000563D">
        <w:t>defence</w:t>
      </w:r>
      <w:r w:rsidR="00825DE9" w:rsidRPr="0000563D">
        <w:t>)</w:t>
      </w:r>
      <w:r w:rsidRPr="0000563D">
        <w:t>.</w:t>
      </w:r>
      <w:r w:rsidRPr="0000563D">
        <w:rPr>
          <w:rStyle w:val="EndnoteReference"/>
        </w:rPr>
        <w:endnoteReference w:id="81"/>
      </w:r>
      <w:r w:rsidR="00B84FB0" w:rsidRPr="0000563D">
        <w:t xml:space="preserve"> </w:t>
      </w:r>
    </w:p>
    <w:p w14:paraId="1A6F8641" w14:textId="28C35E65" w:rsidR="00C21FD9" w:rsidRPr="0000563D" w:rsidRDefault="00192F91" w:rsidP="008911EA">
      <w:r w:rsidRPr="0000563D">
        <w:rPr>
          <w:rFonts w:eastAsia="Times New Roman"/>
        </w:rPr>
        <w:t xml:space="preserve">In addition to </w:t>
      </w:r>
      <w:r w:rsidR="00DD6EB0" w:rsidRPr="0000563D">
        <w:rPr>
          <w:rFonts w:eastAsia="Times New Roman"/>
        </w:rPr>
        <w:t>this,</w:t>
      </w:r>
      <w:r w:rsidRPr="0000563D">
        <w:rPr>
          <w:rFonts w:eastAsia="Times New Roman"/>
        </w:rPr>
        <w:t xml:space="preserve"> the respondent may rely on </w:t>
      </w:r>
      <w:r w:rsidR="00D52325" w:rsidRPr="0000563D">
        <w:rPr>
          <w:rFonts w:eastAsia="Times New Roman"/>
        </w:rPr>
        <w:t>a second defence, that of</w:t>
      </w:r>
      <w:r w:rsidRPr="0000563D">
        <w:rPr>
          <w:rFonts w:eastAsia="Times New Roman"/>
        </w:rPr>
        <w:t xml:space="preserve"> unjustifiable hardship. </w:t>
      </w:r>
      <w:r w:rsidRPr="0000563D">
        <w:t>If a respondent establish</w:t>
      </w:r>
      <w:r w:rsidR="00942641" w:rsidRPr="0000563D">
        <w:t>es</w:t>
      </w:r>
      <w:r w:rsidRPr="0000563D">
        <w:t xml:space="preserve"> that avoiding the discrimination would impose an unjustifiable hardship on them, they will not be considered to have engaged in unlawful discrimination.</w:t>
      </w:r>
      <w:r w:rsidRPr="0000563D">
        <w:rPr>
          <w:rStyle w:val="EndnoteReference"/>
        </w:rPr>
        <w:endnoteReference w:id="82"/>
      </w:r>
      <w:r w:rsidRPr="0000563D">
        <w:t xml:space="preserve"> </w:t>
      </w:r>
    </w:p>
    <w:p w14:paraId="7DDAE21E" w14:textId="7E4439EF" w:rsidR="00192F91" w:rsidRPr="0000563D" w:rsidRDefault="00192F91" w:rsidP="008911EA">
      <w:r w:rsidRPr="0000563D">
        <w:t xml:space="preserve">Access to dual defences creates barriers for people with disability to successfully prove claims of indirect discrimination and magnifies power imbalances between </w:t>
      </w:r>
      <w:r w:rsidR="00C07AC3" w:rsidRPr="0000563D">
        <w:t>people with disability</w:t>
      </w:r>
      <w:r w:rsidRPr="0000563D">
        <w:t xml:space="preserve"> and respondents.</w:t>
      </w:r>
    </w:p>
    <w:p w14:paraId="1387614E" w14:textId="7DB0C4B4" w:rsidR="004E4CDD" w:rsidRPr="0000563D" w:rsidRDefault="00252CD7" w:rsidP="008911EA">
      <w:r w:rsidRPr="0000563D">
        <w:t xml:space="preserve">As noted by the </w:t>
      </w:r>
      <w:r w:rsidR="000F1E90" w:rsidRPr="0000563D">
        <w:t>Disability Royal Commission</w:t>
      </w:r>
      <w:r w:rsidRPr="0000563D">
        <w:t>,</w:t>
      </w:r>
      <w:r w:rsidR="000F1E90" w:rsidRPr="0000563D">
        <w:t xml:space="preserve"> </w:t>
      </w:r>
      <w:r w:rsidR="004110DE" w:rsidRPr="0000563D">
        <w:t>the court</w:t>
      </w:r>
      <w:r w:rsidR="006F3DB0" w:rsidRPr="0000563D">
        <w:t xml:space="preserve"> has</w:t>
      </w:r>
      <w:r w:rsidR="004110DE" w:rsidRPr="0000563D">
        <w:t xml:space="preserve"> considered</w:t>
      </w:r>
      <w:r w:rsidR="004E4CDD" w:rsidRPr="0000563D">
        <w:t xml:space="preserve"> </w:t>
      </w:r>
      <w:proofErr w:type="gramStart"/>
      <w:r w:rsidR="004E4CDD" w:rsidRPr="0000563D">
        <w:t>a number of</w:t>
      </w:r>
      <w:proofErr w:type="gramEnd"/>
      <w:r w:rsidR="004E4CDD" w:rsidRPr="0000563D">
        <w:t xml:space="preserve"> factors</w:t>
      </w:r>
      <w:r w:rsidR="006F3DB0" w:rsidRPr="0000563D">
        <w:t xml:space="preserve"> in </w:t>
      </w:r>
      <w:r w:rsidR="004C7E4A" w:rsidRPr="0000563D">
        <w:t>determining</w:t>
      </w:r>
      <w:r w:rsidR="006F3DB0" w:rsidRPr="0000563D">
        <w:t xml:space="preserve"> reasonableness</w:t>
      </w:r>
      <w:r w:rsidR="00BD5A2A" w:rsidRPr="0000563D">
        <w:t>,</w:t>
      </w:r>
      <w:r w:rsidR="004E4CDD" w:rsidRPr="0000563D">
        <w:t xml:space="preserve"> such as:</w:t>
      </w:r>
    </w:p>
    <w:p w14:paraId="4BACA9BA" w14:textId="79B63736" w:rsidR="004E4CDD" w:rsidRPr="0000563D" w:rsidRDefault="004E4CDD" w:rsidP="000A5DE2">
      <w:pPr>
        <w:pStyle w:val="ListBullet"/>
        <w:rPr>
          <w:rFonts w:cs="Open Sans"/>
        </w:rPr>
      </w:pPr>
      <w:r w:rsidRPr="0000563D">
        <w:rPr>
          <w:rFonts w:cs="Open Sans"/>
        </w:rPr>
        <w:t>whether the requirement was necessary or merely convenient in the circumstances</w:t>
      </w:r>
      <w:r w:rsidR="00B44F53" w:rsidRPr="0000563D">
        <w:rPr>
          <w:rStyle w:val="EndnoteReference"/>
          <w:rFonts w:eastAsia="Times New Roman" w:cs="Open Sans"/>
        </w:rPr>
        <w:endnoteReference w:id="83"/>
      </w:r>
    </w:p>
    <w:p w14:paraId="39F82DD8" w14:textId="5E7111D8" w:rsidR="004E4CDD" w:rsidRPr="0000563D" w:rsidRDefault="004E4CDD" w:rsidP="000A5DE2">
      <w:pPr>
        <w:pStyle w:val="ListBullet"/>
        <w:rPr>
          <w:rFonts w:cs="Open Sans"/>
        </w:rPr>
      </w:pPr>
      <w:r w:rsidRPr="0000563D">
        <w:rPr>
          <w:rFonts w:cs="Open Sans"/>
        </w:rPr>
        <w:t xml:space="preserve">whether alternatives existed to the </w:t>
      </w:r>
      <w:proofErr w:type="gramStart"/>
      <w:r w:rsidRPr="0000563D">
        <w:rPr>
          <w:rFonts w:cs="Open Sans"/>
        </w:rPr>
        <w:t>particular requirements</w:t>
      </w:r>
      <w:proofErr w:type="gramEnd"/>
      <w:r w:rsidRPr="0000563D">
        <w:rPr>
          <w:rFonts w:cs="Open Sans"/>
        </w:rPr>
        <w:t xml:space="preserve"> or conditions</w:t>
      </w:r>
      <w:r w:rsidR="00B44F53" w:rsidRPr="0000563D">
        <w:rPr>
          <w:rStyle w:val="EndnoteReference"/>
          <w:rFonts w:eastAsia="Times New Roman" w:cs="Open Sans"/>
        </w:rPr>
        <w:endnoteReference w:id="84"/>
      </w:r>
    </w:p>
    <w:p w14:paraId="0103992E" w14:textId="1A73386F" w:rsidR="004E4CDD" w:rsidRPr="0000563D" w:rsidRDefault="004E4CDD" w:rsidP="000A5DE2">
      <w:pPr>
        <w:pStyle w:val="ListBullet"/>
        <w:rPr>
          <w:rFonts w:cs="Open Sans"/>
        </w:rPr>
      </w:pPr>
      <w:r w:rsidRPr="0000563D">
        <w:rPr>
          <w:rFonts w:cs="Open Sans"/>
        </w:rPr>
        <w:t>the cost of providing an alternative,</w:t>
      </w:r>
      <w:r w:rsidR="00B44F53" w:rsidRPr="0000563D">
        <w:rPr>
          <w:rStyle w:val="EndnoteReference"/>
          <w:rFonts w:eastAsia="Times New Roman" w:cs="Open Sans"/>
        </w:rPr>
        <w:endnoteReference w:id="85"/>
      </w:r>
      <w:r w:rsidRPr="0000563D">
        <w:rPr>
          <w:rFonts w:cs="Open Sans"/>
        </w:rPr>
        <w:t xml:space="preserve"> or</w:t>
      </w:r>
    </w:p>
    <w:p w14:paraId="021827CC" w14:textId="4D7FECFE" w:rsidR="004E4CDD" w:rsidRPr="0000563D" w:rsidRDefault="004E4CDD" w:rsidP="000A5DE2">
      <w:pPr>
        <w:pStyle w:val="ListBullet"/>
        <w:rPr>
          <w:rFonts w:cs="Open Sans"/>
        </w:rPr>
      </w:pPr>
      <w:r w:rsidRPr="0000563D">
        <w:rPr>
          <w:rFonts w:cs="Open Sans"/>
        </w:rPr>
        <w:t>whether the requirements or conditions were imposed while complying with other obligations.</w:t>
      </w:r>
      <w:r w:rsidRPr="0000563D">
        <w:rPr>
          <w:rStyle w:val="EndnoteReference"/>
          <w:rFonts w:eastAsia="Times New Roman" w:cs="Open Sans"/>
        </w:rPr>
        <w:endnoteReference w:id="86"/>
      </w:r>
    </w:p>
    <w:p w14:paraId="0D0CB7DA" w14:textId="199EDAE6" w:rsidR="00A1415E" w:rsidRPr="0000563D" w:rsidRDefault="000954DF" w:rsidP="008911EA">
      <w:pPr>
        <w:rPr>
          <w:rFonts w:eastAsia="Times New Roman"/>
        </w:rPr>
      </w:pPr>
      <w:r w:rsidRPr="0000563D">
        <w:rPr>
          <w:rFonts w:eastAsia="Times New Roman"/>
        </w:rPr>
        <w:t xml:space="preserve">The Commission </w:t>
      </w:r>
      <w:r w:rsidR="0001407F" w:rsidRPr="0000563D">
        <w:rPr>
          <w:rFonts w:eastAsia="Times New Roman"/>
        </w:rPr>
        <w:t xml:space="preserve">considers </w:t>
      </w:r>
      <w:r w:rsidR="00A1415E" w:rsidRPr="0000563D">
        <w:t xml:space="preserve">the reasonableness </w:t>
      </w:r>
      <w:r w:rsidR="00033F45">
        <w:t>test</w:t>
      </w:r>
      <w:r w:rsidR="00033F45" w:rsidRPr="0000563D">
        <w:t xml:space="preserve"> </w:t>
      </w:r>
      <w:r w:rsidR="006164E0" w:rsidRPr="0000563D">
        <w:t xml:space="preserve">to be </w:t>
      </w:r>
      <w:r w:rsidR="00A1415E" w:rsidRPr="0000563D">
        <w:rPr>
          <w:rFonts w:eastAsia="Times New Roman"/>
        </w:rPr>
        <w:t>vague</w:t>
      </w:r>
      <w:r w:rsidR="009704C3" w:rsidRPr="0000563D">
        <w:rPr>
          <w:rFonts w:eastAsia="Times New Roman"/>
        </w:rPr>
        <w:t xml:space="preserve"> and</w:t>
      </w:r>
      <w:r w:rsidR="00915220" w:rsidRPr="0000563D">
        <w:rPr>
          <w:rFonts w:eastAsia="Times New Roman"/>
        </w:rPr>
        <w:t xml:space="preserve"> </w:t>
      </w:r>
      <w:r w:rsidR="002F67F9" w:rsidRPr="0000563D">
        <w:rPr>
          <w:rFonts w:eastAsia="Times New Roman"/>
        </w:rPr>
        <w:t xml:space="preserve">that it </w:t>
      </w:r>
      <w:r w:rsidR="00A1415E" w:rsidRPr="0000563D">
        <w:rPr>
          <w:rFonts w:eastAsia="Times New Roman"/>
        </w:rPr>
        <w:t>lead</w:t>
      </w:r>
      <w:r w:rsidR="009704C3" w:rsidRPr="0000563D">
        <w:rPr>
          <w:rFonts w:eastAsia="Times New Roman"/>
        </w:rPr>
        <w:t>s</w:t>
      </w:r>
      <w:r w:rsidR="00A1415E" w:rsidRPr="0000563D">
        <w:rPr>
          <w:rFonts w:eastAsia="Times New Roman"/>
        </w:rPr>
        <w:t xml:space="preserve"> to disparate judicial interpretations</w:t>
      </w:r>
      <w:r w:rsidR="004C5C1B" w:rsidRPr="0000563D">
        <w:rPr>
          <w:rFonts w:eastAsia="Times New Roman"/>
        </w:rPr>
        <w:t xml:space="preserve"> because</w:t>
      </w:r>
      <w:r w:rsidR="00A1415E" w:rsidRPr="0000563D">
        <w:rPr>
          <w:rFonts w:eastAsia="Times New Roman"/>
        </w:rPr>
        <w:t xml:space="preserve"> it is difficult to identify the limits of indirect discrimination claims using this approach.</w:t>
      </w:r>
      <w:r w:rsidR="00A1415E" w:rsidRPr="0000563D">
        <w:rPr>
          <w:rStyle w:val="EndnoteReference"/>
          <w:rFonts w:eastAsia="Times New Roman"/>
        </w:rPr>
        <w:endnoteReference w:id="87"/>
      </w:r>
    </w:p>
    <w:p w14:paraId="0829E1B2" w14:textId="01772FB2" w:rsidR="00BC2400" w:rsidRPr="0000563D" w:rsidRDefault="009F6527" w:rsidP="008911EA">
      <w:pPr>
        <w:rPr>
          <w:rFonts w:eastAsia="Times New Roman"/>
        </w:rPr>
      </w:pPr>
      <w:r w:rsidRPr="0000563D">
        <w:rPr>
          <w:rFonts w:eastAsia="Times New Roman"/>
        </w:rPr>
        <w:t xml:space="preserve">The Issues Paper seeks views on </w:t>
      </w:r>
      <w:r w:rsidR="00B90148" w:rsidRPr="0000563D">
        <w:rPr>
          <w:rFonts w:eastAsia="Times New Roman"/>
        </w:rPr>
        <w:t xml:space="preserve">3 </w:t>
      </w:r>
      <w:r w:rsidRPr="0000563D">
        <w:rPr>
          <w:rFonts w:eastAsia="Times New Roman"/>
        </w:rPr>
        <w:t xml:space="preserve">options </w:t>
      </w:r>
      <w:r w:rsidR="009B559B" w:rsidRPr="0000563D">
        <w:rPr>
          <w:rFonts w:eastAsia="Times New Roman"/>
        </w:rPr>
        <w:t>for change to the reasonableness test.</w:t>
      </w:r>
    </w:p>
    <w:p w14:paraId="358716D1" w14:textId="07B65CA4" w:rsidR="00672F85" w:rsidRPr="0000563D" w:rsidRDefault="009B559B" w:rsidP="008911EA">
      <w:pPr>
        <w:rPr>
          <w:rFonts w:eastAsia="Times New Roman"/>
        </w:rPr>
      </w:pPr>
      <w:r w:rsidRPr="0000563D">
        <w:rPr>
          <w:rFonts w:eastAsia="Times New Roman"/>
          <w:b/>
        </w:rPr>
        <w:t xml:space="preserve">Option 1 </w:t>
      </w:r>
      <w:r w:rsidRPr="0000563D">
        <w:rPr>
          <w:rFonts w:eastAsia="Times New Roman"/>
        </w:rPr>
        <w:t>is th</w:t>
      </w:r>
      <w:r w:rsidR="002E72B9" w:rsidRPr="0000563D">
        <w:rPr>
          <w:rFonts w:eastAsia="Times New Roman"/>
        </w:rPr>
        <w:t>e Disability Royal Commission</w:t>
      </w:r>
      <w:r w:rsidR="00F43B00" w:rsidRPr="0000563D">
        <w:rPr>
          <w:rFonts w:eastAsia="Times New Roman"/>
        </w:rPr>
        <w:t>’s</w:t>
      </w:r>
      <w:r w:rsidR="002E72B9" w:rsidRPr="0000563D">
        <w:rPr>
          <w:rFonts w:eastAsia="Times New Roman"/>
        </w:rPr>
        <w:t xml:space="preserve"> </w:t>
      </w:r>
      <w:r w:rsidRPr="0000563D">
        <w:rPr>
          <w:rFonts w:eastAsia="Times New Roman"/>
        </w:rPr>
        <w:t>recommendation</w:t>
      </w:r>
      <w:r w:rsidR="002E72B9" w:rsidRPr="0000563D">
        <w:rPr>
          <w:rFonts w:eastAsia="Times New Roman"/>
        </w:rPr>
        <w:t xml:space="preserve"> </w:t>
      </w:r>
      <w:r w:rsidR="006423FB" w:rsidRPr="0000563D">
        <w:rPr>
          <w:rFonts w:eastAsia="Times New Roman"/>
        </w:rPr>
        <w:t xml:space="preserve">that the reasonableness </w:t>
      </w:r>
      <w:r w:rsidR="00924AA0">
        <w:rPr>
          <w:rFonts w:eastAsia="Times New Roman"/>
        </w:rPr>
        <w:t>test</w:t>
      </w:r>
      <w:r w:rsidR="00924AA0" w:rsidRPr="0000563D">
        <w:rPr>
          <w:rFonts w:eastAsia="Times New Roman"/>
        </w:rPr>
        <w:t xml:space="preserve"> </w:t>
      </w:r>
      <w:r w:rsidR="006423FB" w:rsidRPr="0000563D">
        <w:rPr>
          <w:rFonts w:eastAsia="Times New Roman"/>
        </w:rPr>
        <w:t>be removed altogether</w:t>
      </w:r>
      <w:r w:rsidR="000941A9" w:rsidRPr="0000563D">
        <w:rPr>
          <w:rFonts w:eastAsia="Times New Roman"/>
        </w:rPr>
        <w:t xml:space="preserve">, </w:t>
      </w:r>
      <w:proofErr w:type="gramStart"/>
      <w:r w:rsidR="000941A9" w:rsidRPr="0000563D">
        <w:rPr>
          <w:rFonts w:eastAsia="Times New Roman"/>
        </w:rPr>
        <w:t>so as to</w:t>
      </w:r>
      <w:proofErr w:type="gramEnd"/>
      <w:r w:rsidR="000941A9" w:rsidRPr="0000563D">
        <w:rPr>
          <w:rFonts w:eastAsia="Times New Roman"/>
        </w:rPr>
        <w:t xml:space="preserve"> only</w:t>
      </w:r>
      <w:r w:rsidR="00F40D76" w:rsidRPr="0000563D">
        <w:rPr>
          <w:rFonts w:eastAsia="Times New Roman"/>
        </w:rPr>
        <w:t xml:space="preserve"> leave in place the single defence of unjustifiable hardship</w:t>
      </w:r>
      <w:r w:rsidR="00B44CC6" w:rsidRPr="0000563D">
        <w:rPr>
          <w:rFonts w:eastAsia="Times New Roman"/>
        </w:rPr>
        <w:t xml:space="preserve">. </w:t>
      </w:r>
      <w:r w:rsidR="006A550C" w:rsidRPr="0000563D">
        <w:rPr>
          <w:rFonts w:eastAsia="Times New Roman"/>
        </w:rPr>
        <w:t xml:space="preserve">In the Commission’s view, </w:t>
      </w:r>
      <w:r w:rsidR="005323ED" w:rsidRPr="0000563D">
        <w:rPr>
          <w:rFonts w:eastAsia="Times New Roman"/>
        </w:rPr>
        <w:t xml:space="preserve">there may be </w:t>
      </w:r>
      <w:r w:rsidR="00A96D16" w:rsidRPr="0000563D">
        <w:rPr>
          <w:rFonts w:eastAsia="Times New Roman"/>
        </w:rPr>
        <w:t xml:space="preserve">circumstances where a requirement to comply </w:t>
      </w:r>
      <w:r w:rsidR="0046416F" w:rsidRPr="0000563D">
        <w:rPr>
          <w:rFonts w:eastAsia="Times New Roman"/>
        </w:rPr>
        <w:t xml:space="preserve">with a condition </w:t>
      </w:r>
      <w:r w:rsidR="005D788A" w:rsidRPr="0000563D">
        <w:rPr>
          <w:rFonts w:eastAsia="Times New Roman"/>
        </w:rPr>
        <w:t>has</w:t>
      </w:r>
      <w:r w:rsidR="00A96D16" w:rsidRPr="0000563D">
        <w:rPr>
          <w:rFonts w:eastAsia="Times New Roman"/>
        </w:rPr>
        <w:t xml:space="preserve"> legitimate</w:t>
      </w:r>
      <w:r w:rsidR="005D788A" w:rsidRPr="0000563D">
        <w:rPr>
          <w:rFonts w:eastAsia="Times New Roman"/>
        </w:rPr>
        <w:t xml:space="preserve"> objectives</w:t>
      </w:r>
      <w:r w:rsidR="00A96D16" w:rsidRPr="0000563D">
        <w:rPr>
          <w:rFonts w:eastAsia="Times New Roman"/>
        </w:rPr>
        <w:t xml:space="preserve"> </w:t>
      </w:r>
      <w:r w:rsidR="00AD7CB5" w:rsidRPr="0000563D">
        <w:rPr>
          <w:rFonts w:eastAsia="Times New Roman"/>
        </w:rPr>
        <w:t xml:space="preserve">but </w:t>
      </w:r>
      <w:r w:rsidR="00A60E59" w:rsidRPr="0000563D">
        <w:rPr>
          <w:rFonts w:eastAsia="Times New Roman"/>
        </w:rPr>
        <w:t>does</w:t>
      </w:r>
      <w:r w:rsidR="00AD7CB5" w:rsidRPr="0000563D">
        <w:rPr>
          <w:rFonts w:eastAsia="Times New Roman"/>
        </w:rPr>
        <w:t xml:space="preserve"> not </w:t>
      </w:r>
      <w:r w:rsidR="004C66FC" w:rsidRPr="0000563D">
        <w:rPr>
          <w:rFonts w:eastAsia="Times New Roman"/>
        </w:rPr>
        <w:t>cause unjustifiable hardship.</w:t>
      </w:r>
      <w:r w:rsidR="00215BB2" w:rsidRPr="0000563D">
        <w:rPr>
          <w:rFonts w:eastAsia="Times New Roman"/>
        </w:rPr>
        <w:t xml:space="preserve"> </w:t>
      </w:r>
      <w:r w:rsidR="00A11703" w:rsidRPr="0000563D">
        <w:rPr>
          <w:rFonts w:eastAsia="Times New Roman"/>
        </w:rPr>
        <w:t>R</w:t>
      </w:r>
      <w:r w:rsidR="005354A5" w:rsidRPr="0000563D">
        <w:rPr>
          <w:rFonts w:eastAsia="Times New Roman"/>
        </w:rPr>
        <w:t xml:space="preserve">emoving </w:t>
      </w:r>
      <w:r w:rsidR="00D60A31" w:rsidRPr="0000563D">
        <w:rPr>
          <w:rFonts w:eastAsia="Times New Roman"/>
        </w:rPr>
        <w:t xml:space="preserve">this consideration entirely would </w:t>
      </w:r>
      <w:r w:rsidR="00B86378" w:rsidRPr="0000563D">
        <w:rPr>
          <w:rFonts w:eastAsia="Times New Roman"/>
        </w:rPr>
        <w:t xml:space="preserve">eliminate </w:t>
      </w:r>
      <w:r w:rsidR="005A2913" w:rsidRPr="0000563D">
        <w:rPr>
          <w:rFonts w:eastAsia="Times New Roman"/>
        </w:rPr>
        <w:t xml:space="preserve">an opportunity to balance </w:t>
      </w:r>
      <w:r w:rsidR="00715868" w:rsidRPr="0000563D">
        <w:rPr>
          <w:rFonts w:eastAsia="Times New Roman"/>
        </w:rPr>
        <w:t xml:space="preserve">the rights </w:t>
      </w:r>
      <w:r w:rsidR="002B7EFE" w:rsidRPr="0000563D">
        <w:rPr>
          <w:rFonts w:eastAsia="Times New Roman"/>
        </w:rPr>
        <w:t xml:space="preserve">people with disability </w:t>
      </w:r>
      <w:r w:rsidR="00C04400" w:rsidRPr="0000563D">
        <w:rPr>
          <w:rFonts w:eastAsia="Times New Roman"/>
        </w:rPr>
        <w:t>with the legitimate aims of a condition or requirement</w:t>
      </w:r>
      <w:r w:rsidR="00EA1E5A" w:rsidRPr="0000563D">
        <w:rPr>
          <w:rFonts w:eastAsia="Times New Roman"/>
        </w:rPr>
        <w:t xml:space="preserve"> of duty holders</w:t>
      </w:r>
      <w:r w:rsidR="00C04400" w:rsidRPr="0000563D">
        <w:rPr>
          <w:rFonts w:eastAsia="Times New Roman"/>
        </w:rPr>
        <w:t xml:space="preserve">. </w:t>
      </w:r>
    </w:p>
    <w:p w14:paraId="666AF3FC" w14:textId="546D6E58" w:rsidR="00DD11D8" w:rsidRPr="0000563D" w:rsidRDefault="00DD11D8" w:rsidP="008911EA">
      <w:pPr>
        <w:rPr>
          <w:rFonts w:eastAsia="Times New Roman"/>
        </w:rPr>
      </w:pPr>
      <w:r w:rsidRPr="0000563D">
        <w:rPr>
          <w:rFonts w:eastAsia="Times New Roman"/>
          <w:b/>
        </w:rPr>
        <w:lastRenderedPageBreak/>
        <w:t xml:space="preserve">Option 2 </w:t>
      </w:r>
      <w:r w:rsidR="00931F1A" w:rsidRPr="0000563D">
        <w:rPr>
          <w:rFonts w:eastAsia="Times New Roman"/>
        </w:rPr>
        <w:t xml:space="preserve">proposes the inclusion of </w:t>
      </w:r>
      <w:r w:rsidR="00193847" w:rsidRPr="0000563D">
        <w:rPr>
          <w:rFonts w:eastAsia="Times New Roman"/>
        </w:rPr>
        <w:t xml:space="preserve">additional guidance </w:t>
      </w:r>
      <w:r w:rsidR="00674969" w:rsidRPr="0000563D">
        <w:rPr>
          <w:rFonts w:eastAsia="Times New Roman"/>
        </w:rPr>
        <w:t>on</w:t>
      </w:r>
      <w:r w:rsidRPr="0000563D">
        <w:rPr>
          <w:rFonts w:eastAsia="Times New Roman"/>
        </w:rPr>
        <w:t xml:space="preserve"> factors to</w:t>
      </w:r>
      <w:r w:rsidR="00931F1A" w:rsidRPr="0000563D">
        <w:rPr>
          <w:rFonts w:eastAsia="Times New Roman"/>
        </w:rPr>
        <w:t xml:space="preserve"> be</w:t>
      </w:r>
      <w:r w:rsidRPr="0000563D">
        <w:rPr>
          <w:rFonts w:eastAsia="Times New Roman"/>
        </w:rPr>
        <w:t xml:space="preserve"> consider</w:t>
      </w:r>
      <w:r w:rsidR="00931F1A" w:rsidRPr="0000563D">
        <w:rPr>
          <w:rFonts w:eastAsia="Times New Roman"/>
        </w:rPr>
        <w:t>ed in</w:t>
      </w:r>
      <w:r w:rsidR="00327525" w:rsidRPr="0000563D">
        <w:rPr>
          <w:rFonts w:eastAsia="Times New Roman"/>
        </w:rPr>
        <w:t xml:space="preserve"> determining whether something was reasonable</w:t>
      </w:r>
      <w:r w:rsidRPr="0000563D">
        <w:rPr>
          <w:rFonts w:eastAsia="Times New Roman"/>
        </w:rPr>
        <w:t xml:space="preserve"> </w:t>
      </w:r>
      <w:r w:rsidR="001A758F" w:rsidRPr="0000563D">
        <w:rPr>
          <w:rFonts w:eastAsia="Times New Roman"/>
        </w:rPr>
        <w:t xml:space="preserve">in </w:t>
      </w:r>
      <w:r w:rsidRPr="0000563D">
        <w:rPr>
          <w:rFonts w:eastAsia="Times New Roman"/>
        </w:rPr>
        <w:t>the Act</w:t>
      </w:r>
      <w:r w:rsidR="00004B84" w:rsidRPr="0000563D">
        <w:rPr>
          <w:rFonts w:eastAsia="Times New Roman"/>
        </w:rPr>
        <w:t xml:space="preserve">, </w:t>
      </w:r>
      <w:proofErr w:type="gramStart"/>
      <w:r w:rsidR="00004B84" w:rsidRPr="0000563D">
        <w:rPr>
          <w:rFonts w:eastAsia="Times New Roman"/>
        </w:rPr>
        <w:t>similar to</w:t>
      </w:r>
      <w:proofErr w:type="gramEnd"/>
      <w:r w:rsidR="00004B84" w:rsidRPr="0000563D">
        <w:rPr>
          <w:rFonts w:eastAsia="Times New Roman"/>
        </w:rPr>
        <w:t xml:space="preserve"> section </w:t>
      </w:r>
      <w:r w:rsidR="008A650E" w:rsidRPr="0000563D">
        <w:rPr>
          <w:rFonts w:eastAsia="Times New Roman"/>
        </w:rPr>
        <w:t xml:space="preserve">7B </w:t>
      </w:r>
      <w:r w:rsidR="00004B84" w:rsidRPr="0000563D">
        <w:rPr>
          <w:rFonts w:eastAsia="Times New Roman"/>
        </w:rPr>
        <w:t>of the Sex Discrimination Act.</w:t>
      </w:r>
      <w:r w:rsidR="00777927" w:rsidRPr="0000563D">
        <w:rPr>
          <w:rFonts w:eastAsia="Times New Roman"/>
        </w:rPr>
        <w:t xml:space="preserve"> This approach </w:t>
      </w:r>
      <w:r w:rsidR="000A0949" w:rsidRPr="0000563D">
        <w:rPr>
          <w:rFonts w:eastAsia="Times New Roman"/>
        </w:rPr>
        <w:t>c</w:t>
      </w:r>
      <w:r w:rsidR="00777927" w:rsidRPr="0000563D">
        <w:rPr>
          <w:rFonts w:eastAsia="Times New Roman"/>
        </w:rPr>
        <w:t>ould improve consistency and transpare</w:t>
      </w:r>
      <w:r w:rsidR="00736149" w:rsidRPr="0000563D">
        <w:rPr>
          <w:rFonts w:eastAsia="Times New Roman"/>
        </w:rPr>
        <w:t xml:space="preserve">ncy and </w:t>
      </w:r>
      <w:r w:rsidR="00444B3B" w:rsidRPr="0000563D">
        <w:rPr>
          <w:rFonts w:eastAsia="Times New Roman"/>
        </w:rPr>
        <w:t xml:space="preserve">provide </w:t>
      </w:r>
      <w:r w:rsidR="00777927" w:rsidRPr="0000563D">
        <w:rPr>
          <w:rFonts w:eastAsia="Times New Roman"/>
        </w:rPr>
        <w:t xml:space="preserve">clearer guidance </w:t>
      </w:r>
      <w:r w:rsidR="00736149" w:rsidRPr="0000563D">
        <w:rPr>
          <w:rFonts w:eastAsia="Times New Roman"/>
        </w:rPr>
        <w:t>on</w:t>
      </w:r>
      <w:r w:rsidR="00777927" w:rsidRPr="0000563D">
        <w:rPr>
          <w:rFonts w:eastAsia="Times New Roman"/>
        </w:rPr>
        <w:t xml:space="preserve"> what constitutes a reasonable requirement or condition.</w:t>
      </w:r>
    </w:p>
    <w:p w14:paraId="3B240BC9" w14:textId="7A0CAFE7" w:rsidR="00015820" w:rsidRPr="0000563D" w:rsidRDefault="00D87DD7" w:rsidP="008911EA">
      <w:r w:rsidRPr="0000563D">
        <w:rPr>
          <w:rFonts w:eastAsia="Times New Roman"/>
          <w:b/>
        </w:rPr>
        <w:t xml:space="preserve">Option 3 </w:t>
      </w:r>
      <w:r w:rsidR="000A0949" w:rsidRPr="0000563D">
        <w:rPr>
          <w:rFonts w:eastAsia="Times New Roman"/>
        </w:rPr>
        <w:t>proposes</w:t>
      </w:r>
      <w:r w:rsidR="00532D1C" w:rsidRPr="0000563D">
        <w:rPr>
          <w:rFonts w:eastAsia="Times New Roman"/>
        </w:rPr>
        <w:t xml:space="preserve"> that</w:t>
      </w:r>
      <w:r w:rsidR="00A73510" w:rsidRPr="0000563D">
        <w:rPr>
          <w:rFonts w:eastAsia="Times New Roman"/>
        </w:rPr>
        <w:t xml:space="preserve"> the reasonable</w:t>
      </w:r>
      <w:r w:rsidR="00083DB8" w:rsidRPr="0000563D">
        <w:rPr>
          <w:rFonts w:eastAsia="Times New Roman"/>
        </w:rPr>
        <w:t>ness</w:t>
      </w:r>
      <w:r w:rsidR="00A73510" w:rsidRPr="0000563D">
        <w:rPr>
          <w:rFonts w:eastAsia="Times New Roman"/>
        </w:rPr>
        <w:t xml:space="preserve"> </w:t>
      </w:r>
      <w:r w:rsidR="00924AA0">
        <w:rPr>
          <w:rFonts w:eastAsia="Times New Roman"/>
        </w:rPr>
        <w:t>test</w:t>
      </w:r>
      <w:r w:rsidR="00924AA0" w:rsidRPr="0000563D">
        <w:rPr>
          <w:rFonts w:eastAsia="Times New Roman"/>
        </w:rPr>
        <w:t xml:space="preserve"> </w:t>
      </w:r>
      <w:r w:rsidR="00A73510" w:rsidRPr="0000563D">
        <w:rPr>
          <w:rFonts w:eastAsia="Times New Roman"/>
        </w:rPr>
        <w:t xml:space="preserve">be replaced with </w:t>
      </w:r>
      <w:r w:rsidR="00532D1C" w:rsidRPr="0000563D">
        <w:rPr>
          <w:rFonts w:eastAsia="Times New Roman"/>
        </w:rPr>
        <w:t xml:space="preserve">a </w:t>
      </w:r>
      <w:r w:rsidR="00D22DBE" w:rsidRPr="0000563D">
        <w:rPr>
          <w:rFonts w:eastAsia="Times New Roman"/>
        </w:rPr>
        <w:t>more rigorous and specific</w:t>
      </w:r>
      <w:r w:rsidR="007912B5" w:rsidRPr="0000563D">
        <w:rPr>
          <w:rFonts w:eastAsia="Times New Roman"/>
        </w:rPr>
        <w:t xml:space="preserve"> ‘legitimate and </w:t>
      </w:r>
      <w:r w:rsidR="00DC17D2" w:rsidRPr="0000563D">
        <w:rPr>
          <w:rFonts w:eastAsia="Times New Roman"/>
        </w:rPr>
        <w:t>proportionate’ test.</w:t>
      </w:r>
      <w:r w:rsidR="00015820" w:rsidRPr="0000563D">
        <w:rPr>
          <w:rFonts w:eastAsia="Times New Roman"/>
        </w:rPr>
        <w:t xml:space="preserve"> </w:t>
      </w:r>
      <w:r w:rsidR="00C41D73" w:rsidRPr="0000563D">
        <w:t>This</w:t>
      </w:r>
      <w:r w:rsidR="00015820" w:rsidRPr="0000563D">
        <w:t xml:space="preserve"> test has been successfully implemented in the United Kingdom in its </w:t>
      </w:r>
      <w:r w:rsidR="00015820" w:rsidRPr="0000563D">
        <w:rPr>
          <w:i/>
          <w:iCs/>
        </w:rPr>
        <w:t>Equality Act 2010</w:t>
      </w:r>
      <w:r w:rsidR="00015820" w:rsidRPr="0000563D">
        <w:t>, whereby the respondent must show that the practice that is alleged to be discriminatory is necessary to achieve a legitimate aim and that there are no other less discriminatory alternatives.</w:t>
      </w:r>
      <w:r w:rsidR="00015820" w:rsidRPr="0000563D">
        <w:rPr>
          <w:rStyle w:val="EndnoteReference"/>
        </w:rPr>
        <w:endnoteReference w:id="88"/>
      </w:r>
      <w:r w:rsidR="004661C4" w:rsidRPr="0000563D">
        <w:t xml:space="preserve"> The importance of the goal of the practice is assessed, and a ‘means-ends’ test is applied to determine the closeness of the ‘fit’ between the means and the ends.</w:t>
      </w:r>
      <w:r w:rsidR="00D65BCB" w:rsidRPr="0000563D">
        <w:rPr>
          <w:rStyle w:val="EndnoteReference"/>
        </w:rPr>
        <w:endnoteReference w:id="89"/>
      </w:r>
    </w:p>
    <w:p w14:paraId="5AFC96E7" w14:textId="53C53730" w:rsidR="00AB75F5" w:rsidRPr="0000563D" w:rsidRDefault="00AB75F5" w:rsidP="008911EA">
      <w:r w:rsidRPr="0000563D">
        <w:t>The Commission prefer</w:t>
      </w:r>
      <w:r w:rsidR="00094FB6" w:rsidRPr="0000563D">
        <w:t xml:space="preserve">s </w:t>
      </w:r>
      <w:r w:rsidR="00094FB6" w:rsidRPr="0000563D">
        <w:rPr>
          <w:b/>
        </w:rPr>
        <w:t>Option 3</w:t>
      </w:r>
      <w:r w:rsidR="001A79EE" w:rsidRPr="0000563D">
        <w:rPr>
          <w:b/>
        </w:rPr>
        <w:t>.</w:t>
      </w:r>
      <w:r w:rsidR="001A79EE" w:rsidRPr="0000563D">
        <w:t xml:space="preserve"> Replacing the reasonable</w:t>
      </w:r>
      <w:r w:rsidR="00083DB8" w:rsidRPr="0000563D">
        <w:t>ness</w:t>
      </w:r>
      <w:r w:rsidR="00870803" w:rsidRPr="0000563D">
        <w:t xml:space="preserve"> </w:t>
      </w:r>
      <w:r w:rsidR="005854D9">
        <w:t>test</w:t>
      </w:r>
      <w:r w:rsidR="005854D9" w:rsidRPr="0000563D">
        <w:t xml:space="preserve"> </w:t>
      </w:r>
      <w:r w:rsidR="00870803" w:rsidRPr="0000563D">
        <w:t>with</w:t>
      </w:r>
      <w:r w:rsidR="00876ECE" w:rsidRPr="0000563D">
        <w:t xml:space="preserve"> a</w:t>
      </w:r>
      <w:r w:rsidR="001A79EE" w:rsidRPr="0000563D">
        <w:t xml:space="preserve"> legitimate and proportionate test would</w:t>
      </w:r>
      <w:r w:rsidR="00CE3676" w:rsidRPr="0000563D">
        <w:t xml:space="preserve"> provide a clear</w:t>
      </w:r>
      <w:r w:rsidR="00D75449" w:rsidRPr="0000563D">
        <w:t xml:space="preserve"> and structured framework that aligns with international human rights law</w:t>
      </w:r>
      <w:r w:rsidR="008E0937" w:rsidRPr="0000563D">
        <w:t xml:space="preserve">. </w:t>
      </w:r>
      <w:r w:rsidR="001A79EE" w:rsidRPr="0000563D">
        <w:t xml:space="preserve"> </w:t>
      </w:r>
    </w:p>
    <w:p w14:paraId="70E50292" w14:textId="77777777" w:rsidR="00015820" w:rsidRPr="0000563D" w:rsidRDefault="00015820" w:rsidP="008911EA">
      <w:r w:rsidRPr="0000563D">
        <w:t xml:space="preserve">Professor Sandra Fredman observes that proportionality ‘requires </w:t>
      </w:r>
      <w:proofErr w:type="gramStart"/>
      <w:r w:rsidRPr="0000563D">
        <w:t>close scrutiny</w:t>
      </w:r>
      <w:proofErr w:type="gramEnd"/>
      <w:r w:rsidRPr="0000563D">
        <w:t xml:space="preserve"> of the stated aims [for conduct], and the means to achieve those aims. It thus structures judicial decisions in important ways’.</w:t>
      </w:r>
      <w:r w:rsidRPr="0000563D">
        <w:rPr>
          <w:rStyle w:val="EndnoteReference"/>
        </w:rPr>
        <w:endnoteReference w:id="90"/>
      </w:r>
    </w:p>
    <w:p w14:paraId="1D0A1D6C" w14:textId="661DA013" w:rsidR="00C72535" w:rsidRPr="0000563D" w:rsidRDefault="00A25FBF" w:rsidP="008911EA">
      <w:r w:rsidRPr="0000563D">
        <w:t xml:space="preserve">Both </w:t>
      </w:r>
      <w:r w:rsidR="001B6B03" w:rsidRPr="0000563D">
        <w:t xml:space="preserve">the </w:t>
      </w:r>
      <w:r w:rsidR="001248BC" w:rsidRPr="0000563D">
        <w:rPr>
          <w:i/>
          <w:iCs/>
        </w:rPr>
        <w:t xml:space="preserve">Equal Opportunity Act 2010 </w:t>
      </w:r>
      <w:r w:rsidR="001248BC" w:rsidRPr="0000563D">
        <w:t>(Vic)</w:t>
      </w:r>
      <w:r w:rsidR="001B6B03" w:rsidRPr="0000563D">
        <w:t xml:space="preserve"> and the Sex Discrimination Act </w:t>
      </w:r>
      <w:r w:rsidR="000F6B09" w:rsidRPr="0000563D">
        <w:t xml:space="preserve">apply a test that </w:t>
      </w:r>
      <w:r w:rsidR="006B122C" w:rsidRPr="0000563D">
        <w:t xml:space="preserve">comes close to </w:t>
      </w:r>
      <w:r w:rsidR="00351799" w:rsidRPr="0000563D">
        <w:t xml:space="preserve">a proportionality test in practice, through </w:t>
      </w:r>
      <w:r w:rsidR="007B0EAA" w:rsidRPr="0000563D">
        <w:t>the</w:t>
      </w:r>
      <w:r w:rsidR="00351799" w:rsidRPr="0000563D">
        <w:t xml:space="preserve"> extended list of factors</w:t>
      </w:r>
      <w:r w:rsidR="00691BB5" w:rsidRPr="0000563D">
        <w:t xml:space="preserve"> to consider in assessing ‘reasonableness’ of a condition.</w:t>
      </w:r>
      <w:r w:rsidR="00691BB5" w:rsidRPr="0000563D">
        <w:rPr>
          <w:rStyle w:val="EndnoteReference"/>
        </w:rPr>
        <w:endnoteReference w:id="91"/>
      </w:r>
      <w:r w:rsidR="00691BB5" w:rsidRPr="0000563D">
        <w:t xml:space="preserve"> </w:t>
      </w:r>
    </w:p>
    <w:p w14:paraId="745C5D7C" w14:textId="0F5906E6" w:rsidR="00804C68" w:rsidRPr="0000563D" w:rsidRDefault="00804C68" w:rsidP="008911EA">
      <w:pPr>
        <w:rPr>
          <w:b/>
        </w:rPr>
      </w:pPr>
      <w:r w:rsidRPr="0000563D">
        <w:rPr>
          <w:b/>
        </w:rPr>
        <w:t>Recommendation</w:t>
      </w:r>
      <w:r w:rsidR="00DD4C3F" w:rsidRPr="0000563D">
        <w:rPr>
          <w:b/>
        </w:rPr>
        <w:t xml:space="preserve"> 1</w:t>
      </w:r>
      <w:r w:rsidR="00A67488" w:rsidRPr="0000563D">
        <w:rPr>
          <w:b/>
        </w:rPr>
        <w:t>2</w:t>
      </w:r>
      <w:r w:rsidRPr="0000563D">
        <w:rPr>
          <w:b/>
        </w:rPr>
        <w:t xml:space="preserve">: </w:t>
      </w:r>
      <w:r w:rsidR="003A2F65" w:rsidRPr="0000563D">
        <w:rPr>
          <w:b/>
        </w:rPr>
        <w:t xml:space="preserve">Section </w:t>
      </w:r>
      <w:r w:rsidR="005E5260" w:rsidRPr="0000563D">
        <w:rPr>
          <w:b/>
        </w:rPr>
        <w:t>6(3)</w:t>
      </w:r>
      <w:r w:rsidR="003A2F65" w:rsidRPr="0000563D">
        <w:rPr>
          <w:b/>
        </w:rPr>
        <w:t xml:space="preserve"> of the </w:t>
      </w:r>
      <w:r w:rsidR="005E5260" w:rsidRPr="0000563D">
        <w:rPr>
          <w:b/>
          <w:i/>
        </w:rPr>
        <w:t xml:space="preserve">Disability Discrimination Act </w:t>
      </w:r>
      <w:r w:rsidR="008B3D3B" w:rsidRPr="0000563D">
        <w:rPr>
          <w:b/>
          <w:i/>
        </w:rPr>
        <w:t>1992</w:t>
      </w:r>
      <w:r w:rsidR="008B3D3B" w:rsidRPr="0000563D">
        <w:rPr>
          <w:b/>
        </w:rPr>
        <w:t xml:space="preserve"> (</w:t>
      </w:r>
      <w:proofErr w:type="spellStart"/>
      <w:r w:rsidR="008B3D3B" w:rsidRPr="0000563D">
        <w:rPr>
          <w:b/>
        </w:rPr>
        <w:t>Cth</w:t>
      </w:r>
      <w:proofErr w:type="spellEnd"/>
      <w:r w:rsidR="008B3D3B" w:rsidRPr="0000563D">
        <w:rPr>
          <w:b/>
        </w:rPr>
        <w:t xml:space="preserve">) </w:t>
      </w:r>
      <w:r w:rsidRPr="0000563D">
        <w:rPr>
          <w:b/>
        </w:rPr>
        <w:t>should be</w:t>
      </w:r>
      <w:r w:rsidR="003A2F65" w:rsidRPr="0000563D">
        <w:rPr>
          <w:b/>
        </w:rPr>
        <w:t xml:space="preserve"> </w:t>
      </w:r>
      <w:r w:rsidR="002C6305" w:rsidRPr="0000563D">
        <w:rPr>
          <w:b/>
        </w:rPr>
        <w:t>amended to</w:t>
      </w:r>
      <w:r w:rsidR="009003E4" w:rsidRPr="0000563D">
        <w:rPr>
          <w:b/>
        </w:rPr>
        <w:t xml:space="preserve"> replace the ‘reasonableness’ </w:t>
      </w:r>
      <w:r w:rsidR="004E0AE7">
        <w:rPr>
          <w:b/>
          <w:bCs/>
        </w:rPr>
        <w:t>test</w:t>
      </w:r>
      <w:r w:rsidR="002C6305" w:rsidRPr="0000563D">
        <w:rPr>
          <w:b/>
        </w:rPr>
        <w:t xml:space="preserve"> </w:t>
      </w:r>
      <w:r w:rsidR="00854933" w:rsidRPr="0000563D">
        <w:rPr>
          <w:b/>
        </w:rPr>
        <w:t>for the condition or requirement imposed</w:t>
      </w:r>
      <w:r w:rsidR="00982404" w:rsidRPr="0000563D">
        <w:rPr>
          <w:b/>
        </w:rPr>
        <w:t xml:space="preserve"> with a ‘legitimate and proportionate’ test</w:t>
      </w:r>
      <w:r w:rsidRPr="0000563D">
        <w:rPr>
          <w:b/>
        </w:rPr>
        <w:t>.</w:t>
      </w:r>
    </w:p>
    <w:p w14:paraId="518593FD" w14:textId="77777777" w:rsidR="00691A46" w:rsidRPr="002D4943" w:rsidRDefault="00691A46" w:rsidP="00691A46">
      <w:pPr>
        <w:pStyle w:val="Heading2"/>
        <w:rPr>
          <w:rFonts w:ascii="Open Sans" w:hAnsi="Open Sans" w:cs="Open Sans"/>
        </w:rPr>
      </w:pPr>
      <w:bookmarkStart w:id="31" w:name="_Toc214961120"/>
      <w:r w:rsidRPr="002D4943">
        <w:rPr>
          <w:rFonts w:ascii="Open Sans" w:hAnsi="Open Sans" w:cs="Open Sans"/>
        </w:rPr>
        <w:t>Duty to provide adjustments</w:t>
      </w:r>
      <w:bookmarkEnd w:id="31"/>
    </w:p>
    <w:p w14:paraId="0C8B37A4" w14:textId="4E0D8ED3" w:rsidR="00691A46" w:rsidRPr="0000563D" w:rsidRDefault="00691A46" w:rsidP="008911EA">
      <w:r w:rsidRPr="0000563D">
        <w:t xml:space="preserve">As explained in section </w:t>
      </w:r>
      <w:r w:rsidR="00683B24" w:rsidRPr="0000563D">
        <w:t>2</w:t>
      </w:r>
      <w:r w:rsidRPr="0000563D">
        <w:t xml:space="preserve">, reasonable accommodation is intrinsic to the realisation of the right to equality and non-discrimination. </w:t>
      </w:r>
    </w:p>
    <w:p w14:paraId="53E2432D" w14:textId="792D0EDD" w:rsidR="00691A46" w:rsidRPr="0000563D" w:rsidRDefault="00691A46" w:rsidP="008911EA">
      <w:r w:rsidRPr="0000563D">
        <w:t>The Disability Discri</w:t>
      </w:r>
      <w:r w:rsidR="00683B24" w:rsidRPr="0000563D">
        <w:t>m</w:t>
      </w:r>
      <w:r w:rsidRPr="0000563D">
        <w:t>ination Act requires that duty holders make reasonable adjustments, unless such adjustments would impose unjustifiable hardship on the duty holder.</w:t>
      </w:r>
      <w:r w:rsidRPr="0000563D">
        <w:rPr>
          <w:rStyle w:val="EndnoteReference"/>
        </w:rPr>
        <w:endnoteReference w:id="92"/>
      </w:r>
    </w:p>
    <w:p w14:paraId="2A3802D2" w14:textId="3BFE8EEA" w:rsidR="00691A46" w:rsidRPr="0000563D" w:rsidRDefault="00691A46" w:rsidP="008911EA">
      <w:r w:rsidRPr="0000563D">
        <w:t>The 2009 amendments to the Disability Discrimination Act introduced a provision stating that the failure to provide reasonable adjustments is a form of direct or indirect discrimination.</w:t>
      </w:r>
      <w:r w:rsidRPr="0000563D">
        <w:rPr>
          <w:rStyle w:val="EndnoteReference"/>
        </w:rPr>
        <w:endnoteReference w:id="93"/>
      </w:r>
      <w:r w:rsidRPr="0000563D">
        <w:t xml:space="preserve"> This </w:t>
      </w:r>
      <w:r w:rsidR="00D2735B" w:rsidRPr="0000563D">
        <w:t xml:space="preserve">does not </w:t>
      </w:r>
      <w:r w:rsidR="002865D9" w:rsidRPr="0000563D">
        <w:t>wholly align</w:t>
      </w:r>
      <w:r w:rsidRPr="0000563D">
        <w:t xml:space="preserve"> with CRPD guidance</w:t>
      </w:r>
      <w:r w:rsidR="002865D9" w:rsidRPr="0000563D">
        <w:t>, which</w:t>
      </w:r>
      <w:r w:rsidRPr="0000563D">
        <w:t xml:space="preserve"> states that the failure to provide reasonable adjustment</w:t>
      </w:r>
      <w:r w:rsidR="004E346A" w:rsidRPr="0000563D">
        <w:t>s</w:t>
      </w:r>
      <w:r w:rsidRPr="0000563D">
        <w:t xml:space="preserve"> is a form of discrimination of itself, separate to direct and indirect discrimination.</w:t>
      </w:r>
      <w:r w:rsidRPr="0000563D">
        <w:rPr>
          <w:rStyle w:val="EndnoteReference"/>
        </w:rPr>
        <w:endnoteReference w:id="94"/>
      </w:r>
    </w:p>
    <w:p w14:paraId="41D0F43A" w14:textId="77777777" w:rsidR="00691A46" w:rsidRPr="0000563D" w:rsidRDefault="00691A46" w:rsidP="00801E38">
      <w:pPr>
        <w:pStyle w:val="Heading3"/>
        <w:rPr>
          <w:rFonts w:cs="Open Sans"/>
        </w:rPr>
      </w:pPr>
      <w:r w:rsidRPr="0000563D">
        <w:rPr>
          <w:rFonts w:cs="Open Sans"/>
        </w:rPr>
        <w:lastRenderedPageBreak/>
        <w:t>Standalone duty to provide adjustments</w:t>
      </w:r>
    </w:p>
    <w:p w14:paraId="083628EB" w14:textId="0D2D128A" w:rsidR="00691A46" w:rsidRPr="0000563D" w:rsidRDefault="00691A46" w:rsidP="008911EA">
      <w:r w:rsidRPr="0000563D">
        <w:t>The Disability Royal Commission recommended the introduction of a standalone duty to provide adjustments.</w:t>
      </w:r>
      <w:r w:rsidRPr="0000563D">
        <w:rPr>
          <w:rStyle w:val="EndnoteReference"/>
        </w:rPr>
        <w:endnoteReference w:id="95"/>
      </w:r>
      <w:r w:rsidRPr="0000563D">
        <w:t xml:space="preserve"> </w:t>
      </w:r>
      <w:r w:rsidR="002F10B6" w:rsidRPr="0000563D">
        <w:t xml:space="preserve">Currently, </w:t>
      </w:r>
      <w:r w:rsidRPr="0000563D">
        <w:t xml:space="preserve">the failure to provide adjustments is included as a basis for direct or indirect discrimination. </w:t>
      </w:r>
    </w:p>
    <w:p w14:paraId="20CC7CAA" w14:textId="59D0773D" w:rsidR="00691A46" w:rsidRPr="0000563D" w:rsidRDefault="00691A46" w:rsidP="008911EA">
      <w:r w:rsidRPr="0000563D">
        <w:t>A standalone duty to provide adjustment</w:t>
      </w:r>
      <w:r w:rsidR="00F42619" w:rsidRPr="0000563D">
        <w:t>s</w:t>
      </w:r>
      <w:r w:rsidRPr="0000563D">
        <w:t xml:space="preserve"> would clarify that this is a separate and distinct obligation on duty holders, intended to operate in a proactive way and independently of a discrimination claim. This amendment would better align with the framing of obligations related to reasonable adjustments in the CRPD.</w:t>
      </w:r>
    </w:p>
    <w:p w14:paraId="5FD74F90" w14:textId="77777777" w:rsidR="00691A46" w:rsidRPr="0000563D" w:rsidRDefault="00691A46" w:rsidP="008911EA">
      <w:r w:rsidRPr="0000563D">
        <w:t>A duty to provide adjustments for people with disability and other protected groups already exists in some state and territory legislation.</w:t>
      </w:r>
      <w:r w:rsidRPr="0000563D">
        <w:rPr>
          <w:rStyle w:val="EndnoteReference"/>
        </w:rPr>
        <w:endnoteReference w:id="96"/>
      </w:r>
      <w:r w:rsidRPr="0000563D">
        <w:t xml:space="preserve"> Evidence from Victoria shows that the duty is not passive and requires duty holders to be proactive in implementing adjustments, instead of waiting until discrimination has occurred before considering </w:t>
      </w:r>
      <w:proofErr w:type="gramStart"/>
      <w:r w:rsidRPr="0000563D">
        <w:t>making adjustments</w:t>
      </w:r>
      <w:proofErr w:type="gramEnd"/>
      <w:r w:rsidRPr="0000563D">
        <w:t>.</w:t>
      </w:r>
      <w:r w:rsidRPr="0000563D">
        <w:rPr>
          <w:rStyle w:val="EndnoteReference"/>
        </w:rPr>
        <w:endnoteReference w:id="97"/>
      </w:r>
      <w:r w:rsidRPr="0000563D">
        <w:t xml:space="preserve"> </w:t>
      </w:r>
    </w:p>
    <w:p w14:paraId="62141DEE" w14:textId="21ADA599" w:rsidR="00691A46" w:rsidRPr="0000563D" w:rsidRDefault="00691A46" w:rsidP="008911EA">
      <w:r w:rsidRPr="0000563D">
        <w:t xml:space="preserve">Consistent with Reform 31 in </w:t>
      </w:r>
      <w:r w:rsidR="00D41F2D" w:rsidRPr="0000563D">
        <w:t xml:space="preserve">our </w:t>
      </w:r>
      <w:r w:rsidR="003A773E" w:rsidRPr="0000563D">
        <w:t xml:space="preserve">2021 </w:t>
      </w:r>
      <w:r w:rsidRPr="0000563D">
        <w:t>Free &amp; Equal Position Paper, the Commission supports this amendment.</w:t>
      </w:r>
    </w:p>
    <w:p w14:paraId="38CD0C67" w14:textId="1DB6B607" w:rsidR="00691A46" w:rsidRPr="0000563D" w:rsidRDefault="00691A46" w:rsidP="008911EA">
      <w:pPr>
        <w:rPr>
          <w:b/>
        </w:rPr>
      </w:pPr>
      <w:r w:rsidRPr="0000563D">
        <w:rPr>
          <w:b/>
        </w:rPr>
        <w:t>Recommendation</w:t>
      </w:r>
      <w:r w:rsidR="00F60906" w:rsidRPr="0000563D">
        <w:rPr>
          <w:b/>
        </w:rPr>
        <w:t xml:space="preserve"> 1</w:t>
      </w:r>
      <w:r w:rsidR="00A21AF2" w:rsidRPr="0000563D">
        <w:rPr>
          <w:b/>
        </w:rPr>
        <w:t>3</w:t>
      </w:r>
      <w:r w:rsidRPr="0000563D">
        <w:rPr>
          <w:b/>
        </w:rPr>
        <w:t xml:space="preserve">: A standalone duty to provide adjustments for people with disability should be introduced in the </w:t>
      </w:r>
      <w:r w:rsidRPr="0000563D">
        <w:rPr>
          <w:b/>
          <w:i/>
          <w:iCs/>
        </w:rPr>
        <w:t>Disability Discrimination Act</w:t>
      </w:r>
      <w:r w:rsidR="00053A4D" w:rsidRPr="0000563D">
        <w:rPr>
          <w:b/>
          <w:i/>
          <w:iCs/>
        </w:rPr>
        <w:t xml:space="preserve"> 1992</w:t>
      </w:r>
      <w:r w:rsidR="00053A4D" w:rsidRPr="0000563D">
        <w:rPr>
          <w:b/>
        </w:rPr>
        <w:t xml:space="preserve"> (</w:t>
      </w:r>
      <w:proofErr w:type="spellStart"/>
      <w:r w:rsidR="00053A4D" w:rsidRPr="0000563D">
        <w:rPr>
          <w:b/>
        </w:rPr>
        <w:t>Cth</w:t>
      </w:r>
      <w:proofErr w:type="spellEnd"/>
      <w:r w:rsidR="00053A4D" w:rsidRPr="0000563D">
        <w:rPr>
          <w:b/>
        </w:rPr>
        <w:t>)</w:t>
      </w:r>
      <w:r w:rsidRPr="0000563D">
        <w:rPr>
          <w:b/>
        </w:rPr>
        <w:t xml:space="preserve">. </w:t>
      </w:r>
    </w:p>
    <w:p w14:paraId="2D619633" w14:textId="77777777" w:rsidR="00691A46" w:rsidRPr="0000563D" w:rsidRDefault="00691A46" w:rsidP="008911EA">
      <w:r w:rsidRPr="0000563D">
        <w:t>The Issues Paper seeks views on whether this duty should extend to contexts other than the areas of public life covered in the Disability Discrimination Act. The Commission considers such an expansion could not reasonably or easily be achieved or regulated without further broadening the areas of public life under the Act.</w:t>
      </w:r>
    </w:p>
    <w:p w14:paraId="13CBE0A5" w14:textId="77777777" w:rsidR="00691A46" w:rsidRPr="0000563D" w:rsidRDefault="00691A46" w:rsidP="008911EA"/>
    <w:p w14:paraId="1468D372" w14:textId="77777777" w:rsidR="00953829" w:rsidRPr="0000563D" w:rsidRDefault="00691A46" w:rsidP="008911EA">
      <w:r w:rsidRPr="0000563D">
        <w:rPr>
          <w:noProof/>
        </w:rPr>
        <w:lastRenderedPageBreak/>
        <mc:AlternateContent>
          <mc:Choice Requires="wps">
            <w:drawing>
              <wp:inline distT="45720" distB="45720" distL="114300" distR="114300" wp14:anchorId="17AA97A1" wp14:editId="0511D448">
                <wp:extent cx="5759450" cy="4483290"/>
                <wp:effectExtent l="0" t="0" r="12700" b="12700"/>
                <wp:docPr id="454151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483290"/>
                        </a:xfrm>
                        <a:prstGeom prst="rect">
                          <a:avLst/>
                        </a:prstGeom>
                        <a:solidFill>
                          <a:schemeClr val="tx2">
                            <a:lumMod val="10000"/>
                            <a:lumOff val="90000"/>
                          </a:schemeClr>
                        </a:solidFill>
                        <a:ln w="9525">
                          <a:solidFill>
                            <a:schemeClr val="bg1"/>
                          </a:solidFill>
                          <a:miter lim="800000"/>
                          <a:headEnd/>
                          <a:tailEnd/>
                        </a:ln>
                      </wps:spPr>
                      <wps:txbx>
                        <w:txbxContent>
                          <w:p w14:paraId="7B5B945D" w14:textId="77777777" w:rsidR="00691A46" w:rsidRPr="006E7E5F" w:rsidRDefault="00691A46" w:rsidP="006E7E5F">
                            <w:pPr>
                              <w:rPr>
                                <w:b/>
                              </w:rPr>
                            </w:pPr>
                            <w:r w:rsidRPr="00801E38">
                              <w:rPr>
                                <w:rFonts w:hint="eastAsia"/>
                                <w:b/>
                                <w:i/>
                                <w:iCs/>
                              </w:rPr>
                              <w:t>Sklavos</w:t>
                            </w:r>
                            <w:r w:rsidRPr="00801E38">
                              <w:rPr>
                                <w:b/>
                                <w:i/>
                                <w:iCs/>
                              </w:rPr>
                              <w:t> v</w:t>
                            </w:r>
                            <w:r w:rsidRPr="00801E38">
                              <w:rPr>
                                <w:rFonts w:hint="eastAsia"/>
                                <w:b/>
                                <w:i/>
                                <w:iCs/>
                              </w:rPr>
                              <w:t xml:space="preserve"> Australasian College of </w:t>
                            </w:r>
                            <w:r w:rsidRPr="00801E38">
                              <w:rPr>
                                <w:b/>
                                <w:i/>
                                <w:iCs/>
                              </w:rPr>
                              <w:t>Dermatologists (2017)</w:t>
                            </w:r>
                            <w:r w:rsidRPr="006E7E5F">
                              <w:rPr>
                                <w:rFonts w:hint="eastAsia"/>
                                <w:b/>
                              </w:rPr>
                              <w:t xml:space="preserve"> 256 FCR 247 (Sklavos)</w:t>
                            </w:r>
                          </w:p>
                          <w:p w14:paraId="0357A621" w14:textId="77777777" w:rsidR="00691A46" w:rsidRDefault="00691A46" w:rsidP="006E7E5F">
                            <w:r>
                              <w:t xml:space="preserve">In </w:t>
                            </w:r>
                            <w:r w:rsidRPr="007B30EB">
                              <w:t>Sklavos</w:t>
                            </w:r>
                            <w:r>
                              <w:t>, the Full Court of the Federal Court</w:t>
                            </w:r>
                            <w:r w:rsidRPr="007B30EB">
                              <w:t xml:space="preserve"> considered whether </w:t>
                            </w:r>
                            <w:r>
                              <w:t xml:space="preserve">reasonable </w:t>
                            </w:r>
                            <w:r w:rsidRPr="007B30EB">
                              <w:t>adjustments were refused ‘because of’ a person’s disability.</w:t>
                            </w:r>
                          </w:p>
                          <w:p w14:paraId="548CFAA8" w14:textId="7F892803" w:rsidR="00691A46" w:rsidRPr="007B30EB" w:rsidRDefault="00691A46" w:rsidP="006E7E5F">
                            <w:r w:rsidRPr="007B30EB">
                              <w:t xml:space="preserve">Sklavos was a doctor who was training to </w:t>
                            </w:r>
                            <w:r>
                              <w:t>specialise in dermatology</w:t>
                            </w:r>
                            <w:r w:rsidRPr="007B30EB">
                              <w:t>.</w:t>
                            </w:r>
                            <w:r w:rsidR="002E0A7B">
                              <w:t xml:space="preserve"> He</w:t>
                            </w:r>
                            <w:r w:rsidRPr="007B30EB">
                              <w:t xml:space="preserve"> developed a disability </w:t>
                            </w:r>
                            <w:r w:rsidR="009D1391">
                              <w:t>preventing</w:t>
                            </w:r>
                            <w:r w:rsidR="009D1391" w:rsidRPr="007B30EB">
                              <w:t xml:space="preserve"> </w:t>
                            </w:r>
                            <w:r w:rsidRPr="007B30EB">
                              <w:t>him from completing the final exams</w:t>
                            </w:r>
                            <w:r>
                              <w:t xml:space="preserve"> to be admitted as a Fellow</w:t>
                            </w:r>
                            <w:r w:rsidRPr="007B30EB">
                              <w:t xml:space="preserve">. </w:t>
                            </w:r>
                          </w:p>
                          <w:p w14:paraId="3F78E17D" w14:textId="77777777" w:rsidR="00691A46" w:rsidRDefault="00691A46" w:rsidP="006E7E5F">
                            <w:r w:rsidRPr="007B30EB">
                              <w:t xml:space="preserve">Sklavos </w:t>
                            </w:r>
                            <w:r w:rsidRPr="00C30B99">
                              <w:rPr>
                                <w:rFonts w:eastAsia="MS Mincho"/>
                              </w:rPr>
                              <w:t>made several requests for adjustments due to his disability, including asking for the College to admit him as a Fellow without him having to sit the final exams. The College denied these requests but told Sklavos it would consider any reasonable request he made for special conditions in the exams.</w:t>
                            </w:r>
                            <w:r w:rsidRPr="009B6493">
                              <w:t xml:space="preserve"> </w:t>
                            </w:r>
                          </w:p>
                          <w:p w14:paraId="16D60865" w14:textId="71C8E54B" w:rsidR="00691A46" w:rsidRPr="00A85175" w:rsidRDefault="00691A46" w:rsidP="006E7E5F">
                            <w:r>
                              <w:t xml:space="preserve">A </w:t>
                            </w:r>
                            <w:r w:rsidRPr="007B30EB">
                              <w:t xml:space="preserve">key issue </w:t>
                            </w:r>
                            <w:r>
                              <w:t>for the Court</w:t>
                            </w:r>
                            <w:r w:rsidRPr="007B30EB">
                              <w:t xml:space="preserve"> was whether the adjustments were refused </w:t>
                            </w:r>
                            <w:r>
                              <w:t>’because of’</w:t>
                            </w:r>
                            <w:r w:rsidRPr="007B30EB">
                              <w:t xml:space="preserve"> Sklavos’ disability.</w:t>
                            </w:r>
                            <w:r w:rsidR="00683B24">
                              <w:t xml:space="preserve"> </w:t>
                            </w:r>
                            <w:r w:rsidRPr="007B30EB">
                              <w:t xml:space="preserve">The Court </w:t>
                            </w:r>
                            <w:r>
                              <w:t>considered</w:t>
                            </w:r>
                            <w:r w:rsidRPr="007B30EB">
                              <w:t xml:space="preserve"> that Sklavos </w:t>
                            </w:r>
                            <w:r>
                              <w:t>was required to</w:t>
                            </w:r>
                            <w:r w:rsidRPr="007B30EB">
                              <w:t xml:space="preserve"> establish a causal connection between the refusal to provide reasonable adjustments and the disability.</w:t>
                            </w:r>
                            <w:r w:rsidRPr="007B30EB" w:rsidDel="0031103E">
                              <w:rPr>
                                <w:rStyle w:val="FootnoteReference"/>
                              </w:rPr>
                              <w:t xml:space="preserve"> </w:t>
                            </w:r>
                            <w:r w:rsidRPr="007B30EB">
                              <w:t xml:space="preserve">The Court held that </w:t>
                            </w:r>
                            <w:r>
                              <w:t>Sklavos had not been discriminated against because he could not prove that the refusal to provide adjustments was ‘</w:t>
                            </w:r>
                            <w:r w:rsidRPr="007B30EB">
                              <w:t>because of</w:t>
                            </w:r>
                            <w:r>
                              <w:t>’</w:t>
                            </w:r>
                            <w:r w:rsidRPr="007B30EB">
                              <w:t xml:space="preserve"> </w:t>
                            </w:r>
                            <w:r>
                              <w:t>his</w:t>
                            </w:r>
                            <w:r w:rsidRPr="007B30EB">
                              <w:t xml:space="preserve"> disability. </w:t>
                            </w:r>
                          </w:p>
                        </w:txbxContent>
                      </wps:txbx>
                      <wps:bodyPr rot="0" vert="horz" wrap="square" lIns="144000" tIns="144000" rIns="144000" bIns="14400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61CCD5AD">
              <v:shape id="_x0000_s1028" style="width:453.5pt;height:353pt;visibility:visible;mso-wrap-style:square;mso-left-percent:-10001;mso-top-percent:-10001;mso-position-horizontal:absolute;mso-position-horizontal-relative:char;mso-position-vertical:absolute;mso-position-vertical-relative:line;mso-left-percent:-10001;mso-top-percent:-10001;v-text-anchor:top" fillcolor="#ececec [351]"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" w14:anchorId="17AA97A1">
                <v:textbox inset="4mm,4mm,4mm,4mm">
                  <w:txbxContent>
                    <w:p w:rsidRPr="006E7E5F" w:rsidR="00691A46" w:rsidP="006E7E5F" w:rsidRDefault="00691A46" w14:paraId="08927DDA" w14:textId="77777777">
                      <w:pPr>
                        <w:rPr>
                          <w:rFonts w:hint="eastAsia"/>
                          <w:b/>
                        </w:rPr>
                      </w:pPr>
                      <w:r w:rsidRPr="00801E38">
                        <w:rPr>
                          <w:rFonts w:hint="eastAsia"/>
                          <w:b/>
                          <w:i/>
                          <w:iCs/>
                        </w:rPr>
                        <w:t>Sklavos</w:t>
                      </w:r>
                      <w:r w:rsidRPr="00801E38">
                        <w:rPr>
                          <w:b/>
                          <w:i/>
                          <w:iCs/>
                        </w:rPr>
                        <w:t> v</w:t>
                      </w:r>
                      <w:r w:rsidRPr="00801E38">
                        <w:rPr>
                          <w:rFonts w:hint="eastAsia"/>
                          <w:b/>
                          <w:i/>
                          <w:iCs/>
                        </w:rPr>
                        <w:t xml:space="preserve"> Australasian College of </w:t>
                      </w:r>
                      <w:r w:rsidRPr="00801E38">
                        <w:rPr>
                          <w:b/>
                          <w:i/>
                          <w:iCs/>
                        </w:rPr>
                        <w:t>Dermatologists (2017)</w:t>
                      </w:r>
                      <w:r w:rsidRPr="006E7E5F">
                        <w:rPr>
                          <w:rFonts w:hint="eastAsia"/>
                          <w:b/>
                        </w:rPr>
                        <w:t xml:space="preserve"> 256 FCR 247 (Sklavos)</w:t>
                      </w:r>
                    </w:p>
                    <w:p w:rsidR="00691A46" w:rsidP="006E7E5F" w:rsidRDefault="00691A46" w14:paraId="75B7DB30" w14:textId="77777777">
                      <w:pPr>
                        <w:rPr>
                          <w:rFonts w:hint="eastAsia"/>
                        </w:rPr>
                      </w:pPr>
                      <w:r>
                        <w:t xml:space="preserve">In </w:t>
                      </w:r>
                      <w:r w:rsidRPr="007B30EB">
                        <w:t>Sklavos</w:t>
                      </w:r>
                      <w:r>
                        <w:t>, the Full Court of the Federal Court</w:t>
                      </w:r>
                      <w:r w:rsidRPr="007B30EB">
                        <w:t xml:space="preserve"> considered whether </w:t>
                      </w:r>
                      <w:r>
                        <w:t xml:space="preserve">reasonable </w:t>
                      </w:r>
                      <w:r w:rsidRPr="007B30EB">
                        <w:t>adjustments were refused ‘because of’ a person’s disability.</w:t>
                      </w:r>
                    </w:p>
                    <w:p w:rsidRPr="007B30EB" w:rsidR="00691A46" w:rsidP="006E7E5F" w:rsidRDefault="00691A46" w14:paraId="1A5E6475" w14:textId="7F892803">
                      <w:pPr>
                        <w:rPr>
                          <w:rFonts w:hint="eastAsia"/>
                        </w:rPr>
                      </w:pPr>
                      <w:r w:rsidRPr="007B30EB">
                        <w:t xml:space="preserve">Sklavos was a doctor who was training to </w:t>
                      </w:r>
                      <w:r>
                        <w:t>specialise in dermatology</w:t>
                      </w:r>
                      <w:r w:rsidRPr="007B30EB">
                        <w:t>.</w:t>
                      </w:r>
                      <w:r w:rsidR="002E0A7B">
                        <w:t xml:space="preserve"> He</w:t>
                      </w:r>
                      <w:r w:rsidRPr="007B30EB">
                        <w:t xml:space="preserve"> developed a disability </w:t>
                      </w:r>
                      <w:r w:rsidR="009D1391">
                        <w:t>preventing</w:t>
                      </w:r>
                      <w:r w:rsidRPr="007B30EB" w:rsidR="009D1391">
                        <w:t xml:space="preserve"> </w:t>
                      </w:r>
                      <w:r w:rsidRPr="007B30EB">
                        <w:t>him from completing the final exams</w:t>
                      </w:r>
                      <w:r>
                        <w:t xml:space="preserve"> to be admitted as a Fellow</w:t>
                      </w:r>
                      <w:r w:rsidRPr="007B30EB">
                        <w:t xml:space="preserve">. </w:t>
                      </w:r>
                    </w:p>
                    <w:p w:rsidR="00691A46" w:rsidP="006E7E5F" w:rsidRDefault="00691A46" w14:paraId="323F46DB" w14:textId="77777777">
                      <w:pPr>
                        <w:rPr>
                          <w:rFonts w:hint="eastAsia"/>
                        </w:rPr>
                      </w:pPr>
                      <w:r w:rsidRPr="007B30EB">
                        <w:t xml:space="preserve">Sklavos </w:t>
                      </w:r>
                      <w:r w:rsidRPr="00C30B99">
                        <w:rPr>
                          <w:rFonts w:eastAsia="MS Mincho"/>
                        </w:rPr>
                        <w:t>made several requests for adjustments due to his disability, including asking for the College to admit him as a Fellow without him having to sit the final exams. The College denied these requests but told Sklavos it would consider any reasonable request he made for special conditions in the exams.</w:t>
                      </w:r>
                      <w:r w:rsidRPr="009B6493">
                        <w:t xml:space="preserve"> </w:t>
                      </w:r>
                    </w:p>
                    <w:p w:rsidRPr="00A85175" w:rsidR="00691A46" w:rsidP="006E7E5F" w:rsidRDefault="00691A46" w14:paraId="12F71927" w14:textId="71C8E54B">
                      <w:pPr>
                        <w:rPr>
                          <w:rFonts w:hint="eastAsia"/>
                        </w:rPr>
                      </w:pPr>
                      <w:r>
                        <w:t xml:space="preserve">A </w:t>
                      </w:r>
                      <w:r w:rsidRPr="007B30EB">
                        <w:t xml:space="preserve">key issue </w:t>
                      </w:r>
                      <w:r>
                        <w:t>for the Court</w:t>
                      </w:r>
                      <w:r w:rsidRPr="007B30EB">
                        <w:t xml:space="preserve"> was whether the adjustments were refused </w:t>
                      </w:r>
                      <w:r>
                        <w:t>’because of’</w:t>
                      </w:r>
                      <w:r w:rsidRPr="007B30EB">
                        <w:t xml:space="preserve"> Sklavos’ disability.</w:t>
                      </w:r>
                      <w:r w:rsidR="00683B24">
                        <w:t xml:space="preserve"> </w:t>
                      </w:r>
                      <w:r w:rsidRPr="007B30EB">
                        <w:t xml:space="preserve">The Court </w:t>
                      </w:r>
                      <w:r>
                        <w:t>considered</w:t>
                      </w:r>
                      <w:r w:rsidRPr="007B30EB">
                        <w:t xml:space="preserve"> that Sklavos </w:t>
                      </w:r>
                      <w:r>
                        <w:t>was required to</w:t>
                      </w:r>
                      <w:r w:rsidRPr="007B30EB">
                        <w:t xml:space="preserve"> establish a causal connection between the refusal to provide reasonable adjustments and the disability.</w:t>
                      </w:r>
                      <w:r w:rsidRPr="007B30EB" w:rsidDel="0031103E">
                        <w:rPr>
                          <w:rStyle w:val="FootnoteReference"/>
                        </w:rPr>
                        <w:t xml:space="preserve"> </w:t>
                      </w:r>
                      <w:r w:rsidRPr="007B30EB">
                        <w:t xml:space="preserve">The Court held that </w:t>
                      </w:r>
                      <w:r>
                        <w:t>Sklavos had not been discriminated against because he could not prove that the refusal to provide adjustments was ‘</w:t>
                      </w:r>
                      <w:r w:rsidRPr="007B30EB">
                        <w:t>because of</w:t>
                      </w:r>
                      <w:r>
                        <w:t>’</w:t>
                      </w:r>
                      <w:r w:rsidRPr="007B30EB">
                        <w:t xml:space="preserve"> </w:t>
                      </w:r>
                      <w:r>
                        <w:t>his</w:t>
                      </w:r>
                      <w:r w:rsidRPr="007B30EB">
                        <w:t xml:space="preserve"> disability. </w:t>
                      </w:r>
                    </w:p>
                  </w:txbxContent>
                </v:textbox>
                <w10:anchorlock/>
              </v:shape>
            </w:pict>
          </mc:Fallback>
        </mc:AlternateContent>
      </w:r>
    </w:p>
    <w:p w14:paraId="38AC0D22" w14:textId="55255633" w:rsidR="00691A46" w:rsidRPr="0000563D" w:rsidRDefault="00691A46" w:rsidP="008911EA">
      <w:r w:rsidRPr="0000563D">
        <w:t xml:space="preserve">The judgment in </w:t>
      </w:r>
      <w:proofErr w:type="spellStart"/>
      <w:r w:rsidRPr="0000563D">
        <w:t>Sklavos</w:t>
      </w:r>
      <w:proofErr w:type="spellEnd"/>
      <w:r w:rsidRPr="0000563D">
        <w:t xml:space="preserve"> significantly narrowed the application of the duty to provide reasonable adjustments by requiring the person with disability to prove that the refusal to provide reasonable adjustments was </w:t>
      </w:r>
      <w:r w:rsidRPr="0000563D">
        <w:rPr>
          <w:i/>
        </w:rPr>
        <w:t>because of</w:t>
      </w:r>
      <w:r w:rsidRPr="0000563D">
        <w:t xml:space="preserve"> the person’s disability.</w:t>
      </w:r>
      <w:r w:rsidRPr="0000563D">
        <w:rPr>
          <w:rStyle w:val="EndnoteReference"/>
        </w:rPr>
        <w:endnoteReference w:id="98"/>
      </w:r>
      <w:r w:rsidRPr="0000563D">
        <w:t xml:space="preserve"> This effectively turns the positive obligation of reasonable adjustments into a negative one,</w:t>
      </w:r>
      <w:r w:rsidRPr="0000563D">
        <w:rPr>
          <w:vertAlign w:val="superscript"/>
        </w:rPr>
        <w:endnoteReference w:id="99"/>
      </w:r>
      <w:r w:rsidRPr="0000563D">
        <w:t xml:space="preserve"> by requiring the person with disability to have knowledge of the reasons and state of mind of the duty holder to make a successful claim.</w:t>
      </w:r>
      <w:r w:rsidRPr="0000563D">
        <w:rPr>
          <w:vertAlign w:val="superscript"/>
        </w:rPr>
        <w:endnoteReference w:id="100"/>
      </w:r>
      <w:r w:rsidRPr="0000563D">
        <w:t xml:space="preserve"> This is both confusing and unrealistic.</w:t>
      </w:r>
    </w:p>
    <w:p w14:paraId="3B80AE6A" w14:textId="6D5484C4" w:rsidR="00691A46" w:rsidRPr="0000563D" w:rsidRDefault="00691A46" w:rsidP="008911EA">
      <w:r w:rsidRPr="0000563D">
        <w:t xml:space="preserve">Since the </w:t>
      </w:r>
      <w:proofErr w:type="spellStart"/>
      <w:r w:rsidRPr="0000563D">
        <w:t>Sklavos</w:t>
      </w:r>
      <w:proofErr w:type="spellEnd"/>
      <w:r w:rsidRPr="0000563D">
        <w:t xml:space="preserve"> decision, </w:t>
      </w:r>
      <w:proofErr w:type="gramStart"/>
      <w:r w:rsidRPr="0000563D">
        <w:t>a number of</w:t>
      </w:r>
      <w:proofErr w:type="gramEnd"/>
      <w:r w:rsidRPr="0000563D">
        <w:t xml:space="preserve"> cases have considered the question of causation and consistently affirmed the decision in </w:t>
      </w:r>
      <w:proofErr w:type="spellStart"/>
      <w:r w:rsidRPr="0000563D">
        <w:t>Sklavos</w:t>
      </w:r>
      <w:proofErr w:type="spellEnd"/>
      <w:r w:rsidRPr="0000563D">
        <w:t xml:space="preserve"> that less favourable treatment must have occurred because of a person’s disability.</w:t>
      </w:r>
      <w:r w:rsidRPr="0000563D">
        <w:rPr>
          <w:rStyle w:val="EndnoteReference"/>
        </w:rPr>
        <w:endnoteReference w:id="101"/>
      </w:r>
    </w:p>
    <w:p w14:paraId="78A35446" w14:textId="77777777" w:rsidR="00691A46" w:rsidRPr="0000563D" w:rsidRDefault="00691A46" w:rsidP="00691A46">
      <w:pPr>
        <w:pStyle w:val="Heading3"/>
        <w:rPr>
          <w:rFonts w:cs="Open Sans"/>
        </w:rPr>
      </w:pPr>
      <w:r w:rsidRPr="0000563D">
        <w:rPr>
          <w:rFonts w:cs="Open Sans"/>
        </w:rPr>
        <w:t xml:space="preserve">Reasonableness </w:t>
      </w:r>
    </w:p>
    <w:p w14:paraId="2CE4F592" w14:textId="524D2F38" w:rsidR="00691A46" w:rsidRPr="0000563D" w:rsidRDefault="00911C86" w:rsidP="008911EA">
      <w:pPr>
        <w:pStyle w:val="BodyText"/>
        <w:rPr>
          <w:rFonts w:cs="Open Sans"/>
        </w:rPr>
      </w:pPr>
      <w:r w:rsidRPr="0000563D">
        <w:rPr>
          <w:rFonts w:cs="Open Sans"/>
        </w:rPr>
        <w:t xml:space="preserve">The CRPD uses the term ‘reasonable accommodation’, rather than ‘reasonable adjustment’. </w:t>
      </w:r>
      <w:r w:rsidR="00FE4A42" w:rsidRPr="0000563D">
        <w:rPr>
          <w:rFonts w:cs="Open Sans"/>
        </w:rPr>
        <w:t>T</w:t>
      </w:r>
      <w:r w:rsidR="00691A46" w:rsidRPr="0000563D">
        <w:rPr>
          <w:rFonts w:cs="Open Sans"/>
        </w:rPr>
        <w:t xml:space="preserve">he CRPD Committee states that the </w:t>
      </w:r>
      <w:r w:rsidR="00886746" w:rsidRPr="0000563D">
        <w:rPr>
          <w:rFonts w:cs="Open Sans"/>
        </w:rPr>
        <w:t xml:space="preserve">concept </w:t>
      </w:r>
      <w:r w:rsidR="00691A46" w:rsidRPr="0000563D">
        <w:rPr>
          <w:rFonts w:cs="Open Sans"/>
        </w:rPr>
        <w:t>of reasonableness</w:t>
      </w:r>
      <w:r w:rsidR="001F22F8" w:rsidRPr="0000563D">
        <w:rPr>
          <w:rFonts w:cs="Open Sans"/>
        </w:rPr>
        <w:t xml:space="preserve"> should not act as a qualifier to the duty</w:t>
      </w:r>
      <w:r w:rsidR="002C4294" w:rsidRPr="0000563D">
        <w:rPr>
          <w:rFonts w:cs="Open Sans"/>
        </w:rPr>
        <w:t xml:space="preserve">. </w:t>
      </w:r>
      <w:r w:rsidR="00A54880" w:rsidRPr="0000563D">
        <w:rPr>
          <w:rFonts w:cs="Open Sans"/>
        </w:rPr>
        <w:t>The reasonableness</w:t>
      </w:r>
      <w:r w:rsidR="00691A46" w:rsidRPr="0000563D">
        <w:rPr>
          <w:rFonts w:cs="Open Sans"/>
        </w:rPr>
        <w:t xml:space="preserve"> refers to the appropriateness and effectiveness of the adjustment to meet the requirements of the person with disability.</w:t>
      </w:r>
      <w:r w:rsidR="00691A46" w:rsidRPr="0000563D">
        <w:rPr>
          <w:rStyle w:val="EndnoteReference"/>
          <w:rFonts w:cs="Open Sans"/>
        </w:rPr>
        <w:endnoteReference w:id="102"/>
      </w:r>
      <w:r w:rsidR="00816272" w:rsidRPr="0000563D">
        <w:rPr>
          <w:rFonts w:cs="Open Sans"/>
        </w:rPr>
        <w:t xml:space="preserve"> </w:t>
      </w:r>
    </w:p>
    <w:p w14:paraId="66ADAA7E" w14:textId="014EFCD2" w:rsidR="00691A46" w:rsidRPr="0000563D" w:rsidRDefault="00691A46" w:rsidP="008911EA">
      <w:r w:rsidRPr="0000563D">
        <w:t xml:space="preserve">The Disability Discrimination Act defines </w:t>
      </w:r>
      <w:r w:rsidR="00D90F53" w:rsidRPr="0000563D">
        <w:t>‘</w:t>
      </w:r>
      <w:r w:rsidRPr="0000563D">
        <w:t>reasonable adjustment</w:t>
      </w:r>
      <w:r w:rsidR="00D90F53" w:rsidRPr="0000563D">
        <w:t>’ as</w:t>
      </w:r>
      <w:r w:rsidR="00B25F17" w:rsidRPr="0000563D">
        <w:t xml:space="preserve"> </w:t>
      </w:r>
      <w:r w:rsidR="002E6799" w:rsidRPr="0000563D">
        <w:t>an adjustment to be made by a person</w:t>
      </w:r>
      <w:r w:rsidRPr="0000563D">
        <w:t xml:space="preserve">, unless making the adjustment would </w:t>
      </w:r>
      <w:r w:rsidRPr="0000563D">
        <w:lastRenderedPageBreak/>
        <w:t>impose an unjustifiable hardship on the person.</w:t>
      </w:r>
      <w:r w:rsidRPr="0000563D">
        <w:rPr>
          <w:rStyle w:val="EndnoteReference"/>
        </w:rPr>
        <w:endnoteReference w:id="103"/>
      </w:r>
      <w:r w:rsidRPr="0000563D">
        <w:t xml:space="preserve"> The Act does not </w:t>
      </w:r>
      <w:r w:rsidR="00965EC6" w:rsidRPr="0000563D">
        <w:t>prescribe the</w:t>
      </w:r>
      <w:r w:rsidRPr="0000563D">
        <w:t xml:space="preserve"> factors to </w:t>
      </w:r>
      <w:r w:rsidR="00965EC6" w:rsidRPr="0000563D">
        <w:t xml:space="preserve">be </w:t>
      </w:r>
      <w:r w:rsidRPr="0000563D">
        <w:t>consider</w:t>
      </w:r>
      <w:r w:rsidR="00965EC6" w:rsidRPr="0000563D">
        <w:t>ed</w:t>
      </w:r>
      <w:r w:rsidRPr="0000563D">
        <w:t xml:space="preserve"> in the assessment of what is ‘reasonable’. </w:t>
      </w:r>
    </w:p>
    <w:p w14:paraId="5A0136E6" w14:textId="164115C2" w:rsidR="00691A46" w:rsidRPr="0000563D" w:rsidRDefault="00691A46" w:rsidP="008911EA">
      <w:r w:rsidRPr="0000563D">
        <w:t>The Disability Royal Commission</w:t>
      </w:r>
      <w:r w:rsidR="00C54345" w:rsidRPr="0000563D">
        <w:t xml:space="preserve"> heard </w:t>
      </w:r>
      <w:r w:rsidR="007656A2" w:rsidRPr="0000563D">
        <w:t>that</w:t>
      </w:r>
      <w:r w:rsidR="00DC3789" w:rsidRPr="0000563D">
        <w:t xml:space="preserve"> </w:t>
      </w:r>
      <w:r w:rsidR="00DE42E9" w:rsidRPr="0000563D">
        <w:t xml:space="preserve">‘reasonable adjustments’ is often </w:t>
      </w:r>
      <w:r w:rsidR="00B74EF5" w:rsidRPr="0000563D">
        <w:t>understood by employers</w:t>
      </w:r>
      <w:r w:rsidR="001B43FD" w:rsidRPr="0000563D">
        <w:t xml:space="preserve"> to be an assessment of what may be reasonable to provide in the circumstances</w:t>
      </w:r>
      <w:r w:rsidRPr="0000563D">
        <w:t>,</w:t>
      </w:r>
      <w:r w:rsidR="005D31AF">
        <w:rPr>
          <w:rStyle w:val="EndnoteReference"/>
        </w:rPr>
        <w:endnoteReference w:id="104"/>
      </w:r>
      <w:r w:rsidRPr="0000563D">
        <w:t xml:space="preserve"> and recommended that the word ‘reasonable’ be removed from the term to address this misconception.</w:t>
      </w:r>
      <w:r w:rsidR="00AF3296" w:rsidRPr="0000563D">
        <w:t xml:space="preserve"> This would </w:t>
      </w:r>
      <w:r w:rsidR="009F3A99" w:rsidRPr="0000563D">
        <w:t>eliminate multiple standards</w:t>
      </w:r>
      <w:r w:rsidR="0027383D" w:rsidRPr="0000563D">
        <w:t xml:space="preserve"> by </w:t>
      </w:r>
      <w:r w:rsidR="004034CF">
        <w:t>removing</w:t>
      </w:r>
      <w:r w:rsidR="0027383D" w:rsidRPr="0000563D">
        <w:t xml:space="preserve"> the reasonableness </w:t>
      </w:r>
      <w:r w:rsidR="00CA1B1F" w:rsidRPr="0000563D">
        <w:t>element but</w:t>
      </w:r>
      <w:r w:rsidR="0027383D" w:rsidRPr="0000563D">
        <w:t xml:space="preserve"> would maintain the </w:t>
      </w:r>
      <w:r w:rsidR="00772269" w:rsidRPr="0000563D">
        <w:t>defence of</w:t>
      </w:r>
      <w:r w:rsidR="0027383D" w:rsidRPr="0000563D">
        <w:t xml:space="preserve"> unjustifiable hardship.</w:t>
      </w:r>
      <w:r w:rsidRPr="0000563D">
        <w:t xml:space="preserve"> The Commission supports this amendment </w:t>
      </w:r>
      <w:r w:rsidR="0086273E" w:rsidRPr="0000563D">
        <w:t xml:space="preserve">to </w:t>
      </w:r>
      <w:r w:rsidR="001C6DF6" w:rsidRPr="0000563D">
        <w:t>ensure that clarity is provided to duty holders on their obligation</w:t>
      </w:r>
      <w:r w:rsidR="00E47622" w:rsidRPr="0000563D">
        <w:t xml:space="preserve"> to provide adjustments</w:t>
      </w:r>
      <w:r w:rsidRPr="0000563D">
        <w:t xml:space="preserve">. </w:t>
      </w:r>
    </w:p>
    <w:p w14:paraId="7BA3FFF3" w14:textId="0299929B" w:rsidR="00691A46" w:rsidRPr="0000563D" w:rsidRDefault="00691A46" w:rsidP="008911EA">
      <w:pPr>
        <w:rPr>
          <w:b/>
        </w:rPr>
      </w:pPr>
      <w:r w:rsidRPr="0000563D">
        <w:rPr>
          <w:b/>
        </w:rPr>
        <w:t>Recommendation</w:t>
      </w:r>
      <w:r w:rsidR="00F60906" w:rsidRPr="0000563D">
        <w:rPr>
          <w:b/>
        </w:rPr>
        <w:t xml:space="preserve"> 1</w:t>
      </w:r>
      <w:r w:rsidR="003021D8" w:rsidRPr="0000563D">
        <w:rPr>
          <w:b/>
        </w:rPr>
        <w:t>4</w:t>
      </w:r>
      <w:r w:rsidRPr="0000563D">
        <w:rPr>
          <w:b/>
        </w:rPr>
        <w:t xml:space="preserve">: Section </w:t>
      </w:r>
      <w:r w:rsidR="005943C3" w:rsidRPr="0000563D">
        <w:rPr>
          <w:b/>
        </w:rPr>
        <w:t>4</w:t>
      </w:r>
      <w:r w:rsidRPr="0000563D">
        <w:rPr>
          <w:b/>
        </w:rPr>
        <w:t xml:space="preserve"> of the </w:t>
      </w:r>
      <w:r w:rsidRPr="0000563D">
        <w:rPr>
          <w:b/>
          <w:i/>
          <w:iCs/>
        </w:rPr>
        <w:t xml:space="preserve">Disability Discrimination Act </w:t>
      </w:r>
      <w:r w:rsidR="008C3253" w:rsidRPr="0000563D">
        <w:rPr>
          <w:b/>
          <w:i/>
          <w:iCs/>
        </w:rPr>
        <w:t xml:space="preserve">1992 </w:t>
      </w:r>
      <w:r w:rsidR="008C3253" w:rsidRPr="0000563D">
        <w:rPr>
          <w:b/>
        </w:rPr>
        <w:t>(</w:t>
      </w:r>
      <w:proofErr w:type="spellStart"/>
      <w:r w:rsidR="008C3253" w:rsidRPr="0000563D">
        <w:rPr>
          <w:b/>
        </w:rPr>
        <w:t>Cth</w:t>
      </w:r>
      <w:proofErr w:type="spellEnd"/>
      <w:r w:rsidR="008C3253" w:rsidRPr="0000563D">
        <w:rPr>
          <w:b/>
        </w:rPr>
        <w:t xml:space="preserve">) </w:t>
      </w:r>
      <w:r w:rsidRPr="0000563D">
        <w:rPr>
          <w:b/>
        </w:rPr>
        <w:t>should be amended to remove the word ‘reasonable’ from</w:t>
      </w:r>
      <w:r w:rsidR="005943C3" w:rsidRPr="0000563D">
        <w:rPr>
          <w:b/>
        </w:rPr>
        <w:t xml:space="preserve"> the definition of</w:t>
      </w:r>
      <w:r w:rsidRPr="0000563D">
        <w:rPr>
          <w:b/>
        </w:rPr>
        <w:t xml:space="preserve"> ‘reasonable </w:t>
      </w:r>
      <w:proofErr w:type="gramStart"/>
      <w:r w:rsidRPr="0000563D">
        <w:rPr>
          <w:b/>
        </w:rPr>
        <w:t>adjustments’</w:t>
      </w:r>
      <w:proofErr w:type="gramEnd"/>
      <w:r w:rsidRPr="0000563D">
        <w:rPr>
          <w:b/>
        </w:rPr>
        <w:t>.</w:t>
      </w:r>
    </w:p>
    <w:p w14:paraId="38C3F564" w14:textId="5EAB7A05" w:rsidR="008E13B9" w:rsidRPr="002D4943" w:rsidRDefault="008E13B9" w:rsidP="008E13B9">
      <w:pPr>
        <w:pStyle w:val="Heading2"/>
        <w:rPr>
          <w:rFonts w:ascii="Open Sans" w:hAnsi="Open Sans" w:cs="Open Sans"/>
        </w:rPr>
      </w:pPr>
      <w:bookmarkStart w:id="32" w:name="_Toc214961121"/>
      <w:r w:rsidRPr="002D4943">
        <w:rPr>
          <w:rFonts w:ascii="Open Sans" w:hAnsi="Open Sans" w:cs="Open Sans"/>
        </w:rPr>
        <w:t>Offensive behaviour and vilification protections</w:t>
      </w:r>
      <w:bookmarkEnd w:id="32"/>
    </w:p>
    <w:p w14:paraId="6A0368F3" w14:textId="492A4EDB" w:rsidR="00855A0F" w:rsidRPr="0000563D" w:rsidRDefault="00855A0F" w:rsidP="008C3253">
      <w:r w:rsidRPr="0000563D">
        <w:t xml:space="preserve">The CRPD explicitly </w:t>
      </w:r>
      <w:r w:rsidR="003B4131" w:rsidRPr="0000563D">
        <w:t>includes freedom</w:t>
      </w:r>
      <w:r w:rsidR="00BB68C2" w:rsidRPr="0000563D">
        <w:t xml:space="preserve"> from exploitation, violence and abuse within the cross-cutting </w:t>
      </w:r>
      <w:r w:rsidR="00AE7194" w:rsidRPr="0000563D">
        <w:t xml:space="preserve">right to equality and non-discrimination. This is set out in </w:t>
      </w:r>
      <w:r w:rsidR="0009798C" w:rsidRPr="0000563D">
        <w:t>A</w:t>
      </w:r>
      <w:r w:rsidR="00AE7194" w:rsidRPr="0000563D">
        <w:t xml:space="preserve">rticle 16, which includes an obligation for State Parties </w:t>
      </w:r>
      <w:r w:rsidR="000004FB" w:rsidRPr="0000563D">
        <w:t xml:space="preserve">to </w:t>
      </w:r>
      <w:r w:rsidR="00F27BFE" w:rsidRPr="0000563D">
        <w:t>‘</w:t>
      </w:r>
      <w:r w:rsidR="000004FB" w:rsidRPr="0000563D">
        <w:t>take all appropriate legislative</w:t>
      </w:r>
      <w:r w:rsidR="00B04C13" w:rsidRPr="0000563D">
        <w:t xml:space="preserve">, </w:t>
      </w:r>
      <w:r w:rsidR="00DC71E3" w:rsidRPr="0000563D">
        <w:t>administrative, social, educational</w:t>
      </w:r>
      <w:r w:rsidR="00F40355" w:rsidRPr="0000563D">
        <w:t xml:space="preserve"> and other measures to protect persons with disabilities, both within and outside the home, from all forms of </w:t>
      </w:r>
      <w:r w:rsidR="00333D5C" w:rsidRPr="0000563D">
        <w:t>all forms of exploitation, violence and abuse, including their gender-based aspec</w:t>
      </w:r>
      <w:r w:rsidR="001B5A32" w:rsidRPr="0000563D">
        <w:t>ts</w:t>
      </w:r>
      <w:r w:rsidR="00F27BFE" w:rsidRPr="0000563D">
        <w:t>’</w:t>
      </w:r>
      <w:r w:rsidR="00F5066A" w:rsidRPr="0000563D">
        <w:t>.</w:t>
      </w:r>
      <w:r w:rsidR="0009798C" w:rsidRPr="0000563D">
        <w:rPr>
          <w:rStyle w:val="EndnoteReference"/>
        </w:rPr>
        <w:endnoteReference w:id="105"/>
      </w:r>
      <w:r w:rsidR="00F5066A" w:rsidRPr="0000563D">
        <w:t xml:space="preserve"> </w:t>
      </w:r>
    </w:p>
    <w:p w14:paraId="207A05A4" w14:textId="5FED8932" w:rsidR="004A7EF1" w:rsidRPr="0000563D" w:rsidRDefault="004A7EF1" w:rsidP="008C3253">
      <w:r w:rsidRPr="0000563D">
        <w:t>The drafting intent of the CRPD</w:t>
      </w:r>
      <w:r w:rsidR="00870377" w:rsidRPr="0000563D">
        <w:t xml:space="preserve"> was to recognise and address the high prevalence of all forms of exploitation, violence and abuse experienced by people with disability</w:t>
      </w:r>
      <w:r w:rsidR="00E62EA5" w:rsidRPr="0000563D">
        <w:t>.</w:t>
      </w:r>
      <w:r w:rsidR="00745734" w:rsidRPr="0000563D">
        <w:rPr>
          <w:rStyle w:val="EndnoteReference"/>
        </w:rPr>
        <w:endnoteReference w:id="106"/>
      </w:r>
      <w:r w:rsidR="00E62EA5" w:rsidRPr="0000563D">
        <w:t xml:space="preserve"> The obligations set out in </w:t>
      </w:r>
      <w:r w:rsidR="000019B7" w:rsidRPr="0000563D">
        <w:t>A</w:t>
      </w:r>
      <w:r w:rsidR="00E62EA5" w:rsidRPr="0000563D">
        <w:t xml:space="preserve">rticle 16 are complemented by awareness-raising obligations set out in </w:t>
      </w:r>
      <w:r w:rsidR="000019B7" w:rsidRPr="0000563D">
        <w:t>A</w:t>
      </w:r>
      <w:r w:rsidR="00E62EA5" w:rsidRPr="0000563D">
        <w:t>rticle 8, which includes an obligation</w:t>
      </w:r>
      <w:r w:rsidR="0014547D" w:rsidRPr="0000563D">
        <w:t xml:space="preserve"> for State Parties </w:t>
      </w:r>
      <w:r w:rsidR="000019B7" w:rsidRPr="0000563D">
        <w:t>‘</w:t>
      </w:r>
      <w:r w:rsidR="0014547D" w:rsidRPr="0000563D">
        <w:t xml:space="preserve">to </w:t>
      </w:r>
      <w:r w:rsidR="00B84C27" w:rsidRPr="0000563D">
        <w:t>combat stereotypes, prejudices and harmful practices relating to persons with disabilities, including those based on sex and age, in all areas of life</w:t>
      </w:r>
      <w:r w:rsidR="000019B7" w:rsidRPr="0000563D">
        <w:t>’</w:t>
      </w:r>
      <w:r w:rsidR="00B84C27" w:rsidRPr="0000563D">
        <w:t>.</w:t>
      </w:r>
      <w:r w:rsidR="007E335C" w:rsidRPr="0000563D">
        <w:rPr>
          <w:rStyle w:val="EndnoteReference"/>
        </w:rPr>
        <w:endnoteReference w:id="107"/>
      </w:r>
    </w:p>
    <w:p w14:paraId="2F597651" w14:textId="4258CA28" w:rsidR="008E13B9" w:rsidRPr="0000563D" w:rsidRDefault="008E13B9" w:rsidP="008C3253">
      <w:r w:rsidRPr="0000563D">
        <w:t>In General Comment No. 6, the CRPD Committee discusse</w:t>
      </w:r>
      <w:r w:rsidR="00D55443" w:rsidRPr="0000563D">
        <w:t>s</w:t>
      </w:r>
      <w:r w:rsidRPr="0000563D">
        <w:t xml:space="preserve"> the duty to prohibit all discrimination in Article 5(2) and describe</w:t>
      </w:r>
      <w:r w:rsidR="00D55443" w:rsidRPr="0000563D">
        <w:t>s</w:t>
      </w:r>
      <w:r w:rsidRPr="0000563D">
        <w:t xml:space="preserve"> </w:t>
      </w:r>
      <w:r w:rsidR="009E7353" w:rsidRPr="0000563D">
        <w:t xml:space="preserve">4 </w:t>
      </w:r>
      <w:r w:rsidRPr="0000563D">
        <w:t>main forms of discrimination that can occur individually or simultaneously, one of which is harassment. The Committee describe</w:t>
      </w:r>
      <w:r w:rsidR="006F4AB6" w:rsidRPr="0000563D">
        <w:t>s</w:t>
      </w:r>
      <w:r w:rsidRPr="0000563D">
        <w:t xml:space="preserve"> ‘harassment’ as: </w:t>
      </w:r>
    </w:p>
    <w:p w14:paraId="161CD31A" w14:textId="7DC0E926" w:rsidR="008E13B9" w:rsidRPr="0000563D" w:rsidRDefault="008E13B9" w:rsidP="008E13B9">
      <w:pPr>
        <w:pStyle w:val="Blockquote"/>
        <w:rPr>
          <w:rFonts w:cs="Open Sans"/>
          <w:sz w:val="22"/>
          <w:szCs w:val="22"/>
        </w:rPr>
      </w:pPr>
      <w:r w:rsidRPr="0000563D">
        <w:rPr>
          <w:rFonts w:cs="Open Sans"/>
          <w:sz w:val="22"/>
          <w:szCs w:val="22"/>
        </w:rPr>
        <w:t xml:space="preserve">a form of discrimination when unwanted conduct related to disability or other prohibited grounds takes place with the purpose or effect of violating the dignity of a person and of creating an intimidating, hostile, degrading, humiliating or offensive environment. It can happen through actions or words that have the effect of perpetuating the difference and oppression of persons with disabilities. … “Bullying” and its online form, cyberbullying and cyberhate, also constitute particularly violent and harmful forms of hate crimes. Other examples include </w:t>
      </w:r>
      <w:r w:rsidRPr="0000563D">
        <w:rPr>
          <w:rFonts w:cs="Open Sans"/>
          <w:sz w:val="22"/>
          <w:szCs w:val="22"/>
        </w:rPr>
        <w:lastRenderedPageBreak/>
        <w:t>(disability-based) violence in all its appearances, such as rape, abuse and exploitation, hate-crime and beatings.</w:t>
      </w:r>
      <w:r w:rsidRPr="0000563D">
        <w:rPr>
          <w:rFonts w:cs="Open Sans"/>
          <w:sz w:val="22"/>
          <w:szCs w:val="22"/>
          <w:vertAlign w:val="superscript"/>
        </w:rPr>
        <w:endnoteReference w:id="108"/>
      </w:r>
    </w:p>
    <w:p w14:paraId="6ADB3F78" w14:textId="3F352286" w:rsidR="008E13B9" w:rsidRPr="0000563D" w:rsidRDefault="008E13B9" w:rsidP="00CD59DB">
      <w:r w:rsidRPr="0000563D">
        <w:t>The Disability Discrimination Act currently prohibits harassment of a person with disability,</w:t>
      </w:r>
      <w:r w:rsidRPr="0000563D">
        <w:rPr>
          <w:vertAlign w:val="superscript"/>
        </w:rPr>
        <w:endnoteReference w:id="109"/>
      </w:r>
      <w:r w:rsidRPr="0000563D">
        <w:rPr>
          <w:vertAlign w:val="superscript"/>
        </w:rPr>
        <w:t xml:space="preserve"> </w:t>
      </w:r>
      <w:r w:rsidRPr="0000563D">
        <w:t xml:space="preserve">or a person who has an associate with disability, ‘in relation to the disability’ in </w:t>
      </w:r>
      <w:r w:rsidR="00887B76" w:rsidRPr="0000563D">
        <w:t xml:space="preserve">3 </w:t>
      </w:r>
      <w:r w:rsidRPr="0000563D">
        <w:t xml:space="preserve">areas of public life: </w:t>
      </w:r>
    </w:p>
    <w:p w14:paraId="781ED32E" w14:textId="77777777" w:rsidR="008E13B9" w:rsidRPr="0000563D" w:rsidRDefault="008E13B9" w:rsidP="00CD59DB">
      <w:pPr>
        <w:pStyle w:val="ListBullet"/>
        <w:rPr>
          <w:rFonts w:cs="Open Sans"/>
        </w:rPr>
      </w:pPr>
      <w:r w:rsidRPr="0000563D">
        <w:rPr>
          <w:rFonts w:cs="Open Sans"/>
        </w:rPr>
        <w:t>Employment: applies to employees, potential employees, contract workers, and potential contract workers.</w:t>
      </w:r>
      <w:r w:rsidRPr="0000563D">
        <w:rPr>
          <w:rStyle w:val="EndnoteReference"/>
          <w:rFonts w:cs="Open Sans"/>
        </w:rPr>
        <w:endnoteReference w:id="110"/>
      </w:r>
      <w:r w:rsidRPr="0000563D">
        <w:rPr>
          <w:rFonts w:cs="Open Sans"/>
        </w:rPr>
        <w:t xml:space="preserve"> </w:t>
      </w:r>
    </w:p>
    <w:p w14:paraId="51987DD3" w14:textId="77777777" w:rsidR="008E13B9" w:rsidRPr="0000563D" w:rsidRDefault="008E13B9" w:rsidP="00CD59DB">
      <w:pPr>
        <w:pStyle w:val="ListBullet"/>
        <w:rPr>
          <w:rFonts w:cs="Open Sans"/>
        </w:rPr>
      </w:pPr>
      <w:r w:rsidRPr="0000563D">
        <w:rPr>
          <w:rFonts w:cs="Open Sans"/>
        </w:rPr>
        <w:t>Education: applies to the harassment of a student or potential student by a member of staff of an educational institution.</w:t>
      </w:r>
      <w:r w:rsidRPr="0000563D">
        <w:rPr>
          <w:rStyle w:val="EndnoteReference"/>
          <w:rFonts w:cs="Open Sans"/>
        </w:rPr>
        <w:endnoteReference w:id="111"/>
      </w:r>
      <w:r w:rsidRPr="0000563D">
        <w:rPr>
          <w:rFonts w:cs="Open Sans"/>
        </w:rPr>
        <w:t xml:space="preserve"> </w:t>
      </w:r>
    </w:p>
    <w:p w14:paraId="621FFA11" w14:textId="77777777" w:rsidR="008E13B9" w:rsidRPr="0000563D" w:rsidRDefault="008E13B9" w:rsidP="00CD59DB">
      <w:pPr>
        <w:pStyle w:val="ListBullet"/>
        <w:rPr>
          <w:rFonts w:cs="Open Sans"/>
        </w:rPr>
      </w:pPr>
      <w:r w:rsidRPr="0000563D">
        <w:rPr>
          <w:rFonts w:cs="Open Sans"/>
        </w:rPr>
        <w:t xml:space="preserve">Provision of goods and </w:t>
      </w:r>
      <w:proofErr w:type="gramStart"/>
      <w:r w:rsidRPr="0000563D">
        <w:rPr>
          <w:rFonts w:cs="Open Sans"/>
        </w:rPr>
        <w:t>services:</w:t>
      </w:r>
      <w:proofErr w:type="gramEnd"/>
      <w:r w:rsidRPr="0000563D">
        <w:rPr>
          <w:rFonts w:cs="Open Sans"/>
        </w:rPr>
        <w:t xml:space="preserve"> prohibits providers of goods and services or facilities from harassing a person seeking to acquire goods or services or to make use of the facilities.</w:t>
      </w:r>
      <w:r w:rsidRPr="0000563D">
        <w:rPr>
          <w:rStyle w:val="EndnoteReference"/>
          <w:rFonts w:cs="Open Sans"/>
        </w:rPr>
        <w:endnoteReference w:id="112"/>
      </w:r>
    </w:p>
    <w:p w14:paraId="470B1021" w14:textId="134FF74D" w:rsidR="00257241" w:rsidRPr="0000563D" w:rsidRDefault="008E13B9" w:rsidP="00CD59DB">
      <w:r w:rsidRPr="0000563D">
        <w:t xml:space="preserve">These protections </w:t>
      </w:r>
      <w:r w:rsidR="001B7B50" w:rsidRPr="0000563D">
        <w:t>are limited in that they</w:t>
      </w:r>
      <w:r w:rsidRPr="0000563D">
        <w:t xml:space="preserve"> apply only to </w:t>
      </w:r>
      <w:bookmarkStart w:id="33" w:name="_Int_XodOfquH"/>
      <w:proofErr w:type="gramStart"/>
      <w:r w:rsidRPr="0000563D">
        <w:t>particular relationships</w:t>
      </w:r>
      <w:bookmarkEnd w:id="33"/>
      <w:proofErr w:type="gramEnd"/>
      <w:r w:rsidRPr="0000563D">
        <w:t xml:space="preserve"> in specific areas of public life, and do not expressly capture harassment perpetrated by a group of people or directed toward a group of people.</w:t>
      </w:r>
      <w:r w:rsidRPr="0000563D">
        <w:rPr>
          <w:vertAlign w:val="superscript"/>
        </w:rPr>
        <w:endnoteReference w:id="113"/>
      </w:r>
      <w:r w:rsidRPr="0000563D">
        <w:t xml:space="preserve"> </w:t>
      </w:r>
    </w:p>
    <w:p w14:paraId="7FC94606" w14:textId="15835B37" w:rsidR="008E13B9" w:rsidRPr="0000563D" w:rsidRDefault="00257241" w:rsidP="00CD59DB">
      <w:r w:rsidRPr="0000563D">
        <w:t>Furthermore, t</w:t>
      </w:r>
      <w:r w:rsidR="008E13B9" w:rsidRPr="0000563D">
        <w:t>he provisions have been applied by the courts in a limit</w:t>
      </w:r>
      <w:r w:rsidR="02E98581" w:rsidRPr="0000563D">
        <w:t>ed manner</w:t>
      </w:r>
      <w:r w:rsidR="008E13B9" w:rsidRPr="0000563D">
        <w:t xml:space="preserve">. For example, </w:t>
      </w:r>
      <w:r w:rsidR="00AE08BA" w:rsidRPr="0000563D">
        <w:t>in the absence of a</w:t>
      </w:r>
      <w:r w:rsidR="008E13B9" w:rsidRPr="0000563D">
        <w:t xml:space="preserve"> definition for ‘harass’ for the purposes of these provisions, the courts have applied the ‘ordinary meaning’</w:t>
      </w:r>
      <w:r w:rsidR="002C3D00" w:rsidRPr="0000563D">
        <w:t xml:space="preserve"> </w:t>
      </w:r>
      <w:r w:rsidR="00FB4F1E" w:rsidRPr="0000563D">
        <w:t>of that term, which</w:t>
      </w:r>
      <w:r w:rsidR="008E13B9" w:rsidRPr="0000563D">
        <w:t xml:space="preserve"> require</w:t>
      </w:r>
      <w:r w:rsidR="00FB4F1E" w:rsidRPr="0000563D">
        <w:t>s</w:t>
      </w:r>
      <w:r w:rsidR="008E13B9" w:rsidRPr="0000563D">
        <w:t xml:space="preserve"> persistent or repeated actions.</w:t>
      </w:r>
      <w:r w:rsidR="008E13B9" w:rsidRPr="0000563D">
        <w:rPr>
          <w:vertAlign w:val="superscript"/>
        </w:rPr>
        <w:endnoteReference w:id="114"/>
      </w:r>
      <w:r w:rsidR="008E13B9" w:rsidRPr="0000563D">
        <w:rPr>
          <w:vertAlign w:val="superscript"/>
        </w:rPr>
        <w:t xml:space="preserve"> </w:t>
      </w:r>
      <w:r w:rsidR="008E13B9" w:rsidRPr="0000563D">
        <w:t>This means that these protections do not apply to single incidents of disparaging conduct.</w:t>
      </w:r>
    </w:p>
    <w:p w14:paraId="67904AF0" w14:textId="54DECFB8" w:rsidR="008E13B9" w:rsidRPr="0000563D" w:rsidRDefault="008E13B9" w:rsidP="00CD59DB">
      <w:r w:rsidRPr="0000563D">
        <w:t>The harassment must be ‘in relation to the disability’, which requires an applicant to prove that the disparaging conduct occurred, that it was in relation to them, and that it was in relation to their disability.</w:t>
      </w:r>
      <w:r w:rsidRPr="0000563D">
        <w:rPr>
          <w:rStyle w:val="EndnoteReference"/>
        </w:rPr>
        <w:endnoteReference w:id="115"/>
      </w:r>
      <w:r w:rsidRPr="0000563D">
        <w:t xml:space="preserve"> </w:t>
      </w:r>
    </w:p>
    <w:p w14:paraId="4CEBE977" w14:textId="548DF2AC" w:rsidR="008E13B9" w:rsidRPr="0000563D" w:rsidRDefault="008E13B9" w:rsidP="008E13B9">
      <w:pPr>
        <w:pStyle w:val="Heading3"/>
        <w:rPr>
          <w:rFonts w:cs="Open Sans"/>
        </w:rPr>
      </w:pPr>
      <w:r w:rsidRPr="0000563D">
        <w:rPr>
          <w:rFonts w:cs="Open Sans"/>
        </w:rPr>
        <w:t>Harassment and offensive behaviour protections</w:t>
      </w:r>
    </w:p>
    <w:p w14:paraId="6CEA5CF9" w14:textId="2EDE7210" w:rsidR="00155B5A" w:rsidRPr="0000563D" w:rsidRDefault="00FE6F1D" w:rsidP="00CD59DB">
      <w:r w:rsidRPr="0000563D">
        <w:t xml:space="preserve">There are </w:t>
      </w:r>
      <w:proofErr w:type="gramStart"/>
      <w:r w:rsidRPr="0000563D">
        <w:t>a number of</w:t>
      </w:r>
      <w:proofErr w:type="gramEnd"/>
      <w:r w:rsidRPr="0000563D">
        <w:t xml:space="preserve"> ways to provide for effective p</w:t>
      </w:r>
      <w:r w:rsidR="0020616C" w:rsidRPr="0000563D">
        <w:t xml:space="preserve">rotections from </w:t>
      </w:r>
      <w:r w:rsidR="003F32E2" w:rsidRPr="0000563D">
        <w:t xml:space="preserve">different forms of </w:t>
      </w:r>
      <w:r w:rsidR="0020616C" w:rsidRPr="0000563D">
        <w:t>harassment and offensive behaviour</w:t>
      </w:r>
      <w:r w:rsidR="008F41C9" w:rsidRPr="0000563D">
        <w:t xml:space="preserve">. </w:t>
      </w:r>
    </w:p>
    <w:p w14:paraId="68143E49" w14:textId="5CA1CE42" w:rsidR="00360710" w:rsidRPr="0000563D" w:rsidRDefault="002F15F1" w:rsidP="00CD59DB">
      <w:r w:rsidRPr="0000563D">
        <w:t>I</w:t>
      </w:r>
      <w:r w:rsidR="00360710" w:rsidRPr="0000563D">
        <w:t xml:space="preserve">n Australia, </w:t>
      </w:r>
      <w:r w:rsidR="002575AC" w:rsidRPr="0000563D">
        <w:t>harassment</w:t>
      </w:r>
      <w:r w:rsidR="00360710" w:rsidRPr="0000563D">
        <w:t xml:space="preserve"> </w:t>
      </w:r>
      <w:r w:rsidRPr="0000563D">
        <w:t>is often</w:t>
      </w:r>
      <w:r w:rsidR="00360710" w:rsidRPr="0000563D">
        <w:t xml:space="preserve"> described as </w:t>
      </w:r>
      <w:r w:rsidR="002575AC" w:rsidRPr="0000563D">
        <w:t xml:space="preserve">unwelcome </w:t>
      </w:r>
      <w:r w:rsidR="00360710" w:rsidRPr="0000563D">
        <w:t xml:space="preserve">conduct </w:t>
      </w:r>
      <w:r w:rsidR="008D3649" w:rsidRPr="0000563D">
        <w:t xml:space="preserve">in circumstances </w:t>
      </w:r>
      <w:r w:rsidR="00160E0C" w:rsidRPr="0000563D">
        <w:t>where</w:t>
      </w:r>
      <w:r w:rsidR="008D3649" w:rsidRPr="0000563D">
        <w:t xml:space="preserve"> a reasonable person, having regard to all the circumstances, would have anticipated the possibility that </w:t>
      </w:r>
      <w:r w:rsidR="008431B9" w:rsidRPr="0000563D">
        <w:t>another</w:t>
      </w:r>
      <w:r w:rsidR="008D3649" w:rsidRPr="0000563D">
        <w:t xml:space="preserve"> person would be offended, humiliated or intimidated.</w:t>
      </w:r>
      <w:r w:rsidR="008D3649" w:rsidRPr="0000563D">
        <w:rPr>
          <w:rStyle w:val="EndnoteReference"/>
        </w:rPr>
        <w:endnoteReference w:id="116"/>
      </w:r>
      <w:r w:rsidR="00D07E43" w:rsidRPr="0000563D">
        <w:t xml:space="preserve"> This language has been used in the Sex Discrimination Act in prohibiting sexual harassment and </w:t>
      </w:r>
      <w:r w:rsidR="000D05BB" w:rsidRPr="0000563D">
        <w:t>similar language is used in the Disability Standards for Educ</w:t>
      </w:r>
      <w:r w:rsidR="00AC1612" w:rsidRPr="0000563D">
        <w:t>a</w:t>
      </w:r>
      <w:r w:rsidR="000D05BB" w:rsidRPr="0000563D">
        <w:t>tion</w:t>
      </w:r>
      <w:r w:rsidR="00CF2D54" w:rsidRPr="0000563D">
        <w:t xml:space="preserve"> to </w:t>
      </w:r>
      <w:r w:rsidR="001C7B07" w:rsidRPr="0000563D">
        <w:t xml:space="preserve">protect </w:t>
      </w:r>
      <w:r w:rsidR="00CF2D54" w:rsidRPr="0000563D">
        <w:t xml:space="preserve">people with </w:t>
      </w:r>
      <w:r w:rsidR="00C057B5" w:rsidRPr="0000563D">
        <w:t>disability</w:t>
      </w:r>
      <w:r w:rsidR="002F50C5" w:rsidRPr="0000563D">
        <w:t xml:space="preserve"> in relation to educational institutions</w:t>
      </w:r>
      <w:r w:rsidR="000D05BB" w:rsidRPr="0000563D">
        <w:t>.</w:t>
      </w:r>
      <w:r w:rsidR="00A6689D" w:rsidRPr="0000563D">
        <w:rPr>
          <w:rStyle w:val="EndnoteReference"/>
        </w:rPr>
        <w:endnoteReference w:id="117"/>
      </w:r>
    </w:p>
    <w:p w14:paraId="116861DC" w14:textId="145E3E3B" w:rsidR="008E13B9" w:rsidRPr="0000563D" w:rsidRDefault="008E13B9" w:rsidP="00CD59DB">
      <w:r w:rsidRPr="0000563D">
        <w:t>The Disability Royal Commission recommended the introduction of an offensive behaviour provision modelled on s</w:t>
      </w:r>
      <w:r w:rsidR="00B67E98" w:rsidRPr="0000563D">
        <w:t>ection</w:t>
      </w:r>
      <w:r w:rsidRPr="0000563D">
        <w:t xml:space="preserve"> 18C of the Racial Discrimination Act:</w:t>
      </w:r>
    </w:p>
    <w:p w14:paraId="6C7EF06A" w14:textId="77777777" w:rsidR="008E13B9" w:rsidRPr="0000563D" w:rsidRDefault="008E13B9" w:rsidP="00606A3C">
      <w:pPr>
        <w:pStyle w:val="Quote"/>
        <w:numPr>
          <w:ilvl w:val="0"/>
          <w:numId w:val="21"/>
        </w:numPr>
      </w:pPr>
      <w:r w:rsidRPr="0000563D">
        <w:t>It is unlawful for a person to do an act, otherwise than in private, if:</w:t>
      </w:r>
      <w:bookmarkStart w:id="34" w:name="paragraph"/>
    </w:p>
    <w:p w14:paraId="5CD9F4E3" w14:textId="77777777" w:rsidR="008E13B9" w:rsidRPr="0000563D" w:rsidRDefault="008E13B9" w:rsidP="00606A3C">
      <w:pPr>
        <w:pStyle w:val="Quote"/>
        <w:numPr>
          <w:ilvl w:val="1"/>
          <w:numId w:val="21"/>
        </w:numPr>
      </w:pPr>
      <w:r w:rsidRPr="0000563D">
        <w:t>the act is reasonably likely, in all the circumstances, to offend, insult, humiliate or intimidate another person or a group of people; and</w:t>
      </w:r>
    </w:p>
    <w:p w14:paraId="30949556" w14:textId="77777777" w:rsidR="008E13B9" w:rsidRPr="0000563D" w:rsidRDefault="008E13B9" w:rsidP="00606A3C">
      <w:pPr>
        <w:pStyle w:val="Quote"/>
        <w:numPr>
          <w:ilvl w:val="1"/>
          <w:numId w:val="21"/>
        </w:numPr>
      </w:pPr>
      <w:r w:rsidRPr="0000563D">
        <w:lastRenderedPageBreak/>
        <w:t xml:space="preserve">the act is done because of the disability of the other person or because some or </w:t>
      </w:r>
      <w:proofErr w:type="gramStart"/>
      <w:r w:rsidRPr="0000563D">
        <w:t>all of</w:t>
      </w:r>
      <w:proofErr w:type="gramEnd"/>
      <w:r w:rsidRPr="0000563D">
        <w:t xml:space="preserve"> the people in the group have or are perceived by the first person to have a disability.</w:t>
      </w:r>
    </w:p>
    <w:p w14:paraId="4F31DB29" w14:textId="77777777" w:rsidR="008E13B9" w:rsidRPr="0000563D" w:rsidRDefault="008E13B9" w:rsidP="00606A3C">
      <w:pPr>
        <w:pStyle w:val="Quote"/>
        <w:numPr>
          <w:ilvl w:val="0"/>
          <w:numId w:val="21"/>
        </w:numPr>
        <w:rPr>
          <w:i/>
          <w:color w:val="000000" w:themeColor="text1"/>
        </w:rPr>
      </w:pPr>
      <w:bookmarkStart w:id="35" w:name="notetext"/>
      <w:bookmarkStart w:id="36" w:name="subsection"/>
      <w:bookmarkEnd w:id="35"/>
      <w:r w:rsidRPr="0000563D">
        <w:rPr>
          <w:i/>
          <w:color w:val="000000" w:themeColor="text1"/>
        </w:rPr>
        <w:t>For the purposes of </w:t>
      </w:r>
      <w:hyperlink r:id="rId19" w:anchor="subsection" w:history="1">
        <w:r w:rsidRPr="0000563D">
          <w:rPr>
            <w:i/>
            <w:color w:val="000000" w:themeColor="text1"/>
          </w:rPr>
          <w:t>subsection</w:t>
        </w:r>
      </w:hyperlink>
      <w:r w:rsidRPr="0000563D">
        <w:rPr>
          <w:i/>
          <w:color w:val="000000" w:themeColor="text1"/>
        </w:rPr>
        <w:t xml:space="preserve"> (1), an act is taken not to be done in private if it:</w:t>
      </w:r>
    </w:p>
    <w:p w14:paraId="46B18258" w14:textId="77777777" w:rsidR="008E13B9" w:rsidRPr="0000563D" w:rsidRDefault="008E13B9" w:rsidP="00606A3C">
      <w:pPr>
        <w:pStyle w:val="Quote"/>
        <w:numPr>
          <w:ilvl w:val="1"/>
          <w:numId w:val="21"/>
        </w:numPr>
      </w:pPr>
      <w:r w:rsidRPr="0000563D">
        <w:t>causes words, sounds, images or writing to be communicated to the public; or</w:t>
      </w:r>
    </w:p>
    <w:p w14:paraId="22E24AA1" w14:textId="77777777" w:rsidR="008E13B9" w:rsidRPr="0000563D" w:rsidRDefault="008E13B9" w:rsidP="00606A3C">
      <w:pPr>
        <w:pStyle w:val="Quote"/>
        <w:numPr>
          <w:ilvl w:val="1"/>
          <w:numId w:val="21"/>
        </w:numPr>
        <w:rPr>
          <w:i/>
          <w:color w:val="000000" w:themeColor="text1"/>
        </w:rPr>
      </w:pPr>
      <w:r w:rsidRPr="0000563D">
        <w:rPr>
          <w:i/>
          <w:color w:val="000000" w:themeColor="text1"/>
        </w:rPr>
        <w:t>is done in a </w:t>
      </w:r>
      <w:hyperlink r:id="rId20" w:anchor="public_place" w:history="1">
        <w:r w:rsidRPr="0000563D">
          <w:rPr>
            <w:i/>
            <w:color w:val="000000" w:themeColor="text1"/>
          </w:rPr>
          <w:t>public place</w:t>
        </w:r>
      </w:hyperlink>
      <w:r w:rsidRPr="0000563D">
        <w:rPr>
          <w:i/>
          <w:color w:val="000000" w:themeColor="text1"/>
        </w:rPr>
        <w:t>; or</w:t>
      </w:r>
    </w:p>
    <w:bookmarkEnd w:id="34"/>
    <w:p w14:paraId="5E55C21A" w14:textId="77777777" w:rsidR="008E13B9" w:rsidRPr="0000563D" w:rsidRDefault="008E13B9" w:rsidP="00606A3C">
      <w:pPr>
        <w:pStyle w:val="Quote"/>
        <w:numPr>
          <w:ilvl w:val="1"/>
          <w:numId w:val="21"/>
        </w:numPr>
        <w:rPr>
          <w:i/>
          <w:color w:val="000000" w:themeColor="text1"/>
        </w:rPr>
      </w:pPr>
      <w:r w:rsidRPr="0000563D">
        <w:rPr>
          <w:i/>
          <w:color w:val="000000" w:themeColor="text1"/>
        </w:rPr>
        <w:t>is done in the sight or hearing of people who are in a </w:t>
      </w:r>
      <w:hyperlink r:id="rId21" w:anchor="public_place" w:history="1">
        <w:r w:rsidRPr="0000563D">
          <w:rPr>
            <w:i/>
            <w:color w:val="000000" w:themeColor="text1"/>
          </w:rPr>
          <w:t>public place</w:t>
        </w:r>
      </w:hyperlink>
      <w:r w:rsidRPr="0000563D">
        <w:rPr>
          <w:i/>
          <w:color w:val="000000" w:themeColor="text1"/>
        </w:rPr>
        <w:t>.</w:t>
      </w:r>
    </w:p>
    <w:bookmarkEnd w:id="36"/>
    <w:p w14:paraId="1B044174" w14:textId="77777777" w:rsidR="008E13B9" w:rsidRPr="0000563D" w:rsidRDefault="008E13B9" w:rsidP="00606A3C">
      <w:pPr>
        <w:pStyle w:val="Quote"/>
        <w:numPr>
          <w:ilvl w:val="0"/>
          <w:numId w:val="21"/>
        </w:numPr>
      </w:pPr>
      <w:r w:rsidRPr="0000563D">
        <w:t>In this section:</w:t>
      </w:r>
    </w:p>
    <w:p w14:paraId="0D4FC919" w14:textId="77777777" w:rsidR="008E13B9" w:rsidRPr="0000563D" w:rsidRDefault="008E13B9" w:rsidP="00F102A3">
      <w:pPr>
        <w:pStyle w:val="Quote"/>
      </w:pPr>
      <w:bookmarkStart w:id="37" w:name="definition"/>
      <w:bookmarkStart w:id="38" w:name="public_place"/>
      <w:bookmarkEnd w:id="37"/>
      <w:bookmarkEnd w:id="38"/>
      <w:r w:rsidRPr="0000563D">
        <w:t>"</w:t>
      </w:r>
      <w:proofErr w:type="gramStart"/>
      <w:r w:rsidRPr="0000563D">
        <w:t>public</w:t>
      </w:r>
      <w:proofErr w:type="gramEnd"/>
      <w:r w:rsidRPr="0000563D">
        <w:t xml:space="preserve"> place" includes any place to which the public have access as of right or by invitation, whether express or implied and </w:t>
      </w:r>
      <w:proofErr w:type="gramStart"/>
      <w:r w:rsidRPr="0000563D">
        <w:t>whether or not</w:t>
      </w:r>
      <w:proofErr w:type="gramEnd"/>
      <w:r w:rsidRPr="0000563D">
        <w:t xml:space="preserve"> a charge is made for admission to the place.</w:t>
      </w:r>
      <w:r w:rsidRPr="0000563D">
        <w:rPr>
          <w:rStyle w:val="EndnoteReference"/>
          <w:i/>
          <w:iCs/>
        </w:rPr>
        <w:endnoteReference w:id="118"/>
      </w:r>
    </w:p>
    <w:p w14:paraId="48E28246" w14:textId="2B692D2C" w:rsidR="008E13B9" w:rsidRPr="0000563D" w:rsidRDefault="008E13B9" w:rsidP="00CD59DB">
      <w:pPr>
        <w:rPr>
          <w:vertAlign w:val="superscript"/>
        </w:rPr>
      </w:pPr>
      <w:r w:rsidRPr="0000563D">
        <w:t xml:space="preserve">This model is broader than the harassment provisions currently in the Disability Discrimination Act and is consistent with other </w:t>
      </w:r>
      <w:r w:rsidR="007B6819" w:rsidRPr="0000563D">
        <w:t xml:space="preserve">federal </w:t>
      </w:r>
      <w:r w:rsidRPr="0000563D">
        <w:t>laws.</w:t>
      </w:r>
      <w:r w:rsidRPr="0000563D">
        <w:rPr>
          <w:vertAlign w:val="superscript"/>
        </w:rPr>
        <w:endnoteReference w:id="119"/>
      </w:r>
      <w:r w:rsidRPr="0000563D">
        <w:rPr>
          <w:vertAlign w:val="superscript"/>
        </w:rPr>
        <w:t xml:space="preserve"> </w:t>
      </w:r>
    </w:p>
    <w:p w14:paraId="34AC8821" w14:textId="6256A114" w:rsidR="008E13B9" w:rsidRPr="0000563D" w:rsidRDefault="008E13B9" w:rsidP="00CD59DB">
      <w:r w:rsidRPr="0000563D">
        <w:rPr>
          <w:rFonts w:eastAsia="Times New Roman"/>
        </w:rPr>
        <w:t xml:space="preserve">While the words ‘reasonably likely, in all the circumstances, to offend, insult, humiliate or intimidate’ are given their ordinary meanings, the courts have interpreted </w:t>
      </w:r>
      <w:r w:rsidR="004F44E4" w:rsidRPr="0000563D">
        <w:rPr>
          <w:rFonts w:eastAsia="Times New Roman"/>
        </w:rPr>
        <w:t xml:space="preserve">these terms </w:t>
      </w:r>
      <w:r w:rsidRPr="0000563D">
        <w:rPr>
          <w:rFonts w:eastAsia="Times New Roman"/>
        </w:rPr>
        <w:t>to extend only to serious incidents or effects and not mere slights.</w:t>
      </w:r>
      <w:r w:rsidRPr="0000563D">
        <w:rPr>
          <w:rStyle w:val="EndnoteReference"/>
          <w:rFonts w:eastAsia="Times New Roman"/>
        </w:rPr>
        <w:endnoteReference w:id="120"/>
      </w:r>
      <w:r w:rsidRPr="0000563D">
        <w:t> This is determined objectively,</w:t>
      </w:r>
      <w:r w:rsidRPr="0000563D">
        <w:rPr>
          <w:rStyle w:val="EndnoteReference"/>
        </w:rPr>
        <w:endnoteReference w:id="121"/>
      </w:r>
      <w:r w:rsidRPr="0000563D">
        <w:t> taking into account the values, standards and circumstances of the group against whom the acts are directed.</w:t>
      </w:r>
      <w:r w:rsidRPr="0000563D">
        <w:rPr>
          <w:rStyle w:val="EndnoteReference"/>
        </w:rPr>
        <w:endnoteReference w:id="122"/>
      </w:r>
      <w:r w:rsidRPr="0000563D">
        <w:t> </w:t>
      </w:r>
      <w:r w:rsidR="002B7543" w:rsidRPr="0000563D" w:rsidDel="002B7543">
        <w:t xml:space="preserve"> </w:t>
      </w:r>
    </w:p>
    <w:p w14:paraId="53AAB524" w14:textId="77777777" w:rsidR="008E13B9" w:rsidRPr="0000563D" w:rsidRDefault="008E13B9" w:rsidP="002D4943">
      <w:pPr>
        <w:keepNext/>
        <w:rPr>
          <w:i/>
        </w:rPr>
      </w:pPr>
      <w:r w:rsidRPr="0000563D">
        <w:rPr>
          <w:b/>
          <w:bCs/>
          <w:i/>
          <w:iCs/>
        </w:rPr>
        <w:t>The meaning of ‘public place’</w:t>
      </w:r>
    </w:p>
    <w:p w14:paraId="56F3FA72" w14:textId="0981EAB0" w:rsidR="008E13B9" w:rsidRPr="0000563D" w:rsidRDefault="00E4044F" w:rsidP="00CD59DB">
      <w:r w:rsidRPr="0000563D">
        <w:t xml:space="preserve">The new provisions proposed by the Disability Royal Commission would have broader application than the </w:t>
      </w:r>
      <w:r w:rsidR="00887B76" w:rsidRPr="0000563D">
        <w:t>3</w:t>
      </w:r>
      <w:r w:rsidRPr="0000563D">
        <w:t xml:space="preserve"> areas of public life </w:t>
      </w:r>
      <w:r w:rsidR="00887B76" w:rsidRPr="0000563D">
        <w:t xml:space="preserve">that are specified in </w:t>
      </w:r>
      <w:r w:rsidRPr="0000563D">
        <w:t>the current harassment provisions.</w:t>
      </w:r>
      <w:r w:rsidR="006B170B" w:rsidRPr="0000563D">
        <w:t xml:space="preserve"> </w:t>
      </w:r>
      <w:r w:rsidR="008E13B9" w:rsidRPr="0000563D">
        <w:t xml:space="preserve">The Issues Paper discusses concerns raised by stakeholders about the meaning of ‘public place’ and the need to ensure that social media and other online spaces accessible to the public are </w:t>
      </w:r>
      <w:r w:rsidR="00CE2B0A" w:rsidRPr="0000563D">
        <w:t>included</w:t>
      </w:r>
      <w:r w:rsidR="008E13B9" w:rsidRPr="0000563D">
        <w:t>.</w:t>
      </w:r>
    </w:p>
    <w:p w14:paraId="68DBD57B" w14:textId="56483F1A" w:rsidR="008E13B9" w:rsidRPr="0000563D" w:rsidRDefault="005C4E55" w:rsidP="008911EA">
      <w:r w:rsidRPr="0000563D">
        <w:t>T</w:t>
      </w:r>
      <w:r w:rsidR="008E13B9" w:rsidRPr="0000563D">
        <w:t xml:space="preserve">here is value in the </w:t>
      </w:r>
      <w:proofErr w:type="gramStart"/>
      <w:r w:rsidR="008E13B9" w:rsidRPr="0000563D">
        <w:t>law making</w:t>
      </w:r>
      <w:proofErr w:type="gramEnd"/>
      <w:r w:rsidR="008E13B9" w:rsidRPr="0000563D">
        <w:t xml:space="preserve"> explicit reference to </w:t>
      </w:r>
      <w:proofErr w:type="gramStart"/>
      <w:r w:rsidR="008E13B9" w:rsidRPr="0000563D">
        <w:t>particular scenarios</w:t>
      </w:r>
      <w:proofErr w:type="gramEnd"/>
      <w:r w:rsidR="008E13B9" w:rsidRPr="0000563D">
        <w:t xml:space="preserve"> to make a statement to the broader community</w:t>
      </w:r>
      <w:r w:rsidRPr="0000563D">
        <w:t xml:space="preserve">. </w:t>
      </w:r>
      <w:r w:rsidR="005B2F40" w:rsidRPr="0000563D">
        <w:t xml:space="preserve">However, </w:t>
      </w:r>
      <w:r w:rsidR="008E13B9" w:rsidRPr="0000563D">
        <w:t>the definition of ‘public place’ in s</w:t>
      </w:r>
      <w:r w:rsidR="00B67E98" w:rsidRPr="0000563D">
        <w:t>ection</w:t>
      </w:r>
      <w:r w:rsidR="008E13B9" w:rsidRPr="0000563D">
        <w:t xml:space="preserve"> 18C of the Racial Discrimination Act is sufficiently broad to capture social media and online spaces</w:t>
      </w:r>
      <w:r w:rsidR="00F459E0" w:rsidRPr="0000563D">
        <w:t xml:space="preserve">. It </w:t>
      </w:r>
      <w:r w:rsidR="008E13B9" w:rsidRPr="0000563D">
        <w:t>has been successfully applied to conduct through social media posts, written publications and online publications.</w:t>
      </w:r>
      <w:r w:rsidR="008E13B9" w:rsidRPr="0000563D">
        <w:rPr>
          <w:vertAlign w:val="superscript"/>
        </w:rPr>
        <w:endnoteReference w:id="123"/>
      </w:r>
      <w:r w:rsidR="008E13B9" w:rsidRPr="0000563D">
        <w:t xml:space="preserve"> It is not just the individual or group who engages in the offensive conduct that may be held liable under these provisions; publishers of offensive conduct may also be liable. For example, in </w:t>
      </w:r>
      <w:r w:rsidR="008E13B9" w:rsidRPr="0000563D">
        <w:rPr>
          <w:i/>
        </w:rPr>
        <w:t>Clarke v Nationwide News Pty Ltd trading as Sunday Times</w:t>
      </w:r>
      <w:r w:rsidR="008E13B9" w:rsidRPr="0000563D">
        <w:t>,</w:t>
      </w:r>
      <w:r w:rsidR="008E13B9" w:rsidRPr="0000563D">
        <w:rPr>
          <w:rStyle w:val="EndnoteReference"/>
        </w:rPr>
        <w:endnoteReference w:id="124"/>
      </w:r>
      <w:r w:rsidR="008E13B9" w:rsidRPr="0000563D">
        <w:t xml:space="preserve"> the respondent was found to have contravened s</w:t>
      </w:r>
      <w:r w:rsidR="00B67E98" w:rsidRPr="0000563D">
        <w:t>ection</w:t>
      </w:r>
      <w:r w:rsidR="008E13B9" w:rsidRPr="0000563D">
        <w:t xml:space="preserve"> 18C of the Racial Discrimination Act for publishing various comments of others in hard copy and in an online forum that the respondent was a </w:t>
      </w:r>
      <w:r w:rsidR="008E13B9" w:rsidRPr="0000563D">
        <w:lastRenderedPageBreak/>
        <w:t>moderator for and had reserved the right to modify or not publish certain information.</w:t>
      </w:r>
    </w:p>
    <w:p w14:paraId="2037157A" w14:textId="3E79EB63" w:rsidR="009E100A" w:rsidRPr="0000563D" w:rsidRDefault="008E13B9" w:rsidP="00801E38">
      <w:pPr>
        <w:rPr>
          <w:i/>
        </w:rPr>
      </w:pPr>
      <w:r w:rsidRPr="0000563D">
        <w:rPr>
          <w:b/>
          <w:bCs/>
          <w:i/>
          <w:iCs/>
        </w:rPr>
        <w:t>Exemptions to harassment and offensive protections</w:t>
      </w:r>
    </w:p>
    <w:p w14:paraId="63E2792B" w14:textId="1777DA2E" w:rsidR="00C33160" w:rsidRPr="0000563D" w:rsidRDefault="0002411E" w:rsidP="00CD59DB">
      <w:r w:rsidRPr="0000563D">
        <w:t xml:space="preserve">The introduction of </w:t>
      </w:r>
      <w:r w:rsidR="00E025BF" w:rsidRPr="0000563D">
        <w:t xml:space="preserve">the offensive </w:t>
      </w:r>
      <w:r w:rsidR="00C81EFB" w:rsidRPr="0000563D">
        <w:t xml:space="preserve">behaviour </w:t>
      </w:r>
      <w:r w:rsidRPr="0000563D">
        <w:t>provisions would ensure consistency with the Racial Discrimination Act and would allow for intersectional complaints to be lodged concerning offensive conduct on the ground of more than one protected attribute.</w:t>
      </w:r>
      <w:r w:rsidRPr="0000563D" w:rsidDel="00191F48">
        <w:t xml:space="preserve"> </w:t>
      </w:r>
      <w:r w:rsidR="00191F48" w:rsidRPr="0000563D">
        <w:t>T</w:t>
      </w:r>
      <w:r w:rsidRPr="0000563D">
        <w:t xml:space="preserve">he </w:t>
      </w:r>
      <w:r w:rsidR="00E025BF" w:rsidRPr="0000563D">
        <w:t xml:space="preserve">Disability Royal Commission </w:t>
      </w:r>
      <w:r w:rsidR="009440E4" w:rsidRPr="0000563D">
        <w:t>stated it expected</w:t>
      </w:r>
      <w:r w:rsidR="00203558" w:rsidRPr="0000563D">
        <w:t xml:space="preserve"> exemptions to the prohibition</w:t>
      </w:r>
      <w:r w:rsidR="00606EB2" w:rsidRPr="0000563D">
        <w:t xml:space="preserve"> on harassment</w:t>
      </w:r>
      <w:r w:rsidR="00203558" w:rsidRPr="0000563D">
        <w:t xml:space="preserve"> would also be introduced</w:t>
      </w:r>
      <w:r w:rsidR="00F51451" w:rsidRPr="0000563D">
        <w:t xml:space="preserve"> equivalent to s </w:t>
      </w:r>
      <w:r w:rsidR="00AA21AC" w:rsidRPr="0000563D">
        <w:t xml:space="preserve">18D of the </w:t>
      </w:r>
      <w:r w:rsidR="00222660" w:rsidRPr="0000563D">
        <w:t>Rac</w:t>
      </w:r>
      <w:r w:rsidR="00ED6597" w:rsidRPr="0000563D">
        <w:t>ial</w:t>
      </w:r>
      <w:r w:rsidR="00222660" w:rsidRPr="0000563D">
        <w:t xml:space="preserve"> Discrimination Act</w:t>
      </w:r>
      <w:r w:rsidR="009E6E66" w:rsidRPr="0000563D">
        <w:t>.</w:t>
      </w:r>
    </w:p>
    <w:p w14:paraId="6082609D" w14:textId="6BF9C431" w:rsidR="008E13B9" w:rsidRPr="0000563D" w:rsidRDefault="008E13B9" w:rsidP="008911EA">
      <w:r w:rsidRPr="0000563D">
        <w:t xml:space="preserve">The introduction of a new offensive behaviour provision </w:t>
      </w:r>
      <w:r w:rsidR="007D4B4D" w:rsidRPr="0000563D">
        <w:t xml:space="preserve">would </w:t>
      </w:r>
      <w:r w:rsidRPr="0000563D">
        <w:t>restrict other human rights, including the right to freedom of expression. It is important that limits on these rights are prescribed by law, necessary to achieve the desired purpose and proportionate.</w:t>
      </w:r>
    </w:p>
    <w:p w14:paraId="04C16166" w14:textId="77777777" w:rsidR="008E13B9" w:rsidRPr="0000563D" w:rsidRDefault="008E13B9" w:rsidP="008911EA">
      <w:r w:rsidRPr="0000563D">
        <w:t>Freedom of expression is protected under Article 19 of the ICCPR,</w:t>
      </w:r>
      <w:r w:rsidRPr="0000563D">
        <w:rPr>
          <w:rStyle w:val="EndnoteReference"/>
        </w:rPr>
        <w:t xml:space="preserve"> </w:t>
      </w:r>
      <w:r w:rsidRPr="0000563D">
        <w:rPr>
          <w:rStyle w:val="EndnoteReference"/>
        </w:rPr>
        <w:endnoteReference w:id="125"/>
      </w:r>
      <w:r w:rsidRPr="0000563D">
        <w:t xml:space="preserve"> and safeguards the ‘freedom to seek, receive and impart information and ideas of all kinds, regardless of frontiers, either orally, in writing or in print, in the form of art, or through any other media’.</w:t>
      </w:r>
      <w:r w:rsidRPr="0000563D">
        <w:rPr>
          <w:rStyle w:val="EndnoteReference"/>
        </w:rPr>
        <w:endnoteReference w:id="126"/>
      </w:r>
    </w:p>
    <w:p w14:paraId="09C22AEC" w14:textId="36AFCBEC" w:rsidR="008E13B9" w:rsidRPr="0000563D" w:rsidRDefault="008E13B9" w:rsidP="008911EA">
      <w:r w:rsidRPr="0000563D">
        <w:t>The Human Rights Committee has affirmed that this right covers broad kinds of communication and can cover ‘expression that may be regarded as deeply offensive’.</w:t>
      </w:r>
      <w:r w:rsidRPr="0000563D">
        <w:rPr>
          <w:rStyle w:val="EndnoteReference"/>
        </w:rPr>
        <w:endnoteReference w:id="127"/>
      </w:r>
      <w:r w:rsidRPr="0000563D">
        <w:t xml:space="preserve"> This right is not absolute</w:t>
      </w:r>
      <w:r w:rsidR="7A1A17B9" w:rsidRPr="0000563D">
        <w:t xml:space="preserve"> </w:t>
      </w:r>
      <w:r w:rsidRPr="0000563D">
        <w:t xml:space="preserve">and may be limited where this is provided for by law, in pursuit of a legitimate aim, and where it is necessary and proportionate to that aim. Restrictions on expression must only apply in </w:t>
      </w:r>
      <w:r w:rsidR="00027EBC" w:rsidRPr="0000563D">
        <w:t xml:space="preserve">limited </w:t>
      </w:r>
      <w:r w:rsidRPr="0000563D">
        <w:t>circumstances,</w:t>
      </w:r>
      <w:r w:rsidRPr="0000563D">
        <w:rPr>
          <w:rStyle w:val="EndnoteReference"/>
        </w:rPr>
        <w:endnoteReference w:id="128"/>
      </w:r>
      <w:r w:rsidRPr="0000563D">
        <w:t xml:space="preserve"> including for respect of the rights or reputations of others.</w:t>
      </w:r>
      <w:r w:rsidRPr="0000563D">
        <w:rPr>
          <w:rStyle w:val="EndnoteReference"/>
        </w:rPr>
        <w:endnoteReference w:id="129"/>
      </w:r>
    </w:p>
    <w:p w14:paraId="78F5614B" w14:textId="5B08A575" w:rsidR="008E13B9" w:rsidRPr="0000563D" w:rsidRDefault="008E13B9" w:rsidP="00CD59DB">
      <w:r w:rsidRPr="0000563D">
        <w:t xml:space="preserve">To ensure that other human rights, including freedom of expression, are not inappropriately or disproportionately infringed, the Commission considers that exemptions to </w:t>
      </w:r>
      <w:r w:rsidR="00777BBD" w:rsidRPr="0000563D">
        <w:t>any</w:t>
      </w:r>
      <w:r w:rsidRPr="0000563D">
        <w:t xml:space="preserve"> offensive behaviour provisions should also be introduced into the Disability Discrimination Act.</w:t>
      </w:r>
    </w:p>
    <w:p w14:paraId="2724D735" w14:textId="1FFFD679" w:rsidR="005F449A" w:rsidRPr="002D4943" w:rsidRDefault="005F449A" w:rsidP="005F449A">
      <w:pPr>
        <w:rPr>
          <w:b/>
          <w:bCs/>
          <w:i/>
          <w:iCs/>
        </w:rPr>
      </w:pPr>
      <w:r w:rsidRPr="0000563D">
        <w:rPr>
          <w:b/>
          <w:bCs/>
          <w:i/>
          <w:iCs/>
        </w:rPr>
        <w:t>Proposed way forward</w:t>
      </w:r>
    </w:p>
    <w:p w14:paraId="4DC0DA0A" w14:textId="60F834EA" w:rsidR="005F449A" w:rsidRPr="0000563D" w:rsidRDefault="005F449A" w:rsidP="005F449A">
      <w:r w:rsidRPr="0000563D">
        <w:t>The scope of protections against harassment and offensive behaviour ha</w:t>
      </w:r>
      <w:r w:rsidR="003D4079" w:rsidRPr="0000563D">
        <w:t>s</w:t>
      </w:r>
      <w:r w:rsidRPr="0000563D">
        <w:t xml:space="preserve"> been the subject of continued debate. In 2017, the Parliamentary Joint Committee on Human Rights (PJCHR) inquired into Part IIA of the Racial Discrimination Act.</w:t>
      </w:r>
      <w:r w:rsidRPr="0000563D">
        <w:rPr>
          <w:rStyle w:val="EndnoteReference"/>
        </w:rPr>
        <w:endnoteReference w:id="130"/>
      </w:r>
      <w:r w:rsidRPr="0000563D">
        <w:t xml:space="preserve"> The PJCHR heard a range of diverse views</w:t>
      </w:r>
      <w:r w:rsidR="0080446C" w:rsidRPr="0000563D">
        <w:t xml:space="preserve"> </w:t>
      </w:r>
      <w:r w:rsidR="00006415" w:rsidRPr="0000563D">
        <w:t>but</w:t>
      </w:r>
      <w:r w:rsidR="00651E46" w:rsidRPr="0000563D">
        <w:t xml:space="preserve"> was </w:t>
      </w:r>
      <w:r w:rsidRPr="0000563D">
        <w:t xml:space="preserve">inconclusive </w:t>
      </w:r>
      <w:r w:rsidR="00651E46" w:rsidRPr="0000563D">
        <w:t>in its recommendation</w:t>
      </w:r>
      <w:r w:rsidRPr="0000563D">
        <w:t>,</w:t>
      </w:r>
      <w:r w:rsidR="00651E46" w:rsidRPr="0000563D">
        <w:t xml:space="preserve"> proposing</w:t>
      </w:r>
      <w:r w:rsidR="00123B52" w:rsidRPr="0000563D">
        <w:t xml:space="preserve"> a </w:t>
      </w:r>
      <w:r w:rsidR="00011954" w:rsidRPr="0000563D">
        <w:t>suite</w:t>
      </w:r>
      <w:r w:rsidR="00123B52" w:rsidRPr="0000563D">
        <w:t xml:space="preserve"> of options</w:t>
      </w:r>
      <w:r w:rsidRPr="0000563D">
        <w:t xml:space="preserve"> </w:t>
      </w:r>
      <w:r w:rsidR="00006415" w:rsidRPr="0000563D">
        <w:t xml:space="preserve">for consideration by Parliament </w:t>
      </w:r>
      <w:r w:rsidR="00011954" w:rsidRPr="0000563D">
        <w:t xml:space="preserve">that ranged </w:t>
      </w:r>
      <w:r w:rsidRPr="0000563D">
        <w:t xml:space="preserve">from maintaining sections 18C and </w:t>
      </w:r>
      <w:r w:rsidR="00C86A5E" w:rsidRPr="0000563D">
        <w:t>18</w:t>
      </w:r>
      <w:r w:rsidRPr="0000563D">
        <w:t xml:space="preserve">D to </w:t>
      </w:r>
      <w:proofErr w:type="gramStart"/>
      <w:r w:rsidRPr="0000563D">
        <w:t xml:space="preserve">a </w:t>
      </w:r>
      <w:r w:rsidR="00123B52" w:rsidRPr="0000563D">
        <w:t xml:space="preserve">number </w:t>
      </w:r>
      <w:r w:rsidRPr="0000563D">
        <w:t>of</w:t>
      </w:r>
      <w:proofErr w:type="gramEnd"/>
      <w:r w:rsidRPr="0000563D">
        <w:t xml:space="preserve"> possible amendments. Ultimately, the Racial Discrimination Act has not been amended and therefore the provisions remain unchanged.</w:t>
      </w:r>
    </w:p>
    <w:p w14:paraId="2959B7A1" w14:textId="5582235D" w:rsidR="00B12905" w:rsidRPr="0000563D" w:rsidRDefault="00B12905" w:rsidP="00B12905">
      <w:r w:rsidRPr="0000563D">
        <w:t xml:space="preserve">Expanding the current </w:t>
      </w:r>
      <w:r w:rsidR="00CB7FEC" w:rsidRPr="0000563D">
        <w:t xml:space="preserve">harassment </w:t>
      </w:r>
      <w:r w:rsidRPr="0000563D">
        <w:t>provisions</w:t>
      </w:r>
      <w:r w:rsidR="00CB7FEC" w:rsidRPr="0000563D">
        <w:t xml:space="preserve"> in sections 35, 37 and 39 of the Disability Discrimination Act</w:t>
      </w:r>
      <w:r w:rsidRPr="0000563D">
        <w:t xml:space="preserve"> through the inclusion of a definition for harassment and broadening its application to more areas of public life could ensure greater </w:t>
      </w:r>
      <w:r w:rsidRPr="0000563D">
        <w:lastRenderedPageBreak/>
        <w:t>and more effective protections for people with disability. However, this would create greater disharmony across the federal discrimination laws.</w:t>
      </w:r>
      <w:r w:rsidR="00006853" w:rsidRPr="0000563D">
        <w:t xml:space="preserve"> The Commission</w:t>
      </w:r>
      <w:r w:rsidR="00BC6F70" w:rsidRPr="0000563D">
        <w:t xml:space="preserve"> therefore recommends </w:t>
      </w:r>
      <w:r w:rsidR="00D41EE6" w:rsidRPr="0000563D">
        <w:t>a</w:t>
      </w:r>
      <w:r w:rsidR="00ED6597" w:rsidRPr="0000563D">
        <w:t>n approach that is consistent with the Racial Discrimination Act.</w:t>
      </w:r>
      <w:r w:rsidRPr="0000563D">
        <w:t xml:space="preserve"> </w:t>
      </w:r>
    </w:p>
    <w:p w14:paraId="436FAB1B" w14:textId="354B01F5" w:rsidR="00702A51" w:rsidRPr="0000563D" w:rsidRDefault="00702A51" w:rsidP="00702A51">
      <w:pPr>
        <w:rPr>
          <w:b/>
          <w:bCs/>
        </w:rPr>
      </w:pPr>
      <w:r w:rsidRPr="0000563D">
        <w:rPr>
          <w:b/>
          <w:bCs/>
        </w:rPr>
        <w:t>Recommendation</w:t>
      </w:r>
      <w:r w:rsidR="00537179" w:rsidRPr="0000563D">
        <w:rPr>
          <w:b/>
          <w:bCs/>
        </w:rPr>
        <w:t xml:space="preserve"> 1</w:t>
      </w:r>
      <w:r w:rsidR="00C23DAA" w:rsidRPr="0000563D">
        <w:rPr>
          <w:b/>
          <w:bCs/>
        </w:rPr>
        <w:t>5</w:t>
      </w:r>
      <w:r w:rsidRPr="0000563D">
        <w:rPr>
          <w:b/>
          <w:bCs/>
        </w:rPr>
        <w:t xml:space="preserve">: Sections 35, 37 and 39 of the </w:t>
      </w:r>
      <w:r w:rsidRPr="0000563D">
        <w:rPr>
          <w:b/>
          <w:bCs/>
          <w:i/>
        </w:rPr>
        <w:t>Disability Discrimination Act 1992</w:t>
      </w:r>
      <w:r w:rsidRPr="0000563D">
        <w:rPr>
          <w:b/>
          <w:bCs/>
        </w:rPr>
        <w:t xml:space="preserve"> (</w:t>
      </w:r>
      <w:proofErr w:type="spellStart"/>
      <w:r w:rsidRPr="0000563D">
        <w:rPr>
          <w:b/>
          <w:bCs/>
        </w:rPr>
        <w:t>Cth</w:t>
      </w:r>
      <w:proofErr w:type="spellEnd"/>
      <w:r w:rsidRPr="0000563D">
        <w:rPr>
          <w:b/>
          <w:bCs/>
        </w:rPr>
        <w:t>) should be replaced with offensive behaviour provisions in the same terms</w:t>
      </w:r>
      <w:r w:rsidR="00E179E3" w:rsidRPr="0000563D">
        <w:rPr>
          <w:b/>
          <w:bCs/>
        </w:rPr>
        <w:t xml:space="preserve">, and </w:t>
      </w:r>
      <w:r w:rsidR="00EF3278" w:rsidRPr="0000563D">
        <w:rPr>
          <w:b/>
          <w:bCs/>
        </w:rPr>
        <w:t>similar</w:t>
      </w:r>
      <w:r w:rsidR="00E179E3" w:rsidRPr="0000563D">
        <w:rPr>
          <w:b/>
          <w:bCs/>
        </w:rPr>
        <w:t xml:space="preserve"> exempt</w:t>
      </w:r>
      <w:r w:rsidR="00666660" w:rsidRPr="0000563D">
        <w:rPr>
          <w:b/>
          <w:bCs/>
        </w:rPr>
        <w:t>ions,</w:t>
      </w:r>
      <w:r w:rsidRPr="0000563D">
        <w:rPr>
          <w:b/>
          <w:bCs/>
        </w:rPr>
        <w:t xml:space="preserve"> as s</w:t>
      </w:r>
      <w:r w:rsidR="00B67E98" w:rsidRPr="0000563D">
        <w:rPr>
          <w:b/>
          <w:bCs/>
        </w:rPr>
        <w:t>ections</w:t>
      </w:r>
      <w:r w:rsidRPr="0000563D">
        <w:rPr>
          <w:b/>
          <w:bCs/>
        </w:rPr>
        <w:t xml:space="preserve"> 18C </w:t>
      </w:r>
      <w:r w:rsidR="000F11B4" w:rsidRPr="0000563D">
        <w:rPr>
          <w:b/>
          <w:bCs/>
        </w:rPr>
        <w:t xml:space="preserve">and 18D </w:t>
      </w:r>
      <w:r w:rsidRPr="0000563D">
        <w:rPr>
          <w:b/>
          <w:bCs/>
        </w:rPr>
        <w:t xml:space="preserve">of the </w:t>
      </w:r>
      <w:r w:rsidRPr="0000563D">
        <w:rPr>
          <w:b/>
          <w:bCs/>
          <w:i/>
        </w:rPr>
        <w:t>Racial Discrimination Act 1975</w:t>
      </w:r>
      <w:r w:rsidRPr="0000563D">
        <w:rPr>
          <w:b/>
          <w:bCs/>
        </w:rPr>
        <w:t xml:space="preserve"> (</w:t>
      </w:r>
      <w:proofErr w:type="spellStart"/>
      <w:r w:rsidRPr="0000563D">
        <w:rPr>
          <w:b/>
          <w:bCs/>
        </w:rPr>
        <w:t>Cth</w:t>
      </w:r>
      <w:proofErr w:type="spellEnd"/>
      <w:r w:rsidRPr="0000563D">
        <w:rPr>
          <w:b/>
          <w:bCs/>
        </w:rPr>
        <w:t>).</w:t>
      </w:r>
    </w:p>
    <w:p w14:paraId="4FC04992" w14:textId="77777777" w:rsidR="008E13B9" w:rsidRPr="0000563D" w:rsidRDefault="008E13B9" w:rsidP="008E13B9">
      <w:pPr>
        <w:pStyle w:val="Heading3"/>
        <w:rPr>
          <w:rFonts w:cs="Open Sans"/>
        </w:rPr>
      </w:pPr>
      <w:r w:rsidRPr="0000563D">
        <w:rPr>
          <w:rFonts w:cs="Open Sans"/>
        </w:rPr>
        <w:t>New provision on vilification</w:t>
      </w:r>
    </w:p>
    <w:p w14:paraId="1ED34367" w14:textId="224CC940" w:rsidR="008E13B9" w:rsidRPr="0000563D" w:rsidRDefault="008E13B9" w:rsidP="008911EA">
      <w:r w:rsidRPr="0000563D">
        <w:t>The Issues Paper refers to ‘vilification’ as ‘[a] public act that could incite hatred, serious contempt or severe ridicule towards a person or group’</w:t>
      </w:r>
      <w:r w:rsidR="00B715B7" w:rsidRPr="0000563D">
        <w:t>.</w:t>
      </w:r>
      <w:r w:rsidRPr="0000563D">
        <w:rPr>
          <w:rStyle w:val="EndnoteReference"/>
        </w:rPr>
        <w:endnoteReference w:id="131"/>
      </w:r>
      <w:r w:rsidRPr="0000563D">
        <w:t xml:space="preserve"> </w:t>
      </w:r>
      <w:r w:rsidR="00B715B7" w:rsidRPr="0000563D">
        <w:t xml:space="preserve">This </w:t>
      </w:r>
      <w:r w:rsidR="00A621B7" w:rsidRPr="0000563D">
        <w:t>sets a</w:t>
      </w:r>
      <w:r w:rsidR="00B715B7" w:rsidRPr="0000563D">
        <w:t xml:space="preserve"> higher threshold </w:t>
      </w:r>
      <w:r w:rsidR="002E6925" w:rsidRPr="0000563D">
        <w:t xml:space="preserve">to capture conduct that is more serious </w:t>
      </w:r>
      <w:r w:rsidR="001F013B" w:rsidRPr="0000563D">
        <w:t xml:space="preserve">and harmful </w:t>
      </w:r>
      <w:r w:rsidR="008D69E1" w:rsidRPr="0000563D">
        <w:t xml:space="preserve">than </w:t>
      </w:r>
      <w:r w:rsidR="00110A5B" w:rsidRPr="0000563D">
        <w:t>harassment</w:t>
      </w:r>
      <w:r w:rsidR="003B02CD" w:rsidRPr="0000563D">
        <w:t xml:space="preserve"> and offensive behaviour</w:t>
      </w:r>
      <w:r w:rsidR="00110A5B" w:rsidRPr="0000563D">
        <w:t xml:space="preserve">. </w:t>
      </w:r>
      <w:r w:rsidR="009105FB" w:rsidRPr="0000563D">
        <w:t>In addition to amendments to Disability Discrimination Act provisions to protect against harassment, the</w:t>
      </w:r>
      <w:r w:rsidRPr="0000563D">
        <w:t xml:space="preserve"> Disability Royal Commission recommend</w:t>
      </w:r>
      <w:r w:rsidR="009105FB" w:rsidRPr="0000563D">
        <w:t>ed</w:t>
      </w:r>
      <w:r w:rsidRPr="0000563D">
        <w:t xml:space="preserve"> the introduction of a civil prohibition against threats to perpetrate or encourage violence or serious abuse that incites hatred.</w:t>
      </w:r>
      <w:r w:rsidRPr="0000563D">
        <w:rPr>
          <w:rStyle w:val="EndnoteReference"/>
        </w:rPr>
        <w:endnoteReference w:id="132"/>
      </w:r>
    </w:p>
    <w:p w14:paraId="29CD8655" w14:textId="19C6D296" w:rsidR="008E13B9" w:rsidRPr="0000563D" w:rsidRDefault="008E13B9" w:rsidP="008911EA">
      <w:r w:rsidRPr="0000563D">
        <w:t xml:space="preserve">At the time of that recommendation, the </w:t>
      </w:r>
      <w:r w:rsidRPr="0000563D">
        <w:rPr>
          <w:i/>
        </w:rPr>
        <w:t>Criminal Code Act 1995</w:t>
      </w:r>
      <w:r w:rsidRPr="0000563D">
        <w:t xml:space="preserve"> (</w:t>
      </w:r>
      <w:proofErr w:type="spellStart"/>
      <w:r w:rsidRPr="0000563D">
        <w:t>Cth</w:t>
      </w:r>
      <w:proofErr w:type="spellEnd"/>
      <w:r w:rsidRPr="0000563D">
        <w:t>) criminalised certain vilifying conduct on the ground of certain protected attributes,</w:t>
      </w:r>
      <w:r w:rsidRPr="0000563D">
        <w:rPr>
          <w:rStyle w:val="EndnoteReference"/>
        </w:rPr>
        <w:endnoteReference w:id="133"/>
      </w:r>
      <w:r w:rsidRPr="0000563D">
        <w:t xml:space="preserve"> which did not include people with disability. The law provided limited protections </w:t>
      </w:r>
      <w:r w:rsidR="00793A9F" w:rsidRPr="0000563D">
        <w:t xml:space="preserve">that </w:t>
      </w:r>
      <w:r w:rsidRPr="0000563D">
        <w:t xml:space="preserve">applied only to very serious conduct in limited circumstances. In February 2025, the law </w:t>
      </w:r>
      <w:r w:rsidR="00793A9F" w:rsidRPr="0000563D">
        <w:t xml:space="preserve">was </w:t>
      </w:r>
      <w:r w:rsidRPr="0000563D">
        <w:t xml:space="preserve">amended </w:t>
      </w:r>
      <w:r w:rsidR="00FF51E5" w:rsidRPr="0000563D">
        <w:t xml:space="preserve">to </w:t>
      </w:r>
      <w:r w:rsidRPr="0000563D">
        <w:t>expand protections against vilification.</w:t>
      </w:r>
    </w:p>
    <w:p w14:paraId="4CA74265" w14:textId="77777777" w:rsidR="008E13B9" w:rsidRPr="0000563D" w:rsidRDefault="008E13B9" w:rsidP="00801E38">
      <w:pPr>
        <w:rPr>
          <w:i/>
        </w:rPr>
      </w:pPr>
      <w:r w:rsidRPr="0000563D">
        <w:rPr>
          <w:b/>
          <w:bCs/>
          <w:i/>
          <w:iCs/>
        </w:rPr>
        <w:t>Criminal vilification protections</w:t>
      </w:r>
    </w:p>
    <w:p w14:paraId="0AE53FBB" w14:textId="38C4DE67" w:rsidR="008E13B9" w:rsidRPr="0000563D" w:rsidRDefault="008E13B9" w:rsidP="008911EA">
      <w:r w:rsidRPr="0000563D">
        <w:t xml:space="preserve">The </w:t>
      </w:r>
      <w:r w:rsidRPr="0000563D">
        <w:rPr>
          <w:i/>
        </w:rPr>
        <w:t xml:space="preserve">Criminal Code Amendment (Hate Crimes) Act 2025 </w:t>
      </w:r>
      <w:r w:rsidRPr="0000563D">
        <w:t>(</w:t>
      </w:r>
      <w:proofErr w:type="spellStart"/>
      <w:r w:rsidRPr="0000563D">
        <w:t>Cth</w:t>
      </w:r>
      <w:proofErr w:type="spellEnd"/>
      <w:r w:rsidRPr="0000563D">
        <w:t>) expanded the existing vilification offences, including to introduce new offences, protect a broader list of attributes including disability, and recognise that offence</w:t>
      </w:r>
      <w:r w:rsidR="00EC1030" w:rsidRPr="0000563D">
        <w:t>s</w:t>
      </w:r>
      <w:r w:rsidRPr="0000563D">
        <w:t xml:space="preserve"> may be engaged in on the ground of a combination of attributes. </w:t>
      </w:r>
      <w:r w:rsidR="00C77B66" w:rsidRPr="0000563D">
        <w:t xml:space="preserve">The law now </w:t>
      </w:r>
      <w:r w:rsidR="005B2F7B" w:rsidRPr="0000563D">
        <w:t xml:space="preserve">covers </w:t>
      </w:r>
      <w:r w:rsidR="003F3C30" w:rsidRPr="0000563D">
        <w:t xml:space="preserve">a broader range of offences </w:t>
      </w:r>
      <w:r w:rsidR="00BF1766" w:rsidRPr="0000563D">
        <w:t>for advocating</w:t>
      </w:r>
      <w:r w:rsidR="003F3C30" w:rsidRPr="0000563D">
        <w:t xml:space="preserve"> </w:t>
      </w:r>
      <w:r w:rsidR="00BF1766" w:rsidRPr="0000563D">
        <w:t xml:space="preserve">or </w:t>
      </w:r>
      <w:r w:rsidR="003F3C30" w:rsidRPr="0000563D">
        <w:t>threatening force or violence</w:t>
      </w:r>
      <w:r w:rsidR="00E503FA" w:rsidRPr="0000563D">
        <w:t xml:space="preserve"> </w:t>
      </w:r>
      <w:r w:rsidR="00E71C55" w:rsidRPr="0000563D">
        <w:t xml:space="preserve">against targeted groups, including </w:t>
      </w:r>
      <w:r w:rsidR="00596BC2" w:rsidRPr="0000563D">
        <w:t>people</w:t>
      </w:r>
      <w:r w:rsidR="00E71C55" w:rsidRPr="0000563D">
        <w:t xml:space="preserve"> with disability, or damage or destruction of real property or vehicles</w:t>
      </w:r>
      <w:r w:rsidR="00596BC2" w:rsidRPr="0000563D">
        <w:t xml:space="preserve"> owned or occupied by a member of a targeted group, including people with disability</w:t>
      </w:r>
      <w:r w:rsidR="003F3C30" w:rsidRPr="0000563D">
        <w:t>.</w:t>
      </w:r>
      <w:r w:rsidR="001C672C" w:rsidRPr="0000563D">
        <w:rPr>
          <w:rStyle w:val="EndnoteReference"/>
        </w:rPr>
        <w:endnoteReference w:id="134"/>
      </w:r>
      <w:r w:rsidR="003F3C30" w:rsidRPr="0000563D">
        <w:t xml:space="preserve"> </w:t>
      </w:r>
    </w:p>
    <w:p w14:paraId="17CAA4F4" w14:textId="77777777" w:rsidR="008E13B9" w:rsidRPr="0000563D" w:rsidRDefault="008E13B9" w:rsidP="008911EA">
      <w:r w:rsidRPr="0000563D">
        <w:t>The amendments lowered the fault element for the pre-existing offences of ‘urging force or violence’ (now ‘advocating force or violence’) from ‘intention’ to ‘recklessness’ and removed the defence for ‘acts done in good faith’. The Commission raised concerns about the removal of both safeguards:</w:t>
      </w:r>
    </w:p>
    <w:p w14:paraId="5426EB13" w14:textId="77777777" w:rsidR="008E13B9" w:rsidRPr="0000563D" w:rsidRDefault="008E13B9" w:rsidP="008E13B9">
      <w:pPr>
        <w:pStyle w:val="Blockquote"/>
        <w:rPr>
          <w:rFonts w:cs="Open Sans"/>
          <w:sz w:val="22"/>
          <w:szCs w:val="22"/>
        </w:rPr>
      </w:pPr>
      <w:r w:rsidRPr="0000563D">
        <w:rPr>
          <w:rFonts w:cs="Open Sans"/>
          <w:sz w:val="22"/>
          <w:szCs w:val="22"/>
        </w:rPr>
        <w:t xml:space="preserve">While the lowering of this threshold would promote certain human rights, including the right to life and security of the person, the right to equality and non-discrimination, the right to protection from exploitation, violence and abuse, the lower culpability standard and subjective interpretation of whether a person is </w:t>
      </w:r>
      <w:r w:rsidRPr="0000563D">
        <w:rPr>
          <w:rFonts w:cs="Open Sans"/>
          <w:sz w:val="22"/>
          <w:szCs w:val="22"/>
        </w:rPr>
        <w:lastRenderedPageBreak/>
        <w:t>‘reckless as to whether force or violence may occur’ and its broader application has the potential to impose limitations on other human rights, including the right to freedom of expression … The current requirement to prove intent serves as a safeguard to preserve these other human rights and ensure that the offence is only charged and prosecuted in circumstances appropriate to warrant a penalty of up to 7 years imprisonment.</w:t>
      </w:r>
    </w:p>
    <w:p w14:paraId="741507D9" w14:textId="77777777" w:rsidR="008E13B9" w:rsidRPr="0000563D" w:rsidRDefault="008E13B9" w:rsidP="008E13B9">
      <w:pPr>
        <w:pStyle w:val="Blockquote"/>
        <w:rPr>
          <w:rFonts w:cs="Open Sans"/>
          <w:i/>
          <w:sz w:val="22"/>
          <w:szCs w:val="22"/>
        </w:rPr>
      </w:pPr>
      <w:r w:rsidRPr="0000563D">
        <w:rPr>
          <w:rFonts w:cs="Open Sans"/>
          <w:i/>
          <w:sz w:val="22"/>
          <w:szCs w:val="22"/>
        </w:rPr>
        <w:t>…</w:t>
      </w:r>
    </w:p>
    <w:p w14:paraId="65DB08C4" w14:textId="77777777" w:rsidR="008E13B9" w:rsidRPr="0000563D" w:rsidRDefault="008E13B9" w:rsidP="008E13B9">
      <w:pPr>
        <w:pStyle w:val="Blockquote"/>
        <w:rPr>
          <w:rFonts w:cs="Open Sans"/>
          <w:sz w:val="22"/>
          <w:szCs w:val="22"/>
        </w:rPr>
      </w:pPr>
      <w:r w:rsidRPr="0000563D">
        <w:rPr>
          <w:rFonts w:cs="Open Sans"/>
          <w:sz w:val="22"/>
          <w:szCs w:val="22"/>
        </w:rPr>
        <w:t>[T]he disapplication of [the good faith] defence for these offences removes an avenue for the court to consider the circumstances and context of the conduct and may result in further limitations on the rights of freedom of expression and freedom of assembly in ways that could inhibit legitimate debate, critique and expression.</w:t>
      </w:r>
    </w:p>
    <w:p w14:paraId="380903E4" w14:textId="77777777" w:rsidR="008E13B9" w:rsidRPr="0000563D" w:rsidRDefault="008E13B9" w:rsidP="008911EA">
      <w:r w:rsidRPr="0000563D">
        <w:t>The revised laws now operate more broadly, providing greater protections to persons with disability against vilification, and are more likely to be relied on due to the lower threshold for establishing the offence and the lack of available defences.</w:t>
      </w:r>
    </w:p>
    <w:p w14:paraId="4CE70AA8" w14:textId="2E8E443C" w:rsidR="008E13B9" w:rsidRPr="0000563D" w:rsidRDefault="008E13B9" w:rsidP="008911EA">
      <w:r w:rsidRPr="0000563D">
        <w:t xml:space="preserve">At the </w:t>
      </w:r>
      <w:r w:rsidR="002876D9" w:rsidRPr="0000563D">
        <w:t>s</w:t>
      </w:r>
      <w:r w:rsidRPr="0000563D">
        <w:t xml:space="preserve">tate and </w:t>
      </w:r>
      <w:r w:rsidR="002876D9" w:rsidRPr="0000563D">
        <w:t>t</w:t>
      </w:r>
      <w:r w:rsidRPr="0000563D">
        <w:t>erritory level, the Australian Capital Territory and Victoria have criminalised ‘inciting hatred’, ‘revulsion’, ‘serious contempt’ or ‘severe ridicule’ towards a person on the ground of protected attributes including disability.</w:t>
      </w:r>
      <w:r w:rsidRPr="0000563D">
        <w:rPr>
          <w:rStyle w:val="EndnoteReference"/>
        </w:rPr>
        <w:endnoteReference w:id="135"/>
      </w:r>
      <w:r w:rsidRPr="0000563D">
        <w:t xml:space="preserve"> New South Wales, Queensland, Western Australia and South Australia have criminalised vilification but not on the ground of disability.</w:t>
      </w:r>
      <w:r w:rsidRPr="0000563D">
        <w:rPr>
          <w:rStyle w:val="EndnoteReference"/>
        </w:rPr>
        <w:endnoteReference w:id="136"/>
      </w:r>
    </w:p>
    <w:p w14:paraId="5690BE26" w14:textId="77777777" w:rsidR="008E13B9" w:rsidRPr="0000563D" w:rsidRDefault="008E13B9" w:rsidP="00801E38">
      <w:pPr>
        <w:rPr>
          <w:i/>
        </w:rPr>
      </w:pPr>
      <w:r w:rsidRPr="0000563D">
        <w:rPr>
          <w:b/>
          <w:bCs/>
          <w:i/>
          <w:iCs/>
        </w:rPr>
        <w:t>Civil vilification protections</w:t>
      </w:r>
    </w:p>
    <w:p w14:paraId="09DB9FF5" w14:textId="77777777" w:rsidR="008E13B9" w:rsidRPr="0000563D" w:rsidRDefault="008E13B9" w:rsidP="00262790">
      <w:pPr>
        <w:pStyle w:val="ListNumber"/>
        <w:numPr>
          <w:ilvl w:val="0"/>
          <w:numId w:val="0"/>
        </w:numPr>
        <w:rPr>
          <w:rFonts w:cs="Open Sans"/>
        </w:rPr>
      </w:pPr>
      <w:r w:rsidRPr="0000563D">
        <w:rPr>
          <w:rFonts w:cs="Open Sans"/>
        </w:rPr>
        <w:t>The Disability Discrimination Act currently only includes the provisions prohibiting harassment,</w:t>
      </w:r>
      <w:r w:rsidRPr="0000563D">
        <w:rPr>
          <w:rStyle w:val="EndnoteReference"/>
          <w:rFonts w:cs="Open Sans"/>
        </w:rPr>
        <w:endnoteReference w:id="137"/>
      </w:r>
      <w:r w:rsidRPr="0000563D">
        <w:rPr>
          <w:rFonts w:cs="Open Sans"/>
        </w:rPr>
        <w:t xml:space="preserve"> which the Commission recommends be replaced with offensive behaviour provisions.</w:t>
      </w:r>
    </w:p>
    <w:p w14:paraId="49943FE9" w14:textId="010587FA" w:rsidR="008E13B9" w:rsidRPr="0000563D" w:rsidRDefault="008E13B9" w:rsidP="00262790">
      <w:pPr>
        <w:pStyle w:val="ListNumber"/>
        <w:numPr>
          <w:ilvl w:val="0"/>
          <w:numId w:val="0"/>
        </w:numPr>
        <w:rPr>
          <w:rFonts w:cs="Open Sans"/>
        </w:rPr>
      </w:pPr>
      <w:r w:rsidRPr="0000563D">
        <w:rPr>
          <w:rFonts w:cs="Open Sans"/>
        </w:rPr>
        <w:t xml:space="preserve">At the </w:t>
      </w:r>
      <w:r w:rsidR="002876D9" w:rsidRPr="0000563D">
        <w:rPr>
          <w:rFonts w:cs="Open Sans"/>
        </w:rPr>
        <w:t>s</w:t>
      </w:r>
      <w:r w:rsidRPr="0000563D">
        <w:rPr>
          <w:rFonts w:cs="Open Sans"/>
        </w:rPr>
        <w:t xml:space="preserve">tate and </w:t>
      </w:r>
      <w:r w:rsidR="002876D9" w:rsidRPr="0000563D">
        <w:rPr>
          <w:rFonts w:cs="Open Sans"/>
        </w:rPr>
        <w:t>t</w:t>
      </w:r>
      <w:r w:rsidRPr="0000563D">
        <w:rPr>
          <w:rFonts w:cs="Open Sans"/>
        </w:rPr>
        <w:t>erritory level, Tasmania, Victoria and the Australian Capital Territory, have enacted civil prohibitions against ‘inciting hatred’, ‘serious contempt’ or ‘severe ridicule’ (or ‘revulsion’ for Victoria and the Australian Capital Territory) towards a person on the ground of protected attributes including disability.</w:t>
      </w:r>
      <w:r w:rsidRPr="0000563D">
        <w:rPr>
          <w:rStyle w:val="EndnoteReference"/>
          <w:rFonts w:cs="Open Sans"/>
        </w:rPr>
        <w:endnoteReference w:id="138"/>
      </w:r>
      <w:r w:rsidRPr="0000563D">
        <w:rPr>
          <w:rFonts w:cs="Open Sans"/>
        </w:rPr>
        <w:t xml:space="preserve"> </w:t>
      </w:r>
    </w:p>
    <w:p w14:paraId="5764B98A" w14:textId="69980360" w:rsidR="008E13B9" w:rsidRPr="0000563D" w:rsidRDefault="008E13B9" w:rsidP="00262790">
      <w:pPr>
        <w:pStyle w:val="ListNumber"/>
        <w:numPr>
          <w:ilvl w:val="0"/>
          <w:numId w:val="0"/>
        </w:numPr>
        <w:rPr>
          <w:rFonts w:cs="Open Sans"/>
        </w:rPr>
      </w:pPr>
      <w:r w:rsidRPr="0000563D">
        <w:rPr>
          <w:rFonts w:cs="Open Sans"/>
        </w:rPr>
        <w:t xml:space="preserve">The Queensland </w:t>
      </w:r>
      <w:r w:rsidR="00987C62" w:rsidRPr="0000563D">
        <w:rPr>
          <w:rFonts w:cs="Open Sans"/>
        </w:rPr>
        <w:t>G</w:t>
      </w:r>
      <w:r w:rsidRPr="0000563D">
        <w:rPr>
          <w:rFonts w:cs="Open Sans"/>
        </w:rPr>
        <w:t xml:space="preserve">overnment has paused amendments to its </w:t>
      </w:r>
      <w:r w:rsidRPr="0000563D">
        <w:rPr>
          <w:rFonts w:cs="Open Sans"/>
          <w:i/>
        </w:rPr>
        <w:t>Anti-Discrimination Act 1991</w:t>
      </w:r>
      <w:r w:rsidRPr="0000563D">
        <w:rPr>
          <w:rFonts w:cs="Open Sans"/>
        </w:rPr>
        <w:t xml:space="preserve"> (Qld) that would have expanded existing vilification provisions that prohibit inciting hatred or contempt, or severe ridicule on various grounds to protect persons with disability.</w:t>
      </w:r>
      <w:r w:rsidRPr="0000563D">
        <w:rPr>
          <w:rStyle w:val="EndnoteReference"/>
          <w:rFonts w:cs="Open Sans"/>
        </w:rPr>
        <w:endnoteReference w:id="139"/>
      </w:r>
    </w:p>
    <w:p w14:paraId="4E2ED28D" w14:textId="77777777" w:rsidR="008E13B9" w:rsidRPr="0000563D" w:rsidRDefault="008E13B9" w:rsidP="008911EA">
      <w:r w:rsidRPr="0000563D">
        <w:t>New South Wales and South Australia have civil vilification provisions but not in relation to disability.</w:t>
      </w:r>
      <w:r w:rsidRPr="0000563D">
        <w:rPr>
          <w:rStyle w:val="EndnoteReference"/>
        </w:rPr>
        <w:endnoteReference w:id="140"/>
      </w:r>
    </w:p>
    <w:p w14:paraId="755048E1" w14:textId="77777777" w:rsidR="008E13B9" w:rsidRPr="0000563D" w:rsidRDefault="008E13B9" w:rsidP="00801E38">
      <w:pPr>
        <w:rPr>
          <w:i/>
        </w:rPr>
      </w:pPr>
      <w:r w:rsidRPr="0000563D">
        <w:rPr>
          <w:b/>
          <w:bCs/>
          <w:i/>
          <w:iCs/>
        </w:rPr>
        <w:t>Gaps in legislative framework</w:t>
      </w:r>
    </w:p>
    <w:p w14:paraId="2408E1E4" w14:textId="4C3E4362" w:rsidR="008E13B9" w:rsidRPr="0000563D" w:rsidRDefault="008E13B9" w:rsidP="008911EA">
      <w:r w:rsidRPr="0000563D">
        <w:t xml:space="preserve">State and </w:t>
      </w:r>
      <w:r w:rsidR="002876D9" w:rsidRPr="0000563D">
        <w:t>t</w:t>
      </w:r>
      <w:r w:rsidRPr="0000563D">
        <w:t xml:space="preserve">erritory anti-vilification laws are inconsistent and do not all operate to protect persons with disability. Further, some states and territories have taken </w:t>
      </w:r>
      <w:r w:rsidRPr="0000563D">
        <w:lastRenderedPageBreak/>
        <w:t>steps to pause amendments to legislation that would provide for greater protections.</w:t>
      </w:r>
      <w:r w:rsidRPr="0000563D">
        <w:rPr>
          <w:rStyle w:val="EndnoteReference"/>
        </w:rPr>
        <w:endnoteReference w:id="141"/>
      </w:r>
    </w:p>
    <w:p w14:paraId="03CEAEF0" w14:textId="26C39B13" w:rsidR="008E13B9" w:rsidRPr="0000563D" w:rsidRDefault="008E13B9" w:rsidP="008911EA">
      <w:r w:rsidRPr="0000563D">
        <w:t xml:space="preserve">At the federal level, vilification offences have been expanded to introduce a broader range of offences </w:t>
      </w:r>
      <w:r w:rsidR="00D916FC" w:rsidRPr="0000563D">
        <w:t>for advocating</w:t>
      </w:r>
      <w:r w:rsidR="00432116" w:rsidRPr="0000563D">
        <w:t xml:space="preserve"> or</w:t>
      </w:r>
      <w:r w:rsidRPr="0000563D">
        <w:t xml:space="preserve"> threatening of force or violence and damage to property, and to protect persons with disability. However, these relate to more serious forms of vilification and rely on decisions of prosecutors for action to be taken.</w:t>
      </w:r>
    </w:p>
    <w:p w14:paraId="47EFA4D8" w14:textId="2D85230D" w:rsidR="008F7E2B" w:rsidRPr="0000563D" w:rsidRDefault="008E13B9" w:rsidP="008911EA">
      <w:r w:rsidRPr="0000563D">
        <w:t xml:space="preserve">The Commission supports the introduction of vilification provisions in the Disability Discrimination Act to ensure a level of protection for people with disability and provide an avenue to seek redress for vilifying conduct. However, </w:t>
      </w:r>
      <w:r w:rsidR="008F7E2B" w:rsidRPr="0000563D">
        <w:t>as noted by the Disability Royal Commission</w:t>
      </w:r>
      <w:r w:rsidR="00DE3BDF" w:rsidRPr="0000563D">
        <w:t xml:space="preserve">, </w:t>
      </w:r>
      <w:r w:rsidR="008F7E2B" w:rsidRPr="0000563D">
        <w:t>if an offensive behaviour provision consistent with s 18C of the Racial Discrimination Act is implemented, more serious vilification would likely be caught by that provision.</w:t>
      </w:r>
      <w:r w:rsidR="008F7E2B" w:rsidRPr="0000563D">
        <w:rPr>
          <w:rStyle w:val="EndnoteReference"/>
        </w:rPr>
        <w:endnoteReference w:id="142"/>
      </w:r>
      <w:r w:rsidR="00524677" w:rsidRPr="0000563D">
        <w:t xml:space="preserve"> The Commission </w:t>
      </w:r>
      <w:r w:rsidR="0099355C" w:rsidRPr="0000563D">
        <w:t>agrees that there may be little need for additional civil vilification protections</w:t>
      </w:r>
      <w:r w:rsidR="00D928B7" w:rsidRPr="0000563D">
        <w:t>.</w:t>
      </w:r>
    </w:p>
    <w:p w14:paraId="1CF77279" w14:textId="4CE29A35" w:rsidR="008E13B9" w:rsidRPr="0000563D" w:rsidRDefault="008E13B9" w:rsidP="008911EA">
      <w:r w:rsidRPr="0000563D">
        <w:t xml:space="preserve">Notwithstanding </w:t>
      </w:r>
      <w:r w:rsidR="00541F4E" w:rsidRPr="0000563D">
        <w:t xml:space="preserve">that the introduction of civil vilification </w:t>
      </w:r>
      <w:r w:rsidR="003B35A7" w:rsidRPr="0000563D">
        <w:t xml:space="preserve">provisions </w:t>
      </w:r>
      <w:r w:rsidR="00541F4E" w:rsidRPr="0000563D">
        <w:t xml:space="preserve">would send a </w:t>
      </w:r>
      <w:r w:rsidRPr="0000563D">
        <w:t xml:space="preserve">message </w:t>
      </w:r>
      <w:r w:rsidR="00541F4E" w:rsidRPr="0000563D">
        <w:t xml:space="preserve">to the </w:t>
      </w:r>
      <w:proofErr w:type="gramStart"/>
      <w:r w:rsidR="00541F4E" w:rsidRPr="0000563D">
        <w:t>community</w:t>
      </w:r>
      <w:r w:rsidRPr="0000563D">
        <w:t>,</w:t>
      </w:r>
      <w:proofErr w:type="gramEnd"/>
      <w:r w:rsidRPr="0000563D">
        <w:t xml:space="preserve"> </w:t>
      </w:r>
      <w:r w:rsidR="00541F4E" w:rsidRPr="0000563D">
        <w:t>the</w:t>
      </w:r>
      <w:r w:rsidRPr="0000563D">
        <w:t xml:space="preserve"> provisions would not create additional protections or avenues for recourse for people with disability than would be available through </w:t>
      </w:r>
      <w:r w:rsidR="00541F4E" w:rsidRPr="0000563D">
        <w:t xml:space="preserve">the proposed </w:t>
      </w:r>
      <w:r w:rsidRPr="0000563D">
        <w:t>offensive behaviour provisions</w:t>
      </w:r>
      <w:r w:rsidR="00541F4E" w:rsidRPr="0000563D">
        <w:t>.</w:t>
      </w:r>
      <w:r w:rsidRPr="0000563D">
        <w:t xml:space="preserve"> </w:t>
      </w:r>
      <w:r w:rsidR="00541F4E" w:rsidRPr="0000563D">
        <w:t>T</w:t>
      </w:r>
      <w:r w:rsidRPr="0000563D">
        <w:t>he law should not be overcomplicated by address</w:t>
      </w:r>
      <w:r w:rsidR="00962336" w:rsidRPr="0000563D">
        <w:t>ing</w:t>
      </w:r>
      <w:r w:rsidRPr="0000563D">
        <w:t xml:space="preserve"> matters that are wholly addressed elsewhere. </w:t>
      </w:r>
    </w:p>
    <w:p w14:paraId="05D9E60F" w14:textId="0BE9AC2E" w:rsidR="008E13B9" w:rsidRPr="0000563D" w:rsidRDefault="00873E16" w:rsidP="008911EA">
      <w:r w:rsidRPr="002D4943">
        <w:t>Consideration should be given to the need for any additional protections against vilification</w:t>
      </w:r>
      <w:r w:rsidR="00645A49" w:rsidRPr="002D4943">
        <w:t xml:space="preserve"> in the </w:t>
      </w:r>
      <w:r w:rsidR="00645A49" w:rsidRPr="002D4943">
        <w:rPr>
          <w:i/>
        </w:rPr>
        <w:t>Disability Discrimination Act 1992</w:t>
      </w:r>
      <w:r w:rsidR="00645A49" w:rsidRPr="002D4943">
        <w:t xml:space="preserve"> (</w:t>
      </w:r>
      <w:proofErr w:type="spellStart"/>
      <w:r w:rsidR="00645A49" w:rsidRPr="002D4943">
        <w:t>Cth</w:t>
      </w:r>
      <w:proofErr w:type="spellEnd"/>
      <w:r w:rsidR="00645A49" w:rsidRPr="002D4943">
        <w:t>)</w:t>
      </w:r>
      <w:r w:rsidRPr="002D4943">
        <w:t xml:space="preserve"> </w:t>
      </w:r>
      <w:r w:rsidR="00AD5E48" w:rsidRPr="002D4943">
        <w:t xml:space="preserve">if </w:t>
      </w:r>
      <w:r w:rsidR="00D03E07" w:rsidRPr="002D4943">
        <w:t>offensive behaviour provisions</w:t>
      </w:r>
      <w:r w:rsidR="00D03E07" w:rsidRPr="002D4943" w:rsidDel="00E977B9">
        <w:t xml:space="preserve"> (</w:t>
      </w:r>
      <w:r w:rsidR="00C37575" w:rsidRPr="002D4943">
        <w:t xml:space="preserve">including </w:t>
      </w:r>
      <w:r w:rsidR="00D03E07" w:rsidRPr="002D4943" w:rsidDel="00E977B9">
        <w:t>exemptions)</w:t>
      </w:r>
      <w:r w:rsidR="00D03E07" w:rsidRPr="002D4943">
        <w:t xml:space="preserve"> are implemented.</w:t>
      </w:r>
      <w:r w:rsidR="00D03E07" w:rsidRPr="0000563D">
        <w:t xml:space="preserve"> </w:t>
      </w:r>
    </w:p>
    <w:p w14:paraId="7BEFEF28" w14:textId="77777777" w:rsidR="00691A46" w:rsidRPr="002D4943" w:rsidRDefault="00691A46" w:rsidP="00691A46">
      <w:pPr>
        <w:pStyle w:val="Heading2"/>
        <w:rPr>
          <w:rFonts w:ascii="Open Sans" w:hAnsi="Open Sans" w:cs="Open Sans"/>
        </w:rPr>
      </w:pPr>
      <w:bookmarkStart w:id="39" w:name="_Toc214961122"/>
      <w:r w:rsidRPr="002D4943">
        <w:rPr>
          <w:rFonts w:ascii="Open Sans" w:hAnsi="Open Sans" w:cs="Open Sans"/>
        </w:rPr>
        <w:t>Unjustifiable hardship</w:t>
      </w:r>
      <w:bookmarkEnd w:id="39"/>
      <w:r w:rsidRPr="002D4943">
        <w:rPr>
          <w:rFonts w:ascii="Open Sans" w:hAnsi="Open Sans" w:cs="Open Sans"/>
        </w:rPr>
        <w:t xml:space="preserve"> </w:t>
      </w:r>
    </w:p>
    <w:p w14:paraId="1249AF77" w14:textId="77777777" w:rsidR="00945BB8" w:rsidRPr="0000563D" w:rsidRDefault="00691A46" w:rsidP="008911EA">
      <w:r w:rsidRPr="0000563D">
        <w:t>The Disability Discrimination Act includes a defence of unjustifiable hardship to a claim of discrimination in almost all areas specified in Divisions 1 and 2 of Part 2 of the Disability Discrimination Act, as well as in the provision of reasonable adjustments.</w:t>
      </w:r>
      <w:r w:rsidRPr="0000563D">
        <w:rPr>
          <w:rStyle w:val="EndnoteReference"/>
        </w:rPr>
        <w:endnoteReference w:id="143"/>
      </w:r>
      <w:r w:rsidRPr="0000563D">
        <w:t xml:space="preserve"> </w:t>
      </w:r>
    </w:p>
    <w:p w14:paraId="3EB6D2EF" w14:textId="5FBDE010" w:rsidR="00691A46" w:rsidRPr="0000563D" w:rsidRDefault="00691A46" w:rsidP="006E7E5F">
      <w:r w:rsidRPr="0000563D">
        <w:t xml:space="preserve">In determining whether unjustifiable hardship is imposed, </w:t>
      </w:r>
      <w:r w:rsidRPr="0000563D">
        <w:rPr>
          <w:rFonts w:eastAsia="Roboto"/>
          <w:color w:val="1F1923"/>
        </w:rPr>
        <w:t>all relevant circumstances</w:t>
      </w:r>
      <w:r w:rsidRPr="0000563D">
        <w:t xml:space="preserve"> of the </w:t>
      </w:r>
      <w:proofErr w:type="gramStart"/>
      <w:r w:rsidRPr="0000563D">
        <w:t>particular case</w:t>
      </w:r>
      <w:proofErr w:type="gramEnd"/>
      <w:r w:rsidRPr="0000563D">
        <w:t xml:space="preserve"> must be considered, including the list of non-exhaustive considerations set out in section 11 of the Disability Discrimination Act:</w:t>
      </w:r>
    </w:p>
    <w:p w14:paraId="06C6E8FA" w14:textId="77777777" w:rsidR="00691A46" w:rsidRPr="0000563D" w:rsidRDefault="00691A46" w:rsidP="00E86874">
      <w:pPr>
        <w:pStyle w:val="ListBullet"/>
        <w:rPr>
          <w:rFonts w:cs="Open Sans"/>
          <w:b/>
        </w:rPr>
      </w:pPr>
      <w:r w:rsidRPr="0000563D">
        <w:rPr>
          <w:rFonts w:cs="Open Sans"/>
        </w:rPr>
        <w:t xml:space="preserve">the benefit or detriment likely to accrue or be suffered by any person concerned, </w:t>
      </w:r>
    </w:p>
    <w:p w14:paraId="17E4839B" w14:textId="77777777" w:rsidR="00691A46" w:rsidRPr="0000563D" w:rsidRDefault="00691A46" w:rsidP="00E86874">
      <w:pPr>
        <w:pStyle w:val="ListBullet"/>
        <w:rPr>
          <w:rFonts w:cs="Open Sans"/>
          <w:b/>
        </w:rPr>
      </w:pPr>
      <w:r w:rsidRPr="0000563D">
        <w:rPr>
          <w:rFonts w:cs="Open Sans"/>
        </w:rPr>
        <w:t>the effect of the disability on the person,</w:t>
      </w:r>
    </w:p>
    <w:p w14:paraId="3499A168" w14:textId="77777777" w:rsidR="00691A46" w:rsidRPr="0000563D" w:rsidRDefault="00691A46" w:rsidP="00E86874">
      <w:pPr>
        <w:pStyle w:val="ListBullet"/>
        <w:rPr>
          <w:rFonts w:cs="Open Sans"/>
          <w:b/>
        </w:rPr>
      </w:pPr>
      <w:r w:rsidRPr="0000563D">
        <w:rPr>
          <w:rFonts w:cs="Open Sans"/>
        </w:rPr>
        <w:t xml:space="preserve">the financial circumstances and estimated expenditure required to be made, </w:t>
      </w:r>
    </w:p>
    <w:p w14:paraId="04D1F34B" w14:textId="77777777" w:rsidR="00691A46" w:rsidRPr="0000563D" w:rsidRDefault="00691A46" w:rsidP="00E86874">
      <w:pPr>
        <w:pStyle w:val="ListBullet"/>
        <w:rPr>
          <w:rFonts w:cs="Open Sans"/>
          <w:b/>
        </w:rPr>
      </w:pPr>
      <w:r w:rsidRPr="0000563D">
        <w:rPr>
          <w:rFonts w:cs="Open Sans"/>
        </w:rPr>
        <w:t xml:space="preserve">financial circumstances of the parties and </w:t>
      </w:r>
    </w:p>
    <w:p w14:paraId="056F35ED" w14:textId="77777777" w:rsidR="00691A46" w:rsidRPr="0000563D" w:rsidRDefault="00691A46" w:rsidP="00E86874">
      <w:pPr>
        <w:pStyle w:val="ListBullet"/>
        <w:rPr>
          <w:rFonts w:cs="Open Sans"/>
          <w:b/>
        </w:rPr>
      </w:pPr>
      <w:r w:rsidRPr="0000563D">
        <w:rPr>
          <w:rFonts w:cs="Open Sans"/>
        </w:rPr>
        <w:lastRenderedPageBreak/>
        <w:t>any action plans registered with the Commission.</w:t>
      </w:r>
      <w:r w:rsidRPr="0000563D">
        <w:rPr>
          <w:rStyle w:val="EndnoteReference"/>
          <w:rFonts w:cs="Open Sans"/>
        </w:rPr>
        <w:endnoteReference w:id="144"/>
      </w:r>
      <w:r w:rsidRPr="0000563D">
        <w:rPr>
          <w:rFonts w:cs="Open Sans"/>
        </w:rPr>
        <w:t xml:space="preserve"> </w:t>
      </w:r>
    </w:p>
    <w:p w14:paraId="167488FC" w14:textId="77777777" w:rsidR="00691A46" w:rsidRPr="0000563D" w:rsidRDefault="00691A46" w:rsidP="008911EA">
      <w:r w:rsidRPr="0000563D">
        <w:t>The 2009 amendments to the Disability Discrimination Act introduced the consideration of the availability of financial and other assistance to the duty holder</w:t>
      </w:r>
      <w:r w:rsidRPr="0000563D">
        <w:rPr>
          <w:rStyle w:val="EndnoteReference"/>
        </w:rPr>
        <w:endnoteReference w:id="145"/>
      </w:r>
      <w:r w:rsidRPr="0000563D">
        <w:t xml:space="preserve"> to allow ‘a more balanced assessment of the costs of making adjustments’.</w:t>
      </w:r>
      <w:r w:rsidRPr="0000563D">
        <w:rPr>
          <w:rStyle w:val="EndnoteReference"/>
        </w:rPr>
        <w:endnoteReference w:id="146"/>
      </w:r>
      <w:r w:rsidRPr="0000563D">
        <w:t xml:space="preserve"> This consideration of cost can be misconstrued as being limited to the detrimental financial cost to duty holders, rather than considering the overall net cost having regard to any benefits of compliance to respondent, and viewing these costs as a method of creating systemic benefits for an inclusive society.</w:t>
      </w:r>
      <w:r w:rsidRPr="0000563D">
        <w:rPr>
          <w:rStyle w:val="EndnoteReference"/>
        </w:rPr>
        <w:endnoteReference w:id="147"/>
      </w:r>
    </w:p>
    <w:p w14:paraId="0FB7F4C1" w14:textId="51BB64F2" w:rsidR="00691A46" w:rsidRPr="0000563D" w:rsidRDefault="00691A46" w:rsidP="008911EA">
      <w:r w:rsidRPr="0000563D">
        <w:t xml:space="preserve">While the Act </w:t>
      </w:r>
      <w:r w:rsidR="00D9232F" w:rsidRPr="0000563D">
        <w:t>places</w:t>
      </w:r>
      <w:r w:rsidRPr="0000563D">
        <w:t xml:space="preserve"> the burden of proof </w:t>
      </w:r>
      <w:r w:rsidR="00D9232F" w:rsidRPr="0000563D">
        <w:t>on</w:t>
      </w:r>
      <w:r w:rsidRPr="0000563D">
        <w:t xml:space="preserve"> the person claiming unjustifiable hardship, there is no requirement for the duty holder to disclose the reasons that they consider the unjustifiable hardship defence to be available to them. </w:t>
      </w:r>
    </w:p>
    <w:p w14:paraId="1F355559" w14:textId="2403A33E" w:rsidR="00691A46" w:rsidRPr="0000563D" w:rsidRDefault="00691A46" w:rsidP="008911EA">
      <w:r w:rsidRPr="0000563D">
        <w:t>The Disability Royal Commission observed that, from the perspective of a person with disability, the defence of unjustifiable hardship usually arises at stage of a complaint of discrimination being lodged, after discrimination has occurred or after a decision has been made by the duty holder to not provide an adjustment.</w:t>
      </w:r>
      <w:r w:rsidR="00FB1EF1" w:rsidRPr="0000563D">
        <w:rPr>
          <w:rStyle w:val="EndnoteReference"/>
        </w:rPr>
        <w:endnoteReference w:id="148"/>
      </w:r>
      <w:r w:rsidRPr="0000563D">
        <w:t xml:space="preserve"> The absence of an obligation on the duty holder to disclose how the decision was arrived at can disadvantage a person with disability in responding </w:t>
      </w:r>
      <w:r w:rsidR="00B72272" w:rsidRPr="0000563D">
        <w:t xml:space="preserve">to </w:t>
      </w:r>
      <w:r w:rsidRPr="0000563D">
        <w:t>or challenging the claim, in litigation and in earlier attempts at dispute resolution.</w:t>
      </w:r>
      <w:r w:rsidR="009F43E0" w:rsidRPr="0000563D">
        <w:rPr>
          <w:rStyle w:val="EndnoteReference"/>
        </w:rPr>
        <w:t xml:space="preserve"> </w:t>
      </w:r>
      <w:r w:rsidR="009F43E0" w:rsidRPr="0000563D">
        <w:rPr>
          <w:rStyle w:val="EndnoteReference"/>
        </w:rPr>
        <w:endnoteReference w:id="149"/>
      </w:r>
      <w:r w:rsidRPr="0000563D">
        <w:t xml:space="preserve"> </w:t>
      </w:r>
    </w:p>
    <w:p w14:paraId="5C180AE0" w14:textId="652B2593" w:rsidR="00691A46" w:rsidRPr="0000563D" w:rsidRDefault="00691A46" w:rsidP="008911EA">
      <w:r w:rsidRPr="0000563D">
        <w:t xml:space="preserve">To remedy this, the Disability Royal Commission recommended </w:t>
      </w:r>
      <w:r w:rsidR="00BD06CE" w:rsidRPr="0000563D">
        <w:t xml:space="preserve">the </w:t>
      </w:r>
      <w:r w:rsidRPr="0000563D">
        <w:t>addition</w:t>
      </w:r>
      <w:r w:rsidR="00BD06CE" w:rsidRPr="0000563D">
        <w:t xml:space="preserve"> of </w:t>
      </w:r>
      <w:r w:rsidR="00160330" w:rsidRPr="0000563D">
        <w:t xml:space="preserve">2 </w:t>
      </w:r>
      <w:r w:rsidR="00BD06CE" w:rsidRPr="0000563D">
        <w:t xml:space="preserve">mandatory </w:t>
      </w:r>
      <w:r w:rsidR="004430CC" w:rsidRPr="0000563D">
        <w:t>factors</w:t>
      </w:r>
      <w:r w:rsidRPr="0000563D">
        <w:t xml:space="preserve"> to the list of considerations in </w:t>
      </w:r>
      <w:r w:rsidR="00FB7CC0" w:rsidRPr="0000563D">
        <w:t xml:space="preserve">assessing </w:t>
      </w:r>
      <w:r w:rsidRPr="0000563D">
        <w:t>unjustifiable hardship in s</w:t>
      </w:r>
      <w:r w:rsidR="009345A8" w:rsidRPr="0000563D">
        <w:t>ection</w:t>
      </w:r>
      <w:r w:rsidRPr="0000563D">
        <w:t xml:space="preserve"> 11 of the Disability Discrimination Act:</w:t>
      </w:r>
    </w:p>
    <w:p w14:paraId="21662186" w14:textId="73B0ED9E" w:rsidR="00691A46" w:rsidRPr="0000563D" w:rsidRDefault="00691A46" w:rsidP="00E86874">
      <w:pPr>
        <w:pStyle w:val="ListBullet"/>
        <w:rPr>
          <w:rFonts w:cs="Open Sans"/>
        </w:rPr>
      </w:pPr>
      <w:r w:rsidRPr="0000563D">
        <w:rPr>
          <w:rFonts w:cs="Open Sans"/>
        </w:rPr>
        <w:t xml:space="preserve">the extent of the </w:t>
      </w:r>
      <w:r w:rsidR="00D404C6" w:rsidRPr="0000563D">
        <w:rPr>
          <w:rFonts w:cs="Open Sans"/>
        </w:rPr>
        <w:t>duty holder’s</w:t>
      </w:r>
      <w:r w:rsidRPr="0000563D">
        <w:rPr>
          <w:rFonts w:cs="Open Sans"/>
        </w:rPr>
        <w:t xml:space="preserve"> consultations with any person with disability concerned</w:t>
      </w:r>
    </w:p>
    <w:p w14:paraId="6620C59A" w14:textId="616886B7" w:rsidR="00691A46" w:rsidRPr="0000563D" w:rsidRDefault="00691A46" w:rsidP="00E86874">
      <w:pPr>
        <w:pStyle w:val="ListBullet"/>
        <w:rPr>
          <w:rFonts w:cs="Open Sans"/>
        </w:rPr>
      </w:pPr>
      <w:r w:rsidRPr="0000563D">
        <w:rPr>
          <w:rFonts w:cs="Open Sans"/>
        </w:rPr>
        <w:t>available and appropriate alternative measures or actions.</w:t>
      </w:r>
      <w:r w:rsidR="001F1C40" w:rsidRPr="0000563D">
        <w:rPr>
          <w:rStyle w:val="EndnoteReference"/>
          <w:rFonts w:cs="Open Sans"/>
        </w:rPr>
        <w:endnoteReference w:id="150"/>
      </w:r>
    </w:p>
    <w:p w14:paraId="1249A06E" w14:textId="137F7B11" w:rsidR="00691A46" w:rsidRPr="0000563D" w:rsidRDefault="00691A46" w:rsidP="008911EA">
      <w:r w:rsidRPr="0000563D">
        <w:t>These additions align with guidance from the CRPD Committee that the provision of reasonable adjustment</w:t>
      </w:r>
      <w:r w:rsidR="001F1C40" w:rsidRPr="0000563D">
        <w:t>s</w:t>
      </w:r>
      <w:r w:rsidRPr="0000563D">
        <w:t xml:space="preserve"> should be negotiated with the person requesting the adjustment.</w:t>
      </w:r>
      <w:r w:rsidRPr="0000563D">
        <w:rPr>
          <w:rStyle w:val="EndnoteReference"/>
        </w:rPr>
        <w:endnoteReference w:id="151"/>
      </w:r>
      <w:r w:rsidRPr="0000563D">
        <w:t xml:space="preserve"> The Commission support</w:t>
      </w:r>
      <w:r w:rsidR="0000736A" w:rsidRPr="0000563D">
        <w:t>s</w:t>
      </w:r>
      <w:r w:rsidRPr="0000563D">
        <w:t xml:space="preserve"> these additions, which will be beneficial to both duty holders and people with disability.</w:t>
      </w:r>
    </w:p>
    <w:p w14:paraId="2D9C5CA0" w14:textId="00B6155B" w:rsidR="00691A46" w:rsidRPr="0000563D" w:rsidRDefault="00691A46" w:rsidP="008911EA">
      <w:r w:rsidRPr="0000563D">
        <w:t xml:space="preserve">The Issues Paper seeks views on an alternative and new definition of unjustifiable hardship in line with the Productivity Commission’s 2004 recommendations. The </w:t>
      </w:r>
      <w:r w:rsidR="00EA5ACB" w:rsidRPr="0000563D">
        <w:t xml:space="preserve">example </w:t>
      </w:r>
      <w:r w:rsidRPr="0000563D">
        <w:t xml:space="preserve">definition proposed is ‘where the benefit to the person and community would be outweighed by the detriment and cost to any person concerned’ with the possible addition of a requirement to consult with the person with disability. </w:t>
      </w:r>
    </w:p>
    <w:p w14:paraId="629A3699" w14:textId="1CA0FB8B" w:rsidR="00691A46" w:rsidRPr="0000563D" w:rsidRDefault="00691A46" w:rsidP="008911EA">
      <w:r w:rsidRPr="0000563D">
        <w:t xml:space="preserve">This generalised definition is too narrow; it brings some specificity to the first factor to be considered in the assessment of unjustifiable hardship that is currently in the Act but removes the remaining factors as well as the broad and </w:t>
      </w:r>
      <w:r w:rsidRPr="0000563D">
        <w:lastRenderedPageBreak/>
        <w:t xml:space="preserve">necessary requirement to consider ‘all relevant circumstances of the particular case’. </w:t>
      </w:r>
    </w:p>
    <w:p w14:paraId="512D6891" w14:textId="1D203C2C" w:rsidR="00691A46" w:rsidRPr="0000563D" w:rsidRDefault="00691A46" w:rsidP="008911EA">
      <w:r w:rsidRPr="0000563D">
        <w:t xml:space="preserve">The Commission is concerned such a definition would lead to more variability in assessments and decision-making. Notwithstanding that the final determination on whether there would be unjustifiable hardship is a matter for the courts, the provisions should, and do, also serve as a decision-making aid for duty holders. It is unlikely that a cost </w:t>
      </w:r>
      <w:r w:rsidR="00FE738E" w:rsidRPr="0000563D">
        <w:t xml:space="preserve">versus </w:t>
      </w:r>
      <w:r w:rsidRPr="0000563D">
        <w:t xml:space="preserve">detriment definition would be applied by a duty holder </w:t>
      </w:r>
      <w:r w:rsidR="00FE738E" w:rsidRPr="0000563D">
        <w:t>in the same way that</w:t>
      </w:r>
      <w:r w:rsidRPr="0000563D">
        <w:t xml:space="preserve"> a court</w:t>
      </w:r>
      <w:r w:rsidR="00FE738E" w:rsidRPr="0000563D">
        <w:t xml:space="preserve"> would</w:t>
      </w:r>
      <w:r w:rsidRPr="0000563D">
        <w:t xml:space="preserve">. </w:t>
      </w:r>
    </w:p>
    <w:p w14:paraId="56116C79" w14:textId="78B137C0" w:rsidR="00691A46" w:rsidRPr="0000563D" w:rsidRDefault="00691A46" w:rsidP="008911EA">
      <w:r w:rsidRPr="0000563D">
        <w:t xml:space="preserve">The Commission </w:t>
      </w:r>
      <w:r w:rsidR="0018636E" w:rsidRPr="0000563D">
        <w:t>supports</w:t>
      </w:r>
      <w:r w:rsidRPr="0000563D">
        <w:t xml:space="preserve"> the Disability Royal Commission</w:t>
      </w:r>
      <w:r w:rsidR="009A5F6A" w:rsidRPr="0000563D">
        <w:t>’s</w:t>
      </w:r>
      <w:r w:rsidRPr="0000563D">
        <w:t xml:space="preserve"> recommendation that maintains a weighing of </w:t>
      </w:r>
      <w:proofErr w:type="gramStart"/>
      <w:r w:rsidRPr="0000563D">
        <w:t>a number of</w:t>
      </w:r>
      <w:proofErr w:type="gramEnd"/>
      <w:r w:rsidRPr="0000563D">
        <w:t xml:space="preserve"> factors, with additional guidance on considerations and a broad clause around consideration of all the circumstances.  </w:t>
      </w:r>
    </w:p>
    <w:p w14:paraId="757B4A13" w14:textId="42AD7A93" w:rsidR="00691A46" w:rsidRPr="0000563D" w:rsidRDefault="00691A46" w:rsidP="008911EA">
      <w:r w:rsidRPr="0000563D">
        <w:t>The recommendations concerning adjustments (addressed</w:t>
      </w:r>
      <w:r w:rsidR="00BE3154" w:rsidRPr="0000563D">
        <w:t xml:space="preserve"> earlier in this section</w:t>
      </w:r>
      <w:r w:rsidRPr="0000563D">
        <w:t xml:space="preserve">) and unjustifiable hardship focus on collaboration between the duty holder and person with disability. Taken together, </w:t>
      </w:r>
      <w:r w:rsidR="00BE3154" w:rsidRPr="0000563D">
        <w:t xml:space="preserve">they </w:t>
      </w:r>
      <w:r w:rsidRPr="0000563D">
        <w:t xml:space="preserve">should go some way to enable supported discussions that aid in dispelling the misconception that costs associated with removing barriers are detrimental for businesses. The Commission hopes this will lead to the removal of barriers and create greater inclusion of all people, providing </w:t>
      </w:r>
      <w:r w:rsidR="004B1E23" w:rsidRPr="0000563D">
        <w:t xml:space="preserve">social </w:t>
      </w:r>
      <w:r w:rsidRPr="0000563D">
        <w:t xml:space="preserve">and </w:t>
      </w:r>
      <w:r w:rsidR="004B1E23" w:rsidRPr="0000563D">
        <w:t xml:space="preserve">financial </w:t>
      </w:r>
      <w:r w:rsidRPr="0000563D">
        <w:t>benefits for the wider community.</w:t>
      </w:r>
      <w:r w:rsidRPr="0000563D">
        <w:rPr>
          <w:rStyle w:val="EndnoteReference"/>
        </w:rPr>
        <w:endnoteReference w:id="152"/>
      </w:r>
    </w:p>
    <w:p w14:paraId="15D5BF3B" w14:textId="14443BA3" w:rsidR="00691A46" w:rsidRPr="0000563D" w:rsidRDefault="00691A46" w:rsidP="008911EA">
      <w:pPr>
        <w:rPr>
          <w:b/>
        </w:rPr>
      </w:pPr>
      <w:r w:rsidRPr="0000563D">
        <w:rPr>
          <w:b/>
        </w:rPr>
        <w:t>Recommendation</w:t>
      </w:r>
      <w:r w:rsidR="005B2254" w:rsidRPr="0000563D">
        <w:rPr>
          <w:b/>
        </w:rPr>
        <w:t xml:space="preserve"> 1</w:t>
      </w:r>
      <w:r w:rsidR="009D33EE" w:rsidRPr="0000563D">
        <w:rPr>
          <w:b/>
        </w:rPr>
        <w:t>6</w:t>
      </w:r>
      <w:r w:rsidRPr="0000563D">
        <w:rPr>
          <w:b/>
        </w:rPr>
        <w:t xml:space="preserve">: Section 11 of the Disability Discrimination Act should be amended to insert the following additional </w:t>
      </w:r>
      <w:r w:rsidR="00826AB9" w:rsidRPr="0000563D">
        <w:rPr>
          <w:b/>
        </w:rPr>
        <w:t>considerations</w:t>
      </w:r>
      <w:r w:rsidRPr="0000563D">
        <w:rPr>
          <w:b/>
        </w:rPr>
        <w:t>:</w:t>
      </w:r>
    </w:p>
    <w:p w14:paraId="4415E584" w14:textId="1DC552E4" w:rsidR="00691A46" w:rsidRPr="0000563D" w:rsidRDefault="00691A46" w:rsidP="00FC157C">
      <w:pPr>
        <w:ind w:left="720"/>
        <w:rPr>
          <w:b/>
        </w:rPr>
      </w:pPr>
      <w:r w:rsidRPr="0000563D">
        <w:rPr>
          <w:b/>
        </w:rPr>
        <w:t>(</w:t>
      </w:r>
      <w:proofErr w:type="gramStart"/>
      <w:r w:rsidRPr="0000563D">
        <w:rPr>
          <w:b/>
        </w:rPr>
        <w:t>1)(</w:t>
      </w:r>
      <w:proofErr w:type="gramEnd"/>
      <w:r w:rsidRPr="0000563D">
        <w:rPr>
          <w:b/>
        </w:rPr>
        <w:t>aa) the nature and extent of the first person</w:t>
      </w:r>
      <w:r w:rsidR="000F1624" w:rsidRPr="0000563D">
        <w:rPr>
          <w:b/>
          <w:lang w:val="en-US"/>
        </w:rPr>
        <w:t>’</w:t>
      </w:r>
      <w:r w:rsidRPr="0000563D">
        <w:rPr>
          <w:b/>
        </w:rPr>
        <w:t xml:space="preserve">s consultations with any person with disability </w:t>
      </w:r>
      <w:proofErr w:type="gramStart"/>
      <w:r w:rsidRPr="0000563D">
        <w:rPr>
          <w:b/>
        </w:rPr>
        <w:t>concerned;</w:t>
      </w:r>
      <w:proofErr w:type="gramEnd"/>
      <w:r w:rsidRPr="0000563D">
        <w:rPr>
          <w:b/>
        </w:rPr>
        <w:t xml:space="preserve"> </w:t>
      </w:r>
    </w:p>
    <w:p w14:paraId="1712E3CE" w14:textId="30617245" w:rsidR="00691A46" w:rsidRPr="0000563D" w:rsidRDefault="00691A46" w:rsidP="00FC157C">
      <w:pPr>
        <w:ind w:left="720"/>
        <w:rPr>
          <w:b/>
        </w:rPr>
      </w:pPr>
      <w:r w:rsidRPr="0000563D">
        <w:rPr>
          <w:b/>
        </w:rPr>
        <w:t>(ab) the first person</w:t>
      </w:r>
      <w:r w:rsidR="000F1624" w:rsidRPr="0000563D">
        <w:rPr>
          <w:b/>
          <w:lang w:val="en-US"/>
        </w:rPr>
        <w:t>’s</w:t>
      </w:r>
      <w:r w:rsidRPr="0000563D">
        <w:rPr>
          <w:b/>
        </w:rPr>
        <w:t xml:space="preserve"> consideration of all available and appropriate alternative measures or actions.</w:t>
      </w:r>
    </w:p>
    <w:p w14:paraId="4ABA0A10" w14:textId="434D6FEA" w:rsidR="00691A46" w:rsidRPr="0000563D" w:rsidRDefault="00691A46" w:rsidP="008911EA">
      <w:r w:rsidRPr="0000563D">
        <w:t xml:space="preserve">The second part of recommendation 4.32 made by the Disability Royal Commission is to introduce </w:t>
      </w:r>
      <w:r w:rsidR="00160330" w:rsidRPr="0000563D">
        <w:t xml:space="preserve">2 </w:t>
      </w:r>
      <w:r w:rsidRPr="0000563D">
        <w:t xml:space="preserve">requirements </w:t>
      </w:r>
      <w:r w:rsidR="00826AB9" w:rsidRPr="0000563D">
        <w:t xml:space="preserve">for </w:t>
      </w:r>
      <w:r w:rsidRPr="0000563D">
        <w:t>duty holders relying on unjustifiable hardship to:</w:t>
      </w:r>
    </w:p>
    <w:p w14:paraId="5E20D271" w14:textId="4A78B06A" w:rsidR="00691A46" w:rsidRPr="0000563D" w:rsidRDefault="00691A46" w:rsidP="008911EA">
      <w:pPr>
        <w:pStyle w:val="ListBullet"/>
        <w:rPr>
          <w:rFonts w:cs="Open Sans"/>
        </w:rPr>
      </w:pPr>
      <w:r w:rsidRPr="0000563D">
        <w:rPr>
          <w:rFonts w:cs="Open Sans"/>
        </w:rPr>
        <w:t xml:space="preserve">create and retain all documents recording the person’s consideration (if any) of each of the factors </w:t>
      </w:r>
      <w:r w:rsidR="001679B5" w:rsidRPr="0000563D">
        <w:rPr>
          <w:rFonts w:cs="Open Sans"/>
        </w:rPr>
        <w:t xml:space="preserve">set out </w:t>
      </w:r>
      <w:r w:rsidRPr="0000563D">
        <w:rPr>
          <w:rFonts w:cs="Open Sans"/>
        </w:rPr>
        <w:t xml:space="preserve">in the </w:t>
      </w:r>
      <w:r w:rsidR="00B17FC8" w:rsidRPr="0000563D">
        <w:rPr>
          <w:rFonts w:cs="Open Sans"/>
        </w:rPr>
        <w:t>A</w:t>
      </w:r>
      <w:r w:rsidRPr="0000563D">
        <w:rPr>
          <w:rFonts w:cs="Open Sans"/>
        </w:rPr>
        <w:t>ct</w:t>
      </w:r>
    </w:p>
    <w:p w14:paraId="2C360F98" w14:textId="63A7C4F5" w:rsidR="00691A46" w:rsidRPr="0000563D" w:rsidRDefault="00691A46" w:rsidP="008911EA">
      <w:pPr>
        <w:pStyle w:val="ListBullet"/>
        <w:rPr>
          <w:rFonts w:cs="Open Sans"/>
        </w:rPr>
      </w:pPr>
      <w:r w:rsidRPr="0000563D">
        <w:rPr>
          <w:rFonts w:cs="Open Sans"/>
        </w:rPr>
        <w:t>provide reasons, if requested, for contending that unjustifiable hardship existed.</w:t>
      </w:r>
      <w:r w:rsidR="001679B5" w:rsidRPr="0000563D">
        <w:rPr>
          <w:rStyle w:val="EndnoteReference"/>
          <w:rFonts w:cs="Open Sans"/>
        </w:rPr>
        <w:endnoteReference w:id="153"/>
      </w:r>
    </w:p>
    <w:p w14:paraId="31010C31" w14:textId="77777777" w:rsidR="00691A46" w:rsidRPr="0000563D" w:rsidRDefault="00691A46" w:rsidP="008911EA">
      <w:r w:rsidRPr="0000563D">
        <w:t xml:space="preserve">The Commission supports the second proposed requirement, which aligns with principles of procedural fairness. In the Commission’s view, the first proposed requirement for all documents be retained is overly prescriptive and would be too burdensome on duty holders. The requirement to provide reasons for claiming the defence should be sufficient to achieve transparency and afford procedural fairness to people with disability. </w:t>
      </w:r>
    </w:p>
    <w:p w14:paraId="103D82B4" w14:textId="77777777" w:rsidR="00691A46" w:rsidRPr="0000563D" w:rsidRDefault="00691A46" w:rsidP="008911EA">
      <w:r w:rsidRPr="0000563D">
        <w:lastRenderedPageBreak/>
        <w:t>A similar requirement exists in the Fair Work Act and its associated National Employment Principles for employers to provide written explanation of the grounds for denying a flexible work arrangement.</w:t>
      </w:r>
      <w:r w:rsidRPr="0000563D">
        <w:rPr>
          <w:rStyle w:val="EndnoteReference"/>
        </w:rPr>
        <w:endnoteReference w:id="154"/>
      </w:r>
    </w:p>
    <w:p w14:paraId="22CBF122" w14:textId="18B094B7" w:rsidR="00691A46" w:rsidRPr="0000563D" w:rsidRDefault="00691A46" w:rsidP="008911EA">
      <w:pPr>
        <w:rPr>
          <w:b/>
        </w:rPr>
      </w:pPr>
      <w:r w:rsidRPr="0000563D">
        <w:rPr>
          <w:b/>
        </w:rPr>
        <w:t xml:space="preserve">Recommendation </w:t>
      </w:r>
      <w:r w:rsidR="000F1624" w:rsidRPr="0000563D">
        <w:rPr>
          <w:b/>
        </w:rPr>
        <w:t>1</w:t>
      </w:r>
      <w:r w:rsidR="009015CD" w:rsidRPr="0000563D">
        <w:rPr>
          <w:b/>
        </w:rPr>
        <w:t>7</w:t>
      </w:r>
      <w:r w:rsidRPr="0000563D">
        <w:rPr>
          <w:b/>
        </w:rPr>
        <w:t xml:space="preserve">: Section 11 of the </w:t>
      </w:r>
      <w:r w:rsidRPr="0000563D">
        <w:rPr>
          <w:b/>
          <w:i/>
        </w:rPr>
        <w:t>Disability Discrimination Act 1992</w:t>
      </w:r>
      <w:r w:rsidRPr="0000563D">
        <w:rPr>
          <w:b/>
        </w:rPr>
        <w:t xml:space="preserve"> (</w:t>
      </w:r>
      <w:proofErr w:type="spellStart"/>
      <w:r w:rsidRPr="0000563D">
        <w:rPr>
          <w:b/>
        </w:rPr>
        <w:t>Cth</w:t>
      </w:r>
      <w:proofErr w:type="spellEnd"/>
      <w:r w:rsidRPr="0000563D">
        <w:rPr>
          <w:b/>
        </w:rPr>
        <w:t>) should be amended to insert a requirement for duty holders to provide reasons, if requested, for contending that unjustifiable hardship existed at the time of alleged unlawful discrimination.</w:t>
      </w:r>
    </w:p>
    <w:p w14:paraId="04EE729B" w14:textId="77777777" w:rsidR="00691A46" w:rsidRPr="002D4943" w:rsidRDefault="00691A46" w:rsidP="00691A46">
      <w:pPr>
        <w:pStyle w:val="Heading2"/>
        <w:rPr>
          <w:rFonts w:ascii="Open Sans" w:hAnsi="Open Sans" w:cs="Open Sans"/>
        </w:rPr>
      </w:pPr>
      <w:bookmarkStart w:id="40" w:name="_Toc214961123"/>
      <w:r w:rsidRPr="002D4943">
        <w:rPr>
          <w:rFonts w:ascii="Open Sans" w:hAnsi="Open Sans" w:cs="Open Sans"/>
        </w:rPr>
        <w:t xml:space="preserve">Inherent requirements of </w:t>
      </w:r>
      <w:proofErr w:type="gramStart"/>
      <w:r w:rsidRPr="002D4943">
        <w:rPr>
          <w:rFonts w:ascii="Open Sans" w:hAnsi="Open Sans" w:cs="Open Sans"/>
        </w:rPr>
        <w:t>particular work</w:t>
      </w:r>
      <w:bookmarkEnd w:id="40"/>
      <w:proofErr w:type="gramEnd"/>
      <w:r w:rsidRPr="002D4943">
        <w:rPr>
          <w:rFonts w:ascii="Open Sans" w:hAnsi="Open Sans" w:cs="Open Sans"/>
        </w:rPr>
        <w:tab/>
      </w:r>
    </w:p>
    <w:p w14:paraId="4AAF6233" w14:textId="77777777" w:rsidR="00691A46" w:rsidRPr="0000563D" w:rsidRDefault="00691A46" w:rsidP="008911EA">
      <w:r w:rsidRPr="0000563D">
        <w:t>Under the Disability Discrimination Act, employers are required to offer equal employment opportunities to everyone. This means that, if a person with disability can perform the core activities or ‘inherent requirements’ of a role, then that person should have the same opportunity to do the job as anyone else.</w:t>
      </w:r>
    </w:p>
    <w:p w14:paraId="455719B7" w14:textId="77777777" w:rsidR="00691A46" w:rsidRPr="0000563D" w:rsidRDefault="00691A46" w:rsidP="008911EA">
      <w:r w:rsidRPr="0000563D">
        <w:t xml:space="preserve">Section 21A of the Disability Discrimination Act provides that it is not unlawful to discriminate against a person with disability in relation to </w:t>
      </w:r>
      <w:proofErr w:type="gramStart"/>
      <w:r w:rsidRPr="0000563D">
        <w:t>particular work</w:t>
      </w:r>
      <w:proofErr w:type="gramEnd"/>
      <w:r w:rsidRPr="0000563D">
        <w:t xml:space="preserve"> if the person with disability is unable to undertake the ‘inherent requirements’ of a role due to their disability, even with reasonable adjustments having been made.</w:t>
      </w:r>
      <w:r w:rsidRPr="0000563D">
        <w:rPr>
          <w:rStyle w:val="EndnoteReference"/>
        </w:rPr>
        <w:endnoteReference w:id="155"/>
      </w:r>
      <w:r w:rsidRPr="0000563D">
        <w:t xml:space="preserve"> </w:t>
      </w:r>
    </w:p>
    <w:p w14:paraId="39825D7E" w14:textId="611E3679" w:rsidR="00691A46" w:rsidRPr="0000563D" w:rsidRDefault="00691A46" w:rsidP="008911EA">
      <w:r w:rsidRPr="0000563D">
        <w:t>The Age Discrimination Act also provides for a defence of ‘inherent requirements’ and requires the same factors to be considered in determining ‘inherent requirements’ as in the Disability Discrimination Act.</w:t>
      </w:r>
      <w:r w:rsidRPr="0000563D">
        <w:rPr>
          <w:rStyle w:val="EndnoteReference"/>
        </w:rPr>
        <w:endnoteReference w:id="156"/>
      </w:r>
      <w:r w:rsidRPr="0000563D">
        <w:t xml:space="preserve"> The Fair Work Act includes a similar defence but does not require consideration of reasonable adjustments provided by the employer.</w:t>
      </w:r>
      <w:r w:rsidRPr="0000563D">
        <w:rPr>
          <w:vertAlign w:val="superscript"/>
        </w:rPr>
        <w:endnoteReference w:id="157"/>
      </w:r>
      <w:r w:rsidRPr="0000563D">
        <w:t xml:space="preserve"> The Disability Royal Commission also </w:t>
      </w:r>
      <w:r w:rsidR="00C37DDA" w:rsidRPr="0000563D">
        <w:t xml:space="preserve">considered the difference in </w:t>
      </w:r>
      <w:r w:rsidR="00913A3F" w:rsidRPr="0000563D">
        <w:t>formulation</w:t>
      </w:r>
      <w:r w:rsidRPr="0000563D">
        <w:t xml:space="preserve"> of inherent requirements between the Disability Discrimination Act and the Fair Work Act, but did not recommend legislative amendments in this regard.</w:t>
      </w:r>
      <w:r w:rsidRPr="0000563D">
        <w:rPr>
          <w:rStyle w:val="EndnoteReference"/>
        </w:rPr>
        <w:endnoteReference w:id="158"/>
      </w:r>
    </w:p>
    <w:p w14:paraId="74C1C915" w14:textId="13E7AA46" w:rsidR="00691A46" w:rsidRPr="0000563D" w:rsidRDefault="00691A46" w:rsidP="006E7E5F">
      <w:r w:rsidRPr="0000563D">
        <w:t>The Disability Royal Commission heard compelling evidence that the inherent requirements defence creates both attitudinal and tangible barriers to the employment of people with disability.</w:t>
      </w:r>
      <w:r w:rsidRPr="0000563D">
        <w:rPr>
          <w:rStyle w:val="EndnoteReference"/>
        </w:rPr>
        <w:endnoteReference w:id="159"/>
      </w:r>
      <w:r w:rsidRPr="0000563D">
        <w:t xml:space="preserve"> This corroborates evidence heard by the Commission in </w:t>
      </w:r>
      <w:r w:rsidR="007C05E1" w:rsidRPr="0000563D">
        <w:t xml:space="preserve">our </w:t>
      </w:r>
      <w:r w:rsidRPr="0000563D">
        <w:t>Willing to Work Inquiry that some employers are unwilling to remove requirements, even where it is not an inherent requirement of the job or where simple adjustments could be made to overcome the barrier.</w:t>
      </w:r>
      <w:r w:rsidRPr="0000563D">
        <w:rPr>
          <w:rStyle w:val="EndnoteReference"/>
        </w:rPr>
        <w:endnoteReference w:id="160"/>
      </w:r>
      <w:r w:rsidRPr="0000563D">
        <w:t xml:space="preserve"> The Commission also receives complaints about discrimination in employment caused by allegedly mistaken conclusions or assumptions that the complainant was not able to perform the inherent requirements of the role. </w:t>
      </w:r>
    </w:p>
    <w:p w14:paraId="09F7406C" w14:textId="000A5EBD" w:rsidR="00691A46" w:rsidRPr="0000563D" w:rsidRDefault="00691A46" w:rsidP="008911EA">
      <w:r w:rsidRPr="0000563D">
        <w:t xml:space="preserve">The Disability Discrimination Act does not include a definition of inherent requirements, nor the criteria for determining what requirements are inherent to a given role. </w:t>
      </w:r>
    </w:p>
    <w:p w14:paraId="6D6F2C13" w14:textId="77777777" w:rsidR="00691A46" w:rsidRPr="0000563D" w:rsidRDefault="00691A46" w:rsidP="008911EA">
      <w:r w:rsidRPr="0000563D">
        <w:lastRenderedPageBreak/>
        <w:t xml:space="preserve">The current test for whether a person with disability </w:t>
      </w:r>
      <w:proofErr w:type="gramStart"/>
      <w:r w:rsidRPr="0000563D">
        <w:t>is able to</w:t>
      </w:r>
      <w:proofErr w:type="gramEnd"/>
      <w:r w:rsidRPr="0000563D">
        <w:t xml:space="preserve"> undertake the inherent requirements of a role requires consideration of 3 factors: </w:t>
      </w:r>
    </w:p>
    <w:p w14:paraId="5CFAC19F" w14:textId="0CC278C2" w:rsidR="00691A46" w:rsidRPr="0000563D" w:rsidRDefault="00691A46" w:rsidP="00E86874">
      <w:pPr>
        <w:pStyle w:val="ListBullet"/>
        <w:rPr>
          <w:rFonts w:cs="Open Sans"/>
        </w:rPr>
      </w:pPr>
      <w:r w:rsidRPr="0000563D">
        <w:rPr>
          <w:rFonts w:cs="Open Sans"/>
        </w:rPr>
        <w:t xml:space="preserve">past training, qualifications and experience </w:t>
      </w:r>
    </w:p>
    <w:p w14:paraId="1AE2E02F" w14:textId="77777777" w:rsidR="00691A46" w:rsidRPr="0000563D" w:rsidRDefault="00691A46" w:rsidP="00E86874">
      <w:pPr>
        <w:pStyle w:val="ListBullet"/>
        <w:rPr>
          <w:rFonts w:cs="Open Sans"/>
        </w:rPr>
      </w:pPr>
      <w:r w:rsidRPr="0000563D">
        <w:rPr>
          <w:rFonts w:cs="Open Sans"/>
        </w:rPr>
        <w:t xml:space="preserve">the person’s performance at work, in cases where they are already employed, and </w:t>
      </w:r>
    </w:p>
    <w:p w14:paraId="0CBF2260" w14:textId="77777777" w:rsidR="00691A46" w:rsidRPr="0000563D" w:rsidRDefault="00691A46" w:rsidP="00E86874">
      <w:pPr>
        <w:pStyle w:val="ListBullet"/>
        <w:rPr>
          <w:rFonts w:cs="Open Sans"/>
        </w:rPr>
      </w:pPr>
      <w:r w:rsidRPr="0000563D">
        <w:rPr>
          <w:rFonts w:cs="Open Sans"/>
        </w:rPr>
        <w:t xml:space="preserve">any other factors that are reasonable to </w:t>
      </w:r>
      <w:proofErr w:type="gramStart"/>
      <w:r w:rsidRPr="0000563D">
        <w:rPr>
          <w:rFonts w:cs="Open Sans"/>
        </w:rPr>
        <w:t>take into account</w:t>
      </w:r>
      <w:proofErr w:type="gramEnd"/>
      <w:r w:rsidRPr="0000563D">
        <w:rPr>
          <w:rFonts w:cs="Open Sans"/>
        </w:rPr>
        <w:t>.</w:t>
      </w:r>
      <w:r w:rsidRPr="0000563D">
        <w:rPr>
          <w:rStyle w:val="EndnoteReference"/>
          <w:rFonts w:cs="Open Sans"/>
        </w:rPr>
        <w:endnoteReference w:id="161"/>
      </w:r>
      <w:r w:rsidRPr="0000563D">
        <w:rPr>
          <w:rFonts w:cs="Open Sans"/>
        </w:rPr>
        <w:t xml:space="preserve"> </w:t>
      </w:r>
    </w:p>
    <w:p w14:paraId="1B96724D" w14:textId="1B9F5BB5" w:rsidR="00691A46" w:rsidRPr="0000563D" w:rsidRDefault="00691A46" w:rsidP="008911EA">
      <w:r w:rsidRPr="0000563D">
        <w:t xml:space="preserve">Recommendation 7.26 of the Disability Royal Commission proposed </w:t>
      </w:r>
      <w:r w:rsidR="00160330" w:rsidRPr="0000563D">
        <w:t xml:space="preserve">2 </w:t>
      </w:r>
      <w:r w:rsidRPr="0000563D">
        <w:t xml:space="preserve">new factors to be included in section 21A of the Disability Discrimination Act: </w:t>
      </w:r>
    </w:p>
    <w:p w14:paraId="75ABBB00" w14:textId="77777777" w:rsidR="00691A46" w:rsidRPr="0000563D" w:rsidRDefault="00691A46" w:rsidP="00E86874">
      <w:pPr>
        <w:pStyle w:val="ListBullet"/>
        <w:rPr>
          <w:rFonts w:cs="Open Sans"/>
        </w:rPr>
      </w:pPr>
      <w:r w:rsidRPr="0000563D">
        <w:rPr>
          <w:rFonts w:cs="Open Sans"/>
        </w:rPr>
        <w:t>the nature and extent of any adjustments made</w:t>
      </w:r>
    </w:p>
    <w:p w14:paraId="5831F6B2" w14:textId="4BB1CE94" w:rsidR="00691A46" w:rsidRPr="0000563D" w:rsidRDefault="00691A46" w:rsidP="00E86874">
      <w:pPr>
        <w:pStyle w:val="ListBullet"/>
        <w:rPr>
          <w:rFonts w:cs="Open Sans"/>
        </w:rPr>
      </w:pPr>
      <w:r w:rsidRPr="0000563D">
        <w:rPr>
          <w:rFonts w:cs="Open Sans"/>
        </w:rPr>
        <w:t>the extent of consultation with any person with disability concerned.</w:t>
      </w:r>
      <w:r w:rsidR="000B4CBE" w:rsidRPr="0000563D">
        <w:rPr>
          <w:rStyle w:val="EndnoteReference"/>
          <w:rFonts w:cs="Open Sans"/>
        </w:rPr>
        <w:endnoteReference w:id="162"/>
      </w:r>
    </w:p>
    <w:p w14:paraId="0FD1E2B5" w14:textId="4B8DFAB1" w:rsidR="00691A46" w:rsidRPr="0000563D" w:rsidRDefault="00691A46" w:rsidP="008911EA">
      <w:r w:rsidRPr="0000563D">
        <w:t xml:space="preserve">The Commission considers that any amendments to the inherent requirements provisions should balance the need to remain general enough </w:t>
      </w:r>
      <w:proofErr w:type="gramStart"/>
      <w:r w:rsidRPr="0000563D">
        <w:t>so as to</w:t>
      </w:r>
      <w:proofErr w:type="gramEnd"/>
      <w:r w:rsidRPr="0000563D">
        <w:t xml:space="preserve"> be applicable to a broad range of employment contexts, afford flexibility, and be responsive to individual needs. The additions proposed by the Disability Royal Commission achieve these objectives, while providing greater clarity to employers on </w:t>
      </w:r>
      <w:r w:rsidR="00160330" w:rsidRPr="0000563D">
        <w:t xml:space="preserve">2 </w:t>
      </w:r>
      <w:r w:rsidRPr="0000563D">
        <w:t>relevant considerations for the assessment of inherent requirements. The encouragement to consult with the person with disability is key and should assist with addressing the underlying issues of employers making prejudiced decisions about a person’s capacity.</w:t>
      </w:r>
      <w:r w:rsidRPr="0000563D">
        <w:rPr>
          <w:rStyle w:val="EndnoteReference"/>
        </w:rPr>
        <w:endnoteReference w:id="163"/>
      </w:r>
      <w:r w:rsidRPr="0000563D">
        <w:t xml:space="preserve"> It will also bring the Disability Discrimination Act in line with CRPD standards and obligations.</w:t>
      </w:r>
    </w:p>
    <w:p w14:paraId="01F2FDA5" w14:textId="397BF35B" w:rsidR="00691A46" w:rsidRPr="0000563D" w:rsidRDefault="00691A46" w:rsidP="3D02EAC5">
      <w:pPr>
        <w:rPr>
          <w:b/>
          <w:bCs/>
        </w:rPr>
      </w:pPr>
      <w:r w:rsidRPr="0000563D">
        <w:rPr>
          <w:b/>
          <w:bCs/>
        </w:rPr>
        <w:t>Recommendation</w:t>
      </w:r>
      <w:r w:rsidR="00A264B0" w:rsidRPr="0000563D">
        <w:rPr>
          <w:b/>
          <w:bCs/>
        </w:rPr>
        <w:t xml:space="preserve"> 1</w:t>
      </w:r>
      <w:r w:rsidR="00AD3058" w:rsidRPr="0000563D">
        <w:rPr>
          <w:b/>
          <w:bCs/>
        </w:rPr>
        <w:t>8</w:t>
      </w:r>
      <w:r w:rsidRPr="0000563D">
        <w:rPr>
          <w:b/>
          <w:bCs/>
        </w:rPr>
        <w:t>: Section 21</w:t>
      </w:r>
      <w:proofErr w:type="gramStart"/>
      <w:r w:rsidRPr="0000563D">
        <w:rPr>
          <w:b/>
          <w:bCs/>
        </w:rPr>
        <w:t>A(</w:t>
      </w:r>
      <w:proofErr w:type="gramEnd"/>
      <w:r w:rsidRPr="0000563D">
        <w:rPr>
          <w:b/>
          <w:bCs/>
        </w:rPr>
        <w:t xml:space="preserve">2) of the </w:t>
      </w:r>
      <w:r w:rsidRPr="0000563D">
        <w:rPr>
          <w:b/>
          <w:bCs/>
          <w:i/>
          <w:iCs/>
        </w:rPr>
        <w:t>Disability Discrimination Act</w:t>
      </w:r>
      <w:r w:rsidR="004D1891" w:rsidRPr="0000563D">
        <w:rPr>
          <w:b/>
          <w:bCs/>
          <w:i/>
          <w:iCs/>
        </w:rPr>
        <w:t xml:space="preserve"> 1992</w:t>
      </w:r>
      <w:r w:rsidR="004D1891" w:rsidRPr="0000563D">
        <w:rPr>
          <w:b/>
          <w:bCs/>
        </w:rPr>
        <w:t xml:space="preserve"> (</w:t>
      </w:r>
      <w:proofErr w:type="spellStart"/>
      <w:r w:rsidR="004D1891" w:rsidRPr="0000563D">
        <w:rPr>
          <w:b/>
          <w:bCs/>
        </w:rPr>
        <w:t>Cth</w:t>
      </w:r>
      <w:proofErr w:type="spellEnd"/>
      <w:r w:rsidR="004D1891" w:rsidRPr="0000563D">
        <w:rPr>
          <w:b/>
          <w:bCs/>
        </w:rPr>
        <w:t>)</w:t>
      </w:r>
      <w:r w:rsidRPr="0000563D">
        <w:rPr>
          <w:b/>
          <w:bCs/>
        </w:rPr>
        <w:t xml:space="preserve"> should be amended to include </w:t>
      </w:r>
      <w:r w:rsidR="00160330" w:rsidRPr="0000563D">
        <w:rPr>
          <w:b/>
          <w:bCs/>
        </w:rPr>
        <w:t xml:space="preserve">2 </w:t>
      </w:r>
      <w:r w:rsidRPr="0000563D">
        <w:rPr>
          <w:b/>
          <w:bCs/>
        </w:rPr>
        <w:t xml:space="preserve">additional factors to be taken in account: </w:t>
      </w:r>
    </w:p>
    <w:p w14:paraId="61F945C8" w14:textId="77777777" w:rsidR="00691A46" w:rsidRPr="0000563D" w:rsidRDefault="00691A46" w:rsidP="00606A3C">
      <w:pPr>
        <w:pStyle w:val="ListParagraph"/>
        <w:numPr>
          <w:ilvl w:val="0"/>
          <w:numId w:val="12"/>
        </w:numPr>
        <w:rPr>
          <w:b/>
          <w:bCs/>
        </w:rPr>
      </w:pPr>
      <w:r w:rsidRPr="0000563D">
        <w:rPr>
          <w:b/>
          <w:bCs/>
        </w:rPr>
        <w:t>the nature and extent of any adjustments made</w:t>
      </w:r>
    </w:p>
    <w:p w14:paraId="32F6F542" w14:textId="70E996E6" w:rsidR="00691A46" w:rsidRPr="0000563D" w:rsidRDefault="00691A46" w:rsidP="00606A3C">
      <w:pPr>
        <w:pStyle w:val="ListParagraph"/>
        <w:numPr>
          <w:ilvl w:val="0"/>
          <w:numId w:val="12"/>
        </w:numPr>
        <w:rPr>
          <w:b/>
          <w:bCs/>
        </w:rPr>
      </w:pPr>
      <w:r w:rsidRPr="0000563D">
        <w:rPr>
          <w:b/>
          <w:bCs/>
        </w:rPr>
        <w:t>the extent of consultation with any person with disability concerned.</w:t>
      </w:r>
    </w:p>
    <w:p w14:paraId="71056EF8" w14:textId="557DD845" w:rsidR="00691A46" w:rsidRPr="0000563D" w:rsidRDefault="00691A46" w:rsidP="008911EA">
      <w:r w:rsidRPr="0000563D">
        <w:t xml:space="preserve">The Issues Paper seeks views on any other legislative amendments to the definition of inherent requirements, including factors that should be considered when deciding whether a person could carry out these requirements. This was not the subject of a Disability Royal Commission recommendation. There is a risk that introducing more statutory criteria could be overly prescriptive and inadvertently limit or narrow the flexibility, scope and innovation around inherent requirements. </w:t>
      </w:r>
    </w:p>
    <w:p w14:paraId="787F2191" w14:textId="54690EA8" w:rsidR="00691A46" w:rsidRPr="0000563D" w:rsidRDefault="00691A46" w:rsidP="008911EA">
      <w:r w:rsidRPr="0000563D">
        <w:t xml:space="preserve">Counsel assisting the Disability Royal Commission made several suggestions on actions </w:t>
      </w:r>
      <w:r w:rsidR="00B57C28" w:rsidRPr="0000563D">
        <w:t>to</w:t>
      </w:r>
      <w:r w:rsidRPr="0000563D">
        <w:t xml:space="preserve"> address the low expectations and assumptions sometimes held by employers that the existence of disability inherently creates a risk that needs to be mitigated and managed.</w:t>
      </w:r>
      <w:r w:rsidRPr="0000563D">
        <w:rPr>
          <w:rStyle w:val="EndnoteReference"/>
        </w:rPr>
        <w:endnoteReference w:id="164"/>
      </w:r>
      <w:r w:rsidRPr="0000563D">
        <w:t xml:space="preserve"> These included taking different approaches to job design (such as job customisation) and diversifying measurements of an employee’s capacity to meet job requirements away from a sole reliance on medical assessments.</w:t>
      </w:r>
      <w:r w:rsidRPr="0000563D">
        <w:rPr>
          <w:rStyle w:val="EndnoteReference"/>
        </w:rPr>
        <w:endnoteReference w:id="165"/>
      </w:r>
      <w:r w:rsidRPr="0000563D">
        <w:t xml:space="preserve"> </w:t>
      </w:r>
    </w:p>
    <w:p w14:paraId="4037B315" w14:textId="3CC58D6B" w:rsidR="00691A46" w:rsidRPr="0000563D" w:rsidRDefault="00691A46" w:rsidP="008911EA">
      <w:r w:rsidRPr="0000563D">
        <w:lastRenderedPageBreak/>
        <w:t xml:space="preserve">The evaluation of the Commission’s </w:t>
      </w:r>
      <w:proofErr w:type="spellStart"/>
      <w:r w:rsidRPr="0000563D">
        <w:t>IncludeAbility</w:t>
      </w:r>
      <w:proofErr w:type="spellEnd"/>
      <w:r w:rsidR="00BE3154" w:rsidRPr="0000563D">
        <w:t xml:space="preserve"> (Equality at Work)</w:t>
      </w:r>
      <w:r w:rsidRPr="0000563D">
        <w:t xml:space="preserve"> project found that barriers to employment for people with disability are complex and relate to the operating environment of each particular employer.</w:t>
      </w:r>
      <w:r w:rsidR="00D14E96" w:rsidRPr="0000563D">
        <w:rPr>
          <w:rStyle w:val="EndnoteReference"/>
        </w:rPr>
        <w:endnoteReference w:id="166"/>
      </w:r>
      <w:r w:rsidRPr="0000563D">
        <w:t xml:space="preserve"> These organisational drivers were often found to be ‘hidden’ in an organisation’s business as usual activities, such as accepted KPIs and job descriptions with outdated inherent requirements for a role, that were often unrevised for long periods of time.</w:t>
      </w:r>
      <w:r w:rsidR="00EF0F27" w:rsidRPr="0000563D">
        <w:rPr>
          <w:rStyle w:val="EndnoteReference"/>
        </w:rPr>
        <w:endnoteReference w:id="167"/>
      </w:r>
      <w:r w:rsidRPr="0000563D">
        <w:t xml:space="preserve"> The evaluation pointed to the need for mechanisms to make visible these barriers within each organisation and a bespoke approach developed to addressing them.</w:t>
      </w:r>
      <w:r w:rsidRPr="0000563D">
        <w:rPr>
          <w:rStyle w:val="EndnoteReference"/>
        </w:rPr>
        <w:endnoteReference w:id="168"/>
      </w:r>
    </w:p>
    <w:p w14:paraId="33DE0CC3" w14:textId="292C1E25" w:rsidR="00691A46" w:rsidRPr="0000563D" w:rsidRDefault="00691A46" w:rsidP="008911EA">
      <w:r w:rsidRPr="0000563D">
        <w:t xml:space="preserve">One example of the need to leave room for innovation around ways of working </w:t>
      </w:r>
      <w:r w:rsidR="0038409F" w:rsidRPr="0000563D">
        <w:t xml:space="preserve">is </w:t>
      </w:r>
      <w:r w:rsidRPr="0000563D">
        <w:t xml:space="preserve">during the COVID-19 pandemic where requirements were quickly adapted to fit restrictions on movement imposed by government. Many of the changes introduced were done so out of necessity and went far beyond what employers would previously have considered as possible or even desirable </w:t>
      </w:r>
      <w:r w:rsidR="00061326" w:rsidRPr="0000563D">
        <w:t>prior to the</w:t>
      </w:r>
      <w:r w:rsidR="00F0366F" w:rsidRPr="0000563D">
        <w:t xml:space="preserve"> </w:t>
      </w:r>
      <w:r w:rsidRPr="0000563D">
        <w:t xml:space="preserve">pandemic. Yet, many employees with disability reported benefitting from some of the measures. </w:t>
      </w:r>
    </w:p>
    <w:p w14:paraId="689C7066" w14:textId="6F608AEF" w:rsidR="00691A46" w:rsidRPr="0000563D" w:rsidRDefault="00691A46" w:rsidP="008911EA">
      <w:r w:rsidRPr="0000563D">
        <w:t xml:space="preserve">It is critical that the Disability Discrimination Act be future proofed </w:t>
      </w:r>
      <w:proofErr w:type="gramStart"/>
      <w:r w:rsidRPr="0000563D">
        <w:t>so as to</w:t>
      </w:r>
      <w:proofErr w:type="gramEnd"/>
      <w:r w:rsidRPr="0000563D">
        <w:t xml:space="preserve"> set the conditions for substantive equality all the</w:t>
      </w:r>
      <w:r w:rsidR="00205D9E" w:rsidRPr="0000563D">
        <w:t xml:space="preserve"> while</w:t>
      </w:r>
      <w:r w:rsidRPr="0000563D">
        <w:t xml:space="preserve"> leaving room for innovations to emerge in step with changes in the job market and technological and other advancements. These types of approaches to inherent requirements are outside the scope of what can be encoded in the Disability Discrimination Act. It is also likely that the introduction of a positive duty to eliminate discrimination will </w:t>
      </w:r>
      <w:r w:rsidR="005C17D3" w:rsidRPr="0000563D">
        <w:t>assist in this by</w:t>
      </w:r>
      <w:r w:rsidRPr="0000563D">
        <w:t xml:space="preserve">, for example, encouraging employers to think about job design at an earlier stage. </w:t>
      </w:r>
    </w:p>
    <w:p w14:paraId="5490F7E8" w14:textId="693368A6" w:rsidR="00691A46" w:rsidRPr="0000563D" w:rsidRDefault="00691A46" w:rsidP="008911EA">
      <w:r w:rsidRPr="0000563D">
        <w:t xml:space="preserve">The Productivity Commission </w:t>
      </w:r>
      <w:r w:rsidR="00A21D3B" w:rsidRPr="0000563D">
        <w:t>considered amendments to define inherent requirements but</w:t>
      </w:r>
      <w:r w:rsidR="00BC02EC" w:rsidRPr="0000563D">
        <w:t>,</w:t>
      </w:r>
      <w:r w:rsidR="00A21D3B" w:rsidRPr="0000563D">
        <w:t xml:space="preserve"> instead</w:t>
      </w:r>
      <w:r w:rsidR="00BC02EC" w:rsidRPr="0000563D">
        <w:t>,</w:t>
      </w:r>
      <w:r w:rsidR="00A21D3B" w:rsidRPr="0000563D">
        <w:t xml:space="preserve"> </w:t>
      </w:r>
      <w:r w:rsidRPr="0000563D">
        <w:t xml:space="preserve">favoured </w:t>
      </w:r>
      <w:r w:rsidR="00A21D3B" w:rsidRPr="0000563D">
        <w:t>the</w:t>
      </w:r>
      <w:r w:rsidRPr="0000563D">
        <w:t xml:space="preserve"> non</w:t>
      </w:r>
      <w:r w:rsidR="00BC02EC" w:rsidRPr="0000563D">
        <w:t>-</w:t>
      </w:r>
      <w:r w:rsidRPr="0000563D">
        <w:t>regulatory option</w:t>
      </w:r>
      <w:r w:rsidR="00A21D3B" w:rsidRPr="0000563D">
        <w:t xml:space="preserve"> of</w:t>
      </w:r>
      <w:r w:rsidRPr="0000563D">
        <w:t xml:space="preserve"> </w:t>
      </w:r>
      <w:r w:rsidR="00A21D3B" w:rsidRPr="0000563D">
        <w:t>developing</w:t>
      </w:r>
      <w:r w:rsidRPr="0000563D">
        <w:t xml:space="preserve"> Guidelines as a more practical approach.</w:t>
      </w:r>
      <w:r w:rsidRPr="0000563D">
        <w:rPr>
          <w:rStyle w:val="EndnoteReference"/>
        </w:rPr>
        <w:endnoteReference w:id="169"/>
      </w:r>
      <w:r w:rsidRPr="0000563D">
        <w:t xml:space="preserve"> The Commission agrees that guidance materials, rather than legislative amendments, are the best way to support employers in decisions relating to inherent requirements. Guidance material could include helpful jurisprudence and be updated to include contemporary examples of good practice as they emerge and provide clarification on the relationship between Disability Discrimination Act and work health and safety requirements. </w:t>
      </w:r>
    </w:p>
    <w:p w14:paraId="4A7C8C3E" w14:textId="5B2A68E5" w:rsidR="008E13B9" w:rsidRPr="002D4943" w:rsidRDefault="008E13B9" w:rsidP="008E13B9">
      <w:pPr>
        <w:pStyle w:val="Heading1"/>
        <w:rPr>
          <w:rFonts w:ascii="Open Sans" w:hAnsi="Open Sans" w:cs="Open Sans"/>
        </w:rPr>
      </w:pPr>
      <w:bookmarkStart w:id="41" w:name="_Toc214961124"/>
      <w:r w:rsidRPr="002D4943">
        <w:rPr>
          <w:rFonts w:ascii="Open Sans" w:hAnsi="Open Sans" w:cs="Open Sans"/>
        </w:rPr>
        <w:t>Positive duty to eliminate discrimination</w:t>
      </w:r>
      <w:bookmarkEnd w:id="41"/>
    </w:p>
    <w:p w14:paraId="297DB1A7" w14:textId="5A86D506" w:rsidR="00A46039" w:rsidRPr="0000563D" w:rsidRDefault="007C75EE" w:rsidP="000217C7">
      <w:pPr>
        <w:pStyle w:val="Sectionsummarybody"/>
        <w:rPr>
          <w:rFonts w:cs="Open Sans"/>
        </w:rPr>
      </w:pPr>
      <w:r w:rsidRPr="0000563D">
        <w:rPr>
          <w:rFonts w:cs="Open Sans"/>
        </w:rPr>
        <w:t xml:space="preserve">The </w:t>
      </w:r>
      <w:r w:rsidR="002956E2" w:rsidRPr="0000563D">
        <w:rPr>
          <w:rFonts w:cs="Open Sans"/>
        </w:rPr>
        <w:t xml:space="preserve">Disability Discrimination Act </w:t>
      </w:r>
      <w:r w:rsidR="00EB3660" w:rsidRPr="0000563D">
        <w:rPr>
          <w:rFonts w:cs="Open Sans"/>
        </w:rPr>
        <w:t>should be</w:t>
      </w:r>
      <w:r w:rsidR="002956E2" w:rsidRPr="0000563D">
        <w:rPr>
          <w:rFonts w:cs="Open Sans"/>
        </w:rPr>
        <w:t xml:space="preserve"> amended to include </w:t>
      </w:r>
      <w:r w:rsidR="00E94324" w:rsidRPr="0000563D">
        <w:rPr>
          <w:rFonts w:cs="Open Sans"/>
        </w:rPr>
        <w:t xml:space="preserve">a positive duty </w:t>
      </w:r>
      <w:r w:rsidR="00285B65" w:rsidRPr="0000563D">
        <w:rPr>
          <w:rFonts w:cs="Open Sans"/>
        </w:rPr>
        <w:t xml:space="preserve">to </w:t>
      </w:r>
      <w:r w:rsidR="003D7B06" w:rsidRPr="0000563D">
        <w:rPr>
          <w:rFonts w:cs="Open Sans"/>
        </w:rPr>
        <w:t xml:space="preserve">take reasonable </w:t>
      </w:r>
      <w:r w:rsidR="00822836" w:rsidRPr="0000563D">
        <w:rPr>
          <w:rFonts w:cs="Open Sans"/>
        </w:rPr>
        <w:t>steps to</w:t>
      </w:r>
      <w:r w:rsidR="00285B65" w:rsidRPr="0000563D">
        <w:rPr>
          <w:rFonts w:cs="Open Sans"/>
        </w:rPr>
        <w:t xml:space="preserve"> eliminate discrimination</w:t>
      </w:r>
      <w:r w:rsidR="002956E2" w:rsidRPr="0000563D">
        <w:rPr>
          <w:rFonts w:cs="Open Sans"/>
        </w:rPr>
        <w:t>, as far as possible</w:t>
      </w:r>
      <w:r w:rsidR="00285B65" w:rsidRPr="0000563D">
        <w:rPr>
          <w:rFonts w:cs="Open Sans"/>
        </w:rPr>
        <w:t xml:space="preserve">. A positive duty would mean that duty holders </w:t>
      </w:r>
      <w:proofErr w:type="gramStart"/>
      <w:r w:rsidR="00285B65" w:rsidRPr="0000563D">
        <w:rPr>
          <w:rFonts w:cs="Open Sans"/>
        </w:rPr>
        <w:t>have to</w:t>
      </w:r>
      <w:proofErr w:type="gramEnd"/>
      <w:r w:rsidR="00285B65" w:rsidRPr="0000563D">
        <w:rPr>
          <w:rFonts w:cs="Open Sans"/>
        </w:rPr>
        <w:t xml:space="preserve"> take proactive steps to prevent disability discrimination from occurring, rather than </w:t>
      </w:r>
      <w:r w:rsidR="009C47F3" w:rsidRPr="0000563D">
        <w:rPr>
          <w:rFonts w:cs="Open Sans"/>
        </w:rPr>
        <w:t xml:space="preserve">relying on </w:t>
      </w:r>
      <w:r w:rsidR="00A82DC3" w:rsidRPr="0000563D">
        <w:rPr>
          <w:rFonts w:cs="Open Sans"/>
        </w:rPr>
        <w:t xml:space="preserve">people </w:t>
      </w:r>
      <w:r w:rsidR="000E53A1" w:rsidRPr="0000563D">
        <w:rPr>
          <w:rFonts w:cs="Open Sans"/>
        </w:rPr>
        <w:t xml:space="preserve">who have experienced discrimination </w:t>
      </w:r>
      <w:r w:rsidR="00DD175F" w:rsidRPr="0000563D">
        <w:rPr>
          <w:rFonts w:cs="Open Sans"/>
        </w:rPr>
        <w:t xml:space="preserve">to </w:t>
      </w:r>
      <w:proofErr w:type="gramStart"/>
      <w:r w:rsidR="00DD175F" w:rsidRPr="0000563D">
        <w:rPr>
          <w:rFonts w:cs="Open Sans"/>
        </w:rPr>
        <w:t>take action</w:t>
      </w:r>
      <w:proofErr w:type="gramEnd"/>
      <w:r w:rsidR="00DD175F" w:rsidRPr="0000563D">
        <w:rPr>
          <w:rFonts w:cs="Open Sans"/>
        </w:rPr>
        <w:t xml:space="preserve"> </w:t>
      </w:r>
      <w:r w:rsidR="00285B65" w:rsidRPr="0000563D">
        <w:rPr>
          <w:rFonts w:cs="Open Sans"/>
        </w:rPr>
        <w:t xml:space="preserve">after harm occurs. </w:t>
      </w:r>
      <w:r w:rsidR="00651213" w:rsidRPr="0000563D">
        <w:rPr>
          <w:rFonts w:cs="Open Sans"/>
        </w:rPr>
        <w:lastRenderedPageBreak/>
        <w:t>Introducing a positive duty aligns with Australia’s human rights obligations, including the CRPD, to promote equality and inclusion for people with disability.</w:t>
      </w:r>
    </w:p>
    <w:p w14:paraId="5B775ED5" w14:textId="09552A66" w:rsidR="00720162" w:rsidRPr="0000563D" w:rsidRDefault="00C578B3" w:rsidP="000217C7">
      <w:pPr>
        <w:pStyle w:val="Sectionsummarybody"/>
        <w:rPr>
          <w:rFonts w:cs="Open Sans"/>
        </w:rPr>
      </w:pPr>
      <w:r w:rsidRPr="0000563D">
        <w:rPr>
          <w:rFonts w:cs="Open Sans"/>
        </w:rPr>
        <w:t xml:space="preserve">The duty </w:t>
      </w:r>
      <w:r w:rsidR="00343DCF" w:rsidRPr="0000563D">
        <w:rPr>
          <w:rFonts w:cs="Open Sans"/>
        </w:rPr>
        <w:t>should apply</w:t>
      </w:r>
      <w:r w:rsidRPr="0000563D">
        <w:rPr>
          <w:rFonts w:cs="Open Sans"/>
        </w:rPr>
        <w:t xml:space="preserve"> to all areas of public life </w:t>
      </w:r>
      <w:r w:rsidR="002A329F" w:rsidRPr="0000563D">
        <w:rPr>
          <w:rFonts w:cs="Open Sans"/>
        </w:rPr>
        <w:t>covered by</w:t>
      </w:r>
      <w:r w:rsidRPr="0000563D">
        <w:rPr>
          <w:rFonts w:cs="Open Sans"/>
        </w:rPr>
        <w:t xml:space="preserve"> the Disability Discrimination Act</w:t>
      </w:r>
      <w:r w:rsidR="002A329F" w:rsidRPr="0000563D">
        <w:rPr>
          <w:rFonts w:cs="Open Sans"/>
        </w:rPr>
        <w:t xml:space="preserve"> and </w:t>
      </w:r>
      <w:r w:rsidR="00343DCF" w:rsidRPr="0000563D">
        <w:rPr>
          <w:rFonts w:cs="Open Sans"/>
        </w:rPr>
        <w:t>be</w:t>
      </w:r>
      <w:r w:rsidRPr="0000563D">
        <w:rPr>
          <w:rFonts w:cs="Open Sans"/>
        </w:rPr>
        <w:t xml:space="preserve"> implemented in stage</w:t>
      </w:r>
      <w:r w:rsidR="00892859" w:rsidRPr="0000563D">
        <w:rPr>
          <w:rFonts w:cs="Open Sans"/>
        </w:rPr>
        <w:t>s</w:t>
      </w:r>
      <w:r w:rsidRPr="0000563D">
        <w:rPr>
          <w:rFonts w:cs="Open Sans"/>
        </w:rPr>
        <w:t xml:space="preserve">. </w:t>
      </w:r>
    </w:p>
    <w:p w14:paraId="4C3250D2" w14:textId="1EB7FFCA" w:rsidR="000217C7" w:rsidRPr="0000563D" w:rsidRDefault="00A46039" w:rsidP="000217C7">
      <w:pPr>
        <w:pStyle w:val="Sectionsummarybody"/>
        <w:rPr>
          <w:rFonts w:cs="Open Sans"/>
        </w:rPr>
      </w:pPr>
      <w:r w:rsidRPr="0000563D">
        <w:rPr>
          <w:rFonts w:cs="Open Sans"/>
        </w:rPr>
        <w:t xml:space="preserve">Learnings from the Commission’s implementation of a positive duty in the Sex Discrimination Act </w:t>
      </w:r>
      <w:r w:rsidR="00592C1B" w:rsidRPr="0000563D">
        <w:rPr>
          <w:rFonts w:cs="Open Sans"/>
        </w:rPr>
        <w:t>(supplemented at Appendix A)</w:t>
      </w:r>
      <w:r w:rsidR="00720162" w:rsidRPr="0000563D">
        <w:rPr>
          <w:rFonts w:cs="Open Sans"/>
        </w:rPr>
        <w:t xml:space="preserve"> </w:t>
      </w:r>
      <w:r w:rsidR="00316752" w:rsidRPr="0000563D">
        <w:rPr>
          <w:rFonts w:cs="Open Sans"/>
        </w:rPr>
        <w:t>demonstrate the impact of such a duty</w:t>
      </w:r>
      <w:r w:rsidR="00592C1B" w:rsidRPr="0000563D">
        <w:rPr>
          <w:rFonts w:cs="Open Sans"/>
        </w:rPr>
        <w:t>.</w:t>
      </w:r>
      <w:r w:rsidR="00277AEC" w:rsidRPr="0000563D">
        <w:rPr>
          <w:rFonts w:cs="Open Sans"/>
        </w:rPr>
        <w:t xml:space="preserve"> Recommendations are made </w:t>
      </w:r>
      <w:r w:rsidR="00720162" w:rsidRPr="0000563D">
        <w:rPr>
          <w:rFonts w:cs="Open Sans"/>
        </w:rPr>
        <w:t>for</w:t>
      </w:r>
      <w:r w:rsidR="00260CE1" w:rsidRPr="0000563D">
        <w:rPr>
          <w:rFonts w:cs="Open Sans"/>
        </w:rPr>
        <w:t xml:space="preserve"> improvements to enforcement</w:t>
      </w:r>
      <w:r w:rsidR="00592E89" w:rsidRPr="0000563D">
        <w:rPr>
          <w:rFonts w:cs="Open Sans"/>
        </w:rPr>
        <w:t xml:space="preserve"> powers</w:t>
      </w:r>
      <w:r w:rsidR="001230CD" w:rsidRPr="0000563D">
        <w:rPr>
          <w:rFonts w:cs="Open Sans"/>
        </w:rPr>
        <w:t xml:space="preserve"> </w:t>
      </w:r>
      <w:r w:rsidR="007439DD" w:rsidRPr="0000563D">
        <w:rPr>
          <w:rFonts w:cs="Open Sans"/>
        </w:rPr>
        <w:t>and adequate resourcing for the</w:t>
      </w:r>
      <w:r w:rsidR="0024666D" w:rsidRPr="0000563D">
        <w:rPr>
          <w:rFonts w:cs="Open Sans"/>
        </w:rPr>
        <w:t xml:space="preserve"> Commission </w:t>
      </w:r>
      <w:r w:rsidR="00581D7A" w:rsidRPr="0000563D">
        <w:rPr>
          <w:rFonts w:cs="Open Sans"/>
        </w:rPr>
        <w:t>to</w:t>
      </w:r>
      <w:r w:rsidR="005F532E" w:rsidRPr="0000563D">
        <w:rPr>
          <w:rFonts w:cs="Open Sans"/>
        </w:rPr>
        <w:t xml:space="preserve"> effectively</w:t>
      </w:r>
      <w:r w:rsidR="0024666D" w:rsidRPr="0000563D">
        <w:rPr>
          <w:rFonts w:cs="Open Sans"/>
        </w:rPr>
        <w:t xml:space="preserve"> </w:t>
      </w:r>
      <w:r w:rsidR="004A2DBF" w:rsidRPr="0000563D">
        <w:rPr>
          <w:rFonts w:cs="Open Sans"/>
        </w:rPr>
        <w:t xml:space="preserve">undertake </w:t>
      </w:r>
      <w:r w:rsidR="00660F6E" w:rsidRPr="0000563D">
        <w:rPr>
          <w:rFonts w:cs="Open Sans"/>
        </w:rPr>
        <w:t xml:space="preserve">enforcement </w:t>
      </w:r>
      <w:r w:rsidR="000B4CFC" w:rsidRPr="0000563D">
        <w:rPr>
          <w:rFonts w:cs="Open Sans"/>
        </w:rPr>
        <w:t xml:space="preserve">and </w:t>
      </w:r>
      <w:r w:rsidR="0024666D" w:rsidRPr="0000563D">
        <w:rPr>
          <w:rFonts w:cs="Open Sans"/>
        </w:rPr>
        <w:t>educate</w:t>
      </w:r>
      <w:r w:rsidR="0005301B" w:rsidRPr="0000563D">
        <w:rPr>
          <w:rFonts w:cs="Open Sans"/>
        </w:rPr>
        <w:t xml:space="preserve"> duty holders</w:t>
      </w:r>
      <w:r w:rsidR="00592E89" w:rsidRPr="0000563D">
        <w:rPr>
          <w:rFonts w:cs="Open Sans"/>
        </w:rPr>
        <w:t xml:space="preserve"> on the </w:t>
      </w:r>
      <w:r w:rsidR="00E378B5" w:rsidRPr="0000563D">
        <w:rPr>
          <w:rFonts w:cs="Open Sans"/>
        </w:rPr>
        <w:t xml:space="preserve">proposed </w:t>
      </w:r>
      <w:r w:rsidR="00592E89" w:rsidRPr="0000563D">
        <w:rPr>
          <w:rFonts w:cs="Open Sans"/>
        </w:rPr>
        <w:t>positive duty in the Disability Discrimination Act</w:t>
      </w:r>
      <w:r w:rsidR="0024666D" w:rsidRPr="0000563D">
        <w:rPr>
          <w:rFonts w:cs="Open Sans"/>
        </w:rPr>
        <w:t>.</w:t>
      </w:r>
    </w:p>
    <w:p w14:paraId="4F6B0FF7" w14:textId="4DDEF457" w:rsidR="00D845A5" w:rsidRPr="0000563D" w:rsidRDefault="009E2115" w:rsidP="008911EA">
      <w:r w:rsidRPr="0000563D">
        <w:t xml:space="preserve">The CRPD affirms that the realisation of the right to equality and </w:t>
      </w:r>
      <w:r w:rsidR="00DE67DC" w:rsidRPr="0000563D">
        <w:t>non-discrimination</w:t>
      </w:r>
      <w:r w:rsidRPr="0000563D">
        <w:t xml:space="preserve"> requires States Parties to comply with positive obligations. </w:t>
      </w:r>
    </w:p>
    <w:p w14:paraId="7838A49F" w14:textId="6632B1EB" w:rsidR="000A5D86" w:rsidRPr="0000563D" w:rsidRDefault="000A5D86" w:rsidP="008911EA">
      <w:r w:rsidRPr="0000563D">
        <w:t>The most significant reform proposed in the Issues Paper is the</w:t>
      </w:r>
      <w:r w:rsidR="00980940" w:rsidRPr="0000563D">
        <w:t xml:space="preserve"> introduction of</w:t>
      </w:r>
      <w:r w:rsidRPr="0000563D">
        <w:t xml:space="preserve"> a positive duty to eliminate disability discrimination, harassment and victimisation in all areas of public life protected under the Disability Discrimination Act. </w:t>
      </w:r>
    </w:p>
    <w:p w14:paraId="509AA721" w14:textId="73253B54" w:rsidR="00D845A5" w:rsidRPr="0000563D" w:rsidRDefault="00D845A5" w:rsidP="008911EA">
      <w:r w:rsidRPr="0000563D">
        <w:t>Th</w:t>
      </w:r>
      <w:r w:rsidR="000A5D86" w:rsidRPr="0000563D">
        <w:t>is is in response to Disability Royal Commission findings that Australia’s</w:t>
      </w:r>
      <w:r w:rsidRPr="0000563D">
        <w:t xml:space="preserve"> system of federal discrimination law often does not address systemic problems.</w:t>
      </w:r>
      <w:r w:rsidRPr="0000563D">
        <w:rPr>
          <w:rStyle w:val="EndnoteReference"/>
        </w:rPr>
        <w:endnoteReference w:id="170"/>
      </w:r>
      <w:r w:rsidRPr="0000563D">
        <w:t xml:space="preserve"> Systemic remedies can result through conciliation, but courts are unlikely to order them as the Discrimination Acts do not explicitly authorise systemic remedies, and because the focus of a court is on the achievement of justice for the individual</w:t>
      </w:r>
      <w:r w:rsidR="000262EE" w:rsidRPr="0000563D">
        <w:t>,</w:t>
      </w:r>
      <w:r w:rsidRPr="0000563D">
        <w:t xml:space="preserve"> after the fact. Ideally, systemic changes can be made early, when problems are first identified, preventing the need for an individual to go to court altogether.</w:t>
      </w:r>
      <w:r w:rsidRPr="0000563D">
        <w:rPr>
          <w:rStyle w:val="EndnoteReference"/>
        </w:rPr>
        <w:endnoteReference w:id="171"/>
      </w:r>
    </w:p>
    <w:p w14:paraId="743BAA98" w14:textId="01A733D5" w:rsidR="00F62251" w:rsidRPr="002D4943" w:rsidRDefault="00F62251" w:rsidP="00A2165D">
      <w:pPr>
        <w:pStyle w:val="Heading2"/>
        <w:rPr>
          <w:rFonts w:ascii="Open Sans" w:hAnsi="Open Sans" w:cs="Open Sans"/>
        </w:rPr>
      </w:pPr>
      <w:bookmarkStart w:id="42" w:name="_Toc214961125"/>
      <w:r w:rsidRPr="002D4943">
        <w:rPr>
          <w:rFonts w:ascii="Open Sans" w:hAnsi="Open Sans" w:cs="Open Sans"/>
        </w:rPr>
        <w:t xml:space="preserve">Costs and </w:t>
      </w:r>
      <w:r w:rsidR="00C046DD" w:rsidRPr="002D4943">
        <w:rPr>
          <w:rFonts w:ascii="Open Sans" w:hAnsi="Open Sans" w:cs="Open Sans"/>
        </w:rPr>
        <w:t>b</w:t>
      </w:r>
      <w:r w:rsidRPr="002D4943">
        <w:rPr>
          <w:rFonts w:ascii="Open Sans" w:hAnsi="Open Sans" w:cs="Open Sans"/>
        </w:rPr>
        <w:t>enefits of a positive duty</w:t>
      </w:r>
      <w:bookmarkEnd w:id="42"/>
    </w:p>
    <w:p w14:paraId="068326F8" w14:textId="2437BE09" w:rsidR="00D845A5" w:rsidRPr="0000563D" w:rsidRDefault="00401C29" w:rsidP="008911EA">
      <w:r w:rsidRPr="0000563D">
        <w:t>People with disability have the right to full and equal enjoyment of all human rights and fundamental freedoms, including respect for their inherent dignity and individual autonomy.</w:t>
      </w:r>
      <w:r w:rsidR="00771E72" w:rsidRPr="0000563D">
        <w:rPr>
          <w:rFonts w:eastAsia="Open Sans"/>
          <w:lang w:val="en-GB"/>
        </w:rPr>
        <w:t xml:space="preserve"> </w:t>
      </w:r>
      <w:r w:rsidR="00D845A5" w:rsidRPr="0000563D">
        <w:t xml:space="preserve">The essential characteristic of federal discrimination </w:t>
      </w:r>
      <w:r w:rsidR="0081503B" w:rsidRPr="0000563D">
        <w:t xml:space="preserve">law </w:t>
      </w:r>
      <w:r w:rsidR="00D845A5" w:rsidRPr="0000563D">
        <w:t xml:space="preserve">is prohibition on discrimination in respect of </w:t>
      </w:r>
      <w:proofErr w:type="gramStart"/>
      <w:r w:rsidR="00D845A5" w:rsidRPr="0000563D">
        <w:t>particular attributes</w:t>
      </w:r>
      <w:proofErr w:type="gramEnd"/>
      <w:r w:rsidR="00D845A5" w:rsidRPr="0000563D">
        <w:t xml:space="preserve">, such as disability, in specified areas of public life. The burden of pursuing a </w:t>
      </w:r>
      <w:proofErr w:type="gramStart"/>
      <w:r w:rsidR="00D845A5" w:rsidRPr="0000563D">
        <w:t>remedy rests</w:t>
      </w:r>
      <w:proofErr w:type="gramEnd"/>
      <w:r w:rsidR="00D845A5" w:rsidRPr="0000563D">
        <w:t xml:space="preserve"> on individuals.</w:t>
      </w:r>
      <w:r w:rsidR="00D845A5" w:rsidRPr="0000563D">
        <w:rPr>
          <w:rStyle w:val="EndnoteReference"/>
        </w:rPr>
        <w:endnoteReference w:id="172"/>
      </w:r>
      <w:r w:rsidR="00D845A5" w:rsidRPr="0000563D">
        <w:t xml:space="preserve"> The reliance on individuals bringing a formal complaint means that many incidents of discrimination and harassment go unaddressed.</w:t>
      </w:r>
      <w:r w:rsidR="00D845A5" w:rsidRPr="0000563D">
        <w:rPr>
          <w:rStyle w:val="EndnoteReference"/>
        </w:rPr>
        <w:endnoteReference w:id="173"/>
      </w:r>
    </w:p>
    <w:p w14:paraId="3FB0343A" w14:textId="02B464EB" w:rsidR="00771E72" w:rsidRPr="0000563D" w:rsidRDefault="00771E72" w:rsidP="008911EA">
      <w:pPr>
        <w:rPr>
          <w:rFonts w:eastAsia="Open Sans"/>
          <w:lang w:val="en-GB"/>
        </w:rPr>
      </w:pPr>
      <w:r w:rsidRPr="0000563D">
        <w:rPr>
          <w:rFonts w:eastAsia="Open Sans"/>
          <w:lang w:val="en-GB"/>
        </w:rPr>
        <w:t>While many complaints are made under the Disability Discrimination Act, its operation has not led to necessary changes in policy, practice, behaviours and attitudes. This is evidenced, for example, by the fact that the employment rate of people with disability remained stagnant at around 53% for 25 years</w:t>
      </w:r>
      <w:r w:rsidR="00A65429" w:rsidRPr="0000563D">
        <w:rPr>
          <w:rFonts w:eastAsia="Open Sans"/>
          <w:lang w:val="en-GB"/>
        </w:rPr>
        <w:t xml:space="preserve"> and only recently increased by 7%.</w:t>
      </w:r>
      <w:r w:rsidRPr="0000563D">
        <w:rPr>
          <w:rStyle w:val="EndnoteReference"/>
          <w:rFonts w:eastAsia="Open Sans"/>
          <w:lang w:val="en-GB"/>
        </w:rPr>
        <w:endnoteReference w:id="174"/>
      </w:r>
      <w:r w:rsidRPr="0000563D">
        <w:rPr>
          <w:rFonts w:eastAsia="Open Sans"/>
          <w:lang w:val="en-GB"/>
        </w:rPr>
        <w:t xml:space="preserve"> </w:t>
      </w:r>
      <w:r w:rsidR="00EB4841" w:rsidRPr="0000563D">
        <w:rPr>
          <w:rFonts w:eastAsia="Open Sans"/>
          <w:lang w:val="en-GB"/>
        </w:rPr>
        <w:t xml:space="preserve">Further evidence </w:t>
      </w:r>
      <w:r w:rsidR="00820BAA" w:rsidRPr="0000563D">
        <w:rPr>
          <w:rFonts w:eastAsia="Open Sans"/>
          <w:lang w:val="en-GB"/>
        </w:rPr>
        <w:t>is</w:t>
      </w:r>
      <w:r w:rsidR="00EB4841" w:rsidRPr="0000563D">
        <w:rPr>
          <w:rFonts w:eastAsia="Open Sans"/>
          <w:lang w:val="en-GB"/>
        </w:rPr>
        <w:t xml:space="preserve"> </w:t>
      </w:r>
      <w:r w:rsidRPr="0000563D">
        <w:rPr>
          <w:rFonts w:eastAsia="Open Sans"/>
          <w:lang w:val="en-GB"/>
        </w:rPr>
        <w:t>that people with disability continue to be forced (at times by lack of alternative suitable options) into segregated education, employment and living settings.</w:t>
      </w:r>
      <w:r w:rsidRPr="0000563D">
        <w:rPr>
          <w:rStyle w:val="EndnoteReference"/>
          <w:rFonts w:eastAsia="Open Sans"/>
          <w:lang w:val="en-GB"/>
        </w:rPr>
        <w:endnoteReference w:id="175"/>
      </w:r>
    </w:p>
    <w:p w14:paraId="58623837" w14:textId="6C3754DA" w:rsidR="00C04945" w:rsidRPr="0000563D" w:rsidRDefault="008E13B9" w:rsidP="008911EA">
      <w:r w:rsidRPr="0000563D">
        <w:lastRenderedPageBreak/>
        <w:t>The evidence provided to the Disability Royal Commission demonstrated how the violence, abuse, neglect and exploitation of people with disability can alter life trajectories and affect life outcomes.</w:t>
      </w:r>
      <w:r w:rsidRPr="0000563D">
        <w:rPr>
          <w:rStyle w:val="EndnoteReference"/>
        </w:rPr>
        <w:endnoteReference w:id="176"/>
      </w:r>
      <w:r w:rsidRPr="0000563D">
        <w:t xml:space="preserve"> </w:t>
      </w:r>
    </w:p>
    <w:p w14:paraId="1E5B9B89" w14:textId="1D9EA5E9" w:rsidR="00C04945" w:rsidRPr="0000563D" w:rsidRDefault="00C04945" w:rsidP="008911EA">
      <w:r w:rsidRPr="0000563D" w:rsidDel="00EC1A1E">
        <w:t>Modelling undertaken on behalf of the Disability Royal Commission suggested that in 2021-22 the impacts and costs of violence against, and abuse, neglect and exploitation of, people with</w:t>
      </w:r>
      <w:r w:rsidRPr="0000563D">
        <w:t xml:space="preserve"> </w:t>
      </w:r>
      <w:r w:rsidRPr="0000563D" w:rsidDel="00EC1A1E">
        <w:t>disability in Australia was ‘conservatively estimated’ to be $46 billion.</w:t>
      </w:r>
      <w:r w:rsidRPr="0000563D">
        <w:rPr>
          <w:rStyle w:val="EndnoteReference"/>
        </w:rPr>
        <w:endnoteReference w:id="177"/>
      </w:r>
      <w:r w:rsidRPr="0000563D">
        <w:t xml:space="preserve"> </w:t>
      </w:r>
      <w:r w:rsidR="00036909" w:rsidRPr="0000563D">
        <w:t>If more gaps in outcomes for people with disability were taken into account, the estimate is as high as $74.7 billion.</w:t>
      </w:r>
      <w:r w:rsidR="00780BE6" w:rsidRPr="0000563D">
        <w:rPr>
          <w:rStyle w:val="EndnoteReference"/>
        </w:rPr>
        <w:endnoteReference w:id="178"/>
      </w:r>
      <w:r w:rsidR="00036909" w:rsidRPr="0000563D">
        <w:t xml:space="preserve"> </w:t>
      </w:r>
      <w:r w:rsidRPr="0000563D">
        <w:t>This cost is borne by</w:t>
      </w:r>
      <w:r w:rsidRPr="0000563D" w:rsidDel="00EC1A1E">
        <w:t xml:space="preserve"> employers, governments and victims</w:t>
      </w:r>
      <w:r w:rsidRPr="0000563D">
        <w:t xml:space="preserve">. </w:t>
      </w:r>
    </w:p>
    <w:p w14:paraId="3B6A8F0B" w14:textId="77777777" w:rsidR="00C04945" w:rsidRPr="0000563D" w:rsidRDefault="00C04945" w:rsidP="008911EA">
      <w:r w:rsidRPr="0000563D" w:rsidDel="00EC1A1E">
        <w:t xml:space="preserve">Australia </w:t>
      </w:r>
      <w:proofErr w:type="gramStart"/>
      <w:r w:rsidRPr="0000563D" w:rsidDel="00EC1A1E">
        <w:t>has the opportunity to</w:t>
      </w:r>
      <w:proofErr w:type="gramEnd"/>
      <w:r w:rsidRPr="0000563D" w:rsidDel="00EC1A1E">
        <w:t xml:space="preserve"> invest in better health outcomes and economic outcomes for people with disability</w:t>
      </w:r>
      <w:r w:rsidRPr="0000563D">
        <w:t xml:space="preserve"> by adopting a positive duty that requires proactive action by duty holders</w:t>
      </w:r>
      <w:r w:rsidRPr="0000563D" w:rsidDel="00EC1A1E">
        <w:t>.</w:t>
      </w:r>
      <w:r w:rsidRPr="0000563D">
        <w:t xml:space="preserve"> As outlined in the Free &amp; Equal 2021 Position Paper: </w:t>
      </w:r>
    </w:p>
    <w:p w14:paraId="01FE5C49" w14:textId="77777777" w:rsidR="00C04945" w:rsidRPr="0000563D" w:rsidRDefault="00C04945" w:rsidP="00F102A3">
      <w:pPr>
        <w:pStyle w:val="Quote"/>
      </w:pPr>
      <w:r w:rsidRPr="0000563D">
        <w:t>There are likely to be significant benefits that would flow to businesses from an approach grounded in a positive duty – particularly in avoiding legal actions and damage to business reputation, and in avoiding unseen costs of discrimination, such as loss of productivity, morale, and the potential that diversity offers business. Support to business should be prioritised and appropriately funded to ensure this benefit flows.</w:t>
      </w:r>
      <w:r w:rsidRPr="0000563D">
        <w:rPr>
          <w:rStyle w:val="EndnoteReference"/>
        </w:rPr>
        <w:endnoteReference w:id="179"/>
      </w:r>
    </w:p>
    <w:p w14:paraId="7C9581D6" w14:textId="50B14EF6" w:rsidR="00003264" w:rsidRPr="0000563D" w:rsidRDefault="00C04945" w:rsidP="008911EA">
      <w:r w:rsidRPr="0000563D">
        <w:t>In its 2004 review of the Disability Discrimination Act, the Productivity Commission highlighted the potential to ‘increase the productive capacity of the economy’ by enhancing the participation of people with disability in education and employment</w:t>
      </w:r>
      <w:r w:rsidR="0031378A" w:rsidRPr="0000563D">
        <w:t>,</w:t>
      </w:r>
      <w:r w:rsidRPr="0000563D">
        <w:rPr>
          <w:rStyle w:val="EndnoteReference"/>
          <w:color w:val="auto"/>
        </w:rPr>
        <w:endnoteReference w:id="180"/>
      </w:r>
      <w:r w:rsidRPr="0000563D">
        <w:t xml:space="preserve"> benefits</w:t>
      </w:r>
      <w:r w:rsidR="0031378A" w:rsidRPr="0000563D">
        <w:t xml:space="preserve"> that could</w:t>
      </w:r>
      <w:r w:rsidRPr="0000563D">
        <w:t xml:space="preserve"> be compounded </w:t>
      </w:r>
      <w:r w:rsidR="0031378A" w:rsidRPr="0000563D">
        <w:t xml:space="preserve">by reducing </w:t>
      </w:r>
      <w:r w:rsidRPr="0000563D">
        <w:t>discrimination</w:t>
      </w:r>
      <w:r w:rsidR="0031378A" w:rsidRPr="0000563D">
        <w:t xml:space="preserve"> </w:t>
      </w:r>
      <w:r w:rsidRPr="0000563D">
        <w:t>in several areas simultaneously.</w:t>
      </w:r>
      <w:r w:rsidRPr="0000563D">
        <w:rPr>
          <w:rStyle w:val="EndnoteReference"/>
          <w:color w:val="auto"/>
        </w:rPr>
        <w:endnoteReference w:id="181"/>
      </w:r>
      <w:r w:rsidRPr="0000563D">
        <w:t xml:space="preserve"> The potential for increased economic benefits resulting from reform to discrimination law remain true and realisable, even twenty years after the Productivity Commission’s comments. </w:t>
      </w:r>
    </w:p>
    <w:p w14:paraId="706EA6EC" w14:textId="5A556A7F" w:rsidR="00D33998" w:rsidRPr="0000563D" w:rsidRDefault="00C04945" w:rsidP="008911EA">
      <w:r w:rsidRPr="0000563D">
        <w:t>The introduction of a positive duty (</w:t>
      </w:r>
      <w:r w:rsidR="008B22A7" w:rsidRPr="0000563D">
        <w:t>alongside</w:t>
      </w:r>
      <w:r w:rsidRPr="0000563D">
        <w:t xml:space="preserve"> other reforms suggested in this submission) </w:t>
      </w:r>
      <w:r w:rsidR="003E63B6" w:rsidRPr="0000563D">
        <w:t xml:space="preserve">is </w:t>
      </w:r>
      <w:r w:rsidRPr="0000563D">
        <w:t>one step that the Australian Government could take to pursue its current productivity agenda, which aims to be ‘practical, inclusive and forward looking’.</w:t>
      </w:r>
      <w:r w:rsidRPr="0000563D">
        <w:rPr>
          <w:rStyle w:val="EndnoteReference"/>
          <w:color w:val="auto"/>
        </w:rPr>
        <w:endnoteReference w:id="182"/>
      </w:r>
      <w:r w:rsidR="00B679AE" w:rsidRPr="0000563D">
        <w:t xml:space="preserve"> </w:t>
      </w:r>
      <w:r w:rsidR="00853DC3" w:rsidRPr="0000563D">
        <w:t>W</w:t>
      </w:r>
      <w:r w:rsidR="00D33998" w:rsidRPr="0000563D">
        <w:t xml:space="preserve">hile productivity is an important consideration, the costs, benefits and impacts that duty holders may experience must also be </w:t>
      </w:r>
      <w:r w:rsidR="00793C80" w:rsidRPr="0000563D">
        <w:t>appropriately weighed</w:t>
      </w:r>
      <w:r w:rsidR="00D33998" w:rsidRPr="0000563D">
        <w:t xml:space="preserve"> against the impacts of discrimination on people with disability. </w:t>
      </w:r>
    </w:p>
    <w:p w14:paraId="31DE9134" w14:textId="0C5C1D8D" w:rsidR="008E13B9" w:rsidRPr="002D4943" w:rsidRDefault="008E13B9" w:rsidP="00A2165D">
      <w:pPr>
        <w:pStyle w:val="Heading2"/>
        <w:ind w:left="-11" w:firstLine="0"/>
        <w:rPr>
          <w:rFonts w:ascii="Open Sans" w:hAnsi="Open Sans" w:cs="Open Sans"/>
        </w:rPr>
      </w:pPr>
      <w:bookmarkStart w:id="43" w:name="_Toc214961126"/>
      <w:r w:rsidRPr="002D4943">
        <w:rPr>
          <w:rFonts w:ascii="Open Sans" w:hAnsi="Open Sans" w:cs="Open Sans"/>
        </w:rPr>
        <w:t>The scope of the proposed positive duty</w:t>
      </w:r>
      <w:bookmarkEnd w:id="43"/>
      <w:r w:rsidRPr="002D4943">
        <w:rPr>
          <w:rFonts w:ascii="Open Sans" w:hAnsi="Open Sans" w:cs="Open Sans"/>
        </w:rPr>
        <w:t xml:space="preserve"> </w:t>
      </w:r>
    </w:p>
    <w:p w14:paraId="427548F7" w14:textId="77777777" w:rsidR="008E13B9" w:rsidRPr="0000563D" w:rsidRDefault="008E13B9" w:rsidP="008911EA">
      <w:r w:rsidRPr="0000563D">
        <w:t>As set out in the Issues Paper, a positive duty in the Disability Discrimination Act would require the duty holder to take reasonable and proportionate measures to eliminate, as far as possible, discrimination against people with disability.</w:t>
      </w:r>
      <w:r w:rsidRPr="0000563D">
        <w:rPr>
          <w:rStyle w:val="EndnoteReference"/>
        </w:rPr>
        <w:endnoteReference w:id="183"/>
      </w:r>
    </w:p>
    <w:p w14:paraId="287CF3BD" w14:textId="77777777" w:rsidR="008E13B9" w:rsidRPr="0000563D" w:rsidRDefault="008E13B9" w:rsidP="008911EA">
      <w:r w:rsidRPr="0000563D">
        <w:t xml:space="preserve">Unlike the more limited scope of positive duty in the Sex Discrimination Act, the proposed new positive duty in the Disability Discrimination Act would apply to </w:t>
      </w:r>
      <w:r w:rsidRPr="0000563D">
        <w:lastRenderedPageBreak/>
        <w:t>any ‘person’ (natural and body corporate) with obligations under the Disability Discrimination Act in all areas of public life covered by the Act.</w:t>
      </w:r>
    </w:p>
    <w:p w14:paraId="5C9F627D" w14:textId="45B2A625" w:rsidR="008E13B9" w:rsidRPr="0000563D" w:rsidRDefault="008E13B9" w:rsidP="008911EA">
      <w:r w:rsidRPr="0000563D" w:rsidDel="00EC1A1E">
        <w:t xml:space="preserve">The Disability Royal Commission </w:t>
      </w:r>
      <w:r w:rsidRPr="0000563D">
        <w:t xml:space="preserve">reiterated findings made by the Commission (in both </w:t>
      </w:r>
      <w:r w:rsidR="007C05E1" w:rsidRPr="0000563D">
        <w:rPr>
          <w:rFonts w:eastAsia="Times New Roman"/>
        </w:rPr>
        <w:t xml:space="preserve">our </w:t>
      </w:r>
      <w:r w:rsidR="00674126" w:rsidRPr="0000563D">
        <w:t>Free &amp; Equal 2021 Position Paper</w:t>
      </w:r>
      <w:r w:rsidR="00674126" w:rsidRPr="0000563D" w:rsidDel="00674126">
        <w:t xml:space="preserve"> </w:t>
      </w:r>
      <w:r w:rsidRPr="0000563D">
        <w:t xml:space="preserve">and </w:t>
      </w:r>
      <w:r w:rsidR="007C05E1" w:rsidRPr="0000563D">
        <w:t xml:space="preserve">our </w:t>
      </w:r>
      <w:r w:rsidRPr="0000563D">
        <w:t>Willing to Work Inquiry)</w:t>
      </w:r>
      <w:r w:rsidRPr="0000563D" w:rsidDel="00EC1A1E">
        <w:t xml:space="preserve"> that the </w:t>
      </w:r>
      <w:r w:rsidR="000561CF" w:rsidRPr="0000563D">
        <w:t xml:space="preserve">current </w:t>
      </w:r>
      <w:r w:rsidRPr="0000563D" w:rsidDel="00EC1A1E">
        <w:t xml:space="preserve">regulatory framework </w:t>
      </w:r>
      <w:r w:rsidR="000561CF" w:rsidRPr="0000563D">
        <w:t xml:space="preserve">under the Disability Discrimination Act </w:t>
      </w:r>
      <w:r w:rsidRPr="0000563D" w:rsidDel="00EC1A1E">
        <w:t>is not sufficiently protecting people with disability from discrimination and that the Act ‘creates little incentive for employers, schools, service providers and other duty-holders to take active measures to prevent disability discrimination’.</w:t>
      </w:r>
      <w:r w:rsidRPr="0000563D">
        <w:rPr>
          <w:rStyle w:val="EndnoteReference"/>
        </w:rPr>
        <w:endnoteReference w:id="184"/>
      </w:r>
    </w:p>
    <w:p w14:paraId="69924487" w14:textId="2334E73A" w:rsidR="008E13B9" w:rsidRPr="0000563D" w:rsidRDefault="008E13B9" w:rsidP="008911EA">
      <w:r w:rsidRPr="0000563D">
        <w:t xml:space="preserve">The proposed positive duty would apply to anyone with </w:t>
      </w:r>
      <w:r w:rsidRPr="0000563D">
        <w:rPr>
          <w:i/>
          <w:iCs/>
        </w:rPr>
        <w:t>existing obligations</w:t>
      </w:r>
      <w:r w:rsidRPr="0000563D">
        <w:t xml:space="preserve"> under the Disability Discrimination Act. The proposed positive duty shifts the onus and the focus of the legislation so that it requires these duty holders to proactively assess their compliance with these existing obligations. It </w:t>
      </w:r>
      <w:r w:rsidR="00934B8D" w:rsidRPr="0000563D">
        <w:t xml:space="preserve">would only </w:t>
      </w:r>
      <w:r w:rsidR="00D22D94" w:rsidRPr="0000563D">
        <w:t>apply</w:t>
      </w:r>
      <w:r w:rsidR="00934B8D" w:rsidRPr="0000563D">
        <w:t xml:space="preserve"> to conduct that is already unlawful under the </w:t>
      </w:r>
      <w:r w:rsidR="00FA757D" w:rsidRPr="0000563D">
        <w:t>Disability Discrimination Act</w:t>
      </w:r>
      <w:r w:rsidR="009264C0" w:rsidRPr="0000563D">
        <w:t>. It</w:t>
      </w:r>
      <w:r w:rsidR="009B05E8" w:rsidRPr="0000563D">
        <w:t xml:space="preserve"> would clarify obligations and provide pathways for duty holders to be supported in how they approach non-discrimination</w:t>
      </w:r>
      <w:r w:rsidRPr="0000563D">
        <w:t xml:space="preserve">. </w:t>
      </w:r>
    </w:p>
    <w:p w14:paraId="2B5BD732" w14:textId="44E65036" w:rsidR="008E13B9" w:rsidRPr="0000563D" w:rsidRDefault="008E13B9" w:rsidP="008911EA">
      <w:r w:rsidRPr="0000563D">
        <w:t xml:space="preserve">As outlined in the Issues Paper, positive duty provisions now exist in the </w:t>
      </w:r>
      <w:r w:rsidRPr="0000563D">
        <w:rPr>
          <w:i/>
          <w:iCs/>
        </w:rPr>
        <w:t>Discrimination Act 1991</w:t>
      </w:r>
      <w:r w:rsidRPr="0000563D">
        <w:t xml:space="preserve"> (ACT)</w:t>
      </w:r>
      <w:r w:rsidR="00FF7FF1" w:rsidRPr="0000563D">
        <w:t xml:space="preserve">, </w:t>
      </w:r>
      <w:proofErr w:type="spellStart"/>
      <w:r w:rsidR="00FF7FF1" w:rsidRPr="0000563D">
        <w:rPr>
          <w:i/>
          <w:iCs/>
        </w:rPr>
        <w:t>Anti</w:t>
      </w:r>
      <w:r w:rsidR="0ACAA526" w:rsidRPr="0000563D">
        <w:rPr>
          <w:i/>
          <w:iCs/>
        </w:rPr>
        <w:t xml:space="preserve"> </w:t>
      </w:r>
      <w:r w:rsidR="00FF7FF1" w:rsidRPr="0000563D">
        <w:rPr>
          <w:i/>
          <w:iCs/>
        </w:rPr>
        <w:t>Discrimination</w:t>
      </w:r>
      <w:proofErr w:type="spellEnd"/>
      <w:r w:rsidR="00FF7FF1" w:rsidRPr="0000563D">
        <w:rPr>
          <w:i/>
          <w:iCs/>
        </w:rPr>
        <w:noBreakHyphen/>
        <w:t xml:space="preserve"> Act 1992</w:t>
      </w:r>
      <w:r w:rsidR="00FF7FF1" w:rsidRPr="0000563D">
        <w:t xml:space="preserve"> (NT), </w:t>
      </w:r>
      <w:r w:rsidRPr="0000563D">
        <w:t xml:space="preserve">and the </w:t>
      </w:r>
      <w:r w:rsidRPr="0000563D">
        <w:rPr>
          <w:i/>
          <w:iCs/>
        </w:rPr>
        <w:t>Equal Opportunity Act 2010</w:t>
      </w:r>
      <w:r w:rsidRPr="0000563D">
        <w:t xml:space="preserve"> (Vic).</w:t>
      </w:r>
      <w:r w:rsidRPr="0000563D">
        <w:rPr>
          <w:rStyle w:val="EndnoteReference"/>
        </w:rPr>
        <w:endnoteReference w:id="185"/>
      </w:r>
      <w:r w:rsidRPr="0000563D">
        <w:t xml:space="preserve"> A positive duty in Western Australia is under development and a positive duty was introduced in Queensland, although its commencement has been </w:t>
      </w:r>
      <w:r w:rsidR="006B3F07" w:rsidRPr="0000563D">
        <w:t>indefinitely paused</w:t>
      </w:r>
      <w:r w:rsidRPr="0000563D">
        <w:t>.</w:t>
      </w:r>
      <w:r w:rsidRPr="0000563D">
        <w:rPr>
          <w:rStyle w:val="EndnoteReference"/>
        </w:rPr>
        <w:endnoteReference w:id="186"/>
      </w:r>
      <w:r w:rsidRPr="0000563D">
        <w:t xml:space="preserve"> </w:t>
      </w:r>
    </w:p>
    <w:p w14:paraId="7D5B5F12" w14:textId="77777777" w:rsidR="008E13B9" w:rsidRPr="0000563D" w:rsidRDefault="008E13B9" w:rsidP="008911EA">
      <w:r w:rsidRPr="0000563D">
        <w:t xml:space="preserve">These duties are each framed slightly differently but broadly require duty holders to take proactive steps to eliminate discrimination </w:t>
      </w:r>
      <w:proofErr w:type="gramStart"/>
      <w:r w:rsidRPr="0000563D">
        <w:t>on the basis of</w:t>
      </w:r>
      <w:proofErr w:type="gramEnd"/>
      <w:r w:rsidRPr="0000563D">
        <w:t xml:space="preserve"> </w:t>
      </w:r>
      <w:proofErr w:type="gramStart"/>
      <w:r w:rsidRPr="0000563D">
        <w:t>a number of</w:t>
      </w:r>
      <w:proofErr w:type="gramEnd"/>
      <w:r w:rsidRPr="0000563D">
        <w:t xml:space="preserve"> protected attributes (including disability) in several areas of public life. </w:t>
      </w:r>
    </w:p>
    <w:p w14:paraId="119305FB" w14:textId="77777777" w:rsidR="008E13B9" w:rsidRPr="0000563D" w:rsidRDefault="008E13B9" w:rsidP="008911EA">
      <w:r w:rsidRPr="0000563D">
        <w:t xml:space="preserve">The shift toward preventing unlawful conduct from happening in the first place, rather than reacting to conduct after it has occurred and already caused harm, is therefore not a new concept. </w:t>
      </w:r>
    </w:p>
    <w:p w14:paraId="355B2170" w14:textId="590809EF" w:rsidR="008E13B9" w:rsidRPr="0000563D" w:rsidRDefault="008E13B9" w:rsidP="008911EA">
      <w:r w:rsidRPr="0000563D">
        <w:t xml:space="preserve">For </w:t>
      </w:r>
      <w:proofErr w:type="gramStart"/>
      <w:r w:rsidRPr="0000563D">
        <w:t>the majority of</w:t>
      </w:r>
      <w:proofErr w:type="gramEnd"/>
      <w:r w:rsidRPr="0000563D">
        <w:t xml:space="preserve"> duty holders, the proposed amendments will build on existing practices to more explicitly </w:t>
      </w:r>
      <w:r w:rsidR="001127D5" w:rsidRPr="0000563D">
        <w:t xml:space="preserve">and proactively </w:t>
      </w:r>
      <w:r w:rsidR="006B37AC" w:rsidRPr="0000563D">
        <w:t xml:space="preserve">prevent </w:t>
      </w:r>
      <w:r w:rsidRPr="0000563D">
        <w:t xml:space="preserve">unlawful conduct under the Disability Discrimination Act. Very few duty holders who would be covered under the proposed amendments to the Disability Discrimination Act, will have </w:t>
      </w:r>
      <w:r w:rsidRPr="0000563D">
        <w:rPr>
          <w:i/>
          <w:iCs/>
        </w:rPr>
        <w:t>no</w:t>
      </w:r>
      <w:r w:rsidRPr="0000563D">
        <w:t xml:space="preserve"> experience implementing a positive duty.</w:t>
      </w:r>
      <w:r w:rsidRPr="0000563D">
        <w:rPr>
          <w:rStyle w:val="EndnoteReference"/>
        </w:rPr>
        <w:endnoteReference w:id="187"/>
      </w:r>
    </w:p>
    <w:p w14:paraId="041E8EBF" w14:textId="523C1271" w:rsidR="008E13B9" w:rsidRPr="0000563D" w:rsidRDefault="005742A9" w:rsidP="008911EA">
      <w:r w:rsidRPr="0000563D">
        <w:t>S</w:t>
      </w:r>
      <w:r w:rsidR="008E13B9" w:rsidRPr="0000563D">
        <w:t>hifting the emphasis of the Disability Discrimination Act to prevent discrimination from occurring will provide better outcomes for people with disability</w:t>
      </w:r>
      <w:r w:rsidR="00E134CF" w:rsidRPr="0000563D">
        <w:t xml:space="preserve">. </w:t>
      </w:r>
      <w:r w:rsidR="009420BD" w:rsidRPr="0000563D">
        <w:t xml:space="preserve">People with disability experience </w:t>
      </w:r>
      <w:r w:rsidR="009E176D" w:rsidRPr="0000563D">
        <w:t xml:space="preserve">discrimination in </w:t>
      </w:r>
      <w:r w:rsidR="002E112E" w:rsidRPr="0000563D">
        <w:t>all areas of</w:t>
      </w:r>
      <w:r w:rsidR="009E176D" w:rsidRPr="0000563D">
        <w:t xml:space="preserve"> public life</w:t>
      </w:r>
      <w:r w:rsidR="00C435F5" w:rsidRPr="0000563D">
        <w:t xml:space="preserve">. </w:t>
      </w:r>
      <w:r w:rsidR="002E112E" w:rsidRPr="0000563D">
        <w:t xml:space="preserve">The positive duty should not be artificially </w:t>
      </w:r>
      <w:r w:rsidR="009E176D" w:rsidRPr="0000563D">
        <w:t>limit</w:t>
      </w:r>
      <w:r w:rsidR="002E112E" w:rsidRPr="0000563D">
        <w:t>ed</w:t>
      </w:r>
      <w:r w:rsidR="009E176D" w:rsidRPr="0000563D">
        <w:t xml:space="preserve"> </w:t>
      </w:r>
      <w:r w:rsidR="005D7B4E" w:rsidRPr="0000563D">
        <w:t>in its scope.</w:t>
      </w:r>
      <w:r w:rsidR="009E176D" w:rsidRPr="0000563D">
        <w:t xml:space="preserve"> </w:t>
      </w:r>
      <w:r w:rsidR="005D7B4E" w:rsidRPr="0000563D">
        <w:t>T</w:t>
      </w:r>
      <w:r w:rsidR="008E13B9" w:rsidRPr="0000563D">
        <w:t xml:space="preserve">he </w:t>
      </w:r>
      <w:r w:rsidR="005D7B4E" w:rsidRPr="0000563D">
        <w:t>positive</w:t>
      </w:r>
      <w:r w:rsidR="008E13B9" w:rsidRPr="0000563D">
        <w:t xml:space="preserve"> duty should apply to all existing duty holders under the Disability Discrimination Act, in all areas of public life.</w:t>
      </w:r>
    </w:p>
    <w:p w14:paraId="2356ECB0" w14:textId="52A004FA" w:rsidR="008E13B9" w:rsidRPr="0000563D" w:rsidRDefault="008E13B9" w:rsidP="008911EA">
      <w:r w:rsidRPr="0000563D">
        <w:lastRenderedPageBreak/>
        <w:t xml:space="preserve">In August 2023, the Commission published guidance materials, including the </w:t>
      </w:r>
      <w:hyperlink r:id="rId22" w:history="1">
        <w:r w:rsidRPr="0000563D">
          <w:rPr>
            <w:rStyle w:val="Hyperlink"/>
            <w:i/>
            <w:iCs/>
          </w:rPr>
          <w:t xml:space="preserve">Guidelines for Complying with the Positive Duty under the Sex Discrimination Act 1984 </w:t>
        </w:r>
        <w:r w:rsidRPr="0000563D">
          <w:rPr>
            <w:rStyle w:val="Hyperlink"/>
          </w:rPr>
          <w:t>(</w:t>
        </w:r>
        <w:proofErr w:type="spellStart"/>
        <w:r w:rsidRPr="0000563D">
          <w:rPr>
            <w:rStyle w:val="Hyperlink"/>
          </w:rPr>
          <w:t>Cth</w:t>
        </w:r>
        <w:proofErr w:type="spellEnd"/>
        <w:r w:rsidRPr="0000563D">
          <w:rPr>
            <w:rStyle w:val="Hyperlink"/>
          </w:rPr>
          <w:t>)</w:t>
        </w:r>
      </w:hyperlink>
      <w:r w:rsidRPr="0000563D">
        <w:t xml:space="preserve"> (SDA Guidelines). The Guidelines set out seven Standards and </w:t>
      </w:r>
      <w:r w:rsidR="00BE4738" w:rsidRPr="0000563D">
        <w:t xml:space="preserve">4 </w:t>
      </w:r>
      <w:r w:rsidRPr="0000563D">
        <w:t xml:space="preserve">Guiding Principles that the Commission expects all duty holders to meet to satisfy the positive duty. </w:t>
      </w:r>
    </w:p>
    <w:p w14:paraId="58C2D15C" w14:textId="4380EDD2" w:rsidR="008E13B9" w:rsidRPr="0000563D" w:rsidRDefault="008E13B9" w:rsidP="008911EA">
      <w:r w:rsidRPr="0000563D">
        <w:t xml:space="preserve">The Commission </w:t>
      </w:r>
      <w:r w:rsidR="490978BA" w:rsidRPr="0000563D">
        <w:t xml:space="preserve">has </w:t>
      </w:r>
      <w:r w:rsidR="007662AE" w:rsidRPr="0000563D">
        <w:t>nearly</w:t>
      </w:r>
      <w:r w:rsidR="34B17B4C" w:rsidRPr="0000563D">
        <w:t xml:space="preserve"> </w:t>
      </w:r>
      <w:r w:rsidR="00160330" w:rsidRPr="0000563D">
        <w:t xml:space="preserve">2 </w:t>
      </w:r>
      <w:r w:rsidR="490978BA" w:rsidRPr="0000563D">
        <w:t xml:space="preserve">years </w:t>
      </w:r>
      <w:r w:rsidR="2EBCD6CB" w:rsidRPr="0000563D">
        <w:t>of</w:t>
      </w:r>
      <w:r w:rsidRPr="0000563D">
        <w:t xml:space="preserve"> </w:t>
      </w:r>
      <w:r w:rsidR="00396E6A" w:rsidRPr="0000563D">
        <w:t>experience</w:t>
      </w:r>
      <w:r w:rsidRPr="0000563D">
        <w:t xml:space="preserve"> utilising the regulatory and enforcement powers in the Australian Human Rights Commission Act and assessing compliance against these Guidelines. </w:t>
      </w:r>
      <w:r w:rsidR="007021A2" w:rsidRPr="0000563D">
        <w:t>Duty holders</w:t>
      </w:r>
      <w:r w:rsidR="00DC114A" w:rsidRPr="0000563D">
        <w:t xml:space="preserve"> with obligations under the Sex Discrimination Act</w:t>
      </w:r>
      <w:r w:rsidRPr="0000563D">
        <w:t xml:space="preserve"> also have nearly </w:t>
      </w:r>
      <w:r w:rsidR="00B90148" w:rsidRPr="0000563D">
        <w:t xml:space="preserve">3 </w:t>
      </w:r>
      <w:r w:rsidRPr="0000563D">
        <w:t xml:space="preserve">years’ experience in meeting the requirements of the positive duty under the Sex Discrimination Act. </w:t>
      </w:r>
      <w:r w:rsidR="00753057" w:rsidRPr="0000563D">
        <w:t>These duty</w:t>
      </w:r>
      <w:r w:rsidRPr="0000563D">
        <w:t xml:space="preserve"> holders are familiar with operationalising the </w:t>
      </w:r>
      <w:r w:rsidR="00F920A6" w:rsidRPr="0000563D">
        <w:t xml:space="preserve">7 </w:t>
      </w:r>
      <w:r w:rsidRPr="0000563D">
        <w:t xml:space="preserve">Standards and </w:t>
      </w:r>
      <w:r w:rsidR="00BE4738" w:rsidRPr="0000563D">
        <w:t xml:space="preserve">4 </w:t>
      </w:r>
      <w:r w:rsidRPr="0000563D">
        <w:t xml:space="preserve">Guiding Principles in relation to unlawful conduct covered by the Sex Discrimination Act. </w:t>
      </w:r>
    </w:p>
    <w:p w14:paraId="44E6A3D1" w14:textId="659C6D43" w:rsidR="008E13B9" w:rsidRPr="0000563D" w:rsidRDefault="008E13B9" w:rsidP="008911EA">
      <w:r w:rsidRPr="0000563D">
        <w:t>The existing enforcement framework, including the Standards</w:t>
      </w:r>
      <w:r w:rsidR="003E4A3E" w:rsidRPr="0000563D">
        <w:t xml:space="preserve"> and Guiding Principles</w:t>
      </w:r>
      <w:r w:rsidRPr="0000563D">
        <w:t xml:space="preserve">, can be substantially replicated to apply to the new positive duty in the Disability Discrimination Act. </w:t>
      </w:r>
    </w:p>
    <w:p w14:paraId="5F276A42" w14:textId="7DD7416C" w:rsidR="008E13B9" w:rsidRPr="0000563D" w:rsidRDefault="008E13B9" w:rsidP="008911EA">
      <w:proofErr w:type="gramStart"/>
      <w:r w:rsidRPr="0000563D">
        <w:t>Similar to</w:t>
      </w:r>
      <w:proofErr w:type="gramEnd"/>
      <w:r w:rsidRPr="0000563D">
        <w:t xml:space="preserve"> the Commission, </w:t>
      </w:r>
      <w:r w:rsidR="00CB2416" w:rsidRPr="0000563D">
        <w:t>s</w:t>
      </w:r>
      <w:r w:rsidRPr="0000563D">
        <w:t xml:space="preserve">tate and </w:t>
      </w:r>
      <w:r w:rsidR="00CB2416" w:rsidRPr="0000563D">
        <w:t>t</w:t>
      </w:r>
      <w:r w:rsidRPr="0000563D">
        <w:t>erritory regulators of positive duties have developed standards against which compliance with the</w:t>
      </w:r>
      <w:r w:rsidR="000E1CA6" w:rsidRPr="0000563D">
        <w:t>ir respective positive</w:t>
      </w:r>
      <w:r w:rsidRPr="0000563D">
        <w:t xml:space="preserve"> dut</w:t>
      </w:r>
      <w:r w:rsidR="000E1CA6" w:rsidRPr="0000563D">
        <w:t>ies</w:t>
      </w:r>
      <w:r w:rsidRPr="0000563D">
        <w:t xml:space="preserve"> is measured. </w:t>
      </w:r>
      <w:r w:rsidR="00A34CC1" w:rsidRPr="0000563D">
        <w:t xml:space="preserve">Positive duties in many States and Territories already </w:t>
      </w:r>
      <w:r w:rsidR="001600F4" w:rsidRPr="0000563D">
        <w:t xml:space="preserve">cover </w:t>
      </w:r>
      <w:r w:rsidR="00227E0D" w:rsidRPr="0000563D">
        <w:t>discrimination against people with disability and</w:t>
      </w:r>
      <w:r w:rsidR="002B2AD9">
        <w:t>,</w:t>
      </w:r>
      <w:r w:rsidR="00227E0D" w:rsidRPr="0000563D">
        <w:t xml:space="preserve"> therefore</w:t>
      </w:r>
      <w:r w:rsidR="002B2AD9">
        <w:t>,</w:t>
      </w:r>
      <w:r w:rsidR="00227E0D" w:rsidRPr="0000563D">
        <w:t xml:space="preserve"> duty holders in these jurisdictions will already be </w:t>
      </w:r>
      <w:r w:rsidR="00423BA2" w:rsidRPr="0000563D">
        <w:t xml:space="preserve">taking steps </w:t>
      </w:r>
      <w:r w:rsidR="00A059ED" w:rsidRPr="0000563D">
        <w:t xml:space="preserve">to comply. </w:t>
      </w:r>
      <w:r w:rsidRPr="0000563D">
        <w:t>The standards developed in these jurisdictions</w:t>
      </w:r>
      <w:r w:rsidR="00A059ED" w:rsidRPr="0000563D">
        <w:t xml:space="preserve"> also</w:t>
      </w:r>
      <w:r w:rsidRPr="0000563D">
        <w:t xml:space="preserve"> reflect the seven Standards developed by the Commission.</w:t>
      </w:r>
      <w:r w:rsidR="00116272" w:rsidRPr="0000563D">
        <w:t xml:space="preserve"> </w:t>
      </w:r>
    </w:p>
    <w:p w14:paraId="06243DF2" w14:textId="186F76C1" w:rsidR="008E13B9" w:rsidRPr="0000563D" w:rsidRDefault="00ED1AC2" w:rsidP="008911EA">
      <w:r w:rsidRPr="0000563D">
        <w:t>Furthermore, t</w:t>
      </w:r>
      <w:r w:rsidR="008E13B9" w:rsidRPr="0000563D">
        <w:t xml:space="preserve">he Commission’s Equality at Work Project </w:t>
      </w:r>
      <w:r w:rsidR="0080548A" w:rsidRPr="0000563D">
        <w:t xml:space="preserve">(Project) </w:t>
      </w:r>
      <w:r w:rsidR="008E13B9" w:rsidRPr="0000563D">
        <w:t>supports private and public sector employers to identify and remove barriers to the employment of people with disability in their organisations. Many of the Project activities resemble co-regulatory and other stewardship activities that the</w:t>
      </w:r>
      <w:r w:rsidR="001A35BF" w:rsidRPr="0000563D">
        <w:t xml:space="preserve"> Commission </w:t>
      </w:r>
      <w:r w:rsidR="008E13B9" w:rsidRPr="0000563D">
        <w:t xml:space="preserve">could undertake in the implementation of a positive duty under the Disability Discrimination Act. The independent evaluation of the Project, scheduled for publication at the end of 2026, will consider the transferability of the SDA Guidelines to the context of employment of people with disability. </w:t>
      </w:r>
    </w:p>
    <w:p w14:paraId="376929D5" w14:textId="0900CA37" w:rsidR="008E13B9" w:rsidRPr="0000563D" w:rsidRDefault="008E13B9" w:rsidP="008911EA">
      <w:r w:rsidRPr="0000563D">
        <w:t>The development of a framework and standards for a positive duty under the Disability Discrimination Act should nonetheless be tested via consultation from people with disability and relevant stakeholders as necessary.</w:t>
      </w:r>
    </w:p>
    <w:p w14:paraId="03A1E918" w14:textId="072B84F0" w:rsidR="00A803E7" w:rsidRPr="0000563D" w:rsidRDefault="00A803E7" w:rsidP="04001E3C">
      <w:pPr>
        <w:rPr>
          <w:b/>
          <w:bCs/>
        </w:rPr>
      </w:pPr>
      <w:r w:rsidRPr="0000563D">
        <w:rPr>
          <w:b/>
          <w:bCs/>
        </w:rPr>
        <w:t xml:space="preserve">Recommendation </w:t>
      </w:r>
      <w:r w:rsidR="002418B1" w:rsidRPr="0000563D">
        <w:rPr>
          <w:b/>
          <w:bCs/>
        </w:rPr>
        <w:t>1</w:t>
      </w:r>
      <w:r w:rsidR="00083FEF" w:rsidRPr="0000563D">
        <w:rPr>
          <w:b/>
          <w:bCs/>
        </w:rPr>
        <w:t>9</w:t>
      </w:r>
      <w:r w:rsidRPr="0000563D">
        <w:rPr>
          <w:b/>
          <w:bCs/>
        </w:rPr>
        <w:t xml:space="preserve">: </w:t>
      </w:r>
      <w:r w:rsidR="00463C52" w:rsidRPr="0000563D">
        <w:rPr>
          <w:b/>
          <w:bCs/>
        </w:rPr>
        <w:t xml:space="preserve">The </w:t>
      </w:r>
      <w:r w:rsidR="00463C52" w:rsidRPr="0000563D">
        <w:rPr>
          <w:b/>
          <w:bCs/>
          <w:i/>
          <w:iCs/>
        </w:rPr>
        <w:t>Disability Discrimination Act 1992</w:t>
      </w:r>
      <w:r w:rsidR="00463C52" w:rsidRPr="0000563D">
        <w:rPr>
          <w:b/>
          <w:bCs/>
        </w:rPr>
        <w:t xml:space="preserve"> (</w:t>
      </w:r>
      <w:proofErr w:type="spellStart"/>
      <w:r w:rsidR="00463C52" w:rsidRPr="0000563D">
        <w:rPr>
          <w:b/>
          <w:bCs/>
        </w:rPr>
        <w:t>Cth</w:t>
      </w:r>
      <w:proofErr w:type="spellEnd"/>
      <w:r w:rsidR="00463C52" w:rsidRPr="0000563D">
        <w:rPr>
          <w:b/>
          <w:bCs/>
        </w:rPr>
        <w:t>) should be amended to introduce a</w:t>
      </w:r>
      <w:r w:rsidR="2D6AD389" w:rsidRPr="0000563D">
        <w:rPr>
          <w:b/>
          <w:bCs/>
        </w:rPr>
        <w:t xml:space="preserve"> </w:t>
      </w:r>
      <w:r w:rsidRPr="0000563D">
        <w:rPr>
          <w:b/>
          <w:bCs/>
        </w:rPr>
        <w:t xml:space="preserve">positive duty </w:t>
      </w:r>
      <w:r w:rsidR="004B6487" w:rsidRPr="0000563D">
        <w:rPr>
          <w:b/>
          <w:bCs/>
        </w:rPr>
        <w:t>on all duty-holders under the Act to eliminate disability discrimination, harassment and victimisation</w:t>
      </w:r>
      <w:r w:rsidR="00745AB4" w:rsidRPr="0000563D">
        <w:rPr>
          <w:b/>
          <w:bCs/>
        </w:rPr>
        <w:t xml:space="preserve"> as far as </w:t>
      </w:r>
      <w:r w:rsidR="00324E35" w:rsidRPr="0000563D">
        <w:rPr>
          <w:b/>
          <w:bCs/>
        </w:rPr>
        <w:t>possible</w:t>
      </w:r>
      <w:r w:rsidRPr="0000563D">
        <w:rPr>
          <w:b/>
          <w:bCs/>
        </w:rPr>
        <w:t>.</w:t>
      </w:r>
      <w:r w:rsidR="00382FCC" w:rsidRPr="0000563D">
        <w:rPr>
          <w:b/>
          <w:bCs/>
        </w:rPr>
        <w:t xml:space="preserve"> The positive duty should be modelled on the positive duty in the </w:t>
      </w:r>
      <w:r w:rsidR="00382FCC" w:rsidRPr="0000563D">
        <w:rPr>
          <w:b/>
          <w:bCs/>
          <w:i/>
          <w:iCs/>
        </w:rPr>
        <w:t>Sex Discrimination Act 1984</w:t>
      </w:r>
      <w:r w:rsidR="00382FCC" w:rsidRPr="0000563D">
        <w:rPr>
          <w:b/>
          <w:bCs/>
        </w:rPr>
        <w:t xml:space="preserve"> (</w:t>
      </w:r>
      <w:proofErr w:type="spellStart"/>
      <w:r w:rsidR="00382FCC" w:rsidRPr="0000563D">
        <w:rPr>
          <w:b/>
          <w:bCs/>
        </w:rPr>
        <w:t>Cth</w:t>
      </w:r>
      <w:proofErr w:type="spellEnd"/>
      <w:r w:rsidR="00382FCC" w:rsidRPr="0000563D">
        <w:rPr>
          <w:b/>
          <w:bCs/>
        </w:rPr>
        <w:t>).</w:t>
      </w:r>
    </w:p>
    <w:p w14:paraId="58769DB4" w14:textId="5595C00E" w:rsidR="008E13B9" w:rsidRPr="002D4943" w:rsidRDefault="008E13B9" w:rsidP="00A2165D">
      <w:pPr>
        <w:pStyle w:val="Heading2"/>
        <w:rPr>
          <w:rFonts w:ascii="Open Sans" w:hAnsi="Open Sans" w:cs="Open Sans"/>
        </w:rPr>
      </w:pPr>
      <w:bookmarkStart w:id="44" w:name="_Toc214961127"/>
      <w:r w:rsidRPr="002D4943">
        <w:rPr>
          <w:rFonts w:ascii="Open Sans" w:hAnsi="Open Sans" w:cs="Open Sans"/>
        </w:rPr>
        <w:lastRenderedPageBreak/>
        <w:t>Stag</w:t>
      </w:r>
      <w:r w:rsidR="00D24477" w:rsidRPr="002D4943">
        <w:rPr>
          <w:rFonts w:ascii="Open Sans" w:hAnsi="Open Sans" w:cs="Open Sans"/>
        </w:rPr>
        <w:t>e</w:t>
      </w:r>
      <w:r w:rsidRPr="002D4943">
        <w:rPr>
          <w:rFonts w:ascii="Open Sans" w:hAnsi="Open Sans" w:cs="Open Sans"/>
        </w:rPr>
        <w:t>d approach to implementation</w:t>
      </w:r>
      <w:bookmarkEnd w:id="44"/>
    </w:p>
    <w:p w14:paraId="598CED9D" w14:textId="4B56A43B" w:rsidR="008E13B9" w:rsidRPr="0000563D" w:rsidRDefault="008E13B9" w:rsidP="008911EA">
      <w:pPr>
        <w:rPr>
          <w:rFonts w:eastAsia="Aptos"/>
          <w:lang w:eastAsia="en-US"/>
        </w:rPr>
      </w:pPr>
      <w:r w:rsidRPr="0000563D">
        <w:rPr>
          <w:rFonts w:eastAsia="Aptos"/>
          <w:lang w:eastAsia="en-US"/>
        </w:rPr>
        <w:t xml:space="preserve">To ensure that there is broad understanding of the actions required </w:t>
      </w:r>
      <w:proofErr w:type="gramStart"/>
      <w:r w:rsidRPr="0000563D">
        <w:rPr>
          <w:rFonts w:eastAsia="Aptos"/>
          <w:lang w:eastAsia="en-US"/>
        </w:rPr>
        <w:t>as a result of</w:t>
      </w:r>
      <w:proofErr w:type="gramEnd"/>
      <w:r w:rsidRPr="0000563D">
        <w:rPr>
          <w:rFonts w:eastAsia="Aptos"/>
          <w:lang w:eastAsia="en-US"/>
        </w:rPr>
        <w:t xml:space="preserve"> a positive duty in discrimination law, and to enable </w:t>
      </w:r>
      <w:r w:rsidR="0036574E" w:rsidRPr="0000563D">
        <w:rPr>
          <w:rFonts w:eastAsia="Aptos"/>
          <w:lang w:eastAsia="en-US"/>
        </w:rPr>
        <w:t xml:space="preserve">duty holders </w:t>
      </w:r>
      <w:r w:rsidRPr="0000563D">
        <w:rPr>
          <w:rFonts w:eastAsia="Aptos"/>
          <w:lang w:eastAsia="en-US"/>
        </w:rPr>
        <w:t xml:space="preserve">time to assess their current business practices, it </w:t>
      </w:r>
      <w:r w:rsidR="00A80C62" w:rsidRPr="0000563D">
        <w:rPr>
          <w:rFonts w:eastAsia="Aptos"/>
          <w:lang w:eastAsia="en-US"/>
        </w:rPr>
        <w:t xml:space="preserve">is </w:t>
      </w:r>
      <w:r w:rsidRPr="0000563D">
        <w:rPr>
          <w:rFonts w:eastAsia="Aptos"/>
          <w:lang w:eastAsia="en-US"/>
        </w:rPr>
        <w:t xml:space="preserve">appropriate to stage the introduction of a positive duty. Implementation could be staged in </w:t>
      </w:r>
      <w:proofErr w:type="gramStart"/>
      <w:r w:rsidRPr="0000563D">
        <w:rPr>
          <w:rFonts w:eastAsia="Aptos"/>
          <w:lang w:eastAsia="en-US"/>
        </w:rPr>
        <w:t>a number of</w:t>
      </w:r>
      <w:proofErr w:type="gramEnd"/>
      <w:r w:rsidRPr="0000563D">
        <w:rPr>
          <w:rFonts w:eastAsia="Aptos"/>
          <w:lang w:eastAsia="en-US"/>
        </w:rPr>
        <w:t xml:space="preserve"> ways. </w:t>
      </w:r>
    </w:p>
    <w:p w14:paraId="0AD9FCD6" w14:textId="19A4500F" w:rsidR="008E13B9" w:rsidRPr="0000563D" w:rsidRDefault="008E13B9" w:rsidP="008911EA">
      <w:pPr>
        <w:rPr>
          <w:rFonts w:eastAsia="Aptos"/>
          <w:lang w:eastAsia="en-US"/>
        </w:rPr>
      </w:pPr>
      <w:r w:rsidRPr="0000563D">
        <w:rPr>
          <w:rFonts w:eastAsia="Aptos"/>
          <w:lang w:eastAsia="en-US"/>
        </w:rPr>
        <w:t xml:space="preserve">In 2023, the </w:t>
      </w:r>
      <w:r w:rsidRPr="0000563D">
        <w:rPr>
          <w:rFonts w:eastAsia="Aptos"/>
          <w:i/>
          <w:lang w:eastAsia="en-US"/>
        </w:rPr>
        <w:t>Discrimination Act 1991</w:t>
      </w:r>
      <w:r w:rsidRPr="0000563D">
        <w:rPr>
          <w:rFonts w:eastAsia="Aptos"/>
          <w:lang w:eastAsia="en-US"/>
        </w:rPr>
        <w:t xml:space="preserve"> (ACT) was amended to include a positive duty to make reasonable adjustments </w:t>
      </w:r>
      <w:r w:rsidR="00FC3EF3" w:rsidRPr="0000563D">
        <w:rPr>
          <w:rFonts w:eastAsia="Aptos"/>
          <w:lang w:eastAsia="en-US"/>
        </w:rPr>
        <w:t xml:space="preserve">to accommodate a person’s </w:t>
      </w:r>
      <w:r w:rsidR="0044704F" w:rsidRPr="0000563D">
        <w:rPr>
          <w:rFonts w:eastAsia="Aptos"/>
          <w:lang w:eastAsia="en-US"/>
        </w:rPr>
        <w:t>particular needs arising from a protected attribute</w:t>
      </w:r>
      <w:r w:rsidR="009C15BA" w:rsidRPr="0000563D">
        <w:rPr>
          <w:rFonts w:eastAsia="Aptos"/>
          <w:lang w:eastAsia="en-US"/>
        </w:rPr>
        <w:t xml:space="preserve"> (i.e. not limited to disability)</w:t>
      </w:r>
      <w:r w:rsidRPr="0000563D">
        <w:rPr>
          <w:rFonts w:eastAsia="Aptos"/>
          <w:lang w:eastAsia="en-US"/>
        </w:rPr>
        <w:t xml:space="preserve"> and a positive duty to eliminate discrimination across all protected attributes and all areas of public life. These positive duties were implemented in stages.</w:t>
      </w:r>
      <w:r w:rsidR="002B3489" w:rsidRPr="0000563D">
        <w:rPr>
          <w:rFonts w:eastAsia="Aptos"/>
          <w:lang w:eastAsia="en-US"/>
        </w:rPr>
        <w:t xml:space="preserve"> </w:t>
      </w:r>
      <w:r w:rsidRPr="0000563D">
        <w:rPr>
          <w:rFonts w:eastAsia="Aptos"/>
          <w:lang w:eastAsia="en-US"/>
        </w:rPr>
        <w:t xml:space="preserve">First, the positive duty to make reasonable adjustments commenced for all duty holders in April 2024. Next, the positive duty to eliminate discrimination, which relates to all protected attributes in the </w:t>
      </w:r>
      <w:r w:rsidRPr="0000563D">
        <w:rPr>
          <w:rFonts w:eastAsia="Aptos"/>
          <w:i/>
          <w:lang w:eastAsia="en-US"/>
        </w:rPr>
        <w:t>Discrimination Act 1991</w:t>
      </w:r>
      <w:r w:rsidRPr="0000563D">
        <w:rPr>
          <w:rFonts w:eastAsia="Aptos"/>
          <w:lang w:eastAsia="en-US"/>
        </w:rPr>
        <w:t xml:space="preserve"> (ACT), has </w:t>
      </w:r>
      <w:r w:rsidR="00160330" w:rsidRPr="0000563D">
        <w:rPr>
          <w:rFonts w:eastAsia="Aptos"/>
          <w:lang w:eastAsia="en-US"/>
        </w:rPr>
        <w:t xml:space="preserve">2 </w:t>
      </w:r>
      <w:r w:rsidRPr="0000563D">
        <w:rPr>
          <w:rFonts w:eastAsia="Aptos"/>
          <w:lang w:eastAsia="en-US"/>
        </w:rPr>
        <w:t>stages of implementation. From April 2025 the positive duty applies to ‘any ACT government administrative unit, territory authority and territory instrumentality and any individual with organisational management responsibility for any of these entities’.</w:t>
      </w:r>
      <w:r w:rsidRPr="0000563D">
        <w:rPr>
          <w:rStyle w:val="EndnoteReference"/>
          <w:rFonts w:eastAsia="Aptos"/>
          <w:kern w:val="2"/>
          <w:lang w:eastAsia="en-US"/>
          <w14:ligatures w14:val="standardContextual"/>
        </w:rPr>
        <w:endnoteReference w:id="188"/>
      </w:r>
      <w:r w:rsidRPr="0000563D">
        <w:rPr>
          <w:rFonts w:eastAsia="Aptos"/>
          <w:lang w:eastAsia="en-US"/>
        </w:rPr>
        <w:t xml:space="preserve">  From April 2027</w:t>
      </w:r>
      <w:r w:rsidR="004B532E" w:rsidRPr="0000563D">
        <w:rPr>
          <w:rFonts w:eastAsia="Aptos"/>
          <w:lang w:eastAsia="en-US"/>
        </w:rPr>
        <w:t>,</w:t>
      </w:r>
      <w:r w:rsidRPr="0000563D">
        <w:rPr>
          <w:rFonts w:eastAsia="Aptos"/>
          <w:lang w:eastAsia="en-US"/>
        </w:rPr>
        <w:t xml:space="preserve"> the positive duty applies to all other duty holders</w:t>
      </w:r>
      <w:r w:rsidR="00D75B12" w:rsidRPr="0000563D">
        <w:rPr>
          <w:rFonts w:eastAsia="Aptos"/>
          <w:lang w:eastAsia="en-US"/>
        </w:rPr>
        <w:t>.</w:t>
      </w:r>
      <w:r w:rsidRPr="0000563D">
        <w:rPr>
          <w:rFonts w:eastAsia="Aptos"/>
          <w:lang w:eastAsia="en-US"/>
        </w:rPr>
        <w:t xml:space="preserve"> </w:t>
      </w:r>
      <w:r w:rsidR="00D75B12" w:rsidRPr="0000563D">
        <w:rPr>
          <w:rFonts w:eastAsia="Aptos"/>
          <w:lang w:eastAsia="en-US"/>
        </w:rPr>
        <w:t>F</w:t>
      </w:r>
      <w:r w:rsidR="004B532E" w:rsidRPr="0000563D">
        <w:rPr>
          <w:rFonts w:eastAsia="Aptos"/>
          <w:lang w:eastAsia="en-US"/>
        </w:rPr>
        <w:t>or example</w:t>
      </w:r>
      <w:r w:rsidR="00D75B12" w:rsidRPr="0000563D">
        <w:rPr>
          <w:rFonts w:eastAsia="Aptos"/>
          <w:lang w:eastAsia="en-US"/>
        </w:rPr>
        <w:t>,</w:t>
      </w:r>
      <w:r w:rsidR="004B532E" w:rsidRPr="0000563D">
        <w:rPr>
          <w:rFonts w:eastAsia="Aptos"/>
          <w:lang w:eastAsia="en-US"/>
        </w:rPr>
        <w:t xml:space="preserve"> </w:t>
      </w:r>
      <w:r w:rsidRPr="0000563D">
        <w:rPr>
          <w:rFonts w:eastAsia="Aptos"/>
          <w:lang w:eastAsia="en-US"/>
        </w:rPr>
        <w:t>service providers, employers, education providers, accommodation providers, health service providers.</w:t>
      </w:r>
      <w:r w:rsidRPr="0000563D">
        <w:rPr>
          <w:rStyle w:val="EndnoteReference"/>
          <w:rFonts w:eastAsia="Aptos"/>
          <w:kern w:val="2"/>
          <w:lang w:eastAsia="en-US"/>
          <w14:ligatures w14:val="standardContextual"/>
        </w:rPr>
        <w:endnoteReference w:id="189"/>
      </w:r>
    </w:p>
    <w:p w14:paraId="67C54FCB" w14:textId="55E74EDD" w:rsidR="008E13B9" w:rsidRPr="0000563D" w:rsidRDefault="008E13B9" w:rsidP="008911EA">
      <w:pPr>
        <w:rPr>
          <w:rFonts w:eastAsia="Aptos"/>
          <w:lang w:eastAsia="en-US"/>
        </w:rPr>
      </w:pPr>
      <w:r w:rsidRPr="0000563D">
        <w:rPr>
          <w:rFonts w:eastAsia="Aptos"/>
          <w:lang w:eastAsia="en-US"/>
        </w:rPr>
        <w:t xml:space="preserve">Noting the amendments to the Disability Discrimination Act may include a similar positive duty to make reasonable adjustments and a positive duty to eliminate discrimination, and the possibility of enforcement action (and possibly civil penalties) for non-compliance, </w:t>
      </w:r>
      <w:r w:rsidR="00835DFD" w:rsidRPr="0000563D">
        <w:rPr>
          <w:rFonts w:eastAsia="Aptos"/>
          <w:lang w:eastAsia="en-US"/>
        </w:rPr>
        <w:t>there is</w:t>
      </w:r>
      <w:r w:rsidRPr="0000563D">
        <w:rPr>
          <w:rFonts w:eastAsia="Aptos"/>
          <w:lang w:eastAsia="en-US"/>
        </w:rPr>
        <w:t xml:space="preserve"> value in sequencing implementation of the duty to provide adjustments, then the duty to eliminate discrimination. </w:t>
      </w:r>
    </w:p>
    <w:p w14:paraId="1793057A" w14:textId="6EE8E383" w:rsidR="008E13B9" w:rsidRPr="0000563D" w:rsidRDefault="008E13B9" w:rsidP="008911EA">
      <w:pPr>
        <w:rPr>
          <w:rFonts w:eastAsia="Aptos"/>
          <w:lang w:eastAsia="en-US"/>
        </w:rPr>
      </w:pPr>
      <w:r w:rsidRPr="0000563D">
        <w:rPr>
          <w:rFonts w:eastAsia="Aptos"/>
          <w:lang w:eastAsia="en-US"/>
        </w:rPr>
        <w:t>Another approach could be to stage the implementation of the positive duty across different areas of public life. As employers are now already familiar with applying the positive duty in the Sex Discrimination Act in the employment setting, employment could be a sensible place to start.</w:t>
      </w:r>
      <w:r w:rsidR="004036AF" w:rsidRPr="0000563D">
        <w:rPr>
          <w:rFonts w:eastAsia="Aptos"/>
          <w:lang w:eastAsia="en-US"/>
        </w:rPr>
        <w:t xml:space="preserve"> </w:t>
      </w:r>
      <w:r w:rsidR="00A57CCC" w:rsidRPr="0000563D">
        <w:rPr>
          <w:rFonts w:eastAsia="Aptos"/>
          <w:lang w:eastAsia="en-US"/>
        </w:rPr>
        <w:t>Similarly,</w:t>
      </w:r>
      <w:r w:rsidR="003B72CE" w:rsidRPr="0000563D">
        <w:rPr>
          <w:rFonts w:eastAsia="Aptos"/>
          <w:lang w:eastAsia="en-US"/>
        </w:rPr>
        <w:t xml:space="preserve"> there are existing</w:t>
      </w:r>
      <w:r w:rsidR="0064393A" w:rsidRPr="0000563D">
        <w:rPr>
          <w:rFonts w:eastAsia="Aptos"/>
          <w:lang w:eastAsia="en-US"/>
        </w:rPr>
        <w:t xml:space="preserve"> like</w:t>
      </w:r>
      <w:r w:rsidR="003B72CE" w:rsidRPr="0000563D">
        <w:rPr>
          <w:rFonts w:eastAsia="Aptos"/>
          <w:lang w:eastAsia="en-US"/>
        </w:rPr>
        <w:t xml:space="preserve"> frameworks in education</w:t>
      </w:r>
      <w:r w:rsidR="00215833" w:rsidRPr="0000563D">
        <w:rPr>
          <w:rFonts w:eastAsia="Aptos"/>
          <w:lang w:eastAsia="en-US"/>
        </w:rPr>
        <w:t xml:space="preserve"> </w:t>
      </w:r>
      <w:r w:rsidR="00F25C11" w:rsidRPr="0000563D">
        <w:rPr>
          <w:rFonts w:eastAsia="Aptos"/>
          <w:lang w:eastAsia="en-US"/>
        </w:rPr>
        <w:t>that</w:t>
      </w:r>
      <w:r w:rsidR="005878CC" w:rsidRPr="0000563D">
        <w:rPr>
          <w:rFonts w:eastAsia="Aptos"/>
          <w:lang w:eastAsia="en-US"/>
        </w:rPr>
        <w:t xml:space="preserve"> </w:t>
      </w:r>
      <w:r w:rsidR="004C39D9" w:rsidRPr="0000563D">
        <w:rPr>
          <w:rFonts w:eastAsia="Aptos"/>
          <w:lang w:eastAsia="en-US"/>
        </w:rPr>
        <w:t>could be leveraged and enhanced to be included in the first phase of implementation</w:t>
      </w:r>
      <w:r w:rsidR="0052032C" w:rsidRPr="0000563D">
        <w:rPr>
          <w:rFonts w:eastAsia="Aptos"/>
          <w:lang w:eastAsia="en-US"/>
        </w:rPr>
        <w:t>.</w:t>
      </w:r>
      <w:r w:rsidR="0064393A" w:rsidRPr="0000563D">
        <w:rPr>
          <w:rFonts w:eastAsia="Aptos"/>
          <w:lang w:eastAsia="en-US"/>
        </w:rPr>
        <w:t xml:space="preserve"> </w:t>
      </w:r>
      <w:r w:rsidR="00893E3C" w:rsidRPr="0000563D">
        <w:rPr>
          <w:rFonts w:eastAsia="Aptos"/>
          <w:lang w:eastAsia="en-US"/>
        </w:rPr>
        <w:t xml:space="preserve">This </w:t>
      </w:r>
      <w:r w:rsidR="004C39D9" w:rsidRPr="0000563D">
        <w:rPr>
          <w:rFonts w:eastAsia="Aptos"/>
          <w:lang w:eastAsia="en-US"/>
        </w:rPr>
        <w:t>s</w:t>
      </w:r>
      <w:r w:rsidR="00893E3C" w:rsidRPr="0000563D">
        <w:rPr>
          <w:rFonts w:eastAsia="Aptos"/>
          <w:lang w:eastAsia="en-US"/>
        </w:rPr>
        <w:t xml:space="preserve">hould go some way to </w:t>
      </w:r>
      <w:r w:rsidR="00C760F1" w:rsidRPr="0000563D">
        <w:rPr>
          <w:rFonts w:eastAsia="Aptos"/>
          <w:lang w:eastAsia="en-US"/>
        </w:rPr>
        <w:t>addressing systemic discrimination faced by people with disability in both</w:t>
      </w:r>
      <w:r w:rsidR="00871C0B" w:rsidRPr="0000563D">
        <w:rPr>
          <w:rFonts w:eastAsia="Aptos"/>
          <w:lang w:eastAsia="en-US"/>
        </w:rPr>
        <w:t xml:space="preserve"> education and employment</w:t>
      </w:r>
      <w:r w:rsidR="00C760F1" w:rsidRPr="0000563D">
        <w:rPr>
          <w:rFonts w:eastAsia="Aptos"/>
          <w:lang w:eastAsia="en-US"/>
        </w:rPr>
        <w:t xml:space="preserve">. Notwithstanding this, </w:t>
      </w:r>
      <w:r w:rsidRPr="0000563D">
        <w:rPr>
          <w:rFonts w:eastAsia="Aptos"/>
          <w:lang w:eastAsia="en-US"/>
        </w:rPr>
        <w:t>people with disability</w:t>
      </w:r>
      <w:r w:rsidR="00E12B10" w:rsidRPr="0000563D">
        <w:rPr>
          <w:rFonts w:eastAsia="Aptos"/>
          <w:lang w:eastAsia="en-US"/>
        </w:rPr>
        <w:t xml:space="preserve"> will have views on which</w:t>
      </w:r>
      <w:r w:rsidRPr="0000563D">
        <w:rPr>
          <w:rFonts w:eastAsia="Aptos"/>
          <w:lang w:eastAsia="en-US"/>
        </w:rPr>
        <w:t xml:space="preserve"> areas of public life</w:t>
      </w:r>
      <w:r w:rsidR="00E12B10" w:rsidRPr="0000563D">
        <w:rPr>
          <w:rFonts w:eastAsia="Aptos"/>
          <w:lang w:eastAsia="en-US"/>
        </w:rPr>
        <w:t xml:space="preserve"> should be prioritised</w:t>
      </w:r>
      <w:r w:rsidR="00D543F1" w:rsidRPr="0000563D">
        <w:rPr>
          <w:rFonts w:eastAsia="Aptos"/>
          <w:lang w:eastAsia="en-US"/>
        </w:rPr>
        <w:t>. S</w:t>
      </w:r>
      <w:r w:rsidR="00DC3915" w:rsidRPr="0000563D">
        <w:rPr>
          <w:rFonts w:eastAsia="Aptos"/>
          <w:lang w:eastAsia="en-US"/>
        </w:rPr>
        <w:t xml:space="preserve">taging should be informed </w:t>
      </w:r>
      <w:r w:rsidR="00E534F1" w:rsidRPr="0000563D">
        <w:rPr>
          <w:rFonts w:eastAsia="Aptos"/>
          <w:lang w:eastAsia="en-US"/>
        </w:rPr>
        <w:t>by these views</w:t>
      </w:r>
      <w:r w:rsidRPr="0000563D">
        <w:rPr>
          <w:rFonts w:eastAsia="Aptos"/>
          <w:lang w:eastAsia="en-US"/>
        </w:rPr>
        <w:t xml:space="preserve">. </w:t>
      </w:r>
    </w:p>
    <w:p w14:paraId="4129297B" w14:textId="71E2F539" w:rsidR="008E13B9" w:rsidRPr="0000563D" w:rsidRDefault="008E13B9" w:rsidP="008911EA">
      <w:pPr>
        <w:rPr>
          <w:rFonts w:eastAsia="Aptos"/>
          <w:lang w:eastAsia="en-US"/>
        </w:rPr>
      </w:pPr>
      <w:r w:rsidRPr="0000563D">
        <w:rPr>
          <w:rFonts w:eastAsia="Aptos"/>
          <w:lang w:eastAsia="en-US"/>
        </w:rPr>
        <w:t xml:space="preserve">In </w:t>
      </w:r>
      <w:r w:rsidR="00C47FF5" w:rsidRPr="0000563D">
        <w:rPr>
          <w:rFonts w:eastAsia="Times New Roman"/>
        </w:rPr>
        <w:t xml:space="preserve">our </w:t>
      </w:r>
      <w:r w:rsidR="00674126" w:rsidRPr="0000563D">
        <w:t>Free &amp; Equal 2021 Position Paper</w:t>
      </w:r>
      <w:r w:rsidRPr="0000563D">
        <w:rPr>
          <w:rFonts w:eastAsia="Aptos"/>
          <w:lang w:eastAsia="en-US"/>
        </w:rPr>
        <w:t>, the Commission recommended a 12-month implementation period before a positive duty came into effect.</w:t>
      </w:r>
      <w:r w:rsidRPr="0000563D">
        <w:rPr>
          <w:rStyle w:val="EndnoteReference"/>
          <w:rFonts w:eastAsia="Aptos"/>
          <w:lang w:eastAsia="en-US"/>
        </w:rPr>
        <w:endnoteReference w:id="190"/>
      </w:r>
      <w:r w:rsidRPr="0000563D">
        <w:rPr>
          <w:rFonts w:eastAsia="Aptos"/>
          <w:lang w:eastAsia="en-US"/>
        </w:rPr>
        <w:t xml:space="preserve"> Lessons learned from the implementation of the positive duty under the Sex Discrimination Act, when combined with the need to develop guidance in consultation with people with disability, </w:t>
      </w:r>
      <w:r w:rsidR="00A33FB7" w:rsidRPr="0000563D">
        <w:rPr>
          <w:rFonts w:eastAsia="Aptos"/>
          <w:lang w:eastAsia="en-US"/>
        </w:rPr>
        <w:t xml:space="preserve">and provide education </w:t>
      </w:r>
      <w:r w:rsidR="00A74E28" w:rsidRPr="0000563D">
        <w:rPr>
          <w:rFonts w:eastAsia="Aptos"/>
          <w:lang w:eastAsia="en-US"/>
        </w:rPr>
        <w:t>a</w:t>
      </w:r>
      <w:r w:rsidR="00982F08" w:rsidRPr="0000563D">
        <w:rPr>
          <w:rFonts w:eastAsia="Aptos"/>
          <w:lang w:eastAsia="en-US"/>
        </w:rPr>
        <w:t>n</w:t>
      </w:r>
      <w:r w:rsidR="00A74E28" w:rsidRPr="0000563D">
        <w:rPr>
          <w:rFonts w:eastAsia="Aptos"/>
          <w:lang w:eastAsia="en-US"/>
        </w:rPr>
        <w:t xml:space="preserve">d raise </w:t>
      </w:r>
      <w:r w:rsidR="00A74E28" w:rsidRPr="0000563D">
        <w:rPr>
          <w:rFonts w:eastAsia="Aptos"/>
          <w:lang w:eastAsia="en-US"/>
        </w:rPr>
        <w:lastRenderedPageBreak/>
        <w:t xml:space="preserve">awareness of </w:t>
      </w:r>
      <w:r w:rsidR="00A33FB7" w:rsidRPr="0000563D">
        <w:rPr>
          <w:rFonts w:eastAsia="Aptos"/>
          <w:lang w:eastAsia="en-US"/>
        </w:rPr>
        <w:t xml:space="preserve">the </w:t>
      </w:r>
      <w:r w:rsidR="00A74E28" w:rsidRPr="0000563D">
        <w:rPr>
          <w:rFonts w:eastAsia="Aptos"/>
          <w:lang w:eastAsia="en-US"/>
        </w:rPr>
        <w:t>new obligations</w:t>
      </w:r>
      <w:r w:rsidR="004B33C5" w:rsidRPr="0000563D">
        <w:rPr>
          <w:rFonts w:eastAsia="Aptos"/>
          <w:lang w:eastAsia="en-US"/>
        </w:rPr>
        <w:t xml:space="preserve">, </w:t>
      </w:r>
      <w:r w:rsidR="00EE3F8F" w:rsidRPr="0000563D">
        <w:rPr>
          <w:rFonts w:eastAsia="Aptos"/>
          <w:lang w:eastAsia="en-US"/>
        </w:rPr>
        <w:t>contribute</w:t>
      </w:r>
      <w:r w:rsidR="00477E01" w:rsidRPr="0000563D">
        <w:rPr>
          <w:rFonts w:eastAsia="Aptos"/>
          <w:lang w:eastAsia="en-US"/>
        </w:rPr>
        <w:t>s</w:t>
      </w:r>
      <w:r w:rsidR="00EE3F8F" w:rsidRPr="0000563D">
        <w:rPr>
          <w:rFonts w:eastAsia="Aptos"/>
          <w:lang w:eastAsia="en-US"/>
        </w:rPr>
        <w:t xml:space="preserve"> to</w:t>
      </w:r>
      <w:r w:rsidRPr="0000563D">
        <w:rPr>
          <w:rFonts w:eastAsia="Aptos"/>
          <w:lang w:eastAsia="en-US"/>
        </w:rPr>
        <w:t xml:space="preserve"> the Commission</w:t>
      </w:r>
      <w:r w:rsidR="00EE3F8F" w:rsidRPr="0000563D">
        <w:rPr>
          <w:rFonts w:eastAsia="Aptos"/>
          <w:lang w:eastAsia="en-US"/>
        </w:rPr>
        <w:t>’s</w:t>
      </w:r>
      <w:r w:rsidRPr="0000563D">
        <w:rPr>
          <w:rFonts w:eastAsia="Aptos"/>
          <w:lang w:eastAsia="en-US"/>
        </w:rPr>
        <w:t xml:space="preserve"> </w:t>
      </w:r>
      <w:r w:rsidR="00EE3F8F" w:rsidRPr="0000563D">
        <w:rPr>
          <w:rFonts w:eastAsia="Aptos"/>
          <w:lang w:eastAsia="en-US"/>
        </w:rPr>
        <w:t xml:space="preserve">recommendation </w:t>
      </w:r>
      <w:r w:rsidR="00C16F8B" w:rsidRPr="0000563D">
        <w:rPr>
          <w:rFonts w:eastAsia="Aptos"/>
          <w:lang w:eastAsia="en-US"/>
        </w:rPr>
        <w:t>for</w:t>
      </w:r>
      <w:r w:rsidRPr="0000563D">
        <w:rPr>
          <w:rFonts w:eastAsia="Aptos"/>
          <w:lang w:eastAsia="en-US"/>
        </w:rPr>
        <w:t xml:space="preserve"> a </w:t>
      </w:r>
      <w:r w:rsidR="00EE3F8F" w:rsidRPr="0000563D">
        <w:rPr>
          <w:rFonts w:eastAsia="Aptos"/>
          <w:lang w:eastAsia="en-US"/>
        </w:rPr>
        <w:t xml:space="preserve">staged approach to implementation, across </w:t>
      </w:r>
      <w:r w:rsidR="710B8A20" w:rsidRPr="0000563D">
        <w:rPr>
          <w:rFonts w:eastAsia="Aptos"/>
          <w:lang w:eastAsia="en-US"/>
        </w:rPr>
        <w:t xml:space="preserve"> </w:t>
      </w:r>
      <w:r w:rsidR="00820BAA" w:rsidRPr="0000563D">
        <w:rPr>
          <w:rFonts w:eastAsia="Aptos"/>
          <w:lang w:eastAsia="en-US"/>
        </w:rPr>
        <w:t>18 months</w:t>
      </w:r>
      <w:r w:rsidRPr="0000563D">
        <w:rPr>
          <w:rFonts w:eastAsia="Aptos"/>
          <w:lang w:eastAsia="en-US"/>
        </w:rPr>
        <w:t xml:space="preserve">. </w:t>
      </w:r>
    </w:p>
    <w:p w14:paraId="0F7877FA" w14:textId="5471C99B" w:rsidR="00540C75" w:rsidRPr="0000563D" w:rsidRDefault="00540C75" w:rsidP="04001E3C">
      <w:pPr>
        <w:rPr>
          <w:b/>
          <w:bCs/>
          <w:lang w:eastAsia="en-US"/>
        </w:rPr>
      </w:pPr>
      <w:r w:rsidRPr="0000563D">
        <w:rPr>
          <w:b/>
          <w:bCs/>
          <w:lang w:eastAsia="en-US"/>
        </w:rPr>
        <w:t>Recommendation</w:t>
      </w:r>
      <w:r w:rsidR="002418B1" w:rsidRPr="0000563D">
        <w:rPr>
          <w:b/>
          <w:bCs/>
          <w:lang w:eastAsia="en-US"/>
        </w:rPr>
        <w:t xml:space="preserve"> </w:t>
      </w:r>
      <w:r w:rsidR="00CA68B1" w:rsidRPr="0000563D">
        <w:rPr>
          <w:b/>
          <w:bCs/>
          <w:lang w:eastAsia="en-US"/>
        </w:rPr>
        <w:t>20</w:t>
      </w:r>
      <w:r w:rsidRPr="0000563D">
        <w:rPr>
          <w:b/>
          <w:bCs/>
          <w:lang w:eastAsia="en-US"/>
        </w:rPr>
        <w:t xml:space="preserve">: </w:t>
      </w:r>
      <w:r w:rsidR="00257894" w:rsidRPr="0000563D">
        <w:rPr>
          <w:b/>
          <w:bCs/>
          <w:lang w:eastAsia="en-US"/>
        </w:rPr>
        <w:t>The</w:t>
      </w:r>
      <w:r w:rsidRPr="0000563D">
        <w:rPr>
          <w:b/>
          <w:bCs/>
          <w:lang w:eastAsia="en-US"/>
        </w:rPr>
        <w:t xml:space="preserve"> implementation of the </w:t>
      </w:r>
      <w:r w:rsidR="00257894" w:rsidRPr="0000563D">
        <w:rPr>
          <w:b/>
          <w:bCs/>
          <w:lang w:eastAsia="en-US"/>
        </w:rPr>
        <w:t xml:space="preserve">positive </w:t>
      </w:r>
      <w:r w:rsidRPr="0000563D">
        <w:rPr>
          <w:b/>
          <w:bCs/>
          <w:lang w:eastAsia="en-US"/>
        </w:rPr>
        <w:t>dut</w:t>
      </w:r>
      <w:r w:rsidR="003C1938" w:rsidRPr="0000563D">
        <w:rPr>
          <w:b/>
          <w:bCs/>
          <w:lang w:eastAsia="en-US"/>
        </w:rPr>
        <w:t xml:space="preserve">y to eliminate discrimination in the </w:t>
      </w:r>
      <w:r w:rsidR="003C1938" w:rsidRPr="0000563D">
        <w:rPr>
          <w:b/>
          <w:bCs/>
          <w:i/>
          <w:iCs/>
          <w:lang w:eastAsia="en-US"/>
        </w:rPr>
        <w:t>Disability Discrimination Act</w:t>
      </w:r>
      <w:r w:rsidR="00ED1AC2" w:rsidRPr="0000563D">
        <w:rPr>
          <w:b/>
          <w:bCs/>
          <w:i/>
          <w:iCs/>
          <w:lang w:eastAsia="en-US"/>
        </w:rPr>
        <w:t xml:space="preserve"> 1992</w:t>
      </w:r>
      <w:r w:rsidR="00ED1AC2" w:rsidRPr="0000563D">
        <w:rPr>
          <w:b/>
          <w:bCs/>
          <w:lang w:eastAsia="en-US"/>
        </w:rPr>
        <w:t xml:space="preserve"> (</w:t>
      </w:r>
      <w:proofErr w:type="spellStart"/>
      <w:r w:rsidR="00ED1AC2" w:rsidRPr="0000563D">
        <w:rPr>
          <w:b/>
          <w:bCs/>
          <w:lang w:eastAsia="en-US"/>
        </w:rPr>
        <w:t>Cth</w:t>
      </w:r>
      <w:proofErr w:type="spellEnd"/>
      <w:r w:rsidR="00ED1AC2" w:rsidRPr="0000563D">
        <w:rPr>
          <w:b/>
          <w:bCs/>
          <w:lang w:eastAsia="en-US"/>
        </w:rPr>
        <w:t>)</w:t>
      </w:r>
      <w:r w:rsidR="003C1938" w:rsidRPr="0000563D">
        <w:rPr>
          <w:b/>
          <w:bCs/>
          <w:lang w:eastAsia="en-US"/>
        </w:rPr>
        <w:t xml:space="preserve"> </w:t>
      </w:r>
      <w:r w:rsidR="00257894" w:rsidRPr="0000563D">
        <w:rPr>
          <w:b/>
          <w:bCs/>
          <w:lang w:eastAsia="en-US"/>
        </w:rPr>
        <w:t>should be staged</w:t>
      </w:r>
      <w:r w:rsidR="003C1938" w:rsidRPr="0000563D">
        <w:rPr>
          <w:b/>
          <w:bCs/>
          <w:lang w:eastAsia="en-US"/>
        </w:rPr>
        <w:t xml:space="preserve"> across </w:t>
      </w:r>
      <w:r w:rsidR="00820BAA" w:rsidRPr="0000563D">
        <w:rPr>
          <w:b/>
          <w:bCs/>
          <w:lang w:eastAsia="en-US"/>
        </w:rPr>
        <w:t>18 months</w:t>
      </w:r>
      <w:r w:rsidR="003C1938" w:rsidRPr="0000563D">
        <w:rPr>
          <w:b/>
          <w:bCs/>
          <w:lang w:eastAsia="en-US"/>
        </w:rPr>
        <w:t>.</w:t>
      </w:r>
      <w:r w:rsidRPr="0000563D">
        <w:rPr>
          <w:b/>
          <w:bCs/>
          <w:lang w:eastAsia="en-US"/>
        </w:rPr>
        <w:t xml:space="preserve"> </w:t>
      </w:r>
      <w:r w:rsidR="003C1938" w:rsidRPr="0000563D">
        <w:rPr>
          <w:b/>
          <w:bCs/>
          <w:lang w:eastAsia="en-US"/>
        </w:rPr>
        <w:t xml:space="preserve"> </w:t>
      </w:r>
    </w:p>
    <w:p w14:paraId="63292E7F" w14:textId="50590AC0" w:rsidR="008E13B9" w:rsidRPr="0000563D" w:rsidRDefault="008E13B9" w:rsidP="008911EA">
      <w:pPr>
        <w:rPr>
          <w:rFonts w:eastAsia="Aptos"/>
          <w:lang w:eastAsia="en-US"/>
        </w:rPr>
      </w:pPr>
      <w:r w:rsidRPr="0000563D">
        <w:rPr>
          <w:rFonts w:eastAsia="Aptos"/>
          <w:lang w:eastAsia="en-US"/>
        </w:rPr>
        <w:t>The Commission also recommends a statutory requirement for an independent review of the positive duty within 5 years of commencement. A similar requirement is included in the Sex Discrimination Act, although with a shorter timeframe of 2 years. As the positive duty seeks to create cultural changes within organisations, a longer timeframe for review would be more conducive to measuring the impact of these changes on the experiences of rights holders.</w:t>
      </w:r>
    </w:p>
    <w:p w14:paraId="3DE99DAC" w14:textId="2C50134E" w:rsidR="008E13B9" w:rsidRPr="0000563D" w:rsidRDefault="008E13B9" w:rsidP="04001E3C">
      <w:pPr>
        <w:rPr>
          <w:b/>
          <w:bCs/>
          <w:lang w:eastAsia="en-US"/>
        </w:rPr>
      </w:pPr>
      <w:r w:rsidRPr="0000563D">
        <w:rPr>
          <w:b/>
          <w:bCs/>
          <w:lang w:eastAsia="en-US"/>
        </w:rPr>
        <w:t>Recommendation</w:t>
      </w:r>
      <w:r w:rsidR="002418B1" w:rsidRPr="0000563D">
        <w:rPr>
          <w:b/>
          <w:bCs/>
          <w:lang w:eastAsia="en-US"/>
        </w:rPr>
        <w:t xml:space="preserve"> 2</w:t>
      </w:r>
      <w:r w:rsidR="00CA68B1" w:rsidRPr="0000563D">
        <w:rPr>
          <w:b/>
          <w:bCs/>
          <w:lang w:eastAsia="en-US"/>
        </w:rPr>
        <w:t>1</w:t>
      </w:r>
      <w:r w:rsidRPr="0000563D">
        <w:rPr>
          <w:b/>
          <w:bCs/>
          <w:lang w:eastAsia="en-US"/>
        </w:rPr>
        <w:t xml:space="preserve">: </w:t>
      </w:r>
      <w:r w:rsidR="00ED1AC2" w:rsidRPr="0000563D">
        <w:rPr>
          <w:b/>
          <w:bCs/>
          <w:lang w:eastAsia="en-US"/>
        </w:rPr>
        <w:t xml:space="preserve">The </w:t>
      </w:r>
      <w:r w:rsidR="00ED1AC2" w:rsidRPr="0000563D">
        <w:rPr>
          <w:b/>
          <w:bCs/>
          <w:i/>
          <w:iCs/>
          <w:lang w:eastAsia="en-US"/>
        </w:rPr>
        <w:t>Disability Discrimination Act 1992</w:t>
      </w:r>
      <w:r w:rsidR="00ED1AC2" w:rsidRPr="0000563D">
        <w:rPr>
          <w:b/>
          <w:bCs/>
          <w:lang w:eastAsia="en-US"/>
        </w:rPr>
        <w:t xml:space="preserve"> (</w:t>
      </w:r>
      <w:proofErr w:type="spellStart"/>
      <w:r w:rsidR="00ED1AC2" w:rsidRPr="0000563D">
        <w:rPr>
          <w:b/>
          <w:bCs/>
          <w:lang w:eastAsia="en-US"/>
        </w:rPr>
        <w:t>Cth</w:t>
      </w:r>
      <w:proofErr w:type="spellEnd"/>
      <w:r w:rsidR="00ED1AC2" w:rsidRPr="0000563D">
        <w:rPr>
          <w:b/>
          <w:bCs/>
          <w:lang w:eastAsia="en-US"/>
        </w:rPr>
        <w:t>) amendments should include a</w:t>
      </w:r>
      <w:r w:rsidR="003C1938" w:rsidRPr="0000563D">
        <w:rPr>
          <w:b/>
          <w:bCs/>
          <w:lang w:eastAsia="en-US"/>
        </w:rPr>
        <w:t xml:space="preserve"> </w:t>
      </w:r>
      <w:r w:rsidRPr="0000563D">
        <w:rPr>
          <w:b/>
          <w:bCs/>
          <w:lang w:eastAsia="en-US"/>
        </w:rPr>
        <w:t>statutory requirement for review of the implementation of the positive duty within 5 years of commencement.</w:t>
      </w:r>
    </w:p>
    <w:p w14:paraId="4389CAC6" w14:textId="0B017959" w:rsidR="00AA1ED6" w:rsidRPr="002D4943" w:rsidRDefault="00AA1ED6" w:rsidP="008E13B9">
      <w:pPr>
        <w:pStyle w:val="Heading2"/>
        <w:rPr>
          <w:rFonts w:ascii="Open Sans" w:hAnsi="Open Sans" w:cs="Open Sans"/>
        </w:rPr>
      </w:pPr>
      <w:bookmarkStart w:id="45" w:name="_Toc214961128"/>
      <w:r w:rsidRPr="002D4943">
        <w:rPr>
          <w:rFonts w:ascii="Open Sans" w:hAnsi="Open Sans" w:cs="Open Sans"/>
        </w:rPr>
        <w:t xml:space="preserve">Regulatory </w:t>
      </w:r>
      <w:r w:rsidR="003E481A" w:rsidRPr="002D4943">
        <w:rPr>
          <w:rFonts w:ascii="Open Sans" w:hAnsi="Open Sans" w:cs="Open Sans"/>
        </w:rPr>
        <w:t>landscape</w:t>
      </w:r>
      <w:bookmarkEnd w:id="45"/>
    </w:p>
    <w:p w14:paraId="6D69819A" w14:textId="205C6EF3" w:rsidR="009D78D1" w:rsidRPr="0000563D" w:rsidRDefault="009D78D1" w:rsidP="009D78D1">
      <w:r w:rsidRPr="0000563D">
        <w:t xml:space="preserve">The </w:t>
      </w:r>
      <w:r w:rsidR="00D13AA1" w:rsidRPr="0000563D">
        <w:t>Disability Royal Commission</w:t>
      </w:r>
      <w:r w:rsidR="005E35ED" w:rsidRPr="0000563D">
        <w:t xml:space="preserve"> suggested that the preferable approach to enforcement of a positive duty </w:t>
      </w:r>
      <w:r w:rsidR="00A26E0B" w:rsidRPr="0000563D">
        <w:t xml:space="preserve">in the Disability Discrimination Act would be to empower the </w:t>
      </w:r>
      <w:r w:rsidR="00D35168" w:rsidRPr="0000563D">
        <w:t xml:space="preserve">Commission </w:t>
      </w:r>
      <w:r w:rsidR="003C5786" w:rsidRPr="0000563D">
        <w:t>to</w:t>
      </w:r>
      <w:r w:rsidR="00197AF4" w:rsidRPr="0000563D">
        <w:t xml:space="preserve"> identify and respond to breaches of the duty</w:t>
      </w:r>
      <w:r w:rsidR="00EF0124" w:rsidRPr="0000563D">
        <w:t>.</w:t>
      </w:r>
      <w:r w:rsidR="00FA6566" w:rsidRPr="0000563D">
        <w:t xml:space="preserve"> This suggestion is repeated in the Issues Paper.</w:t>
      </w:r>
    </w:p>
    <w:p w14:paraId="1B3EF5A2" w14:textId="555A330A" w:rsidR="00C2339A" w:rsidRPr="0000563D" w:rsidRDefault="00B04CFA" w:rsidP="009D78D1">
      <w:r w:rsidRPr="0000563D">
        <w:t xml:space="preserve">The Commission notes that the regulatory </w:t>
      </w:r>
      <w:r w:rsidR="00C84031" w:rsidRPr="0000563D">
        <w:t>and legal</w:t>
      </w:r>
      <w:r w:rsidRPr="0000563D">
        <w:t xml:space="preserve"> landscape </w:t>
      </w:r>
      <w:r w:rsidR="00024893" w:rsidRPr="0000563D">
        <w:t xml:space="preserve">around </w:t>
      </w:r>
      <w:r w:rsidR="00456562" w:rsidRPr="0000563D">
        <w:t xml:space="preserve">preventing </w:t>
      </w:r>
      <w:r w:rsidR="00024893" w:rsidRPr="0000563D">
        <w:t xml:space="preserve">discrimination </w:t>
      </w:r>
      <w:r w:rsidR="00652574" w:rsidRPr="0000563D">
        <w:t xml:space="preserve">in Australia </w:t>
      </w:r>
      <w:r w:rsidR="00984193" w:rsidRPr="0000563D">
        <w:t xml:space="preserve">can be </w:t>
      </w:r>
      <w:r w:rsidR="00BE6B53" w:rsidRPr="0000563D">
        <w:t>complicated to navigate</w:t>
      </w:r>
      <w:r w:rsidR="003F4B4B" w:rsidRPr="0000563D">
        <w:t>. This</w:t>
      </w:r>
      <w:r w:rsidR="00FE681C" w:rsidRPr="0000563D">
        <w:t xml:space="preserve"> impact</w:t>
      </w:r>
      <w:r w:rsidR="00456562" w:rsidRPr="0000563D">
        <w:t>s</w:t>
      </w:r>
      <w:r w:rsidR="00FE681C" w:rsidRPr="0000563D">
        <w:t xml:space="preserve"> </w:t>
      </w:r>
      <w:r w:rsidR="003F4B4B" w:rsidRPr="0000563D">
        <w:t>people who experience discrimination</w:t>
      </w:r>
      <w:r w:rsidR="00FE681C" w:rsidRPr="0000563D">
        <w:t xml:space="preserve">, duty holders and regulators. In part, complexities arise from </w:t>
      </w:r>
      <w:r w:rsidR="00373830" w:rsidRPr="0000563D">
        <w:t>Australia’s federa</w:t>
      </w:r>
      <w:r w:rsidR="003F4B4B" w:rsidRPr="0000563D">
        <w:t xml:space="preserve">l </w:t>
      </w:r>
      <w:r w:rsidR="00373830" w:rsidRPr="0000563D">
        <w:t>system</w:t>
      </w:r>
      <w:r w:rsidR="00A719E3" w:rsidRPr="0000563D">
        <w:t>.</w:t>
      </w:r>
      <w:r w:rsidR="00373830" w:rsidRPr="0000563D">
        <w:t xml:space="preserve"> </w:t>
      </w:r>
      <w:r w:rsidR="00C2339A" w:rsidRPr="0000563D">
        <w:t>Federal</w:t>
      </w:r>
      <w:r w:rsidR="00373830" w:rsidRPr="0000563D">
        <w:t xml:space="preserve"> </w:t>
      </w:r>
      <w:r w:rsidR="00B02DC3" w:rsidRPr="0000563D">
        <w:t xml:space="preserve">anti-discrimination </w:t>
      </w:r>
      <w:r w:rsidR="00C2339A" w:rsidRPr="0000563D">
        <w:t>laws overlap</w:t>
      </w:r>
      <w:r w:rsidR="006C07A5" w:rsidRPr="0000563D">
        <w:t xml:space="preserve"> </w:t>
      </w:r>
      <w:r w:rsidR="00206DE4" w:rsidRPr="0000563D">
        <w:t xml:space="preserve">with state and territory anti-discrimination laws </w:t>
      </w:r>
      <w:r w:rsidR="006C07A5" w:rsidRPr="0000563D">
        <w:t>to a significant degree</w:t>
      </w:r>
      <w:r w:rsidR="00C2339A" w:rsidRPr="0000563D">
        <w:t>,</w:t>
      </w:r>
      <w:r w:rsidR="00EA1F6A" w:rsidRPr="0000563D">
        <w:t xml:space="preserve"> providing people with different avenues to complain about discrimination.</w:t>
      </w:r>
    </w:p>
    <w:p w14:paraId="2DBA7856" w14:textId="2FBAA5BC" w:rsidR="00FA6566" w:rsidRPr="0000563D" w:rsidRDefault="0067570B" w:rsidP="009D78D1">
      <w:r w:rsidRPr="0000563D">
        <w:t>F</w:t>
      </w:r>
      <w:r w:rsidR="00C5047B" w:rsidRPr="0000563D">
        <w:t xml:space="preserve">urther </w:t>
      </w:r>
      <w:r w:rsidR="00332816" w:rsidRPr="0000563D">
        <w:t>complexities</w:t>
      </w:r>
      <w:r w:rsidRPr="0000563D">
        <w:t xml:space="preserve"> arise</w:t>
      </w:r>
      <w:r w:rsidR="00C5047B" w:rsidRPr="0000563D">
        <w:t xml:space="preserve"> </w:t>
      </w:r>
      <w:r w:rsidR="00080AB2" w:rsidRPr="0000563D">
        <w:t>in some areas of public life</w:t>
      </w:r>
      <w:r w:rsidR="00CC7F78" w:rsidRPr="0000563D">
        <w:t xml:space="preserve"> </w:t>
      </w:r>
      <w:r w:rsidR="007A1EED" w:rsidRPr="0000563D">
        <w:t xml:space="preserve">where </w:t>
      </w:r>
      <w:r w:rsidR="00584D08" w:rsidRPr="0000563D">
        <w:t xml:space="preserve">different laws </w:t>
      </w:r>
      <w:r w:rsidR="001E68EE" w:rsidRPr="0000563D">
        <w:t xml:space="preserve">regulate </w:t>
      </w:r>
      <w:r w:rsidR="00563D53" w:rsidRPr="0000563D">
        <w:t>aspects of disability discrimination</w:t>
      </w:r>
      <w:r w:rsidR="00F00F36" w:rsidRPr="0000563D">
        <w:t xml:space="preserve">. Australia’s </w:t>
      </w:r>
      <w:r w:rsidR="000862C4" w:rsidRPr="0000563D">
        <w:t xml:space="preserve">employment law regime – comprised of </w:t>
      </w:r>
      <w:r w:rsidR="003537B3" w:rsidRPr="0000563D">
        <w:t xml:space="preserve">laws around </w:t>
      </w:r>
      <w:r w:rsidR="00CE26C1" w:rsidRPr="0000563D">
        <w:t xml:space="preserve">anti-discrimination, </w:t>
      </w:r>
      <w:r w:rsidR="000862C4" w:rsidRPr="0000563D">
        <w:t>work health and safety regimes and</w:t>
      </w:r>
      <w:r w:rsidR="005A1776" w:rsidRPr="0000563D">
        <w:t xml:space="preserve"> fair working conditions </w:t>
      </w:r>
      <w:r w:rsidR="00FE681C" w:rsidRPr="0000563D">
        <w:t>–</w:t>
      </w:r>
      <w:r w:rsidR="005A1776" w:rsidRPr="0000563D">
        <w:t xml:space="preserve"> </w:t>
      </w:r>
      <w:r w:rsidR="00FE681C" w:rsidRPr="0000563D">
        <w:t xml:space="preserve">is </w:t>
      </w:r>
      <w:r w:rsidR="003537B3" w:rsidRPr="0000563D">
        <w:t>one</w:t>
      </w:r>
      <w:r w:rsidR="00FE681C" w:rsidRPr="0000563D">
        <w:t xml:space="preserve"> example of a well-established model</w:t>
      </w:r>
      <w:r w:rsidR="00B150C7" w:rsidRPr="0000563D">
        <w:t xml:space="preserve"> where </w:t>
      </w:r>
      <w:r w:rsidR="00152C15" w:rsidRPr="0000563D">
        <w:t>jurisdiction</w:t>
      </w:r>
      <w:r w:rsidR="0040132A" w:rsidRPr="0000563D">
        <w:t xml:space="preserve"> can </w:t>
      </w:r>
      <w:r w:rsidR="008F589F" w:rsidRPr="0000563D">
        <w:t>overlap</w:t>
      </w:r>
      <w:r w:rsidR="0040132A" w:rsidRPr="0000563D">
        <w:t xml:space="preserve"> </w:t>
      </w:r>
      <w:r w:rsidR="00A5027C" w:rsidRPr="0000563D">
        <w:t xml:space="preserve">with </w:t>
      </w:r>
      <w:r w:rsidR="0040132A" w:rsidRPr="0000563D">
        <w:t>some aspects of disability discrimination protections</w:t>
      </w:r>
      <w:r w:rsidR="00080AB2" w:rsidRPr="0000563D">
        <w:t>.</w:t>
      </w:r>
      <w:r w:rsidR="00CA3893" w:rsidRPr="0000563D">
        <w:t xml:space="preserve"> </w:t>
      </w:r>
      <w:r w:rsidR="00AA7817" w:rsidRPr="0000563D">
        <w:t>The</w:t>
      </w:r>
      <w:r w:rsidR="002C32D5" w:rsidRPr="0000563D">
        <w:t xml:space="preserve"> establishment of</w:t>
      </w:r>
      <w:r w:rsidR="006307C1" w:rsidRPr="0000563D">
        <w:t xml:space="preserve"> n</w:t>
      </w:r>
      <w:r w:rsidR="00CA3893" w:rsidRPr="0000563D">
        <w:t xml:space="preserve">ew authorities like the </w:t>
      </w:r>
      <w:r w:rsidR="0063775A" w:rsidRPr="0000563D">
        <w:t xml:space="preserve">National </w:t>
      </w:r>
      <w:r w:rsidR="00CA3893" w:rsidRPr="0000563D">
        <w:t>Student Ombudsman</w:t>
      </w:r>
      <w:r w:rsidR="00F02802" w:rsidRPr="0000563D">
        <w:t xml:space="preserve"> </w:t>
      </w:r>
      <w:r w:rsidR="0063775A" w:rsidRPr="0000563D">
        <w:t xml:space="preserve">and </w:t>
      </w:r>
      <w:r w:rsidR="00563D53" w:rsidRPr="0000563D">
        <w:t>Aviation Ombuds</w:t>
      </w:r>
      <w:r w:rsidR="00A57639" w:rsidRPr="0000563D">
        <w:t xml:space="preserve"> are further examples</w:t>
      </w:r>
      <w:r w:rsidR="008F3A90" w:rsidRPr="0000563D">
        <w:t>.</w:t>
      </w:r>
    </w:p>
    <w:p w14:paraId="7D0B749B" w14:textId="2F97B1FC" w:rsidR="0034090F" w:rsidRPr="0000563D" w:rsidRDefault="00F819BD" w:rsidP="002C2E5A">
      <w:r w:rsidRPr="0000563D">
        <w:t xml:space="preserve">The Australian Government’s </w:t>
      </w:r>
      <w:r w:rsidR="004470FC" w:rsidRPr="002D4943">
        <w:rPr>
          <w:i/>
          <w:iCs/>
        </w:rPr>
        <w:t>Regulatory Policy, Practice and Performance Framework</w:t>
      </w:r>
      <w:r w:rsidR="002C153A" w:rsidRPr="0000563D">
        <w:t xml:space="preserve"> </w:t>
      </w:r>
      <w:proofErr w:type="gramStart"/>
      <w:r w:rsidR="004470FC" w:rsidRPr="0000563D">
        <w:t>sets</w:t>
      </w:r>
      <w:proofErr w:type="gramEnd"/>
      <w:r w:rsidR="004470FC" w:rsidRPr="0000563D">
        <w:t xml:space="preserve"> out 6 principles for </w:t>
      </w:r>
      <w:r w:rsidR="004D19DC" w:rsidRPr="0000563D">
        <w:t>designing</w:t>
      </w:r>
      <w:r w:rsidR="00B670A0" w:rsidRPr="0000563D">
        <w:t xml:space="preserve"> and implementing regulation that is fit for purpose.</w:t>
      </w:r>
      <w:r w:rsidR="00B670A0" w:rsidRPr="0000563D">
        <w:rPr>
          <w:rStyle w:val="EndnoteReference"/>
        </w:rPr>
        <w:endnoteReference w:id="191"/>
      </w:r>
      <w:r w:rsidR="00F9567F" w:rsidRPr="0000563D">
        <w:t xml:space="preserve"> </w:t>
      </w:r>
      <w:r w:rsidR="00F22640" w:rsidRPr="0000563D">
        <w:t>O</w:t>
      </w:r>
      <w:r w:rsidR="00940367" w:rsidRPr="0000563D">
        <w:t>ne of the</w:t>
      </w:r>
      <w:r w:rsidR="00A41AD1" w:rsidRPr="0000563D">
        <w:t xml:space="preserve"> principles </w:t>
      </w:r>
      <w:r w:rsidR="00940367" w:rsidRPr="0000563D">
        <w:t>relates to</w:t>
      </w:r>
      <w:r w:rsidR="00E552E1" w:rsidRPr="0000563D">
        <w:t xml:space="preserve"> </w:t>
      </w:r>
      <w:r w:rsidR="000E3301" w:rsidRPr="0000563D">
        <w:t xml:space="preserve">integrating </w:t>
      </w:r>
      <w:r w:rsidR="00052436" w:rsidRPr="0000563D">
        <w:t>regulation into existing systems to avoi</w:t>
      </w:r>
      <w:r w:rsidR="00C550E7" w:rsidRPr="0000563D">
        <w:t>d</w:t>
      </w:r>
      <w:r w:rsidR="00052436" w:rsidRPr="0000563D">
        <w:t xml:space="preserve"> overlapping and / o</w:t>
      </w:r>
      <w:r w:rsidR="00F22640" w:rsidRPr="0000563D">
        <w:t>r</w:t>
      </w:r>
      <w:r w:rsidR="00052436" w:rsidRPr="0000563D">
        <w:t xml:space="preserve"> incompatible regulatory </w:t>
      </w:r>
      <w:r w:rsidR="00C550E7" w:rsidRPr="0000563D">
        <w:t>systems</w:t>
      </w:r>
      <w:r w:rsidR="00940367" w:rsidRPr="0000563D">
        <w:t xml:space="preserve">. </w:t>
      </w:r>
    </w:p>
    <w:p w14:paraId="188B48E9" w14:textId="20A6F1E1" w:rsidR="00333A4E" w:rsidRPr="0000563D" w:rsidRDefault="00B86515" w:rsidP="002C2E5A">
      <w:r w:rsidRPr="0000563D">
        <w:lastRenderedPageBreak/>
        <w:t>The</w:t>
      </w:r>
      <w:r w:rsidR="00F9030D" w:rsidRPr="0000563D">
        <w:t xml:space="preserve"> regulatory architecture</w:t>
      </w:r>
      <w:r w:rsidR="00BB7DE5" w:rsidRPr="0000563D">
        <w:t xml:space="preserve"> underpinning a positive duty in the Disability Discrimination Act</w:t>
      </w:r>
      <w:r w:rsidR="00F9030D" w:rsidRPr="0000563D">
        <w:t xml:space="preserve"> </w:t>
      </w:r>
      <w:r w:rsidRPr="0000563D">
        <w:t>should</w:t>
      </w:r>
      <w:r w:rsidR="00F9030D" w:rsidRPr="0000563D">
        <w:t xml:space="preserve"> meet </w:t>
      </w:r>
      <w:r w:rsidR="00EF3635" w:rsidRPr="0000563D">
        <w:t xml:space="preserve">the government’s </w:t>
      </w:r>
      <w:r w:rsidR="00347B30" w:rsidRPr="0000563D">
        <w:t>principles of regulation</w:t>
      </w:r>
      <w:r w:rsidR="00EF3635" w:rsidRPr="0000563D">
        <w:t xml:space="preserve"> and achieve the objective of eliminating discrimination</w:t>
      </w:r>
      <w:r w:rsidR="005110DA" w:rsidRPr="0000563D">
        <w:t>. Further consideration is needed as to</w:t>
      </w:r>
      <w:r w:rsidR="00D23C3C" w:rsidRPr="0000563D">
        <w:t xml:space="preserve"> the</w:t>
      </w:r>
      <w:r w:rsidR="00BE5422" w:rsidRPr="0000563D">
        <w:t xml:space="preserve"> role </w:t>
      </w:r>
      <w:r w:rsidR="005110DA" w:rsidRPr="0000563D">
        <w:t>that</w:t>
      </w:r>
      <w:r w:rsidR="00BE5422" w:rsidRPr="0000563D">
        <w:t xml:space="preserve"> the</w:t>
      </w:r>
      <w:r w:rsidR="00D23C3C" w:rsidRPr="0000563D">
        <w:t xml:space="preserve"> Commission</w:t>
      </w:r>
      <w:r w:rsidR="005110DA" w:rsidRPr="0000563D">
        <w:t xml:space="preserve"> can have as regulator</w:t>
      </w:r>
      <w:r w:rsidR="00BE5422" w:rsidRPr="0000563D">
        <w:t xml:space="preserve"> </w:t>
      </w:r>
      <w:r w:rsidR="00D23C3C" w:rsidRPr="0000563D">
        <w:t xml:space="preserve">within this architecture. </w:t>
      </w:r>
      <w:r w:rsidR="00301867" w:rsidRPr="0000563D">
        <w:t>For example,</w:t>
      </w:r>
      <w:r w:rsidR="009A1E46" w:rsidRPr="0000563D">
        <w:t xml:space="preserve"> questions on the application of a positive duty in relation to the Disability Standard</w:t>
      </w:r>
      <w:r w:rsidR="00E642CF" w:rsidRPr="0000563D">
        <w:t>s</w:t>
      </w:r>
      <w:r w:rsidR="00630E14" w:rsidRPr="0000563D">
        <w:t xml:space="preserve"> are raised </w:t>
      </w:r>
      <w:r w:rsidR="0009506C" w:rsidRPr="0000563D">
        <w:t>at section</w:t>
      </w:r>
      <w:r w:rsidR="007F73C1" w:rsidRPr="0000563D">
        <w:t xml:space="preserve"> </w:t>
      </w:r>
      <w:r w:rsidR="006E6CFC">
        <w:t xml:space="preserve">5 </w:t>
      </w:r>
      <w:r w:rsidR="007F73C1" w:rsidRPr="0000563D">
        <w:t>of this submission</w:t>
      </w:r>
      <w:r w:rsidR="0073700E" w:rsidRPr="0000563D">
        <w:t xml:space="preserve"> or is</w:t>
      </w:r>
      <w:r w:rsidR="00E642CF" w:rsidRPr="0000563D">
        <w:t xml:space="preserve">sues raised below </w:t>
      </w:r>
      <w:r w:rsidR="005569EE" w:rsidRPr="0000563D">
        <w:t xml:space="preserve">about the </w:t>
      </w:r>
      <w:r w:rsidR="00BF0D97" w:rsidRPr="0000563D">
        <w:t xml:space="preserve">Commission’s current regulatory powers and how these </w:t>
      </w:r>
      <w:r w:rsidR="00AC60E3" w:rsidRPr="0000563D">
        <w:t>can</w:t>
      </w:r>
      <w:r w:rsidR="00F44CDF" w:rsidRPr="0000563D">
        <w:t xml:space="preserve"> be </w:t>
      </w:r>
      <w:r w:rsidR="00FF1F84" w:rsidRPr="0000563D">
        <w:t>strengthened</w:t>
      </w:r>
      <w:r w:rsidR="0092380A" w:rsidRPr="0000563D">
        <w:t>.</w:t>
      </w:r>
      <w:r w:rsidR="00FF1F84" w:rsidRPr="0000563D">
        <w:t xml:space="preserve"> </w:t>
      </w:r>
    </w:p>
    <w:p w14:paraId="13C75A9C" w14:textId="05D3430D" w:rsidR="001B01CD" w:rsidRPr="0000563D" w:rsidRDefault="009B29D5" w:rsidP="002D4943">
      <w:r w:rsidRPr="0000563D">
        <w:t xml:space="preserve">The Commission is well-practiced at managing </w:t>
      </w:r>
      <w:r w:rsidR="00D56025" w:rsidRPr="0000563D">
        <w:t xml:space="preserve">complementary and mutually reinforcing </w:t>
      </w:r>
      <w:r w:rsidR="009D156A" w:rsidRPr="0000563D">
        <w:t xml:space="preserve">legislative schemes </w:t>
      </w:r>
      <w:r w:rsidR="004A0A49" w:rsidRPr="0000563D">
        <w:t xml:space="preserve">in </w:t>
      </w:r>
      <w:r w:rsidR="00C47FF5" w:rsidRPr="0000563D">
        <w:t>our</w:t>
      </w:r>
      <w:r w:rsidR="004A0A49" w:rsidRPr="0000563D">
        <w:t xml:space="preserve"> investigation and conciliation </w:t>
      </w:r>
      <w:r w:rsidR="00A04892" w:rsidRPr="0000563D">
        <w:t>services</w:t>
      </w:r>
      <w:r w:rsidR="004A0A49" w:rsidRPr="0000563D">
        <w:t xml:space="preserve"> and </w:t>
      </w:r>
      <w:r w:rsidR="00A04892" w:rsidRPr="0000563D">
        <w:t>our</w:t>
      </w:r>
      <w:r w:rsidR="004A0A49" w:rsidRPr="0000563D">
        <w:t xml:space="preserve"> positive duty </w:t>
      </w:r>
      <w:r w:rsidR="00A04892" w:rsidRPr="0000563D">
        <w:t>regulatory functions under the Sex Discrimination Act</w:t>
      </w:r>
      <w:r w:rsidR="009C2149" w:rsidRPr="0000563D">
        <w:t xml:space="preserve">. </w:t>
      </w:r>
      <w:r w:rsidR="0034090F" w:rsidRPr="0000563D">
        <w:t xml:space="preserve">As outlined in this submission, the Commission </w:t>
      </w:r>
      <w:r w:rsidR="00B60CA5" w:rsidRPr="0000563D">
        <w:t xml:space="preserve">strongly </w:t>
      </w:r>
      <w:r w:rsidR="0034090F" w:rsidRPr="0000563D">
        <w:t>support</w:t>
      </w:r>
      <w:r w:rsidR="00B60CA5" w:rsidRPr="0000563D">
        <w:t>s</w:t>
      </w:r>
      <w:r w:rsidR="0034090F" w:rsidRPr="0000563D">
        <w:t xml:space="preserve"> the introduction of a positive duty</w:t>
      </w:r>
      <w:r w:rsidR="00A04892" w:rsidRPr="0000563D">
        <w:t xml:space="preserve"> under the Disability Discrimination Act</w:t>
      </w:r>
      <w:r w:rsidR="0034090F" w:rsidRPr="0000563D">
        <w:t xml:space="preserve">. The Commission should have a role </w:t>
      </w:r>
      <w:r w:rsidR="00984193" w:rsidRPr="0000563D">
        <w:t>regulating</w:t>
      </w:r>
      <w:r w:rsidR="0034090F" w:rsidRPr="0000563D">
        <w:t xml:space="preserve"> the implementation of a positive duty</w:t>
      </w:r>
      <w:r w:rsidR="00A52577" w:rsidRPr="0000563D">
        <w:t xml:space="preserve"> </w:t>
      </w:r>
      <w:r w:rsidR="00085F11" w:rsidRPr="0000563D">
        <w:t>under the Disability Discrimination Act</w:t>
      </w:r>
      <w:r w:rsidR="00A52577" w:rsidRPr="0000563D">
        <w:t xml:space="preserve"> and would</w:t>
      </w:r>
      <w:r w:rsidR="00643354" w:rsidRPr="0000563D">
        <w:t xml:space="preserve"> do so in line with the</w:t>
      </w:r>
      <w:r w:rsidR="00636667" w:rsidRPr="0000563D">
        <w:t xml:space="preserve"> </w:t>
      </w:r>
      <w:r w:rsidR="001D2E0F" w:rsidRPr="0000563D">
        <w:t xml:space="preserve">Commonwealth </w:t>
      </w:r>
      <w:r w:rsidR="00636667" w:rsidRPr="0000563D">
        <w:t>Regulator</w:t>
      </w:r>
      <w:r w:rsidR="001D2E0F" w:rsidRPr="0000563D">
        <w:t xml:space="preserve"> Performance </w:t>
      </w:r>
      <w:r w:rsidR="00636667" w:rsidRPr="0000563D">
        <w:t>Framework</w:t>
      </w:r>
      <w:r w:rsidR="009E68CE" w:rsidRPr="0000563D">
        <w:t xml:space="preserve"> and </w:t>
      </w:r>
      <w:r w:rsidR="005108C3" w:rsidRPr="0000563D">
        <w:t xml:space="preserve">its </w:t>
      </w:r>
      <w:r w:rsidR="009E68CE" w:rsidRPr="0000563D">
        <w:t>best practice</w:t>
      </w:r>
      <w:r w:rsidR="005108C3" w:rsidRPr="0000563D">
        <w:t xml:space="preserve"> principles</w:t>
      </w:r>
      <w:r w:rsidR="00A33BF2" w:rsidRPr="0000563D">
        <w:t xml:space="preserve">. </w:t>
      </w:r>
    </w:p>
    <w:p w14:paraId="465299AA" w14:textId="77777777" w:rsidR="008E13B9" w:rsidRPr="002D4943" w:rsidRDefault="008E13B9" w:rsidP="008E13B9">
      <w:pPr>
        <w:pStyle w:val="Heading2"/>
        <w:rPr>
          <w:rFonts w:ascii="Open Sans" w:hAnsi="Open Sans" w:cs="Open Sans"/>
        </w:rPr>
      </w:pPr>
      <w:bookmarkStart w:id="46" w:name="_Toc214961129"/>
      <w:r w:rsidRPr="002D4943">
        <w:rPr>
          <w:rFonts w:ascii="Open Sans" w:hAnsi="Open Sans" w:cs="Open Sans"/>
        </w:rPr>
        <w:t>Strengthening the Commission’s regulatory powers</w:t>
      </w:r>
      <w:bookmarkEnd w:id="46"/>
    </w:p>
    <w:p w14:paraId="29059767" w14:textId="155FC303" w:rsidR="00793C80" w:rsidRPr="0000563D" w:rsidRDefault="00793C80" w:rsidP="008911EA">
      <w:r w:rsidRPr="0000563D">
        <w:t>T</w:t>
      </w:r>
      <w:r w:rsidRPr="0000563D" w:rsidDel="00EC1A1E">
        <w:t>he Sex Discrimination Act provides the first example of a positive duty in federal discrimination law.</w:t>
      </w:r>
      <w:r w:rsidRPr="0000563D">
        <w:rPr>
          <w:rStyle w:val="EndnoteReference"/>
        </w:rPr>
        <w:endnoteReference w:id="192"/>
      </w:r>
      <w:r w:rsidRPr="0000563D">
        <w:t xml:space="preserve"> A</w:t>
      </w:r>
      <w:r w:rsidRPr="0000563D" w:rsidDel="00EC1A1E">
        <w:t xml:space="preserve"> positive duty </w:t>
      </w:r>
      <w:r w:rsidRPr="0000563D">
        <w:t xml:space="preserve">to take </w:t>
      </w:r>
      <w:r w:rsidR="00786C85" w:rsidRPr="0000563D">
        <w:t xml:space="preserve">reasonable </w:t>
      </w:r>
      <w:r w:rsidRPr="0000563D">
        <w:t xml:space="preserve">steps to eliminate sexual harassment, sexist conduct and </w:t>
      </w:r>
      <w:r w:rsidR="00946CA0" w:rsidRPr="0000563D">
        <w:t>related victimisation</w:t>
      </w:r>
      <w:r w:rsidRPr="0000563D">
        <w:t xml:space="preserve"> in workplaces </w:t>
      </w:r>
      <w:r w:rsidRPr="0000563D" w:rsidDel="00EC1A1E">
        <w:t xml:space="preserve">was introduced in direct response to findings in the </w:t>
      </w:r>
      <w:r w:rsidRPr="0000563D">
        <w:t>Commission</w:t>
      </w:r>
      <w:r w:rsidRPr="0000563D" w:rsidDel="00EC1A1E">
        <w:t>’s 2020 report</w:t>
      </w:r>
      <w:r w:rsidRPr="0000563D">
        <w:t xml:space="preserve"> </w:t>
      </w:r>
      <w:proofErr w:type="spellStart"/>
      <w:r w:rsidRPr="0000563D">
        <w:t>Respect@Work</w:t>
      </w:r>
      <w:proofErr w:type="spellEnd"/>
      <w:r w:rsidRPr="0000563D" w:rsidDel="00EC1A1E">
        <w:t xml:space="preserve">. </w:t>
      </w:r>
    </w:p>
    <w:p w14:paraId="20FA2576" w14:textId="2CA8E4A5" w:rsidR="008E13B9" w:rsidRPr="0000563D" w:rsidRDefault="008E13B9" w:rsidP="008911EA">
      <w:r w:rsidRPr="0000563D">
        <w:t>The introduction of a positive duty in the Disability Discrimination Act provides an opportunity to learn from the implementation of the positive duty in the Sex Discrimination Act. </w:t>
      </w:r>
      <w:r w:rsidR="00886B69" w:rsidRPr="0000563D">
        <w:t xml:space="preserve">Detailed </w:t>
      </w:r>
      <w:r w:rsidR="003974B6" w:rsidRPr="0000563D">
        <w:t>early</w:t>
      </w:r>
      <w:r w:rsidR="00886B69" w:rsidRPr="0000563D">
        <w:t xml:space="preserve"> learnings are presented in Appendix A.</w:t>
      </w:r>
    </w:p>
    <w:p w14:paraId="3BC99D1B" w14:textId="62E5CAFB" w:rsidR="00BC6BEF" w:rsidRPr="0000563D" w:rsidRDefault="4D0EF3FD" w:rsidP="008911EA">
      <w:r w:rsidRPr="0000563D">
        <w:t xml:space="preserve">At present, the Commission’s regulatory framework for enforcing compliance with the positive duty in the Sex Discrimination Act is not consistent with the more robust frameworks of comparable regulators. </w:t>
      </w:r>
      <w:r w:rsidR="00BC6BEF" w:rsidRPr="0000563D">
        <w:t xml:space="preserve">Both the </w:t>
      </w:r>
      <w:r w:rsidR="00074FA7" w:rsidRPr="0000563D">
        <w:t>w</w:t>
      </w:r>
      <w:r w:rsidR="00982023" w:rsidRPr="0000563D">
        <w:t>ork</w:t>
      </w:r>
      <w:r w:rsidR="00516995" w:rsidRPr="0000563D">
        <w:t xml:space="preserve"> health and safety and Fair Work </w:t>
      </w:r>
      <w:r w:rsidR="00BC6BEF" w:rsidRPr="0000563D">
        <w:t>frameworks</w:t>
      </w:r>
      <w:r w:rsidR="00610164" w:rsidRPr="0000563D">
        <w:t>,</w:t>
      </w:r>
      <w:r w:rsidR="00BF3268" w:rsidRPr="0000563D">
        <w:t xml:space="preserve"> </w:t>
      </w:r>
      <w:r w:rsidR="00DC1F68" w:rsidRPr="0000563D">
        <w:t>which also</w:t>
      </w:r>
      <w:r w:rsidR="00516995" w:rsidRPr="0000563D">
        <w:t xml:space="preserve"> </w:t>
      </w:r>
      <w:r w:rsidR="00856C9E" w:rsidRPr="0000563D">
        <w:t xml:space="preserve">regulate </w:t>
      </w:r>
      <w:r w:rsidR="00610164" w:rsidRPr="0000563D">
        <w:t>work-related</w:t>
      </w:r>
      <w:r w:rsidR="00075773" w:rsidRPr="0000563D">
        <w:t xml:space="preserve"> </w:t>
      </w:r>
      <w:r w:rsidR="00856C9E" w:rsidRPr="0000563D">
        <w:t xml:space="preserve">sexual harassment, </w:t>
      </w:r>
      <w:r w:rsidR="00BC6BEF" w:rsidRPr="0000563D">
        <w:t xml:space="preserve">include the ability of the regulator </w:t>
      </w:r>
      <w:r w:rsidR="00E0333A" w:rsidRPr="0000563D">
        <w:t xml:space="preserve">to </w:t>
      </w:r>
      <w:r w:rsidR="00BC6BEF" w:rsidRPr="0000563D">
        <w:t>either seek civil penalty orders or refer matters</w:t>
      </w:r>
      <w:r w:rsidR="00842FF6" w:rsidRPr="0000563D">
        <w:t xml:space="preserve"> for criminal prosecution </w:t>
      </w:r>
      <w:r w:rsidR="00811119" w:rsidRPr="0000563D">
        <w:t>for serious breaches of the law</w:t>
      </w:r>
      <w:r w:rsidR="00BC6BEF" w:rsidRPr="0000563D">
        <w:t>.</w:t>
      </w:r>
    </w:p>
    <w:p w14:paraId="2A0D572A" w14:textId="11CD2409" w:rsidR="00D15F55" w:rsidRPr="0000563D" w:rsidRDefault="00064AB8" w:rsidP="008911EA">
      <w:r w:rsidRPr="0000563D">
        <w:t xml:space="preserve">The Commission has identified </w:t>
      </w:r>
      <w:r w:rsidR="00362283" w:rsidRPr="0000563D">
        <w:t>4</w:t>
      </w:r>
      <w:r w:rsidR="000A70FE" w:rsidRPr="0000563D">
        <w:t xml:space="preserve"> key </w:t>
      </w:r>
      <w:r w:rsidR="0055524A" w:rsidRPr="0000563D">
        <w:t xml:space="preserve">areas </w:t>
      </w:r>
      <w:r w:rsidR="00175301" w:rsidRPr="0000563D">
        <w:t xml:space="preserve">that </w:t>
      </w:r>
      <w:r w:rsidR="003A234C" w:rsidRPr="0000563D">
        <w:t xml:space="preserve">could be strengthened by </w:t>
      </w:r>
      <w:r w:rsidR="00C977A2" w:rsidRPr="0000563D">
        <w:t xml:space="preserve">regulatory </w:t>
      </w:r>
      <w:r w:rsidR="00BE629D" w:rsidRPr="0000563D">
        <w:t>reform</w:t>
      </w:r>
      <w:r w:rsidR="000A70FE" w:rsidRPr="0000563D">
        <w:t xml:space="preserve"> to ensure the Commission can </w:t>
      </w:r>
      <w:r w:rsidRPr="0000563D">
        <w:t>more</w:t>
      </w:r>
      <w:r w:rsidR="000A70FE" w:rsidRPr="0000563D">
        <w:t xml:space="preserve"> effectively </w:t>
      </w:r>
      <w:r w:rsidR="00FD5E1E" w:rsidRPr="0000563D">
        <w:t>enforce compliance with</w:t>
      </w:r>
      <w:r w:rsidR="00C34E16" w:rsidRPr="0000563D">
        <w:t xml:space="preserve"> the positive duty</w:t>
      </w:r>
      <w:r w:rsidR="00FD5E1E" w:rsidRPr="0000563D">
        <w:t xml:space="preserve"> in the Sex Discrimination Act</w:t>
      </w:r>
      <w:r w:rsidR="00415BCB" w:rsidRPr="0000563D">
        <w:t xml:space="preserve">, and that should form part of the regulatory framework </w:t>
      </w:r>
      <w:r w:rsidR="00CE27E4" w:rsidRPr="0000563D">
        <w:t>under the Disability Discrimination Act.</w:t>
      </w:r>
    </w:p>
    <w:p w14:paraId="463A229F" w14:textId="05EC3701" w:rsidR="00EF6562" w:rsidRPr="0000563D" w:rsidRDefault="00503451" w:rsidP="000B09C7">
      <w:r w:rsidRPr="0000563D">
        <w:t>I</w:t>
      </w:r>
      <w:r w:rsidR="005C60BF" w:rsidRPr="0000563D">
        <w:t xml:space="preserve">n </w:t>
      </w:r>
      <w:r w:rsidR="00C47FF5" w:rsidRPr="0000563D">
        <w:t xml:space="preserve">our </w:t>
      </w:r>
      <w:r w:rsidR="005C60BF" w:rsidRPr="0000563D">
        <w:t xml:space="preserve">2021 Free &amp; Equal Position Paper, the Commission </w:t>
      </w:r>
      <w:r w:rsidR="009022D0" w:rsidRPr="0000563D">
        <w:t xml:space="preserve">called for regulatory powers reflecting the responsive regulation </w:t>
      </w:r>
      <w:r w:rsidR="00C51B35" w:rsidRPr="0000563D">
        <w:t>pyramid</w:t>
      </w:r>
      <w:r w:rsidR="009022D0" w:rsidRPr="0000563D">
        <w:t>, based on the work of Professor</w:t>
      </w:r>
      <w:r w:rsidR="00E948A0" w:rsidRPr="0000563D">
        <w:t>s Ian Ayres</w:t>
      </w:r>
      <w:r w:rsidR="00822DAF" w:rsidRPr="0000563D">
        <w:t xml:space="preserve"> and</w:t>
      </w:r>
      <w:r w:rsidR="009022D0" w:rsidRPr="0000563D">
        <w:t xml:space="preserve"> John Braithwa</w:t>
      </w:r>
      <w:r w:rsidR="004534AF" w:rsidRPr="0000563D">
        <w:t>i</w:t>
      </w:r>
      <w:r w:rsidR="009022D0" w:rsidRPr="0000563D">
        <w:t>te</w:t>
      </w:r>
      <w:r w:rsidR="009022D0" w:rsidRPr="0000563D">
        <w:rPr>
          <w:rStyle w:val="EndnoteReference"/>
        </w:rPr>
        <w:endnoteReference w:id="193"/>
      </w:r>
      <w:r w:rsidR="000B09C7" w:rsidRPr="0000563D">
        <w:t xml:space="preserve"> </w:t>
      </w:r>
      <w:r w:rsidR="00BA2432" w:rsidRPr="0000563D">
        <w:t>This</w:t>
      </w:r>
      <w:r w:rsidR="00431BA4" w:rsidRPr="0000563D">
        <w:t xml:space="preserve"> model reflects</w:t>
      </w:r>
      <w:r w:rsidR="00BA2432" w:rsidRPr="0000563D">
        <w:t xml:space="preserve"> that different tools are required to achieve compliance with the law, depending on the </w:t>
      </w:r>
      <w:r w:rsidR="00BA2432" w:rsidRPr="0000563D">
        <w:lastRenderedPageBreak/>
        <w:t>willingness</w:t>
      </w:r>
      <w:r w:rsidR="00BE683D" w:rsidRPr="0000563D">
        <w:t xml:space="preserve"> and </w:t>
      </w:r>
      <w:r w:rsidR="00BA2432" w:rsidRPr="0000563D">
        <w:t xml:space="preserve">capacity of individuals and organisations. </w:t>
      </w:r>
      <w:r w:rsidR="00941119" w:rsidRPr="0000563D">
        <w:t xml:space="preserve">While the Commission can currently </w:t>
      </w:r>
      <w:proofErr w:type="gramStart"/>
      <w:r w:rsidR="00941119" w:rsidRPr="0000563D">
        <w:t>enter into</w:t>
      </w:r>
      <w:proofErr w:type="gramEnd"/>
      <w:r w:rsidR="00941119" w:rsidRPr="0000563D">
        <w:t xml:space="preserve"> enforceable </w:t>
      </w:r>
      <w:proofErr w:type="gramStart"/>
      <w:r w:rsidR="00941119" w:rsidRPr="0000563D">
        <w:t>undertakings</w:t>
      </w:r>
      <w:r w:rsidR="0095625F" w:rsidRPr="0000563D">
        <w:t xml:space="preserve">, </w:t>
      </w:r>
      <w:r w:rsidR="007C72F9" w:rsidRPr="0000563D">
        <w:t>and</w:t>
      </w:r>
      <w:proofErr w:type="gramEnd"/>
      <w:r w:rsidR="007C72F9" w:rsidRPr="0000563D">
        <w:t xml:space="preserve"> </w:t>
      </w:r>
      <w:r w:rsidR="00737FE2" w:rsidRPr="0000563D">
        <w:t xml:space="preserve">engage with </w:t>
      </w:r>
      <w:r w:rsidR="00941119" w:rsidRPr="0000563D">
        <w:t xml:space="preserve">duty holders around breaches </w:t>
      </w:r>
      <w:r w:rsidR="00096010" w:rsidRPr="0000563D">
        <w:t>(</w:t>
      </w:r>
      <w:r w:rsidR="00941119" w:rsidRPr="0000563D">
        <w:t>or suspected breaches</w:t>
      </w:r>
      <w:r w:rsidR="00096010" w:rsidRPr="0000563D">
        <w:t>)</w:t>
      </w:r>
      <w:r w:rsidR="00941119" w:rsidRPr="0000563D">
        <w:t xml:space="preserve"> of the positive duty in the Sex Discrimination Act, it does not have the ability to ‘move up’ </w:t>
      </w:r>
      <w:r w:rsidR="007E0F37" w:rsidRPr="0000563D">
        <w:t xml:space="preserve">to </w:t>
      </w:r>
      <w:r w:rsidR="004205A4" w:rsidRPr="0000563D">
        <w:t xml:space="preserve">more punitive enforcement action </w:t>
      </w:r>
      <w:r w:rsidR="00B300AE" w:rsidRPr="0000563D">
        <w:t>at</w:t>
      </w:r>
      <w:r w:rsidR="00661463" w:rsidRPr="0000563D">
        <w:t xml:space="preserve"> </w:t>
      </w:r>
      <w:r w:rsidR="00941119" w:rsidRPr="0000563D">
        <w:t>the</w:t>
      </w:r>
      <w:r w:rsidR="007E0F37" w:rsidRPr="0000563D">
        <w:t xml:space="preserve"> top of </w:t>
      </w:r>
      <w:r w:rsidR="00941119" w:rsidRPr="0000563D">
        <w:t xml:space="preserve">the regulatory </w:t>
      </w:r>
      <w:r w:rsidR="00661463" w:rsidRPr="0000563D">
        <w:t>pyramid</w:t>
      </w:r>
      <w:r w:rsidR="00F845A1" w:rsidRPr="0000563D">
        <w:t xml:space="preserve">. </w:t>
      </w:r>
    </w:p>
    <w:p w14:paraId="05CC4C9A" w14:textId="5206E1A7" w:rsidR="008C6041" w:rsidRPr="0000563D" w:rsidRDefault="000B09C7" w:rsidP="000B09C7">
      <w:r w:rsidRPr="0000563D">
        <w:t xml:space="preserve">Key limitations identified </w:t>
      </w:r>
      <w:r w:rsidR="00F845A1" w:rsidRPr="0000563D">
        <w:t>by</w:t>
      </w:r>
      <w:r w:rsidRPr="0000563D">
        <w:t xml:space="preserve"> the Commission through </w:t>
      </w:r>
      <w:r w:rsidR="00C47FF5" w:rsidRPr="0000563D">
        <w:t xml:space="preserve">our </w:t>
      </w:r>
      <w:r w:rsidRPr="0000563D">
        <w:t xml:space="preserve">early experience as a regulator </w:t>
      </w:r>
      <w:r w:rsidR="00C34E16" w:rsidRPr="0000563D">
        <w:t>of</w:t>
      </w:r>
      <w:r w:rsidRPr="0000563D">
        <w:t xml:space="preserve"> the </w:t>
      </w:r>
      <w:r w:rsidR="00C34E16" w:rsidRPr="0000563D">
        <w:t xml:space="preserve">positive duty in the </w:t>
      </w:r>
      <w:r w:rsidRPr="0000563D">
        <w:t>Sex Discrimination Act are</w:t>
      </w:r>
      <w:r w:rsidR="00F845A1" w:rsidRPr="0000563D">
        <w:t xml:space="preserve"> summarised below, with further detail provided in Appendix A.</w:t>
      </w:r>
    </w:p>
    <w:p w14:paraId="0E8E659B" w14:textId="77777777" w:rsidR="000B09C7" w:rsidRPr="0000563D" w:rsidRDefault="000B09C7" w:rsidP="00013925">
      <w:pPr>
        <w:pStyle w:val="ListBullet"/>
        <w:rPr>
          <w:rFonts w:cs="Open Sans"/>
        </w:rPr>
      </w:pPr>
      <w:r w:rsidRPr="0000563D">
        <w:rPr>
          <w:rFonts w:cs="Open Sans"/>
        </w:rPr>
        <w:t>Civil penalty provisions</w:t>
      </w:r>
    </w:p>
    <w:p w14:paraId="07DC956C" w14:textId="6D0B97A9" w:rsidR="000B09C7" w:rsidRPr="0000563D" w:rsidRDefault="000B09C7" w:rsidP="00606A3C">
      <w:pPr>
        <w:pStyle w:val="ListBullet"/>
        <w:numPr>
          <w:ilvl w:val="1"/>
          <w:numId w:val="22"/>
        </w:numPr>
        <w:rPr>
          <w:rFonts w:cs="Open Sans"/>
        </w:rPr>
      </w:pPr>
      <w:r w:rsidRPr="0000563D">
        <w:rPr>
          <w:rFonts w:cs="Open Sans"/>
        </w:rPr>
        <w:t xml:space="preserve">The Commission does not have the full suite of </w:t>
      </w:r>
      <w:r w:rsidR="00155575" w:rsidRPr="0000563D">
        <w:rPr>
          <w:rFonts w:cs="Open Sans"/>
        </w:rPr>
        <w:t>enforcement</w:t>
      </w:r>
      <w:r w:rsidRPr="0000563D">
        <w:rPr>
          <w:rFonts w:cs="Open Sans"/>
        </w:rPr>
        <w:t xml:space="preserve"> powers </w:t>
      </w:r>
      <w:r w:rsidR="00C74B15" w:rsidRPr="0000563D">
        <w:rPr>
          <w:rFonts w:cs="Open Sans"/>
        </w:rPr>
        <w:t xml:space="preserve">to reflect </w:t>
      </w:r>
      <w:r w:rsidR="001D4CAC" w:rsidRPr="0000563D">
        <w:rPr>
          <w:rFonts w:cs="Open Sans"/>
        </w:rPr>
        <w:t xml:space="preserve">a </w:t>
      </w:r>
      <w:r w:rsidRPr="0000563D">
        <w:rPr>
          <w:rFonts w:cs="Open Sans"/>
        </w:rPr>
        <w:t xml:space="preserve">responsive regulatory </w:t>
      </w:r>
      <w:r w:rsidR="00322EC6" w:rsidRPr="0000563D">
        <w:rPr>
          <w:rFonts w:cs="Open Sans"/>
        </w:rPr>
        <w:t>pyramid</w:t>
      </w:r>
      <w:r w:rsidR="001D4CAC" w:rsidRPr="0000563D">
        <w:rPr>
          <w:rFonts w:cs="Open Sans"/>
        </w:rPr>
        <w:t xml:space="preserve">. </w:t>
      </w:r>
      <w:proofErr w:type="gramStart"/>
      <w:r w:rsidR="001D4CAC" w:rsidRPr="0000563D">
        <w:rPr>
          <w:rFonts w:cs="Open Sans"/>
        </w:rPr>
        <w:t>In particular the</w:t>
      </w:r>
      <w:proofErr w:type="gramEnd"/>
      <w:r w:rsidR="001D4CAC" w:rsidRPr="0000563D">
        <w:rPr>
          <w:rFonts w:cs="Open Sans"/>
        </w:rPr>
        <w:t xml:space="preserve"> Commission </w:t>
      </w:r>
      <w:r w:rsidR="00297F57" w:rsidRPr="0000563D">
        <w:rPr>
          <w:rFonts w:cs="Open Sans"/>
        </w:rPr>
        <w:t>does not have the power</w:t>
      </w:r>
      <w:r w:rsidRPr="0000563D">
        <w:rPr>
          <w:rFonts w:cs="Open Sans"/>
        </w:rPr>
        <w:t xml:space="preserve"> to seek civil penalty orders where </w:t>
      </w:r>
      <w:r w:rsidR="00C34E16" w:rsidRPr="0000563D">
        <w:rPr>
          <w:rFonts w:cs="Open Sans"/>
        </w:rPr>
        <w:t xml:space="preserve">there is a </w:t>
      </w:r>
      <w:r w:rsidRPr="0000563D">
        <w:rPr>
          <w:rFonts w:cs="Open Sans"/>
        </w:rPr>
        <w:t>failure to comply with the positive duty.</w:t>
      </w:r>
      <w:r w:rsidR="00927E56" w:rsidRPr="0000563D">
        <w:rPr>
          <w:rFonts w:cs="Open Sans"/>
        </w:rPr>
        <w:t xml:space="preserve"> </w:t>
      </w:r>
    </w:p>
    <w:p w14:paraId="4E3591C4" w14:textId="5CD198E6" w:rsidR="00E13157" w:rsidRPr="0000563D" w:rsidRDefault="00E13157" w:rsidP="00606A3C">
      <w:pPr>
        <w:pStyle w:val="ListBullet"/>
        <w:numPr>
          <w:ilvl w:val="1"/>
          <w:numId w:val="22"/>
        </w:numPr>
        <w:rPr>
          <w:rFonts w:cs="Open Sans"/>
        </w:rPr>
      </w:pPr>
      <w:r w:rsidRPr="0000563D">
        <w:rPr>
          <w:rFonts w:cs="Open Sans"/>
        </w:rPr>
        <w:t xml:space="preserve">In 2025, the ALRC recommended the law </w:t>
      </w:r>
      <w:r w:rsidRPr="0000563D">
        <w:rPr>
          <w:rFonts w:cs="Open Sans"/>
          <w:lang w:val="en-US"/>
        </w:rPr>
        <w:t>be amended so that a person who breaches the positive duty in the Sex Discrimination Act may be ordered to pay a civil penalty.</w:t>
      </w:r>
      <w:r w:rsidRPr="0000563D">
        <w:rPr>
          <w:rStyle w:val="EndnoteReference"/>
          <w:rFonts w:cs="Open Sans"/>
          <w:lang w:val="en-US"/>
        </w:rPr>
        <w:endnoteReference w:id="194"/>
      </w:r>
      <w:r w:rsidR="007262D2" w:rsidRPr="0000563D">
        <w:rPr>
          <w:rFonts w:cs="Open Sans"/>
          <w:lang w:val="en-US"/>
        </w:rPr>
        <w:t xml:space="preserve"> This </w:t>
      </w:r>
      <w:r w:rsidR="007262D2" w:rsidRPr="0000563D">
        <w:rPr>
          <w:rFonts w:cs="Open Sans"/>
        </w:rPr>
        <w:t xml:space="preserve">recommendation was repeated in the Commission’s recent </w:t>
      </w:r>
      <w:r w:rsidR="00A40925" w:rsidRPr="0000563D">
        <w:rPr>
          <w:rFonts w:cs="Open Sans"/>
        </w:rPr>
        <w:t xml:space="preserve">Speaking from Experience </w:t>
      </w:r>
      <w:r w:rsidR="007262D2" w:rsidRPr="0000563D">
        <w:rPr>
          <w:rFonts w:cs="Open Sans"/>
        </w:rPr>
        <w:t>report</w:t>
      </w:r>
      <w:r w:rsidR="007262D2" w:rsidRPr="0000563D">
        <w:rPr>
          <w:rFonts w:cs="Open Sans"/>
          <w:i/>
        </w:rPr>
        <w:t>.</w:t>
      </w:r>
      <w:r w:rsidR="007262D2" w:rsidRPr="0000563D">
        <w:rPr>
          <w:rStyle w:val="EndnoteReference"/>
          <w:rFonts w:cs="Open Sans"/>
          <w:i/>
        </w:rPr>
        <w:endnoteReference w:id="195"/>
      </w:r>
    </w:p>
    <w:p w14:paraId="7E544AFD" w14:textId="20D144EE" w:rsidR="006A00D1" w:rsidRPr="0000563D" w:rsidRDefault="006A00D1" w:rsidP="006A00D1">
      <w:pPr>
        <w:pStyle w:val="ListBullet"/>
        <w:rPr>
          <w:rFonts w:cs="Open Sans"/>
        </w:rPr>
      </w:pPr>
      <w:r w:rsidRPr="0000563D">
        <w:rPr>
          <w:rFonts w:cs="Open Sans"/>
        </w:rPr>
        <w:t>Penalt</w:t>
      </w:r>
      <w:r w:rsidR="00B04367" w:rsidRPr="0000563D">
        <w:rPr>
          <w:rFonts w:cs="Open Sans"/>
        </w:rPr>
        <w:t>ies for failure to comply with Commission</w:t>
      </w:r>
      <w:r w:rsidR="006B2F11" w:rsidRPr="0000563D">
        <w:rPr>
          <w:rFonts w:cs="Open Sans"/>
        </w:rPr>
        <w:t xml:space="preserve"> </w:t>
      </w:r>
      <w:r w:rsidR="00770D61" w:rsidRPr="0000563D">
        <w:rPr>
          <w:rFonts w:cs="Open Sans"/>
        </w:rPr>
        <w:t xml:space="preserve">statutory </w:t>
      </w:r>
      <w:r w:rsidR="006B2F11" w:rsidRPr="0000563D">
        <w:rPr>
          <w:rFonts w:cs="Open Sans"/>
        </w:rPr>
        <w:t>notices</w:t>
      </w:r>
      <w:r w:rsidR="00B04367" w:rsidRPr="0000563D">
        <w:rPr>
          <w:rFonts w:cs="Open Sans"/>
          <w:b/>
        </w:rPr>
        <w:t xml:space="preserve"> </w:t>
      </w:r>
      <w:r w:rsidR="00335C3D" w:rsidRPr="0000563D">
        <w:rPr>
          <w:rFonts w:cs="Open Sans"/>
        </w:rPr>
        <w:t>or interference with the Commission’s administration and enforcement of the positive duty</w:t>
      </w:r>
      <w:r w:rsidR="00335C3D" w:rsidRPr="0000563D">
        <w:rPr>
          <w:rFonts w:cs="Open Sans"/>
          <w:b/>
        </w:rPr>
        <w:t> </w:t>
      </w:r>
      <w:r w:rsidR="00B04367" w:rsidRPr="0000563D">
        <w:rPr>
          <w:rFonts w:cs="Open Sans"/>
        </w:rPr>
        <w:t xml:space="preserve"> </w:t>
      </w:r>
    </w:p>
    <w:p w14:paraId="02CDCB98" w14:textId="6CADEE14" w:rsidR="006A00D1" w:rsidRPr="0000563D" w:rsidRDefault="006A00D1" w:rsidP="00606A3C">
      <w:pPr>
        <w:pStyle w:val="ListBullet"/>
        <w:numPr>
          <w:ilvl w:val="1"/>
          <w:numId w:val="22"/>
        </w:numPr>
        <w:rPr>
          <w:rFonts w:cs="Open Sans"/>
        </w:rPr>
      </w:pPr>
      <w:r w:rsidRPr="0000563D">
        <w:rPr>
          <w:rFonts w:cs="Open Sans"/>
        </w:rPr>
        <w:t xml:space="preserve">Penalties for non-compliance with </w:t>
      </w:r>
      <w:r w:rsidR="00B04367" w:rsidRPr="0000563D">
        <w:rPr>
          <w:rFonts w:cs="Open Sans"/>
        </w:rPr>
        <w:t xml:space="preserve">Commission </w:t>
      </w:r>
      <w:r w:rsidR="00314816" w:rsidRPr="0000563D">
        <w:rPr>
          <w:rFonts w:cs="Open Sans"/>
        </w:rPr>
        <w:t xml:space="preserve">statutory notices </w:t>
      </w:r>
      <w:r w:rsidR="00335C3D" w:rsidRPr="0000563D">
        <w:rPr>
          <w:rFonts w:cs="Open Sans"/>
        </w:rPr>
        <w:t>or interference with the Commission’s administration and enforcement of the positive duty</w:t>
      </w:r>
      <w:r w:rsidR="00335C3D" w:rsidRPr="0000563D">
        <w:rPr>
          <w:rFonts w:cs="Open Sans"/>
          <w:b/>
        </w:rPr>
        <w:t> </w:t>
      </w:r>
      <w:r w:rsidRPr="0000563D">
        <w:rPr>
          <w:rFonts w:cs="Open Sans"/>
        </w:rPr>
        <w:t xml:space="preserve">are lower than penalties in other regulatory schemes and </w:t>
      </w:r>
      <w:r w:rsidR="00D866E2" w:rsidRPr="0000563D">
        <w:rPr>
          <w:rFonts w:cs="Open Sans"/>
        </w:rPr>
        <w:t xml:space="preserve">may not be </w:t>
      </w:r>
      <w:r w:rsidRPr="0000563D">
        <w:rPr>
          <w:rFonts w:cs="Open Sans"/>
        </w:rPr>
        <w:t>adequate to deter duty holders from non-compliance or from non-cooperation with the Commission’s administration and enforcement of the positive duty.</w:t>
      </w:r>
    </w:p>
    <w:p w14:paraId="345D06DC" w14:textId="77777777" w:rsidR="000B09C7" w:rsidRPr="0000563D" w:rsidRDefault="000B09C7" w:rsidP="000B09C7">
      <w:pPr>
        <w:pStyle w:val="ListBullet"/>
        <w:rPr>
          <w:rFonts w:cs="Open Sans"/>
        </w:rPr>
      </w:pPr>
      <w:r w:rsidRPr="0000563D">
        <w:rPr>
          <w:rFonts w:cs="Open Sans"/>
        </w:rPr>
        <w:t>Production of information</w:t>
      </w:r>
    </w:p>
    <w:p w14:paraId="6FDCE95B" w14:textId="27DC1C42" w:rsidR="000B09C7" w:rsidRPr="0000563D" w:rsidRDefault="000B09C7" w:rsidP="00606A3C">
      <w:pPr>
        <w:pStyle w:val="ListBullet"/>
        <w:numPr>
          <w:ilvl w:val="1"/>
          <w:numId w:val="22"/>
        </w:numPr>
        <w:rPr>
          <w:rFonts w:cs="Open Sans"/>
        </w:rPr>
      </w:pPr>
      <w:r w:rsidRPr="0000563D">
        <w:rPr>
          <w:rFonts w:cs="Open Sans"/>
        </w:rPr>
        <w:t xml:space="preserve">The Commission cannot require the production of information or documents </w:t>
      </w:r>
      <w:r w:rsidR="00023A51" w:rsidRPr="0000563D">
        <w:rPr>
          <w:rFonts w:cs="Open Sans"/>
        </w:rPr>
        <w:t xml:space="preserve">from </w:t>
      </w:r>
      <w:r w:rsidRPr="0000563D">
        <w:rPr>
          <w:rFonts w:cs="Open Sans"/>
        </w:rPr>
        <w:t xml:space="preserve">duty holders </w:t>
      </w:r>
      <w:r w:rsidR="00607EB4" w:rsidRPr="0000563D">
        <w:rPr>
          <w:rFonts w:cs="Open Sans"/>
        </w:rPr>
        <w:t>(or others)</w:t>
      </w:r>
      <w:r w:rsidRPr="0000563D">
        <w:rPr>
          <w:rFonts w:cs="Open Sans"/>
        </w:rPr>
        <w:t xml:space="preserve"> until after an inquiry has commenced. This means it is reliant on the voluntary production of documents to inform assessments of whether to commence an inquiry, making it </w:t>
      </w:r>
      <w:r w:rsidR="00480210" w:rsidRPr="0000563D">
        <w:rPr>
          <w:rFonts w:cs="Open Sans"/>
        </w:rPr>
        <w:t xml:space="preserve">harder </w:t>
      </w:r>
      <w:r w:rsidRPr="0000563D">
        <w:rPr>
          <w:rFonts w:cs="Open Sans"/>
        </w:rPr>
        <w:t xml:space="preserve">to gather the information needed to form the requisite suspicion that </w:t>
      </w:r>
      <w:r w:rsidR="00B3385B" w:rsidRPr="0000563D">
        <w:rPr>
          <w:rFonts w:cs="Open Sans"/>
        </w:rPr>
        <w:t>non-compliance</w:t>
      </w:r>
      <w:r w:rsidRPr="0000563D">
        <w:rPr>
          <w:rFonts w:cs="Open Sans"/>
        </w:rPr>
        <w:t xml:space="preserve"> has occurred.</w:t>
      </w:r>
    </w:p>
    <w:p w14:paraId="44E8C5A7" w14:textId="4234D1D7" w:rsidR="000B09C7" w:rsidRPr="0000563D" w:rsidRDefault="00FA26E4" w:rsidP="000B09C7">
      <w:pPr>
        <w:pStyle w:val="ListBullet"/>
        <w:rPr>
          <w:rFonts w:cs="Open Sans"/>
        </w:rPr>
      </w:pPr>
      <w:r w:rsidRPr="0000563D">
        <w:rPr>
          <w:rFonts w:cs="Open Sans"/>
        </w:rPr>
        <w:t>Limitations on the Commission’s ability to share information</w:t>
      </w:r>
    </w:p>
    <w:p w14:paraId="04BFF8B0" w14:textId="5BBFD3DF" w:rsidR="0096528C" w:rsidRPr="0000563D" w:rsidRDefault="000B09C7" w:rsidP="00606A3C">
      <w:pPr>
        <w:pStyle w:val="ListBullet"/>
        <w:numPr>
          <w:ilvl w:val="1"/>
          <w:numId w:val="22"/>
        </w:numPr>
        <w:rPr>
          <w:rFonts w:cs="Open Sans"/>
        </w:rPr>
      </w:pPr>
      <w:r w:rsidRPr="0000563D">
        <w:rPr>
          <w:rFonts w:cs="Open Sans"/>
        </w:rPr>
        <w:t xml:space="preserve">The Commission is prevented </w:t>
      </w:r>
      <w:r w:rsidR="002A5DB6" w:rsidRPr="0000563D">
        <w:rPr>
          <w:rFonts w:cs="Open Sans"/>
        </w:rPr>
        <w:t>by legislation</w:t>
      </w:r>
      <w:r w:rsidRPr="0000563D">
        <w:rPr>
          <w:rFonts w:cs="Open Sans"/>
        </w:rPr>
        <w:t xml:space="preserve"> from sharing </w:t>
      </w:r>
      <w:r w:rsidR="006B2F11" w:rsidRPr="0000563D">
        <w:rPr>
          <w:rFonts w:cs="Open Sans"/>
        </w:rPr>
        <w:t xml:space="preserve">identifying </w:t>
      </w:r>
      <w:r w:rsidRPr="0000563D">
        <w:rPr>
          <w:rFonts w:cs="Open Sans"/>
        </w:rPr>
        <w:t>information</w:t>
      </w:r>
      <w:r w:rsidR="00C56B98" w:rsidRPr="0000563D">
        <w:rPr>
          <w:rFonts w:cs="Open Sans"/>
        </w:rPr>
        <w:t xml:space="preserve"> about duty holders</w:t>
      </w:r>
      <w:r w:rsidR="00A91E77" w:rsidRPr="0000563D">
        <w:rPr>
          <w:rFonts w:cs="Open Sans"/>
        </w:rPr>
        <w:t>. This</w:t>
      </w:r>
      <w:r w:rsidR="006F62FE" w:rsidRPr="0000563D">
        <w:rPr>
          <w:rFonts w:cs="Open Sans"/>
        </w:rPr>
        <w:t xml:space="preserve"> </w:t>
      </w:r>
      <w:r w:rsidRPr="0000563D">
        <w:rPr>
          <w:rFonts w:cs="Open Sans"/>
        </w:rPr>
        <w:t>includ</w:t>
      </w:r>
      <w:r w:rsidR="006B6AA0" w:rsidRPr="0000563D">
        <w:rPr>
          <w:rFonts w:cs="Open Sans"/>
        </w:rPr>
        <w:t>es</w:t>
      </w:r>
      <w:r w:rsidR="0096528C" w:rsidRPr="0000563D">
        <w:rPr>
          <w:rFonts w:cs="Open Sans"/>
        </w:rPr>
        <w:t>:</w:t>
      </w:r>
    </w:p>
    <w:p w14:paraId="30F37076" w14:textId="63659387" w:rsidR="000B09C7" w:rsidRPr="0000563D" w:rsidRDefault="000B09C7" w:rsidP="00801E38">
      <w:pPr>
        <w:pStyle w:val="ListBullet"/>
        <w:numPr>
          <w:ilvl w:val="2"/>
          <w:numId w:val="22"/>
        </w:numPr>
        <w:rPr>
          <w:rFonts w:cs="Open Sans"/>
        </w:rPr>
      </w:pPr>
      <w:r w:rsidRPr="0000563D">
        <w:rPr>
          <w:rFonts w:cs="Open Sans"/>
        </w:rPr>
        <w:t>shar</w:t>
      </w:r>
      <w:r w:rsidR="00496E26" w:rsidRPr="0000563D">
        <w:rPr>
          <w:rFonts w:cs="Open Sans"/>
        </w:rPr>
        <w:t>ing identifying</w:t>
      </w:r>
      <w:r w:rsidRPr="0000563D">
        <w:rPr>
          <w:rFonts w:cs="Open Sans"/>
        </w:rPr>
        <w:t xml:space="preserve"> information </w:t>
      </w:r>
      <w:r w:rsidR="001E6CA2" w:rsidRPr="0000563D">
        <w:rPr>
          <w:rFonts w:cs="Open Sans"/>
        </w:rPr>
        <w:t xml:space="preserve">or referrals </w:t>
      </w:r>
      <w:r w:rsidRPr="0000563D">
        <w:rPr>
          <w:rFonts w:cs="Open Sans"/>
        </w:rPr>
        <w:t>with regulators that have overlapping jurisdictions.</w:t>
      </w:r>
    </w:p>
    <w:p w14:paraId="31E9DB7A" w14:textId="7BC5EE78" w:rsidR="000B09C7" w:rsidRPr="0000563D" w:rsidRDefault="000B09C7" w:rsidP="00801E38">
      <w:pPr>
        <w:pStyle w:val="ListBullet"/>
        <w:numPr>
          <w:ilvl w:val="2"/>
          <w:numId w:val="22"/>
        </w:numPr>
        <w:rPr>
          <w:rFonts w:cs="Open Sans"/>
        </w:rPr>
      </w:pPr>
      <w:r w:rsidRPr="0000563D">
        <w:rPr>
          <w:rFonts w:cs="Open Sans"/>
        </w:rPr>
        <w:lastRenderedPageBreak/>
        <w:t>publishing identifying information</w:t>
      </w:r>
      <w:r w:rsidR="00636965" w:rsidRPr="0000563D">
        <w:rPr>
          <w:rFonts w:cs="Open Sans"/>
        </w:rPr>
        <w:t>,</w:t>
      </w:r>
      <w:r w:rsidRPr="0000563D">
        <w:rPr>
          <w:rFonts w:cs="Open Sans"/>
        </w:rPr>
        <w:t xml:space="preserve"> </w:t>
      </w:r>
      <w:r w:rsidR="00636965" w:rsidRPr="0000563D">
        <w:rPr>
          <w:rFonts w:cs="Open Sans"/>
        </w:rPr>
        <w:t>including</w:t>
      </w:r>
      <w:r w:rsidRPr="0000563D">
        <w:rPr>
          <w:rFonts w:cs="Open Sans"/>
        </w:rPr>
        <w:t xml:space="preserve"> the name of a</w:t>
      </w:r>
      <w:r w:rsidR="005B5581" w:rsidRPr="0000563D">
        <w:rPr>
          <w:rFonts w:cs="Open Sans"/>
        </w:rPr>
        <w:t xml:space="preserve"> duty holder</w:t>
      </w:r>
      <w:r w:rsidRPr="0000563D">
        <w:rPr>
          <w:rFonts w:cs="Open Sans"/>
        </w:rPr>
        <w:t xml:space="preserve"> under consideration for, or subject to, the Commission’s compliance and enforcement activities</w:t>
      </w:r>
      <w:r w:rsidR="00B92928" w:rsidRPr="0000563D">
        <w:rPr>
          <w:rFonts w:cs="Open Sans"/>
        </w:rPr>
        <w:t>.</w:t>
      </w:r>
    </w:p>
    <w:p w14:paraId="5D6BD3A2" w14:textId="0AD54AB5" w:rsidR="00E86874" w:rsidRPr="0000563D" w:rsidRDefault="000B09C7" w:rsidP="04001E3C">
      <w:r w:rsidRPr="0000563D">
        <w:t xml:space="preserve">These limitations on the Commission’s powers create unnecessary regulatory complexities and inefficiencies that </w:t>
      </w:r>
      <w:r w:rsidR="00B45377" w:rsidRPr="0000563D">
        <w:t xml:space="preserve">are likely to </w:t>
      </w:r>
      <w:r w:rsidR="00051614" w:rsidRPr="0000563D">
        <w:t>be magnified</w:t>
      </w:r>
      <w:r w:rsidRPr="0000563D">
        <w:t xml:space="preserve"> with the introduction of a positive duty in the Disability Discrimination Act. Amendments are required in the Australian Human Rights Commission Act</w:t>
      </w:r>
      <w:r w:rsidR="00051614" w:rsidRPr="0000563D">
        <w:t xml:space="preserve"> </w:t>
      </w:r>
      <w:r w:rsidR="00490B63" w:rsidRPr="0000563D">
        <w:t xml:space="preserve">to ensure the </w:t>
      </w:r>
      <w:r w:rsidR="00C01C48" w:rsidRPr="0000563D">
        <w:t>Commission</w:t>
      </w:r>
      <w:r w:rsidR="00490B63" w:rsidRPr="0000563D">
        <w:t xml:space="preserve"> </w:t>
      </w:r>
      <w:r w:rsidR="00C01C48" w:rsidRPr="0000563D">
        <w:t xml:space="preserve">can </w:t>
      </w:r>
      <w:r w:rsidR="00490B63" w:rsidRPr="0000563D">
        <w:t>e</w:t>
      </w:r>
      <w:r w:rsidR="00F85500" w:rsidRPr="0000563D">
        <w:t>fficiently and</w:t>
      </w:r>
      <w:r w:rsidR="00C01C48" w:rsidRPr="0000563D">
        <w:t xml:space="preserve"> effective</w:t>
      </w:r>
      <w:r w:rsidR="00F85500" w:rsidRPr="0000563D">
        <w:t>ly</w:t>
      </w:r>
      <w:r w:rsidR="00C01C48" w:rsidRPr="0000563D">
        <w:t xml:space="preserve"> take action to address unlawful</w:t>
      </w:r>
      <w:r w:rsidR="00D15F55" w:rsidRPr="0000563D">
        <w:t xml:space="preserve"> discrimination</w:t>
      </w:r>
      <w:r w:rsidR="00C01C48" w:rsidRPr="0000563D">
        <w:t>. </w:t>
      </w:r>
      <w:r w:rsidR="009846CB" w:rsidRPr="0000563D">
        <w:t xml:space="preserve">The below recommendations are </w:t>
      </w:r>
      <w:r w:rsidR="00425E70" w:rsidRPr="0000563D">
        <w:t xml:space="preserve">framed </w:t>
      </w:r>
      <w:r w:rsidR="001C15C2" w:rsidRPr="0000563D">
        <w:t xml:space="preserve">to apply to the Commission’s existing role </w:t>
      </w:r>
      <w:r w:rsidR="004F693D" w:rsidRPr="0000563D">
        <w:t>as regulator of the positive duty in the Sex Discrimination Act</w:t>
      </w:r>
      <w:r w:rsidR="00A66F7D" w:rsidRPr="0000563D">
        <w:t xml:space="preserve"> and potential role as regulator of a positive duty in the Disability Discrimination Act.</w:t>
      </w:r>
    </w:p>
    <w:p w14:paraId="10ED28CB" w14:textId="339FB408" w:rsidR="008E13B9" w:rsidRPr="0000563D" w:rsidRDefault="008E13B9" w:rsidP="04001E3C">
      <w:pPr>
        <w:rPr>
          <w:b/>
          <w:bCs/>
        </w:rPr>
      </w:pPr>
      <w:r w:rsidRPr="0000563D">
        <w:rPr>
          <w:b/>
          <w:bCs/>
        </w:rPr>
        <w:t>Recommendation</w:t>
      </w:r>
      <w:r w:rsidR="00510AEF" w:rsidRPr="0000563D">
        <w:rPr>
          <w:b/>
          <w:bCs/>
        </w:rPr>
        <w:t xml:space="preserve"> </w:t>
      </w:r>
      <w:r w:rsidR="00CF460D" w:rsidRPr="0000563D">
        <w:rPr>
          <w:b/>
          <w:bCs/>
        </w:rPr>
        <w:t>2</w:t>
      </w:r>
      <w:r w:rsidR="00EB0E58" w:rsidRPr="0000563D">
        <w:rPr>
          <w:b/>
          <w:bCs/>
        </w:rPr>
        <w:t>2</w:t>
      </w:r>
      <w:r w:rsidRPr="0000563D">
        <w:rPr>
          <w:b/>
          <w:bCs/>
        </w:rPr>
        <w:t xml:space="preserve">: Civil penalties for breach of the positive duty should be introduced </w:t>
      </w:r>
      <w:r w:rsidR="00925409" w:rsidRPr="0000563D">
        <w:rPr>
          <w:b/>
          <w:bCs/>
        </w:rPr>
        <w:t>into</w:t>
      </w:r>
      <w:r w:rsidRPr="0000563D">
        <w:rPr>
          <w:b/>
          <w:bCs/>
        </w:rPr>
        <w:t xml:space="preserve"> the </w:t>
      </w:r>
      <w:r w:rsidRPr="0000563D">
        <w:rPr>
          <w:b/>
          <w:i/>
        </w:rPr>
        <w:t>Sex Discrimination Act</w:t>
      </w:r>
      <w:r w:rsidR="006A0910" w:rsidRPr="0000563D">
        <w:rPr>
          <w:b/>
          <w:i/>
        </w:rPr>
        <w:t xml:space="preserve"> 1984</w:t>
      </w:r>
      <w:r w:rsidR="006A0910" w:rsidRPr="0000563D">
        <w:rPr>
          <w:b/>
          <w:bCs/>
        </w:rPr>
        <w:t xml:space="preserve"> (</w:t>
      </w:r>
      <w:proofErr w:type="spellStart"/>
      <w:r w:rsidR="006A0910" w:rsidRPr="0000563D">
        <w:rPr>
          <w:b/>
          <w:bCs/>
        </w:rPr>
        <w:t>Cth</w:t>
      </w:r>
      <w:proofErr w:type="spellEnd"/>
      <w:r w:rsidR="006A0910" w:rsidRPr="0000563D">
        <w:rPr>
          <w:b/>
          <w:bCs/>
        </w:rPr>
        <w:t>)</w:t>
      </w:r>
      <w:r w:rsidRPr="0000563D">
        <w:rPr>
          <w:b/>
          <w:bCs/>
        </w:rPr>
        <w:t xml:space="preserve"> and the </w:t>
      </w:r>
      <w:r w:rsidRPr="0000563D">
        <w:rPr>
          <w:b/>
          <w:bCs/>
          <w:i/>
          <w:iCs/>
        </w:rPr>
        <w:t>Disability Discrimination Act</w:t>
      </w:r>
      <w:r w:rsidR="00CF460D" w:rsidRPr="0000563D">
        <w:rPr>
          <w:b/>
          <w:bCs/>
          <w:i/>
          <w:iCs/>
        </w:rPr>
        <w:t xml:space="preserve"> 1992</w:t>
      </w:r>
      <w:r w:rsidR="00CF460D" w:rsidRPr="0000563D">
        <w:rPr>
          <w:b/>
          <w:bCs/>
        </w:rPr>
        <w:t xml:space="preserve"> (</w:t>
      </w:r>
      <w:proofErr w:type="spellStart"/>
      <w:r w:rsidR="00CF460D" w:rsidRPr="0000563D">
        <w:rPr>
          <w:b/>
          <w:bCs/>
        </w:rPr>
        <w:t>Cth</w:t>
      </w:r>
      <w:proofErr w:type="spellEnd"/>
      <w:r w:rsidR="00CF460D" w:rsidRPr="0000563D">
        <w:rPr>
          <w:b/>
          <w:bCs/>
        </w:rPr>
        <w:t>)</w:t>
      </w:r>
      <w:r w:rsidRPr="0000563D">
        <w:rPr>
          <w:b/>
          <w:bCs/>
        </w:rPr>
        <w:t xml:space="preserve">. </w:t>
      </w:r>
    </w:p>
    <w:p w14:paraId="0037DE52" w14:textId="10CA6C2E" w:rsidR="003A5893" w:rsidRPr="0000563D" w:rsidRDefault="006A00D1" w:rsidP="006A00D1">
      <w:pPr>
        <w:rPr>
          <w:b/>
          <w:bCs/>
        </w:rPr>
      </w:pPr>
      <w:r w:rsidRPr="0000563D">
        <w:rPr>
          <w:b/>
          <w:bCs/>
        </w:rPr>
        <w:t>Recommendation 2</w:t>
      </w:r>
      <w:r w:rsidR="00EB0E58" w:rsidRPr="0000563D">
        <w:rPr>
          <w:b/>
          <w:bCs/>
        </w:rPr>
        <w:t>3</w:t>
      </w:r>
      <w:r w:rsidRPr="0000563D">
        <w:rPr>
          <w:b/>
          <w:bCs/>
        </w:rPr>
        <w:t xml:space="preserve">: </w:t>
      </w:r>
      <w:r w:rsidR="003A5893" w:rsidRPr="0000563D">
        <w:rPr>
          <w:b/>
          <w:bCs/>
        </w:rPr>
        <w:t>Penalties for non-compliance or ‘interference’ with the Commission’s administration and enforcement of the positive duty</w:t>
      </w:r>
      <w:r w:rsidR="001D532C" w:rsidRPr="0000563D">
        <w:rPr>
          <w:b/>
          <w:bCs/>
        </w:rPr>
        <w:t xml:space="preserve"> in the </w:t>
      </w:r>
      <w:r w:rsidR="001D532C" w:rsidRPr="0000563D">
        <w:rPr>
          <w:b/>
          <w:bCs/>
          <w:i/>
          <w:iCs/>
        </w:rPr>
        <w:t>Sex Discrimination Act 1984</w:t>
      </w:r>
      <w:r w:rsidR="003A5893" w:rsidRPr="0000563D">
        <w:rPr>
          <w:b/>
          <w:bCs/>
        </w:rPr>
        <w:t xml:space="preserve"> </w:t>
      </w:r>
      <w:r w:rsidR="001D532C" w:rsidRPr="0000563D">
        <w:rPr>
          <w:b/>
          <w:bCs/>
        </w:rPr>
        <w:t>(</w:t>
      </w:r>
      <w:proofErr w:type="spellStart"/>
      <w:r w:rsidR="001D532C" w:rsidRPr="0000563D">
        <w:rPr>
          <w:b/>
          <w:bCs/>
        </w:rPr>
        <w:t>Cth</w:t>
      </w:r>
      <w:proofErr w:type="spellEnd"/>
      <w:r w:rsidR="001D532C" w:rsidRPr="0000563D">
        <w:rPr>
          <w:b/>
          <w:bCs/>
        </w:rPr>
        <w:t xml:space="preserve">) and </w:t>
      </w:r>
      <w:r w:rsidR="00EF3B34" w:rsidRPr="0000563D">
        <w:rPr>
          <w:b/>
          <w:bCs/>
        </w:rPr>
        <w:t xml:space="preserve">the </w:t>
      </w:r>
      <w:r w:rsidR="00D4558E" w:rsidRPr="0000563D">
        <w:rPr>
          <w:b/>
          <w:bCs/>
          <w:i/>
          <w:iCs/>
        </w:rPr>
        <w:t>Disability Discrimination Act 1992</w:t>
      </w:r>
      <w:r w:rsidR="00D4558E" w:rsidRPr="0000563D">
        <w:rPr>
          <w:b/>
          <w:bCs/>
        </w:rPr>
        <w:t xml:space="preserve"> (</w:t>
      </w:r>
      <w:proofErr w:type="spellStart"/>
      <w:r w:rsidR="00D4558E" w:rsidRPr="0000563D">
        <w:rPr>
          <w:b/>
          <w:bCs/>
        </w:rPr>
        <w:t>Cth</w:t>
      </w:r>
      <w:proofErr w:type="spellEnd"/>
      <w:r w:rsidR="00D4558E" w:rsidRPr="0000563D">
        <w:rPr>
          <w:b/>
          <w:bCs/>
        </w:rPr>
        <w:t xml:space="preserve">) </w:t>
      </w:r>
      <w:r w:rsidR="003A5893" w:rsidRPr="0000563D">
        <w:rPr>
          <w:b/>
          <w:bCs/>
        </w:rPr>
        <w:t>should be increased</w:t>
      </w:r>
      <w:r w:rsidR="00DB07BD" w:rsidRPr="0000563D">
        <w:rPr>
          <w:b/>
          <w:bCs/>
        </w:rPr>
        <w:t>.</w:t>
      </w:r>
      <w:r w:rsidR="003A5893" w:rsidRPr="0000563D">
        <w:rPr>
          <w:b/>
          <w:bCs/>
        </w:rPr>
        <w:t xml:space="preserve"> </w:t>
      </w:r>
    </w:p>
    <w:p w14:paraId="7542C12E" w14:textId="75798A6D" w:rsidR="008E13B9" w:rsidRPr="0000563D" w:rsidRDefault="008E13B9" w:rsidP="04001E3C">
      <w:pPr>
        <w:rPr>
          <w:b/>
          <w:bCs/>
        </w:rPr>
      </w:pPr>
      <w:r w:rsidRPr="0000563D">
        <w:rPr>
          <w:b/>
          <w:bCs/>
        </w:rPr>
        <w:t>Recommendation</w:t>
      </w:r>
      <w:r w:rsidR="00711569" w:rsidRPr="0000563D">
        <w:rPr>
          <w:b/>
          <w:bCs/>
        </w:rPr>
        <w:t xml:space="preserve"> </w:t>
      </w:r>
      <w:r w:rsidR="006A0910" w:rsidRPr="0000563D">
        <w:rPr>
          <w:b/>
          <w:bCs/>
        </w:rPr>
        <w:t>2</w:t>
      </w:r>
      <w:r w:rsidR="00EB0E58" w:rsidRPr="0000563D">
        <w:rPr>
          <w:b/>
          <w:bCs/>
        </w:rPr>
        <w:t>4</w:t>
      </w:r>
      <w:r w:rsidRPr="0000563D">
        <w:rPr>
          <w:b/>
          <w:bCs/>
        </w:rPr>
        <w:t xml:space="preserve">: </w:t>
      </w:r>
      <w:r w:rsidR="00A34058" w:rsidRPr="0000563D">
        <w:rPr>
          <w:b/>
          <w:bCs/>
        </w:rPr>
        <w:t>The</w:t>
      </w:r>
      <w:r w:rsidR="0081322F">
        <w:rPr>
          <w:b/>
          <w:bCs/>
        </w:rPr>
        <w:t xml:space="preserve"> </w:t>
      </w:r>
      <w:r w:rsidRPr="0000563D">
        <w:rPr>
          <w:b/>
          <w:bCs/>
          <w:i/>
          <w:iCs/>
        </w:rPr>
        <w:t xml:space="preserve">Australian Human Rights Commission </w:t>
      </w:r>
      <w:r w:rsidR="00AC4836" w:rsidRPr="0000563D">
        <w:rPr>
          <w:b/>
          <w:bCs/>
          <w:i/>
          <w:iCs/>
        </w:rPr>
        <w:t>Act 1986</w:t>
      </w:r>
      <w:r w:rsidR="00AC4836" w:rsidRPr="0000563D">
        <w:rPr>
          <w:b/>
          <w:bCs/>
        </w:rPr>
        <w:t xml:space="preserve"> (</w:t>
      </w:r>
      <w:proofErr w:type="spellStart"/>
      <w:r w:rsidR="00AC4836" w:rsidRPr="0000563D">
        <w:rPr>
          <w:b/>
          <w:bCs/>
        </w:rPr>
        <w:t>Cth</w:t>
      </w:r>
      <w:proofErr w:type="spellEnd"/>
      <w:r w:rsidR="00AC4836" w:rsidRPr="0000563D">
        <w:rPr>
          <w:b/>
          <w:bCs/>
        </w:rPr>
        <w:t xml:space="preserve">) </w:t>
      </w:r>
      <w:r w:rsidR="00A34058" w:rsidRPr="0000563D">
        <w:rPr>
          <w:b/>
          <w:bCs/>
        </w:rPr>
        <w:t xml:space="preserve">should be amended </w:t>
      </w:r>
      <w:r w:rsidR="00AC4836" w:rsidRPr="0000563D">
        <w:rPr>
          <w:b/>
          <w:bCs/>
        </w:rPr>
        <w:t xml:space="preserve">to </w:t>
      </w:r>
      <w:r w:rsidRPr="0000563D">
        <w:rPr>
          <w:b/>
          <w:bCs/>
        </w:rPr>
        <w:t>provide</w:t>
      </w:r>
      <w:r w:rsidR="00AC4836" w:rsidRPr="0000563D">
        <w:rPr>
          <w:b/>
          <w:bCs/>
        </w:rPr>
        <w:t xml:space="preserve"> the Australian Human Rights Commission</w:t>
      </w:r>
      <w:r w:rsidRPr="0000563D">
        <w:rPr>
          <w:b/>
          <w:bCs/>
        </w:rPr>
        <w:t xml:space="preserve"> with information-gathering powers to monitor and enforce compliance with the positive duty in the </w:t>
      </w:r>
      <w:r w:rsidRPr="0000563D">
        <w:rPr>
          <w:b/>
          <w:bCs/>
          <w:i/>
          <w:iCs/>
        </w:rPr>
        <w:t>Sex Discrimination Act</w:t>
      </w:r>
      <w:r w:rsidR="003738AE" w:rsidRPr="0000563D">
        <w:rPr>
          <w:b/>
          <w:bCs/>
          <w:i/>
          <w:iCs/>
        </w:rPr>
        <w:t xml:space="preserve"> 1984</w:t>
      </w:r>
      <w:r w:rsidR="003738AE" w:rsidRPr="0000563D">
        <w:rPr>
          <w:b/>
          <w:bCs/>
        </w:rPr>
        <w:t xml:space="preserve"> (</w:t>
      </w:r>
      <w:proofErr w:type="spellStart"/>
      <w:r w:rsidR="003738AE" w:rsidRPr="0000563D">
        <w:rPr>
          <w:b/>
          <w:bCs/>
        </w:rPr>
        <w:t>Cth</w:t>
      </w:r>
      <w:proofErr w:type="spellEnd"/>
      <w:r w:rsidR="003738AE" w:rsidRPr="0000563D">
        <w:rPr>
          <w:b/>
          <w:bCs/>
        </w:rPr>
        <w:t>)</w:t>
      </w:r>
      <w:r w:rsidRPr="0000563D">
        <w:rPr>
          <w:b/>
          <w:bCs/>
        </w:rPr>
        <w:t xml:space="preserve"> and the </w:t>
      </w:r>
      <w:r w:rsidRPr="0000563D">
        <w:rPr>
          <w:b/>
          <w:bCs/>
          <w:i/>
          <w:iCs/>
        </w:rPr>
        <w:t>Disability Discrimination Act</w:t>
      </w:r>
      <w:r w:rsidR="003738AE" w:rsidRPr="0000563D">
        <w:rPr>
          <w:b/>
          <w:bCs/>
          <w:i/>
          <w:iCs/>
        </w:rPr>
        <w:t xml:space="preserve"> 1992</w:t>
      </w:r>
      <w:r w:rsidR="003738AE" w:rsidRPr="0000563D">
        <w:rPr>
          <w:b/>
          <w:bCs/>
        </w:rPr>
        <w:t xml:space="preserve"> (</w:t>
      </w:r>
      <w:proofErr w:type="spellStart"/>
      <w:r w:rsidR="003738AE" w:rsidRPr="0000563D">
        <w:rPr>
          <w:b/>
          <w:bCs/>
        </w:rPr>
        <w:t>Cth</w:t>
      </w:r>
      <w:proofErr w:type="spellEnd"/>
      <w:r w:rsidR="003738AE" w:rsidRPr="0000563D">
        <w:rPr>
          <w:b/>
          <w:bCs/>
        </w:rPr>
        <w:t>)</w:t>
      </w:r>
      <w:r w:rsidRPr="0000563D">
        <w:rPr>
          <w:b/>
          <w:bCs/>
        </w:rPr>
        <w:t xml:space="preserve"> </w:t>
      </w:r>
      <w:r w:rsidRPr="0000563D">
        <w:rPr>
          <w:b/>
          <w:bCs/>
          <w:i/>
          <w:iCs/>
        </w:rPr>
        <w:t xml:space="preserve">prior </w:t>
      </w:r>
      <w:r w:rsidRPr="0000563D">
        <w:rPr>
          <w:b/>
          <w:bCs/>
        </w:rPr>
        <w:t>to a formal inquiry commencing.  </w:t>
      </w:r>
    </w:p>
    <w:p w14:paraId="31AD4B2F" w14:textId="471A29C4" w:rsidR="007574D7" w:rsidRPr="0000563D" w:rsidRDefault="008E13B9" w:rsidP="04001E3C">
      <w:pPr>
        <w:rPr>
          <w:b/>
          <w:bCs/>
        </w:rPr>
      </w:pPr>
      <w:r w:rsidRPr="0000563D">
        <w:rPr>
          <w:b/>
          <w:bCs/>
        </w:rPr>
        <w:t xml:space="preserve">Recommendation </w:t>
      </w:r>
      <w:r w:rsidR="006A00D1" w:rsidRPr="0000563D">
        <w:rPr>
          <w:b/>
          <w:bCs/>
        </w:rPr>
        <w:t>2</w:t>
      </w:r>
      <w:r w:rsidR="00EB0E58" w:rsidRPr="0000563D">
        <w:rPr>
          <w:b/>
          <w:bCs/>
        </w:rPr>
        <w:t>5</w:t>
      </w:r>
      <w:r w:rsidRPr="0000563D">
        <w:rPr>
          <w:b/>
          <w:bCs/>
        </w:rPr>
        <w:t>:</w:t>
      </w:r>
      <w:r w:rsidR="00E877F9" w:rsidRPr="0000563D">
        <w:rPr>
          <w:b/>
          <w:bCs/>
        </w:rPr>
        <w:t xml:space="preserve"> </w:t>
      </w:r>
      <w:r w:rsidR="00A34058" w:rsidRPr="0000563D">
        <w:rPr>
          <w:b/>
          <w:bCs/>
        </w:rPr>
        <w:t>T</w:t>
      </w:r>
      <w:r w:rsidR="007574D7" w:rsidRPr="0000563D">
        <w:rPr>
          <w:b/>
          <w:bCs/>
        </w:rPr>
        <w:t xml:space="preserve">he </w:t>
      </w:r>
      <w:r w:rsidR="007574D7" w:rsidRPr="0000563D">
        <w:rPr>
          <w:b/>
          <w:bCs/>
          <w:i/>
          <w:iCs/>
        </w:rPr>
        <w:t xml:space="preserve">Australian Human Rights Commission Act 1986 </w:t>
      </w:r>
      <w:r w:rsidR="007574D7" w:rsidRPr="0000563D">
        <w:rPr>
          <w:b/>
          <w:bCs/>
        </w:rPr>
        <w:t>(</w:t>
      </w:r>
      <w:proofErr w:type="spellStart"/>
      <w:r w:rsidR="007574D7" w:rsidRPr="0000563D">
        <w:rPr>
          <w:b/>
          <w:bCs/>
        </w:rPr>
        <w:t>Cth</w:t>
      </w:r>
      <w:proofErr w:type="spellEnd"/>
      <w:r w:rsidR="007574D7" w:rsidRPr="0000563D">
        <w:rPr>
          <w:b/>
          <w:bCs/>
        </w:rPr>
        <w:t xml:space="preserve">) </w:t>
      </w:r>
      <w:r w:rsidR="00A34058" w:rsidRPr="0000563D">
        <w:rPr>
          <w:b/>
          <w:bCs/>
        </w:rPr>
        <w:t xml:space="preserve">should be amended </w:t>
      </w:r>
      <w:r w:rsidR="007574D7" w:rsidRPr="0000563D">
        <w:rPr>
          <w:b/>
          <w:bCs/>
        </w:rPr>
        <w:t>to enable better information sharing with other regulators</w:t>
      </w:r>
      <w:r w:rsidR="00C740B7" w:rsidRPr="0000563D">
        <w:rPr>
          <w:b/>
          <w:bCs/>
        </w:rPr>
        <w:t xml:space="preserve"> and</w:t>
      </w:r>
      <w:r w:rsidR="004857D5" w:rsidRPr="0000563D">
        <w:rPr>
          <w:b/>
          <w:bCs/>
        </w:rPr>
        <w:t xml:space="preserve"> the public</w:t>
      </w:r>
      <w:r w:rsidR="007574D7" w:rsidRPr="0000563D">
        <w:rPr>
          <w:b/>
          <w:bCs/>
        </w:rPr>
        <w:t>.</w:t>
      </w:r>
      <w:r w:rsidR="00E440CB" w:rsidRPr="0000563D">
        <w:rPr>
          <w:b/>
          <w:bCs/>
        </w:rPr>
        <w:t xml:space="preserve"> </w:t>
      </w:r>
      <w:r w:rsidR="00EA279C" w:rsidRPr="0000563D">
        <w:rPr>
          <w:b/>
          <w:bCs/>
        </w:rPr>
        <w:t xml:space="preserve">The scope of these amendments </w:t>
      </w:r>
      <w:r w:rsidR="00475136" w:rsidRPr="0000563D">
        <w:rPr>
          <w:b/>
          <w:bCs/>
        </w:rPr>
        <w:t xml:space="preserve">should </w:t>
      </w:r>
      <w:r w:rsidR="009202F6" w:rsidRPr="0000563D">
        <w:rPr>
          <w:b/>
          <w:bCs/>
        </w:rPr>
        <w:t xml:space="preserve">be considered and </w:t>
      </w:r>
      <w:r w:rsidR="00356A9F" w:rsidRPr="0000563D">
        <w:rPr>
          <w:b/>
          <w:bCs/>
        </w:rPr>
        <w:t>informed</w:t>
      </w:r>
      <w:r w:rsidR="009202F6" w:rsidRPr="0000563D">
        <w:rPr>
          <w:b/>
          <w:bCs/>
        </w:rPr>
        <w:t xml:space="preserve"> by the independent review of the positive duty </w:t>
      </w:r>
      <w:r w:rsidR="00D440AF" w:rsidRPr="0000563D">
        <w:rPr>
          <w:b/>
          <w:bCs/>
        </w:rPr>
        <w:t xml:space="preserve">in the </w:t>
      </w:r>
      <w:r w:rsidR="00D440AF" w:rsidRPr="002D4943">
        <w:rPr>
          <w:b/>
          <w:bCs/>
          <w:i/>
          <w:iCs/>
        </w:rPr>
        <w:t>Sex Discrimination Act 1984</w:t>
      </w:r>
      <w:r w:rsidR="00D440AF" w:rsidRPr="0000563D">
        <w:rPr>
          <w:b/>
          <w:bCs/>
        </w:rPr>
        <w:t xml:space="preserve"> (</w:t>
      </w:r>
      <w:proofErr w:type="spellStart"/>
      <w:r w:rsidR="00D440AF" w:rsidRPr="0000563D">
        <w:rPr>
          <w:b/>
          <w:bCs/>
        </w:rPr>
        <w:t>Cth</w:t>
      </w:r>
      <w:proofErr w:type="spellEnd"/>
      <w:r w:rsidR="00D440AF" w:rsidRPr="0000563D">
        <w:rPr>
          <w:b/>
          <w:bCs/>
        </w:rPr>
        <w:t xml:space="preserve">) due to commence in 2026.  </w:t>
      </w:r>
      <w:r w:rsidR="009202F6" w:rsidRPr="0000563D">
        <w:rPr>
          <w:b/>
          <w:bCs/>
        </w:rPr>
        <w:t xml:space="preserve"> </w:t>
      </w:r>
      <w:r w:rsidR="00E440CB" w:rsidRPr="0000563D">
        <w:rPr>
          <w:b/>
          <w:bCs/>
        </w:rPr>
        <w:t xml:space="preserve"> </w:t>
      </w:r>
    </w:p>
    <w:p w14:paraId="0F1AEDD4" w14:textId="463A6AAA" w:rsidR="008E13B9" w:rsidRPr="002D4943" w:rsidRDefault="00291B0E" w:rsidP="008E13B9">
      <w:pPr>
        <w:pStyle w:val="Heading2"/>
        <w:rPr>
          <w:rFonts w:ascii="Open Sans" w:hAnsi="Open Sans" w:cs="Open Sans"/>
        </w:rPr>
      </w:pPr>
      <w:bookmarkStart w:id="47" w:name="_Toc214961130"/>
      <w:r w:rsidRPr="002D4943">
        <w:rPr>
          <w:rFonts w:ascii="Open Sans" w:hAnsi="Open Sans" w:cs="Open Sans"/>
        </w:rPr>
        <w:t>R</w:t>
      </w:r>
      <w:r w:rsidR="008E13B9" w:rsidRPr="002D4943">
        <w:rPr>
          <w:rFonts w:ascii="Open Sans" w:hAnsi="Open Sans" w:cs="Open Sans"/>
        </w:rPr>
        <w:t>esourcing regulation of the positive duty</w:t>
      </w:r>
      <w:bookmarkEnd w:id="47"/>
      <w:r w:rsidR="008E13B9" w:rsidRPr="002D4943">
        <w:rPr>
          <w:rFonts w:ascii="Open Sans" w:hAnsi="Open Sans" w:cs="Open Sans"/>
        </w:rPr>
        <w:t xml:space="preserve"> </w:t>
      </w:r>
    </w:p>
    <w:p w14:paraId="507D5E6F" w14:textId="3E91567E" w:rsidR="001B78F2" w:rsidRPr="0000563D" w:rsidRDefault="001B78F2" w:rsidP="008911EA">
      <w:r w:rsidRPr="0000563D">
        <w:t xml:space="preserve">If implemented, the </w:t>
      </w:r>
      <w:r w:rsidR="008E76D7" w:rsidRPr="0000563D">
        <w:t>introduction of a positive duty in the Disability Discrimination Act (and other reforms discussed in this submission)</w:t>
      </w:r>
      <w:r w:rsidRPr="0000563D">
        <w:t xml:space="preserve"> would </w:t>
      </w:r>
      <w:r w:rsidR="008E76D7" w:rsidRPr="0000563D">
        <w:t xml:space="preserve">significantly </w:t>
      </w:r>
      <w:r w:rsidRPr="0000563D">
        <w:t xml:space="preserve">expand the functions and powers of the Commission with respect to disability discrimination. </w:t>
      </w:r>
    </w:p>
    <w:p w14:paraId="24E9784D" w14:textId="118DEADF" w:rsidR="008E13B9" w:rsidRPr="0000563D" w:rsidRDefault="008E13B9" w:rsidP="008911EA">
      <w:r w:rsidRPr="0000563D">
        <w:rPr>
          <w:rFonts w:eastAsia="Aptos"/>
          <w:kern w:val="2"/>
          <w:lang w:eastAsia="en-US"/>
          <w14:ligatures w14:val="standardContextual"/>
        </w:rPr>
        <w:t>T</w:t>
      </w:r>
      <w:r w:rsidRPr="0000563D">
        <w:t xml:space="preserve">he broader scope of the proposed positive duty in Disability Discrimination Act will increase the complexity of implementation and enforcement. Given that the most complaints received by the Commission are under the Disability Discrimination Act, it should be expected that a positive duty will require </w:t>
      </w:r>
      <w:r w:rsidRPr="0000563D">
        <w:lastRenderedPageBreak/>
        <w:t xml:space="preserve">substantially greater resources than are currently available for the implementation of the positive duty in the Sex Discrimination Act. </w:t>
      </w:r>
      <w:r w:rsidR="00D0043C" w:rsidRPr="0000563D">
        <w:t xml:space="preserve">The Commission is also aware, anecdotally, that </w:t>
      </w:r>
      <w:r w:rsidR="0071776E" w:rsidRPr="0000563D">
        <w:t xml:space="preserve">some </w:t>
      </w:r>
      <w:r w:rsidR="00D0043C" w:rsidRPr="0000563D">
        <w:t xml:space="preserve">regulators with </w:t>
      </w:r>
      <w:r w:rsidR="00BB1E19" w:rsidRPr="0000563D">
        <w:t xml:space="preserve">similar </w:t>
      </w:r>
      <w:r w:rsidR="00D0043C" w:rsidRPr="0000563D">
        <w:t>functions have much larger teams of investigators.</w:t>
      </w:r>
    </w:p>
    <w:p w14:paraId="2EE9C6FA" w14:textId="1FBDD9B9" w:rsidR="004E63E2" w:rsidRPr="0000563D" w:rsidRDefault="008E13B9" w:rsidP="008911EA">
      <w:r w:rsidRPr="0000563D">
        <w:t xml:space="preserve">It is critical that the Commission is appropriately and sufficiently resourced to implement </w:t>
      </w:r>
      <w:r w:rsidR="00BE2271" w:rsidRPr="0000563D">
        <w:t xml:space="preserve">any </w:t>
      </w:r>
      <w:r w:rsidRPr="0000563D">
        <w:t>new functions</w:t>
      </w:r>
      <w:r w:rsidR="000834B5" w:rsidRPr="0000563D">
        <w:t>,</w:t>
      </w:r>
      <w:r w:rsidRPr="0000563D">
        <w:t xml:space="preserve"> </w:t>
      </w:r>
      <w:r w:rsidR="00BD69DB" w:rsidRPr="0000563D">
        <w:t xml:space="preserve">particularly </w:t>
      </w:r>
      <w:r w:rsidRPr="0000563D">
        <w:t>compliance and enforcement activities</w:t>
      </w:r>
      <w:r w:rsidR="00907675" w:rsidRPr="0000563D">
        <w:t xml:space="preserve">. This </w:t>
      </w:r>
      <w:r w:rsidRPr="0000563D">
        <w:t xml:space="preserve">will </w:t>
      </w:r>
      <w:r w:rsidR="00382AA4" w:rsidRPr="0000563D">
        <w:t>necessarily involve</w:t>
      </w:r>
      <w:r w:rsidRPr="0000563D">
        <w:t xml:space="preserve"> significant education and other outreach, as well as support for the Commission, legal assistance providers and business peak bodies to be able to provide clear and accessible guidance about the positive duty.</w:t>
      </w:r>
      <w:r w:rsidRPr="0000563D">
        <w:rPr>
          <w:rStyle w:val="EndnoteReference"/>
        </w:rPr>
        <w:endnoteReference w:id="196"/>
      </w:r>
      <w:r w:rsidRPr="0000563D">
        <w:t xml:space="preserve"> </w:t>
      </w:r>
    </w:p>
    <w:p w14:paraId="0726E071" w14:textId="77C2759F" w:rsidR="004E63E2" w:rsidRPr="0000563D" w:rsidRDefault="004E63E2" w:rsidP="008911EA">
      <w:r w:rsidRPr="0000563D">
        <w:t xml:space="preserve">The impact of a positive duty will be significantly dampened if it is not sufficiently resourced. </w:t>
      </w:r>
    </w:p>
    <w:p w14:paraId="3036A6B5" w14:textId="5156565D" w:rsidR="008E13B9" w:rsidRPr="0000563D" w:rsidRDefault="008E13B9" w:rsidP="04001E3C">
      <w:pPr>
        <w:rPr>
          <w:b/>
          <w:bCs/>
          <w:lang w:eastAsia="en-US"/>
        </w:rPr>
      </w:pPr>
      <w:r w:rsidRPr="0000563D">
        <w:rPr>
          <w:b/>
          <w:bCs/>
          <w:lang w:eastAsia="en-US"/>
        </w:rPr>
        <w:t>Recommendation</w:t>
      </w:r>
      <w:r w:rsidR="000751B0" w:rsidRPr="0000563D">
        <w:rPr>
          <w:b/>
          <w:bCs/>
          <w:lang w:eastAsia="en-US"/>
        </w:rPr>
        <w:t xml:space="preserve"> 2</w:t>
      </w:r>
      <w:r w:rsidR="008E65F6" w:rsidRPr="0000563D">
        <w:rPr>
          <w:b/>
          <w:bCs/>
          <w:lang w:eastAsia="en-US"/>
        </w:rPr>
        <w:t>6</w:t>
      </w:r>
      <w:r w:rsidRPr="0000563D">
        <w:rPr>
          <w:b/>
          <w:bCs/>
          <w:lang w:eastAsia="en-US"/>
        </w:rPr>
        <w:t xml:space="preserve">: Adequate and sufficient funding should be provided to the </w:t>
      </w:r>
      <w:r w:rsidR="00F24889" w:rsidRPr="0000563D">
        <w:rPr>
          <w:b/>
          <w:bCs/>
          <w:lang w:eastAsia="en-US"/>
        </w:rPr>
        <w:t xml:space="preserve">Australian Human Rights </w:t>
      </w:r>
      <w:r w:rsidRPr="0000563D">
        <w:rPr>
          <w:b/>
          <w:bCs/>
          <w:lang w:eastAsia="en-US"/>
        </w:rPr>
        <w:t xml:space="preserve">Commission as regulator of the duties </w:t>
      </w:r>
      <w:r w:rsidR="00D74FCA" w:rsidRPr="0000563D">
        <w:rPr>
          <w:b/>
          <w:bCs/>
          <w:lang w:eastAsia="en-US"/>
        </w:rPr>
        <w:t xml:space="preserve">in the </w:t>
      </w:r>
      <w:r w:rsidR="00D74FCA" w:rsidRPr="0000563D">
        <w:rPr>
          <w:b/>
          <w:bCs/>
          <w:i/>
          <w:iCs/>
          <w:lang w:eastAsia="en-US"/>
        </w:rPr>
        <w:t>Disability Discrimination Act</w:t>
      </w:r>
      <w:r w:rsidR="00D314C9" w:rsidRPr="0000563D">
        <w:rPr>
          <w:b/>
          <w:bCs/>
          <w:i/>
          <w:iCs/>
          <w:lang w:eastAsia="en-US"/>
        </w:rPr>
        <w:t xml:space="preserve"> 1992</w:t>
      </w:r>
      <w:r w:rsidR="00D314C9" w:rsidRPr="0000563D">
        <w:rPr>
          <w:b/>
          <w:bCs/>
          <w:lang w:eastAsia="en-US"/>
        </w:rPr>
        <w:t xml:space="preserve"> (</w:t>
      </w:r>
      <w:proofErr w:type="spellStart"/>
      <w:r w:rsidR="00D314C9" w:rsidRPr="0000563D">
        <w:rPr>
          <w:b/>
          <w:bCs/>
          <w:lang w:eastAsia="en-US"/>
        </w:rPr>
        <w:t>Cth</w:t>
      </w:r>
      <w:proofErr w:type="spellEnd"/>
      <w:r w:rsidR="00D314C9" w:rsidRPr="0000563D">
        <w:rPr>
          <w:b/>
          <w:bCs/>
          <w:lang w:eastAsia="en-US"/>
        </w:rPr>
        <w:t>)</w:t>
      </w:r>
      <w:r w:rsidR="00D74FCA" w:rsidRPr="0000563D">
        <w:rPr>
          <w:b/>
          <w:bCs/>
          <w:lang w:eastAsia="en-US"/>
        </w:rPr>
        <w:t xml:space="preserve">. </w:t>
      </w:r>
      <w:r w:rsidR="009E256B" w:rsidRPr="0000563D">
        <w:rPr>
          <w:b/>
          <w:bCs/>
          <w:lang w:eastAsia="en-US"/>
        </w:rPr>
        <w:t xml:space="preserve">Funding should allow for the </w:t>
      </w:r>
      <w:r w:rsidRPr="0000563D">
        <w:rPr>
          <w:b/>
          <w:bCs/>
          <w:lang w:eastAsia="en-US"/>
        </w:rPr>
        <w:t>develop</w:t>
      </w:r>
      <w:r w:rsidR="009E256B" w:rsidRPr="0000563D">
        <w:rPr>
          <w:b/>
          <w:bCs/>
          <w:lang w:eastAsia="en-US"/>
        </w:rPr>
        <w:t>ment of</w:t>
      </w:r>
      <w:r w:rsidRPr="0000563D">
        <w:rPr>
          <w:b/>
          <w:bCs/>
          <w:lang w:eastAsia="en-US"/>
        </w:rPr>
        <w:t xml:space="preserve"> required guidance, including to undertake consultation</w:t>
      </w:r>
      <w:r w:rsidR="00F24889" w:rsidRPr="0000563D">
        <w:rPr>
          <w:b/>
          <w:bCs/>
          <w:lang w:eastAsia="en-US"/>
        </w:rPr>
        <w:t>.</w:t>
      </w:r>
    </w:p>
    <w:p w14:paraId="6B2372B3" w14:textId="5A984D2F" w:rsidR="008E13B9" w:rsidRPr="002D4943" w:rsidRDefault="008E13B9" w:rsidP="008E13B9">
      <w:pPr>
        <w:pStyle w:val="Heading1"/>
        <w:rPr>
          <w:rFonts w:ascii="Open Sans" w:hAnsi="Open Sans" w:cs="Open Sans"/>
        </w:rPr>
      </w:pPr>
      <w:bookmarkStart w:id="48" w:name="_Pre-set_styles"/>
      <w:bookmarkStart w:id="49" w:name="_Toc214961131"/>
      <w:bookmarkEnd w:id="48"/>
      <w:r w:rsidRPr="002D4943">
        <w:rPr>
          <w:rFonts w:ascii="Open Sans" w:hAnsi="Open Sans" w:cs="Open Sans"/>
        </w:rPr>
        <w:t>Exemptions and co-regulatory mechanisms</w:t>
      </w:r>
      <w:bookmarkEnd w:id="49"/>
    </w:p>
    <w:p w14:paraId="24D12980" w14:textId="2D2DD2A6" w:rsidR="007C2845" w:rsidRPr="0000563D" w:rsidRDefault="005F532E" w:rsidP="000217C7">
      <w:pPr>
        <w:pStyle w:val="Sectionsummarybody"/>
        <w:rPr>
          <w:rFonts w:cs="Open Sans"/>
        </w:rPr>
      </w:pPr>
      <w:r w:rsidRPr="0000563D">
        <w:rPr>
          <w:rFonts w:cs="Open Sans"/>
        </w:rPr>
        <w:t>Permanent exemptions</w:t>
      </w:r>
      <w:r w:rsidR="00C72797" w:rsidRPr="0000563D">
        <w:rPr>
          <w:rFonts w:cs="Open Sans"/>
        </w:rPr>
        <w:t xml:space="preserve"> in the Disability Discrimination Act need to be reviewed to</w:t>
      </w:r>
      <w:r w:rsidR="00401033" w:rsidRPr="0000563D">
        <w:rPr>
          <w:rFonts w:cs="Open Sans"/>
        </w:rPr>
        <w:t xml:space="preserve"> assess whether they are still necessary and </w:t>
      </w:r>
      <w:r w:rsidR="002822A0" w:rsidRPr="0000563D">
        <w:rPr>
          <w:rFonts w:cs="Open Sans"/>
        </w:rPr>
        <w:t xml:space="preserve">if they align with CRPD standards. </w:t>
      </w:r>
      <w:r w:rsidR="00C77B6A" w:rsidRPr="0000563D">
        <w:rPr>
          <w:rFonts w:cs="Open Sans"/>
        </w:rPr>
        <w:t>Temporary exemptions</w:t>
      </w:r>
      <w:r w:rsidR="00A5391D" w:rsidRPr="0000563D">
        <w:rPr>
          <w:rFonts w:cs="Open Sans"/>
        </w:rPr>
        <w:t xml:space="preserve"> should be defined, but the </w:t>
      </w:r>
      <w:r w:rsidR="003D0B0B" w:rsidRPr="0000563D">
        <w:rPr>
          <w:rFonts w:cs="Open Sans"/>
        </w:rPr>
        <w:t xml:space="preserve">current process for granting such exemptions </w:t>
      </w:r>
      <w:r w:rsidR="004B16F5" w:rsidRPr="0000563D">
        <w:rPr>
          <w:rFonts w:cs="Open Sans"/>
        </w:rPr>
        <w:t>is fit for purpose.</w:t>
      </w:r>
    </w:p>
    <w:p w14:paraId="7D67583E" w14:textId="15E8DF1E" w:rsidR="00B94754" w:rsidRPr="0000563D" w:rsidRDefault="00C66209" w:rsidP="000217C7">
      <w:pPr>
        <w:pStyle w:val="Sectionsummarybody"/>
        <w:rPr>
          <w:rFonts w:cs="Open Sans"/>
        </w:rPr>
      </w:pPr>
      <w:r w:rsidRPr="0000563D">
        <w:rPr>
          <w:rFonts w:cs="Open Sans"/>
        </w:rPr>
        <w:t>C</w:t>
      </w:r>
      <w:r w:rsidR="003028CD" w:rsidRPr="0000563D">
        <w:rPr>
          <w:rFonts w:cs="Open Sans"/>
        </w:rPr>
        <w:t xml:space="preserve">o-regulatory mechanisms </w:t>
      </w:r>
      <w:r w:rsidRPr="0000563D">
        <w:rPr>
          <w:rFonts w:cs="Open Sans"/>
        </w:rPr>
        <w:t xml:space="preserve">are essential elements of </w:t>
      </w:r>
      <w:r w:rsidR="003028CD" w:rsidRPr="0000563D">
        <w:rPr>
          <w:rFonts w:cs="Open Sans"/>
        </w:rPr>
        <w:t>a responsive regulat</w:t>
      </w:r>
      <w:r w:rsidRPr="0000563D">
        <w:rPr>
          <w:rFonts w:cs="Open Sans"/>
        </w:rPr>
        <w:t>ion</w:t>
      </w:r>
      <w:r w:rsidR="003028CD" w:rsidRPr="0000563D">
        <w:rPr>
          <w:rFonts w:cs="Open Sans"/>
        </w:rPr>
        <w:t xml:space="preserve"> framework</w:t>
      </w:r>
      <w:r w:rsidR="0072404D" w:rsidRPr="0000563D">
        <w:rPr>
          <w:rFonts w:cs="Open Sans"/>
        </w:rPr>
        <w:t xml:space="preserve">. The </w:t>
      </w:r>
      <w:r w:rsidR="008E4E0C" w:rsidRPr="0000563D">
        <w:rPr>
          <w:rFonts w:cs="Open Sans"/>
        </w:rPr>
        <w:t xml:space="preserve">Disability Discrimination Act </w:t>
      </w:r>
      <w:r w:rsidR="00B5326E" w:rsidRPr="0000563D">
        <w:rPr>
          <w:rFonts w:cs="Open Sans"/>
        </w:rPr>
        <w:t xml:space="preserve">includes </w:t>
      </w:r>
      <w:r w:rsidR="00367DA6" w:rsidRPr="0000563D">
        <w:rPr>
          <w:rFonts w:cs="Open Sans"/>
        </w:rPr>
        <w:t xml:space="preserve">mechanisms for special measures </w:t>
      </w:r>
      <w:r w:rsidR="008E1536" w:rsidRPr="0000563D">
        <w:rPr>
          <w:rFonts w:cs="Open Sans"/>
        </w:rPr>
        <w:t xml:space="preserve">and Disability Action Plans </w:t>
      </w:r>
      <w:r w:rsidR="0090552F" w:rsidRPr="0000563D">
        <w:rPr>
          <w:rFonts w:cs="Open Sans"/>
        </w:rPr>
        <w:t xml:space="preserve">that </w:t>
      </w:r>
      <w:r w:rsidR="00660EBA" w:rsidRPr="0000563D">
        <w:rPr>
          <w:rFonts w:cs="Open Sans"/>
        </w:rPr>
        <w:t>should</w:t>
      </w:r>
      <w:r w:rsidR="0090552F" w:rsidRPr="0000563D">
        <w:rPr>
          <w:rFonts w:cs="Open Sans"/>
        </w:rPr>
        <w:t xml:space="preserve"> be </w:t>
      </w:r>
      <w:r w:rsidR="0020455E" w:rsidRPr="0000563D">
        <w:rPr>
          <w:rFonts w:cs="Open Sans"/>
        </w:rPr>
        <w:t xml:space="preserve">enhanced </w:t>
      </w:r>
      <w:r w:rsidR="008E4E0C" w:rsidRPr="0000563D">
        <w:rPr>
          <w:rFonts w:cs="Open Sans"/>
        </w:rPr>
        <w:t>to support</w:t>
      </w:r>
      <w:r w:rsidR="00FE4794" w:rsidRPr="0000563D">
        <w:rPr>
          <w:rFonts w:cs="Open Sans"/>
        </w:rPr>
        <w:t xml:space="preserve"> compliance with a positive duty to</w:t>
      </w:r>
      <w:r w:rsidR="002D3B0C" w:rsidRPr="0000563D">
        <w:rPr>
          <w:rFonts w:cs="Open Sans"/>
        </w:rPr>
        <w:t xml:space="preserve"> eliminate discrimination.</w:t>
      </w:r>
      <w:r w:rsidR="00FE4794" w:rsidRPr="0000563D">
        <w:rPr>
          <w:rFonts w:cs="Open Sans"/>
        </w:rPr>
        <w:t xml:space="preserve"> </w:t>
      </w:r>
    </w:p>
    <w:p w14:paraId="751DC552" w14:textId="253EA147" w:rsidR="000217C7" w:rsidRPr="0000563D" w:rsidRDefault="00B94754" w:rsidP="00A82926">
      <w:pPr>
        <w:pStyle w:val="Sectionsummarybody"/>
        <w:rPr>
          <w:rFonts w:cs="Open Sans"/>
          <w:highlight w:val="yellow"/>
        </w:rPr>
      </w:pPr>
      <w:r w:rsidRPr="0000563D">
        <w:rPr>
          <w:rFonts w:cs="Open Sans"/>
        </w:rPr>
        <w:t xml:space="preserve">Finally, </w:t>
      </w:r>
      <w:r w:rsidR="00660EBA" w:rsidRPr="0000563D">
        <w:rPr>
          <w:rFonts w:cs="Open Sans"/>
        </w:rPr>
        <w:t>the</w:t>
      </w:r>
      <w:r w:rsidRPr="0000563D">
        <w:rPr>
          <w:rFonts w:cs="Open Sans"/>
        </w:rPr>
        <w:t xml:space="preserve"> Disability Standards</w:t>
      </w:r>
      <w:r w:rsidR="0021099D" w:rsidRPr="0000563D">
        <w:rPr>
          <w:rFonts w:cs="Open Sans"/>
        </w:rPr>
        <w:t xml:space="preserve"> </w:t>
      </w:r>
      <w:r w:rsidR="0076008B" w:rsidRPr="0000563D">
        <w:rPr>
          <w:rFonts w:cs="Open Sans"/>
        </w:rPr>
        <w:t xml:space="preserve">specify obligations in certain areas of life (education, transport, access to premises). </w:t>
      </w:r>
      <w:r w:rsidR="002E1B12" w:rsidRPr="0000563D">
        <w:rPr>
          <w:rFonts w:cs="Open Sans"/>
        </w:rPr>
        <w:t xml:space="preserve">There are also unresolved questions on how a positive duty would apply to these Standards. </w:t>
      </w:r>
      <w:r w:rsidR="0076008B" w:rsidRPr="0000563D">
        <w:rPr>
          <w:rFonts w:cs="Open Sans"/>
        </w:rPr>
        <w:t>More robust and transparent reporting against the Standards is needed</w:t>
      </w:r>
      <w:r w:rsidR="00C77B6A" w:rsidRPr="0000563D">
        <w:rPr>
          <w:rFonts w:cs="Open Sans"/>
        </w:rPr>
        <w:t>, as well as a broad review on their effectiveness and effectiveness</w:t>
      </w:r>
      <w:r w:rsidR="0076008B" w:rsidRPr="0000563D">
        <w:rPr>
          <w:rFonts w:cs="Open Sans"/>
        </w:rPr>
        <w:t xml:space="preserve">. </w:t>
      </w:r>
    </w:p>
    <w:p w14:paraId="3631DC65" w14:textId="77777777" w:rsidR="008E13B9" w:rsidRPr="002D4943" w:rsidRDefault="008E13B9" w:rsidP="008E13B9">
      <w:pPr>
        <w:pStyle w:val="Heading2"/>
        <w:rPr>
          <w:rFonts w:ascii="Open Sans" w:hAnsi="Open Sans" w:cs="Open Sans"/>
        </w:rPr>
      </w:pPr>
      <w:bookmarkStart w:id="50" w:name="_Toc214961132"/>
      <w:r w:rsidRPr="002D4943">
        <w:rPr>
          <w:rFonts w:ascii="Open Sans" w:hAnsi="Open Sans" w:cs="Open Sans"/>
        </w:rPr>
        <w:t>Permanent exemptions</w:t>
      </w:r>
      <w:bookmarkEnd w:id="50"/>
    </w:p>
    <w:p w14:paraId="34B2A335" w14:textId="4F38D4F9" w:rsidR="00807503" w:rsidRPr="0000563D" w:rsidRDefault="00807503" w:rsidP="008911EA">
      <w:r w:rsidRPr="0000563D">
        <w:t xml:space="preserve">The Disability Discrimination Act sets out permanent exemptions for certain areas of public life in which conduct is permitted that would be otherwise be considered unlawful discrimination. There are currently 10 permanent exemptions in the Disability Discrimination Act. The Issues Paper seeks views on </w:t>
      </w:r>
      <w:r w:rsidRPr="0000563D">
        <w:lastRenderedPageBreak/>
        <w:t>whether any of the permanent exemptions in the Disability Discrimination Act can be narrowed or updated, while balancing other policy considerations.</w:t>
      </w:r>
    </w:p>
    <w:p w14:paraId="75604709" w14:textId="01E7B9DC" w:rsidR="008E13B9" w:rsidRPr="0000563D" w:rsidRDefault="7A029610" w:rsidP="008911EA">
      <w:r w:rsidRPr="0000563D">
        <w:t>Permanent exemptions</w:t>
      </w:r>
      <w:r w:rsidR="0FB55367" w:rsidRPr="0000563D">
        <w:t>,</w:t>
      </w:r>
      <w:r w:rsidRPr="0000563D">
        <w:t xml:space="preserve"> by design</w:t>
      </w:r>
      <w:r w:rsidR="0FB55367" w:rsidRPr="0000563D">
        <w:t>,</w:t>
      </w:r>
      <w:r w:rsidRPr="0000563D">
        <w:t xml:space="preserve"> impact or restrict the rights of people with disability. They reflect the circumstances and context of the time of their introduction based on the Government’s balancing of rights against policy priorities. </w:t>
      </w:r>
    </w:p>
    <w:p w14:paraId="1AC9EF35" w14:textId="157F5842" w:rsidR="008E13B9" w:rsidRPr="0000563D" w:rsidRDefault="53D16E52" w:rsidP="008911EA">
      <w:r w:rsidRPr="0000563D">
        <w:t>T</w:t>
      </w:r>
      <w:r w:rsidR="7A029610" w:rsidRPr="0000563D">
        <w:t xml:space="preserve">here is no statutory requirement to review whether permanent exemptions are effective, relevant, or appropriate. While there may be enduring justification for their continuation, exemptions run the risk of becoming obsolete and may not be reflective of the contemporary or changing needs and nature of society. They should </w:t>
      </w:r>
      <w:r w:rsidR="337151C8" w:rsidRPr="0000563D">
        <w:t xml:space="preserve">be reviewed on a periodic basis to ensure that there remains a compelling justification for their continuation. </w:t>
      </w:r>
    </w:p>
    <w:p w14:paraId="61F77299" w14:textId="040686EC" w:rsidR="00D7550C" w:rsidRPr="0000563D" w:rsidRDefault="008E13B9" w:rsidP="008911EA">
      <w:r w:rsidRPr="0000563D">
        <w:t xml:space="preserve">In recent years, the Commission has expressed concern about the scope and application of certain exemptions, as well as their misalignment with human rights obligations under the CRPD. This has arisen in response to </w:t>
      </w:r>
      <w:r w:rsidR="00CD0A51" w:rsidRPr="0000563D">
        <w:t xml:space="preserve">the </w:t>
      </w:r>
      <w:r w:rsidR="006C5389" w:rsidRPr="0000563D">
        <w:t>G</w:t>
      </w:r>
      <w:r w:rsidRPr="0000563D">
        <w:t>overnment</w:t>
      </w:r>
      <w:r w:rsidR="0001620A" w:rsidRPr="0000563D">
        <w:t>’s</w:t>
      </w:r>
      <w:r w:rsidRPr="0000563D">
        <w:t xml:space="preserve"> consultation on aspects of </w:t>
      </w:r>
      <w:r w:rsidR="00160330" w:rsidRPr="0000563D">
        <w:t xml:space="preserve">2 </w:t>
      </w:r>
      <w:r w:rsidR="00606BC9" w:rsidRPr="0000563D">
        <w:t>exemptions</w:t>
      </w:r>
      <w:r w:rsidR="00D7550C" w:rsidRPr="0000563D">
        <w:t xml:space="preserve">: </w:t>
      </w:r>
    </w:p>
    <w:p w14:paraId="5E001611" w14:textId="293B6896" w:rsidR="00D7550C" w:rsidRPr="0000563D" w:rsidRDefault="006D548E" w:rsidP="008673C0">
      <w:pPr>
        <w:pStyle w:val="ListBullet"/>
        <w:rPr>
          <w:rFonts w:cs="Open Sans"/>
        </w:rPr>
      </w:pPr>
      <w:r w:rsidRPr="0000563D">
        <w:rPr>
          <w:rFonts w:cs="Open Sans"/>
        </w:rPr>
        <w:t>t</w:t>
      </w:r>
      <w:r w:rsidR="00D7550C" w:rsidRPr="0000563D">
        <w:rPr>
          <w:rFonts w:cs="Open Sans"/>
        </w:rPr>
        <w:t>he</w:t>
      </w:r>
      <w:r w:rsidR="00261950" w:rsidRPr="0000563D">
        <w:rPr>
          <w:rFonts w:cs="Open Sans"/>
        </w:rPr>
        <w:t xml:space="preserve"> Review of the Significant Cost Threshold,</w:t>
      </w:r>
      <w:r w:rsidR="00DB1B68" w:rsidRPr="0000563D">
        <w:rPr>
          <w:rStyle w:val="EndnoteReference"/>
          <w:rFonts w:cs="Open Sans"/>
        </w:rPr>
        <w:endnoteReference w:id="197"/>
      </w:r>
      <w:r w:rsidR="00DB1B68" w:rsidRPr="0000563D">
        <w:rPr>
          <w:rFonts w:cs="Open Sans"/>
        </w:rPr>
        <w:t xml:space="preserve"> permitted</w:t>
      </w:r>
      <w:r w:rsidRPr="0000563D">
        <w:rPr>
          <w:rFonts w:cs="Open Sans"/>
        </w:rPr>
        <w:t xml:space="preserve"> under the</w:t>
      </w:r>
      <w:r w:rsidR="00D7550C" w:rsidRPr="0000563D">
        <w:rPr>
          <w:rFonts w:cs="Open Sans"/>
        </w:rPr>
        <w:t xml:space="preserve"> exemption on migration in section 52 of the Disability Discrimination Act</w:t>
      </w:r>
      <w:r w:rsidR="00D7550C" w:rsidRPr="0000563D" w:rsidDel="00D7550C">
        <w:rPr>
          <w:rFonts w:cs="Open Sans"/>
        </w:rPr>
        <w:t xml:space="preserve"> </w:t>
      </w:r>
      <w:r w:rsidR="00D7550C" w:rsidRPr="0000563D">
        <w:rPr>
          <w:rFonts w:cs="Open Sans"/>
        </w:rPr>
        <w:t xml:space="preserve">and </w:t>
      </w:r>
    </w:p>
    <w:p w14:paraId="6C11C771" w14:textId="1531EA4D" w:rsidR="00D7550C" w:rsidRPr="0000563D" w:rsidRDefault="00D7550C" w:rsidP="008673C0">
      <w:pPr>
        <w:pStyle w:val="ListBullet"/>
        <w:rPr>
          <w:rFonts w:cs="Open Sans"/>
        </w:rPr>
      </w:pPr>
      <w:r w:rsidRPr="0000563D">
        <w:rPr>
          <w:rFonts w:cs="Open Sans"/>
        </w:rPr>
        <w:t>the</w:t>
      </w:r>
      <w:r w:rsidR="00B90116" w:rsidRPr="0000563D">
        <w:rPr>
          <w:rFonts w:cs="Open Sans"/>
        </w:rPr>
        <w:t xml:space="preserve"> ban on the use of genetic information in life insurance</w:t>
      </w:r>
      <w:r w:rsidR="00DB1B68" w:rsidRPr="0000563D">
        <w:rPr>
          <w:rFonts w:cs="Open Sans"/>
        </w:rPr>
        <w:t>,</w:t>
      </w:r>
      <w:r w:rsidR="00DB1B68" w:rsidRPr="0000563D">
        <w:rPr>
          <w:rStyle w:val="EndnoteReference"/>
          <w:rFonts w:cs="Open Sans"/>
        </w:rPr>
        <w:endnoteReference w:id="198"/>
      </w:r>
      <w:r w:rsidR="00DB1B68" w:rsidRPr="0000563D">
        <w:rPr>
          <w:rFonts w:cs="Open Sans"/>
        </w:rPr>
        <w:t xml:space="preserve"> permitted under the</w:t>
      </w:r>
      <w:r w:rsidRPr="0000563D">
        <w:rPr>
          <w:rFonts w:cs="Open Sans"/>
        </w:rPr>
        <w:t xml:space="preserve"> exemption on superannuation and insurance in section 46 of the Disability Discrimination Act.</w:t>
      </w:r>
    </w:p>
    <w:p w14:paraId="4FAC8C9D" w14:textId="67280F97" w:rsidR="00CA0115" w:rsidRPr="0000563D" w:rsidRDefault="002B6C12">
      <w:r w:rsidRPr="0000563D">
        <w:t>Reforms arising out of these consultations</w:t>
      </w:r>
      <w:r w:rsidR="00CA0115" w:rsidRPr="0000563D">
        <w:t xml:space="preserve"> positively narrowed the scope of the </w:t>
      </w:r>
      <w:r w:rsidR="00160330" w:rsidRPr="0000563D">
        <w:t xml:space="preserve">2 </w:t>
      </w:r>
      <w:r w:rsidR="00CA0115" w:rsidRPr="0000563D">
        <w:t>exemptions, but concerns remain as to whether</w:t>
      </w:r>
      <w:r w:rsidR="00A51674" w:rsidRPr="0000563D">
        <w:t>, on the whole,</w:t>
      </w:r>
      <w:r w:rsidR="00CA0115" w:rsidRPr="0000563D">
        <w:t xml:space="preserve"> the</w:t>
      </w:r>
      <w:r w:rsidR="00EE0DDA" w:rsidRPr="0000563D">
        <w:t xml:space="preserve">y </w:t>
      </w:r>
      <w:r w:rsidR="006408BA" w:rsidRPr="0000563D">
        <w:t>comply with Australia’s CRPD obligations</w:t>
      </w:r>
      <w:r w:rsidR="00FC1A39" w:rsidRPr="0000563D">
        <w:t>, respectively under Articles 18 and 25</w:t>
      </w:r>
      <w:r w:rsidR="006408BA" w:rsidRPr="0000563D">
        <w:t xml:space="preserve">. The Commission refers to </w:t>
      </w:r>
      <w:r w:rsidR="004A39B5" w:rsidRPr="0000563D">
        <w:t xml:space="preserve">our </w:t>
      </w:r>
      <w:r w:rsidR="006408BA" w:rsidRPr="0000563D">
        <w:t>submissions to these consultations</w:t>
      </w:r>
      <w:r w:rsidR="00A51674" w:rsidRPr="0000563D">
        <w:rPr>
          <w:rStyle w:val="EndnoteReference"/>
        </w:rPr>
        <w:endnoteReference w:id="199"/>
      </w:r>
      <w:r w:rsidR="006408BA" w:rsidRPr="0000563D">
        <w:t xml:space="preserve"> in which recommendations are made for </w:t>
      </w:r>
      <w:r w:rsidR="00E934A7" w:rsidRPr="0000563D">
        <w:t>a broad and comprehensive review of each of these exemptions.</w:t>
      </w:r>
    </w:p>
    <w:p w14:paraId="3D8CD17F" w14:textId="06EB108A" w:rsidR="008E13B9" w:rsidRPr="0000563D" w:rsidRDefault="00E934A7" w:rsidP="008911EA">
      <w:r w:rsidRPr="0000563D">
        <w:t xml:space="preserve">These </w:t>
      </w:r>
      <w:r w:rsidR="001216B0" w:rsidRPr="0000563D">
        <w:t>2</w:t>
      </w:r>
      <w:r w:rsidRPr="0000563D">
        <w:t xml:space="preserve"> and each of the other</w:t>
      </w:r>
      <w:r w:rsidR="008E13B9" w:rsidRPr="0000563D">
        <w:t xml:space="preserve"> the permanent exemptions</w:t>
      </w:r>
      <w:r w:rsidRPr="0000563D">
        <w:t xml:space="preserve"> in the Disability Discrimination Act</w:t>
      </w:r>
      <w:r w:rsidR="008E13B9" w:rsidRPr="0000563D">
        <w:t xml:space="preserve"> warrant</w:t>
      </w:r>
      <w:r w:rsidRPr="0000563D">
        <w:t xml:space="preserve"> </w:t>
      </w:r>
      <w:r w:rsidR="008E13B9" w:rsidRPr="0000563D">
        <w:t>consideration on their own merits and requires thorough assessment against the relevant policy and legislative context, both domestically and against international human rights law.</w:t>
      </w:r>
      <w:r w:rsidR="004E59A0" w:rsidRPr="0000563D">
        <w:t xml:space="preserve"> The Commission repeats recommendations made in </w:t>
      </w:r>
      <w:r w:rsidR="004A39B5" w:rsidRPr="0000563D">
        <w:t xml:space="preserve">our </w:t>
      </w:r>
      <w:r w:rsidR="004E59A0" w:rsidRPr="0000563D">
        <w:t>2021 Free &amp; Equal Position Paper.</w:t>
      </w:r>
      <w:r w:rsidR="008E13B9" w:rsidRPr="0000563D">
        <w:t xml:space="preserve"> </w:t>
      </w:r>
    </w:p>
    <w:p w14:paraId="74137939" w14:textId="02E63B34" w:rsidR="008E13B9" w:rsidRPr="0000563D" w:rsidRDefault="008E13B9" w:rsidP="1A6683D4">
      <w:pPr>
        <w:rPr>
          <w:b/>
          <w:bCs/>
        </w:rPr>
      </w:pPr>
      <w:r w:rsidRPr="0000563D">
        <w:rPr>
          <w:b/>
          <w:bCs/>
        </w:rPr>
        <w:t>Recommendation</w:t>
      </w:r>
      <w:r w:rsidR="000751B0" w:rsidRPr="0000563D">
        <w:rPr>
          <w:b/>
          <w:bCs/>
        </w:rPr>
        <w:t xml:space="preserve"> 2</w:t>
      </w:r>
      <w:r w:rsidR="00B74F52" w:rsidRPr="0000563D">
        <w:rPr>
          <w:b/>
          <w:bCs/>
        </w:rPr>
        <w:t>7</w:t>
      </w:r>
      <w:r w:rsidRPr="0000563D">
        <w:rPr>
          <w:b/>
          <w:bCs/>
        </w:rPr>
        <w:t xml:space="preserve">: </w:t>
      </w:r>
      <w:r w:rsidR="0EC190DB" w:rsidRPr="0000563D">
        <w:rPr>
          <w:b/>
          <w:bCs/>
        </w:rPr>
        <w:t xml:space="preserve">The </w:t>
      </w:r>
      <w:r w:rsidR="0EC190DB" w:rsidRPr="0000563D">
        <w:rPr>
          <w:b/>
          <w:bCs/>
          <w:i/>
          <w:iCs/>
        </w:rPr>
        <w:t>Disability Discrimination Act</w:t>
      </w:r>
      <w:r w:rsidR="004322C5" w:rsidRPr="0000563D">
        <w:rPr>
          <w:b/>
          <w:bCs/>
          <w:i/>
          <w:iCs/>
        </w:rPr>
        <w:t xml:space="preserve"> 1992</w:t>
      </w:r>
      <w:r w:rsidR="004322C5" w:rsidRPr="0000563D">
        <w:rPr>
          <w:b/>
          <w:bCs/>
        </w:rPr>
        <w:t xml:space="preserve"> (</w:t>
      </w:r>
      <w:proofErr w:type="spellStart"/>
      <w:r w:rsidR="004322C5" w:rsidRPr="0000563D">
        <w:rPr>
          <w:b/>
          <w:bCs/>
        </w:rPr>
        <w:t>Cth</w:t>
      </w:r>
      <w:proofErr w:type="spellEnd"/>
      <w:r w:rsidR="004322C5" w:rsidRPr="0000563D">
        <w:rPr>
          <w:b/>
          <w:bCs/>
        </w:rPr>
        <w:t>) should be amended to introduce a requirement</w:t>
      </w:r>
      <w:r w:rsidR="0EC190DB" w:rsidRPr="0000563D">
        <w:rPr>
          <w:b/>
          <w:bCs/>
        </w:rPr>
        <w:t xml:space="preserve"> </w:t>
      </w:r>
      <w:r w:rsidR="004322C5" w:rsidRPr="0000563D">
        <w:rPr>
          <w:b/>
          <w:bCs/>
        </w:rPr>
        <w:t>for</w:t>
      </w:r>
      <w:r w:rsidR="77F8FF6B" w:rsidRPr="0000563D">
        <w:rPr>
          <w:b/>
          <w:bCs/>
        </w:rPr>
        <w:t xml:space="preserve"> </w:t>
      </w:r>
      <w:r w:rsidR="0EC190DB" w:rsidRPr="0000563D">
        <w:rPr>
          <w:b/>
          <w:bCs/>
        </w:rPr>
        <w:t xml:space="preserve">permanent exemptions in sections 46-54 </w:t>
      </w:r>
      <w:r w:rsidR="0044457D" w:rsidRPr="0000563D">
        <w:rPr>
          <w:b/>
          <w:bCs/>
        </w:rPr>
        <w:t xml:space="preserve">to </w:t>
      </w:r>
      <w:r w:rsidR="0EC190DB" w:rsidRPr="0000563D">
        <w:rPr>
          <w:b/>
          <w:bCs/>
        </w:rPr>
        <w:t xml:space="preserve">be reviewed every </w:t>
      </w:r>
      <w:r w:rsidR="00B65365" w:rsidRPr="0000563D">
        <w:rPr>
          <w:b/>
          <w:bCs/>
        </w:rPr>
        <w:t xml:space="preserve">10 </w:t>
      </w:r>
      <w:r w:rsidR="0EC190DB" w:rsidRPr="0000563D">
        <w:rPr>
          <w:b/>
          <w:bCs/>
        </w:rPr>
        <w:t>years</w:t>
      </w:r>
      <w:r w:rsidR="004E59A0" w:rsidRPr="0000563D">
        <w:rPr>
          <w:b/>
          <w:bCs/>
        </w:rPr>
        <w:t xml:space="preserve">, </w:t>
      </w:r>
      <w:r w:rsidRPr="0000563D">
        <w:rPr>
          <w:b/>
          <w:bCs/>
        </w:rPr>
        <w:t>having regard to the following:</w:t>
      </w:r>
    </w:p>
    <w:p w14:paraId="2A1E6DA1" w14:textId="59786845" w:rsidR="008E13B9" w:rsidRPr="0000563D" w:rsidRDefault="008E13B9" w:rsidP="002D4943">
      <w:pPr>
        <w:pStyle w:val="ListParagraph"/>
        <w:numPr>
          <w:ilvl w:val="0"/>
          <w:numId w:val="30"/>
        </w:numPr>
        <w:rPr>
          <w:b/>
          <w:bCs/>
        </w:rPr>
      </w:pPr>
      <w:r w:rsidRPr="0000563D">
        <w:rPr>
          <w:b/>
          <w:bCs/>
        </w:rPr>
        <w:t>whether the scope of the exemption remains necessary, reasonable and proportionate in the circumstances.</w:t>
      </w:r>
    </w:p>
    <w:p w14:paraId="6C607EF2" w14:textId="7B44F77A" w:rsidR="008E13B9" w:rsidRPr="0000563D" w:rsidRDefault="008E13B9" w:rsidP="002D4943">
      <w:pPr>
        <w:pStyle w:val="ListParagraph"/>
        <w:numPr>
          <w:ilvl w:val="0"/>
          <w:numId w:val="30"/>
        </w:numPr>
        <w:rPr>
          <w:b/>
          <w:bCs/>
        </w:rPr>
      </w:pPr>
      <w:r w:rsidRPr="0000563D">
        <w:rPr>
          <w:b/>
          <w:bCs/>
        </w:rPr>
        <w:lastRenderedPageBreak/>
        <w:t xml:space="preserve">whether the exemption should be </w:t>
      </w:r>
    </w:p>
    <w:p w14:paraId="4CF2F25D" w14:textId="77777777" w:rsidR="008E13B9" w:rsidRPr="0000563D" w:rsidRDefault="008E13B9" w:rsidP="002D4943">
      <w:pPr>
        <w:pStyle w:val="ListParagraph"/>
        <w:numPr>
          <w:ilvl w:val="1"/>
          <w:numId w:val="30"/>
        </w:numPr>
        <w:rPr>
          <w:b/>
          <w:bCs/>
        </w:rPr>
      </w:pPr>
      <w:r w:rsidRPr="0000563D">
        <w:rPr>
          <w:b/>
          <w:bCs/>
        </w:rPr>
        <w:t>continued or removed, and</w:t>
      </w:r>
    </w:p>
    <w:p w14:paraId="1F48BBB8" w14:textId="77777777" w:rsidR="008E13B9" w:rsidRPr="0000563D" w:rsidRDefault="008E13B9" w:rsidP="002D4943">
      <w:pPr>
        <w:pStyle w:val="ListParagraph"/>
        <w:numPr>
          <w:ilvl w:val="1"/>
          <w:numId w:val="30"/>
        </w:numPr>
        <w:rPr>
          <w:b/>
          <w:bCs/>
        </w:rPr>
      </w:pPr>
      <w:r w:rsidRPr="0000563D">
        <w:rPr>
          <w:b/>
          <w:bCs/>
        </w:rPr>
        <w:t xml:space="preserve">if continued, be time limited and regularly reviewed, or be </w:t>
      </w:r>
      <w:proofErr w:type="spellStart"/>
      <w:r w:rsidRPr="0000563D">
        <w:rPr>
          <w:b/>
          <w:bCs/>
        </w:rPr>
        <w:t>sunsetted</w:t>
      </w:r>
      <w:proofErr w:type="spellEnd"/>
      <w:r w:rsidRPr="0000563D">
        <w:rPr>
          <w:b/>
          <w:bCs/>
        </w:rPr>
        <w:t xml:space="preserve">. </w:t>
      </w:r>
    </w:p>
    <w:p w14:paraId="445644D4" w14:textId="058207D7" w:rsidR="008E13B9" w:rsidRPr="0000563D" w:rsidRDefault="008E13B9" w:rsidP="002D4943">
      <w:pPr>
        <w:pStyle w:val="ListParagraph"/>
        <w:numPr>
          <w:ilvl w:val="0"/>
          <w:numId w:val="30"/>
        </w:numPr>
        <w:rPr>
          <w:b/>
          <w:bCs/>
        </w:rPr>
      </w:pPr>
      <w:r w:rsidRPr="0000563D">
        <w:rPr>
          <w:b/>
          <w:bCs/>
        </w:rPr>
        <w:t>Australia</w:t>
      </w:r>
      <w:r w:rsidR="0044457D" w:rsidRPr="0000563D">
        <w:rPr>
          <w:b/>
          <w:bCs/>
          <w:lang w:val="en-US"/>
        </w:rPr>
        <w:t>’</w:t>
      </w:r>
      <w:r w:rsidRPr="0000563D">
        <w:rPr>
          <w:b/>
          <w:bCs/>
        </w:rPr>
        <w:t xml:space="preserve">s international human rights obligations, giving specific regard to the United Nations Convention on the Rights of Persons with Disabilities. </w:t>
      </w:r>
    </w:p>
    <w:p w14:paraId="7B2F1A52" w14:textId="68736E69" w:rsidR="6F0AFBC6" w:rsidRPr="0000563D" w:rsidRDefault="6F0AFBC6" w:rsidP="1A6683D4">
      <w:pPr>
        <w:rPr>
          <w:b/>
          <w:bCs/>
        </w:rPr>
      </w:pPr>
      <w:r w:rsidRPr="0000563D">
        <w:rPr>
          <w:b/>
          <w:bCs/>
        </w:rPr>
        <w:t xml:space="preserve">The first such review of permanent exemptions should </w:t>
      </w:r>
      <w:r w:rsidR="20DE30A3" w:rsidRPr="0000563D">
        <w:rPr>
          <w:b/>
          <w:bCs/>
        </w:rPr>
        <w:t>occur at the commencement of these legislative amendments.</w:t>
      </w:r>
    </w:p>
    <w:p w14:paraId="39FF95FF" w14:textId="152A449B" w:rsidR="002017F6" w:rsidRPr="0000563D" w:rsidRDefault="00CC05C0" w:rsidP="008911EA">
      <w:pPr>
        <w:rPr>
          <w:b/>
          <w:bCs/>
        </w:rPr>
      </w:pPr>
      <w:r w:rsidRPr="0000563D">
        <w:t>The</w:t>
      </w:r>
      <w:r w:rsidR="00674126" w:rsidRPr="0000563D">
        <w:rPr>
          <w:rFonts w:eastAsia="Times New Roman"/>
        </w:rPr>
        <w:t xml:space="preserve"> </w:t>
      </w:r>
      <w:r w:rsidR="00674126" w:rsidRPr="0000563D">
        <w:t>Free &amp; Equal 2021 Position Paper</w:t>
      </w:r>
      <w:r w:rsidR="008E13B9" w:rsidRPr="0000563D">
        <w:t xml:space="preserve"> </w:t>
      </w:r>
      <w:r w:rsidR="00B14854" w:rsidRPr="0000563D">
        <w:t xml:space="preserve">discussed the </w:t>
      </w:r>
      <w:r w:rsidR="00172DD6" w:rsidRPr="0000563D">
        <w:t xml:space="preserve">distinction between </w:t>
      </w:r>
      <w:r w:rsidR="00FD34BC" w:rsidRPr="0000563D">
        <w:t>‘permanent exemptions’ and ‘temporary exemptions’</w:t>
      </w:r>
      <w:r w:rsidRPr="0000563D">
        <w:t xml:space="preserve"> (</w:t>
      </w:r>
      <w:r w:rsidR="002C64D4" w:rsidRPr="0000563D">
        <w:t>discussed below</w:t>
      </w:r>
      <w:r w:rsidRPr="0000563D">
        <w:t>)</w:t>
      </w:r>
      <w:r w:rsidR="00A2501B" w:rsidRPr="0000563D">
        <w:t xml:space="preserve">. The Commission </w:t>
      </w:r>
      <w:r w:rsidR="008E13B9" w:rsidRPr="0000563D">
        <w:t>recommended clarif</w:t>
      </w:r>
      <w:r w:rsidR="00F84718" w:rsidRPr="0000563D">
        <w:t xml:space="preserve">ying </w:t>
      </w:r>
      <w:r w:rsidR="00AD5734" w:rsidRPr="0000563D">
        <w:t xml:space="preserve">these </w:t>
      </w:r>
      <w:r w:rsidR="00160330" w:rsidRPr="0000563D">
        <w:t xml:space="preserve">2 </w:t>
      </w:r>
      <w:r w:rsidR="00962EA7" w:rsidRPr="0000563D">
        <w:t xml:space="preserve">concepts </w:t>
      </w:r>
      <w:r w:rsidR="008E13B9" w:rsidRPr="0000563D">
        <w:t xml:space="preserve">in federal discrimination law </w:t>
      </w:r>
      <w:r w:rsidR="00271C9F" w:rsidRPr="0000563D">
        <w:t xml:space="preserve">by </w:t>
      </w:r>
      <w:r w:rsidR="002017F6" w:rsidRPr="0000563D">
        <w:t xml:space="preserve">introducing and </w:t>
      </w:r>
      <w:r w:rsidR="00CA2747" w:rsidRPr="0000563D">
        <w:t>defining the term ‘exception’</w:t>
      </w:r>
      <w:r w:rsidR="002C64D4" w:rsidRPr="0000563D">
        <w:t xml:space="preserve"> to replace permanent exemptions</w:t>
      </w:r>
      <w:r w:rsidR="008E13B9" w:rsidRPr="0000563D">
        <w:t xml:space="preserve">. </w:t>
      </w:r>
      <w:r w:rsidR="002017F6" w:rsidRPr="0000563D">
        <w:t>Current exemptions in sections 46-54 of the Disability Discrimination Act should be considered as ‘exceptions’ under this new meaning.</w:t>
      </w:r>
      <w:r w:rsidR="002017F6" w:rsidRPr="0000563D">
        <w:rPr>
          <w:b/>
          <w:bCs/>
        </w:rPr>
        <w:t xml:space="preserve"> </w:t>
      </w:r>
    </w:p>
    <w:p w14:paraId="2FFF93A0" w14:textId="5E80E2E2" w:rsidR="008E13B9" w:rsidRPr="0000563D" w:rsidRDefault="008E13B9" w:rsidP="1A6683D4">
      <w:pPr>
        <w:rPr>
          <w:b/>
          <w:bCs/>
        </w:rPr>
      </w:pPr>
      <w:r w:rsidRPr="0000563D">
        <w:rPr>
          <w:b/>
          <w:bCs/>
        </w:rPr>
        <w:t>Recommendation</w:t>
      </w:r>
      <w:r w:rsidR="002017F6" w:rsidRPr="0000563D">
        <w:rPr>
          <w:b/>
          <w:bCs/>
        </w:rPr>
        <w:t xml:space="preserve"> </w:t>
      </w:r>
      <w:r w:rsidR="00B74F52" w:rsidRPr="0000563D">
        <w:rPr>
          <w:b/>
          <w:bCs/>
        </w:rPr>
        <w:t>28</w:t>
      </w:r>
      <w:r w:rsidRPr="0000563D">
        <w:rPr>
          <w:b/>
          <w:bCs/>
        </w:rPr>
        <w:t xml:space="preserve">: The </w:t>
      </w:r>
      <w:r w:rsidRPr="0000563D">
        <w:rPr>
          <w:b/>
          <w:bCs/>
          <w:i/>
          <w:iCs/>
        </w:rPr>
        <w:t>Disability Discrimination Act</w:t>
      </w:r>
      <w:r w:rsidR="00D845AB" w:rsidRPr="0000563D">
        <w:rPr>
          <w:b/>
          <w:bCs/>
          <w:i/>
          <w:iCs/>
        </w:rPr>
        <w:t xml:space="preserve"> 1992</w:t>
      </w:r>
      <w:r w:rsidR="00D845AB" w:rsidRPr="0000563D">
        <w:rPr>
          <w:b/>
          <w:bCs/>
        </w:rPr>
        <w:t xml:space="preserve"> (</w:t>
      </w:r>
      <w:proofErr w:type="spellStart"/>
      <w:r w:rsidR="00D845AB" w:rsidRPr="0000563D">
        <w:rPr>
          <w:b/>
          <w:bCs/>
        </w:rPr>
        <w:t>Cth</w:t>
      </w:r>
      <w:proofErr w:type="spellEnd"/>
      <w:r w:rsidR="00D845AB" w:rsidRPr="0000563D">
        <w:rPr>
          <w:b/>
          <w:bCs/>
        </w:rPr>
        <w:t>)</w:t>
      </w:r>
      <w:r w:rsidRPr="0000563D">
        <w:rPr>
          <w:b/>
          <w:bCs/>
        </w:rPr>
        <w:t xml:space="preserve"> should be amended to</w:t>
      </w:r>
      <w:r w:rsidR="52DDA4D0" w:rsidRPr="0000563D">
        <w:rPr>
          <w:b/>
          <w:bCs/>
        </w:rPr>
        <w:t xml:space="preserve"> replace references to permanent exemptions with new terminology of</w:t>
      </w:r>
      <w:r w:rsidRPr="0000563D">
        <w:rPr>
          <w:b/>
          <w:bCs/>
        </w:rPr>
        <w:t xml:space="preserve"> </w:t>
      </w:r>
      <w:r w:rsidR="00D845AB" w:rsidRPr="0000563D">
        <w:rPr>
          <w:b/>
          <w:bCs/>
          <w:lang w:val="en-US"/>
        </w:rPr>
        <w:t>’</w:t>
      </w:r>
      <w:r w:rsidRPr="0000563D">
        <w:rPr>
          <w:b/>
          <w:bCs/>
        </w:rPr>
        <w:t>exceptions</w:t>
      </w:r>
      <w:r w:rsidR="00D845AB" w:rsidRPr="0000563D">
        <w:rPr>
          <w:b/>
          <w:bCs/>
          <w:lang w:val="en-US"/>
        </w:rPr>
        <w:t>’</w:t>
      </w:r>
      <w:r w:rsidRPr="0000563D">
        <w:rPr>
          <w:b/>
          <w:bCs/>
        </w:rPr>
        <w:t xml:space="preserve"> to be defined as</w:t>
      </w:r>
      <w:r w:rsidR="008673C0" w:rsidRPr="0000563D">
        <w:rPr>
          <w:b/>
          <w:bCs/>
        </w:rPr>
        <w:t xml:space="preserve"> </w:t>
      </w:r>
      <w:r w:rsidR="00D845AB" w:rsidRPr="0000563D">
        <w:rPr>
          <w:b/>
          <w:bCs/>
          <w:lang w:val="en-US"/>
        </w:rPr>
        <w:t>’</w:t>
      </w:r>
      <w:r w:rsidRPr="0000563D">
        <w:rPr>
          <w:b/>
          <w:bCs/>
        </w:rPr>
        <w:t>conduct which, but for the operation of the excepting provision, would be unlawful discrimination, but is permanently excepted from being considered such in the relevant Act</w:t>
      </w:r>
      <w:r w:rsidR="008673C0" w:rsidRPr="0000563D">
        <w:rPr>
          <w:b/>
          <w:bCs/>
          <w:lang w:val="en-US"/>
        </w:rPr>
        <w:t>’</w:t>
      </w:r>
      <w:r w:rsidRPr="0000563D">
        <w:rPr>
          <w:b/>
          <w:bCs/>
        </w:rPr>
        <w:t xml:space="preserve">. </w:t>
      </w:r>
    </w:p>
    <w:p w14:paraId="7977FA06" w14:textId="77777777" w:rsidR="008E13B9" w:rsidRPr="002D4943" w:rsidRDefault="008E13B9" w:rsidP="008E13B9">
      <w:pPr>
        <w:pStyle w:val="Heading2"/>
        <w:rPr>
          <w:rFonts w:ascii="Open Sans" w:hAnsi="Open Sans" w:cs="Open Sans"/>
        </w:rPr>
      </w:pPr>
      <w:bookmarkStart w:id="51" w:name="_Toc214961133"/>
      <w:r w:rsidRPr="002D4943">
        <w:rPr>
          <w:rFonts w:ascii="Open Sans" w:hAnsi="Open Sans" w:cs="Open Sans"/>
        </w:rPr>
        <w:t>Temporary exemptions</w:t>
      </w:r>
      <w:bookmarkEnd w:id="51"/>
    </w:p>
    <w:p w14:paraId="6963B4A2" w14:textId="77777777" w:rsidR="000E5526" w:rsidRPr="0000563D" w:rsidRDefault="000E5526" w:rsidP="008911EA">
      <w:r w:rsidRPr="0000563D">
        <w:t>The Issues Paper seeks views on whether a definition for temporary exemptions should be added to the Disability Discrimination Act.</w:t>
      </w:r>
    </w:p>
    <w:p w14:paraId="0ABFA3B5" w14:textId="546A6B56" w:rsidR="008E13B9" w:rsidRPr="0000563D" w:rsidRDefault="008E13B9" w:rsidP="008911EA">
      <w:r w:rsidRPr="0000563D">
        <w:t xml:space="preserve">Under section 55 of the Disability Discrimination Act, </w:t>
      </w:r>
      <w:r w:rsidR="006F2946" w:rsidRPr="0000563D">
        <w:t xml:space="preserve">on application by a duty holder, </w:t>
      </w:r>
      <w:r w:rsidRPr="0000563D">
        <w:t xml:space="preserve">the Commission is empowered to grant temporary exemptions from certain provisions </w:t>
      </w:r>
      <w:r w:rsidR="006F2946" w:rsidRPr="0000563D">
        <w:t xml:space="preserve">of </w:t>
      </w:r>
      <w:r w:rsidRPr="0000563D">
        <w:t>the Disability Discrimination Act.</w:t>
      </w:r>
      <w:r w:rsidRPr="0000563D">
        <w:rPr>
          <w:rStyle w:val="EndnoteReference"/>
        </w:rPr>
        <w:endnoteReference w:id="200"/>
      </w:r>
      <w:r w:rsidRPr="0000563D">
        <w:t xml:space="preserve"> Temporary exemptions may be subject to certain conditions and can be granted for a term of no more than five years.</w:t>
      </w:r>
      <w:r w:rsidRPr="0000563D">
        <w:rPr>
          <w:rStyle w:val="EndnoteReference"/>
        </w:rPr>
        <w:endnoteReference w:id="201"/>
      </w:r>
      <w:r w:rsidRPr="0000563D">
        <w:t xml:space="preserve">  </w:t>
      </w:r>
    </w:p>
    <w:p w14:paraId="74F7FD0A" w14:textId="166C882D" w:rsidR="00452982" w:rsidRPr="0000563D" w:rsidRDefault="008E13B9" w:rsidP="008911EA">
      <w:r w:rsidRPr="0000563D">
        <w:t xml:space="preserve">The effect of a temporary exemption is that discrimination covered by the exemption is not </w:t>
      </w:r>
      <w:r w:rsidR="005C32E7" w:rsidRPr="0000563D">
        <w:t>consider</w:t>
      </w:r>
      <w:r w:rsidR="009334F1" w:rsidRPr="0000563D">
        <w:t xml:space="preserve">ed to be </w:t>
      </w:r>
      <w:r w:rsidRPr="0000563D">
        <w:t xml:space="preserve">unlawful under the Act, </w:t>
      </w:r>
      <w:r w:rsidR="00E0221B" w:rsidRPr="0000563D">
        <w:t xml:space="preserve">so long as </w:t>
      </w:r>
      <w:r w:rsidRPr="0000563D">
        <w:t xml:space="preserve">the exemption remains in force. </w:t>
      </w:r>
      <w:r w:rsidR="00EE1C1B" w:rsidRPr="0000563D">
        <w:t>Accordingly, t</w:t>
      </w:r>
      <w:r w:rsidRPr="0000563D">
        <w:t xml:space="preserve">he activities covered by the exemption cannot be the subject of a complaint to the Commission. </w:t>
      </w:r>
    </w:p>
    <w:p w14:paraId="50CF25F8" w14:textId="541C9EA6" w:rsidR="00452982" w:rsidRPr="0000563D" w:rsidRDefault="00452982" w:rsidP="00A2165D">
      <w:pPr>
        <w:pStyle w:val="Heading3"/>
        <w:rPr>
          <w:rFonts w:cs="Open Sans"/>
        </w:rPr>
      </w:pPr>
      <w:r w:rsidRPr="0000563D">
        <w:rPr>
          <w:rFonts w:cs="Open Sans"/>
        </w:rPr>
        <w:t>Definition of a temporary exemption</w:t>
      </w:r>
    </w:p>
    <w:p w14:paraId="760353CE" w14:textId="2DAB8A83" w:rsidR="00452982" w:rsidRPr="0000563D" w:rsidRDefault="00452982" w:rsidP="008911EA">
      <w:r w:rsidRPr="0000563D">
        <w:t xml:space="preserve">The proposal to introduce a definition of a temporary exemption is to assist in distinguishing a temporary exemption from a special measure. This distinction is not always clear for duty holders, as evidenced by the fact that </w:t>
      </w:r>
      <w:r w:rsidR="00AD099F" w:rsidRPr="0000563D">
        <w:t>the Commission</w:t>
      </w:r>
      <w:r w:rsidRPr="0000563D">
        <w:t xml:space="preserve"> </w:t>
      </w:r>
      <w:r w:rsidRPr="0000563D">
        <w:lastRenderedPageBreak/>
        <w:t xml:space="preserve">regularly receives requests to issue a temporary exemption in circumstances where a </w:t>
      </w:r>
      <w:r w:rsidR="00CE7F87" w:rsidRPr="0000563D">
        <w:t>duty holder</w:t>
      </w:r>
      <w:r w:rsidRPr="0000563D">
        <w:t xml:space="preserve"> is taking actions that may qualify as a ‘special measure’.</w:t>
      </w:r>
      <w:r w:rsidRPr="0000563D">
        <w:rPr>
          <w:rStyle w:val="EndnoteReference"/>
        </w:rPr>
        <w:endnoteReference w:id="202"/>
      </w:r>
      <w:r w:rsidRPr="0000563D">
        <w:t xml:space="preserve"> </w:t>
      </w:r>
    </w:p>
    <w:p w14:paraId="3C9C59AC" w14:textId="64DA1FA4" w:rsidR="00452982" w:rsidRPr="0000563D" w:rsidRDefault="00452982" w:rsidP="008911EA">
      <w:r w:rsidRPr="0000563D">
        <w:t xml:space="preserve">There are key differences between the </w:t>
      </w:r>
      <w:r w:rsidR="00F83550" w:rsidRPr="0000563D">
        <w:t xml:space="preserve">2 </w:t>
      </w:r>
      <w:r w:rsidRPr="0000563D">
        <w:t xml:space="preserve">mechanisms. A special measure is a positive action introduced to promote equality. </w:t>
      </w:r>
      <w:r w:rsidR="00DB3A52" w:rsidRPr="0000563D">
        <w:t>A</w:t>
      </w:r>
      <w:r w:rsidRPr="0000563D">
        <w:t xml:space="preserve"> temporary exemption exempts </w:t>
      </w:r>
      <w:proofErr w:type="gramStart"/>
      <w:r w:rsidRPr="0000563D">
        <w:t>particular conduct</w:t>
      </w:r>
      <w:proofErr w:type="gramEnd"/>
      <w:r w:rsidRPr="0000563D">
        <w:t xml:space="preserve"> from being unlawful discrimination for a limited period for a particular short-term purpose, for example to provide time for a </w:t>
      </w:r>
      <w:r w:rsidR="00CE7F87" w:rsidRPr="0000563D">
        <w:t>duty holder</w:t>
      </w:r>
      <w:r w:rsidRPr="0000563D">
        <w:rPr>
          <w:b/>
          <w:bCs/>
        </w:rPr>
        <w:t xml:space="preserve"> </w:t>
      </w:r>
      <w:r w:rsidRPr="0000563D">
        <w:t xml:space="preserve">to comply with the Disability Discrimination Act. </w:t>
      </w:r>
    </w:p>
    <w:p w14:paraId="78B2F8D9" w14:textId="5C798A7D" w:rsidR="00452982" w:rsidRPr="0000563D" w:rsidRDefault="00452982" w:rsidP="008911EA">
      <w:r w:rsidRPr="0000563D">
        <w:t>Special measures are encouraged, whereas temporary exemptions are provided for in very limited circumstances.</w:t>
      </w:r>
    </w:p>
    <w:p w14:paraId="05019625" w14:textId="1EFCB9EF" w:rsidR="00452982" w:rsidRPr="0000563D" w:rsidRDefault="00452982" w:rsidP="008911EA">
      <w:r w:rsidRPr="0000563D">
        <w:t>The HRAD Bill 2012 included a provision which defined a temporary exemption as one that ‘exempts particular conduct of one or more persons or bodies (or classes of persons or bodies) from being unlawful discrimination’.</w:t>
      </w:r>
      <w:r w:rsidRPr="0000563D">
        <w:rPr>
          <w:rStyle w:val="EndnoteReference"/>
        </w:rPr>
        <w:endnoteReference w:id="203"/>
      </w:r>
      <w:r w:rsidRPr="0000563D">
        <w:t xml:space="preserve"> As indicated in </w:t>
      </w:r>
      <w:r w:rsidR="004A39B5" w:rsidRPr="0000563D">
        <w:rPr>
          <w:rFonts w:eastAsia="Times New Roman"/>
        </w:rPr>
        <w:t xml:space="preserve">our </w:t>
      </w:r>
      <w:r w:rsidRPr="0000563D">
        <w:t>Free &amp; Equal 2021 Position Paper, the Commission supports the addition of this definition to provide clarity on the meaning of the term.</w:t>
      </w:r>
      <w:r w:rsidRPr="0000563D">
        <w:rPr>
          <w:rStyle w:val="EndnoteReference"/>
        </w:rPr>
        <w:endnoteReference w:id="204"/>
      </w:r>
    </w:p>
    <w:p w14:paraId="28E9BFEA" w14:textId="6075DA1E" w:rsidR="00452982" w:rsidRPr="0000563D" w:rsidRDefault="00452982" w:rsidP="1A6683D4">
      <w:pPr>
        <w:rPr>
          <w:b/>
          <w:bCs/>
        </w:rPr>
      </w:pPr>
      <w:r w:rsidRPr="0000563D">
        <w:rPr>
          <w:b/>
          <w:bCs/>
        </w:rPr>
        <w:t>Recommendation</w:t>
      </w:r>
      <w:r w:rsidR="000751B0" w:rsidRPr="0000563D">
        <w:rPr>
          <w:b/>
          <w:bCs/>
        </w:rPr>
        <w:t xml:space="preserve"> 2</w:t>
      </w:r>
      <w:r w:rsidR="0064233A" w:rsidRPr="0000563D">
        <w:rPr>
          <w:b/>
          <w:bCs/>
        </w:rPr>
        <w:t>9</w:t>
      </w:r>
      <w:r w:rsidRPr="0000563D">
        <w:rPr>
          <w:b/>
          <w:bCs/>
        </w:rPr>
        <w:t xml:space="preserve">: The </w:t>
      </w:r>
      <w:r w:rsidRPr="0000563D">
        <w:rPr>
          <w:b/>
          <w:bCs/>
          <w:i/>
          <w:iCs/>
        </w:rPr>
        <w:t>Disability Discrimination Act 1992</w:t>
      </w:r>
      <w:r w:rsidRPr="0000563D">
        <w:rPr>
          <w:b/>
          <w:bCs/>
        </w:rPr>
        <w:t xml:space="preserve"> (</w:t>
      </w:r>
      <w:proofErr w:type="spellStart"/>
      <w:r w:rsidRPr="0000563D">
        <w:rPr>
          <w:b/>
          <w:bCs/>
        </w:rPr>
        <w:t>Cth</w:t>
      </w:r>
      <w:proofErr w:type="spellEnd"/>
      <w:r w:rsidRPr="0000563D">
        <w:rPr>
          <w:b/>
          <w:bCs/>
        </w:rPr>
        <w:t xml:space="preserve">) should be amended to define </w:t>
      </w:r>
      <w:r w:rsidR="00FB3C01" w:rsidRPr="0000563D">
        <w:rPr>
          <w:b/>
          <w:bCs/>
          <w:lang w:val="en-US"/>
        </w:rPr>
        <w:t>’</w:t>
      </w:r>
      <w:r w:rsidRPr="0000563D">
        <w:rPr>
          <w:b/>
          <w:bCs/>
        </w:rPr>
        <w:t>temporary exemptions</w:t>
      </w:r>
      <w:r w:rsidR="00946469" w:rsidRPr="0000563D">
        <w:rPr>
          <w:b/>
          <w:bCs/>
          <w:lang w:val="en-US"/>
        </w:rPr>
        <w:t xml:space="preserve">’ </w:t>
      </w:r>
      <w:r w:rsidRPr="0000563D">
        <w:rPr>
          <w:b/>
          <w:bCs/>
        </w:rPr>
        <w:t xml:space="preserve">as </w:t>
      </w:r>
      <w:r w:rsidR="00946469" w:rsidRPr="0000563D">
        <w:rPr>
          <w:b/>
          <w:bCs/>
        </w:rPr>
        <w:t>‘</w:t>
      </w:r>
      <w:r w:rsidRPr="0000563D">
        <w:rPr>
          <w:b/>
          <w:bCs/>
        </w:rPr>
        <w:t>temporary permissive authorisation for conduct which, but for the operation of the exemption, would be unlawful</w:t>
      </w:r>
      <w:r w:rsidR="00FB3C01" w:rsidRPr="0000563D">
        <w:rPr>
          <w:b/>
          <w:bCs/>
          <w:lang w:val="en-US"/>
        </w:rPr>
        <w:t>’.</w:t>
      </w:r>
    </w:p>
    <w:p w14:paraId="3EE018B1" w14:textId="416F008B" w:rsidR="00452982" w:rsidRPr="0000563D" w:rsidRDefault="00452982" w:rsidP="00A2165D">
      <w:pPr>
        <w:pStyle w:val="Heading3"/>
        <w:rPr>
          <w:rFonts w:cs="Open Sans"/>
        </w:rPr>
      </w:pPr>
      <w:r w:rsidRPr="0000563D">
        <w:rPr>
          <w:rFonts w:cs="Open Sans"/>
        </w:rPr>
        <w:t>Granting a temporary exemption</w:t>
      </w:r>
    </w:p>
    <w:p w14:paraId="3B8D02B5" w14:textId="243D9800" w:rsidR="00BA3253" w:rsidRPr="0000563D" w:rsidRDefault="00BA3253" w:rsidP="008911EA">
      <w:r w:rsidRPr="0000563D">
        <w:t xml:space="preserve">The Issues Paper seeks views on whether any changes should be made to the legislative process for granting a temporary exemption. At present, the Disability Discrimination Act does not prescribe how the Commission should exercise </w:t>
      </w:r>
      <w:r w:rsidR="00F63D34" w:rsidRPr="0000563D">
        <w:t xml:space="preserve">our </w:t>
      </w:r>
      <w:r w:rsidRPr="0000563D">
        <w:t xml:space="preserve">power to grant temporary exemption. </w:t>
      </w:r>
    </w:p>
    <w:p w14:paraId="7B23CDA9" w14:textId="77777777" w:rsidR="008A1D0A" w:rsidRPr="0000563D" w:rsidRDefault="008E13B9" w:rsidP="008911EA">
      <w:r w:rsidRPr="0000563D">
        <w:t>Temporary exemptions are not granted lightly</w:t>
      </w:r>
      <w:r w:rsidR="008A1D0A" w:rsidRPr="0000563D">
        <w:t xml:space="preserve">. There are limited circumstances in which a temporary exemption is necessary or appropriate, with only a handful of applications being granted since 2018, and one that was not granted. </w:t>
      </w:r>
    </w:p>
    <w:p w14:paraId="28238CC7" w14:textId="472FA813" w:rsidR="008E13B9" w:rsidRPr="0000563D" w:rsidRDefault="002C0251" w:rsidP="008911EA">
      <w:r w:rsidRPr="0000563D">
        <w:t xml:space="preserve">The Disability Discrimination Act provides limited broad criteria to guide the Commission in granting temporary exemptions. The Commission’s </w:t>
      </w:r>
      <w:r w:rsidRPr="0000563D">
        <w:rPr>
          <w:i/>
          <w:iCs/>
        </w:rPr>
        <w:t>Guidelines on temporary exemptions under the Disability Discrimination Act</w:t>
      </w:r>
      <w:r w:rsidRPr="0000563D">
        <w:t xml:space="preserve"> outlines in detail how it approaches and assesses applications. </w:t>
      </w:r>
    </w:p>
    <w:p w14:paraId="68B361DD" w14:textId="5D6D33A1" w:rsidR="008E13B9" w:rsidRPr="0000563D" w:rsidRDefault="002C0251" w:rsidP="008911EA">
      <w:r w:rsidRPr="0000563D">
        <w:t>The process</w:t>
      </w:r>
      <w:r w:rsidR="008E13B9" w:rsidRPr="0000563D">
        <w:t xml:space="preserve"> involve</w:t>
      </w:r>
      <w:r w:rsidRPr="0000563D">
        <w:t>s</w:t>
      </w:r>
      <w:r w:rsidR="008E13B9" w:rsidRPr="0000563D">
        <w:t xml:space="preserve"> serious consideration by the Commission </w:t>
      </w:r>
      <w:r w:rsidR="00AA0120" w:rsidRPr="0000563D">
        <w:t xml:space="preserve">of </w:t>
      </w:r>
      <w:r w:rsidR="008E13B9" w:rsidRPr="0000563D">
        <w:t xml:space="preserve">the potential impact on rights and obligations and the consistency of the proposed exemption with the objectives of the Disability Discrimination Act. The assessment </w:t>
      </w:r>
      <w:r w:rsidR="00374134" w:rsidRPr="0000563D">
        <w:t xml:space="preserve">also </w:t>
      </w:r>
      <w:r w:rsidR="008E13B9" w:rsidRPr="0000563D">
        <w:t xml:space="preserve">involves </w:t>
      </w:r>
      <w:r w:rsidR="00953DD0" w:rsidRPr="0000563D">
        <w:t xml:space="preserve">consultation with </w:t>
      </w:r>
      <w:r w:rsidR="008E13B9" w:rsidRPr="0000563D">
        <w:t xml:space="preserve">members of the public, especially any interested or affected parties, </w:t>
      </w:r>
      <w:r w:rsidR="003D70CE" w:rsidRPr="0000563D">
        <w:t>on the application</w:t>
      </w:r>
      <w:r w:rsidR="008E13B9" w:rsidRPr="0000563D">
        <w:t xml:space="preserve"> and </w:t>
      </w:r>
      <w:r w:rsidR="003D70CE" w:rsidRPr="0000563D">
        <w:t>any</w:t>
      </w:r>
      <w:r w:rsidR="008E13B9" w:rsidRPr="0000563D">
        <w:t xml:space="preserve"> terms and conditions on which the exemption </w:t>
      </w:r>
      <w:r w:rsidR="003D70CE" w:rsidRPr="0000563D">
        <w:t xml:space="preserve">may </w:t>
      </w:r>
      <w:r w:rsidR="008E13B9" w:rsidRPr="0000563D">
        <w:t xml:space="preserve">be granted. </w:t>
      </w:r>
    </w:p>
    <w:p w14:paraId="77F5531E" w14:textId="4AD14F18" w:rsidR="00452982" w:rsidRPr="0000563D" w:rsidRDefault="00452982" w:rsidP="008911EA">
      <w:r w:rsidRPr="0000563D">
        <w:lastRenderedPageBreak/>
        <w:t>The Commission</w:t>
      </w:r>
      <w:r w:rsidR="016AF441" w:rsidRPr="0000563D">
        <w:t xml:space="preserve"> considers that the process as set out in these guidelines has been effective and </w:t>
      </w:r>
      <w:r w:rsidRPr="0000563D">
        <w:t>that changes to the legislative process of granting a temporary exemption</w:t>
      </w:r>
      <w:r w:rsidR="00160330" w:rsidRPr="0000563D">
        <w:t xml:space="preserve"> are not required</w:t>
      </w:r>
      <w:r w:rsidRPr="0000563D">
        <w:t>.</w:t>
      </w:r>
    </w:p>
    <w:p w14:paraId="48D668C1" w14:textId="77777777" w:rsidR="008E13B9" w:rsidRPr="002D4943" w:rsidRDefault="008E13B9" w:rsidP="008E13B9">
      <w:pPr>
        <w:pStyle w:val="Heading2"/>
        <w:rPr>
          <w:rFonts w:ascii="Open Sans" w:hAnsi="Open Sans" w:cs="Open Sans"/>
        </w:rPr>
      </w:pPr>
      <w:bookmarkStart w:id="52" w:name="_Toc214961134"/>
      <w:r w:rsidRPr="002D4943">
        <w:rPr>
          <w:rFonts w:ascii="Open Sans" w:hAnsi="Open Sans" w:cs="Open Sans"/>
        </w:rPr>
        <w:t>Co-regulatory mechanisms</w:t>
      </w:r>
      <w:bookmarkEnd w:id="52"/>
    </w:p>
    <w:p w14:paraId="4F858AF1" w14:textId="5AD41BE4" w:rsidR="008E13B9" w:rsidRPr="0000563D" w:rsidRDefault="00D27A79" w:rsidP="008911EA">
      <w:r w:rsidRPr="0000563D">
        <w:t>The Commission considers that</w:t>
      </w:r>
      <w:r w:rsidR="008E13B9" w:rsidRPr="0000563D">
        <w:t xml:space="preserve"> </w:t>
      </w:r>
      <w:r w:rsidR="00160330" w:rsidRPr="0000563D">
        <w:t xml:space="preserve">2 </w:t>
      </w:r>
      <w:r w:rsidR="008E13B9" w:rsidRPr="0000563D">
        <w:t xml:space="preserve">sections of the Disability Discrimination Act could be improved </w:t>
      </w:r>
      <w:r w:rsidRPr="0000563D">
        <w:t>through</w:t>
      </w:r>
      <w:r w:rsidR="008E13B9" w:rsidRPr="0000563D">
        <w:t xml:space="preserve"> effective co-regulatory mechanisms. </w:t>
      </w:r>
    </w:p>
    <w:p w14:paraId="3EBEA6B2" w14:textId="05A72102" w:rsidR="008E13B9" w:rsidRPr="0000563D" w:rsidRDefault="008E13B9" w:rsidP="008911EA">
      <w:r w:rsidRPr="0000563D">
        <w:t>Co-regulation typically refers to the situation where industry develops and administers its own arrangements</w:t>
      </w:r>
      <w:r w:rsidR="7158514A" w:rsidRPr="0000563D">
        <w:t xml:space="preserve"> with</w:t>
      </w:r>
      <w:r w:rsidRPr="0000563D">
        <w:t xml:space="preserve"> legislative backing to enable the arrangements to be enforced</w:t>
      </w:r>
      <w:r w:rsidR="3EE2CBF8" w:rsidRPr="0000563D">
        <w:t xml:space="preserve"> </w:t>
      </w:r>
      <w:proofErr w:type="gramStart"/>
      <w:r w:rsidR="3EE2CBF8" w:rsidRPr="0000563D">
        <w:t>and also</w:t>
      </w:r>
      <w:proofErr w:type="gramEnd"/>
      <w:r w:rsidR="3EE2CBF8" w:rsidRPr="0000563D">
        <w:t xml:space="preserve"> crucially to provide industry with the confidence that they are protected from litigation if their measures comply with the </w:t>
      </w:r>
      <w:r w:rsidR="27AC4E08" w:rsidRPr="0000563D">
        <w:t>legislative requirements</w:t>
      </w:r>
      <w:r w:rsidRPr="0000563D">
        <w:t>.</w:t>
      </w:r>
    </w:p>
    <w:p w14:paraId="330DBF13" w14:textId="360AE6ED" w:rsidR="008E13B9" w:rsidRPr="0000563D" w:rsidRDefault="2E6F954D" w:rsidP="008911EA">
      <w:r w:rsidRPr="0000563D">
        <w:t>There are e</w:t>
      </w:r>
      <w:r w:rsidR="008E13B9" w:rsidRPr="0000563D">
        <w:t xml:space="preserve">xisting co-regulatory measures </w:t>
      </w:r>
      <w:r w:rsidR="00CD32F6" w:rsidRPr="0000563D">
        <w:t xml:space="preserve">in federal discrimination law </w:t>
      </w:r>
      <w:r w:rsidR="2B9F2527" w:rsidRPr="0000563D">
        <w:t xml:space="preserve">that </w:t>
      </w:r>
      <w:r w:rsidR="008E13B9" w:rsidRPr="0000563D">
        <w:t xml:space="preserve">set out actions </w:t>
      </w:r>
      <w:r w:rsidR="008D6D3C" w:rsidRPr="0000563D">
        <w:t xml:space="preserve">that can be </w:t>
      </w:r>
      <w:r w:rsidR="008E13B9" w:rsidRPr="0000563D">
        <w:t xml:space="preserve">taken </w:t>
      </w:r>
      <w:r w:rsidR="00264DD6" w:rsidRPr="0000563D">
        <w:t xml:space="preserve">lawfully </w:t>
      </w:r>
      <w:r w:rsidR="008E13B9" w:rsidRPr="0000563D">
        <w:t xml:space="preserve">by industry and </w:t>
      </w:r>
      <w:r w:rsidR="00264DD6" w:rsidRPr="0000563D">
        <w:t xml:space="preserve">therefore </w:t>
      </w:r>
      <w:r w:rsidR="008E13B9" w:rsidRPr="0000563D">
        <w:t xml:space="preserve">do not breach the </w:t>
      </w:r>
      <w:r w:rsidR="00AC50D5" w:rsidRPr="0000563D">
        <w:t>law</w:t>
      </w:r>
      <w:r w:rsidR="008E13B9" w:rsidRPr="0000563D">
        <w:t>.</w:t>
      </w:r>
      <w:r w:rsidR="008E13B9" w:rsidRPr="0000563D">
        <w:rPr>
          <w:rStyle w:val="EndnoteReference"/>
        </w:rPr>
        <w:endnoteReference w:id="205"/>
      </w:r>
      <w:r w:rsidR="008E13B9" w:rsidRPr="0000563D">
        <w:t xml:space="preserve"> </w:t>
      </w:r>
      <w:r w:rsidR="1C2E2029" w:rsidRPr="0000563D">
        <w:t>However, t</w:t>
      </w:r>
      <w:r w:rsidR="008E13B9" w:rsidRPr="0000563D">
        <w:t>he</w:t>
      </w:r>
      <w:r w:rsidR="40A00EE6" w:rsidRPr="0000563D">
        <w:t>se</w:t>
      </w:r>
      <w:r w:rsidR="008E13B9" w:rsidRPr="0000563D">
        <w:t xml:space="preserve"> lack enforcement mechanisms to also ensure that industry complies with the measures – a fundamental element of a co</w:t>
      </w:r>
      <w:r w:rsidR="007A79C4" w:rsidRPr="0000563D">
        <w:t>-</w:t>
      </w:r>
      <w:r w:rsidR="008E13B9" w:rsidRPr="0000563D">
        <w:t>regulatory approach, especially in the regulation and enforcement of positive duties.</w:t>
      </w:r>
      <w:r w:rsidR="14E8588B" w:rsidRPr="0000563D">
        <w:t xml:space="preserve"> They also lack certification processes that provide business confidence in undertaking measures.</w:t>
      </w:r>
    </w:p>
    <w:p w14:paraId="31680F86" w14:textId="69FD0F70" w:rsidR="008E13B9" w:rsidRPr="0000563D" w:rsidRDefault="008E13B9" w:rsidP="008911EA">
      <w:r w:rsidRPr="0000563D">
        <w:t xml:space="preserve">In the context of the Disability Discrimination Act, the Commission recommended in </w:t>
      </w:r>
      <w:r w:rsidR="002D735B" w:rsidRPr="0000563D">
        <w:rPr>
          <w:rFonts w:eastAsia="Times New Roman"/>
        </w:rPr>
        <w:t xml:space="preserve">our </w:t>
      </w:r>
      <w:r w:rsidR="00674126" w:rsidRPr="0000563D">
        <w:t>Free &amp; Equal 2021 Position Paper</w:t>
      </w:r>
      <w:r w:rsidR="00674126" w:rsidRPr="0000563D" w:rsidDel="00674126">
        <w:t xml:space="preserve"> </w:t>
      </w:r>
      <w:r w:rsidRPr="0000563D">
        <w:t>the ability to certify special measures and an expanded role in relation to action plans.</w:t>
      </w:r>
    </w:p>
    <w:p w14:paraId="0028566F" w14:textId="77777777" w:rsidR="008E13B9" w:rsidRPr="0000563D" w:rsidRDefault="008E13B9" w:rsidP="00801E38">
      <w:pPr>
        <w:pStyle w:val="Heading3"/>
        <w:rPr>
          <w:rFonts w:cs="Open Sans"/>
        </w:rPr>
      </w:pPr>
      <w:r w:rsidRPr="006563DC">
        <w:rPr>
          <w:rFonts w:cs="Open Sans"/>
        </w:rPr>
        <w:t>Special measures</w:t>
      </w:r>
    </w:p>
    <w:p w14:paraId="32672417" w14:textId="72C671DD" w:rsidR="008E13B9" w:rsidRPr="0000563D" w:rsidRDefault="00874318" w:rsidP="008911EA">
      <w:r w:rsidRPr="0000563D">
        <w:t>A s</w:t>
      </w:r>
      <w:r w:rsidR="008E13B9" w:rsidRPr="0000563D">
        <w:t xml:space="preserve">pecial measure is </w:t>
      </w:r>
      <w:r w:rsidR="00634CE1" w:rsidRPr="0000563D">
        <w:t>a</w:t>
      </w:r>
      <w:r w:rsidR="008E13B9" w:rsidRPr="0000563D">
        <w:t xml:space="preserve"> positive action used to promote </w:t>
      </w:r>
      <w:r w:rsidR="63423E09" w:rsidRPr="0000563D">
        <w:t>e</w:t>
      </w:r>
      <w:r w:rsidR="008E13B9" w:rsidRPr="0000563D">
        <w:t>quality for disadvantage</w:t>
      </w:r>
      <w:r w:rsidR="758CC3D1" w:rsidRPr="0000563D">
        <w:t>d</w:t>
      </w:r>
      <w:r w:rsidR="008E13B9" w:rsidRPr="0000563D">
        <w:t xml:space="preserve"> groups</w:t>
      </w:r>
      <w:r w:rsidR="00634CE1" w:rsidRPr="0000563D">
        <w:t xml:space="preserve"> and, under section 45 of the Disability Discrimination Act, is not considered to be unlawful discrimination</w:t>
      </w:r>
      <w:r w:rsidR="008E13B9" w:rsidRPr="0000563D">
        <w:t xml:space="preserve">. </w:t>
      </w:r>
    </w:p>
    <w:p w14:paraId="17A7BB94" w14:textId="0019001F" w:rsidR="008E13B9" w:rsidRPr="0000563D" w:rsidRDefault="007A300C" w:rsidP="008911EA">
      <w:r w:rsidRPr="0000563D">
        <w:t xml:space="preserve">An example </w:t>
      </w:r>
      <w:r w:rsidR="008E13B9" w:rsidRPr="0000563D">
        <w:t>of a special measure under the Disability Discrimination Act would be a workplace setting a target of having a certain percentage of its workforce identify as having disability.</w:t>
      </w:r>
    </w:p>
    <w:p w14:paraId="18D3D3D7" w14:textId="67B372EB" w:rsidR="008E13B9" w:rsidRPr="0000563D" w:rsidRDefault="008E13B9" w:rsidP="008911EA">
      <w:r w:rsidRPr="0000563D">
        <w:t xml:space="preserve">Although it does not </w:t>
      </w:r>
      <w:r w:rsidR="00D15331" w:rsidRPr="0000563D">
        <w:t xml:space="preserve">prescribe </w:t>
      </w:r>
      <w:r w:rsidRPr="0000563D">
        <w:t xml:space="preserve">a definition for special measures, the Disability Discrimination Act provides </w:t>
      </w:r>
      <w:r w:rsidR="007B7E29" w:rsidRPr="0000563D">
        <w:t>that an act will be a special measure if it is reasonably intended to</w:t>
      </w:r>
      <w:r w:rsidRPr="0000563D">
        <w:t>:</w:t>
      </w:r>
    </w:p>
    <w:p w14:paraId="1172A5FE" w14:textId="6A4C99DB" w:rsidR="008E13B9" w:rsidRPr="0000563D" w:rsidRDefault="007B7E29" w:rsidP="00606A3C">
      <w:pPr>
        <w:pStyle w:val="ListParagraph"/>
        <w:numPr>
          <w:ilvl w:val="0"/>
          <w:numId w:val="13"/>
        </w:numPr>
      </w:pPr>
      <w:r w:rsidRPr="0000563D">
        <w:t>ensure</w:t>
      </w:r>
      <w:r w:rsidR="008E13B9" w:rsidRPr="0000563D">
        <w:t xml:space="preserve"> equal opportunities to people with disability</w:t>
      </w:r>
      <w:r w:rsidR="009F5F74" w:rsidRPr="0000563D">
        <w:t>,</w:t>
      </w:r>
      <w:r w:rsidR="008E13B9" w:rsidRPr="0000563D">
        <w:rPr>
          <w:rStyle w:val="EndnoteReference"/>
        </w:rPr>
        <w:endnoteReference w:id="206"/>
      </w:r>
      <w:r w:rsidR="008E13B9" w:rsidRPr="0000563D">
        <w:t xml:space="preserve"> </w:t>
      </w:r>
      <w:r w:rsidR="009F5F74" w:rsidRPr="0000563D">
        <w:t>or</w:t>
      </w:r>
    </w:p>
    <w:p w14:paraId="7656AE4D" w14:textId="17B74366" w:rsidR="008E13B9" w:rsidRPr="0000563D" w:rsidRDefault="008E13B9" w:rsidP="00606A3C">
      <w:pPr>
        <w:pStyle w:val="ListParagraph"/>
        <w:numPr>
          <w:ilvl w:val="0"/>
          <w:numId w:val="13"/>
        </w:numPr>
      </w:pPr>
      <w:r w:rsidRPr="0000563D">
        <w:t>meet the special needs of people with disability</w:t>
      </w:r>
      <w:r w:rsidR="00FF060A" w:rsidRPr="0000563D">
        <w:t xml:space="preserve"> in particular area</w:t>
      </w:r>
      <w:r w:rsidR="009F5F74" w:rsidRPr="0000563D">
        <w:t>s</w:t>
      </w:r>
      <w:r w:rsidRPr="0000563D">
        <w:t>.</w:t>
      </w:r>
      <w:r w:rsidRPr="0000563D">
        <w:rPr>
          <w:rStyle w:val="EndnoteReference"/>
        </w:rPr>
        <w:endnoteReference w:id="207"/>
      </w:r>
    </w:p>
    <w:p w14:paraId="7669C68A" w14:textId="570FB5C7" w:rsidR="008E13B9" w:rsidRPr="0000563D" w:rsidRDefault="008E13B9" w:rsidP="008911EA">
      <w:r w:rsidRPr="0000563D">
        <w:t xml:space="preserve">The Issues Paper seeks views on the addition of a definition of special measure in the Disability Discrimination Act but does not provide suggested wording </w:t>
      </w:r>
      <w:r w:rsidR="007F52C4" w:rsidRPr="0000563D">
        <w:t>for a</w:t>
      </w:r>
      <w:r w:rsidRPr="0000563D">
        <w:t xml:space="preserve"> definition. </w:t>
      </w:r>
    </w:p>
    <w:p w14:paraId="52F2A507" w14:textId="05564142" w:rsidR="008E13B9" w:rsidRPr="0000563D" w:rsidRDefault="008E13B9" w:rsidP="008911EA">
      <w:r w:rsidRPr="0000563D">
        <w:lastRenderedPageBreak/>
        <w:t xml:space="preserve">At present, the provisions around special measures in each of the </w:t>
      </w:r>
      <w:r w:rsidR="00BE4738" w:rsidRPr="0000563D">
        <w:t xml:space="preserve">4 </w:t>
      </w:r>
      <w:r w:rsidR="00A62EA3" w:rsidRPr="0000563D">
        <w:t>discrimination Acts</w:t>
      </w:r>
      <w:r w:rsidRPr="0000563D">
        <w:t xml:space="preserve"> differ from one another:</w:t>
      </w:r>
    </w:p>
    <w:p w14:paraId="41B1D1FD" w14:textId="69316D10" w:rsidR="008E13B9" w:rsidRPr="0000563D" w:rsidRDefault="008E13B9" w:rsidP="00606A3C">
      <w:pPr>
        <w:pStyle w:val="ListParagraph"/>
        <w:numPr>
          <w:ilvl w:val="0"/>
          <w:numId w:val="14"/>
        </w:numPr>
      </w:pPr>
      <w:r w:rsidRPr="0000563D">
        <w:t>The Disability Discrimination Act, as outlined above, allows for special measures that create equal opportunity or respond to special needs.</w:t>
      </w:r>
      <w:r w:rsidR="00942174" w:rsidRPr="0000563D">
        <w:rPr>
          <w:rStyle w:val="EndnoteReference"/>
        </w:rPr>
        <w:endnoteReference w:id="208"/>
      </w:r>
      <w:r w:rsidRPr="0000563D">
        <w:t xml:space="preserve"> </w:t>
      </w:r>
    </w:p>
    <w:p w14:paraId="5DD1A595" w14:textId="68441E6F" w:rsidR="008E13B9" w:rsidRPr="0000563D" w:rsidRDefault="008E13B9" w:rsidP="00606A3C">
      <w:pPr>
        <w:pStyle w:val="ListParagraph"/>
        <w:numPr>
          <w:ilvl w:val="0"/>
          <w:numId w:val="14"/>
        </w:numPr>
      </w:pPr>
      <w:r w:rsidRPr="0000563D">
        <w:t>The Age Discrimination Act allow</w:t>
      </w:r>
      <w:r w:rsidR="00CC0563" w:rsidRPr="0000563D">
        <w:t>s</w:t>
      </w:r>
      <w:r w:rsidRPr="0000563D">
        <w:t xml:space="preserve"> for ‘positive discrimination’ where this provides a bona fide benefit to persons of a particular age, meets an identified need for people of a certain age, or reduces disadvantage for people of a certain age.</w:t>
      </w:r>
      <w:r w:rsidRPr="0000563D">
        <w:rPr>
          <w:rStyle w:val="EndnoteReference"/>
        </w:rPr>
        <w:endnoteReference w:id="209"/>
      </w:r>
      <w:r w:rsidRPr="0000563D">
        <w:t xml:space="preserve"> </w:t>
      </w:r>
    </w:p>
    <w:p w14:paraId="4ECA3AB1" w14:textId="4EE25995" w:rsidR="008E13B9" w:rsidRPr="0000563D" w:rsidRDefault="008E13B9" w:rsidP="00606A3C">
      <w:pPr>
        <w:pStyle w:val="ListParagraph"/>
        <w:numPr>
          <w:ilvl w:val="0"/>
          <w:numId w:val="14"/>
        </w:numPr>
      </w:pPr>
      <w:r w:rsidRPr="0000563D">
        <w:t>The Rac</w:t>
      </w:r>
      <w:r w:rsidR="00060FF8" w:rsidRPr="0000563D">
        <w:t>ial</w:t>
      </w:r>
      <w:r w:rsidRPr="0000563D">
        <w:t xml:space="preserve"> Discrimination Act allows for special measures to be taken to foster greater racial equality, in line with purposes articulated in the CERD.</w:t>
      </w:r>
      <w:r w:rsidRPr="0000563D">
        <w:rPr>
          <w:rStyle w:val="EndnoteReference"/>
        </w:rPr>
        <w:endnoteReference w:id="210"/>
      </w:r>
    </w:p>
    <w:p w14:paraId="3F3A71EA" w14:textId="77777777" w:rsidR="008E13B9" w:rsidRPr="0000563D" w:rsidRDefault="008E13B9" w:rsidP="00606A3C">
      <w:pPr>
        <w:pStyle w:val="ListParagraph"/>
        <w:numPr>
          <w:ilvl w:val="0"/>
          <w:numId w:val="14"/>
        </w:numPr>
      </w:pPr>
      <w:r w:rsidRPr="0000563D">
        <w:t>The Sex Discrimination Act allows for special measures for the purpose of achieving substantive equality between certain groups specified in the law.</w:t>
      </w:r>
      <w:r w:rsidRPr="0000563D">
        <w:rPr>
          <w:rStyle w:val="EndnoteReference"/>
        </w:rPr>
        <w:endnoteReference w:id="211"/>
      </w:r>
    </w:p>
    <w:p w14:paraId="591E3B26" w14:textId="77777777" w:rsidR="005A76AC" w:rsidRPr="0000563D" w:rsidRDefault="005A76AC" w:rsidP="008911EA">
      <w:r w:rsidRPr="0000563D">
        <w:t>Despite their differences, all current provisions providing for special measures in the federal discrimination laws are focused on the intended outcome of ensuring substantive equality and are broad enough to provide some degree of liberty and discretion for duty holders as to what those actions might be. This is necessary to account for the different contexts and circumstances that duty holders are operating in.</w:t>
      </w:r>
    </w:p>
    <w:p w14:paraId="40310123" w14:textId="5912453C" w:rsidR="008E13B9" w:rsidRPr="0000563D" w:rsidRDefault="008E13B9" w:rsidP="008911EA">
      <w:r w:rsidRPr="0000563D">
        <w:t xml:space="preserve">The Commission is in favour of a clearer definition and </w:t>
      </w:r>
      <w:r w:rsidR="005328B1" w:rsidRPr="0000563D">
        <w:t xml:space="preserve">repeats the recommendation from the 2021 Free &amp; Equal Position Paper </w:t>
      </w:r>
      <w:r w:rsidRPr="0000563D">
        <w:t xml:space="preserve">that a consistent definition should be replicated across the </w:t>
      </w:r>
      <w:r w:rsidR="00BE4738" w:rsidRPr="0000563D">
        <w:t xml:space="preserve">4 </w:t>
      </w:r>
      <w:r w:rsidRPr="0000563D">
        <w:t xml:space="preserve">federal discrimination </w:t>
      </w:r>
      <w:r w:rsidR="00164757" w:rsidRPr="0000563D">
        <w:t>Acts</w:t>
      </w:r>
      <w:r w:rsidRPr="0000563D">
        <w:t xml:space="preserve">. </w:t>
      </w:r>
    </w:p>
    <w:p w14:paraId="33058178" w14:textId="5A26513E" w:rsidR="008E13B9" w:rsidRPr="0000563D" w:rsidRDefault="008E13B9" w:rsidP="1A6683D4">
      <w:pPr>
        <w:rPr>
          <w:b/>
          <w:bCs/>
        </w:rPr>
      </w:pPr>
      <w:r w:rsidRPr="0000563D">
        <w:rPr>
          <w:b/>
          <w:bCs/>
        </w:rPr>
        <w:t>Recommendation</w:t>
      </w:r>
      <w:r w:rsidR="00C3774D" w:rsidRPr="0000563D">
        <w:rPr>
          <w:b/>
          <w:bCs/>
        </w:rPr>
        <w:t xml:space="preserve"> </w:t>
      </w:r>
      <w:r w:rsidR="0048463E" w:rsidRPr="0000563D">
        <w:rPr>
          <w:b/>
          <w:bCs/>
        </w:rPr>
        <w:t>30</w:t>
      </w:r>
      <w:r w:rsidRPr="0000563D">
        <w:rPr>
          <w:b/>
          <w:bCs/>
        </w:rPr>
        <w:t xml:space="preserve">: Section </w:t>
      </w:r>
      <w:r w:rsidR="00F30B72" w:rsidRPr="0000563D">
        <w:rPr>
          <w:b/>
          <w:bCs/>
        </w:rPr>
        <w:t>45</w:t>
      </w:r>
      <w:r w:rsidRPr="0000563D">
        <w:rPr>
          <w:b/>
          <w:bCs/>
        </w:rPr>
        <w:t xml:space="preserve"> of the </w:t>
      </w:r>
      <w:r w:rsidRPr="0000563D">
        <w:rPr>
          <w:b/>
          <w:bCs/>
          <w:i/>
          <w:iCs/>
        </w:rPr>
        <w:t xml:space="preserve">Disability Discrimination Act </w:t>
      </w:r>
      <w:r w:rsidR="009F7F64" w:rsidRPr="0000563D">
        <w:rPr>
          <w:b/>
          <w:bCs/>
          <w:i/>
          <w:iCs/>
        </w:rPr>
        <w:t>1992</w:t>
      </w:r>
      <w:r w:rsidR="009F7F64" w:rsidRPr="0000563D">
        <w:rPr>
          <w:b/>
          <w:bCs/>
        </w:rPr>
        <w:t xml:space="preserve"> (</w:t>
      </w:r>
      <w:proofErr w:type="spellStart"/>
      <w:r w:rsidR="009F7F64" w:rsidRPr="0000563D">
        <w:rPr>
          <w:b/>
          <w:bCs/>
        </w:rPr>
        <w:t>Cth</w:t>
      </w:r>
      <w:proofErr w:type="spellEnd"/>
      <w:r w:rsidR="009F7F64" w:rsidRPr="0000563D">
        <w:rPr>
          <w:b/>
          <w:bCs/>
        </w:rPr>
        <w:t xml:space="preserve">) </w:t>
      </w:r>
      <w:r w:rsidRPr="0000563D">
        <w:rPr>
          <w:b/>
          <w:bCs/>
        </w:rPr>
        <w:t>should be amended to clarify that the interpretation of what amounts to a special measure be aligned with the understanding of this term under international law and</w:t>
      </w:r>
      <w:proofErr w:type="gramStart"/>
      <w:r w:rsidRPr="0000563D">
        <w:rPr>
          <w:b/>
          <w:bCs/>
        </w:rPr>
        <w:t>, in particular, that</w:t>
      </w:r>
      <w:proofErr w:type="gramEnd"/>
      <w:r w:rsidRPr="0000563D">
        <w:rPr>
          <w:b/>
          <w:bCs/>
        </w:rPr>
        <w:t xml:space="preserve"> special measures be construed as positive measures to address disability.  </w:t>
      </w:r>
    </w:p>
    <w:p w14:paraId="6BE5B467" w14:textId="0B07A945" w:rsidR="008D3EE8" w:rsidRPr="0000563D" w:rsidRDefault="008D3EE8" w:rsidP="008911EA">
      <w:r w:rsidRPr="0000563D">
        <w:t xml:space="preserve">The Issues Paper seeks views on whether the Commission should be granted powers to certify special measures. In </w:t>
      </w:r>
      <w:r w:rsidR="002D735B" w:rsidRPr="0000563D">
        <w:rPr>
          <w:rFonts w:eastAsia="Times New Roman"/>
        </w:rPr>
        <w:t xml:space="preserve">our </w:t>
      </w:r>
      <w:r w:rsidRPr="0000563D">
        <w:t xml:space="preserve">Free &amp; Equal 2021 Position Paper, the Commission recommended the introduction of such a certification power as a co-regulatory tool that could be exercised by the Commission. </w:t>
      </w:r>
    </w:p>
    <w:p w14:paraId="1623E122" w14:textId="66391423" w:rsidR="008E13B9" w:rsidRPr="0000563D" w:rsidRDefault="013A306B" w:rsidP="1A6683D4">
      <w:r w:rsidRPr="0000563D">
        <w:t>Currently, t</w:t>
      </w:r>
      <w:r w:rsidR="008E13B9" w:rsidRPr="0000563D">
        <w:t xml:space="preserve">he Commission does not have </w:t>
      </w:r>
      <w:r w:rsidR="4DF75DE5" w:rsidRPr="0000563D">
        <w:t xml:space="preserve">a </w:t>
      </w:r>
      <w:r w:rsidR="566F2178" w:rsidRPr="0000563D">
        <w:t xml:space="preserve">function </w:t>
      </w:r>
      <w:r w:rsidR="008E13B9" w:rsidRPr="0000563D">
        <w:t xml:space="preserve">to </w:t>
      </w:r>
      <w:r w:rsidR="43EFF642" w:rsidRPr="0000563D">
        <w:t xml:space="preserve">certify </w:t>
      </w:r>
      <w:r w:rsidR="008E13B9" w:rsidRPr="0000563D">
        <w:t>special measures</w:t>
      </w:r>
      <w:r w:rsidR="76AC527F" w:rsidRPr="0000563D">
        <w:t xml:space="preserve">. As noted above, businesses will occasionally request the Commission to grant a temporary exemption under discrimination law where they are intending to take actions that would be a special measure. The purpose of this request is to provide legal certainty that </w:t>
      </w:r>
      <w:r w:rsidR="0D22DE4B" w:rsidRPr="0000563D">
        <w:t>they will not be found in breach of the law by taking a measure to promote equality.</w:t>
      </w:r>
    </w:p>
    <w:p w14:paraId="3BF1396D" w14:textId="3433E3C4" w:rsidR="008E13B9" w:rsidRPr="0000563D" w:rsidRDefault="0D22DE4B" w:rsidP="1A6683D4">
      <w:r w:rsidRPr="0000563D">
        <w:t xml:space="preserve">The Commission routinely denies such requests as they are not within the scope of </w:t>
      </w:r>
      <w:r w:rsidR="002D735B" w:rsidRPr="0000563D">
        <w:t xml:space="preserve">our </w:t>
      </w:r>
      <w:r w:rsidRPr="0000563D">
        <w:t xml:space="preserve">powers to grant exemptions. </w:t>
      </w:r>
    </w:p>
    <w:p w14:paraId="5FBC85B2" w14:textId="044FEEF0" w:rsidR="008E13B9" w:rsidRPr="0000563D" w:rsidRDefault="008E13B9" w:rsidP="008911EA">
      <w:r w:rsidRPr="0000563D">
        <w:lastRenderedPageBreak/>
        <w:t xml:space="preserve">Submissions to </w:t>
      </w:r>
      <w:r w:rsidR="00F97854" w:rsidRPr="0000563D">
        <w:t xml:space="preserve">the Commission in </w:t>
      </w:r>
      <w:r w:rsidR="00620C89" w:rsidRPr="0000563D">
        <w:rPr>
          <w:rFonts w:eastAsia="Times New Roman"/>
        </w:rPr>
        <w:t xml:space="preserve">our </w:t>
      </w:r>
      <w:r w:rsidR="00FA082D" w:rsidRPr="0000563D">
        <w:t>Free &amp; Equal 2021 Position Paper</w:t>
      </w:r>
      <w:r w:rsidR="00FA082D" w:rsidRPr="0000563D" w:rsidDel="00FA082D">
        <w:t xml:space="preserve"> </w:t>
      </w:r>
      <w:r w:rsidR="00DE137E" w:rsidRPr="0000563D">
        <w:t>received</w:t>
      </w:r>
      <w:r w:rsidRPr="0000563D">
        <w:t xml:space="preserve"> from the business sector suppo</w:t>
      </w:r>
      <w:r w:rsidR="00676722" w:rsidRPr="0000563D">
        <w:t xml:space="preserve">rted </w:t>
      </w:r>
      <w:r w:rsidRPr="0000563D">
        <w:t>introduc</w:t>
      </w:r>
      <w:r w:rsidR="00EF2282" w:rsidRPr="0000563D">
        <w:t>ing</w:t>
      </w:r>
      <w:r w:rsidRPr="0000563D">
        <w:t xml:space="preserve"> a certification power and noted that the absence of a compliance function for the Commission to issue special measures certifications contributes to greater uncertainty about the operation of the law</w:t>
      </w:r>
      <w:r w:rsidR="00C31FBC" w:rsidRPr="0000563D">
        <w:t>.</w:t>
      </w:r>
      <w:r w:rsidRPr="0000563D">
        <w:t xml:space="preserve"> </w:t>
      </w:r>
    </w:p>
    <w:p w14:paraId="07C59F98" w14:textId="1A020777" w:rsidR="008E13B9" w:rsidRPr="0000563D" w:rsidRDefault="00C31FBC" w:rsidP="008911EA">
      <w:r w:rsidRPr="0000563D">
        <w:t>This</w:t>
      </w:r>
      <w:r w:rsidR="008E13B9" w:rsidRPr="0000563D">
        <w:t xml:space="preserve"> potentially affects the willingness of </w:t>
      </w:r>
      <w:r w:rsidR="00A47F24" w:rsidRPr="0000563D">
        <w:t>duty holder</w:t>
      </w:r>
      <w:r w:rsidR="00A51373" w:rsidRPr="0000563D">
        <w:t>s</w:t>
      </w:r>
      <w:r w:rsidR="00A47F24" w:rsidRPr="0000563D">
        <w:t xml:space="preserve"> </w:t>
      </w:r>
      <w:r w:rsidR="008E13B9" w:rsidRPr="0000563D">
        <w:t>to take positive measures to promote equality and eliminate discrimination due to concerns that they may have discrimination actions brought against them.</w:t>
      </w:r>
      <w:r w:rsidR="008E13B9" w:rsidRPr="0000563D">
        <w:rPr>
          <w:rStyle w:val="EndnoteReference"/>
        </w:rPr>
        <w:endnoteReference w:id="212"/>
      </w:r>
    </w:p>
    <w:p w14:paraId="43883BAC" w14:textId="5AE50F49" w:rsidR="008E13B9" w:rsidRPr="0000563D" w:rsidRDefault="008E13B9" w:rsidP="008911EA">
      <w:r w:rsidRPr="0000563D">
        <w:t>Industry groups consulted in F</w:t>
      </w:r>
      <w:r w:rsidR="00E068B6" w:rsidRPr="0000563D">
        <w:t xml:space="preserve">ree </w:t>
      </w:r>
      <w:r w:rsidRPr="0000563D">
        <w:t>&amp;</w:t>
      </w:r>
      <w:r w:rsidR="00E068B6" w:rsidRPr="0000563D">
        <w:t xml:space="preserve"> </w:t>
      </w:r>
      <w:r w:rsidRPr="0000563D">
        <w:t>E</w:t>
      </w:r>
      <w:r w:rsidR="00E068B6" w:rsidRPr="0000563D">
        <w:t>qual</w:t>
      </w:r>
      <w:r w:rsidRPr="0000563D">
        <w:t xml:space="preserve"> were in favour of certification, </w:t>
      </w:r>
      <w:proofErr w:type="gramStart"/>
      <w:r w:rsidR="00FB0BC5" w:rsidRPr="0000563D">
        <w:t>provided that</w:t>
      </w:r>
      <w:proofErr w:type="gramEnd"/>
      <w:r w:rsidRPr="0000563D">
        <w:t xml:space="preserve"> it was voluntary and that there was no disadvantage </w:t>
      </w:r>
      <w:r w:rsidR="00FB0BC5" w:rsidRPr="0000563D">
        <w:t>f</w:t>
      </w:r>
      <w:r w:rsidR="005B541F" w:rsidRPr="0000563D">
        <w:t xml:space="preserve">or a </w:t>
      </w:r>
      <w:r w:rsidR="00CE7F87" w:rsidRPr="0000563D">
        <w:t xml:space="preserve">duty holder </w:t>
      </w:r>
      <w:r w:rsidR="005B541F" w:rsidRPr="0000563D">
        <w:t>not obtaining a</w:t>
      </w:r>
      <w:r w:rsidRPr="0000563D">
        <w:t xml:space="preserve"> certificate.</w:t>
      </w:r>
    </w:p>
    <w:p w14:paraId="5C660AD4" w14:textId="098E2B62" w:rsidR="008E13B9" w:rsidRPr="0000563D" w:rsidRDefault="008E13B9" w:rsidP="008911EA">
      <w:r w:rsidRPr="0000563D">
        <w:t xml:space="preserve">The Commission repeats the recommendation </w:t>
      </w:r>
      <w:r w:rsidR="005B541F" w:rsidRPr="0000563D">
        <w:t xml:space="preserve">it </w:t>
      </w:r>
      <w:r w:rsidRPr="0000563D">
        <w:t xml:space="preserve">made in </w:t>
      </w:r>
      <w:r w:rsidR="005B541F" w:rsidRPr="0000563D">
        <w:t>Reform 11 of</w:t>
      </w:r>
      <w:r w:rsidR="00FA082D" w:rsidRPr="0000563D">
        <w:t xml:space="preserve"> </w:t>
      </w:r>
      <w:r w:rsidR="00620C89" w:rsidRPr="0000563D">
        <w:rPr>
          <w:rFonts w:eastAsia="Times New Roman"/>
        </w:rPr>
        <w:t xml:space="preserve">our </w:t>
      </w:r>
      <w:r w:rsidR="00FA082D" w:rsidRPr="0000563D">
        <w:t>Free &amp; Equal 2021 Position Paper</w:t>
      </w:r>
      <w:r w:rsidR="00995D8C" w:rsidRPr="0000563D">
        <w:t>, which applied to all federal discrimination law</w:t>
      </w:r>
      <w:r w:rsidR="008A46FC" w:rsidRPr="0000563D">
        <w:t>s</w:t>
      </w:r>
      <w:r w:rsidR="00995D8C" w:rsidRPr="0000563D">
        <w:t>.</w:t>
      </w:r>
    </w:p>
    <w:p w14:paraId="51BA3C95" w14:textId="2E22F8F0" w:rsidR="008E13B9" w:rsidRPr="0000563D" w:rsidRDefault="008E13B9" w:rsidP="1A6683D4">
      <w:pPr>
        <w:rPr>
          <w:b/>
          <w:bCs/>
        </w:rPr>
      </w:pPr>
      <w:r w:rsidRPr="0000563D">
        <w:rPr>
          <w:b/>
          <w:bCs/>
        </w:rPr>
        <w:t>Recommendation</w:t>
      </w:r>
      <w:r w:rsidR="00C3774D" w:rsidRPr="0000563D">
        <w:rPr>
          <w:b/>
          <w:bCs/>
        </w:rPr>
        <w:t xml:space="preserve"> 3</w:t>
      </w:r>
      <w:r w:rsidR="008C1DE4" w:rsidRPr="0000563D">
        <w:rPr>
          <w:b/>
          <w:bCs/>
        </w:rPr>
        <w:t>1</w:t>
      </w:r>
      <w:r w:rsidRPr="0000563D">
        <w:rPr>
          <w:b/>
          <w:bCs/>
        </w:rPr>
        <w:t xml:space="preserve">: </w:t>
      </w:r>
      <w:r w:rsidR="00995D8C" w:rsidRPr="0000563D">
        <w:rPr>
          <w:b/>
          <w:bCs/>
        </w:rPr>
        <w:t xml:space="preserve">The </w:t>
      </w:r>
      <w:r w:rsidR="00995D8C" w:rsidRPr="0000563D">
        <w:rPr>
          <w:b/>
          <w:bCs/>
          <w:i/>
          <w:iCs/>
        </w:rPr>
        <w:t>Disability Discrimination Act</w:t>
      </w:r>
      <w:r w:rsidR="00995D8C" w:rsidRPr="0000563D">
        <w:rPr>
          <w:b/>
          <w:bCs/>
        </w:rPr>
        <w:t xml:space="preserve"> (1992)</w:t>
      </w:r>
      <w:r w:rsidRPr="0000563D">
        <w:rPr>
          <w:b/>
          <w:bCs/>
        </w:rPr>
        <w:t xml:space="preserve"> should be amended to</w:t>
      </w:r>
      <w:r w:rsidR="005B541F" w:rsidRPr="0000563D">
        <w:rPr>
          <w:b/>
          <w:bCs/>
        </w:rPr>
        <w:t>:</w:t>
      </w:r>
    </w:p>
    <w:p w14:paraId="70B30A99" w14:textId="7B142463" w:rsidR="008E13B9" w:rsidRPr="0000563D" w:rsidRDefault="44BF6816" w:rsidP="00606A3C">
      <w:pPr>
        <w:pStyle w:val="ListParagraph"/>
        <w:numPr>
          <w:ilvl w:val="0"/>
          <w:numId w:val="15"/>
        </w:numPr>
        <w:rPr>
          <w:b/>
          <w:bCs/>
        </w:rPr>
      </w:pPr>
      <w:r w:rsidRPr="0000563D">
        <w:rPr>
          <w:b/>
          <w:bCs/>
        </w:rPr>
        <w:t xml:space="preserve">provide </w:t>
      </w:r>
      <w:r w:rsidR="008E13B9" w:rsidRPr="0000563D">
        <w:rPr>
          <w:b/>
          <w:bCs/>
        </w:rPr>
        <w:t>the Australian Human Rights Commission a power to issue special measures certification</w:t>
      </w:r>
      <w:r w:rsidR="006D79E5" w:rsidRPr="0000563D">
        <w:rPr>
          <w:b/>
          <w:bCs/>
        </w:rPr>
        <w:t>, as administrative decisions, subject to administrative review</w:t>
      </w:r>
    </w:p>
    <w:p w14:paraId="3FDD4136" w14:textId="4E68ED9B" w:rsidR="006D79E5" w:rsidRPr="0000563D" w:rsidRDefault="006D79E5" w:rsidP="00606A3C">
      <w:pPr>
        <w:pStyle w:val="ListParagraph"/>
        <w:numPr>
          <w:ilvl w:val="0"/>
          <w:numId w:val="15"/>
        </w:numPr>
        <w:rPr>
          <w:b/>
          <w:bCs/>
        </w:rPr>
      </w:pPr>
      <w:r w:rsidRPr="0000563D">
        <w:rPr>
          <w:b/>
          <w:bCs/>
        </w:rPr>
        <w:t>empower the Commission to consult with relevant stakeholders when deliberating on whether to certify a special measure</w:t>
      </w:r>
    </w:p>
    <w:p w14:paraId="1FAA940F" w14:textId="2088400F" w:rsidR="008E13B9" w:rsidRPr="0000563D" w:rsidRDefault="00995D8C" w:rsidP="00606A3C">
      <w:pPr>
        <w:pStyle w:val="ListParagraph"/>
        <w:numPr>
          <w:ilvl w:val="0"/>
          <w:numId w:val="15"/>
        </w:numPr>
        <w:rPr>
          <w:b/>
          <w:bCs/>
        </w:rPr>
      </w:pPr>
      <w:r w:rsidRPr="0000563D">
        <w:rPr>
          <w:b/>
          <w:bCs/>
        </w:rPr>
        <w:t>l</w:t>
      </w:r>
      <w:r w:rsidR="008E13B9" w:rsidRPr="0000563D">
        <w:rPr>
          <w:b/>
          <w:bCs/>
        </w:rPr>
        <w:t xml:space="preserve">imit certification for a period up to </w:t>
      </w:r>
      <w:r w:rsidR="00811F0D" w:rsidRPr="0000563D">
        <w:rPr>
          <w:b/>
          <w:bCs/>
        </w:rPr>
        <w:t xml:space="preserve">5 </w:t>
      </w:r>
      <w:r w:rsidR="008E13B9" w:rsidRPr="0000563D">
        <w:rPr>
          <w:b/>
          <w:bCs/>
        </w:rPr>
        <w:t xml:space="preserve">years </w:t>
      </w:r>
    </w:p>
    <w:p w14:paraId="6DFEBC51" w14:textId="260E3F71" w:rsidR="008E13B9" w:rsidRPr="0000563D" w:rsidRDefault="006D79E5" w:rsidP="00606A3C">
      <w:pPr>
        <w:pStyle w:val="ListParagraph"/>
        <w:numPr>
          <w:ilvl w:val="0"/>
          <w:numId w:val="15"/>
        </w:numPr>
        <w:rPr>
          <w:b/>
          <w:bCs/>
        </w:rPr>
      </w:pPr>
      <w:r w:rsidRPr="0000563D">
        <w:rPr>
          <w:b/>
          <w:bCs/>
        </w:rPr>
        <w:t>maintain c</w:t>
      </w:r>
      <w:r w:rsidR="008E13B9" w:rsidRPr="0000563D">
        <w:rPr>
          <w:b/>
          <w:bCs/>
        </w:rPr>
        <w:t xml:space="preserve">ertification </w:t>
      </w:r>
      <w:r w:rsidRPr="0000563D">
        <w:rPr>
          <w:b/>
          <w:bCs/>
        </w:rPr>
        <w:t>as</w:t>
      </w:r>
      <w:r w:rsidR="008E13B9" w:rsidRPr="0000563D">
        <w:rPr>
          <w:b/>
          <w:bCs/>
        </w:rPr>
        <w:t xml:space="preserve"> voluntary, with </w:t>
      </w:r>
      <w:r w:rsidR="00A47F24" w:rsidRPr="0000563D">
        <w:rPr>
          <w:b/>
          <w:bCs/>
        </w:rPr>
        <w:t xml:space="preserve">duty holders </w:t>
      </w:r>
      <w:r w:rsidR="008E13B9" w:rsidRPr="0000563D">
        <w:rPr>
          <w:b/>
          <w:bCs/>
        </w:rPr>
        <w:t xml:space="preserve">able to rely on existing provisions </w:t>
      </w:r>
    </w:p>
    <w:p w14:paraId="0A7EA1F2" w14:textId="64275B01" w:rsidR="00835068" w:rsidRPr="0000563D" w:rsidRDefault="00835068" w:rsidP="00606A3C">
      <w:pPr>
        <w:pStyle w:val="ListParagraph"/>
        <w:numPr>
          <w:ilvl w:val="0"/>
          <w:numId w:val="15"/>
        </w:numPr>
        <w:rPr>
          <w:b/>
          <w:bCs/>
        </w:rPr>
      </w:pPr>
      <w:r w:rsidRPr="0000563D">
        <w:rPr>
          <w:b/>
          <w:bCs/>
        </w:rPr>
        <w:t>limit t</w:t>
      </w:r>
      <w:r w:rsidR="008E13B9" w:rsidRPr="0000563D">
        <w:rPr>
          <w:b/>
          <w:bCs/>
        </w:rPr>
        <w:t xml:space="preserve">he certification power </w:t>
      </w:r>
      <w:proofErr w:type="gramStart"/>
      <w:r w:rsidRPr="0000563D">
        <w:rPr>
          <w:b/>
          <w:bCs/>
        </w:rPr>
        <w:t>so as to</w:t>
      </w:r>
      <w:proofErr w:type="gramEnd"/>
      <w:r w:rsidRPr="0000563D">
        <w:rPr>
          <w:b/>
          <w:bCs/>
        </w:rPr>
        <w:t xml:space="preserve"> </w:t>
      </w:r>
      <w:r w:rsidR="008E13B9" w:rsidRPr="0000563D">
        <w:rPr>
          <w:b/>
          <w:bCs/>
        </w:rPr>
        <w:t>not extend to the certification of legislative provisions as special measures.</w:t>
      </w:r>
    </w:p>
    <w:p w14:paraId="3A4AE311" w14:textId="4EC4E718" w:rsidR="20847194" w:rsidRPr="0000563D" w:rsidRDefault="20847194" w:rsidP="1A6683D4">
      <w:r w:rsidRPr="0000563D">
        <w:t xml:space="preserve">Such a certification process requires resourcing. The Commission would likely develop guidelines under the Disability Discrimination Act on the application of special measures provisions in different settings, as well as develop tools for industry to assist </w:t>
      </w:r>
      <w:r w:rsidR="0064485B" w:rsidRPr="0000563D">
        <w:t>in</w:t>
      </w:r>
      <w:r w:rsidRPr="0000563D">
        <w:t xml:space="preserve"> deliberation</w:t>
      </w:r>
      <w:r w:rsidR="0064485B" w:rsidRPr="0000563D">
        <w:t>s</w:t>
      </w:r>
      <w:r w:rsidRPr="0000563D">
        <w:t xml:space="preserve"> on whether to adopt measures.</w:t>
      </w:r>
    </w:p>
    <w:p w14:paraId="0C939CE0" w14:textId="35BDD2EC" w:rsidR="20847194" w:rsidRPr="0000563D" w:rsidRDefault="20847194" w:rsidP="1A6683D4">
      <w:r w:rsidRPr="0000563D">
        <w:t>The Commission would need to be resourced to undertake this guidance and educative work, as well as to process special measures certification requests.</w:t>
      </w:r>
    </w:p>
    <w:p w14:paraId="2716FBB6" w14:textId="0EB4DAB8" w:rsidR="20847194" w:rsidRPr="0000563D" w:rsidRDefault="20847194" w:rsidP="1A6683D4">
      <w:pPr>
        <w:rPr>
          <w:b/>
          <w:bCs/>
        </w:rPr>
      </w:pPr>
      <w:r w:rsidRPr="0000563D">
        <w:rPr>
          <w:b/>
          <w:bCs/>
        </w:rPr>
        <w:t>Recommendation</w:t>
      </w:r>
      <w:r w:rsidR="00C3774D" w:rsidRPr="0000563D">
        <w:rPr>
          <w:b/>
          <w:bCs/>
        </w:rPr>
        <w:t xml:space="preserve"> 3</w:t>
      </w:r>
      <w:r w:rsidR="008B3EE2" w:rsidRPr="0000563D">
        <w:rPr>
          <w:b/>
          <w:bCs/>
        </w:rPr>
        <w:t>2</w:t>
      </w:r>
      <w:r w:rsidRPr="0000563D">
        <w:rPr>
          <w:b/>
          <w:bCs/>
        </w:rPr>
        <w:t>: The Australian Human Rights Commission</w:t>
      </w:r>
      <w:r w:rsidR="004115A1" w:rsidRPr="0000563D">
        <w:rPr>
          <w:b/>
          <w:bCs/>
        </w:rPr>
        <w:t xml:space="preserve"> should</w:t>
      </w:r>
      <w:r w:rsidRPr="0000563D">
        <w:rPr>
          <w:b/>
          <w:bCs/>
        </w:rPr>
        <w:t xml:space="preserve"> be</w:t>
      </w:r>
      <w:r w:rsidR="004115A1" w:rsidRPr="0000563D">
        <w:rPr>
          <w:b/>
          <w:bCs/>
        </w:rPr>
        <w:t xml:space="preserve"> adequately</w:t>
      </w:r>
      <w:r w:rsidRPr="0000563D">
        <w:rPr>
          <w:b/>
          <w:bCs/>
        </w:rPr>
        <w:t xml:space="preserve"> resourced to promote understanding of special measures</w:t>
      </w:r>
      <w:r w:rsidR="0064485B" w:rsidRPr="0000563D">
        <w:rPr>
          <w:b/>
          <w:bCs/>
        </w:rPr>
        <w:t xml:space="preserve"> under the </w:t>
      </w:r>
      <w:r w:rsidR="0064485B" w:rsidRPr="0000563D">
        <w:rPr>
          <w:b/>
          <w:bCs/>
          <w:i/>
          <w:iCs/>
        </w:rPr>
        <w:t>Disability Discrimination Act 1992</w:t>
      </w:r>
      <w:r w:rsidR="0064485B" w:rsidRPr="0000563D">
        <w:rPr>
          <w:b/>
          <w:bCs/>
        </w:rPr>
        <w:t xml:space="preserve"> (</w:t>
      </w:r>
      <w:proofErr w:type="spellStart"/>
      <w:r w:rsidR="0064485B" w:rsidRPr="0000563D">
        <w:rPr>
          <w:b/>
          <w:bCs/>
        </w:rPr>
        <w:t>Cth</w:t>
      </w:r>
      <w:proofErr w:type="spellEnd"/>
      <w:r w:rsidR="0064485B" w:rsidRPr="0000563D">
        <w:rPr>
          <w:b/>
          <w:bCs/>
        </w:rPr>
        <w:t>)</w:t>
      </w:r>
      <w:r w:rsidRPr="0000563D">
        <w:rPr>
          <w:b/>
          <w:bCs/>
        </w:rPr>
        <w:t xml:space="preserve"> as well as to process applications.</w:t>
      </w:r>
    </w:p>
    <w:p w14:paraId="2ECA6789" w14:textId="6F4C9686" w:rsidR="008E13B9" w:rsidRPr="0000563D" w:rsidRDefault="008E13B9" w:rsidP="00D368E5">
      <w:pPr>
        <w:pStyle w:val="Heading3"/>
        <w:rPr>
          <w:rFonts w:cs="Open Sans"/>
        </w:rPr>
      </w:pPr>
      <w:r w:rsidRPr="0000563D">
        <w:rPr>
          <w:rFonts w:cs="Open Sans"/>
        </w:rPr>
        <w:t>Disability Action Plans</w:t>
      </w:r>
    </w:p>
    <w:p w14:paraId="25F2CC16" w14:textId="54CEB132" w:rsidR="008E13B9" w:rsidRPr="0000563D" w:rsidRDefault="008E13B9" w:rsidP="008911EA">
      <w:r w:rsidRPr="0000563D">
        <w:t xml:space="preserve">Action Plans under the Disability Discrimination Act (Disability Action Plans) are voluntary documents created by duty holders to provide a framework for how </w:t>
      </w:r>
      <w:r w:rsidR="00835068" w:rsidRPr="0000563D">
        <w:lastRenderedPageBreak/>
        <w:t>their organisation</w:t>
      </w:r>
      <w:r w:rsidRPr="0000563D">
        <w:t xml:space="preserve"> will achieve the objects of the Act.</w:t>
      </w:r>
      <w:r w:rsidR="00835068" w:rsidRPr="0000563D">
        <w:rPr>
          <w:rStyle w:val="EndnoteReference"/>
        </w:rPr>
        <w:t xml:space="preserve"> </w:t>
      </w:r>
      <w:r w:rsidR="00835068" w:rsidRPr="0000563D">
        <w:rPr>
          <w:rStyle w:val="EndnoteReference"/>
        </w:rPr>
        <w:endnoteReference w:id="213"/>
      </w:r>
      <w:r w:rsidR="00835068" w:rsidRPr="0000563D">
        <w:t xml:space="preserve"> </w:t>
      </w:r>
      <w:r w:rsidRPr="0000563D">
        <w:t>Disability Action Plans usually include proactive measures that strive towards the elimination of discrimination.</w:t>
      </w:r>
    </w:p>
    <w:p w14:paraId="3A93C963" w14:textId="77777777" w:rsidR="002A3554" w:rsidRPr="0000563D" w:rsidRDefault="002A3554" w:rsidP="008911EA">
      <w:pPr>
        <w:rPr>
          <w:highlight w:val="yellow"/>
        </w:rPr>
      </w:pPr>
      <w:r w:rsidRPr="0000563D">
        <w:t>Duty holders have the option to register their Disability Action Plans with the Commission.</w:t>
      </w:r>
      <w:r w:rsidRPr="0000563D">
        <w:rPr>
          <w:rStyle w:val="EndnoteReference"/>
        </w:rPr>
        <w:endnoteReference w:id="214"/>
      </w:r>
      <w:r w:rsidRPr="0000563D">
        <w:t xml:space="preserve"> If this occurs, the Commission must make a copy of the Disability Action Plan available to the public.</w:t>
      </w:r>
      <w:r w:rsidRPr="0000563D">
        <w:rPr>
          <w:rStyle w:val="EndnoteReference"/>
        </w:rPr>
        <w:endnoteReference w:id="215"/>
      </w:r>
      <w:r w:rsidRPr="0000563D">
        <w:t xml:space="preserve"> </w:t>
      </w:r>
    </w:p>
    <w:p w14:paraId="6E8C2F3F" w14:textId="4814903D" w:rsidR="008E13B9" w:rsidRPr="0000563D" w:rsidRDefault="008E13B9" w:rsidP="008911EA">
      <w:r w:rsidRPr="0000563D">
        <w:t>The Disability Discrimination Act sets minimum provisions that must be included in Disability Action Plans</w:t>
      </w:r>
      <w:r w:rsidRPr="0000563D">
        <w:rPr>
          <w:rStyle w:val="EndnoteReference"/>
        </w:rPr>
        <w:endnoteReference w:id="216"/>
      </w:r>
      <w:r w:rsidRPr="0000563D">
        <w:t xml:space="preserve"> but</w:t>
      </w:r>
      <w:r w:rsidR="00BC0CDF" w:rsidRPr="0000563D">
        <w:t>,</w:t>
      </w:r>
      <w:r w:rsidRPr="0000563D">
        <w:t xml:space="preserve"> as voluntary and non-binding documents, there is no mechanism for the Commission to hold duty holders to account </w:t>
      </w:r>
      <w:r w:rsidR="000F3762" w:rsidRPr="0000563D">
        <w:t xml:space="preserve">for </w:t>
      </w:r>
      <w:r w:rsidRPr="0000563D">
        <w:t xml:space="preserve">commitments made. The Commission has no legislated role in assessing the rigour of Disability Action Plans or to monitor or evaluate the implementation of a Disability Action Plan to ensure they adhere to any minimum standards. </w:t>
      </w:r>
    </w:p>
    <w:p w14:paraId="12FD7A20" w14:textId="6F2FC545" w:rsidR="008E13B9" w:rsidRPr="0000563D" w:rsidRDefault="008E13B9" w:rsidP="008911EA">
      <w:r w:rsidRPr="0000563D">
        <w:t>Disability Action Plans may be a relevant factor in a court’s consideration of whether the defence of unjustifiable hardship appl</w:t>
      </w:r>
      <w:r w:rsidR="00043B7B" w:rsidRPr="0000563D">
        <w:t>ies</w:t>
      </w:r>
      <w:r w:rsidRPr="0000563D">
        <w:t xml:space="preserve"> to a claim of unlawful discrimination under the Disability Discrimination Act.</w:t>
      </w:r>
      <w:r w:rsidRPr="0000563D">
        <w:rPr>
          <w:rStyle w:val="EndnoteReference"/>
        </w:rPr>
        <w:endnoteReference w:id="217"/>
      </w:r>
    </w:p>
    <w:p w14:paraId="1EFFFA38" w14:textId="0BA48A2D" w:rsidR="008E13B9" w:rsidRPr="0000563D" w:rsidRDefault="008E13B9" w:rsidP="008911EA">
      <w:r w:rsidRPr="0000563D">
        <w:t>There are over 650 Disability Action Plans registered with the Commission.</w:t>
      </w:r>
      <w:r w:rsidRPr="0000563D">
        <w:rPr>
          <w:rStyle w:val="EndnoteReference"/>
        </w:rPr>
        <w:endnoteReference w:id="218"/>
      </w:r>
      <w:r w:rsidRPr="0000563D">
        <w:t xml:space="preserve"> However, the Commission observes that </w:t>
      </w:r>
      <w:r w:rsidR="64CE919B" w:rsidRPr="0000563D">
        <w:t xml:space="preserve">many </w:t>
      </w:r>
      <w:r w:rsidRPr="0000563D">
        <w:t>of these are out of date due to the absence of a requirement for Disability Action Plans to cover a specified duration or to be updated on a periodic basis.</w:t>
      </w:r>
    </w:p>
    <w:p w14:paraId="19E6A566" w14:textId="5F531F2F" w:rsidR="008E13B9" w:rsidRPr="0000563D" w:rsidRDefault="008E13B9" w:rsidP="008911EA">
      <w:r w:rsidRPr="0000563D">
        <w:t xml:space="preserve">The proposals in the Issues Paper for enhancements to the Disability Discrimination Act Action Plan provisions are those that were put forward </w:t>
      </w:r>
      <w:r w:rsidR="007959C1" w:rsidRPr="0000563D">
        <w:t xml:space="preserve">in </w:t>
      </w:r>
      <w:r w:rsidRPr="0000563D">
        <w:t>the</w:t>
      </w:r>
      <w:r w:rsidR="00FA082D" w:rsidRPr="0000563D">
        <w:rPr>
          <w:rFonts w:eastAsia="Times New Roman"/>
        </w:rPr>
        <w:t xml:space="preserve"> </w:t>
      </w:r>
      <w:r w:rsidR="00FA082D" w:rsidRPr="0000563D">
        <w:t>Free &amp; Equal 2021 Position Paper</w:t>
      </w:r>
      <w:r w:rsidR="00FA082D" w:rsidRPr="0000563D" w:rsidDel="00FA082D">
        <w:t xml:space="preserve"> </w:t>
      </w:r>
      <w:r w:rsidRPr="0000563D">
        <w:t xml:space="preserve">as co-regulatory measures </w:t>
      </w:r>
      <w:r w:rsidR="007959C1" w:rsidRPr="0000563D">
        <w:t xml:space="preserve">that should be </w:t>
      </w:r>
      <w:r w:rsidRPr="0000563D">
        <w:t xml:space="preserve">attached to a positive duty. </w:t>
      </w:r>
    </w:p>
    <w:p w14:paraId="5D2EF0DC" w14:textId="4B377BEA" w:rsidR="008E13B9" w:rsidRPr="0000563D" w:rsidRDefault="008E13B9" w:rsidP="008911EA">
      <w:r w:rsidRPr="0000563D">
        <w:t xml:space="preserve">The Commission maintains </w:t>
      </w:r>
      <w:r w:rsidR="00620C89" w:rsidRPr="0000563D">
        <w:t xml:space="preserve">our </w:t>
      </w:r>
      <w:r w:rsidRPr="0000563D">
        <w:t xml:space="preserve">view that these amendments would support </w:t>
      </w:r>
      <w:r w:rsidR="005A005A" w:rsidRPr="0000563D">
        <w:t xml:space="preserve">duty holders </w:t>
      </w:r>
      <w:r w:rsidRPr="0000563D">
        <w:t>in their implementation of a positive duty, including by making known their commitments to</w:t>
      </w:r>
      <w:r w:rsidR="007959C1" w:rsidRPr="0000563D">
        <w:t>wards</w:t>
      </w:r>
      <w:r w:rsidRPr="0000563D">
        <w:t xml:space="preserve"> building a culture that aims to prevent and eliminate discrimination.</w:t>
      </w:r>
      <w:r w:rsidRPr="0000563D">
        <w:rPr>
          <w:rStyle w:val="EndnoteReference"/>
        </w:rPr>
        <w:endnoteReference w:id="219"/>
      </w:r>
      <w:r w:rsidRPr="0000563D">
        <w:t xml:space="preserve"> </w:t>
      </w:r>
    </w:p>
    <w:p w14:paraId="6CDB22CD" w14:textId="01948630" w:rsidR="008E13B9" w:rsidRPr="0000563D" w:rsidRDefault="0B6830CD" w:rsidP="1A6683D4">
      <w:r w:rsidRPr="0000563D">
        <w:t>R</w:t>
      </w:r>
      <w:r w:rsidR="008E13B9" w:rsidRPr="0000563D">
        <w:t xml:space="preserve">equirements </w:t>
      </w:r>
      <w:r w:rsidR="7BAB3B4E" w:rsidRPr="0000563D">
        <w:t xml:space="preserve">for </w:t>
      </w:r>
      <w:r w:rsidR="00E134AF" w:rsidRPr="0000563D">
        <w:t xml:space="preserve">Disability </w:t>
      </w:r>
      <w:r w:rsidR="7BAB3B4E" w:rsidRPr="0000563D">
        <w:t xml:space="preserve">Action Plans </w:t>
      </w:r>
      <w:r w:rsidR="008E13B9" w:rsidRPr="0000563D">
        <w:t xml:space="preserve">are already included in the Disability Discrimination </w:t>
      </w:r>
      <w:r w:rsidR="000E50E0" w:rsidRPr="0000563D">
        <w:t>Act. These are</w:t>
      </w:r>
      <w:r w:rsidR="008E13B9" w:rsidRPr="0000563D">
        <w:t xml:space="preserve"> </w:t>
      </w:r>
      <w:r w:rsidR="009508ED" w:rsidRPr="0000563D">
        <w:t>expanded in</w:t>
      </w:r>
      <w:r w:rsidR="008E13B9" w:rsidRPr="0000563D">
        <w:t xml:space="preserve"> the Commission</w:t>
      </w:r>
      <w:r w:rsidR="006A56E8" w:rsidRPr="0000563D">
        <w:t>’</w:t>
      </w:r>
      <w:r w:rsidR="008E13B9" w:rsidRPr="0000563D">
        <w:t xml:space="preserve">s 2021 </w:t>
      </w:r>
      <w:r w:rsidR="008E13B9" w:rsidRPr="0000563D">
        <w:rPr>
          <w:i/>
          <w:iCs/>
        </w:rPr>
        <w:t>Disability Action Plan</w:t>
      </w:r>
      <w:r w:rsidR="002434A6" w:rsidRPr="0000563D">
        <w:rPr>
          <w:i/>
          <w:iCs/>
        </w:rPr>
        <w:t xml:space="preserve"> Guide</w:t>
      </w:r>
      <w:r w:rsidR="008E13B9" w:rsidRPr="0000563D">
        <w:t>.</w:t>
      </w:r>
      <w:r w:rsidR="002434A6" w:rsidRPr="0000563D">
        <w:rPr>
          <w:rStyle w:val="EndnoteReference"/>
        </w:rPr>
        <w:endnoteReference w:id="220"/>
      </w:r>
      <w:r w:rsidR="008E13B9" w:rsidRPr="0000563D">
        <w:t xml:space="preserve"> In </w:t>
      </w:r>
      <w:r w:rsidR="00206A43" w:rsidRPr="0000563D">
        <w:rPr>
          <w:rFonts w:eastAsia="Times New Roman"/>
        </w:rPr>
        <w:t>our</w:t>
      </w:r>
      <w:r w:rsidR="00FA082D" w:rsidRPr="0000563D">
        <w:rPr>
          <w:rFonts w:eastAsia="Times New Roman"/>
        </w:rPr>
        <w:t xml:space="preserve"> </w:t>
      </w:r>
      <w:r w:rsidR="00FA082D" w:rsidRPr="0000563D">
        <w:t>Free &amp; Equal 2021 Position Paper</w:t>
      </w:r>
      <w:r w:rsidR="008E13B9" w:rsidRPr="0000563D">
        <w:t xml:space="preserve">, </w:t>
      </w:r>
      <w:r w:rsidR="00206A43" w:rsidRPr="0000563D">
        <w:t xml:space="preserve">we </w:t>
      </w:r>
      <w:r w:rsidR="008E13B9" w:rsidRPr="0000563D">
        <w:t>recommended amend</w:t>
      </w:r>
      <w:r w:rsidR="00B00C94" w:rsidRPr="0000563D">
        <w:t xml:space="preserve">ing </w:t>
      </w:r>
      <w:r w:rsidR="00A77CB6" w:rsidRPr="0000563D">
        <w:t xml:space="preserve">the Disability Discrimination Act </w:t>
      </w:r>
      <w:r w:rsidR="008E13B9" w:rsidRPr="0000563D">
        <w:t xml:space="preserve">to </w:t>
      </w:r>
      <w:r w:rsidR="0A0D54A2" w:rsidRPr="0000563D">
        <w:t xml:space="preserve">require </w:t>
      </w:r>
      <w:r w:rsidR="008E13B9" w:rsidRPr="0000563D">
        <w:t>the Commission to</w:t>
      </w:r>
      <w:r w:rsidR="1930BBB1" w:rsidRPr="0000563D">
        <w:t xml:space="preserve"> only</w:t>
      </w:r>
      <w:r w:rsidR="008E13B9" w:rsidRPr="0000563D">
        <w:t xml:space="preserve"> accept action plans that meet these requirements.</w:t>
      </w:r>
    </w:p>
    <w:p w14:paraId="2DD30E7B" w14:textId="39EC8A13" w:rsidR="008E13B9" w:rsidRPr="0000563D" w:rsidRDefault="008E13B9" w:rsidP="008911EA">
      <w:r w:rsidRPr="0000563D">
        <w:t xml:space="preserve">It should also be noted that the Commission is aware, anecdotally and through </w:t>
      </w:r>
      <w:r w:rsidR="00620C89" w:rsidRPr="0000563D">
        <w:t xml:space="preserve">our </w:t>
      </w:r>
      <w:r w:rsidRPr="0000563D">
        <w:t xml:space="preserve">role in registering </w:t>
      </w:r>
      <w:r w:rsidR="006645C8" w:rsidRPr="0000563D">
        <w:t>Action Plans</w:t>
      </w:r>
      <w:r w:rsidRPr="0000563D">
        <w:t xml:space="preserve">, that businesses and duty holders are increasingly opting for Diversity and Inclusion Plans that </w:t>
      </w:r>
      <w:r w:rsidR="0027745F" w:rsidRPr="0000563D">
        <w:t xml:space="preserve">will </w:t>
      </w:r>
      <w:r w:rsidRPr="0000563D">
        <w:t xml:space="preserve">usually incorporate disability related measures. This is further evidence </w:t>
      </w:r>
      <w:r w:rsidR="00F41B16" w:rsidRPr="0000563D">
        <w:t>in</w:t>
      </w:r>
      <w:r w:rsidRPr="0000563D">
        <w:t xml:space="preserve"> support </w:t>
      </w:r>
      <w:r w:rsidR="00F41B16" w:rsidRPr="0000563D">
        <w:t>of</w:t>
      </w:r>
      <w:r w:rsidRPr="0000563D">
        <w:t xml:space="preserve"> </w:t>
      </w:r>
      <w:r w:rsidR="00AB112E" w:rsidRPr="0000563D">
        <w:t>harmonised federal</w:t>
      </w:r>
      <w:r w:rsidRPr="0000563D">
        <w:t xml:space="preserve"> discrimination law</w:t>
      </w:r>
      <w:r w:rsidR="0041379C" w:rsidRPr="0000563D">
        <w:t>s</w:t>
      </w:r>
      <w:r w:rsidRPr="0000563D">
        <w:t xml:space="preserve">. </w:t>
      </w:r>
    </w:p>
    <w:p w14:paraId="14DF4FD7" w14:textId="50F2F9AC" w:rsidR="008E13B9" w:rsidRPr="0000563D" w:rsidRDefault="008E13B9" w:rsidP="008911EA">
      <w:r w:rsidRPr="0000563D">
        <w:t xml:space="preserve">As </w:t>
      </w:r>
      <w:r w:rsidR="00B523A3" w:rsidRPr="0000563D">
        <w:t>discussed</w:t>
      </w:r>
      <w:r w:rsidRPr="0000563D">
        <w:t xml:space="preserve"> in the section on positive duty, the Commission will require significant resourcing </w:t>
      </w:r>
      <w:proofErr w:type="gramStart"/>
      <w:r w:rsidRPr="0000563D">
        <w:t>in order to</w:t>
      </w:r>
      <w:proofErr w:type="gramEnd"/>
      <w:r w:rsidRPr="0000563D">
        <w:t xml:space="preserve"> undertake these additional functions.</w:t>
      </w:r>
    </w:p>
    <w:p w14:paraId="5606A5B3" w14:textId="4279BBF1" w:rsidR="008E13B9" w:rsidRPr="0000563D" w:rsidRDefault="008E13B9" w:rsidP="00801E38">
      <w:pPr>
        <w:keepNext/>
        <w:rPr>
          <w:b/>
          <w:bCs/>
        </w:rPr>
      </w:pPr>
      <w:r w:rsidRPr="0000563D">
        <w:rPr>
          <w:b/>
          <w:bCs/>
        </w:rPr>
        <w:lastRenderedPageBreak/>
        <w:t>Recommendatio</w:t>
      </w:r>
      <w:r w:rsidR="00C3774D" w:rsidRPr="0000563D">
        <w:rPr>
          <w:b/>
          <w:bCs/>
        </w:rPr>
        <w:t>n 3</w:t>
      </w:r>
      <w:r w:rsidR="001F18E2" w:rsidRPr="0000563D">
        <w:rPr>
          <w:b/>
          <w:bCs/>
        </w:rPr>
        <w:t>3</w:t>
      </w:r>
      <w:r w:rsidRPr="0000563D">
        <w:rPr>
          <w:b/>
          <w:bCs/>
        </w:rPr>
        <w:t xml:space="preserve">: Part 6 of the </w:t>
      </w:r>
      <w:r w:rsidRPr="0000563D">
        <w:rPr>
          <w:b/>
          <w:bCs/>
          <w:i/>
          <w:iCs/>
        </w:rPr>
        <w:t>Disability Discrimination Act</w:t>
      </w:r>
      <w:r w:rsidR="00A86B5A" w:rsidRPr="0000563D">
        <w:rPr>
          <w:b/>
          <w:bCs/>
          <w:i/>
          <w:iCs/>
        </w:rPr>
        <w:t xml:space="preserve"> 1992</w:t>
      </w:r>
      <w:r w:rsidR="00A86B5A" w:rsidRPr="0000563D">
        <w:rPr>
          <w:b/>
          <w:bCs/>
        </w:rPr>
        <w:t xml:space="preserve"> (</w:t>
      </w:r>
      <w:proofErr w:type="spellStart"/>
      <w:r w:rsidR="00A86B5A" w:rsidRPr="0000563D">
        <w:rPr>
          <w:b/>
          <w:bCs/>
        </w:rPr>
        <w:t>Cth</w:t>
      </w:r>
      <w:proofErr w:type="spellEnd"/>
      <w:r w:rsidR="00A86B5A" w:rsidRPr="0000563D">
        <w:rPr>
          <w:b/>
          <w:bCs/>
        </w:rPr>
        <w:t>)</w:t>
      </w:r>
      <w:r w:rsidRPr="0000563D">
        <w:rPr>
          <w:b/>
          <w:bCs/>
        </w:rPr>
        <w:t xml:space="preserve"> should be amended to:</w:t>
      </w:r>
    </w:p>
    <w:p w14:paraId="580F9F83" w14:textId="33DFBEED" w:rsidR="008E13B9" w:rsidRPr="0000563D" w:rsidRDefault="00A86B5A" w:rsidP="00606A3C">
      <w:pPr>
        <w:pStyle w:val="ListParagraph"/>
        <w:numPr>
          <w:ilvl w:val="0"/>
          <w:numId w:val="16"/>
        </w:numPr>
        <w:rPr>
          <w:b/>
          <w:bCs/>
        </w:rPr>
      </w:pPr>
      <w:r w:rsidRPr="0000563D">
        <w:rPr>
          <w:b/>
          <w:bCs/>
        </w:rPr>
        <w:t>c</w:t>
      </w:r>
      <w:r w:rsidR="008E13B9" w:rsidRPr="0000563D">
        <w:rPr>
          <w:b/>
          <w:bCs/>
        </w:rPr>
        <w:t>larify that the Commission may provide advice on the development and implementation of action plans</w:t>
      </w:r>
    </w:p>
    <w:p w14:paraId="6A675C79" w14:textId="29AC61EA" w:rsidR="008E13B9" w:rsidRPr="0000563D" w:rsidRDefault="00A86B5A" w:rsidP="00606A3C">
      <w:pPr>
        <w:pStyle w:val="ListParagraph"/>
        <w:numPr>
          <w:ilvl w:val="0"/>
          <w:numId w:val="16"/>
        </w:numPr>
        <w:rPr>
          <w:b/>
          <w:bCs/>
        </w:rPr>
      </w:pPr>
      <w:r w:rsidRPr="0000563D">
        <w:rPr>
          <w:b/>
          <w:bCs/>
        </w:rPr>
        <w:t>c</w:t>
      </w:r>
      <w:r w:rsidR="008E13B9" w:rsidRPr="0000563D">
        <w:rPr>
          <w:b/>
          <w:bCs/>
        </w:rPr>
        <w:t>larify that the Commission may set minimum requirements for action plans (such as through guidelines) and not accept action plans that fail to meet these requirements</w:t>
      </w:r>
    </w:p>
    <w:p w14:paraId="1A537FC7" w14:textId="5535235A" w:rsidR="008E13B9" w:rsidRPr="0000563D" w:rsidRDefault="00A86B5A" w:rsidP="00606A3C">
      <w:pPr>
        <w:pStyle w:val="ListParagraph"/>
        <w:numPr>
          <w:ilvl w:val="0"/>
          <w:numId w:val="16"/>
        </w:numPr>
        <w:rPr>
          <w:b/>
          <w:bCs/>
        </w:rPr>
      </w:pPr>
      <w:r w:rsidRPr="0000563D">
        <w:rPr>
          <w:b/>
          <w:bCs/>
        </w:rPr>
        <w:t>i</w:t>
      </w:r>
      <w:r w:rsidR="008E13B9" w:rsidRPr="0000563D">
        <w:rPr>
          <w:b/>
          <w:bCs/>
        </w:rPr>
        <w:t xml:space="preserve">ntroduce a set timeframe within which action plans will </w:t>
      </w:r>
      <w:proofErr w:type="gramStart"/>
      <w:r w:rsidR="008E13B9" w:rsidRPr="0000563D">
        <w:rPr>
          <w:b/>
          <w:bCs/>
        </w:rPr>
        <w:t>lapse, and</w:t>
      </w:r>
      <w:proofErr w:type="gramEnd"/>
      <w:r w:rsidR="008E13B9" w:rsidRPr="0000563D">
        <w:rPr>
          <w:b/>
          <w:bCs/>
        </w:rPr>
        <w:t xml:space="preserve"> require that outcomes of the evaluation of previous action plans be provided to the Commission when submitting a subsequent action plan.</w:t>
      </w:r>
    </w:p>
    <w:p w14:paraId="1059A566" w14:textId="23EFABB7" w:rsidR="008E13B9" w:rsidRPr="002D4943" w:rsidRDefault="008E13B9" w:rsidP="008E13B9">
      <w:pPr>
        <w:pStyle w:val="Heading2"/>
        <w:rPr>
          <w:rFonts w:ascii="Open Sans" w:hAnsi="Open Sans" w:cs="Open Sans"/>
        </w:rPr>
      </w:pPr>
      <w:bookmarkStart w:id="53" w:name="_Toc214961135"/>
      <w:r w:rsidRPr="002D4943">
        <w:rPr>
          <w:rFonts w:ascii="Open Sans" w:hAnsi="Open Sans" w:cs="Open Sans"/>
        </w:rPr>
        <w:t xml:space="preserve">Disability </w:t>
      </w:r>
      <w:r w:rsidR="00257B8D" w:rsidRPr="002D4943">
        <w:rPr>
          <w:rFonts w:ascii="Open Sans" w:hAnsi="Open Sans" w:cs="Open Sans"/>
        </w:rPr>
        <w:t>S</w:t>
      </w:r>
      <w:r w:rsidRPr="002D4943">
        <w:rPr>
          <w:rFonts w:ascii="Open Sans" w:hAnsi="Open Sans" w:cs="Open Sans"/>
        </w:rPr>
        <w:t>tandards</w:t>
      </w:r>
      <w:bookmarkEnd w:id="53"/>
    </w:p>
    <w:p w14:paraId="5A2B050E" w14:textId="77777777" w:rsidR="008E13B9" w:rsidRPr="0000563D" w:rsidRDefault="008E13B9" w:rsidP="008E13B9">
      <w:pPr>
        <w:pStyle w:val="Heading3"/>
        <w:rPr>
          <w:rFonts w:cs="Open Sans"/>
        </w:rPr>
      </w:pPr>
      <w:r w:rsidRPr="0000563D">
        <w:rPr>
          <w:rFonts w:cs="Open Sans"/>
        </w:rPr>
        <w:t>Enforcement</w:t>
      </w:r>
    </w:p>
    <w:p w14:paraId="3F6DE378" w14:textId="351BA96C" w:rsidR="008E13B9" w:rsidRPr="0000563D" w:rsidRDefault="008E13B9" w:rsidP="008911EA">
      <w:r w:rsidRPr="0000563D">
        <w:t xml:space="preserve">The Issues Paper seeks views on ways to encourage greater compliance with, and enforcement of, the Disability Standards. The Commission has repeatedly stated that the enforcement mechanisms </w:t>
      </w:r>
      <w:r w:rsidR="001A5A8F" w:rsidRPr="0000563D">
        <w:t xml:space="preserve">for the Disability Standards </w:t>
      </w:r>
      <w:r w:rsidRPr="0000563D">
        <w:t>are not sufficient.</w:t>
      </w:r>
      <w:r w:rsidRPr="0000563D">
        <w:rPr>
          <w:vertAlign w:val="superscript"/>
        </w:rPr>
        <w:endnoteReference w:id="221"/>
      </w:r>
      <w:r w:rsidRPr="0000563D">
        <w:t xml:space="preserve"> The </w:t>
      </w:r>
      <w:r w:rsidR="002F4CAF" w:rsidRPr="0000563D">
        <w:t>result</w:t>
      </w:r>
      <w:r w:rsidR="00C94DEF" w:rsidRPr="0000563D">
        <w:t xml:space="preserve"> is</w:t>
      </w:r>
      <w:r w:rsidRPr="0000563D">
        <w:t xml:space="preserve"> a hampering of the capacity of </w:t>
      </w:r>
      <w:r w:rsidR="00257B8D" w:rsidRPr="0000563D">
        <w:t xml:space="preserve">the </w:t>
      </w:r>
      <w:r w:rsidRPr="0000563D">
        <w:t xml:space="preserve">Disability Standards to create </w:t>
      </w:r>
      <w:r w:rsidR="00384A5A" w:rsidRPr="0000563D">
        <w:t xml:space="preserve">the </w:t>
      </w:r>
      <w:r w:rsidRPr="0000563D">
        <w:t>systemic change</w:t>
      </w:r>
      <w:r w:rsidR="00384A5A" w:rsidRPr="0000563D">
        <w:t xml:space="preserve"> necessary to eliminate discrimination</w:t>
      </w:r>
      <w:r w:rsidRPr="0000563D">
        <w:t>.</w:t>
      </w:r>
    </w:p>
    <w:p w14:paraId="75BC5652" w14:textId="77777777" w:rsidR="008E13B9" w:rsidRPr="0000563D" w:rsidRDefault="008E13B9" w:rsidP="008911EA">
      <w:r w:rsidRPr="0000563D">
        <w:t>Currently, it is unlawful under the Disability Discrimination Act to contravene the Disability Standards.</w:t>
      </w:r>
      <w:r w:rsidRPr="0000563D">
        <w:rPr>
          <w:rStyle w:val="EndnoteReference"/>
        </w:rPr>
        <w:endnoteReference w:id="222"/>
      </w:r>
      <w:r w:rsidRPr="0000563D">
        <w:t xml:space="preserve"> A contravention may be the subject of a complaint to the Commission by a person aggrieved. However, if a duty holder acts in accordance with the Standards, the provisions of Part 2 of the Disability Discrimination Act that prohibit discrimination do not apply.</w:t>
      </w:r>
      <w:r w:rsidRPr="0000563D">
        <w:rPr>
          <w:rStyle w:val="EndnoteReference"/>
        </w:rPr>
        <w:endnoteReference w:id="223"/>
      </w:r>
      <w:r w:rsidRPr="0000563D">
        <w:t xml:space="preserve"> </w:t>
      </w:r>
    </w:p>
    <w:p w14:paraId="34871D77" w14:textId="1B59D123" w:rsidR="008E13B9" w:rsidRPr="0000563D" w:rsidRDefault="008E13B9" w:rsidP="008911EA">
      <w:r w:rsidRPr="0000563D">
        <w:t xml:space="preserve">The purposes of the </w:t>
      </w:r>
      <w:r w:rsidR="00257B8D" w:rsidRPr="0000563D">
        <w:t>Disability</w:t>
      </w:r>
      <w:r w:rsidRPr="0000563D">
        <w:t xml:space="preserve"> Standards are to provide clarity to </w:t>
      </w:r>
      <w:r w:rsidR="005A005A" w:rsidRPr="0000563D">
        <w:t>duty holders</w:t>
      </w:r>
      <w:r w:rsidRPr="0000563D">
        <w:t xml:space="preserve"> about their obligations</w:t>
      </w:r>
      <w:r w:rsidR="00153D5A" w:rsidRPr="0000563D">
        <w:t xml:space="preserve"> </w:t>
      </w:r>
      <w:r w:rsidRPr="0000563D">
        <w:t>and provide more detail on rights, equal access and equal opportunity for people with disability systematically.</w:t>
      </w:r>
      <w:r w:rsidRPr="0000563D">
        <w:rPr>
          <w:rStyle w:val="EndnoteReference"/>
        </w:rPr>
        <w:endnoteReference w:id="224"/>
      </w:r>
      <w:r w:rsidRPr="0000563D">
        <w:t xml:space="preserve"> </w:t>
      </w:r>
    </w:p>
    <w:p w14:paraId="55487EED" w14:textId="7890835F" w:rsidR="008E13B9" w:rsidRPr="0000563D" w:rsidRDefault="008E13B9" w:rsidP="008911EA">
      <w:r w:rsidRPr="0000563D">
        <w:t>Under the Disability Discrimination Act, the Commission has functions to monitor the operation of the Disability Standards and report to the Attorney-General on this monitoring and on the development of standards.</w:t>
      </w:r>
      <w:r w:rsidRPr="0000563D">
        <w:rPr>
          <w:rStyle w:val="EndnoteReference"/>
        </w:rPr>
        <w:endnoteReference w:id="225"/>
      </w:r>
      <w:r w:rsidRPr="0000563D">
        <w:t xml:space="preserve"> The Commission also has functions and powers to inquire into, and report on, matters that may relate to systemic unlawful discrimination,</w:t>
      </w:r>
      <w:r w:rsidRPr="0000563D">
        <w:rPr>
          <w:rStyle w:val="EndnoteReference"/>
        </w:rPr>
        <w:endnoteReference w:id="226"/>
      </w:r>
      <w:r w:rsidRPr="0000563D">
        <w:t xml:space="preserve"> including in relation to the Disability Standards.</w:t>
      </w:r>
      <w:r w:rsidRPr="0000563D">
        <w:rPr>
          <w:b/>
          <w:bCs/>
          <w:u w:val="single"/>
        </w:rPr>
        <w:t xml:space="preserve"> </w:t>
      </w:r>
    </w:p>
    <w:p w14:paraId="62E6BFB9" w14:textId="5273EB2E" w:rsidR="00566ABA" w:rsidRPr="0000563D" w:rsidRDefault="008E13B9" w:rsidP="008911EA">
      <w:r w:rsidRPr="0000563D">
        <w:t xml:space="preserve">Without a regulatory framework, the Commission has limited capacity </w:t>
      </w:r>
      <w:r w:rsidR="00825AA6" w:rsidRPr="0000563D">
        <w:t>or powers</w:t>
      </w:r>
      <w:r w:rsidRPr="0000563D">
        <w:t xml:space="preserve"> to monitor the operation and implementation of the Disability Standards, outside of complaints handling. This </w:t>
      </w:r>
      <w:r w:rsidR="00740137" w:rsidRPr="0000563D">
        <w:t>could be</w:t>
      </w:r>
      <w:r w:rsidRPr="0000563D">
        <w:t xml:space="preserve"> addressed with the introduction of the positive duty to take steps to eliminate discrimination </w:t>
      </w:r>
      <w:proofErr w:type="gramStart"/>
      <w:r w:rsidRPr="0000563D">
        <w:t>on the basis of</w:t>
      </w:r>
      <w:proofErr w:type="gramEnd"/>
      <w:r w:rsidRPr="0000563D">
        <w:t xml:space="preserve"> disability. </w:t>
      </w:r>
      <w:r w:rsidR="0081295B" w:rsidRPr="0000563D">
        <w:t>F</w:t>
      </w:r>
      <w:r w:rsidR="36F32BC1" w:rsidRPr="0000563D">
        <w:t>urther guidance on how the</w:t>
      </w:r>
      <w:r w:rsidRPr="0000563D">
        <w:t xml:space="preserve"> Disability Standards would operate in the context of a positive duty</w:t>
      </w:r>
      <w:r w:rsidR="0081295B" w:rsidRPr="0000563D">
        <w:t xml:space="preserve"> wou</w:t>
      </w:r>
      <w:r w:rsidR="002C6D17" w:rsidRPr="0000563D">
        <w:t>ld be required</w:t>
      </w:r>
      <w:r w:rsidR="00566ABA" w:rsidRPr="0000563D">
        <w:t>.</w:t>
      </w:r>
      <w:r w:rsidR="7E143248" w:rsidRPr="0000563D">
        <w:t xml:space="preserve"> </w:t>
      </w:r>
      <w:proofErr w:type="gramStart"/>
      <w:r w:rsidR="7E143248" w:rsidRPr="0000563D">
        <w:t>In particular, whether</w:t>
      </w:r>
      <w:proofErr w:type="gramEnd"/>
      <w:r w:rsidR="7E143248" w:rsidRPr="0000563D">
        <w:t xml:space="preserve"> compliance </w:t>
      </w:r>
      <w:r w:rsidR="7E143248" w:rsidRPr="0000563D">
        <w:lastRenderedPageBreak/>
        <w:t>with the Disability Standards would be sufficient to meet the new positive duty or whether there would be additional requirements under the positive duty.</w:t>
      </w:r>
      <w:r w:rsidR="00566ABA" w:rsidRPr="0000563D">
        <w:t xml:space="preserve"> </w:t>
      </w:r>
    </w:p>
    <w:p w14:paraId="028479AD" w14:textId="2666C8F2" w:rsidR="00F038DC" w:rsidRPr="0000563D" w:rsidRDefault="1C4D9F32" w:rsidP="1A6683D4">
      <w:r w:rsidRPr="0000563D">
        <w:t>C</w:t>
      </w:r>
      <w:r w:rsidR="00566ABA" w:rsidRPr="0000563D">
        <w:t>onsider</w:t>
      </w:r>
      <w:r w:rsidR="16D9EDD8" w:rsidRPr="0000563D">
        <w:t xml:space="preserve">ation should also be given to </w:t>
      </w:r>
      <w:r w:rsidR="29B15D7E" w:rsidRPr="0000563D">
        <w:t>the</w:t>
      </w:r>
      <w:r w:rsidR="005328B1" w:rsidRPr="0000563D">
        <w:t xml:space="preserve"> </w:t>
      </w:r>
      <w:r w:rsidR="29B15D7E" w:rsidRPr="0000563D">
        <w:t xml:space="preserve">most appropriate </w:t>
      </w:r>
      <w:r w:rsidR="00B90563" w:rsidRPr="0000563D">
        <w:t xml:space="preserve">regulatory </w:t>
      </w:r>
      <w:r w:rsidR="3355B055" w:rsidRPr="0000563D">
        <w:t>mechanisms</w:t>
      </w:r>
      <w:r w:rsidR="00C84359" w:rsidRPr="0000563D">
        <w:t xml:space="preserve"> </w:t>
      </w:r>
      <w:r w:rsidR="00C227EA" w:rsidRPr="0000563D">
        <w:t>for</w:t>
      </w:r>
      <w:r w:rsidR="00C84359" w:rsidRPr="0000563D">
        <w:t xml:space="preserve"> </w:t>
      </w:r>
      <w:r w:rsidR="005A294A" w:rsidRPr="0000563D">
        <w:t xml:space="preserve">compliance with </w:t>
      </w:r>
      <w:r w:rsidR="00C84359" w:rsidRPr="0000563D">
        <w:t>the Disability Standards</w:t>
      </w:r>
      <w:r w:rsidR="005A294A" w:rsidRPr="0000563D">
        <w:t xml:space="preserve"> themselves and with a positive duty</w:t>
      </w:r>
      <w:r w:rsidR="008E13B9" w:rsidRPr="0000563D">
        <w:t>.</w:t>
      </w:r>
      <w:r w:rsidR="00566ABA" w:rsidRPr="0000563D">
        <w:t xml:space="preserve"> </w:t>
      </w:r>
      <w:r w:rsidR="0392C5CF" w:rsidRPr="0000563D">
        <w:t>T</w:t>
      </w:r>
      <w:r w:rsidR="009A029D" w:rsidRPr="0000563D">
        <w:t>here are</w:t>
      </w:r>
      <w:r w:rsidR="00F038DC" w:rsidRPr="0000563D">
        <w:t xml:space="preserve"> oversight bodies </w:t>
      </w:r>
      <w:r w:rsidR="009A029D" w:rsidRPr="0000563D">
        <w:t xml:space="preserve">that </w:t>
      </w:r>
      <w:r w:rsidR="00F038DC" w:rsidRPr="0000563D">
        <w:t xml:space="preserve">already </w:t>
      </w:r>
      <w:r w:rsidR="009A029D" w:rsidRPr="0000563D">
        <w:t xml:space="preserve">(or are planned to) </w:t>
      </w:r>
      <w:r w:rsidR="00F038DC" w:rsidRPr="0000563D">
        <w:t>have a role</w:t>
      </w:r>
      <w:r w:rsidR="009A029D" w:rsidRPr="0000563D">
        <w:t xml:space="preserve"> in relation to </w:t>
      </w:r>
      <w:r w:rsidR="00BF687E" w:rsidRPr="0000563D">
        <w:t>these Standards</w:t>
      </w:r>
      <w:r w:rsidR="00223448" w:rsidRPr="0000563D">
        <w:t xml:space="preserve">. For example, the </w:t>
      </w:r>
      <w:r w:rsidR="009A029D" w:rsidRPr="0000563D">
        <w:t>Australian Building Codes Board (ABCB)</w:t>
      </w:r>
      <w:r w:rsidR="004C6766" w:rsidRPr="0000563D">
        <w:t xml:space="preserve"> </w:t>
      </w:r>
      <w:r w:rsidR="00D01D89" w:rsidRPr="0000563D">
        <w:t xml:space="preserve">oversees </w:t>
      </w:r>
      <w:r w:rsidR="004C6766" w:rsidRPr="0000563D">
        <w:t xml:space="preserve">certification for building permits, a process which involves some level of </w:t>
      </w:r>
      <w:r w:rsidR="00FD553F" w:rsidRPr="0000563D">
        <w:t xml:space="preserve">assessing compliance with the Premises Standards. The new Aviation Ombuds is proposed to </w:t>
      </w:r>
      <w:r w:rsidR="00326EB5" w:rsidRPr="0000563D">
        <w:t xml:space="preserve">oversee the new Aviation Customer Charter, </w:t>
      </w:r>
      <w:r w:rsidR="00182CB4" w:rsidRPr="0000563D">
        <w:t xml:space="preserve">aspects of </w:t>
      </w:r>
      <w:r w:rsidR="00025EF1" w:rsidRPr="0000563D">
        <w:t>the draft Charter relate to accessibility and are likely to overlap with the Aviation Standards.</w:t>
      </w:r>
      <w:r w:rsidR="004C6766" w:rsidRPr="0000563D">
        <w:t xml:space="preserve"> </w:t>
      </w:r>
    </w:p>
    <w:p w14:paraId="00C636E5" w14:textId="1C82E255" w:rsidR="00C84359" w:rsidRPr="0000563D" w:rsidRDefault="00AE3196" w:rsidP="008911EA">
      <w:r w:rsidRPr="0000563D">
        <w:t xml:space="preserve">Different models </w:t>
      </w:r>
      <w:r w:rsidR="00E74E97" w:rsidRPr="0000563D">
        <w:t>exist</w:t>
      </w:r>
      <w:r w:rsidRPr="0000563D">
        <w:t xml:space="preserve"> in international </w:t>
      </w:r>
      <w:r w:rsidR="0052484A" w:rsidRPr="0000563D">
        <w:t>jurisdictions</w:t>
      </w:r>
      <w:r w:rsidR="00D264A1" w:rsidRPr="0000563D">
        <w:t xml:space="preserve"> (e.g. Canada and the United States)</w:t>
      </w:r>
      <w:r w:rsidRPr="0000563D">
        <w:t xml:space="preserve"> </w:t>
      </w:r>
      <w:r w:rsidR="00E1692C" w:rsidRPr="0000563D">
        <w:t xml:space="preserve">for the enforcement of accessibility </w:t>
      </w:r>
      <w:r w:rsidR="007B3014" w:rsidRPr="0000563D">
        <w:t>requirements</w:t>
      </w:r>
      <w:r w:rsidR="00B96080" w:rsidRPr="0000563D">
        <w:t>. These are worth</w:t>
      </w:r>
      <w:r w:rsidR="00DF221F" w:rsidRPr="0000563D">
        <w:t>y of consideration by Government</w:t>
      </w:r>
      <w:r w:rsidR="00F0241D" w:rsidRPr="0000563D">
        <w:t xml:space="preserve"> in the context of the introduction of a positive duty in the Disability Discrimination Act</w:t>
      </w:r>
      <w:r w:rsidR="00F038DC" w:rsidRPr="0000563D">
        <w:t xml:space="preserve">. </w:t>
      </w:r>
    </w:p>
    <w:p w14:paraId="76AB3ECE" w14:textId="77777777" w:rsidR="008E13B9" w:rsidRPr="0000563D" w:rsidRDefault="008E13B9" w:rsidP="008E13B9">
      <w:pPr>
        <w:pStyle w:val="Heading3"/>
        <w:rPr>
          <w:rFonts w:cs="Open Sans"/>
        </w:rPr>
      </w:pPr>
      <w:r w:rsidRPr="0000563D">
        <w:rPr>
          <w:rFonts w:cs="Open Sans"/>
        </w:rPr>
        <w:t>Reporting</w:t>
      </w:r>
    </w:p>
    <w:p w14:paraId="22955BD3" w14:textId="02980421" w:rsidR="008E13B9" w:rsidRPr="0000563D" w:rsidRDefault="008E13B9" w:rsidP="008911EA">
      <w:r w:rsidRPr="0000563D">
        <w:t xml:space="preserve">The Issues Paper seeks views on reporting mechanisms against the Standards. </w:t>
      </w:r>
      <w:r w:rsidR="00A831FB" w:rsidRPr="0000563D">
        <w:t>This is addressed for each of the Standards in turn.</w:t>
      </w:r>
    </w:p>
    <w:p w14:paraId="56F07236" w14:textId="77777777" w:rsidR="008E13B9" w:rsidRPr="0000563D" w:rsidRDefault="008E13B9" w:rsidP="1A6683D4">
      <w:pPr>
        <w:rPr>
          <w:b/>
          <w:bCs/>
          <w:i/>
          <w:iCs/>
        </w:rPr>
      </w:pPr>
      <w:r w:rsidRPr="0000563D">
        <w:rPr>
          <w:b/>
          <w:bCs/>
          <w:i/>
          <w:iCs/>
        </w:rPr>
        <w:t>Education Standards</w:t>
      </w:r>
    </w:p>
    <w:p w14:paraId="2C1D1E82" w14:textId="597AB49E" w:rsidR="00A42782" w:rsidRPr="0000563D" w:rsidRDefault="008E13B9" w:rsidP="008911EA">
      <w:r w:rsidRPr="0000563D">
        <w:t>Reporting on the provision of reasonable adjustments</w:t>
      </w:r>
      <w:r w:rsidR="00A831FB" w:rsidRPr="0000563D">
        <w:t>, which is one of many provisions in the Education Standards,</w:t>
      </w:r>
      <w:r w:rsidRPr="0000563D">
        <w:t xml:space="preserve"> is already in place through the Nationally Consistent Collection of Data (NCCD). </w:t>
      </w:r>
    </w:p>
    <w:p w14:paraId="631271AD" w14:textId="3B98F3C5" w:rsidR="00A42782" w:rsidRPr="0000563D" w:rsidRDefault="008E13B9" w:rsidP="008911EA">
      <w:r w:rsidRPr="0000563D">
        <w:t xml:space="preserve">The NCCD is tied to funding </w:t>
      </w:r>
      <w:r w:rsidR="00EC2EB1" w:rsidRPr="0000563D">
        <w:t>granted to</w:t>
      </w:r>
      <w:r w:rsidRPr="0000563D">
        <w:t xml:space="preserve"> education providers and therefore not necessarily intended to be a true measure of </w:t>
      </w:r>
      <w:r w:rsidR="00BD75CF" w:rsidRPr="0000563D">
        <w:t>all actions taken under the Standards to</w:t>
      </w:r>
      <w:r w:rsidRPr="0000563D">
        <w:t xml:space="preserve"> </w:t>
      </w:r>
      <w:r w:rsidR="00BD75CF" w:rsidRPr="0000563D">
        <w:t>create</w:t>
      </w:r>
      <w:r w:rsidRPr="0000563D">
        <w:t xml:space="preserve"> equal opportunity in education. </w:t>
      </w:r>
      <w:r w:rsidR="00A42782" w:rsidRPr="0000563D">
        <w:t xml:space="preserve">The NCCD is also restricted to primary and secondary schools and, therefore, excludes early childhood and tertiary education. </w:t>
      </w:r>
    </w:p>
    <w:p w14:paraId="528230B6" w14:textId="6D0019CE" w:rsidR="008E13B9" w:rsidRPr="0000563D" w:rsidRDefault="008E13B9" w:rsidP="008911EA">
      <w:r w:rsidRPr="0000563D">
        <w:t>In response to its finding that there is ‘little comprehensive and consistent use of data to enable governments to monitor progress in addressing barriers to access, participation, and achieving learning and development goals’,</w:t>
      </w:r>
      <w:r w:rsidR="0031056E" w:rsidRPr="0000563D">
        <w:rPr>
          <w:rStyle w:val="EndnoteReference"/>
        </w:rPr>
        <w:endnoteReference w:id="227"/>
      </w:r>
      <w:r w:rsidRPr="0000563D">
        <w:t xml:space="preserve"> the Disability Royal Commission recommended a national project be commissioned to develop minimum data requirements for students with disability, building on the NCCD. </w:t>
      </w:r>
    </w:p>
    <w:p w14:paraId="639B7BDA" w14:textId="589DF0D8" w:rsidR="008E13B9" w:rsidRPr="0000563D" w:rsidRDefault="008E13B9" w:rsidP="008911EA">
      <w:r w:rsidRPr="0000563D">
        <w:t>Recommendation 7.9 of the Disability Royal Commission is extensive in its proposals for data development, collection, monitoring and reporting, and uses for the purposes of realising the right to education. The recommendation was accepted in principle by all governments, with a note that its implementation will require further consideration on how the intent of the recommendation can be implemented in each jurisdiction.</w:t>
      </w:r>
      <w:r w:rsidRPr="0000563D">
        <w:rPr>
          <w:rStyle w:val="EndnoteReference"/>
        </w:rPr>
        <w:endnoteReference w:id="228"/>
      </w:r>
    </w:p>
    <w:p w14:paraId="5EEB5779" w14:textId="44A3C119" w:rsidR="008E13B9" w:rsidRPr="0000563D" w:rsidRDefault="008E13B9" w:rsidP="008911EA">
      <w:r w:rsidRPr="0000563D">
        <w:lastRenderedPageBreak/>
        <w:t xml:space="preserve">The Commission continues to </w:t>
      </w:r>
      <w:r w:rsidR="28E7A166" w:rsidRPr="0000563D">
        <w:t xml:space="preserve">urge governments to </w:t>
      </w:r>
      <w:r w:rsidRPr="0000563D">
        <w:t>full</w:t>
      </w:r>
      <w:r w:rsidR="7694EC92" w:rsidRPr="0000563D">
        <w:t>y</w:t>
      </w:r>
      <w:r w:rsidRPr="0000563D">
        <w:t xml:space="preserve"> implement recommendation 7.9. Improved reporting against the Education Standards should be developed in the context of this work.</w:t>
      </w:r>
    </w:p>
    <w:p w14:paraId="0587B1C6" w14:textId="643187A8" w:rsidR="008E13B9" w:rsidRPr="0000563D" w:rsidRDefault="008E13B9" w:rsidP="1A6683D4">
      <w:pPr>
        <w:rPr>
          <w:b/>
          <w:bCs/>
        </w:rPr>
      </w:pPr>
      <w:r w:rsidRPr="0000563D">
        <w:rPr>
          <w:b/>
          <w:bCs/>
        </w:rPr>
        <w:t>Recommendation</w:t>
      </w:r>
      <w:r w:rsidR="00C3774D" w:rsidRPr="0000563D">
        <w:rPr>
          <w:b/>
          <w:bCs/>
        </w:rPr>
        <w:t xml:space="preserve"> 3</w:t>
      </w:r>
      <w:r w:rsidR="006E6171" w:rsidRPr="0000563D">
        <w:rPr>
          <w:b/>
          <w:bCs/>
        </w:rPr>
        <w:t>4</w:t>
      </w:r>
      <w:r w:rsidRPr="0000563D">
        <w:rPr>
          <w:b/>
          <w:bCs/>
        </w:rPr>
        <w:t xml:space="preserve">: The Education Ministers Meeting should publicly report on implementation of </w:t>
      </w:r>
      <w:r w:rsidR="00A42782" w:rsidRPr="0000563D">
        <w:rPr>
          <w:b/>
          <w:bCs/>
        </w:rPr>
        <w:t>R</w:t>
      </w:r>
      <w:r w:rsidRPr="0000563D">
        <w:rPr>
          <w:b/>
          <w:bCs/>
        </w:rPr>
        <w:t>ecommendation 7.9</w:t>
      </w:r>
      <w:r w:rsidR="00A42782" w:rsidRPr="0000563D">
        <w:rPr>
          <w:b/>
          <w:bCs/>
        </w:rPr>
        <w:t xml:space="preserve"> of the Royal Commission into Violence, Abuse, Neglect and Exploitation of People with Disability</w:t>
      </w:r>
      <w:r w:rsidRPr="0000563D">
        <w:rPr>
          <w:b/>
          <w:bCs/>
        </w:rPr>
        <w:t xml:space="preserve">. </w:t>
      </w:r>
    </w:p>
    <w:p w14:paraId="58D777AF" w14:textId="77777777" w:rsidR="008E13B9" w:rsidRPr="0000563D" w:rsidRDefault="008E13B9" w:rsidP="1A6683D4">
      <w:pPr>
        <w:rPr>
          <w:b/>
          <w:bCs/>
          <w:i/>
          <w:iCs/>
        </w:rPr>
      </w:pPr>
      <w:r w:rsidRPr="0000563D">
        <w:rPr>
          <w:b/>
          <w:bCs/>
          <w:i/>
          <w:iCs/>
        </w:rPr>
        <w:t>Premises Standards</w:t>
      </w:r>
    </w:p>
    <w:p w14:paraId="5D175694" w14:textId="2BDF685E" w:rsidR="008E13B9" w:rsidRPr="0000563D" w:rsidRDefault="008E13B9" w:rsidP="008911EA">
      <w:r w:rsidRPr="0000563D">
        <w:t>The Premises Standards contain the Access Code for Buildings, which is replicated from the National Construction Code (NCC) accessibility requirements. Certification is mandated under the NCC to assess suitability of builds.</w:t>
      </w:r>
      <w:r w:rsidRPr="0000563D">
        <w:rPr>
          <w:rStyle w:val="EndnoteReference"/>
        </w:rPr>
        <w:endnoteReference w:id="229"/>
      </w:r>
      <w:r w:rsidRPr="0000563D">
        <w:t xml:space="preserve"> </w:t>
      </w:r>
      <w:r w:rsidR="00BF69DB" w:rsidRPr="0000563D">
        <w:t xml:space="preserve">While the </w:t>
      </w:r>
      <w:r w:rsidRPr="0000563D">
        <w:t>certification</w:t>
      </w:r>
      <w:r w:rsidR="00BF69DB" w:rsidRPr="0000563D">
        <w:t xml:space="preserve"> should be rigorous and</w:t>
      </w:r>
      <w:r w:rsidRPr="0000563D">
        <w:t xml:space="preserve"> consequential (in that </w:t>
      </w:r>
      <w:r w:rsidR="0052575C" w:rsidRPr="0000563D">
        <w:t xml:space="preserve">it </w:t>
      </w:r>
      <w:r w:rsidRPr="0000563D">
        <w:t>is linked to permissions</w:t>
      </w:r>
      <w:r w:rsidR="00BF69DB" w:rsidRPr="0000563D">
        <w:t xml:space="preserve"> to build</w:t>
      </w:r>
      <w:r w:rsidRPr="0000563D">
        <w:t xml:space="preserve">), </w:t>
      </w:r>
      <w:r w:rsidR="00703F07" w:rsidRPr="0000563D">
        <w:t>audits have not focused on compliance with the Premises Standards</w:t>
      </w:r>
      <w:r w:rsidR="00BC29BB" w:rsidRPr="0000563D">
        <w:t xml:space="preserve">. </w:t>
      </w:r>
      <w:r w:rsidR="00D52198" w:rsidRPr="0000563D">
        <w:t>Notwithstanding this,</w:t>
      </w:r>
      <w:r w:rsidRPr="0000563D">
        <w:t xml:space="preserve"> there may be few net benefits to introducing additional reporting requirements under the Premises Standards.</w:t>
      </w:r>
    </w:p>
    <w:p w14:paraId="63615C15" w14:textId="6DB296B4" w:rsidR="008E13B9" w:rsidRPr="0000563D" w:rsidRDefault="008E13B9" w:rsidP="008911EA">
      <w:r w:rsidRPr="0000563D">
        <w:t>One ‘opportunity for action’ arising from the 2022 Review of the Premises Standards, action 3, was for the Department of Industry, Science and Resources to create a baseline assessment of a representative sample of new buildings or building works to test the types of data available and identify data that could be collected to measure compliance with the Standards.</w:t>
      </w:r>
      <w:r w:rsidRPr="0000563D">
        <w:rPr>
          <w:rStyle w:val="EndnoteReference"/>
        </w:rPr>
        <w:endnoteReference w:id="230"/>
      </w:r>
      <w:r w:rsidR="00422ADF" w:rsidRPr="0000563D">
        <w:t xml:space="preserve"> </w:t>
      </w:r>
      <w:r w:rsidRPr="0000563D">
        <w:t>The Commission suppor</w:t>
      </w:r>
      <w:r w:rsidR="009330C0" w:rsidRPr="0000563D">
        <w:t xml:space="preserve">ts </w:t>
      </w:r>
      <w:r w:rsidRPr="0000563D">
        <w:t>this action, but is unaware of any progress made by Government</w:t>
      </w:r>
      <w:r w:rsidR="00A078CA" w:rsidRPr="0000563D">
        <w:t xml:space="preserve"> towards its implementation</w:t>
      </w:r>
      <w:r w:rsidRPr="0000563D">
        <w:t>.</w:t>
      </w:r>
    </w:p>
    <w:p w14:paraId="2916762F" w14:textId="774C769E" w:rsidR="008E13B9" w:rsidRPr="0000563D" w:rsidRDefault="008E13B9" w:rsidP="1A6683D4">
      <w:pPr>
        <w:rPr>
          <w:b/>
          <w:bCs/>
        </w:rPr>
      </w:pPr>
      <w:r w:rsidRPr="0000563D">
        <w:rPr>
          <w:b/>
          <w:bCs/>
        </w:rPr>
        <w:t>Recommendation</w:t>
      </w:r>
      <w:r w:rsidR="00C3774D" w:rsidRPr="0000563D">
        <w:rPr>
          <w:b/>
          <w:bCs/>
        </w:rPr>
        <w:t xml:space="preserve"> 3</w:t>
      </w:r>
      <w:r w:rsidR="00EF37F9" w:rsidRPr="0000563D">
        <w:rPr>
          <w:b/>
          <w:bCs/>
        </w:rPr>
        <w:t>5</w:t>
      </w:r>
      <w:r w:rsidRPr="0000563D">
        <w:rPr>
          <w:b/>
          <w:bCs/>
        </w:rPr>
        <w:t>: Treasury</w:t>
      </w:r>
      <w:r w:rsidRPr="0000563D">
        <w:rPr>
          <w:rStyle w:val="EndnoteReference"/>
          <w:b/>
          <w:bCs/>
        </w:rPr>
        <w:endnoteReference w:id="231"/>
      </w:r>
      <w:r w:rsidRPr="0000563D">
        <w:rPr>
          <w:b/>
          <w:bCs/>
        </w:rPr>
        <w:t xml:space="preserve"> should publicly report on</w:t>
      </w:r>
      <w:r w:rsidR="00EF3302" w:rsidRPr="0000563D">
        <w:rPr>
          <w:b/>
          <w:bCs/>
        </w:rPr>
        <w:t xml:space="preserve"> the implementation of Action 3 arising from the 2022 Review of the Premises Standards</w:t>
      </w:r>
      <w:r w:rsidRPr="0000563D">
        <w:rPr>
          <w:b/>
          <w:bCs/>
        </w:rPr>
        <w:t>, including any barriers to implementation.</w:t>
      </w:r>
    </w:p>
    <w:p w14:paraId="5DC0B9C5" w14:textId="00F7A665" w:rsidR="008E13B9" w:rsidRPr="0000563D" w:rsidRDefault="008E13B9" w:rsidP="008911EA">
      <w:r w:rsidRPr="0000563D">
        <w:t>A complementary recommendation in the Review</w:t>
      </w:r>
      <w:r w:rsidR="00094079" w:rsidRPr="0000563D">
        <w:t xml:space="preserve"> of the Premises Standards</w:t>
      </w:r>
      <w:r w:rsidRPr="0000563D">
        <w:t xml:space="preserve">, action 2a, was for the Commission’s </w:t>
      </w:r>
      <w:r w:rsidRPr="0000563D">
        <w:rPr>
          <w:i/>
        </w:rPr>
        <w:t xml:space="preserve">Guideline on the application of the Premises Standards </w:t>
      </w:r>
      <w:r w:rsidRPr="0000563D">
        <w:t>be updated.</w:t>
      </w:r>
      <w:r w:rsidRPr="0000563D">
        <w:rPr>
          <w:rStyle w:val="EndnoteReference"/>
        </w:rPr>
        <w:endnoteReference w:id="232"/>
      </w:r>
      <w:r w:rsidRPr="0000563D">
        <w:t xml:space="preserve"> </w:t>
      </w:r>
      <w:r w:rsidR="00DC0ABA" w:rsidRPr="0000563D">
        <w:t>This</w:t>
      </w:r>
      <w:r w:rsidRPr="0000563D">
        <w:t xml:space="preserve"> recommendation</w:t>
      </w:r>
      <w:r w:rsidR="00DC0ABA" w:rsidRPr="0000563D">
        <w:t xml:space="preserve"> has not been implemented</w:t>
      </w:r>
      <w:r w:rsidRPr="0000563D">
        <w:t xml:space="preserve"> due to delays in</w:t>
      </w:r>
      <w:r w:rsidR="00DC0ABA" w:rsidRPr="0000563D">
        <w:t xml:space="preserve"> the Commission</w:t>
      </w:r>
      <w:r w:rsidRPr="0000563D">
        <w:t xml:space="preserve"> being provided with dedicated resourcing to do so. </w:t>
      </w:r>
    </w:p>
    <w:p w14:paraId="45A3AC75" w14:textId="77777777" w:rsidR="008E13B9" w:rsidRPr="0000563D" w:rsidRDefault="008E13B9" w:rsidP="1A6683D4">
      <w:pPr>
        <w:rPr>
          <w:b/>
          <w:bCs/>
          <w:i/>
          <w:iCs/>
        </w:rPr>
      </w:pPr>
      <w:r w:rsidRPr="0000563D">
        <w:rPr>
          <w:b/>
          <w:bCs/>
          <w:i/>
          <w:iCs/>
        </w:rPr>
        <w:t>Transport Standards</w:t>
      </w:r>
    </w:p>
    <w:p w14:paraId="4FB7A16F" w14:textId="56DB2B5C" w:rsidR="008E13B9" w:rsidRPr="0000563D" w:rsidRDefault="008E13B9" w:rsidP="008911EA">
      <w:r w:rsidRPr="0000563D">
        <w:t xml:space="preserve">The Commission commends the work of </w:t>
      </w:r>
      <w:r w:rsidR="008D5F11" w:rsidRPr="0000563D">
        <w:t xml:space="preserve">the Department of Infrastructure, Transport, Regional Development, </w:t>
      </w:r>
      <w:r w:rsidR="007A6088" w:rsidRPr="0000563D">
        <w:t>Communication</w:t>
      </w:r>
      <w:r w:rsidR="009C0018" w:rsidRPr="0000563D">
        <w:t>s</w:t>
      </w:r>
      <w:r w:rsidR="007A6088" w:rsidRPr="0000563D">
        <w:t xml:space="preserve">, </w:t>
      </w:r>
      <w:r w:rsidR="008D5F11" w:rsidRPr="0000563D">
        <w:t>Sport and the Arts</w:t>
      </w:r>
      <w:r w:rsidR="009D1376" w:rsidRPr="0000563D">
        <w:t xml:space="preserve"> (DITRDCSA)</w:t>
      </w:r>
      <w:r w:rsidR="008D5F11" w:rsidRPr="0000563D">
        <w:t xml:space="preserve"> </w:t>
      </w:r>
      <w:r w:rsidRPr="0000563D">
        <w:t xml:space="preserve">in developing a non-mandatory reporting framework for the Transport Standards, </w:t>
      </w:r>
      <w:proofErr w:type="gramStart"/>
      <w:r w:rsidRPr="0000563D">
        <w:t>as a result of</w:t>
      </w:r>
      <w:proofErr w:type="gramEnd"/>
      <w:r w:rsidRPr="0000563D">
        <w:t xml:space="preserve"> statutory review</w:t>
      </w:r>
      <w:r w:rsidR="00A86764" w:rsidRPr="0000563D">
        <w:t>s</w:t>
      </w:r>
      <w:r w:rsidR="00DC7552" w:rsidRPr="0000563D">
        <w:t xml:space="preserve"> of the Transport Standards</w:t>
      </w:r>
      <w:r w:rsidRPr="0000563D">
        <w:t>.</w:t>
      </w:r>
      <w:r w:rsidRPr="0000563D">
        <w:rPr>
          <w:rStyle w:val="EndnoteReference"/>
        </w:rPr>
        <w:endnoteReference w:id="233"/>
      </w:r>
      <w:r w:rsidRPr="0000563D">
        <w:t xml:space="preserve"> This will provide</w:t>
      </w:r>
      <w:r w:rsidR="00F03B86" w:rsidRPr="0000563D">
        <w:t xml:space="preserve"> some level of</w:t>
      </w:r>
      <w:r w:rsidRPr="0000563D">
        <w:t xml:space="preserve"> transparency and monitoring by the </w:t>
      </w:r>
      <w:proofErr w:type="gramStart"/>
      <w:r w:rsidRPr="0000563D">
        <w:t>general public</w:t>
      </w:r>
      <w:proofErr w:type="gramEnd"/>
      <w:r w:rsidRPr="0000563D">
        <w:t xml:space="preserve">. </w:t>
      </w:r>
    </w:p>
    <w:p w14:paraId="52B8F2B8" w14:textId="77777777" w:rsidR="008E13B9" w:rsidRPr="0000563D" w:rsidRDefault="008E13B9" w:rsidP="008911EA">
      <w:r w:rsidRPr="0000563D">
        <w:t xml:space="preserve">A compliance reporting framework should seek to move away from a voluntary approach that does not guarantee reporting. An opt-in approach may </w:t>
      </w:r>
      <w:r w:rsidRPr="0000563D">
        <w:lastRenderedPageBreak/>
        <w:t xml:space="preserve">disincentivise providers to report on areas of non-compliance that could be viewed as </w:t>
      </w:r>
      <w:proofErr w:type="gramStart"/>
      <w:r w:rsidRPr="0000563D">
        <w:t>discriminatory, and</w:t>
      </w:r>
      <w:proofErr w:type="gramEnd"/>
      <w:r w:rsidRPr="0000563D">
        <w:t xml:space="preserve"> will maintain an unwillingness to report. </w:t>
      </w:r>
    </w:p>
    <w:p w14:paraId="1C445D0E" w14:textId="37B72E6F" w:rsidR="008E13B9" w:rsidRPr="0000563D" w:rsidRDefault="008E13B9" w:rsidP="008911EA">
      <w:r w:rsidRPr="0000563D">
        <w:t xml:space="preserve">Mandatory reporting under the Transport Standards would align with Australia’s obligations under </w:t>
      </w:r>
      <w:r w:rsidR="003F5FBC" w:rsidRPr="0000563D">
        <w:t>A</w:t>
      </w:r>
      <w:r w:rsidRPr="0000563D">
        <w:t>rticle 31 of the CRPD and commitments made</w:t>
      </w:r>
      <w:r w:rsidR="00F03B86" w:rsidRPr="0000563D">
        <w:t xml:space="preserve"> to report on compliance</w:t>
      </w:r>
      <w:r w:rsidRPr="0000563D">
        <w:t xml:space="preserve"> under </w:t>
      </w:r>
      <w:r w:rsidRPr="0000563D">
        <w:rPr>
          <w:i/>
          <w:iCs/>
        </w:rPr>
        <w:t>Australia’s Disability Strategy</w:t>
      </w:r>
      <w:r w:rsidR="00F03B86" w:rsidRPr="0000563D">
        <w:rPr>
          <w:i/>
          <w:iCs/>
        </w:rPr>
        <w:t xml:space="preserve"> 2021-2031</w:t>
      </w:r>
      <w:r w:rsidRPr="0000563D">
        <w:t>.</w:t>
      </w:r>
      <w:r w:rsidR="00F03B86" w:rsidRPr="0000563D">
        <w:rPr>
          <w:rStyle w:val="EndnoteReference"/>
        </w:rPr>
        <w:t xml:space="preserve"> </w:t>
      </w:r>
      <w:r w:rsidR="00F03B86" w:rsidRPr="0000563D">
        <w:rPr>
          <w:rStyle w:val="EndnoteReference"/>
        </w:rPr>
        <w:endnoteReference w:id="234"/>
      </w:r>
      <w:r w:rsidRPr="0000563D">
        <w:t xml:space="preserve"> It would also respond to the overwhelming support of a regulatory approach from the disability community in previous reviews of the Standards.</w:t>
      </w:r>
      <w:r w:rsidRPr="0000563D">
        <w:rPr>
          <w:rStyle w:val="EndnoteReference"/>
        </w:rPr>
        <w:endnoteReference w:id="235"/>
      </w:r>
    </w:p>
    <w:p w14:paraId="05B29E42" w14:textId="6E86E1DB" w:rsidR="008E13B9" w:rsidRPr="0000563D" w:rsidRDefault="008E13B9" w:rsidP="008911EA">
      <w:r w:rsidRPr="0000563D">
        <w:t>An alternative would be for the Australian Government</w:t>
      </w:r>
      <w:r w:rsidR="000508C5" w:rsidRPr="0000563D">
        <w:t xml:space="preserve"> or the Commission</w:t>
      </w:r>
      <w:r w:rsidRPr="0000563D">
        <w:t xml:space="preserve"> to undertake an independent audit to establish and report on compliance.</w:t>
      </w:r>
      <w:r w:rsidR="000508C5" w:rsidRPr="0000563D">
        <w:t xml:space="preserve"> E</w:t>
      </w:r>
      <w:r w:rsidRPr="0000563D">
        <w:t xml:space="preserve">ither of these options would incur significant </w:t>
      </w:r>
      <w:proofErr w:type="gramStart"/>
      <w:r w:rsidRPr="0000563D">
        <w:t>costs, and</w:t>
      </w:r>
      <w:proofErr w:type="gramEnd"/>
      <w:r w:rsidRPr="0000563D">
        <w:t xml:space="preserve"> lessen the onus and responsibility on duty holders to meet their legal obligations. </w:t>
      </w:r>
    </w:p>
    <w:p w14:paraId="306DF7FC" w14:textId="4B6F75B9" w:rsidR="008E13B9" w:rsidRPr="0000563D" w:rsidRDefault="008E13B9" w:rsidP="008911EA">
      <w:r w:rsidRPr="0000563D">
        <w:t xml:space="preserve">Finally, in making the below recommendation, </w:t>
      </w:r>
      <w:r w:rsidR="00B36F49" w:rsidRPr="0000563D">
        <w:t xml:space="preserve">we </w:t>
      </w:r>
      <w:r w:rsidRPr="0000563D">
        <w:t>support for the Australian Government’s stated intention to include mandatory reporting against the Aviation Standards once in force.</w:t>
      </w:r>
      <w:r w:rsidRPr="0000563D">
        <w:rPr>
          <w:rStyle w:val="EndnoteReference"/>
        </w:rPr>
        <w:endnoteReference w:id="236"/>
      </w:r>
      <w:r w:rsidRPr="0000563D">
        <w:t xml:space="preserve"> </w:t>
      </w:r>
    </w:p>
    <w:p w14:paraId="05CF4642" w14:textId="0E040A75" w:rsidR="008E13B9" w:rsidRPr="0000563D" w:rsidRDefault="008E13B9" w:rsidP="1A6683D4">
      <w:pPr>
        <w:rPr>
          <w:b/>
          <w:bCs/>
        </w:rPr>
      </w:pPr>
      <w:r w:rsidRPr="0000563D">
        <w:rPr>
          <w:b/>
          <w:bCs/>
        </w:rPr>
        <w:t>Recommendation</w:t>
      </w:r>
      <w:r w:rsidR="00C3774D" w:rsidRPr="0000563D">
        <w:rPr>
          <w:b/>
          <w:bCs/>
        </w:rPr>
        <w:t xml:space="preserve"> 3</w:t>
      </w:r>
      <w:r w:rsidR="0067660A" w:rsidRPr="0000563D">
        <w:rPr>
          <w:b/>
          <w:bCs/>
        </w:rPr>
        <w:t>6</w:t>
      </w:r>
      <w:r w:rsidRPr="0000563D">
        <w:rPr>
          <w:b/>
          <w:bCs/>
        </w:rPr>
        <w:t xml:space="preserve">: The Australian Government should establish a national framework for mandatory compliance reporting </w:t>
      </w:r>
      <w:r w:rsidR="001B67B8" w:rsidRPr="0000563D">
        <w:rPr>
          <w:b/>
          <w:bCs/>
        </w:rPr>
        <w:t>a</w:t>
      </w:r>
      <w:r w:rsidR="00612760" w:rsidRPr="0000563D">
        <w:rPr>
          <w:b/>
          <w:bCs/>
        </w:rPr>
        <w:t>gainst</w:t>
      </w:r>
      <w:r w:rsidR="001B67B8" w:rsidRPr="0000563D">
        <w:rPr>
          <w:b/>
          <w:bCs/>
        </w:rPr>
        <w:t xml:space="preserve"> </w:t>
      </w:r>
      <w:r w:rsidRPr="0000563D">
        <w:rPr>
          <w:b/>
          <w:bCs/>
        </w:rPr>
        <w:t xml:space="preserve">the </w:t>
      </w:r>
      <w:r w:rsidR="00612760" w:rsidRPr="0000563D">
        <w:rPr>
          <w:b/>
          <w:bCs/>
          <w:i/>
          <w:iCs/>
        </w:rPr>
        <w:t xml:space="preserve">Disability Standards for Accessible Public Transport 2002 </w:t>
      </w:r>
      <w:r w:rsidR="00612760" w:rsidRPr="0000563D">
        <w:rPr>
          <w:b/>
          <w:bCs/>
        </w:rPr>
        <w:t>(</w:t>
      </w:r>
      <w:proofErr w:type="spellStart"/>
      <w:r w:rsidR="00612760" w:rsidRPr="0000563D">
        <w:rPr>
          <w:b/>
          <w:bCs/>
        </w:rPr>
        <w:t>Cth</w:t>
      </w:r>
      <w:proofErr w:type="spellEnd"/>
      <w:r w:rsidR="00612760" w:rsidRPr="0000563D">
        <w:rPr>
          <w:b/>
          <w:bCs/>
        </w:rPr>
        <w:t>)</w:t>
      </w:r>
      <w:r w:rsidRPr="0000563D">
        <w:rPr>
          <w:b/>
          <w:bCs/>
        </w:rPr>
        <w:t xml:space="preserve">. </w:t>
      </w:r>
    </w:p>
    <w:p w14:paraId="57AD4EE3" w14:textId="2F828F1F" w:rsidR="004418FE" w:rsidRPr="0000563D" w:rsidRDefault="004418FE" w:rsidP="00A2165D">
      <w:pPr>
        <w:pStyle w:val="Heading3"/>
        <w:rPr>
          <w:rFonts w:cs="Open Sans"/>
        </w:rPr>
      </w:pPr>
      <w:r w:rsidRPr="0000563D">
        <w:rPr>
          <w:rFonts w:cs="Open Sans"/>
        </w:rPr>
        <w:t>Review of the Standards</w:t>
      </w:r>
    </w:p>
    <w:p w14:paraId="4FBC7C8A" w14:textId="5CCA671F" w:rsidR="008E13B9" w:rsidRPr="0000563D" w:rsidRDefault="00004396" w:rsidP="008911EA">
      <w:r w:rsidRPr="0000563D">
        <w:t>T</w:t>
      </w:r>
      <w:r w:rsidR="008E13B9" w:rsidRPr="0000563D">
        <w:t>here is a statutory requirement for</w:t>
      </w:r>
      <w:r w:rsidR="004418FE" w:rsidRPr="0000563D">
        <w:t xml:space="preserve"> each of the</w:t>
      </w:r>
      <w:r w:rsidR="008E13B9" w:rsidRPr="0000563D">
        <w:t xml:space="preserve"> disability standards to be reviewed every 5 years</w:t>
      </w:r>
      <w:r w:rsidRPr="0000563D">
        <w:t>.</w:t>
      </w:r>
      <w:r w:rsidR="008E13B9" w:rsidRPr="0000563D">
        <w:rPr>
          <w:rStyle w:val="EndnoteReference"/>
        </w:rPr>
        <w:endnoteReference w:id="237"/>
      </w:r>
      <w:r w:rsidR="00B96567" w:rsidRPr="0000563D">
        <w:t xml:space="preserve"> </w:t>
      </w:r>
      <w:r w:rsidR="008E13B9" w:rsidRPr="0000563D">
        <w:t xml:space="preserve">In </w:t>
      </w:r>
      <w:r w:rsidR="00B96567" w:rsidRPr="0000563D">
        <w:rPr>
          <w:rFonts w:eastAsia="Times New Roman"/>
        </w:rPr>
        <w:t xml:space="preserve">our </w:t>
      </w:r>
      <w:r w:rsidR="00FA082D" w:rsidRPr="0000563D">
        <w:t>Free &amp; Equal 2021 Position Paper</w:t>
      </w:r>
      <w:r w:rsidR="008E13B9" w:rsidRPr="0000563D">
        <w:t xml:space="preserve">, </w:t>
      </w:r>
      <w:r w:rsidR="00B96567" w:rsidRPr="0000563D">
        <w:t>we</w:t>
      </w:r>
      <w:r w:rsidR="008E13B9" w:rsidRPr="0000563D">
        <w:t xml:space="preserve"> recommended an independent review of the existing Disability Standards to consider their effectiveness in addressing unlawful discrimination, as well as the effectiveness of the current legislative, governance, policy and practice arrangements in place to implement and achieve compliance with the Disability Standards.</w:t>
      </w:r>
      <w:r w:rsidR="008E13B9" w:rsidRPr="0000563D">
        <w:rPr>
          <w:rStyle w:val="EndnoteReference"/>
        </w:rPr>
        <w:endnoteReference w:id="238"/>
      </w:r>
    </w:p>
    <w:p w14:paraId="0D029519" w14:textId="6BC511AC" w:rsidR="008E13B9" w:rsidRPr="0000563D" w:rsidRDefault="008E13B9" w:rsidP="008911EA">
      <w:r w:rsidRPr="0000563D">
        <w:t xml:space="preserve">Some of the amendments proposed in this Review of the Disability Discrimination Act should </w:t>
      </w:r>
      <w:r w:rsidR="00D82441" w:rsidRPr="0000563D">
        <w:t>effect change in</w:t>
      </w:r>
      <w:r w:rsidRPr="0000563D">
        <w:t xml:space="preserve"> driving compliance with the Standards, especially the introduction of a positive duty to eliminate discrimination and corresponding regulatory powers and functions of the Commission.</w:t>
      </w:r>
    </w:p>
    <w:p w14:paraId="371EA731" w14:textId="77777777" w:rsidR="008E13B9" w:rsidRPr="0000563D" w:rsidRDefault="008E13B9" w:rsidP="008911EA">
      <w:r w:rsidRPr="0000563D">
        <w:t>Finally, the Commission commends the work of the Australian Government, and in particular DITRDCSA, in co-designing new Aviation Standards as one of several disability related initiatives introduced in the Aviation White Paper.</w:t>
      </w:r>
      <w:r w:rsidRPr="0000563D">
        <w:rPr>
          <w:rStyle w:val="EndnoteReference"/>
        </w:rPr>
        <w:endnoteReference w:id="239"/>
      </w:r>
      <w:r w:rsidRPr="0000563D">
        <w:t xml:space="preserve"> There is merit in consideration being given to developing new Disability Standards for other areas covered by the Disability Discrimination Act,</w:t>
      </w:r>
      <w:r w:rsidRPr="0000563D">
        <w:rPr>
          <w:rStyle w:val="EndnoteReference"/>
        </w:rPr>
        <w:endnoteReference w:id="240"/>
      </w:r>
      <w:r w:rsidRPr="0000563D">
        <w:t xml:space="preserve"> for example, around Digital Communication Technology.</w:t>
      </w:r>
      <w:r w:rsidRPr="0000563D">
        <w:rPr>
          <w:rStyle w:val="EndnoteReference"/>
        </w:rPr>
        <w:endnoteReference w:id="241"/>
      </w:r>
      <w:r w:rsidRPr="0000563D">
        <w:t xml:space="preserve"> </w:t>
      </w:r>
    </w:p>
    <w:p w14:paraId="24E1616C" w14:textId="5DA6F410" w:rsidR="00810A64" w:rsidRPr="002D4943" w:rsidRDefault="008E13B9" w:rsidP="0015672E">
      <w:pPr>
        <w:pStyle w:val="Heading1"/>
        <w:rPr>
          <w:rFonts w:ascii="Open Sans" w:hAnsi="Open Sans" w:cs="Open Sans"/>
        </w:rPr>
      </w:pPr>
      <w:bookmarkStart w:id="54" w:name="_Toc214961136"/>
      <w:r w:rsidRPr="002D4943">
        <w:rPr>
          <w:rFonts w:ascii="Open Sans" w:hAnsi="Open Sans" w:cs="Open Sans"/>
        </w:rPr>
        <w:lastRenderedPageBreak/>
        <w:t>Definitions</w:t>
      </w:r>
      <w:bookmarkEnd w:id="54"/>
    </w:p>
    <w:p w14:paraId="5ED1C481" w14:textId="2117681F" w:rsidR="00F52174" w:rsidRPr="0000563D" w:rsidRDefault="00F57C8D" w:rsidP="00F52174">
      <w:pPr>
        <w:pStyle w:val="Sectionsummarybody"/>
        <w:rPr>
          <w:rFonts w:cs="Open Sans"/>
        </w:rPr>
      </w:pPr>
      <w:r w:rsidRPr="0000563D">
        <w:rPr>
          <w:rFonts w:cs="Open Sans"/>
        </w:rPr>
        <w:t xml:space="preserve">This section addresses </w:t>
      </w:r>
      <w:r w:rsidR="00F52174" w:rsidRPr="0000563D">
        <w:rPr>
          <w:rFonts w:cs="Open Sans"/>
        </w:rPr>
        <w:t xml:space="preserve">the scope and elements of </w:t>
      </w:r>
      <w:r w:rsidR="00DD2A0A" w:rsidRPr="0000563D">
        <w:rPr>
          <w:rFonts w:cs="Open Sans"/>
        </w:rPr>
        <w:t xml:space="preserve">3 </w:t>
      </w:r>
      <w:r w:rsidR="00F52174" w:rsidRPr="0000563D">
        <w:rPr>
          <w:rFonts w:cs="Open Sans"/>
        </w:rPr>
        <w:t>terms in the Disability Discrimination Act:</w:t>
      </w:r>
    </w:p>
    <w:p w14:paraId="5F3E1FDE" w14:textId="57795056" w:rsidR="00F52174" w:rsidRPr="0000563D" w:rsidRDefault="00055A50" w:rsidP="00F52174">
      <w:pPr>
        <w:pStyle w:val="Sectionsummarybody"/>
        <w:rPr>
          <w:rFonts w:cs="Open Sans"/>
        </w:rPr>
      </w:pPr>
      <w:r w:rsidRPr="0000563D">
        <w:rPr>
          <w:rFonts w:cs="Open Sans"/>
        </w:rPr>
        <w:t xml:space="preserve">- </w:t>
      </w:r>
      <w:r w:rsidR="00603E2C" w:rsidRPr="0000563D">
        <w:rPr>
          <w:rFonts w:cs="Open Sans"/>
        </w:rPr>
        <w:t>the benefits</w:t>
      </w:r>
      <w:r w:rsidR="00D720F9" w:rsidRPr="0000563D">
        <w:rPr>
          <w:rFonts w:cs="Open Sans"/>
        </w:rPr>
        <w:t xml:space="preserve"> and limitations</w:t>
      </w:r>
      <w:r w:rsidR="00603E2C" w:rsidRPr="0000563D">
        <w:rPr>
          <w:rFonts w:cs="Open Sans"/>
        </w:rPr>
        <w:t xml:space="preserve"> of the </w:t>
      </w:r>
      <w:r w:rsidR="00D720F9" w:rsidRPr="0000563D">
        <w:rPr>
          <w:rFonts w:cs="Open Sans"/>
        </w:rPr>
        <w:t xml:space="preserve">current </w:t>
      </w:r>
      <w:r w:rsidRPr="0000563D">
        <w:rPr>
          <w:rFonts w:cs="Open Sans"/>
        </w:rPr>
        <w:t>definition of disability</w:t>
      </w:r>
      <w:r w:rsidR="00C13960" w:rsidRPr="0000563D">
        <w:rPr>
          <w:rFonts w:cs="Open Sans"/>
        </w:rPr>
        <w:t>, and the potential implications of introducing a social model definition in law.</w:t>
      </w:r>
      <w:r w:rsidR="00D720F9" w:rsidRPr="0000563D">
        <w:rPr>
          <w:rFonts w:cs="Open Sans"/>
        </w:rPr>
        <w:t xml:space="preserve"> </w:t>
      </w:r>
    </w:p>
    <w:p w14:paraId="5DCC30E9" w14:textId="636EADA0" w:rsidR="0050361D" w:rsidRPr="0000563D" w:rsidRDefault="00055A50" w:rsidP="00F52174">
      <w:pPr>
        <w:pStyle w:val="Sectionsummarybody"/>
        <w:rPr>
          <w:rFonts w:cs="Open Sans"/>
        </w:rPr>
      </w:pPr>
      <w:r w:rsidRPr="0000563D">
        <w:rPr>
          <w:rFonts w:cs="Open Sans"/>
        </w:rPr>
        <w:t xml:space="preserve">- the need </w:t>
      </w:r>
      <w:r w:rsidR="00002699" w:rsidRPr="0000563D">
        <w:rPr>
          <w:rFonts w:cs="Open Sans"/>
        </w:rPr>
        <w:t>to prevent the use of e</w:t>
      </w:r>
      <w:r w:rsidR="0050361D" w:rsidRPr="0000563D">
        <w:rPr>
          <w:rFonts w:cs="Open Sans"/>
        </w:rPr>
        <w:t xml:space="preserve">xclusionary </w:t>
      </w:r>
      <w:r w:rsidR="00002699" w:rsidRPr="0000563D">
        <w:rPr>
          <w:rFonts w:cs="Open Sans"/>
        </w:rPr>
        <w:t xml:space="preserve">discipline on children with disability </w:t>
      </w:r>
      <w:r w:rsidR="00DD7565" w:rsidRPr="0000563D">
        <w:rPr>
          <w:rFonts w:cs="Open Sans"/>
        </w:rPr>
        <w:t>all the while</w:t>
      </w:r>
      <w:r w:rsidR="00C13960" w:rsidRPr="0000563D">
        <w:rPr>
          <w:rFonts w:cs="Open Sans"/>
        </w:rPr>
        <w:t xml:space="preserve"> maintain</w:t>
      </w:r>
      <w:r w:rsidR="00DD7565" w:rsidRPr="0000563D">
        <w:rPr>
          <w:rFonts w:cs="Open Sans"/>
        </w:rPr>
        <w:t>ing</w:t>
      </w:r>
      <w:r w:rsidR="00C13960" w:rsidRPr="0000563D">
        <w:rPr>
          <w:rFonts w:cs="Open Sans"/>
        </w:rPr>
        <w:t xml:space="preserve"> broad provisions </w:t>
      </w:r>
      <w:r w:rsidR="00FC11F6" w:rsidRPr="0000563D">
        <w:rPr>
          <w:rFonts w:cs="Open Sans"/>
        </w:rPr>
        <w:t xml:space="preserve">in the Disability Discrimination Act </w:t>
      </w:r>
      <w:r w:rsidR="00C13960" w:rsidRPr="0000563D">
        <w:rPr>
          <w:rFonts w:cs="Open Sans"/>
        </w:rPr>
        <w:t xml:space="preserve">to capture </w:t>
      </w:r>
      <w:r w:rsidR="007B0431" w:rsidRPr="0000563D">
        <w:rPr>
          <w:rFonts w:cs="Open Sans"/>
        </w:rPr>
        <w:t>jurisdictional differences in terminology</w:t>
      </w:r>
      <w:r w:rsidR="00FC11F6" w:rsidRPr="0000563D">
        <w:rPr>
          <w:rFonts w:cs="Open Sans"/>
        </w:rPr>
        <w:t>.</w:t>
      </w:r>
    </w:p>
    <w:p w14:paraId="7B238BE8" w14:textId="4CAB0D10" w:rsidR="000217C7" w:rsidRPr="0000563D" w:rsidRDefault="00495CF3" w:rsidP="00F52174">
      <w:pPr>
        <w:pStyle w:val="Sectionsummarybody"/>
        <w:rPr>
          <w:rFonts w:cs="Open Sans"/>
        </w:rPr>
      </w:pPr>
      <w:r w:rsidRPr="0000563D">
        <w:rPr>
          <w:rFonts w:cs="Open Sans"/>
        </w:rPr>
        <w:t xml:space="preserve">- </w:t>
      </w:r>
      <w:r w:rsidR="006173FE" w:rsidRPr="0000563D">
        <w:rPr>
          <w:rFonts w:cs="Open Sans"/>
        </w:rPr>
        <w:t xml:space="preserve">the continued </w:t>
      </w:r>
      <w:r w:rsidR="00FC11F6" w:rsidRPr="0000563D">
        <w:rPr>
          <w:rFonts w:cs="Open Sans"/>
        </w:rPr>
        <w:t>need for</w:t>
      </w:r>
      <w:r w:rsidR="006173FE" w:rsidRPr="0000563D">
        <w:rPr>
          <w:rFonts w:cs="Open Sans"/>
        </w:rPr>
        <w:t xml:space="preserve"> </w:t>
      </w:r>
      <w:r w:rsidR="00422A92" w:rsidRPr="0000563D">
        <w:rPr>
          <w:rFonts w:cs="Open Sans"/>
        </w:rPr>
        <w:t>certain provisions around assistance animals training requirements</w:t>
      </w:r>
      <w:r w:rsidR="007B0431" w:rsidRPr="0000563D">
        <w:rPr>
          <w:rFonts w:cs="Open Sans"/>
        </w:rPr>
        <w:t>.</w:t>
      </w:r>
    </w:p>
    <w:p w14:paraId="7F9BA5FB" w14:textId="361C2482" w:rsidR="008E13B9" w:rsidRPr="002D4943" w:rsidRDefault="008E13B9" w:rsidP="008E13B9">
      <w:pPr>
        <w:pStyle w:val="Heading2"/>
        <w:rPr>
          <w:rFonts w:ascii="Open Sans" w:hAnsi="Open Sans" w:cs="Open Sans"/>
        </w:rPr>
      </w:pPr>
      <w:bookmarkStart w:id="55" w:name="_Toc214961137"/>
      <w:r w:rsidRPr="002D4943">
        <w:rPr>
          <w:rFonts w:ascii="Open Sans" w:hAnsi="Open Sans" w:cs="Open Sans"/>
        </w:rPr>
        <w:t>Definition of Disability</w:t>
      </w:r>
      <w:bookmarkEnd w:id="55"/>
      <w:r w:rsidRPr="002D4943">
        <w:rPr>
          <w:rFonts w:ascii="Open Sans" w:hAnsi="Open Sans" w:cs="Open Sans"/>
        </w:rPr>
        <w:t xml:space="preserve"> </w:t>
      </w:r>
    </w:p>
    <w:p w14:paraId="3508DB55" w14:textId="74537794" w:rsidR="008E13B9" w:rsidRPr="0000563D" w:rsidRDefault="00751DFC" w:rsidP="008911EA">
      <w:r w:rsidRPr="0000563D">
        <w:t>Historically, disability has been defined based on what is ‘wrong’ with a person with disability. This is known as the medical model</w:t>
      </w:r>
      <w:r w:rsidRPr="0000563D">
        <w:rPr>
          <w:b/>
          <w:bCs/>
        </w:rPr>
        <w:t xml:space="preserve"> </w:t>
      </w:r>
      <w:r w:rsidRPr="0000563D">
        <w:t>of disability</w:t>
      </w:r>
      <w:r w:rsidR="00710A02" w:rsidRPr="0000563D">
        <w:t xml:space="preserve">, which views </w:t>
      </w:r>
      <w:r w:rsidRPr="0000563D">
        <w:t>disability</w:t>
      </w:r>
      <w:r w:rsidR="000179D2" w:rsidRPr="0000563D">
        <w:t xml:space="preserve"> </w:t>
      </w:r>
      <w:r w:rsidRPr="0000563D">
        <w:t xml:space="preserve">as a problem that needs to be fixed, treated or cured. </w:t>
      </w:r>
      <w:r w:rsidR="00585D2B" w:rsidRPr="0000563D">
        <w:t>This</w:t>
      </w:r>
      <w:r w:rsidR="001A269B" w:rsidRPr="0000563D">
        <w:t xml:space="preserve"> pervasive view</w:t>
      </w:r>
      <w:r w:rsidR="008E13B9" w:rsidRPr="0000563D">
        <w:t xml:space="preserve"> perpetuate</w:t>
      </w:r>
      <w:r w:rsidR="00585D2B" w:rsidRPr="0000563D">
        <w:t>s</w:t>
      </w:r>
      <w:r w:rsidR="008E13B9" w:rsidRPr="0000563D">
        <w:t xml:space="preserve"> negative attitudes associated with disability</w:t>
      </w:r>
      <w:r w:rsidR="00164B5D" w:rsidRPr="0000563D">
        <w:t xml:space="preserve"> and </w:t>
      </w:r>
      <w:r w:rsidR="008E13B9" w:rsidRPr="0000563D">
        <w:t>imped</w:t>
      </w:r>
      <w:r w:rsidR="00164B5D" w:rsidRPr="0000563D">
        <w:t>es</w:t>
      </w:r>
      <w:r w:rsidR="008E13B9" w:rsidRPr="0000563D">
        <w:t xml:space="preserve"> true inclusion.</w:t>
      </w:r>
    </w:p>
    <w:p w14:paraId="0C64F08F" w14:textId="6EC57AC0" w:rsidR="00EF2A14" w:rsidRPr="0000563D" w:rsidRDefault="00EF2A14" w:rsidP="008911EA">
      <w:r w:rsidRPr="0000563D">
        <w:t xml:space="preserve">The social model of disability distinguishes between an impairment and disability:  </w:t>
      </w:r>
    </w:p>
    <w:p w14:paraId="176D52A0" w14:textId="77777777" w:rsidR="00EF2A14" w:rsidRPr="0000563D" w:rsidRDefault="00EF2A14" w:rsidP="00606A3C">
      <w:pPr>
        <w:pStyle w:val="ListParagraph"/>
        <w:numPr>
          <w:ilvl w:val="0"/>
          <w:numId w:val="24"/>
        </w:numPr>
      </w:pPr>
      <w:r w:rsidRPr="0000563D">
        <w:t xml:space="preserve">Impairment is part of being human and an individual characteristic that is just one attribute that makes up who a person is. </w:t>
      </w:r>
    </w:p>
    <w:p w14:paraId="58079233" w14:textId="77777777" w:rsidR="00EF2A14" w:rsidRPr="0000563D" w:rsidRDefault="00EF2A14" w:rsidP="00606A3C">
      <w:pPr>
        <w:pStyle w:val="ListParagraph"/>
        <w:numPr>
          <w:ilvl w:val="0"/>
          <w:numId w:val="24"/>
        </w:numPr>
      </w:pPr>
      <w:r w:rsidRPr="0000563D">
        <w:t>Disability results from the way society responds to impairment. It is barriers within society that disables people with impairments.</w:t>
      </w:r>
    </w:p>
    <w:p w14:paraId="37DDA1CA" w14:textId="31E6299A" w:rsidR="008E13B9" w:rsidRPr="0000563D" w:rsidRDefault="008E13B9" w:rsidP="008911EA">
      <w:r w:rsidRPr="0000563D">
        <w:t>The social model recognises that the inequality and discrimination faced by people with disability is not because of their impairment, but because of societal barriers</w:t>
      </w:r>
      <w:r w:rsidR="00BD7968" w:rsidRPr="0000563D">
        <w:t>,</w:t>
      </w:r>
      <w:r w:rsidRPr="0000563D">
        <w:t xml:space="preserve"> such as prejudice and stereotypes, inaccessible physical environments, and ableist laws, systems and processes. </w:t>
      </w:r>
    </w:p>
    <w:p w14:paraId="4F1A28BC" w14:textId="7F0A73AA" w:rsidR="008E13B9" w:rsidRPr="0000563D" w:rsidRDefault="00B34DD6" w:rsidP="008911EA">
      <w:r w:rsidRPr="0000563D">
        <w:t>The CRPD builds on the social model of disability by adding a human rights element. The human right</w:t>
      </w:r>
      <w:r w:rsidR="00B66F4E" w:rsidRPr="0000563D">
        <w:t>s</w:t>
      </w:r>
      <w:r w:rsidRPr="0000563D">
        <w:t xml:space="preserve"> model reinforces that human rights cannot be denied or limited </w:t>
      </w:r>
      <w:proofErr w:type="gramStart"/>
      <w:r w:rsidRPr="0000563D">
        <w:t>on the basis of</w:t>
      </w:r>
      <w:proofErr w:type="gramEnd"/>
      <w:r w:rsidRPr="0000563D">
        <w:t xml:space="preserve"> impairment. People with disability have rights that cannot be breached just because they have an impairment. </w:t>
      </w:r>
      <w:r w:rsidR="008E13B9" w:rsidRPr="0000563D">
        <w:t>Together, the social and human rights models focus on removing barriers to enable people with disability to participate as equal members of society.</w:t>
      </w:r>
      <w:r w:rsidR="008E13B9" w:rsidRPr="0000563D">
        <w:rPr>
          <w:rStyle w:val="EndnoteReference"/>
        </w:rPr>
        <w:endnoteReference w:id="242"/>
      </w:r>
    </w:p>
    <w:p w14:paraId="39999E3F" w14:textId="005381DE" w:rsidR="008E13B9" w:rsidRPr="0000563D" w:rsidRDefault="008E13B9" w:rsidP="008911EA">
      <w:r w:rsidRPr="0000563D">
        <w:t>The CRPD does not introduce a definition of impairment. Instead</w:t>
      </w:r>
      <w:r w:rsidR="00ED1C17" w:rsidRPr="0000563D">
        <w:t>,</w:t>
      </w:r>
      <w:r w:rsidRPr="0000563D">
        <w:t xml:space="preserve"> it provides a non-exhaustive list of impairments that are within </w:t>
      </w:r>
      <w:r w:rsidR="00DA138C" w:rsidRPr="0000563D">
        <w:t xml:space="preserve">the </w:t>
      </w:r>
      <w:r w:rsidRPr="0000563D">
        <w:t>scope of the treaty.</w:t>
      </w:r>
      <w:r w:rsidRPr="0000563D">
        <w:rPr>
          <w:rStyle w:val="EndnoteReference"/>
        </w:rPr>
        <w:endnoteReference w:id="243"/>
      </w:r>
      <w:r w:rsidRPr="0000563D">
        <w:t xml:space="preserve"> This was done intentionally by the drafters to allow </w:t>
      </w:r>
      <w:r w:rsidR="004C251D" w:rsidRPr="0000563D">
        <w:t>for</w:t>
      </w:r>
      <w:r w:rsidRPr="0000563D">
        <w:t xml:space="preserve"> the understandings of impairment and disability to evolve over time.</w:t>
      </w:r>
      <w:r w:rsidRPr="0000563D">
        <w:rPr>
          <w:rStyle w:val="EndnoteReference"/>
        </w:rPr>
        <w:endnoteReference w:id="244"/>
      </w:r>
    </w:p>
    <w:p w14:paraId="5558AA95" w14:textId="75DAA45A" w:rsidR="008E13B9" w:rsidRPr="0000563D" w:rsidRDefault="008E13B9" w:rsidP="008911EA">
      <w:r w:rsidRPr="0000563D">
        <w:lastRenderedPageBreak/>
        <w:t>The definition of disability in the Disability Discrimination Act</w:t>
      </w:r>
      <w:r w:rsidRPr="0000563D">
        <w:rPr>
          <w:vertAlign w:val="superscript"/>
        </w:rPr>
        <w:endnoteReference w:id="245"/>
      </w:r>
      <w:r w:rsidRPr="0000563D">
        <w:t xml:space="preserve"> is essentially a definition of impairment. The definition is broad and inclusive, covering impairment that may have occurred in the past, may occur in the future or that is imputed. The definition is applied broadly by the Commission, as administrator of complaints, and by the courts. </w:t>
      </w:r>
    </w:p>
    <w:p w14:paraId="4594EBD9" w14:textId="57D09FB1" w:rsidR="008E13B9" w:rsidRPr="0000563D" w:rsidRDefault="008E13B9" w:rsidP="008911EA">
      <w:r w:rsidRPr="0000563D">
        <w:t xml:space="preserve">The definition lists categories of impairments using deficit language, including the use of the words: ‘loss’, ‘malfunction’, ‘malformation’, ‘disfigurement’, ‘disorder’, ‘illness’, ‘disease’ or ‘disturbed’. This type of language reinforces ableist stereotypes, perpetuates an outdated medical model of disability. The Commission proposes that the language be updated to remove the deficit language. This would </w:t>
      </w:r>
      <w:r w:rsidR="00C57C24" w:rsidRPr="0000563D">
        <w:t>contribute</w:t>
      </w:r>
      <w:r w:rsidRPr="0000563D">
        <w:t xml:space="preserve"> to captur</w:t>
      </w:r>
      <w:r w:rsidR="00C57C24" w:rsidRPr="0000563D">
        <w:t>ing</w:t>
      </w:r>
      <w:r w:rsidRPr="0000563D">
        <w:t xml:space="preserve"> more contemporary understandings of disability, such as neurodiver</w:t>
      </w:r>
      <w:r w:rsidR="68D401EF" w:rsidRPr="0000563D">
        <w:t>gence</w:t>
      </w:r>
      <w:r w:rsidRPr="0000563D">
        <w:t>.</w:t>
      </w:r>
    </w:p>
    <w:p w14:paraId="7D28B5E0" w14:textId="5A35A065" w:rsidR="008E13B9" w:rsidRPr="0000563D" w:rsidRDefault="58F07BA5" w:rsidP="008911EA">
      <w:r w:rsidRPr="0000563D">
        <w:t xml:space="preserve">The Commission also notes that </w:t>
      </w:r>
      <w:r w:rsidR="008E13B9" w:rsidRPr="0000563D">
        <w:t>the current definition of disabilit</w:t>
      </w:r>
      <w:r w:rsidR="00006F77" w:rsidRPr="0000563D">
        <w:t>y</w:t>
      </w:r>
      <w:r w:rsidR="008E13B9" w:rsidRPr="0000563D">
        <w:t xml:space="preserve"> is </w:t>
      </w:r>
      <w:r w:rsidR="00F70E71" w:rsidRPr="0000563D">
        <w:t xml:space="preserve">sufficiently </w:t>
      </w:r>
      <w:r w:rsidR="008E13B9" w:rsidRPr="0000563D">
        <w:t xml:space="preserve">broad and clear </w:t>
      </w:r>
      <w:r w:rsidR="00E070F5" w:rsidRPr="0000563D">
        <w:t>to ensure</w:t>
      </w:r>
      <w:r w:rsidR="008E13B9" w:rsidRPr="0000563D">
        <w:t xml:space="preserve"> that people with disability </w:t>
      </w:r>
      <w:proofErr w:type="gramStart"/>
      <w:r w:rsidR="0AFFFFA9" w:rsidRPr="0000563D">
        <w:t>are able to</w:t>
      </w:r>
      <w:proofErr w:type="gramEnd"/>
      <w:r w:rsidR="0AFFFFA9" w:rsidRPr="0000563D">
        <w:t xml:space="preserve"> </w:t>
      </w:r>
      <w:r w:rsidR="008E13B9" w:rsidRPr="0000563D">
        <w:t xml:space="preserve">prove that they have disability under the Disability Discrimination Act. While </w:t>
      </w:r>
      <w:r w:rsidR="00371738" w:rsidRPr="0000563D">
        <w:t xml:space="preserve">people </w:t>
      </w:r>
      <w:r w:rsidR="00402701" w:rsidRPr="0000563D">
        <w:t>with</w:t>
      </w:r>
      <w:r w:rsidR="008E13B9" w:rsidRPr="0000563D">
        <w:t xml:space="preserve"> certain </w:t>
      </w:r>
      <w:r w:rsidR="00402701" w:rsidRPr="0000563D">
        <w:t xml:space="preserve">medical conditions such as </w:t>
      </w:r>
      <w:r w:rsidR="008E13B9" w:rsidRPr="0000563D">
        <w:t>HIV or mental health conditions</w:t>
      </w:r>
      <w:r w:rsidR="00A52E4E" w:rsidRPr="0000563D">
        <w:t>,</w:t>
      </w:r>
      <w:r w:rsidR="008E13B9" w:rsidRPr="0000563D">
        <w:t xml:space="preserve"> may not identify with the language of the Act, they are considered </w:t>
      </w:r>
      <w:r w:rsidR="00842CA9" w:rsidRPr="0000563D">
        <w:t xml:space="preserve">to </w:t>
      </w:r>
      <w:r w:rsidR="008E13B9" w:rsidRPr="0000563D">
        <w:t>hav</w:t>
      </w:r>
      <w:r w:rsidR="00842CA9" w:rsidRPr="0000563D">
        <w:t>e</w:t>
      </w:r>
      <w:r w:rsidR="008E13B9" w:rsidRPr="0000563D">
        <w:t xml:space="preserve"> disability for the purposes of </w:t>
      </w:r>
      <w:r w:rsidR="00842CA9" w:rsidRPr="0000563D">
        <w:t xml:space="preserve">the </w:t>
      </w:r>
      <w:r w:rsidR="008E13B9" w:rsidRPr="0000563D">
        <w:t>protect</w:t>
      </w:r>
      <w:r w:rsidR="00842CA9" w:rsidRPr="0000563D">
        <w:t>ions in</w:t>
      </w:r>
      <w:r w:rsidR="008E13B9" w:rsidRPr="0000563D">
        <w:t xml:space="preserve"> the Disability Discrimination Act.  </w:t>
      </w:r>
    </w:p>
    <w:p w14:paraId="45149462" w14:textId="25400955" w:rsidR="6351E4AC" w:rsidRPr="0000563D" w:rsidRDefault="6351E4AC" w:rsidP="1A6683D4">
      <w:pPr>
        <w:rPr>
          <w:highlight w:val="magenta"/>
        </w:rPr>
      </w:pPr>
      <w:r w:rsidRPr="0000563D">
        <w:t xml:space="preserve">Overall, the Commission’s experience in administering the Disability Discrimination Act is that the definition of disability </w:t>
      </w:r>
      <w:r w:rsidR="006A6345" w:rsidRPr="0000563D">
        <w:t>operates</w:t>
      </w:r>
      <w:r w:rsidRPr="0000563D">
        <w:t xml:space="preserve"> effectively from a practical standpoint. It ensures that people with disability are clearly and practically identified so the focus is on the discrimination itself. Any amendments should therefore be limited to modernising the language to remove deficit-based terminology.</w:t>
      </w:r>
    </w:p>
    <w:p w14:paraId="1DD64E9C" w14:textId="702C50F1" w:rsidR="008E13B9" w:rsidRPr="0000563D" w:rsidRDefault="6351E4AC" w:rsidP="008911EA">
      <w:r w:rsidRPr="0000563D">
        <w:t xml:space="preserve">This would </w:t>
      </w:r>
      <w:proofErr w:type="gramStart"/>
      <w:r w:rsidRPr="0000563D">
        <w:t>be in contrast to</w:t>
      </w:r>
      <w:proofErr w:type="gramEnd"/>
      <w:r w:rsidRPr="0000563D">
        <w:t xml:space="preserve"> broader reform that would replace the existing approach with</w:t>
      </w:r>
      <w:r w:rsidR="008E13B9" w:rsidRPr="0000563D">
        <w:t xml:space="preserve"> the introduction of a social model definition in the Disability Discrimination Act.  </w:t>
      </w:r>
    </w:p>
    <w:p w14:paraId="29F07A9D" w14:textId="61986713" w:rsidR="008E13B9" w:rsidRPr="0000563D" w:rsidRDefault="008E13B9" w:rsidP="008911EA">
      <w:r w:rsidRPr="0000563D">
        <w:t xml:space="preserve">Lessons can be learned from the United States of America where the </w:t>
      </w:r>
      <w:r w:rsidRPr="0000563D">
        <w:rPr>
          <w:i/>
        </w:rPr>
        <w:t>Americans with Disabilities Act 1990</w:t>
      </w:r>
      <w:r w:rsidRPr="0000563D">
        <w:t xml:space="preserve"> (ADA) introduced a definition based on the social model. </w:t>
      </w:r>
      <w:r w:rsidR="00AA73E7" w:rsidRPr="0000563D">
        <w:t xml:space="preserve">The </w:t>
      </w:r>
      <w:r w:rsidR="00AA73E7" w:rsidRPr="002D4943">
        <w:rPr>
          <w:rFonts w:eastAsia="Times New Roman"/>
          <w:color w:val="0A0A0A"/>
          <w:shd w:val="clear" w:color="auto" w:fill="FFFFFF"/>
        </w:rPr>
        <w:t>ADA defin</w:t>
      </w:r>
      <w:r w:rsidR="00B5053A" w:rsidRPr="002D4943">
        <w:rPr>
          <w:rFonts w:eastAsia="Times New Roman"/>
          <w:color w:val="0A0A0A"/>
          <w:shd w:val="clear" w:color="auto" w:fill="FFFFFF"/>
        </w:rPr>
        <w:t xml:space="preserve">es </w:t>
      </w:r>
      <w:r w:rsidR="00191C37" w:rsidRPr="002D4943">
        <w:rPr>
          <w:rFonts w:eastAsia="Times New Roman"/>
          <w:color w:val="0A0A0A"/>
          <w:shd w:val="clear" w:color="auto" w:fill="FFFFFF"/>
        </w:rPr>
        <w:t>disability</w:t>
      </w:r>
      <w:r w:rsidR="00F735B3" w:rsidRPr="002D4943">
        <w:rPr>
          <w:rFonts w:eastAsia="Times New Roman"/>
          <w:color w:val="0A0A0A"/>
          <w:shd w:val="clear" w:color="auto" w:fill="FFFFFF"/>
        </w:rPr>
        <w:t xml:space="preserve"> </w:t>
      </w:r>
      <w:r w:rsidR="00191C37" w:rsidRPr="002D4943">
        <w:rPr>
          <w:rFonts w:eastAsia="Times New Roman"/>
          <w:color w:val="0A0A0A"/>
          <w:shd w:val="clear" w:color="auto" w:fill="FFFFFF"/>
        </w:rPr>
        <w:t>as a physical or mental impairment that substantially limits one or more major life activities</w:t>
      </w:r>
      <w:r w:rsidR="00EE104B" w:rsidRPr="002D4943">
        <w:rPr>
          <w:rFonts w:eastAsia="Times New Roman"/>
          <w:color w:val="0A0A0A"/>
          <w:shd w:val="clear" w:color="auto" w:fill="FFFFFF"/>
        </w:rPr>
        <w:t>.</w:t>
      </w:r>
      <w:r w:rsidR="00EC4C55" w:rsidRPr="0000563D">
        <w:rPr>
          <w:rStyle w:val="EndnoteReference"/>
        </w:rPr>
        <w:t xml:space="preserve"> </w:t>
      </w:r>
      <w:r w:rsidR="00EC4C55" w:rsidRPr="0000563D">
        <w:rPr>
          <w:rStyle w:val="EndnoteReference"/>
        </w:rPr>
        <w:endnoteReference w:id="246"/>
      </w:r>
      <w:r w:rsidRPr="0000563D">
        <w:t xml:space="preserve"> Interpretation of the ADA showed a tendency to focus on the limits of the protected class, focusing on identifying whether a person has </w:t>
      </w:r>
      <w:r w:rsidR="006809D2" w:rsidRPr="0000563D">
        <w:t>an</w:t>
      </w:r>
      <w:r w:rsidRPr="002D4943">
        <w:rPr>
          <w:rFonts w:eastAsia="Times New Roman"/>
          <w:color w:val="0A0A0A"/>
          <w:shd w:val="clear" w:color="auto" w:fill="FFFFFF"/>
        </w:rPr>
        <w:t xml:space="preserve"> </w:t>
      </w:r>
      <w:r w:rsidR="004B79BA" w:rsidRPr="002D4943">
        <w:rPr>
          <w:rFonts w:eastAsia="Times New Roman"/>
          <w:color w:val="0A0A0A"/>
          <w:shd w:val="clear" w:color="auto" w:fill="FFFFFF"/>
        </w:rPr>
        <w:t xml:space="preserve">impairment </w:t>
      </w:r>
      <w:r w:rsidR="000531B4" w:rsidRPr="002D4943">
        <w:rPr>
          <w:rFonts w:eastAsia="Times New Roman"/>
          <w:color w:val="0A0A0A"/>
          <w:shd w:val="clear" w:color="auto" w:fill="FFFFFF"/>
        </w:rPr>
        <w:t>that</w:t>
      </w:r>
      <w:r w:rsidR="004B79BA" w:rsidRPr="002D4943">
        <w:rPr>
          <w:rFonts w:eastAsia="Times New Roman"/>
          <w:color w:val="0A0A0A"/>
          <w:shd w:val="clear" w:color="auto" w:fill="FFFFFF"/>
        </w:rPr>
        <w:t xml:space="preserve"> has a significant effect on </w:t>
      </w:r>
      <w:r w:rsidR="00585128" w:rsidRPr="002D4943">
        <w:rPr>
          <w:rFonts w:eastAsia="Times New Roman"/>
          <w:color w:val="0A0A0A"/>
          <w:shd w:val="clear" w:color="auto" w:fill="FFFFFF"/>
        </w:rPr>
        <w:t>their</w:t>
      </w:r>
      <w:r w:rsidR="004B79BA" w:rsidRPr="002D4943">
        <w:rPr>
          <w:rFonts w:eastAsia="Times New Roman"/>
          <w:color w:val="0A0A0A"/>
          <w:shd w:val="clear" w:color="auto" w:fill="FFFFFF"/>
        </w:rPr>
        <w:t xml:space="preserve"> ability to perform a major life activity,</w:t>
      </w:r>
      <w:r w:rsidR="004B79BA" w:rsidRPr="0000563D">
        <w:t xml:space="preserve"> </w:t>
      </w:r>
      <w:r w:rsidR="003C6129" w:rsidRPr="0000563D">
        <w:t>instead</w:t>
      </w:r>
      <w:r w:rsidR="00453D57" w:rsidRPr="0000563D">
        <w:t xml:space="preserve"> </w:t>
      </w:r>
      <w:r w:rsidRPr="0000563D">
        <w:t>of focusing on the discrimination itself. This often led to courts failing to consider whether unlawful discrimination had occurred, resulting in a narrow interpretation of the protections provided by the ADA.</w:t>
      </w:r>
      <w:r w:rsidR="007A300C" w:rsidRPr="0000563D">
        <w:t xml:space="preserve"> </w:t>
      </w:r>
      <w:r w:rsidRPr="0000563D">
        <w:t>Attempts have been made to amend the definition of disability in the ADA to reinstate a broad construction of the definition of disability.</w:t>
      </w:r>
      <w:r w:rsidR="000226A6" w:rsidRPr="0000563D">
        <w:rPr>
          <w:rStyle w:val="EndnoteReference"/>
        </w:rPr>
        <w:endnoteReference w:id="247"/>
      </w:r>
      <w:r w:rsidRPr="0000563D">
        <w:t xml:space="preserve"> However, the courts have continued to rely on the social model definition of disability, </w:t>
      </w:r>
      <w:r w:rsidR="00AF4C29" w:rsidRPr="0000563D">
        <w:t xml:space="preserve"> maintaining a focus on establishing whether </w:t>
      </w:r>
      <w:r w:rsidR="00BC1F81" w:rsidRPr="0000563D">
        <w:t xml:space="preserve">a person meets the definition of </w:t>
      </w:r>
      <w:r w:rsidR="00BC1F81" w:rsidRPr="0000563D">
        <w:lastRenderedPageBreak/>
        <w:t xml:space="preserve">disability within the law, rather than focusing on identifying and remedying the barriers experienced because of their </w:t>
      </w:r>
      <w:r w:rsidR="00677C26" w:rsidRPr="0000563D">
        <w:t>impairment</w:t>
      </w:r>
      <w:r w:rsidRPr="0000563D">
        <w:t>.</w:t>
      </w:r>
    </w:p>
    <w:p w14:paraId="2618ECB8" w14:textId="06A7FF6B" w:rsidR="008E13B9" w:rsidRPr="0000563D" w:rsidRDefault="008E13B9" w:rsidP="1A6683D4">
      <w:pPr>
        <w:rPr>
          <w:u w:val="single"/>
        </w:rPr>
      </w:pPr>
      <w:r w:rsidRPr="0000563D">
        <w:t xml:space="preserve">Any amendments to the definition of disability in the Disability Discrimination Act should seek to preserve its broad application so that everyone with disability is protected by the law. </w:t>
      </w:r>
      <w:r w:rsidR="00EF3FB7" w:rsidRPr="0000563D">
        <w:t>C</w:t>
      </w:r>
      <w:r w:rsidRPr="0000563D">
        <w:t xml:space="preserve">onsideration </w:t>
      </w:r>
      <w:r w:rsidR="00EF3FB7" w:rsidRPr="0000563D">
        <w:t>should be given</w:t>
      </w:r>
      <w:r w:rsidRPr="0000563D">
        <w:t xml:space="preserve"> to removing deficit language. </w:t>
      </w:r>
    </w:p>
    <w:p w14:paraId="59EB52EE" w14:textId="19061DB9" w:rsidR="008E13B9" w:rsidRPr="0000563D" w:rsidRDefault="008E13B9" w:rsidP="008911EA">
      <w:r w:rsidRPr="0000563D">
        <w:t>The Issues Paper notes but does not seek views on the Disability Royal Commission</w:t>
      </w:r>
      <w:r w:rsidR="00F73B61" w:rsidRPr="0000563D">
        <w:t>’s</w:t>
      </w:r>
      <w:r w:rsidRPr="0000563D">
        <w:t xml:space="preserve"> recommendation to amend the Fair Work Act to ensure a definition of disability that is consistent with the Disability Discrimination Act. The Commission support</w:t>
      </w:r>
      <w:r w:rsidR="00F73B61" w:rsidRPr="0000563D">
        <w:t>s</w:t>
      </w:r>
      <w:r w:rsidRPr="0000563D">
        <w:t xml:space="preserve"> the amendment, noting it is beyond the scope of the present Review. </w:t>
      </w:r>
    </w:p>
    <w:p w14:paraId="332EC3F3" w14:textId="70B16564" w:rsidR="008E13B9" w:rsidRPr="002D4943" w:rsidRDefault="008E13B9" w:rsidP="008E13B9">
      <w:pPr>
        <w:pStyle w:val="Heading2"/>
        <w:rPr>
          <w:rFonts w:ascii="Open Sans" w:hAnsi="Open Sans" w:cs="Open Sans"/>
        </w:rPr>
      </w:pPr>
      <w:bookmarkStart w:id="56" w:name="_Toc214961138"/>
      <w:r w:rsidRPr="002D4943">
        <w:rPr>
          <w:rFonts w:ascii="Open Sans" w:hAnsi="Open Sans" w:cs="Open Sans"/>
        </w:rPr>
        <w:t>Exclusionary discipline and suspension</w:t>
      </w:r>
      <w:bookmarkEnd w:id="56"/>
    </w:p>
    <w:p w14:paraId="24202097" w14:textId="77777777" w:rsidR="008E13B9" w:rsidRPr="0000563D" w:rsidRDefault="008E13B9" w:rsidP="008911EA">
      <w:proofErr w:type="gramStart"/>
      <w:r w:rsidRPr="0000563D">
        <w:t>In the course of</w:t>
      </w:r>
      <w:proofErr w:type="gramEnd"/>
      <w:r w:rsidRPr="0000563D">
        <w:t xml:space="preserve"> its inquiry, the Disability Royal Commission received evidence about the inappropriate use of exclusionary disciplines in schools in response to perceived negative or disobedient behaviour.</w:t>
      </w:r>
      <w:r w:rsidRPr="0000563D">
        <w:rPr>
          <w:rStyle w:val="EndnoteReference"/>
        </w:rPr>
        <w:endnoteReference w:id="248"/>
      </w:r>
      <w:r w:rsidRPr="0000563D">
        <w:t xml:space="preserve"> </w:t>
      </w:r>
    </w:p>
    <w:p w14:paraId="7F8EF620" w14:textId="773F354E" w:rsidR="008E13B9" w:rsidRPr="0000563D" w:rsidRDefault="008E13B9" w:rsidP="008911EA">
      <w:r w:rsidRPr="0000563D">
        <w:t xml:space="preserve">This concern was raised in the 2019 Review of Australia’s implementation of the CRPD, where the CRPD Committee observed a ‘significant increase’ </w:t>
      </w:r>
      <w:r w:rsidR="00B15E1C" w:rsidRPr="0000563D">
        <w:t xml:space="preserve">in </w:t>
      </w:r>
      <w:r w:rsidRPr="0000563D">
        <w:t>students with disability in educational settings experiencing exclusion</w:t>
      </w:r>
      <w:r w:rsidRPr="0000563D">
        <w:rPr>
          <w:kern w:val="2"/>
          <w:lang w:eastAsia="en-US"/>
          <w14:ligatures w14:val="standardContextual"/>
        </w:rPr>
        <w:t>, segregation and isolation in Australia</w:t>
      </w:r>
      <w:r w:rsidRPr="0000563D">
        <w:t>.</w:t>
      </w:r>
      <w:r w:rsidRPr="0000563D">
        <w:rPr>
          <w:rStyle w:val="EndnoteReference"/>
        </w:rPr>
        <w:endnoteReference w:id="249"/>
      </w:r>
      <w:r w:rsidRPr="0000563D">
        <w:t xml:space="preserve"> The Commission is aware that these practices are ongoing as it remains one of the </w:t>
      </w:r>
      <w:r w:rsidR="00B15E1C" w:rsidRPr="0000563D">
        <w:t xml:space="preserve">predominant areas of </w:t>
      </w:r>
      <w:r w:rsidRPr="0000563D">
        <w:t xml:space="preserve">complaint about disability discrimination in school education. The framing of these practices as ‘discipline’ does not adequately capture the range of practices that are subject of complaints. </w:t>
      </w:r>
    </w:p>
    <w:p w14:paraId="2A852F73" w14:textId="77777777" w:rsidR="008E13B9" w:rsidRPr="0000563D" w:rsidRDefault="008E13B9" w:rsidP="008911EA">
      <w:r w:rsidRPr="0000563D">
        <w:t>The Commission accepts and corroborates findings made by the Disability Royal Commission that these practices diminish the enjoyment of the right to access education on an equal basis with others. The Disability Royal Commission pointed to negative impacts these practices can have in the long term, as is demonstrated in research linking school disengagement with a risk of early criminalisation of children with disability.</w:t>
      </w:r>
      <w:r w:rsidRPr="0000563D">
        <w:rPr>
          <w:rStyle w:val="EndnoteReference"/>
        </w:rPr>
        <w:endnoteReference w:id="250"/>
      </w:r>
    </w:p>
    <w:p w14:paraId="527A1223" w14:textId="24F81CBF" w:rsidR="008E13B9" w:rsidRPr="0000563D" w:rsidRDefault="008E13B9" w:rsidP="008911EA">
      <w:r w:rsidRPr="0000563D">
        <w:t xml:space="preserve">The Disability Discrimination Act </w:t>
      </w:r>
      <w:r w:rsidR="004C2394" w:rsidRPr="0000563D">
        <w:t>prohibits discrimination</w:t>
      </w:r>
      <w:r w:rsidR="00DC3AC4" w:rsidRPr="0000563D">
        <w:t xml:space="preserve"> </w:t>
      </w:r>
      <w:proofErr w:type="gramStart"/>
      <w:r w:rsidR="00DC3AC4" w:rsidRPr="0000563D">
        <w:t>on the basis of</w:t>
      </w:r>
      <w:proofErr w:type="gramEnd"/>
      <w:r w:rsidR="00DC3AC4" w:rsidRPr="0000563D">
        <w:t xml:space="preserve"> disability in</w:t>
      </w:r>
      <w:r w:rsidR="004C2394" w:rsidRPr="0000563D">
        <w:t xml:space="preserve"> </w:t>
      </w:r>
      <w:r w:rsidRPr="0000563D">
        <w:t>education</w:t>
      </w:r>
      <w:r w:rsidR="004B73AE" w:rsidRPr="0000563D">
        <w:t>,</w:t>
      </w:r>
      <w:r w:rsidRPr="0000563D">
        <w:t xml:space="preserve"> as </w:t>
      </w:r>
      <w:r w:rsidR="004B73AE" w:rsidRPr="0000563D">
        <w:t>well as other</w:t>
      </w:r>
      <w:r w:rsidRPr="0000563D">
        <w:t xml:space="preserve"> area</w:t>
      </w:r>
      <w:r w:rsidR="004B73AE" w:rsidRPr="0000563D">
        <w:t>s</w:t>
      </w:r>
      <w:r w:rsidRPr="0000563D">
        <w:t xml:space="preserve"> of public life. </w:t>
      </w:r>
      <w:r w:rsidR="00AA2A02" w:rsidRPr="0000563D">
        <w:t xml:space="preserve">Section 22(2) specifically </w:t>
      </w:r>
      <w:r w:rsidR="00BA2A2B" w:rsidRPr="0000563D">
        <w:t>addresses discrimination against a student on the ground of disability by</w:t>
      </w:r>
      <w:r w:rsidRPr="0000563D">
        <w:t>:</w:t>
      </w:r>
    </w:p>
    <w:p w14:paraId="3016ADDF" w14:textId="5920F115" w:rsidR="008E13B9" w:rsidRPr="0000563D" w:rsidRDefault="00FB40D9" w:rsidP="00606A3C">
      <w:pPr>
        <w:pStyle w:val="ListParagraph"/>
        <w:numPr>
          <w:ilvl w:val="0"/>
          <w:numId w:val="17"/>
        </w:numPr>
      </w:pPr>
      <w:r w:rsidRPr="0000563D">
        <w:t>D</w:t>
      </w:r>
      <w:r w:rsidR="008E13B9" w:rsidRPr="0000563D">
        <w:t>enying</w:t>
      </w:r>
      <w:r w:rsidRPr="0000563D">
        <w:t>, or limiting,</w:t>
      </w:r>
      <w:r w:rsidR="008E13B9" w:rsidRPr="0000563D">
        <w:t xml:space="preserve"> the student access to any benefit provided by the educational </w:t>
      </w:r>
      <w:proofErr w:type="gramStart"/>
      <w:r w:rsidR="008E13B9" w:rsidRPr="0000563D">
        <w:t>authority;</w:t>
      </w:r>
      <w:proofErr w:type="gramEnd"/>
      <w:r w:rsidR="008E13B9" w:rsidRPr="0000563D">
        <w:t xml:space="preserve"> </w:t>
      </w:r>
    </w:p>
    <w:p w14:paraId="7118FFBA" w14:textId="77777777" w:rsidR="008E13B9" w:rsidRPr="0000563D" w:rsidRDefault="008E13B9" w:rsidP="00606A3C">
      <w:pPr>
        <w:pStyle w:val="ListParagraph"/>
        <w:numPr>
          <w:ilvl w:val="0"/>
          <w:numId w:val="17"/>
        </w:numPr>
      </w:pPr>
      <w:r w:rsidRPr="0000563D">
        <w:t xml:space="preserve">expelling a student; or </w:t>
      </w:r>
    </w:p>
    <w:p w14:paraId="671779DB" w14:textId="77777777" w:rsidR="008E13B9" w:rsidRPr="0000563D" w:rsidRDefault="008E13B9" w:rsidP="00606A3C">
      <w:pPr>
        <w:pStyle w:val="ListParagraph"/>
        <w:numPr>
          <w:ilvl w:val="0"/>
          <w:numId w:val="17"/>
        </w:numPr>
      </w:pPr>
      <w:r w:rsidRPr="0000563D">
        <w:t>subjecting the student to any other detriment.</w:t>
      </w:r>
      <w:r w:rsidRPr="0000563D">
        <w:rPr>
          <w:rStyle w:val="EndnoteReference"/>
        </w:rPr>
        <w:endnoteReference w:id="251"/>
      </w:r>
      <w:r w:rsidRPr="0000563D">
        <w:t xml:space="preserve"> </w:t>
      </w:r>
    </w:p>
    <w:p w14:paraId="0AAAA6FF" w14:textId="77777777" w:rsidR="008E13B9" w:rsidRPr="0000563D" w:rsidRDefault="008E13B9" w:rsidP="008911EA">
      <w:r w:rsidRPr="0000563D">
        <w:lastRenderedPageBreak/>
        <w:t>The Age Discrimination Act and Sex Discrimination Act include similar provisions, drafted in a consistent way to the Disability Discrimination Act.</w:t>
      </w:r>
      <w:r w:rsidRPr="0000563D">
        <w:rPr>
          <w:rStyle w:val="EndnoteReference"/>
        </w:rPr>
        <w:endnoteReference w:id="252"/>
      </w:r>
      <w:r w:rsidRPr="0000563D">
        <w:t xml:space="preserve"> </w:t>
      </w:r>
    </w:p>
    <w:p w14:paraId="4FD52F58" w14:textId="504451B3" w:rsidR="008E13B9" w:rsidRPr="0000563D" w:rsidRDefault="001765AE" w:rsidP="008911EA">
      <w:r w:rsidRPr="0000563D">
        <w:t xml:space="preserve">The </w:t>
      </w:r>
      <w:r w:rsidR="008E13B9" w:rsidRPr="0000563D">
        <w:t>Disability Royal Commission</w:t>
      </w:r>
      <w:r w:rsidRPr="0000563D">
        <w:t>’s</w:t>
      </w:r>
      <w:r w:rsidR="008E13B9" w:rsidRPr="0000563D">
        <w:t xml:space="preserve"> Recommendation 7.2 on measures to prevent the inappropriate use of exclusionary discipline against students with disability calls on state</w:t>
      </w:r>
      <w:r w:rsidR="003934C4" w:rsidRPr="0000563D">
        <w:t>s</w:t>
      </w:r>
      <w:r w:rsidR="008E13B9" w:rsidRPr="0000563D">
        <w:t xml:space="preserve"> and territories to adopt consistent measures in regulation, rules and procedures. It is in the context of this broad recommendation, that the Disability Royal Commission propose</w:t>
      </w:r>
      <w:r w:rsidR="00D60187" w:rsidRPr="0000563D">
        <w:t>d</w:t>
      </w:r>
      <w:r w:rsidR="008E13B9" w:rsidRPr="0000563D">
        <w:t xml:space="preserve"> amendments to section 22(2)(b) of the Disability Discrimination Act to insert ‘suspension and exclusion’, in addition to the existing provision on expulsions. </w:t>
      </w:r>
    </w:p>
    <w:p w14:paraId="40863157" w14:textId="4E9DEA62" w:rsidR="008E13B9" w:rsidRPr="0000563D" w:rsidRDefault="008E13B9" w:rsidP="008911EA">
      <w:r w:rsidRPr="0000563D">
        <w:t xml:space="preserve">The Disability Royal Commission acknowledges that suspensions and exclusions are already </w:t>
      </w:r>
      <w:r w:rsidR="00146523" w:rsidRPr="0000563D">
        <w:t xml:space="preserve">captured </w:t>
      </w:r>
      <w:r w:rsidR="00E03063" w:rsidRPr="0000563D">
        <w:t xml:space="preserve">in s </w:t>
      </w:r>
      <w:r w:rsidR="000975FC" w:rsidRPr="0000563D">
        <w:t>22</w:t>
      </w:r>
      <w:r w:rsidR="00832F6C" w:rsidRPr="0000563D">
        <w:t>(2)(c)</w:t>
      </w:r>
      <w:r w:rsidR="003959C8" w:rsidRPr="0000563D">
        <w:t xml:space="preserve"> </w:t>
      </w:r>
      <w:r w:rsidR="00146523" w:rsidRPr="0000563D">
        <w:t>by</w:t>
      </w:r>
      <w:r w:rsidRPr="0000563D">
        <w:t xml:space="preserve"> the </w:t>
      </w:r>
      <w:r w:rsidR="003959C8" w:rsidRPr="0000563D">
        <w:t>lan</w:t>
      </w:r>
      <w:r w:rsidR="00167B5D" w:rsidRPr="0000563D">
        <w:t>g</w:t>
      </w:r>
      <w:r w:rsidR="003959C8" w:rsidRPr="0000563D">
        <w:t>uage</w:t>
      </w:r>
      <w:r w:rsidRPr="0000563D">
        <w:t xml:space="preserve"> ‘</w:t>
      </w:r>
      <w:r w:rsidR="003E6D8C" w:rsidRPr="0000563D">
        <w:t xml:space="preserve">subjecting the student to </w:t>
      </w:r>
      <w:r w:rsidRPr="0000563D">
        <w:t xml:space="preserve">any other detriment’. The Commission applies this interpretation when it receives complaints about exclusionary practices that are not expulsion. </w:t>
      </w:r>
    </w:p>
    <w:p w14:paraId="317C754F" w14:textId="608D649A" w:rsidR="008E13B9" w:rsidRPr="0000563D" w:rsidRDefault="008E13B9" w:rsidP="008911EA">
      <w:r w:rsidRPr="0000563D">
        <w:t xml:space="preserve">The justification provided by the Disability Royal Commission for the amendment is that </w:t>
      </w:r>
      <w:r w:rsidR="00EF08E4" w:rsidRPr="0000563D">
        <w:t>the implementation of its recommendation</w:t>
      </w:r>
      <w:r w:rsidRPr="0000563D">
        <w:t xml:space="preserve"> would provide greater clarity, with a particular intention to ‘assist in ensuring that students with disability can re-engage with the education system following exclusionary discipline.’</w:t>
      </w:r>
      <w:r w:rsidRPr="0000563D">
        <w:rPr>
          <w:rStyle w:val="EndnoteReference"/>
        </w:rPr>
        <w:endnoteReference w:id="253"/>
      </w:r>
      <w:r w:rsidRPr="0000563D">
        <w:rPr>
          <w:rStyle w:val="EndnoteReference"/>
        </w:rPr>
        <w:t xml:space="preserve"> </w:t>
      </w:r>
    </w:p>
    <w:p w14:paraId="771F9F6F" w14:textId="6BAD01B5" w:rsidR="008E13B9" w:rsidRPr="0000563D" w:rsidRDefault="008E13B9" w:rsidP="008911EA">
      <w:r w:rsidRPr="0000563D">
        <w:t xml:space="preserve">While the Commission remains concerned about the use of exclusionary discipline on students with disability, it is unclear whether this amendment </w:t>
      </w:r>
      <w:r w:rsidR="00EF08E4" w:rsidRPr="0000563D">
        <w:t xml:space="preserve">would </w:t>
      </w:r>
      <w:r w:rsidRPr="0000563D">
        <w:t xml:space="preserve">realistically achieve the specific outcome of re-engagement following exclusionary discipline. There is also a risk that introducing more specificity will narrow the scope of </w:t>
      </w:r>
      <w:r w:rsidR="2BEFF6D6" w:rsidRPr="0000563D">
        <w:t xml:space="preserve">how </w:t>
      </w:r>
      <w:r w:rsidRPr="0000563D">
        <w:t>these provisions are understood by duty holders and interpreted by the courts.</w:t>
      </w:r>
    </w:p>
    <w:p w14:paraId="44F27FAB" w14:textId="535C990C" w:rsidR="008E13B9" w:rsidRPr="0000563D" w:rsidRDefault="008E13B9" w:rsidP="008911EA">
      <w:r w:rsidRPr="0000563D">
        <w:t xml:space="preserve">Furthermore, </w:t>
      </w:r>
      <w:r w:rsidR="00B67BB1" w:rsidRPr="0000563D">
        <w:t xml:space="preserve">the </w:t>
      </w:r>
      <w:r w:rsidRPr="0000563D">
        <w:t>Disability Royal Commission</w:t>
      </w:r>
      <w:r w:rsidR="00B67BB1" w:rsidRPr="0000563D">
        <w:t>’s</w:t>
      </w:r>
      <w:r w:rsidRPr="0000563D">
        <w:t xml:space="preserve"> recommendation 7.2, when read in full, seeks to afford equal levels of protection from inappropriate exclusionary discipline in laws and policies across all jurisdictions.</w:t>
      </w:r>
      <w:r w:rsidRPr="0000563D">
        <w:rPr>
          <w:rStyle w:val="EndnoteReference"/>
        </w:rPr>
        <w:endnoteReference w:id="254"/>
      </w:r>
      <w:r w:rsidRPr="0000563D">
        <w:t xml:space="preserve"> The Commission agrees </w:t>
      </w:r>
      <w:r w:rsidR="003F56AD" w:rsidRPr="0000563D">
        <w:t xml:space="preserve">that </w:t>
      </w:r>
      <w:r w:rsidRPr="0000563D">
        <w:t xml:space="preserve">this is necessary and desirable, but questions whether an amendment to federal law will </w:t>
      </w:r>
      <w:r w:rsidR="003F56AD" w:rsidRPr="0000563D">
        <w:t xml:space="preserve">give effect </w:t>
      </w:r>
      <w:r w:rsidRPr="0000563D">
        <w:t xml:space="preserve">to this, when definitions across </w:t>
      </w:r>
      <w:r w:rsidR="005C3BE3" w:rsidRPr="0000563D">
        <w:t>s</w:t>
      </w:r>
      <w:r w:rsidRPr="0000563D">
        <w:t xml:space="preserve">tate and </w:t>
      </w:r>
      <w:r w:rsidR="005C3BE3" w:rsidRPr="0000563D">
        <w:t>t</w:t>
      </w:r>
      <w:r w:rsidRPr="0000563D">
        <w:t xml:space="preserve">erritory education laws on the definitions of expulsions, exclusions, and suspensions are so varied. </w:t>
      </w:r>
    </w:p>
    <w:p w14:paraId="69F24B9A" w14:textId="608BA92F" w:rsidR="008E13B9" w:rsidRPr="002D4943" w:rsidRDefault="008E13B9" w:rsidP="008E13B9">
      <w:pPr>
        <w:pStyle w:val="Heading2"/>
        <w:rPr>
          <w:rFonts w:ascii="Open Sans" w:hAnsi="Open Sans" w:cs="Open Sans"/>
        </w:rPr>
      </w:pPr>
      <w:bookmarkStart w:id="57" w:name="_Toc214961139"/>
      <w:r w:rsidRPr="002D4943">
        <w:rPr>
          <w:rFonts w:ascii="Open Sans" w:hAnsi="Open Sans" w:cs="Open Sans"/>
        </w:rPr>
        <w:t>Assistance animals</w:t>
      </w:r>
      <w:bookmarkEnd w:id="57"/>
    </w:p>
    <w:p w14:paraId="0F4B51A7" w14:textId="16795EC6" w:rsidR="008E13B9" w:rsidRPr="0000563D" w:rsidRDefault="008E13B9" w:rsidP="008911EA">
      <w:r w:rsidRPr="0000563D">
        <w:t xml:space="preserve">The Commission receives approximately 90 to 130 complaints per year about alleged discrimination </w:t>
      </w:r>
      <w:r w:rsidR="3198868F" w:rsidRPr="0000563D">
        <w:t xml:space="preserve">in relation to the use of </w:t>
      </w:r>
      <w:r w:rsidRPr="0000563D">
        <w:t>assistance animals. In the 2024-25 financial year, the Commission received the highest number</w:t>
      </w:r>
      <w:r w:rsidR="004C5CB4" w:rsidRPr="0000563D">
        <w:t xml:space="preserve"> of such complaints</w:t>
      </w:r>
      <w:r w:rsidRPr="0000563D">
        <w:t xml:space="preserve"> in the last five years. The complaints relate predominantly to the provision of goods and services (particularly airlines and ride shares/taxis) and access to premises (particularly accommodation, restaurants and government services).</w:t>
      </w:r>
    </w:p>
    <w:p w14:paraId="57882D10" w14:textId="389AEA44" w:rsidR="008E13B9" w:rsidRPr="0000563D" w:rsidRDefault="008E13B9" w:rsidP="008911EA">
      <w:r w:rsidRPr="0000563D">
        <w:lastRenderedPageBreak/>
        <w:t>In 2009, following an inquiry by the Commission,</w:t>
      </w:r>
      <w:r w:rsidRPr="0000563D">
        <w:rPr>
          <w:rStyle w:val="EndnoteReference"/>
        </w:rPr>
        <w:endnoteReference w:id="255"/>
      </w:r>
      <w:r w:rsidRPr="0000563D">
        <w:t xml:space="preserve"> significant amendments were made to the Disability Discrimination Act</w:t>
      </w:r>
      <w:r w:rsidR="00C22ECD" w:rsidRPr="0000563D">
        <w:t xml:space="preserve"> assistance animals provisions</w:t>
      </w:r>
      <w:r w:rsidRPr="0000563D">
        <w:t>, including the introduction of section 9(2) prescribing a</w:t>
      </w:r>
      <w:r w:rsidRPr="0000563D" w:rsidDel="00440D1F">
        <w:t xml:space="preserve"> </w:t>
      </w:r>
      <w:r w:rsidRPr="0000563D">
        <w:t>definition and standards for when an animal will be recognised as an assistance animal.</w:t>
      </w:r>
      <w:r w:rsidRPr="0000563D">
        <w:rPr>
          <w:rStyle w:val="EndnoteReference"/>
        </w:rPr>
        <w:endnoteReference w:id="256"/>
      </w:r>
      <w:r w:rsidRPr="0000563D">
        <w:t xml:space="preserve"> The additions were aimed at providing greater certainty for both service providers and people with assistance animals.</w:t>
      </w:r>
      <w:r w:rsidRPr="0000563D">
        <w:rPr>
          <w:rStyle w:val="EndnoteReference"/>
        </w:rPr>
        <w:t xml:space="preserve"> </w:t>
      </w:r>
      <w:r w:rsidRPr="0000563D">
        <w:rPr>
          <w:rStyle w:val="EndnoteReference"/>
        </w:rPr>
        <w:endnoteReference w:id="257"/>
      </w:r>
      <w:r w:rsidRPr="0000563D">
        <w:t xml:space="preserve"> </w:t>
      </w:r>
    </w:p>
    <w:p w14:paraId="1E359DE6" w14:textId="3A1E143A" w:rsidR="008E13B9" w:rsidRPr="0000563D" w:rsidRDefault="008E13B9" w:rsidP="008911EA">
      <w:r w:rsidRPr="0000563D">
        <w:t xml:space="preserve">Section 9(2)(b) allows for accreditation by an animal training organisation prescribed by regulations, but at present, no such regulations are in force. Section 9(2)(c) sets </w:t>
      </w:r>
      <w:r w:rsidR="00160330" w:rsidRPr="0000563D">
        <w:t xml:space="preserve">2 </w:t>
      </w:r>
      <w:r w:rsidRPr="0000563D">
        <w:t xml:space="preserve">minimum training requirements. </w:t>
      </w:r>
    </w:p>
    <w:p w14:paraId="04CFE429" w14:textId="77777777" w:rsidR="00ED55C4" w:rsidRPr="0000563D" w:rsidRDefault="00ED55C4" w:rsidP="00ED55C4">
      <w:pPr>
        <w:rPr>
          <w:highlight w:val="yellow"/>
        </w:rPr>
      </w:pPr>
      <w:r w:rsidRPr="0000563D">
        <w:t>Section 9(2)(c) was introduced with the stated aim of ensuring that people with disability who live in jurisdictions that do not have accreditation schemes or who face other geographical barriers to obtaining accreditation are still afforded protection under the Disability Discrimination Act.</w:t>
      </w:r>
      <w:r w:rsidRPr="0000563D">
        <w:rPr>
          <w:rStyle w:val="EndnoteReference"/>
        </w:rPr>
        <w:t xml:space="preserve"> </w:t>
      </w:r>
      <w:r w:rsidRPr="0000563D">
        <w:rPr>
          <w:rStyle w:val="EndnoteReference"/>
        </w:rPr>
        <w:endnoteReference w:id="258"/>
      </w:r>
      <w:r w:rsidRPr="0000563D">
        <w:rPr>
          <w:rStyle w:val="EndnoteReference"/>
        </w:rPr>
        <w:t xml:space="preserve"> </w:t>
      </w:r>
      <w:r w:rsidRPr="0000563D">
        <w:t xml:space="preserve">This protection remains legitimate and necessary.  </w:t>
      </w:r>
    </w:p>
    <w:p w14:paraId="58FE9D0E" w14:textId="688FE05B" w:rsidR="008E13B9" w:rsidRPr="0000563D" w:rsidRDefault="008E13B9" w:rsidP="008911EA">
      <w:r w:rsidRPr="0000563D">
        <w:t>The Issues Paper seeks views on ways to provide greater clarity on both accreditation and training requirements. Three options are proposed: issuing non legally binding guidance material, develop</w:t>
      </w:r>
      <w:r w:rsidR="002B7536" w:rsidRPr="0000563D">
        <w:t>ing</w:t>
      </w:r>
      <w:r w:rsidRPr="0000563D">
        <w:t xml:space="preserve"> regulations, or </w:t>
      </w:r>
      <w:r w:rsidR="002B7536" w:rsidRPr="0000563D">
        <w:t>amending</w:t>
      </w:r>
      <w:r w:rsidRPr="0000563D">
        <w:t xml:space="preserve"> the DDA. </w:t>
      </w:r>
      <w:r w:rsidR="0072598A" w:rsidRPr="0000563D">
        <w:t>We hope</w:t>
      </w:r>
      <w:r w:rsidRPr="0000563D">
        <w:t xml:space="preserve"> that this Review will yield substantive feedback on these options</w:t>
      </w:r>
      <w:r w:rsidR="004D0CD7" w:rsidRPr="0000563D">
        <w:t xml:space="preserve"> that could feed into </w:t>
      </w:r>
      <w:r w:rsidR="004638E6" w:rsidRPr="0000563D">
        <w:t xml:space="preserve">a cost benefit </w:t>
      </w:r>
      <w:r w:rsidR="004D0CD7" w:rsidRPr="0000563D">
        <w:t xml:space="preserve">and regulatory impact </w:t>
      </w:r>
      <w:r w:rsidR="004638E6" w:rsidRPr="0000563D">
        <w:t>analysis</w:t>
      </w:r>
      <w:r w:rsidR="007C0156" w:rsidRPr="0000563D">
        <w:t xml:space="preserve"> to </w:t>
      </w:r>
      <w:r w:rsidR="004D0CD7" w:rsidRPr="0000563D">
        <w:t xml:space="preserve">assist in </w:t>
      </w:r>
      <w:r w:rsidR="007C0156" w:rsidRPr="0000563D">
        <w:t>determin</w:t>
      </w:r>
      <w:r w:rsidR="004D0CD7" w:rsidRPr="0000563D">
        <w:t>ing</w:t>
      </w:r>
      <w:r w:rsidR="007C0156" w:rsidRPr="0000563D">
        <w:t xml:space="preserve"> which of the </w:t>
      </w:r>
      <w:r w:rsidR="00DD2A0A" w:rsidRPr="0000563D">
        <w:t>3</w:t>
      </w:r>
      <w:r w:rsidR="007C0156" w:rsidRPr="0000563D">
        <w:t xml:space="preserve"> options</w:t>
      </w:r>
      <w:r w:rsidR="00BE1E9A" w:rsidRPr="0000563D">
        <w:t xml:space="preserve"> will</w:t>
      </w:r>
      <w:r w:rsidR="004704B7" w:rsidRPr="0000563D">
        <w:t xml:space="preserve"> best reduce discrimination </w:t>
      </w:r>
      <w:r w:rsidR="00C25810" w:rsidRPr="0000563D">
        <w:t>in this context. The Commission has</w:t>
      </w:r>
      <w:r w:rsidR="00CB53D8" w:rsidRPr="0000563D">
        <w:t xml:space="preserve"> i</w:t>
      </w:r>
      <w:r w:rsidRPr="0000563D">
        <w:t>n the past</w:t>
      </w:r>
      <w:r w:rsidRPr="0000563D">
        <w:rPr>
          <w:rStyle w:val="EndnoteReference"/>
        </w:rPr>
        <w:endnoteReference w:id="259"/>
      </w:r>
      <w:r w:rsidRPr="0000563D">
        <w:t xml:space="preserve"> recommended the International Transport Forum’s </w:t>
      </w:r>
      <w:r w:rsidRPr="0000563D">
        <w:rPr>
          <w:i/>
          <w:iCs/>
        </w:rPr>
        <w:t>Framework for Identifying and Measuring the Benefits of Accessibility</w:t>
      </w:r>
      <w:r w:rsidRPr="0000563D">
        <w:t>.</w:t>
      </w:r>
      <w:r w:rsidRPr="0000563D">
        <w:rPr>
          <w:rStyle w:val="EndnoteReference"/>
        </w:rPr>
        <w:t xml:space="preserve"> </w:t>
      </w:r>
      <w:r w:rsidRPr="0000563D">
        <w:rPr>
          <w:rStyle w:val="EndnoteReference"/>
        </w:rPr>
        <w:endnoteReference w:id="260"/>
      </w:r>
      <w:r w:rsidR="00E175CD" w:rsidRPr="0000563D">
        <w:t xml:space="preserve"> </w:t>
      </w:r>
      <w:r w:rsidRPr="0000563D">
        <w:t xml:space="preserve">The framework identifies </w:t>
      </w:r>
      <w:r w:rsidR="00DF570D" w:rsidRPr="0000563D">
        <w:t>4</w:t>
      </w:r>
      <w:r w:rsidRPr="0000563D">
        <w:t xml:space="preserve"> core domains in the analysis of ‘accessibility’: agency benefits (in this case, training and accreditation organisations), user benefits for both people with and without disability, non-user benefits (broader society) and capability value for people with disability (i.e. participation and health and wellbeing).</w:t>
      </w:r>
      <w:r w:rsidR="00E65610" w:rsidRPr="0000563D">
        <w:t xml:space="preserve"> The Framework could easily be applied to this context, even if it relates to accessibility in transport and noting that assistance animals have a role that goes beyond enabling accessibility for their users.</w:t>
      </w:r>
    </w:p>
    <w:p w14:paraId="1212FF27" w14:textId="6FAEBA33" w:rsidR="008E13B9" w:rsidRPr="0000563D" w:rsidRDefault="008E13B9" w:rsidP="009F4C24">
      <w:r w:rsidRPr="0000563D">
        <w:t xml:space="preserve">In early 2025, the Australian Department of Social Services consulted on draft </w:t>
      </w:r>
      <w:r w:rsidRPr="0000563D">
        <w:rPr>
          <w:i/>
          <w:iCs/>
        </w:rPr>
        <w:t>National Principles for the regulation of Assistance Animals</w:t>
      </w:r>
      <w:r w:rsidRPr="0000563D">
        <w:t>.</w:t>
      </w:r>
      <w:r w:rsidRPr="0000563D">
        <w:rPr>
          <w:rStyle w:val="EndnoteReference"/>
        </w:rPr>
        <w:endnoteReference w:id="261"/>
      </w:r>
      <w:r w:rsidRPr="0000563D">
        <w:t xml:space="preserve"> There is a need for national consistency, beyond the existing provisions of the Disability Discrimination Act. The National Principles </w:t>
      </w:r>
      <w:r w:rsidR="00C26391" w:rsidRPr="0000563D">
        <w:t xml:space="preserve">would </w:t>
      </w:r>
      <w:r w:rsidR="001B4D49" w:rsidRPr="0000563D">
        <w:t>provide some improvement</w:t>
      </w:r>
      <w:r w:rsidR="000B233B" w:rsidRPr="0000563D">
        <w:t xml:space="preserve"> in </w:t>
      </w:r>
      <w:r w:rsidR="003F7FB2" w:rsidRPr="0000563D">
        <w:t>establishing</w:t>
      </w:r>
      <w:r w:rsidR="000B233B" w:rsidRPr="0000563D">
        <w:t xml:space="preserve"> nationally consistent </w:t>
      </w:r>
      <w:proofErr w:type="gramStart"/>
      <w:r w:rsidR="000B233B" w:rsidRPr="0000563D">
        <w:t>guidance</w:t>
      </w:r>
      <w:r w:rsidR="001B4D49" w:rsidRPr="0000563D">
        <w:t xml:space="preserve">, </w:t>
      </w:r>
      <w:r w:rsidRPr="0000563D">
        <w:t>but</w:t>
      </w:r>
      <w:proofErr w:type="gramEnd"/>
      <w:r w:rsidRPr="0000563D">
        <w:t xml:space="preserve"> require further development. </w:t>
      </w:r>
      <w:r w:rsidR="00EB0A80" w:rsidRPr="0000563D">
        <w:t xml:space="preserve">People with assistance animals should not face additional </w:t>
      </w:r>
      <w:r w:rsidR="00682B7D" w:rsidRPr="0000563D">
        <w:t xml:space="preserve">barriers </w:t>
      </w:r>
      <w:r w:rsidR="007E2FE6" w:rsidRPr="0000563D">
        <w:t xml:space="preserve">in </w:t>
      </w:r>
      <w:r w:rsidR="00D94B15" w:rsidRPr="0000563D">
        <w:t xml:space="preserve">access or </w:t>
      </w:r>
      <w:r w:rsidR="007E2FE6" w:rsidRPr="0000563D">
        <w:t>establishing training and accreditation requirements</w:t>
      </w:r>
      <w:r w:rsidR="00D94B15" w:rsidRPr="0000563D">
        <w:t xml:space="preserve">, </w:t>
      </w:r>
      <w:r w:rsidR="00D60344" w:rsidRPr="0000563D">
        <w:t>regardless of the State</w:t>
      </w:r>
      <w:r w:rsidR="00F81DC5" w:rsidRPr="0000563D">
        <w:t xml:space="preserve"> they reside in.</w:t>
      </w:r>
    </w:p>
    <w:p w14:paraId="7DD32520" w14:textId="635E8D38" w:rsidR="008E13B9" w:rsidRPr="0000563D" w:rsidRDefault="008E13B9" w:rsidP="006E7E5F"/>
    <w:p w14:paraId="255FA907" w14:textId="77777777" w:rsidR="0029776F" w:rsidRPr="0000563D" w:rsidRDefault="0029776F" w:rsidP="006E7E5F">
      <w:r w:rsidRPr="0000563D">
        <w:br w:type="page"/>
      </w:r>
    </w:p>
    <w:p w14:paraId="1C5D2183" w14:textId="4F70930F" w:rsidR="009E256B" w:rsidRPr="002D4943" w:rsidRDefault="0029776F" w:rsidP="00A2165D">
      <w:pPr>
        <w:pStyle w:val="Heading1"/>
        <w:numPr>
          <w:ilvl w:val="0"/>
          <w:numId w:val="0"/>
        </w:numPr>
        <w:rPr>
          <w:rFonts w:ascii="Open Sans" w:hAnsi="Open Sans" w:cs="Open Sans"/>
        </w:rPr>
      </w:pPr>
      <w:bookmarkStart w:id="58" w:name="_Toc214961140"/>
      <w:r w:rsidRPr="002D4943">
        <w:rPr>
          <w:rFonts w:ascii="Open Sans" w:hAnsi="Open Sans" w:cs="Open Sans"/>
        </w:rPr>
        <w:lastRenderedPageBreak/>
        <w:t xml:space="preserve">Appendix A: </w:t>
      </w:r>
      <w:r w:rsidR="008D60B2" w:rsidRPr="002D4943">
        <w:rPr>
          <w:rFonts w:ascii="Open Sans" w:hAnsi="Open Sans" w:cs="Open Sans"/>
        </w:rPr>
        <w:t>Learnings from the</w:t>
      </w:r>
      <w:r w:rsidR="009E256B" w:rsidRPr="002D4943">
        <w:rPr>
          <w:rFonts w:ascii="Open Sans" w:hAnsi="Open Sans" w:cs="Open Sans"/>
        </w:rPr>
        <w:t xml:space="preserve"> implementation of the positive duty in the </w:t>
      </w:r>
      <w:r w:rsidR="009E256B" w:rsidRPr="002D4943">
        <w:rPr>
          <w:rFonts w:ascii="Open Sans" w:hAnsi="Open Sans" w:cs="Open Sans"/>
          <w:i/>
        </w:rPr>
        <w:t xml:space="preserve">Sex Discrimination Act 1984 </w:t>
      </w:r>
      <w:r w:rsidR="009E256B" w:rsidRPr="002D4943">
        <w:rPr>
          <w:rFonts w:ascii="Open Sans" w:hAnsi="Open Sans" w:cs="Open Sans"/>
        </w:rPr>
        <w:t>(</w:t>
      </w:r>
      <w:proofErr w:type="spellStart"/>
      <w:r w:rsidR="009E256B" w:rsidRPr="002D4943">
        <w:rPr>
          <w:rFonts w:ascii="Open Sans" w:hAnsi="Open Sans" w:cs="Open Sans"/>
        </w:rPr>
        <w:t>Cth</w:t>
      </w:r>
      <w:proofErr w:type="spellEnd"/>
      <w:r w:rsidR="009E256B" w:rsidRPr="002D4943">
        <w:rPr>
          <w:rFonts w:ascii="Open Sans" w:hAnsi="Open Sans" w:cs="Open Sans"/>
        </w:rPr>
        <w:t>)</w:t>
      </w:r>
      <w:bookmarkEnd w:id="58"/>
    </w:p>
    <w:p w14:paraId="598EBD57" w14:textId="77777777" w:rsidR="00BF6338" w:rsidRPr="002D4943" w:rsidRDefault="00BF6338" w:rsidP="00BF6338">
      <w:pPr>
        <w:pStyle w:val="Heading2"/>
        <w:rPr>
          <w:rFonts w:ascii="Open Sans" w:hAnsi="Open Sans" w:cs="Open Sans"/>
          <w:highlight w:val="yellow"/>
          <w:lang w:eastAsia="en-AU"/>
        </w:rPr>
      </w:pPr>
      <w:bookmarkStart w:id="59" w:name="_Toc214961141"/>
      <w:r w:rsidRPr="002D4943">
        <w:rPr>
          <w:rFonts w:ascii="Open Sans" w:hAnsi="Open Sans" w:cs="Open Sans"/>
          <w:lang w:eastAsia="en-AU"/>
        </w:rPr>
        <w:t>The positive duty in the Sex Discrimination Act</w:t>
      </w:r>
      <w:bookmarkEnd w:id="59"/>
    </w:p>
    <w:p w14:paraId="0464D9F7" w14:textId="77777777" w:rsidR="00BF6338" w:rsidRPr="0000563D" w:rsidDel="00EC1A1E" w:rsidRDefault="00BF6338" w:rsidP="008911EA">
      <w:r w:rsidRPr="0000563D">
        <w:t>T</w:t>
      </w:r>
      <w:r w:rsidRPr="0000563D" w:rsidDel="00EC1A1E">
        <w:t>he positive duty in section 47C of the Sex Discrimination Act requires duty holder</w:t>
      </w:r>
      <w:r w:rsidRPr="0000563D">
        <w:t>s</w:t>
      </w:r>
      <w:r w:rsidRPr="0000563D" w:rsidDel="00EC1A1E">
        <w:t xml:space="preserve"> to take ‘reasonable and proportionate measures’ to eliminate, as far as possible:  </w:t>
      </w:r>
    </w:p>
    <w:p w14:paraId="2C0A859D" w14:textId="77777777" w:rsidR="00BF6338" w:rsidRPr="0000563D" w:rsidDel="00EC1A1E" w:rsidRDefault="00BF6338" w:rsidP="009F4C24">
      <w:pPr>
        <w:pStyle w:val="ListBullet"/>
        <w:rPr>
          <w:rFonts w:cs="Open Sans"/>
        </w:rPr>
      </w:pPr>
      <w:r w:rsidRPr="0000563D" w:rsidDel="00EC1A1E">
        <w:rPr>
          <w:rFonts w:cs="Open Sans"/>
        </w:rPr>
        <w:t>discrimination on the ground of sex in a work context</w:t>
      </w:r>
      <w:r w:rsidRPr="0000563D">
        <w:rPr>
          <w:rStyle w:val="EndnoteReference"/>
          <w:rFonts w:cs="Open Sans"/>
        </w:rPr>
        <w:endnoteReference w:id="262"/>
      </w:r>
    </w:p>
    <w:p w14:paraId="2AB4AA4F" w14:textId="77777777" w:rsidR="00BF6338" w:rsidRPr="0000563D" w:rsidDel="00EC1A1E" w:rsidRDefault="00BF6338" w:rsidP="009F4C24">
      <w:pPr>
        <w:pStyle w:val="ListBullet"/>
        <w:rPr>
          <w:rFonts w:cs="Open Sans"/>
        </w:rPr>
      </w:pPr>
      <w:r w:rsidRPr="0000563D" w:rsidDel="00EC1A1E">
        <w:rPr>
          <w:rFonts w:cs="Open Sans"/>
        </w:rPr>
        <w:t>sexual harassment in connection with work</w:t>
      </w:r>
      <w:r w:rsidRPr="0000563D">
        <w:rPr>
          <w:rStyle w:val="EndnoteReference"/>
          <w:rFonts w:cs="Open Sans"/>
        </w:rPr>
        <w:endnoteReference w:id="263"/>
      </w:r>
    </w:p>
    <w:p w14:paraId="6FF65D1B" w14:textId="77777777" w:rsidR="00BF6338" w:rsidRPr="0000563D" w:rsidDel="00EC1A1E" w:rsidRDefault="00BF6338" w:rsidP="009F4C24">
      <w:pPr>
        <w:pStyle w:val="ListBullet"/>
        <w:rPr>
          <w:rFonts w:cs="Open Sans"/>
        </w:rPr>
      </w:pPr>
      <w:r w:rsidRPr="0000563D" w:rsidDel="00EC1A1E">
        <w:rPr>
          <w:rFonts w:cs="Open Sans"/>
        </w:rPr>
        <w:t>sex-based harassment in connection with work</w:t>
      </w:r>
      <w:r w:rsidRPr="0000563D">
        <w:rPr>
          <w:rStyle w:val="EndnoteReference"/>
          <w:rFonts w:cs="Open Sans"/>
        </w:rPr>
        <w:endnoteReference w:id="264"/>
      </w:r>
    </w:p>
    <w:p w14:paraId="595ECECA" w14:textId="77777777" w:rsidR="00BF6338" w:rsidRPr="0000563D" w:rsidDel="00EC1A1E" w:rsidRDefault="00BF6338" w:rsidP="009F4C24">
      <w:pPr>
        <w:pStyle w:val="ListBullet"/>
        <w:rPr>
          <w:rFonts w:cs="Open Sans"/>
        </w:rPr>
      </w:pPr>
      <w:r w:rsidRPr="0000563D" w:rsidDel="00EC1A1E">
        <w:rPr>
          <w:rFonts w:cs="Open Sans"/>
        </w:rPr>
        <w:t>conduct creating a workplace environment that is hostile on the ground of sex</w:t>
      </w:r>
      <w:r w:rsidRPr="0000563D">
        <w:rPr>
          <w:rStyle w:val="EndnoteReference"/>
          <w:rFonts w:cs="Open Sans"/>
        </w:rPr>
        <w:endnoteReference w:id="265"/>
      </w:r>
    </w:p>
    <w:p w14:paraId="2530107F" w14:textId="77777777" w:rsidR="00BF6338" w:rsidRPr="0000563D" w:rsidDel="00EC1A1E" w:rsidRDefault="00BF6338" w:rsidP="009F4C24">
      <w:pPr>
        <w:pStyle w:val="ListBullet"/>
        <w:rPr>
          <w:rFonts w:cs="Open Sans"/>
        </w:rPr>
      </w:pPr>
      <w:r w:rsidRPr="0000563D" w:rsidDel="00EC1A1E">
        <w:rPr>
          <w:rFonts w:cs="Open Sans"/>
        </w:rPr>
        <w:t>related acts of victimisation.</w:t>
      </w:r>
      <w:r w:rsidRPr="0000563D">
        <w:rPr>
          <w:rStyle w:val="EndnoteReference"/>
          <w:rFonts w:cs="Open Sans"/>
        </w:rPr>
        <w:endnoteReference w:id="266"/>
      </w:r>
    </w:p>
    <w:p w14:paraId="3FF5AE4E" w14:textId="59AD2383" w:rsidR="00BF6338" w:rsidRPr="0000563D" w:rsidRDefault="00BF6338" w:rsidP="008911EA">
      <w:pPr>
        <w:rPr>
          <w:rFonts w:eastAsia="Aptos"/>
          <w:kern w:val="2"/>
          <w:lang w:eastAsia="en-US"/>
          <w14:ligatures w14:val="standardContextual"/>
        </w:rPr>
      </w:pPr>
      <w:r w:rsidRPr="0000563D" w:rsidDel="00EC1A1E">
        <w:rPr>
          <w:rFonts w:eastAsia="Aptos"/>
          <w:kern w:val="2"/>
          <w:lang w:eastAsia="en-US"/>
          <w14:ligatures w14:val="standardContextual"/>
        </w:rPr>
        <w:t xml:space="preserve">The positive duty does </w:t>
      </w:r>
      <w:r w:rsidRPr="0000563D" w:rsidDel="00EC1A1E">
        <w:t xml:space="preserve">not apply to all conduct that is unlawful under the Sex Discrimination Act and does not include all protected attributes (such as sexual orientation, gender identity and intersex status) </w:t>
      </w:r>
      <w:r w:rsidR="798FEA24" w:rsidRPr="0000563D" w:rsidDel="00EC1A1E">
        <w:t xml:space="preserve">or </w:t>
      </w:r>
      <w:r w:rsidRPr="0000563D" w:rsidDel="00EC1A1E">
        <w:t xml:space="preserve">all </w:t>
      </w:r>
      <w:r w:rsidR="00423DB5" w:rsidRPr="0000563D">
        <w:t xml:space="preserve">the </w:t>
      </w:r>
      <w:r w:rsidRPr="0000563D" w:rsidDel="00EC1A1E">
        <w:t xml:space="preserve">areas of public life covered by the Act. That is, the positive duty is limited to conduct described above, and only to conduct that occurs at work or in connection with work. </w:t>
      </w:r>
      <w:r w:rsidR="17D678AB" w:rsidRPr="0000563D" w:rsidDel="00F23B0C">
        <w:rPr>
          <w:rFonts w:eastAsia="Aptos"/>
          <w:kern w:val="2"/>
          <w:lang w:eastAsia="en-US"/>
          <w14:ligatures w14:val="standardContextual"/>
        </w:rPr>
        <w:t>Where it applies</w:t>
      </w:r>
      <w:r w:rsidRPr="0000563D" w:rsidDel="00F23B0C">
        <w:rPr>
          <w:rFonts w:eastAsia="Aptos"/>
          <w:kern w:val="2"/>
          <w:lang w:eastAsia="en-US"/>
          <w14:ligatures w14:val="standardContextual"/>
        </w:rPr>
        <w:t xml:space="preserve">, it </w:t>
      </w:r>
      <w:r w:rsidR="68B2635F" w:rsidRPr="0000563D" w:rsidDel="00F23B0C">
        <w:rPr>
          <w:rFonts w:eastAsia="Aptos"/>
          <w:kern w:val="2"/>
          <w:lang w:eastAsia="en-US"/>
          <w14:ligatures w14:val="standardContextual"/>
        </w:rPr>
        <w:t xml:space="preserve">requires </w:t>
      </w:r>
      <w:r w:rsidRPr="0000563D" w:rsidDel="00F23B0C">
        <w:rPr>
          <w:rFonts w:eastAsia="Aptos"/>
          <w:kern w:val="2"/>
          <w:lang w:eastAsia="en-US"/>
          <w14:ligatures w14:val="standardContextual"/>
        </w:rPr>
        <w:t xml:space="preserve">a proactive response from duty holders, creates a regulatory risk in cases of non-compliance, and aligns the approach in the Sex Discrimination Act with other workplace protections, including those set out in </w:t>
      </w:r>
      <w:r w:rsidRPr="0000563D">
        <w:rPr>
          <w:rFonts w:eastAsia="Aptos"/>
          <w:kern w:val="2"/>
          <w:lang w:eastAsia="en-US"/>
          <w14:ligatures w14:val="standardContextual"/>
        </w:rPr>
        <w:t>work health and safety (</w:t>
      </w:r>
      <w:r w:rsidRPr="0000563D" w:rsidDel="00F23B0C">
        <w:rPr>
          <w:rFonts w:eastAsia="Aptos"/>
          <w:kern w:val="2"/>
          <w:lang w:eastAsia="en-US"/>
          <w14:ligatures w14:val="standardContextual"/>
        </w:rPr>
        <w:t>WHS</w:t>
      </w:r>
      <w:r w:rsidRPr="0000563D">
        <w:rPr>
          <w:rFonts w:eastAsia="Aptos"/>
          <w:kern w:val="2"/>
          <w:lang w:eastAsia="en-US"/>
          <w14:ligatures w14:val="standardContextual"/>
        </w:rPr>
        <w:t>)</w:t>
      </w:r>
      <w:r w:rsidRPr="0000563D" w:rsidDel="00F23B0C">
        <w:rPr>
          <w:rFonts w:eastAsia="Aptos"/>
          <w:kern w:val="2"/>
          <w:lang w:eastAsia="en-US"/>
          <w14:ligatures w14:val="standardContextual"/>
        </w:rPr>
        <w:t xml:space="preserve"> and employment laws.</w:t>
      </w:r>
    </w:p>
    <w:p w14:paraId="4F2CBBD4" w14:textId="3851B4D3" w:rsidR="00BF6338" w:rsidRPr="0000563D" w:rsidDel="00EC1A1E" w:rsidRDefault="00BF6338" w:rsidP="008911EA">
      <w:r w:rsidRPr="0000563D" w:rsidDel="00EC1A1E">
        <w:t xml:space="preserve">As part of the implementation of this duty, the </w:t>
      </w:r>
      <w:r w:rsidRPr="0000563D">
        <w:t>Commission</w:t>
      </w:r>
      <w:r w:rsidRPr="0000563D" w:rsidDel="00EC1A1E">
        <w:t xml:space="preserve"> was provided with new powers under Division 4A of Part II of the</w:t>
      </w:r>
      <w:r w:rsidRPr="0000563D">
        <w:t xml:space="preserve"> Australian Human Rights Commission Act</w:t>
      </w:r>
      <w:r w:rsidRPr="0000563D" w:rsidDel="00EC1A1E">
        <w:t xml:space="preserve"> to monitor and assess compliance with the positive duty.</w:t>
      </w:r>
      <w:r w:rsidRPr="0000563D">
        <w:rPr>
          <w:rStyle w:val="EndnoteReference"/>
        </w:rPr>
        <w:endnoteReference w:id="267"/>
      </w:r>
      <w:r w:rsidRPr="0000563D" w:rsidDel="00EC1A1E">
        <w:t xml:space="preserve"> In December 2023, the </w:t>
      </w:r>
      <w:r w:rsidRPr="0000563D">
        <w:t>Commission</w:t>
      </w:r>
      <w:r w:rsidRPr="0000563D" w:rsidDel="00EC1A1E">
        <w:t xml:space="preserve"> became a Commonwealth regulator with certain powers to monitor and enforce compliance with the positive duty in the Sex Discrimination Act. Under these powers the </w:t>
      </w:r>
      <w:r w:rsidRPr="0000563D">
        <w:t>Commission</w:t>
      </w:r>
      <w:r w:rsidRPr="0000563D" w:rsidDel="00EC1A1E">
        <w:t xml:space="preserve"> can: </w:t>
      </w:r>
    </w:p>
    <w:p w14:paraId="022E9786" w14:textId="77777777" w:rsidR="00BF6338" w:rsidRPr="0000563D" w:rsidDel="00EC1A1E" w:rsidRDefault="00BF6338" w:rsidP="009F4C24">
      <w:pPr>
        <w:pStyle w:val="ListBullet"/>
        <w:rPr>
          <w:rFonts w:cs="Open Sans"/>
        </w:rPr>
      </w:pPr>
      <w:r w:rsidRPr="0000563D" w:rsidDel="00EC1A1E">
        <w:rPr>
          <w:rFonts w:cs="Open Sans"/>
        </w:rPr>
        <w:t>commence an inquiry if there is reasonable suspicion of non-compliance and provide recommendations to achieve compliance</w:t>
      </w:r>
      <w:r w:rsidRPr="0000563D">
        <w:rPr>
          <w:rStyle w:val="EndnoteReference"/>
          <w:rFonts w:cs="Open Sans"/>
        </w:rPr>
        <w:endnoteReference w:id="268"/>
      </w:r>
    </w:p>
    <w:p w14:paraId="5077AB8C" w14:textId="0D33A65B" w:rsidR="00BF6338" w:rsidRPr="0000563D" w:rsidDel="00EC1A1E" w:rsidRDefault="00BF6338" w:rsidP="009F4C24">
      <w:pPr>
        <w:pStyle w:val="ListBullet"/>
        <w:rPr>
          <w:rFonts w:cs="Open Sans"/>
        </w:rPr>
      </w:pPr>
      <w:r w:rsidRPr="0000563D" w:rsidDel="00EC1A1E">
        <w:rPr>
          <w:rFonts w:cs="Open Sans"/>
        </w:rPr>
        <w:t xml:space="preserve">issue compliance notices specifying action that </w:t>
      </w:r>
      <w:r w:rsidR="006D3EE8" w:rsidRPr="0000563D">
        <w:rPr>
          <w:rFonts w:cs="Open Sans"/>
        </w:rPr>
        <w:t>duty holders</w:t>
      </w:r>
      <w:r w:rsidR="006D3EE8" w:rsidRPr="0000563D" w:rsidDel="00EC1A1E">
        <w:rPr>
          <w:rFonts w:cs="Open Sans"/>
        </w:rPr>
        <w:t xml:space="preserve"> </w:t>
      </w:r>
      <w:r w:rsidRPr="0000563D" w:rsidDel="00EC1A1E">
        <w:rPr>
          <w:rFonts w:cs="Open Sans"/>
        </w:rPr>
        <w:t>must take, or refrain from taking, to address any non-compliance</w:t>
      </w:r>
      <w:r w:rsidRPr="0000563D">
        <w:rPr>
          <w:rStyle w:val="EndnoteReference"/>
          <w:rFonts w:cs="Open Sans"/>
        </w:rPr>
        <w:endnoteReference w:id="269"/>
      </w:r>
    </w:p>
    <w:p w14:paraId="19FCF8B9" w14:textId="181BDEF5" w:rsidR="00BF6338" w:rsidRPr="0000563D" w:rsidDel="00EC1A1E" w:rsidRDefault="00BF6338" w:rsidP="00606A3C">
      <w:pPr>
        <w:pStyle w:val="ListParagraph"/>
        <w:numPr>
          <w:ilvl w:val="0"/>
          <w:numId w:val="6"/>
        </w:numPr>
      </w:pPr>
      <w:proofErr w:type="gramStart"/>
      <w:r w:rsidRPr="0000563D" w:rsidDel="00EC1A1E">
        <w:t>enter into</w:t>
      </w:r>
      <w:proofErr w:type="gramEnd"/>
      <w:r w:rsidRPr="0000563D" w:rsidDel="00EC1A1E">
        <w:t xml:space="preserve"> enforceable undertakings with </w:t>
      </w:r>
      <w:r w:rsidR="006D3EE8" w:rsidRPr="0000563D">
        <w:t>duty holders</w:t>
      </w:r>
      <w:r w:rsidRPr="0000563D" w:rsidDel="00EC1A1E">
        <w:t>, where the</w:t>
      </w:r>
      <w:r w:rsidR="00CA1B1F">
        <w:t xml:space="preserve"> </w:t>
      </w:r>
      <w:r w:rsidR="006D3EE8" w:rsidRPr="0000563D">
        <w:t>duty holder</w:t>
      </w:r>
      <w:r w:rsidR="006D3EE8" w:rsidRPr="0000563D" w:rsidDel="00EC1A1E">
        <w:t xml:space="preserve"> </w:t>
      </w:r>
      <w:r w:rsidRPr="0000563D" w:rsidDel="00EC1A1E">
        <w:t>agrees to do, or refrain from doing, certain things</w:t>
      </w:r>
      <w:r w:rsidR="0056094A" w:rsidRPr="0000563D">
        <w:t>.</w:t>
      </w:r>
      <w:r w:rsidRPr="0000563D">
        <w:rPr>
          <w:rStyle w:val="EndnoteReference"/>
        </w:rPr>
        <w:endnoteReference w:id="270"/>
      </w:r>
    </w:p>
    <w:p w14:paraId="18DE9A0A" w14:textId="77777777" w:rsidR="00BF6338" w:rsidRPr="0000563D" w:rsidDel="00BC5888" w:rsidRDefault="00BF6338" w:rsidP="008911EA">
      <w:r w:rsidRPr="0000563D" w:rsidDel="00EC1A1E">
        <w:t xml:space="preserve">If there is non-compliance, the </w:t>
      </w:r>
      <w:r w:rsidRPr="0000563D">
        <w:t>Commission</w:t>
      </w:r>
      <w:r w:rsidRPr="0000563D" w:rsidDel="00EC1A1E">
        <w:t xml:space="preserve"> can apply to federal courts for an order to direct compliance with a compliance notice.</w:t>
      </w:r>
      <w:r w:rsidRPr="0000563D">
        <w:rPr>
          <w:rStyle w:val="EndnoteReference"/>
        </w:rPr>
        <w:endnoteReference w:id="271"/>
      </w:r>
    </w:p>
    <w:p w14:paraId="2EC83A64" w14:textId="783C4DC3" w:rsidR="00BF6338" w:rsidRPr="0000563D" w:rsidDel="00BC5888" w:rsidRDefault="6FB20C31" w:rsidP="00BF6338">
      <w:pPr>
        <w:pStyle w:val="Heading3"/>
        <w:rPr>
          <w:rFonts w:cs="Open Sans"/>
        </w:rPr>
      </w:pPr>
      <w:r w:rsidRPr="0000563D">
        <w:rPr>
          <w:rFonts w:cs="Open Sans"/>
        </w:rPr>
        <w:lastRenderedPageBreak/>
        <w:t xml:space="preserve">Early implementation </w:t>
      </w:r>
      <w:r w:rsidR="00BF6338" w:rsidRPr="0000563D">
        <w:rPr>
          <w:rFonts w:cs="Open Sans"/>
        </w:rPr>
        <w:t>of the positive duty in the Sex Discrimination Act</w:t>
      </w:r>
    </w:p>
    <w:p w14:paraId="5274D01D" w14:textId="77777777" w:rsidR="00BF6338" w:rsidRPr="0000563D" w:rsidRDefault="00BF6338" w:rsidP="008911EA">
      <w:pPr>
        <w:rPr>
          <w:rFonts w:eastAsia="Aptos"/>
          <w:lang w:eastAsia="en-US"/>
        </w:rPr>
      </w:pPr>
      <w:r w:rsidRPr="0000563D">
        <w:rPr>
          <w:rFonts w:eastAsia="Aptos"/>
          <w:lang w:eastAsia="en-US"/>
        </w:rPr>
        <w:t xml:space="preserve">Since the introduction of the positive duty in the Sex Discrimination Act in December 2022, duty holders have been required to treat the elimination of relevant unlawful conduct under the Sex Discrimination Act as a legal obligation and a regulatory risk. </w:t>
      </w:r>
    </w:p>
    <w:p w14:paraId="6660D4CE" w14:textId="3C802EBF" w:rsidR="00BF6338" w:rsidRPr="0000563D" w:rsidRDefault="00BF6338" w:rsidP="008911EA">
      <w:pPr>
        <w:rPr>
          <w:rFonts w:eastAsia="Aptos"/>
          <w:lang w:eastAsia="en-US"/>
        </w:rPr>
      </w:pPr>
      <w:r w:rsidRPr="0000563D">
        <w:rPr>
          <w:rFonts w:eastAsia="Aptos"/>
          <w:lang w:eastAsia="en-US"/>
        </w:rPr>
        <w:t xml:space="preserve">There is emerging evidence that this appears to have been </w:t>
      </w:r>
      <w:r w:rsidR="00CF44F1" w:rsidRPr="0000563D">
        <w:rPr>
          <w:rFonts w:eastAsia="Aptos"/>
          <w:lang w:eastAsia="en-US"/>
        </w:rPr>
        <w:t>influential</w:t>
      </w:r>
      <w:r w:rsidR="001D3C3A" w:rsidRPr="0000563D">
        <w:rPr>
          <w:rFonts w:eastAsia="Aptos"/>
          <w:lang w:eastAsia="en-US"/>
        </w:rPr>
        <w:t xml:space="preserve"> </w:t>
      </w:r>
      <w:r w:rsidRPr="0000563D">
        <w:rPr>
          <w:rFonts w:eastAsia="Aptos"/>
          <w:lang w:eastAsia="en-US"/>
        </w:rPr>
        <w:t>in focusing the attention and resources of senior leaders, such as Boards and Executive Leadership Teams, towards compliance and preventative action. For example, research conducted by the Australian Institute of Company Directors (AICD) and Australian Council of Superannuation Investors (ASCI) in 2023, indicate</w:t>
      </w:r>
      <w:r w:rsidR="00E15681" w:rsidRPr="0000563D">
        <w:rPr>
          <w:rFonts w:eastAsia="Aptos"/>
          <w:lang w:eastAsia="en-US"/>
        </w:rPr>
        <w:t>s</w:t>
      </w:r>
      <w:r w:rsidRPr="0000563D">
        <w:rPr>
          <w:rFonts w:eastAsia="Aptos"/>
          <w:lang w:eastAsia="en-US"/>
        </w:rPr>
        <w:t xml:space="preserve"> that: </w:t>
      </w:r>
    </w:p>
    <w:p w14:paraId="2BD0CEBC" w14:textId="77777777" w:rsidR="00BF6338" w:rsidRPr="0000563D" w:rsidRDefault="00BF6338" w:rsidP="009F4C24">
      <w:pPr>
        <w:pStyle w:val="Blockquote"/>
        <w:rPr>
          <w:rFonts w:cs="Open Sans"/>
          <w:lang w:eastAsia="en-US"/>
        </w:rPr>
      </w:pPr>
      <w:r w:rsidRPr="0000563D">
        <w:rPr>
          <w:rFonts w:cs="Open Sans"/>
          <w:lang w:eastAsia="en-US"/>
        </w:rPr>
        <w:t xml:space="preserve">Overall, board practices to prevent and respond to sexual harassment and other positive duty conduct have improved and there is increased momentum across Australian boardrooms to </w:t>
      </w:r>
      <w:proofErr w:type="gramStart"/>
      <w:r w:rsidRPr="0000563D">
        <w:rPr>
          <w:rFonts w:cs="Open Sans"/>
          <w:lang w:eastAsia="en-US"/>
        </w:rPr>
        <w:t>take action</w:t>
      </w:r>
      <w:proofErr w:type="gramEnd"/>
      <w:r w:rsidRPr="0000563D">
        <w:rPr>
          <w:rFonts w:cs="Open Sans"/>
          <w:lang w:eastAsia="en-US"/>
        </w:rPr>
        <w:t>.</w:t>
      </w:r>
      <w:r w:rsidRPr="0000563D">
        <w:rPr>
          <w:rStyle w:val="EndnoteReference"/>
          <w:rFonts w:eastAsia="Aptos" w:cs="Open Sans"/>
          <w:kern w:val="2"/>
          <w:sz w:val="22"/>
          <w:szCs w:val="22"/>
          <w:lang w:eastAsia="en-US"/>
          <w14:ligatures w14:val="standardContextual"/>
        </w:rPr>
        <w:endnoteReference w:id="272"/>
      </w:r>
    </w:p>
    <w:p w14:paraId="0497CB5B" w14:textId="4C006EC9" w:rsidR="00BF6338" w:rsidRPr="0000563D" w:rsidRDefault="00B36F49" w:rsidP="008911EA">
      <w:pPr>
        <w:rPr>
          <w:rFonts w:eastAsia="Aptos"/>
          <w:kern w:val="2"/>
          <w:lang w:eastAsia="en-US"/>
          <w14:ligatures w14:val="standardContextual"/>
        </w:rPr>
      </w:pPr>
      <w:r w:rsidRPr="0000563D">
        <w:t>E</w:t>
      </w:r>
      <w:r w:rsidR="00BF6338" w:rsidRPr="0000563D">
        <w:t xml:space="preserve">arly observations from </w:t>
      </w:r>
      <w:r w:rsidRPr="0000563D">
        <w:t xml:space="preserve">our </w:t>
      </w:r>
      <w:r w:rsidR="00BF6338" w:rsidRPr="0000563D">
        <w:t>regulatory work are that duty holders are proactively adopting measures to improve their compliance with the positive duty and the Commission’s Guidelines. The following statements are drawn</w:t>
      </w:r>
      <w:r w:rsidR="00BF6338" w:rsidRPr="0000563D">
        <w:rPr>
          <w:rFonts w:eastAsia="Aptos"/>
          <w:kern w:val="2"/>
          <w:lang w:eastAsia="en-US"/>
          <w14:ligatures w14:val="standardContextual"/>
        </w:rPr>
        <w:t xml:space="preserve"> from </w:t>
      </w:r>
      <w:r w:rsidR="001138E6" w:rsidRPr="0000563D">
        <w:rPr>
          <w:rFonts w:eastAsia="Aptos"/>
          <w:kern w:val="2"/>
          <w:lang w:eastAsia="en-US"/>
          <w14:ligatures w14:val="standardContextual"/>
        </w:rPr>
        <w:t>the Commission’s</w:t>
      </w:r>
      <w:r w:rsidR="00BF6338" w:rsidRPr="0000563D">
        <w:rPr>
          <w:rFonts w:eastAsia="Aptos"/>
          <w:kern w:val="2"/>
          <w:lang w:eastAsia="en-US"/>
          <w14:ligatures w14:val="standardContextual"/>
        </w:rPr>
        <w:t xml:space="preserve"> engagement with duty holders about their compliance with the positive duty:</w:t>
      </w:r>
    </w:p>
    <w:p w14:paraId="4E61195B" w14:textId="77777777" w:rsidR="00BF6338" w:rsidRPr="0000563D" w:rsidRDefault="00BF6338" w:rsidP="009F4C24">
      <w:pPr>
        <w:pStyle w:val="Blockquote"/>
        <w:rPr>
          <w:rFonts w:cs="Open Sans"/>
          <w:lang w:eastAsia="en-GB"/>
        </w:rPr>
      </w:pPr>
      <w:r w:rsidRPr="0000563D">
        <w:rPr>
          <w:rFonts w:cs="Open Sans"/>
          <w:lang w:eastAsia="en-GB"/>
        </w:rPr>
        <w:t xml:space="preserve">[Duty holder] has conducted a full review of our processes… and have consulted with [law firm] </w:t>
      </w:r>
      <w:proofErr w:type="gramStart"/>
      <w:r w:rsidRPr="0000563D">
        <w:rPr>
          <w:rFonts w:cs="Open Sans"/>
          <w:lang w:eastAsia="en-GB"/>
        </w:rPr>
        <w:t>in regards to</w:t>
      </w:r>
      <w:proofErr w:type="gramEnd"/>
      <w:r w:rsidRPr="0000563D">
        <w:rPr>
          <w:rFonts w:cs="Open Sans"/>
          <w:lang w:eastAsia="en-GB"/>
        </w:rPr>
        <w:t xml:space="preserve"> meeting our compliance in this area… We are using the Workplace Sexual Harassment Prevention Plan and Record (attached) to plan out our implementation, education and continuous improvement </w:t>
      </w:r>
      <w:proofErr w:type="gramStart"/>
      <w:r w:rsidRPr="0000563D">
        <w:rPr>
          <w:rFonts w:cs="Open Sans"/>
          <w:lang w:eastAsia="en-GB"/>
        </w:rPr>
        <w:t>in the area of</w:t>
      </w:r>
      <w:proofErr w:type="gramEnd"/>
      <w:r w:rsidRPr="0000563D">
        <w:rPr>
          <w:rFonts w:cs="Open Sans"/>
          <w:lang w:eastAsia="en-GB"/>
        </w:rPr>
        <w:t xml:space="preserve"> Positive Duty Compliance.</w:t>
      </w:r>
    </w:p>
    <w:p w14:paraId="7E1693D8" w14:textId="77777777" w:rsidR="00BF6338" w:rsidRPr="0000563D" w:rsidRDefault="00BF6338" w:rsidP="009F4C24">
      <w:pPr>
        <w:pStyle w:val="Blockquote"/>
        <w:rPr>
          <w:rFonts w:cs="Open Sans"/>
          <w:lang w:eastAsia="en-GB"/>
        </w:rPr>
      </w:pPr>
      <w:r w:rsidRPr="0000563D">
        <w:rPr>
          <w:rFonts w:cs="Open Sans"/>
          <w:lang w:eastAsia="en-GB"/>
        </w:rPr>
        <w:t xml:space="preserve">‘The concerns raised in your correspondence… have prompted us to take immediate and coordinated action across both organisations…We have taken a number of actions designed to align our current practices with community expectations and legal obligation…’ </w:t>
      </w:r>
    </w:p>
    <w:p w14:paraId="4332B2DD" w14:textId="7E5A4F55" w:rsidR="00BF6338" w:rsidRPr="0000563D" w:rsidRDefault="00BF6338" w:rsidP="009F4C24">
      <w:pPr>
        <w:pStyle w:val="Blockquote"/>
        <w:rPr>
          <w:rFonts w:cs="Open Sans"/>
          <w:lang w:eastAsia="en-GB"/>
        </w:rPr>
      </w:pPr>
      <w:r w:rsidRPr="0000563D">
        <w:rPr>
          <w:rFonts w:cs="Open Sans"/>
          <w:lang w:eastAsia="en-GB"/>
        </w:rPr>
        <w:t>This year, our senior leaders will receive additional enhanced training that focuses on their obligations to model appropriate behaviour, respond to concerns, and foster a culture of safety and respect.</w:t>
      </w:r>
    </w:p>
    <w:p w14:paraId="0B04A99F" w14:textId="244CCA0D" w:rsidR="00BF6338" w:rsidRPr="0000563D" w:rsidRDefault="00BF6338" w:rsidP="008911EA">
      <w:pPr>
        <w:rPr>
          <w:rFonts w:eastAsia="Aptos"/>
          <w:lang w:eastAsia="en-US"/>
        </w:rPr>
      </w:pPr>
      <w:r w:rsidRPr="0000563D">
        <w:rPr>
          <w:rFonts w:eastAsia="Aptos"/>
          <w:lang w:eastAsia="en-US"/>
        </w:rPr>
        <w:t xml:space="preserve">Recent research conducted by the </w:t>
      </w:r>
      <w:r w:rsidRPr="0000563D" w:rsidDel="00326F28">
        <w:rPr>
          <w:rFonts w:eastAsia="Aptos"/>
          <w:lang w:eastAsia="en-US"/>
        </w:rPr>
        <w:t>Australian HR Institute (AHRI) indicate</w:t>
      </w:r>
      <w:r w:rsidRPr="0000563D">
        <w:rPr>
          <w:rFonts w:eastAsia="Aptos"/>
          <w:lang w:eastAsia="en-US"/>
        </w:rPr>
        <w:t>s</w:t>
      </w:r>
      <w:r w:rsidRPr="0000563D" w:rsidDel="00326F28">
        <w:rPr>
          <w:rFonts w:eastAsia="Aptos"/>
          <w:lang w:eastAsia="en-US"/>
        </w:rPr>
        <w:t xml:space="preserve"> that </w:t>
      </w:r>
      <w:r w:rsidRPr="0000563D">
        <w:rPr>
          <w:rFonts w:eastAsia="Aptos"/>
          <w:lang w:eastAsia="en-US"/>
        </w:rPr>
        <w:t xml:space="preserve">employers </w:t>
      </w:r>
      <w:r w:rsidRPr="0000563D" w:rsidDel="00326F28">
        <w:rPr>
          <w:rFonts w:eastAsia="Aptos"/>
          <w:lang w:eastAsia="en-US"/>
        </w:rPr>
        <w:t xml:space="preserve">feel the </w:t>
      </w:r>
      <w:proofErr w:type="spellStart"/>
      <w:r w:rsidR="00192A04" w:rsidRPr="0000563D">
        <w:rPr>
          <w:rFonts w:eastAsia="Aptos"/>
          <w:lang w:eastAsia="en-US"/>
        </w:rPr>
        <w:t>Respect@Work</w:t>
      </w:r>
      <w:proofErr w:type="spellEnd"/>
      <w:r w:rsidR="00192A04" w:rsidRPr="0000563D">
        <w:rPr>
          <w:rFonts w:eastAsia="Aptos"/>
          <w:lang w:eastAsia="en-US"/>
        </w:rPr>
        <w:t xml:space="preserve"> agenda (including the</w:t>
      </w:r>
      <w:r w:rsidRPr="0000563D" w:rsidDel="00326F28">
        <w:rPr>
          <w:rFonts w:eastAsia="Aptos"/>
          <w:lang w:eastAsia="en-US"/>
        </w:rPr>
        <w:t xml:space="preserve"> positive duty in the Sex Discrimination Act</w:t>
      </w:r>
      <w:r w:rsidR="00192A04" w:rsidRPr="0000563D">
        <w:rPr>
          <w:rFonts w:eastAsia="Aptos"/>
          <w:lang w:eastAsia="en-US"/>
        </w:rPr>
        <w:t>)</w:t>
      </w:r>
      <w:r w:rsidRPr="0000563D" w:rsidDel="00326F28">
        <w:rPr>
          <w:rFonts w:eastAsia="Aptos"/>
          <w:lang w:eastAsia="en-US"/>
        </w:rPr>
        <w:t xml:space="preserve"> has led to positive changes in their organisation</w:t>
      </w:r>
      <w:r w:rsidRPr="0000563D">
        <w:rPr>
          <w:rFonts w:eastAsia="Aptos"/>
          <w:lang w:eastAsia="en-US"/>
        </w:rPr>
        <w:t xml:space="preserve">, in policy and practice. In the June Quarter 2025, AHRI </w:t>
      </w:r>
      <w:r w:rsidRPr="0000563D" w:rsidDel="00326F28">
        <w:rPr>
          <w:rFonts w:eastAsia="Aptos"/>
          <w:lang w:eastAsia="en-US"/>
        </w:rPr>
        <w:t>surveyed 619 senior business decision makers, including human resources managers</w:t>
      </w:r>
      <w:r w:rsidRPr="0000563D">
        <w:rPr>
          <w:rFonts w:eastAsia="Aptos"/>
          <w:lang w:eastAsia="en-US"/>
        </w:rPr>
        <w:t>,</w:t>
      </w:r>
      <w:r w:rsidRPr="0000563D" w:rsidDel="00326F28">
        <w:rPr>
          <w:rFonts w:eastAsia="Aptos"/>
          <w:lang w:eastAsia="en-US"/>
        </w:rPr>
        <w:t xml:space="preserve"> from organisations with </w:t>
      </w:r>
      <w:r w:rsidR="00160330" w:rsidRPr="0000563D">
        <w:rPr>
          <w:rFonts w:eastAsia="Aptos"/>
          <w:lang w:eastAsia="en-US"/>
        </w:rPr>
        <w:t>2</w:t>
      </w:r>
      <w:r w:rsidR="00160330" w:rsidRPr="0000563D" w:rsidDel="00326F28">
        <w:rPr>
          <w:rFonts w:eastAsia="Aptos"/>
          <w:lang w:eastAsia="en-US"/>
        </w:rPr>
        <w:t xml:space="preserve"> </w:t>
      </w:r>
      <w:r w:rsidRPr="0000563D" w:rsidDel="00326F28">
        <w:rPr>
          <w:rFonts w:eastAsia="Aptos"/>
          <w:lang w:eastAsia="en-US"/>
        </w:rPr>
        <w:t>or more employees</w:t>
      </w:r>
      <w:r w:rsidRPr="0000563D">
        <w:rPr>
          <w:rFonts w:eastAsia="Aptos"/>
          <w:lang w:eastAsia="en-US"/>
        </w:rPr>
        <w:t>.</w:t>
      </w:r>
      <w:r w:rsidRPr="0000563D">
        <w:rPr>
          <w:rStyle w:val="EndnoteReference"/>
          <w:rFonts w:eastAsia="Aptos"/>
          <w:kern w:val="2"/>
          <w:lang w:eastAsia="en-US"/>
          <w14:ligatures w14:val="standardContextual"/>
        </w:rPr>
        <w:endnoteReference w:id="273"/>
      </w:r>
      <w:r w:rsidRPr="0000563D" w:rsidDel="00326F28">
        <w:rPr>
          <w:rFonts w:eastAsia="Aptos"/>
          <w:lang w:eastAsia="en-US"/>
        </w:rPr>
        <w:t xml:space="preserve"> </w:t>
      </w:r>
      <w:r w:rsidRPr="0000563D">
        <w:rPr>
          <w:rFonts w:eastAsia="Aptos"/>
          <w:lang w:eastAsia="en-US"/>
        </w:rPr>
        <w:t xml:space="preserve">The research </w:t>
      </w:r>
      <w:r w:rsidRPr="0000563D" w:rsidDel="00326F28">
        <w:rPr>
          <w:rFonts w:eastAsia="Aptos"/>
          <w:lang w:eastAsia="en-US"/>
        </w:rPr>
        <w:t>found that the ‘</w:t>
      </w:r>
      <w:proofErr w:type="spellStart"/>
      <w:r w:rsidRPr="0000563D" w:rsidDel="00326F28">
        <w:rPr>
          <w:rFonts w:eastAsia="Aptos"/>
          <w:lang w:eastAsia="en-US"/>
        </w:rPr>
        <w:t>Respect@Work</w:t>
      </w:r>
      <w:proofErr w:type="spellEnd"/>
      <w:r w:rsidRPr="0000563D" w:rsidDel="00326F28">
        <w:rPr>
          <w:rFonts w:eastAsia="Aptos"/>
          <w:lang w:eastAsia="en-US"/>
        </w:rPr>
        <w:t xml:space="preserve"> agenda’ (including the positive duty),</w:t>
      </w:r>
      <w:r w:rsidRPr="0000563D" w:rsidDel="00326F28">
        <w:rPr>
          <w:rStyle w:val="EndnoteReference"/>
          <w:rFonts w:eastAsia="Aptos"/>
          <w:kern w:val="2"/>
          <w:lang w:eastAsia="en-US"/>
          <w14:ligatures w14:val="standardContextual"/>
        </w:rPr>
        <w:endnoteReference w:id="274"/>
      </w:r>
      <w:r w:rsidRPr="0000563D" w:rsidDel="00326F28">
        <w:rPr>
          <w:rFonts w:eastAsia="Aptos"/>
          <w:lang w:eastAsia="en-US"/>
        </w:rPr>
        <w:t xml:space="preserve"> was perceived to have the most </w:t>
      </w:r>
      <w:r w:rsidRPr="0000563D">
        <w:rPr>
          <w:rFonts w:eastAsia="Aptos"/>
          <w:lang w:eastAsia="en-US"/>
        </w:rPr>
        <w:t xml:space="preserve">positive </w:t>
      </w:r>
      <w:r w:rsidRPr="0000563D" w:rsidDel="00326F28">
        <w:rPr>
          <w:rFonts w:eastAsia="Aptos"/>
          <w:lang w:eastAsia="en-US"/>
        </w:rPr>
        <w:t>impact on Australian workplaces</w:t>
      </w:r>
      <w:r w:rsidRPr="0000563D">
        <w:rPr>
          <w:rStyle w:val="EndnoteReference"/>
          <w:rFonts w:eastAsia="Aptos"/>
          <w:kern w:val="2"/>
          <w:lang w:eastAsia="en-US"/>
          <w14:ligatures w14:val="standardContextual"/>
        </w:rPr>
        <w:endnoteReference w:id="275"/>
      </w:r>
      <w:r w:rsidRPr="0000563D">
        <w:rPr>
          <w:rFonts w:eastAsia="Aptos"/>
          <w:lang w:eastAsia="en-US"/>
        </w:rPr>
        <w:t xml:space="preserve"> out of all major workplace reform over the past </w:t>
      </w:r>
      <w:r w:rsidR="00F85A86" w:rsidRPr="0000563D">
        <w:rPr>
          <w:rFonts w:eastAsia="Aptos"/>
          <w:lang w:eastAsia="en-US"/>
        </w:rPr>
        <w:t xml:space="preserve">3 </w:t>
      </w:r>
      <w:r w:rsidRPr="0000563D">
        <w:rPr>
          <w:rFonts w:eastAsia="Aptos"/>
          <w:lang w:eastAsia="en-US"/>
        </w:rPr>
        <w:t xml:space="preserve">years, with a net positive rating of 66% and that </w:t>
      </w:r>
      <w:r w:rsidRPr="0000563D" w:rsidDel="00326F28">
        <w:rPr>
          <w:rFonts w:eastAsia="Aptos"/>
          <w:lang w:eastAsia="en-US"/>
        </w:rPr>
        <w:t xml:space="preserve">32% of organisations felt that </w:t>
      </w:r>
      <w:r w:rsidRPr="0000563D" w:rsidDel="00326F28">
        <w:rPr>
          <w:rFonts w:eastAsia="Aptos"/>
          <w:lang w:eastAsia="en-US"/>
        </w:rPr>
        <w:lastRenderedPageBreak/>
        <w:t>‘</w:t>
      </w:r>
      <w:proofErr w:type="spellStart"/>
      <w:r w:rsidRPr="0000563D" w:rsidDel="00326F28">
        <w:rPr>
          <w:rFonts w:eastAsia="Aptos"/>
          <w:lang w:eastAsia="en-US"/>
        </w:rPr>
        <w:t>Respect@Work</w:t>
      </w:r>
      <w:proofErr w:type="spellEnd"/>
      <w:r w:rsidRPr="0000563D" w:rsidDel="00326F28">
        <w:rPr>
          <w:rFonts w:eastAsia="Aptos"/>
          <w:lang w:eastAsia="en-US"/>
        </w:rPr>
        <w:t xml:space="preserve"> policies’ (positive duty) led directly to change in their organisation. </w:t>
      </w:r>
    </w:p>
    <w:p w14:paraId="69A81C08" w14:textId="3FC60AAA" w:rsidR="006A4191" w:rsidRPr="0000563D" w:rsidRDefault="006A4191" w:rsidP="006A4191">
      <w:pPr>
        <w:pStyle w:val="Tableheading"/>
        <w:rPr>
          <w:rFonts w:cs="Open Sans"/>
        </w:rPr>
      </w:pPr>
      <w:r w:rsidRPr="0000563D">
        <w:rPr>
          <w:rFonts w:eastAsia="Aptos" w:cs="Open Sans"/>
          <w:lang w:eastAsia="en-US"/>
        </w:rPr>
        <w:t xml:space="preserve">Graph: </w:t>
      </w:r>
      <w:r w:rsidRPr="0000563D">
        <w:rPr>
          <w:rFonts w:cs="Open Sans"/>
        </w:rPr>
        <w:t>Which, if any, of the above legislative changes has impacted the organisation in a positive or negative way?</w:t>
      </w:r>
      <w:r w:rsidRPr="0000563D">
        <w:rPr>
          <w:rStyle w:val="EndnoteReference"/>
          <w:rFonts w:cs="Open Sans"/>
        </w:rPr>
        <w:endnoteReference w:id="276"/>
      </w:r>
    </w:p>
    <w:p w14:paraId="4CEBEA5D" w14:textId="77777777" w:rsidR="00BF6338" w:rsidRPr="0000563D" w:rsidRDefault="00BF6338" w:rsidP="006E7E5F">
      <w:pPr>
        <w:rPr>
          <w:rFonts w:eastAsia="Aptos"/>
          <w:kern w:val="2"/>
          <w:lang w:eastAsia="en-US"/>
          <w14:ligatures w14:val="standardContextual"/>
        </w:rPr>
      </w:pPr>
      <w:r w:rsidRPr="0000563D">
        <w:rPr>
          <w:noProof/>
        </w:rPr>
        <w:drawing>
          <wp:inline distT="0" distB="0" distL="0" distR="0" wp14:anchorId="4C203D47" wp14:editId="73373016">
            <wp:extent cx="5759450" cy="2681605"/>
            <wp:effectExtent l="0" t="0" r="0" b="4445"/>
            <wp:docPr id="988377995" name="Picture 1" descr="A graph of different colored bars indicating the level to which each workplace reform positively impacted the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77995" name="Picture 1" descr="A graph of different colored bars indicating the level to which each workplace reform positively impacted the workplace."/>
                    <pic:cNvPicPr/>
                  </pic:nvPicPr>
                  <pic:blipFill>
                    <a:blip r:embed="rId23"/>
                    <a:stretch>
                      <a:fillRect/>
                    </a:stretch>
                  </pic:blipFill>
                  <pic:spPr>
                    <a:xfrm>
                      <a:off x="0" y="0"/>
                      <a:ext cx="5759450" cy="2681605"/>
                    </a:xfrm>
                    <a:prstGeom prst="rect">
                      <a:avLst/>
                    </a:prstGeom>
                  </pic:spPr>
                </pic:pic>
              </a:graphicData>
            </a:graphic>
          </wp:inline>
        </w:drawing>
      </w:r>
    </w:p>
    <w:p w14:paraId="672BABB8" w14:textId="0E973F2F" w:rsidR="00BF6338" w:rsidRPr="0000563D" w:rsidRDefault="00BF6338" w:rsidP="008911EA">
      <w:pPr>
        <w:rPr>
          <w:rFonts w:eastAsia="Aptos"/>
          <w:lang w:eastAsia="en-US"/>
        </w:rPr>
      </w:pPr>
      <w:r w:rsidRPr="0000563D">
        <w:rPr>
          <w:rFonts w:eastAsia="Aptos"/>
          <w:lang w:eastAsia="en-US"/>
        </w:rPr>
        <w:t xml:space="preserve">Reporting from the Workplace Gender Equality Agency (WGEA) that covers the first </w:t>
      </w:r>
      <w:r w:rsidR="00160330" w:rsidRPr="0000563D">
        <w:rPr>
          <w:rFonts w:eastAsia="Aptos"/>
          <w:lang w:eastAsia="en-US"/>
        </w:rPr>
        <w:t xml:space="preserve">2 </w:t>
      </w:r>
      <w:r w:rsidRPr="0000563D">
        <w:rPr>
          <w:rFonts w:eastAsia="Aptos"/>
          <w:lang w:eastAsia="en-US"/>
        </w:rPr>
        <w:t>years from the introduction of the positive duty into the Sex Discrimination Act is optimistic. In its Progress Report 2022-2024, WGEA noted that between 1 June 2022 and 31 December 2024:</w:t>
      </w:r>
    </w:p>
    <w:p w14:paraId="1167AF47" w14:textId="77777777" w:rsidR="00BF6338" w:rsidRPr="0000563D" w:rsidRDefault="00BF6338" w:rsidP="006C2367">
      <w:pPr>
        <w:pStyle w:val="Blockquote"/>
        <w:rPr>
          <w:rFonts w:cs="Open Sans"/>
          <w:lang w:eastAsia="en-US"/>
        </w:rPr>
      </w:pPr>
      <w:r w:rsidRPr="0000563D">
        <w:rPr>
          <w:rFonts w:cs="Open Sans"/>
          <w:lang w:eastAsia="en-US"/>
        </w:rPr>
        <w:t>More employers consulted their employees and implemented policies to improve gender equality across each of the 6 GEIs. Employers deepened their policies and actions to address sexual harassment and discrimination in the light of positive duty requirements, and they increased their support to employees experiencing family and domestic violence</w:t>
      </w:r>
      <w:r w:rsidRPr="0000563D">
        <w:rPr>
          <w:rFonts w:cs="Open Sans"/>
          <w:i/>
          <w:lang w:eastAsia="en-US"/>
        </w:rPr>
        <w:t>.</w:t>
      </w:r>
      <w:r w:rsidRPr="0000563D">
        <w:rPr>
          <w:rStyle w:val="EndnoteReference"/>
          <w:rFonts w:eastAsia="Aptos" w:cs="Open Sans"/>
          <w:kern w:val="2"/>
          <w:lang w:eastAsia="en-US"/>
          <w14:ligatures w14:val="standardContextual"/>
        </w:rPr>
        <w:endnoteReference w:id="277"/>
      </w:r>
    </w:p>
    <w:p w14:paraId="51BBECD1" w14:textId="5B5FACCA" w:rsidR="00BF6338" w:rsidRPr="0000563D" w:rsidRDefault="00BF6338" w:rsidP="008911EA">
      <w:pPr>
        <w:rPr>
          <w:rFonts w:eastAsia="Aptos"/>
          <w:lang w:eastAsia="en-US"/>
        </w:rPr>
      </w:pPr>
      <w:r w:rsidRPr="0000563D">
        <w:rPr>
          <w:rFonts w:eastAsia="Aptos"/>
          <w:lang w:eastAsia="en-US"/>
        </w:rPr>
        <w:t xml:space="preserve">From 2026, WGEA will require </w:t>
      </w:r>
      <w:r w:rsidRPr="0000563D">
        <w:rPr>
          <w:rFonts w:eastAsia="Calibri"/>
          <w:lang w:eastAsia="en-US"/>
        </w:rPr>
        <w:t>e</w:t>
      </w:r>
      <w:r w:rsidRPr="0000563D">
        <w:rPr>
          <w:rFonts w:eastAsia="Aptos"/>
          <w:lang w:eastAsia="en-US"/>
        </w:rPr>
        <w:t xml:space="preserve">mployers with 500 or more employees to commit to achieving </w:t>
      </w:r>
      <w:r w:rsidR="00F85A86" w:rsidRPr="0000563D">
        <w:rPr>
          <w:rFonts w:eastAsia="Aptos"/>
          <w:lang w:eastAsia="en-US"/>
        </w:rPr>
        <w:t xml:space="preserve">3 </w:t>
      </w:r>
      <w:r w:rsidRPr="0000563D">
        <w:rPr>
          <w:rFonts w:eastAsia="Aptos"/>
          <w:lang w:eastAsia="en-US"/>
        </w:rPr>
        <w:t>gender equality targets from a ‘menu’.</w:t>
      </w:r>
      <w:r w:rsidRPr="0000563D">
        <w:rPr>
          <w:rStyle w:val="EndnoteReference"/>
          <w:rFonts w:eastAsia="Aptos"/>
          <w:kern w:val="2"/>
          <w:lang w:eastAsia="en-US"/>
          <w14:ligatures w14:val="standardContextual"/>
        </w:rPr>
        <w:endnoteReference w:id="278"/>
      </w:r>
      <w:r w:rsidRPr="0000563D">
        <w:rPr>
          <w:rFonts w:eastAsia="Aptos"/>
          <w:lang w:eastAsia="en-US"/>
        </w:rPr>
        <w:t xml:space="preserve"> These gender equality targets</w:t>
      </w:r>
      <w:r w:rsidRPr="0000563D">
        <w:rPr>
          <w:rFonts w:eastAsia="Calibri"/>
          <w:lang w:eastAsia="en-US"/>
        </w:rPr>
        <w:t xml:space="preserve"> align with and reinforce the Commission’s Guidelines</w:t>
      </w:r>
      <w:r w:rsidRPr="0000563D">
        <w:rPr>
          <w:rFonts w:eastAsia="Calibri"/>
          <w:i/>
          <w:iCs/>
          <w:lang w:eastAsia="en-US"/>
        </w:rPr>
        <w:t>.</w:t>
      </w:r>
    </w:p>
    <w:p w14:paraId="3178E658" w14:textId="6851B4AC" w:rsidR="00BF6338" w:rsidRPr="0000563D" w:rsidRDefault="00BF6338" w:rsidP="008911EA">
      <w:pPr>
        <w:rPr>
          <w:rFonts w:eastAsia="Aptos"/>
          <w:highlight w:val="yellow"/>
          <w:lang w:eastAsia="en-US"/>
        </w:rPr>
      </w:pPr>
      <w:r w:rsidRPr="0000563D">
        <w:rPr>
          <w:rFonts w:eastAsia="Aptos"/>
          <w:lang w:eastAsia="en-US"/>
        </w:rPr>
        <w:t xml:space="preserve">Along with </w:t>
      </w:r>
      <w:r w:rsidR="00B92BE5" w:rsidRPr="0000563D">
        <w:rPr>
          <w:rFonts w:eastAsia="Aptos"/>
          <w:lang w:eastAsia="en-US"/>
        </w:rPr>
        <w:t xml:space="preserve">our </w:t>
      </w:r>
      <w:r w:rsidRPr="0000563D">
        <w:rPr>
          <w:rFonts w:eastAsia="Aptos"/>
          <w:lang w:eastAsia="en-US"/>
        </w:rPr>
        <w:t>regulatory work, the Commission has observed that d</w:t>
      </w:r>
      <w:r w:rsidRPr="0000563D">
        <w:t xml:space="preserve">uty holders are proactively engaging with </w:t>
      </w:r>
      <w:r w:rsidR="00B92BE5" w:rsidRPr="0000563D">
        <w:t xml:space="preserve">our </w:t>
      </w:r>
      <w:r w:rsidRPr="0000563D">
        <w:t>suite of guidance materials, as reflected in the following data between the FY24-25: </w:t>
      </w:r>
    </w:p>
    <w:p w14:paraId="06297E56" w14:textId="29463E33" w:rsidR="00BF6338" w:rsidRPr="0000563D" w:rsidRDefault="00BF6338" w:rsidP="009F4C24">
      <w:pPr>
        <w:pStyle w:val="ListBullet"/>
        <w:rPr>
          <w:rFonts w:cs="Open Sans"/>
        </w:rPr>
      </w:pPr>
      <w:r w:rsidRPr="0000563D">
        <w:rPr>
          <w:rFonts w:cs="Open Sans"/>
        </w:rPr>
        <w:t xml:space="preserve">Commission factsheets on the positive duty, including </w:t>
      </w:r>
      <w:r w:rsidRPr="0000563D">
        <w:rPr>
          <w:rFonts w:cs="Open Sans"/>
          <w:i/>
        </w:rPr>
        <w:t>Causes and Risk Factors of Sex Discrimination, Sexual Harassment and Other Unlawful Behaviours</w:t>
      </w:r>
      <w:r w:rsidRPr="0000563D">
        <w:rPr>
          <w:rFonts w:cs="Open Sans"/>
        </w:rPr>
        <w:t xml:space="preserve">, </w:t>
      </w:r>
      <w:r w:rsidRPr="0000563D">
        <w:rPr>
          <w:rFonts w:cs="Open Sans"/>
          <w:i/>
        </w:rPr>
        <w:t>Effective Consultation and the Positive Duty</w:t>
      </w:r>
      <w:r w:rsidRPr="0000563D">
        <w:rPr>
          <w:rFonts w:cs="Open Sans"/>
        </w:rPr>
        <w:t xml:space="preserve">, and </w:t>
      </w:r>
      <w:r w:rsidRPr="0000563D">
        <w:rPr>
          <w:rFonts w:cs="Open Sans"/>
          <w:i/>
        </w:rPr>
        <w:t xml:space="preserve">Steps to Meet the Positive Duty </w:t>
      </w:r>
      <w:r w:rsidRPr="0000563D">
        <w:rPr>
          <w:rFonts w:cs="Open Sans"/>
        </w:rPr>
        <w:t>were downloaded 4000+ times</w:t>
      </w:r>
      <w:r w:rsidR="006C2367" w:rsidRPr="0000563D">
        <w:rPr>
          <w:rFonts w:cs="Open Sans"/>
        </w:rPr>
        <w:t>.</w:t>
      </w:r>
    </w:p>
    <w:p w14:paraId="00E05DD9" w14:textId="027D6F30" w:rsidR="00BF6338" w:rsidRPr="0000563D" w:rsidRDefault="00E8665E" w:rsidP="009F4C24">
      <w:pPr>
        <w:pStyle w:val="ListBullet"/>
        <w:rPr>
          <w:rFonts w:cs="Open Sans"/>
        </w:rPr>
      </w:pPr>
      <w:r w:rsidRPr="0000563D">
        <w:rPr>
          <w:rFonts w:cs="Open Sans"/>
        </w:rPr>
        <w:t xml:space="preserve">The </w:t>
      </w:r>
      <w:r w:rsidR="00BF6338" w:rsidRPr="0000563D">
        <w:rPr>
          <w:rFonts w:cs="Open Sans"/>
        </w:rPr>
        <w:t>Commission webinar on the positive duty was viewed 1300+ times</w:t>
      </w:r>
      <w:r w:rsidR="006C2367" w:rsidRPr="0000563D">
        <w:rPr>
          <w:rFonts w:cs="Open Sans"/>
        </w:rPr>
        <w:t>.</w:t>
      </w:r>
    </w:p>
    <w:p w14:paraId="3A7CEE94" w14:textId="5A89FF55" w:rsidR="00BF6338" w:rsidRPr="0000563D" w:rsidRDefault="006C2367" w:rsidP="009F4C24">
      <w:pPr>
        <w:pStyle w:val="ListBullet"/>
        <w:rPr>
          <w:rFonts w:cs="Open Sans"/>
        </w:rPr>
      </w:pPr>
      <w:r w:rsidRPr="0000563D">
        <w:rPr>
          <w:rFonts w:cs="Open Sans"/>
        </w:rPr>
        <w:t>The Commission’s</w:t>
      </w:r>
      <w:r w:rsidR="00BF6338" w:rsidRPr="0000563D">
        <w:rPr>
          <w:rFonts w:cs="Open Sans"/>
        </w:rPr>
        <w:t xml:space="preserve"> key guidance document, the </w:t>
      </w:r>
      <w:hyperlink r:id="rId24" w:tgtFrame="_blank" w:history="1">
        <w:r w:rsidR="00BF6338" w:rsidRPr="0000563D">
          <w:rPr>
            <w:rFonts w:cs="Open Sans"/>
            <w:color w:val="0000FF"/>
            <w:u w:val="single"/>
          </w:rPr>
          <w:t>Guidelines for Complying with the Positive Dut</w:t>
        </w:r>
      </w:hyperlink>
      <w:r w:rsidR="00BF6338" w:rsidRPr="0000563D">
        <w:rPr>
          <w:rFonts w:cs="Open Sans"/>
        </w:rPr>
        <w:t>y, has been downloaded 4000+ times</w:t>
      </w:r>
      <w:r w:rsidR="003743BE" w:rsidRPr="0000563D">
        <w:rPr>
          <w:rFonts w:cs="Open Sans"/>
        </w:rPr>
        <w:t>.</w:t>
      </w:r>
    </w:p>
    <w:p w14:paraId="65D965B4" w14:textId="012C7393" w:rsidR="00BF6338" w:rsidRPr="0000563D" w:rsidRDefault="00BF6338" w:rsidP="009F4C24">
      <w:pPr>
        <w:pStyle w:val="ListBullet"/>
        <w:rPr>
          <w:rFonts w:cs="Open Sans"/>
        </w:rPr>
      </w:pPr>
      <w:r w:rsidRPr="0000563D">
        <w:rPr>
          <w:rFonts w:cs="Open Sans"/>
        </w:rPr>
        <w:lastRenderedPageBreak/>
        <w:t>96% of respondents reported that the Commission’s E-learning series significantly improved their understanding of the positive duty</w:t>
      </w:r>
      <w:r w:rsidR="003743BE" w:rsidRPr="0000563D">
        <w:rPr>
          <w:rFonts w:cs="Open Sans"/>
        </w:rPr>
        <w:t>.</w:t>
      </w:r>
      <w:r w:rsidRPr="0000563D">
        <w:rPr>
          <w:rFonts w:cs="Open Sans"/>
        </w:rPr>
        <w:t xml:space="preserve"> </w:t>
      </w:r>
    </w:p>
    <w:p w14:paraId="601F89B3" w14:textId="166637ED" w:rsidR="00BF6338" w:rsidRPr="0000563D" w:rsidRDefault="00BF6338" w:rsidP="009F4C24">
      <w:pPr>
        <w:pStyle w:val="ListBullet"/>
        <w:rPr>
          <w:rFonts w:cs="Open Sans"/>
        </w:rPr>
      </w:pPr>
      <w:r w:rsidRPr="0000563D">
        <w:rPr>
          <w:rFonts w:cs="Open Sans"/>
        </w:rPr>
        <w:t>Three animations explaining different aspects of the positive duty were viewed 12,000+ times</w:t>
      </w:r>
      <w:r w:rsidR="003743BE" w:rsidRPr="0000563D">
        <w:rPr>
          <w:rFonts w:cs="Open Sans"/>
        </w:rPr>
        <w:t>.</w:t>
      </w:r>
      <w:r w:rsidRPr="0000563D">
        <w:rPr>
          <w:rFonts w:cs="Open Sans"/>
        </w:rPr>
        <w:t xml:space="preserve"> </w:t>
      </w:r>
    </w:p>
    <w:p w14:paraId="34F273AA" w14:textId="4384B729" w:rsidR="00BF6338" w:rsidRPr="0000563D" w:rsidRDefault="00BF6338" w:rsidP="009F4C24">
      <w:pPr>
        <w:pStyle w:val="ListBullet"/>
        <w:rPr>
          <w:rFonts w:cs="Open Sans"/>
        </w:rPr>
      </w:pPr>
      <w:r w:rsidRPr="0000563D">
        <w:rPr>
          <w:rFonts w:cs="Open Sans"/>
        </w:rPr>
        <w:t>Positive duty posters to be displayed in workplaces were downloaded 2200+ times</w:t>
      </w:r>
      <w:r w:rsidR="003743BE" w:rsidRPr="0000563D">
        <w:rPr>
          <w:rFonts w:cs="Open Sans"/>
        </w:rPr>
        <w:t>.</w:t>
      </w:r>
    </w:p>
    <w:p w14:paraId="544C2037" w14:textId="77777777" w:rsidR="00BF6338" w:rsidRPr="0000563D" w:rsidRDefault="00BF6338" w:rsidP="008911EA">
      <w:pPr>
        <w:rPr>
          <w:rFonts w:eastAsia="Aptos"/>
          <w:lang w:eastAsia="en-US"/>
        </w:rPr>
      </w:pPr>
      <w:r w:rsidRPr="0000563D">
        <w:t xml:space="preserve">In addition, the introduction of the positive duty in the Sex Discrimination Act has resulted in industry bodies and associations producing guidance and education materials that align with and reinforce the Commission’s resources. For example, </w:t>
      </w:r>
      <w:r w:rsidRPr="0000563D">
        <w:rPr>
          <w:rFonts w:eastAsia="Aptos"/>
          <w:lang w:eastAsia="en-US"/>
        </w:rPr>
        <w:t xml:space="preserve">with the Commission’s input, </w:t>
      </w:r>
      <w:r w:rsidRPr="0000563D">
        <w:t xml:space="preserve">the </w:t>
      </w:r>
      <w:r w:rsidRPr="0000563D">
        <w:rPr>
          <w:rFonts w:eastAsia="Aptos"/>
          <w:lang w:eastAsia="en-US"/>
        </w:rPr>
        <w:t>AICD and the ACSI have produced a resource for company directors and the positive duty.</w:t>
      </w:r>
      <w:r w:rsidRPr="0000563D">
        <w:rPr>
          <w:rStyle w:val="EndnoteReference"/>
          <w:rFonts w:eastAsia="Aptos"/>
          <w:kern w:val="2"/>
          <w:lang w:eastAsia="en-US"/>
          <w14:ligatures w14:val="standardContextual"/>
        </w:rPr>
        <w:endnoteReference w:id="279"/>
      </w:r>
      <w:r w:rsidRPr="0000563D">
        <w:rPr>
          <w:rFonts w:eastAsia="Aptos"/>
          <w:lang w:eastAsia="en-US"/>
        </w:rPr>
        <w:t xml:space="preserve"> Ai Group has also produced a suite of materials including an example Prevention and Response Plan.</w:t>
      </w:r>
      <w:r w:rsidRPr="0000563D">
        <w:rPr>
          <w:rStyle w:val="EndnoteReference"/>
          <w:rFonts w:eastAsia="Aptos"/>
          <w:kern w:val="2"/>
          <w:lang w:eastAsia="en-US"/>
          <w14:ligatures w14:val="standardContextual"/>
        </w:rPr>
        <w:endnoteReference w:id="280"/>
      </w:r>
      <w:r w:rsidRPr="0000563D">
        <w:rPr>
          <w:rFonts w:eastAsia="Aptos"/>
          <w:lang w:eastAsia="en-US"/>
        </w:rPr>
        <w:t xml:space="preserve"> </w:t>
      </w:r>
    </w:p>
    <w:p w14:paraId="077CC78F" w14:textId="77777777" w:rsidR="00BF6338" w:rsidRPr="002D4943" w:rsidRDefault="00BF6338" w:rsidP="00BF6338">
      <w:pPr>
        <w:pStyle w:val="Heading2"/>
        <w:rPr>
          <w:rFonts w:ascii="Open Sans" w:hAnsi="Open Sans" w:cs="Open Sans"/>
        </w:rPr>
      </w:pPr>
      <w:bookmarkStart w:id="60" w:name="_Toc214961142"/>
      <w:r w:rsidRPr="002D4943">
        <w:rPr>
          <w:rFonts w:ascii="Open Sans" w:hAnsi="Open Sans" w:cs="Open Sans"/>
        </w:rPr>
        <w:t>Strengthening the Commission’s regulatory powers</w:t>
      </w:r>
      <w:bookmarkEnd w:id="60"/>
    </w:p>
    <w:p w14:paraId="7FE7C7CB" w14:textId="77777777" w:rsidR="00BF6338" w:rsidRPr="0000563D" w:rsidRDefault="00BF6338" w:rsidP="00BF6338">
      <w:pPr>
        <w:pStyle w:val="Heading3"/>
        <w:rPr>
          <w:rFonts w:cs="Open Sans"/>
        </w:rPr>
      </w:pPr>
      <w:r w:rsidRPr="0000563D">
        <w:rPr>
          <w:rFonts w:cs="Open Sans"/>
        </w:rPr>
        <w:t>Compliance and enforcement activity by the Commission</w:t>
      </w:r>
    </w:p>
    <w:p w14:paraId="79E8AD48" w14:textId="218D176F" w:rsidR="00BF6338" w:rsidRPr="0000563D" w:rsidRDefault="00BF6338" w:rsidP="008911EA">
      <w:r w:rsidRPr="0000563D">
        <w:t xml:space="preserve">The Commission has set up and operationalised </w:t>
      </w:r>
      <w:r w:rsidR="00B92BE5" w:rsidRPr="0000563D">
        <w:t xml:space="preserve">our </w:t>
      </w:r>
      <w:r w:rsidRPr="0000563D">
        <w:t>compliance and enforcement functions including triage and assessment, voluntary engagement, and inquiry activities.</w:t>
      </w:r>
    </w:p>
    <w:p w14:paraId="6E4C8AC8" w14:textId="3CC8B4D9" w:rsidR="00BF6338" w:rsidRPr="0000563D" w:rsidRDefault="00BF6338" w:rsidP="008911EA">
      <w:pPr>
        <w:rPr>
          <w:rFonts w:eastAsia="Aptos"/>
          <w:kern w:val="2"/>
          <w:lang w:eastAsia="en-US"/>
          <w14:ligatures w14:val="standardContextual"/>
        </w:rPr>
      </w:pPr>
      <w:r w:rsidRPr="0000563D">
        <w:t>A leading objective of the Commission is to help organisations improve their own practices through voluntary compliance measures. </w:t>
      </w:r>
      <w:r w:rsidRPr="0000563D">
        <w:rPr>
          <w:rFonts w:eastAsia="Aptos"/>
          <w:kern w:val="2"/>
          <w:lang w:eastAsia="en-US"/>
          <w14:ligatures w14:val="standardContextual"/>
        </w:rPr>
        <w:t>Since December 2023, the Commission</w:t>
      </w:r>
      <w:r w:rsidRPr="0000563D">
        <w:rPr>
          <w:rFonts w:eastAsia="Aptos"/>
          <w:lang w:eastAsia="en-US"/>
        </w:rPr>
        <w:t xml:space="preserve"> </w:t>
      </w:r>
      <w:r w:rsidR="007C0BC8" w:rsidRPr="0000563D">
        <w:rPr>
          <w:rFonts w:eastAsia="Aptos"/>
          <w:lang w:eastAsia="en-US"/>
        </w:rPr>
        <w:t>has</w:t>
      </w:r>
      <w:r w:rsidRPr="0000563D">
        <w:rPr>
          <w:rFonts w:eastAsia="Aptos"/>
          <w:kern w:val="2"/>
          <w:lang w:eastAsia="en-US"/>
          <w14:ligatures w14:val="standardContextual"/>
        </w:rPr>
        <w:t xml:space="preserve"> engaged with </w:t>
      </w:r>
      <w:r w:rsidR="0013567B" w:rsidRPr="0000563D">
        <w:rPr>
          <w:rFonts w:eastAsia="Aptos"/>
          <w:lang w:eastAsia="en-US"/>
        </w:rPr>
        <w:t>46</w:t>
      </w:r>
      <w:r w:rsidR="00317A79" w:rsidRPr="0000563D">
        <w:rPr>
          <w:rFonts w:eastAsia="Aptos"/>
          <w:lang w:eastAsia="en-US"/>
        </w:rPr>
        <w:t xml:space="preserve"> </w:t>
      </w:r>
      <w:r w:rsidRPr="0000563D">
        <w:rPr>
          <w:rFonts w:eastAsia="Aptos"/>
          <w:kern w:val="2"/>
          <w:lang w:eastAsia="en-US"/>
          <w14:ligatures w14:val="standardContextual"/>
        </w:rPr>
        <w:t xml:space="preserve">duty holders to improve their compliance with the positive duty in the Sex Discrimination Act on a voluntary basis. In the 2024-2025 financial year, the Commission engaged with </w:t>
      </w:r>
      <w:r w:rsidR="00FB3DC1" w:rsidRPr="0000563D">
        <w:rPr>
          <w:rFonts w:eastAsia="Aptos"/>
          <w:kern w:val="2"/>
          <w:lang w:eastAsia="en-US"/>
          <w14:ligatures w14:val="standardContextual"/>
        </w:rPr>
        <w:t xml:space="preserve">duty holders that </w:t>
      </w:r>
      <w:r w:rsidRPr="0000563D">
        <w:rPr>
          <w:rFonts w:eastAsia="Aptos"/>
          <w:kern w:val="2"/>
          <w:lang w:eastAsia="en-US"/>
          <w14:ligatures w14:val="standardContextual"/>
        </w:rPr>
        <w:t xml:space="preserve">were collectively responsible for approximately 126,500 employees. </w:t>
      </w:r>
    </w:p>
    <w:p w14:paraId="0974FC97" w14:textId="14A4892F" w:rsidR="00BF6338" w:rsidRPr="0000563D" w:rsidRDefault="00BF6338" w:rsidP="008911EA">
      <w:pPr>
        <w:rPr>
          <w:rFonts w:eastAsia="Aptos"/>
          <w:lang w:eastAsia="en-US"/>
        </w:rPr>
      </w:pPr>
      <w:r w:rsidRPr="0000563D">
        <w:rPr>
          <w:rFonts w:eastAsia="Aptos"/>
          <w:lang w:eastAsia="en-US"/>
        </w:rPr>
        <w:t xml:space="preserve">The Commission started </w:t>
      </w:r>
      <w:r w:rsidR="00DF570D" w:rsidRPr="0000563D">
        <w:rPr>
          <w:rFonts w:eastAsia="Aptos"/>
          <w:lang w:eastAsia="en-US"/>
        </w:rPr>
        <w:t xml:space="preserve">4 </w:t>
      </w:r>
      <w:r w:rsidRPr="0000563D">
        <w:rPr>
          <w:rFonts w:eastAsia="Aptos"/>
          <w:lang w:eastAsia="en-US"/>
        </w:rPr>
        <w:t>formal inquiries in the 2024–25 financial year. These are all still active.  These inquiries were into duty holders in the following industries:</w:t>
      </w:r>
    </w:p>
    <w:p w14:paraId="680AEFEA" w14:textId="77777777" w:rsidR="00BF6338" w:rsidRPr="0000563D" w:rsidRDefault="00BF6338" w:rsidP="008911EA">
      <w:pPr>
        <w:pStyle w:val="ListNumber"/>
        <w:rPr>
          <w:rFonts w:cs="Open Sans"/>
        </w:rPr>
      </w:pPr>
      <w:r w:rsidRPr="0000563D">
        <w:rPr>
          <w:rFonts w:cs="Open Sans"/>
        </w:rPr>
        <w:t>Retail Trade</w:t>
      </w:r>
    </w:p>
    <w:p w14:paraId="06A2D3A8" w14:textId="77777777" w:rsidR="00BF6338" w:rsidRPr="0000563D" w:rsidRDefault="00BF6338" w:rsidP="008911EA">
      <w:pPr>
        <w:pStyle w:val="ListNumber"/>
        <w:rPr>
          <w:rFonts w:cs="Open Sans"/>
        </w:rPr>
      </w:pPr>
      <w:r w:rsidRPr="0000563D">
        <w:rPr>
          <w:rFonts w:cs="Open Sans"/>
        </w:rPr>
        <w:t>Accommodation and Food Services (Hospitality)</w:t>
      </w:r>
    </w:p>
    <w:p w14:paraId="2F9E79DF" w14:textId="77777777" w:rsidR="00BF6338" w:rsidRPr="0000563D" w:rsidRDefault="00BF6338" w:rsidP="008911EA">
      <w:pPr>
        <w:pStyle w:val="ListNumber"/>
        <w:rPr>
          <w:rFonts w:cs="Open Sans"/>
        </w:rPr>
      </w:pPr>
      <w:r w:rsidRPr="0000563D">
        <w:rPr>
          <w:rFonts w:cs="Open Sans"/>
        </w:rPr>
        <w:t>Finance</w:t>
      </w:r>
    </w:p>
    <w:p w14:paraId="6DB62F6F" w14:textId="77777777" w:rsidR="00BF6338" w:rsidRPr="0000563D" w:rsidRDefault="00BF6338" w:rsidP="008911EA">
      <w:pPr>
        <w:pStyle w:val="ListNumber"/>
        <w:rPr>
          <w:rFonts w:cs="Open Sans"/>
        </w:rPr>
      </w:pPr>
      <w:r w:rsidRPr="0000563D">
        <w:rPr>
          <w:rFonts w:cs="Open Sans"/>
        </w:rPr>
        <w:t xml:space="preserve">Transport, Postal &amp; Warehousing industries. </w:t>
      </w:r>
    </w:p>
    <w:p w14:paraId="0146A3D9" w14:textId="66BC0CED" w:rsidR="00BF6338" w:rsidRPr="0000563D" w:rsidRDefault="00BF6338" w:rsidP="008911EA">
      <w:pPr>
        <w:rPr>
          <w:rFonts w:eastAsia="Aptos"/>
          <w:lang w:eastAsia="en-US"/>
        </w:rPr>
      </w:pPr>
      <w:r w:rsidRPr="0000563D">
        <w:rPr>
          <w:rFonts w:eastAsia="Aptos"/>
          <w:lang w:eastAsia="en-US"/>
        </w:rPr>
        <w:t xml:space="preserve">Together these </w:t>
      </w:r>
      <w:r w:rsidR="00DF570D" w:rsidRPr="0000563D">
        <w:rPr>
          <w:rFonts w:eastAsia="Aptos"/>
          <w:lang w:eastAsia="en-US"/>
        </w:rPr>
        <w:t>4</w:t>
      </w:r>
      <w:r w:rsidRPr="0000563D">
        <w:rPr>
          <w:rFonts w:eastAsia="Aptos"/>
          <w:lang w:eastAsia="en-US"/>
        </w:rPr>
        <w:t xml:space="preserve"> duty holders are responsible for about 7,500 workers. Evidence indicates some workers have been exposed to serious unlawful conduct. </w:t>
      </w:r>
      <w:r w:rsidR="00BB6E53" w:rsidRPr="0000563D">
        <w:rPr>
          <w:rFonts w:eastAsia="Aptos"/>
          <w:lang w:eastAsia="en-US"/>
        </w:rPr>
        <w:t>The Commission has</w:t>
      </w:r>
      <w:r w:rsidRPr="0000563D">
        <w:rPr>
          <w:rFonts w:eastAsia="Aptos"/>
          <w:lang w:eastAsia="en-US"/>
        </w:rPr>
        <w:t xml:space="preserve"> gathered information from a variety of sources to trigger </w:t>
      </w:r>
      <w:r w:rsidR="00AE0075" w:rsidRPr="0000563D">
        <w:rPr>
          <w:rFonts w:eastAsia="Aptos"/>
          <w:lang w:eastAsia="en-US"/>
        </w:rPr>
        <w:t xml:space="preserve">our </w:t>
      </w:r>
      <w:r w:rsidRPr="0000563D">
        <w:rPr>
          <w:rFonts w:eastAsia="Aptos"/>
          <w:lang w:eastAsia="en-US"/>
        </w:rPr>
        <w:t xml:space="preserve">compliance powers, including information from workers, other regulators and media reports. </w:t>
      </w:r>
    </w:p>
    <w:p w14:paraId="0E086C50" w14:textId="712CB5A0" w:rsidR="00BF6338" w:rsidRPr="0000563D" w:rsidRDefault="00BF6338" w:rsidP="008911EA">
      <w:pPr>
        <w:rPr>
          <w:rFonts w:eastAsia="Aptos"/>
          <w:lang w:eastAsia="en-US"/>
        </w:rPr>
      </w:pPr>
      <w:r w:rsidRPr="0000563D">
        <w:rPr>
          <w:rFonts w:eastAsia="Aptos"/>
          <w:lang w:eastAsia="en-US"/>
        </w:rPr>
        <w:lastRenderedPageBreak/>
        <w:t xml:space="preserve">Once an inquiry is commenced, </w:t>
      </w:r>
      <w:r w:rsidR="00AE0075" w:rsidRPr="0000563D">
        <w:rPr>
          <w:rFonts w:eastAsia="Aptos"/>
          <w:lang w:eastAsia="en-US"/>
        </w:rPr>
        <w:t>we</w:t>
      </w:r>
      <w:r w:rsidRPr="0000563D">
        <w:rPr>
          <w:rFonts w:eastAsia="Aptos"/>
          <w:lang w:eastAsia="en-US"/>
        </w:rPr>
        <w:t xml:space="preserve"> use </w:t>
      </w:r>
      <w:r w:rsidR="00AE0075" w:rsidRPr="0000563D">
        <w:rPr>
          <w:rFonts w:eastAsia="Aptos"/>
          <w:lang w:eastAsia="en-US"/>
        </w:rPr>
        <w:t xml:space="preserve">our </w:t>
      </w:r>
      <w:r w:rsidRPr="0000563D">
        <w:rPr>
          <w:rFonts w:eastAsia="Aptos"/>
          <w:lang w:eastAsia="en-US"/>
        </w:rPr>
        <w:t xml:space="preserve">powers to require information and documents from organisations in relation to their compliance with the positive duty in the Sex Discrimination Act. To make findings of non-compliance with the positive duty obligation, the Commission assesses evidence against the Standards and expectations in the Commission’s </w:t>
      </w:r>
      <w:r w:rsidRPr="0000563D">
        <w:rPr>
          <w:rFonts w:eastAsia="Aptos"/>
          <w:i/>
          <w:iCs/>
          <w:lang w:eastAsia="en-US"/>
        </w:rPr>
        <w:t>Positive Duty Guidelines</w:t>
      </w:r>
      <w:r w:rsidR="00FB3DC1" w:rsidRPr="0000563D">
        <w:rPr>
          <w:rFonts w:eastAsia="Aptos"/>
          <w:lang w:eastAsia="en-US"/>
        </w:rPr>
        <w:t>.</w:t>
      </w:r>
    </w:p>
    <w:p w14:paraId="7430008B" w14:textId="764FE4EF" w:rsidR="00BF6338" w:rsidRPr="0000563D" w:rsidRDefault="00BF6338" w:rsidP="008911EA">
      <w:r w:rsidRPr="0000563D">
        <w:t xml:space="preserve">At present, the Commission’s regulatory framework for enforcing compliance with the positive duty in the Sex Discrimination Act is not consistent with the more robust frameworks of comparable regulators. Key issues identified in </w:t>
      </w:r>
      <w:r w:rsidR="00FB3DC1" w:rsidRPr="0000563D">
        <w:t>the Commission’s</w:t>
      </w:r>
      <w:r w:rsidRPr="0000563D">
        <w:t xml:space="preserve"> early experience as a regulator </w:t>
      </w:r>
      <w:r w:rsidR="00FB3DC1" w:rsidRPr="0000563D">
        <w:t>are</w:t>
      </w:r>
      <w:r w:rsidRPr="0000563D">
        <w:t>: </w:t>
      </w:r>
    </w:p>
    <w:p w14:paraId="7091C4C6" w14:textId="5C654270" w:rsidR="00BF6338" w:rsidRPr="0000563D" w:rsidRDefault="00BF6338" w:rsidP="005B50DC">
      <w:pPr>
        <w:pStyle w:val="ListBullet"/>
        <w:rPr>
          <w:rFonts w:cs="Open Sans"/>
        </w:rPr>
      </w:pPr>
      <w:r w:rsidRPr="0000563D">
        <w:rPr>
          <w:rFonts w:cs="Open Sans"/>
        </w:rPr>
        <w:t>limitations arising from an inability to seek a civil penalty order for a failure to comply with the positive duty </w:t>
      </w:r>
    </w:p>
    <w:p w14:paraId="2336D44C" w14:textId="77777777" w:rsidR="00BF6338" w:rsidRPr="0000563D" w:rsidRDefault="00BF6338" w:rsidP="005B50DC">
      <w:pPr>
        <w:pStyle w:val="ListBullet"/>
        <w:rPr>
          <w:rFonts w:cs="Open Sans"/>
        </w:rPr>
      </w:pPr>
      <w:r w:rsidRPr="0000563D">
        <w:rPr>
          <w:rFonts w:cs="Open Sans"/>
        </w:rPr>
        <w:t>limitations arising from an inability to require the production of information or documents until after an inquiry has been commenced </w:t>
      </w:r>
    </w:p>
    <w:p w14:paraId="097B1E89" w14:textId="77777777" w:rsidR="00BF6338" w:rsidRPr="0000563D" w:rsidRDefault="00BF6338" w:rsidP="005B50DC">
      <w:pPr>
        <w:pStyle w:val="ListBullet"/>
        <w:rPr>
          <w:rFonts w:cs="Open Sans"/>
        </w:rPr>
      </w:pPr>
      <w:r w:rsidRPr="0000563D">
        <w:rPr>
          <w:rFonts w:cs="Open Sans"/>
        </w:rPr>
        <w:t>relatively low penalties for non-compliance or ‘interference’ with the Commission’s administration and enforcement of the positive duty</w:t>
      </w:r>
    </w:p>
    <w:p w14:paraId="534F26B7" w14:textId="77777777" w:rsidR="00BF6338" w:rsidRPr="0000563D" w:rsidRDefault="00BF6338" w:rsidP="005B50DC">
      <w:pPr>
        <w:pStyle w:val="ListBullet"/>
        <w:rPr>
          <w:rFonts w:cs="Open Sans"/>
        </w:rPr>
      </w:pPr>
      <w:r w:rsidRPr="0000563D">
        <w:rPr>
          <w:rFonts w:cs="Open Sans"/>
        </w:rPr>
        <w:t>limitations on the Commission’s ability to share information, including the ability to confidently and sensibly share information with regulators that have overlapping jurisdictions.</w:t>
      </w:r>
    </w:p>
    <w:p w14:paraId="1E8D161F" w14:textId="77777777" w:rsidR="00BF6338" w:rsidRPr="0000563D" w:rsidRDefault="00BF6338" w:rsidP="005B50DC">
      <w:pPr>
        <w:pStyle w:val="Heading3"/>
        <w:rPr>
          <w:rFonts w:cs="Open Sans"/>
          <w:i/>
        </w:rPr>
      </w:pPr>
      <w:r w:rsidRPr="0000563D">
        <w:rPr>
          <w:rFonts w:cs="Open Sans"/>
          <w:i/>
        </w:rPr>
        <w:t>Civil penalty orders </w:t>
      </w:r>
    </w:p>
    <w:p w14:paraId="25965C5C" w14:textId="77777777" w:rsidR="00BF6338" w:rsidRPr="0000563D" w:rsidRDefault="00BF6338" w:rsidP="008911EA">
      <w:r w:rsidRPr="0000563D">
        <w:t>The ability to seek a civil penalty order through the courts is a powerful option in the toolbox of a regulator. In addition to the punitive and deterrent effect that civil penalty orders may have on duty holders, the possibility of taking duty holders to court can also encourage compliance with alternatives that sit at the lower levels of the regulatory pyramid, such as enforceable undertakings.  </w:t>
      </w:r>
    </w:p>
    <w:p w14:paraId="1461F8A3" w14:textId="77777777" w:rsidR="00BF6338" w:rsidRPr="0000563D" w:rsidRDefault="00BF6338" w:rsidP="008911EA">
      <w:r w:rsidRPr="0000563D">
        <w:t xml:space="preserve">Both the WHS and Fair Work frameworks that regulate work related sexual harassment include the ability of the regulator to ‘move up’ the regulatory pyramid in appropriate cases and either seek civil penalty orders or refer matters for criminal prosecution. This means that negotiations around what enforceable undertakings might be considered appropriate in the circumstances occur within this context. While the Commission can currently </w:t>
      </w:r>
      <w:proofErr w:type="gramStart"/>
      <w:r w:rsidRPr="0000563D">
        <w:t>enter into</w:t>
      </w:r>
      <w:proofErr w:type="gramEnd"/>
      <w:r w:rsidRPr="0000563D">
        <w:t xml:space="preserve"> enforceable undertakings with duty holders around breaches, or suspected breaches, of the positive duty in the Sex Discrimination Act, it does not have the ability to ‘move up’ the regulatory pyramid in the same way.  </w:t>
      </w:r>
    </w:p>
    <w:p w14:paraId="0D8C3612" w14:textId="33B2A957" w:rsidR="00BF6338" w:rsidRPr="0000563D" w:rsidRDefault="00BF6338" w:rsidP="008911EA">
      <w:r w:rsidRPr="0000563D">
        <w:t xml:space="preserve">In </w:t>
      </w:r>
      <w:r w:rsidR="00AE0075" w:rsidRPr="0000563D">
        <w:t xml:space="preserve">our </w:t>
      </w:r>
      <w:r w:rsidRPr="0000563D">
        <w:t>Free &amp; Equal 2021</w:t>
      </w:r>
      <w:r w:rsidRPr="0000563D">
        <w:rPr>
          <w:i/>
          <w:iCs/>
        </w:rPr>
        <w:t xml:space="preserve"> </w:t>
      </w:r>
      <w:r w:rsidRPr="0000563D">
        <w:t>Position Paper, the Commission’s proposed reforms to the discrimination regulatory regime reflect the concept of ‘responsive regulation’ and draw upon the idea of a regulatory pyramid.</w:t>
      </w:r>
      <w:r w:rsidRPr="0000563D">
        <w:rPr>
          <w:rStyle w:val="EndnoteReference"/>
        </w:rPr>
        <w:endnoteReference w:id="281"/>
      </w:r>
      <w:r w:rsidRPr="0000563D">
        <w:t xml:space="preserve"> This envisages that different tools are required to achieve compliance with the law, depending on the willingness and capacity of individuals and organisations. It envisages capacity-building for circumstances where there is an inability to comply or a </w:t>
      </w:r>
      <w:r w:rsidRPr="0000563D">
        <w:lastRenderedPageBreak/>
        <w:t>minor breach of the law, and more coercive powers for circumstances where there is an unwillingness to comply, or a serious breach of the law.</w:t>
      </w:r>
      <w:r w:rsidRPr="0000563D">
        <w:rPr>
          <w:rStyle w:val="EndnoteReference"/>
        </w:rPr>
        <w:endnoteReference w:id="282"/>
      </w:r>
    </w:p>
    <w:p w14:paraId="5703147F" w14:textId="12104261" w:rsidR="00BF6338" w:rsidRPr="0000563D" w:rsidRDefault="00BF6338" w:rsidP="008911EA">
      <w:r w:rsidRPr="0000563D">
        <w:t>The idea of a regulatory pyramid was also used in the 2002 Australian Law Reform Commission’s (</w:t>
      </w:r>
      <w:r w:rsidRPr="0000563D">
        <w:rPr>
          <w:bCs/>
        </w:rPr>
        <w:t>ALRC’s</w:t>
      </w:r>
      <w:r w:rsidRPr="0000563D">
        <w:t xml:space="preserve">) report </w:t>
      </w:r>
      <w:r w:rsidRPr="0000563D">
        <w:rPr>
          <w:i/>
          <w:iCs/>
        </w:rPr>
        <w:t>Principled Regulation</w:t>
      </w:r>
      <w:r w:rsidRPr="0000563D">
        <w:t>. As characterised by the ALRC:  </w:t>
      </w:r>
    </w:p>
    <w:p w14:paraId="2C3642AD" w14:textId="191FC072" w:rsidR="00BF6338" w:rsidRPr="0000563D" w:rsidRDefault="00BF6338" w:rsidP="005B50DC">
      <w:pPr>
        <w:pStyle w:val="Blockquote"/>
        <w:rPr>
          <w:rFonts w:cs="Open Sans"/>
        </w:rPr>
      </w:pPr>
      <w:r w:rsidRPr="0000563D">
        <w:rPr>
          <w:rFonts w:cs="Open Sans"/>
        </w:rPr>
        <w:t>On this model, the ideal approach of the regulator is described as ‘the benign big gun’; that is, the regulator should have access to severe punishments but should rarely use them in practice…Ayres and Braithwaite’s model requires the regulator to behave as though the organisations being regulated wish to cooperate, and ensure that it is economically rational for them to cooperate. Where breaches occur, the initial response should be to persuade and educate them as to the appropriate behaviour. Such an approach promotes self-regulation and the wish to preserve reputation. However, once persuasion has failed, the issue of the use of penalties arises.</w:t>
      </w:r>
      <w:r w:rsidR="00DC1046" w:rsidRPr="0000563D">
        <w:rPr>
          <w:rStyle w:val="EndnoteReference"/>
          <w:rFonts w:cs="Open Sans"/>
        </w:rPr>
        <w:endnoteReference w:id="283"/>
      </w:r>
      <w:r w:rsidRPr="0000563D">
        <w:rPr>
          <w:rFonts w:cs="Open Sans"/>
        </w:rPr>
        <w:t> </w:t>
      </w:r>
    </w:p>
    <w:p w14:paraId="38A8A7F6" w14:textId="1CE2405E" w:rsidR="00BF6338" w:rsidRPr="0000563D" w:rsidRDefault="00C34B46" w:rsidP="008911EA">
      <w:r w:rsidRPr="0000563D">
        <w:t>The</w:t>
      </w:r>
      <w:r w:rsidR="00BF6338" w:rsidRPr="0000563D">
        <w:t xml:space="preserve"> ALRC’s 2025 report </w:t>
      </w:r>
      <w:r w:rsidR="00BF6338" w:rsidRPr="0000563D">
        <w:rPr>
          <w:i/>
          <w:iCs/>
        </w:rPr>
        <w:t>Safe, Informed, Supported: Reforming justice responses to sexual violence</w:t>
      </w:r>
      <w:r w:rsidR="00BF6338" w:rsidRPr="0000563D">
        <w:rPr>
          <w:rStyle w:val="EndnoteReference"/>
          <w:lang w:val="en-US"/>
        </w:rPr>
        <w:endnoteReference w:id="284"/>
      </w:r>
      <w:r w:rsidR="00BF6338" w:rsidRPr="0000563D">
        <w:rPr>
          <w:lang w:val="en-US"/>
        </w:rPr>
        <w:t xml:space="preserve"> </w:t>
      </w:r>
      <w:r w:rsidR="00BF6338" w:rsidRPr="0000563D">
        <w:t>recommend</w:t>
      </w:r>
      <w:r w:rsidRPr="0000563D">
        <w:t>s</w:t>
      </w:r>
      <w:r w:rsidR="00BF6338" w:rsidRPr="0000563D">
        <w:t xml:space="preserve"> that the law </w:t>
      </w:r>
      <w:r w:rsidR="00BF6338" w:rsidRPr="0000563D">
        <w:rPr>
          <w:lang w:val="en-US"/>
        </w:rPr>
        <w:t>be amended so that a person who breaches the positive duty in the Sex Discrimination Act may be ordered to pay a civil penalty.</w:t>
      </w:r>
      <w:r w:rsidR="00BF6338" w:rsidRPr="0000563D">
        <w:rPr>
          <w:rStyle w:val="EndnoteReference"/>
          <w:lang w:val="en-US"/>
        </w:rPr>
        <w:endnoteReference w:id="285"/>
      </w:r>
      <w:r w:rsidR="00BF6338" w:rsidRPr="0000563D">
        <w:rPr>
          <w:lang w:val="en-US"/>
        </w:rPr>
        <w:t xml:space="preserve"> </w:t>
      </w:r>
      <w:r w:rsidR="00BF6338" w:rsidRPr="0000563D">
        <w:t>The ALRC noted that civil penalties may increase the incentive for duty holders to take measures to prevent sexual harassment in connection with work, and may deter duty holders who might otherwise breach the positive duty.</w:t>
      </w:r>
      <w:r w:rsidR="00BF6338" w:rsidRPr="0000563D">
        <w:rPr>
          <w:rStyle w:val="EndnoteReference"/>
        </w:rPr>
        <w:endnoteReference w:id="286"/>
      </w:r>
      <w:r w:rsidR="00BF6338" w:rsidRPr="0000563D">
        <w:t xml:space="preserve"> The ALRC argued that civil penalties may place greater responsibility on duty holders to address WSH and on the state to enforce that responsibility, shifting the responsibility from individuals to bring legal action.</w:t>
      </w:r>
      <w:r w:rsidR="00BF6338" w:rsidRPr="0000563D">
        <w:rPr>
          <w:rStyle w:val="EndnoteReference"/>
        </w:rPr>
        <w:endnoteReference w:id="287"/>
      </w:r>
      <w:r w:rsidR="002040CA" w:rsidRPr="0000563D">
        <w:t xml:space="preserve"> The</w:t>
      </w:r>
      <w:r w:rsidR="00BF6338" w:rsidRPr="0000563D">
        <w:t xml:space="preserve"> Commission</w:t>
      </w:r>
      <w:r w:rsidR="002040CA" w:rsidRPr="0000563D">
        <w:t xml:space="preserve"> agreed with the ALRC’s position in its </w:t>
      </w:r>
      <w:r w:rsidR="00BF6338" w:rsidRPr="0000563D">
        <w:t xml:space="preserve">recent report </w:t>
      </w:r>
      <w:r w:rsidR="00BF6338" w:rsidRPr="0000563D">
        <w:rPr>
          <w:i/>
          <w:iCs/>
        </w:rPr>
        <w:t>Speaking from Experience: What needs to change to address workplace sexual harassment</w:t>
      </w:r>
      <w:r w:rsidR="00A40925" w:rsidRPr="0000563D">
        <w:rPr>
          <w:i/>
          <w:iCs/>
        </w:rPr>
        <w:t xml:space="preserve"> </w:t>
      </w:r>
      <w:r w:rsidR="00A40925" w:rsidRPr="0000563D">
        <w:t>(Speaking from Experience Report)</w:t>
      </w:r>
      <w:r w:rsidR="00BF6338" w:rsidRPr="0000563D">
        <w:rPr>
          <w:i/>
          <w:iCs/>
        </w:rPr>
        <w:t>.</w:t>
      </w:r>
      <w:r w:rsidR="00BF6338" w:rsidRPr="0000563D">
        <w:rPr>
          <w:rStyle w:val="EndnoteReference"/>
          <w:i/>
          <w:iCs/>
        </w:rPr>
        <w:endnoteReference w:id="288"/>
      </w:r>
    </w:p>
    <w:p w14:paraId="75214724" w14:textId="77777777" w:rsidR="00BF6338" w:rsidRPr="0000563D" w:rsidRDefault="00BF6338" w:rsidP="1A6683D4">
      <w:pPr>
        <w:rPr>
          <w:b/>
          <w:bCs/>
        </w:rPr>
      </w:pPr>
      <w:r w:rsidRPr="0000563D">
        <w:rPr>
          <w:b/>
          <w:bCs/>
        </w:rPr>
        <w:t>The Regulatory Powers (Standard Provisions) Act </w:t>
      </w:r>
    </w:p>
    <w:p w14:paraId="18B31C21" w14:textId="7DE92E48" w:rsidR="00BF6338" w:rsidRPr="0000563D" w:rsidRDefault="00BF6338" w:rsidP="008911EA">
      <w:r w:rsidRPr="0000563D">
        <w:t xml:space="preserve">In 2014, the Australian Government enacted the </w:t>
      </w:r>
      <w:r w:rsidRPr="0000563D">
        <w:rPr>
          <w:i/>
          <w:iCs/>
        </w:rPr>
        <w:t xml:space="preserve">Regulatory Powers (Standard Provisions) Act 2014 </w:t>
      </w:r>
      <w:r w:rsidRPr="0000563D">
        <w:t>(</w:t>
      </w:r>
      <w:proofErr w:type="spellStart"/>
      <w:r w:rsidRPr="0000563D">
        <w:t>Cth</w:t>
      </w:r>
      <w:proofErr w:type="spellEnd"/>
      <w:r w:rsidRPr="0000563D">
        <w:t>) (Regulatory Powers Act) to provide a framework of standard regulatory powers exercised by agencies across the Commonwealth. The Regulatory Powers Act commenced on 1 October 2014 but only has effect where Commonwealth Acts are drafted or amended to trigger its provisions. As the Attorney-General’s Department explained:  </w:t>
      </w:r>
    </w:p>
    <w:p w14:paraId="2A4ACEC5" w14:textId="54300885" w:rsidR="00BF6338" w:rsidRPr="0000563D" w:rsidRDefault="00BF6338" w:rsidP="005B50DC">
      <w:pPr>
        <w:pStyle w:val="Blockquote"/>
        <w:rPr>
          <w:rFonts w:cs="Open Sans"/>
        </w:rPr>
      </w:pPr>
      <w:r w:rsidRPr="0000563D">
        <w:rPr>
          <w:rFonts w:cs="Open Sans"/>
        </w:rPr>
        <w:t>Implementation of the Regulatory Powers Act supports the government’s regulatory reform agenda, as it simplifies and streamlines Commonwealth regulatory powers across the statute book.</w:t>
      </w:r>
      <w:r w:rsidR="004F775B" w:rsidRPr="0000563D">
        <w:rPr>
          <w:rStyle w:val="EndnoteReference"/>
          <w:rFonts w:cs="Open Sans"/>
        </w:rPr>
        <w:endnoteReference w:id="289"/>
      </w:r>
      <w:r w:rsidRPr="0000563D">
        <w:rPr>
          <w:rFonts w:cs="Open Sans"/>
        </w:rPr>
        <w:t> </w:t>
      </w:r>
    </w:p>
    <w:p w14:paraId="79042FB7" w14:textId="01FB6D90" w:rsidR="00BF6338" w:rsidRPr="0000563D" w:rsidRDefault="00BF6338" w:rsidP="008911EA">
      <w:r w:rsidRPr="0000563D">
        <w:t xml:space="preserve">In 2023, section 35K of the </w:t>
      </w:r>
      <w:r w:rsidR="004F775B" w:rsidRPr="0000563D">
        <w:t xml:space="preserve">Australian Human Rights </w:t>
      </w:r>
      <w:r w:rsidRPr="0000563D">
        <w:t xml:space="preserve">Commission Act came into effect, triggering Part 6 of the Regulatory Powers Act. Part 6 of the Regulatory Powers Act creates a framework for accepting and enforcing undertakings </w:t>
      </w:r>
      <w:r w:rsidRPr="0000563D">
        <w:lastRenderedPageBreak/>
        <w:t xml:space="preserve">relating to compliance with provisions, in this case, the positive duty in section 47C of the Sex Discrimination Act. </w:t>
      </w:r>
    </w:p>
    <w:p w14:paraId="12EB1890" w14:textId="354F6665" w:rsidR="00BF6338" w:rsidRPr="0000563D" w:rsidRDefault="00BF6338" w:rsidP="008911EA">
      <w:r w:rsidRPr="0000563D">
        <w:t>The Regulatory Powers Act also creates a standardised framework for the use of civil penalties to enforce civil penalty provisions in federal legislation. This is what is used by the Office of the Australian Information Commissioner (OAIC) and the Privacy Act in the civil penalty scheme outlined above. If section 47C of the Sex Discrimination Act was amended to become a civil penalty provision</w:t>
      </w:r>
      <w:r w:rsidR="00EB30F1" w:rsidRPr="0000563D">
        <w:t>, then</w:t>
      </w:r>
      <w:r w:rsidR="00607BC1" w:rsidRPr="0000563D">
        <w:t xml:space="preserve"> a</w:t>
      </w:r>
      <w:r w:rsidR="00A0168D" w:rsidRPr="0000563D">
        <w:t>n amendment</w:t>
      </w:r>
      <w:r w:rsidRPr="0000563D">
        <w:t xml:space="preserve"> triggering</w:t>
      </w:r>
      <w:r w:rsidR="00607BC1" w:rsidRPr="0000563D">
        <w:t xml:space="preserve"> of</w:t>
      </w:r>
      <w:r w:rsidRPr="0000563D">
        <w:t xml:space="preserve"> Part 4 of the Regulatory Powers Act appears to be a straightforward and internally consistent way of effecting this change. </w:t>
      </w:r>
    </w:p>
    <w:p w14:paraId="6019FA3E" w14:textId="77777777" w:rsidR="00BF6338" w:rsidRPr="0000563D" w:rsidRDefault="00BF6338" w:rsidP="005B50DC">
      <w:pPr>
        <w:pStyle w:val="Heading3"/>
        <w:rPr>
          <w:rFonts w:cs="Open Sans"/>
          <w:i/>
          <w:lang w:eastAsia="en-US"/>
        </w:rPr>
      </w:pPr>
      <w:r w:rsidRPr="0000563D">
        <w:rPr>
          <w:rFonts w:cs="Open Sans"/>
          <w:i/>
        </w:rPr>
        <w:t>Power to require the production of information or documents </w:t>
      </w:r>
    </w:p>
    <w:p w14:paraId="5FA203A0" w14:textId="77777777" w:rsidR="00BF6338" w:rsidRPr="0000563D" w:rsidRDefault="00BF6338" w:rsidP="008911EA">
      <w:r w:rsidRPr="0000563D">
        <w:t>Where the Commission has reason to believe that a person is capable of giving information or producing documents relevant to a matter under inquiry, the Commission has the power to obtain the information or require the production of those documents by way of a written notice.</w:t>
      </w:r>
      <w:r w:rsidRPr="0000563D">
        <w:rPr>
          <w:rStyle w:val="EndnoteReference"/>
        </w:rPr>
        <w:endnoteReference w:id="290"/>
      </w:r>
      <w:r w:rsidRPr="0000563D">
        <w:t xml:space="preserve"> However, the Commission is not able to require the production of information or documents, without having first commenced an inquiry under section 35B of the Commission Act. </w:t>
      </w:r>
    </w:p>
    <w:p w14:paraId="6571E890" w14:textId="77777777" w:rsidR="00BF6338" w:rsidRPr="0000563D" w:rsidRDefault="00BF6338" w:rsidP="008911EA">
      <w:r w:rsidRPr="0000563D">
        <w:t xml:space="preserve">This contrasts with the powers of other regulators, who are not so limited and may issue notices to produce information prior to commencing a formal inquiry. For example, the </w:t>
      </w:r>
      <w:r w:rsidRPr="0000563D">
        <w:rPr>
          <w:i/>
          <w:iCs/>
        </w:rPr>
        <w:t>Model Work Health and Safety Act</w:t>
      </w:r>
      <w:r w:rsidRPr="0000563D">
        <w:t xml:space="preserve"> </w:t>
      </w:r>
      <w:proofErr w:type="gramStart"/>
      <w:r w:rsidRPr="0000563D">
        <w:t>includes</w:t>
      </w:r>
      <w:proofErr w:type="gramEnd"/>
      <w:r w:rsidRPr="0000563D">
        <w:t xml:space="preserve"> a power for the regulator to obtain information ‘that will assist the regulator to monitor or enforce compliance with the Act’.</w:t>
      </w:r>
      <w:r w:rsidRPr="0000563D">
        <w:rPr>
          <w:rStyle w:val="EndnoteReference"/>
        </w:rPr>
        <w:endnoteReference w:id="291"/>
      </w:r>
      <w:r w:rsidRPr="0000563D">
        <w:t xml:space="preserve"> This flexibility allows these regulators to monitor and assess compliance effectively without formally commencing an inquiry and is a crucial tool in assessing whether a formal inquiry is necessary.  </w:t>
      </w:r>
    </w:p>
    <w:p w14:paraId="5DF3DB8A" w14:textId="5F62D92C" w:rsidR="00BF6338" w:rsidRPr="0000563D" w:rsidRDefault="00BF6338" w:rsidP="008911EA">
      <w:r w:rsidRPr="0000563D">
        <w:t>As the legislation currently stands, the Commission reli</w:t>
      </w:r>
      <w:r w:rsidR="003A2C48" w:rsidRPr="0000563D">
        <w:t>es</w:t>
      </w:r>
      <w:r w:rsidRPr="0000563D">
        <w:t xml:space="preserve"> on the voluntary production of documents to inform assessments as to whether to commence an inquiry. Where duty holders do not provide this information voluntarily, the Commission may be required to commence an inquiry early or be unable to gather the information needed to form the requisite suspicion that non-compliance has occurred. </w:t>
      </w:r>
    </w:p>
    <w:p w14:paraId="6F3A274E" w14:textId="1687B4D4" w:rsidR="00BF6338" w:rsidRPr="0000563D" w:rsidRDefault="00BF6338" w:rsidP="00BB6E53">
      <w:pPr>
        <w:pStyle w:val="Heading3"/>
        <w:rPr>
          <w:rFonts w:cs="Open Sans"/>
          <w:i/>
        </w:rPr>
      </w:pPr>
      <w:r w:rsidRPr="0000563D">
        <w:rPr>
          <w:rFonts w:cs="Open Sans"/>
          <w:i/>
        </w:rPr>
        <w:t xml:space="preserve">Penalties for non-compliance or ‘interference’ with the Commission’s administration and enforcement of the positive duty </w:t>
      </w:r>
    </w:p>
    <w:p w14:paraId="2502C3F0" w14:textId="1BF04603" w:rsidR="00BF6338" w:rsidRPr="0000563D" w:rsidRDefault="00BF6338" w:rsidP="008911EA">
      <w:r w:rsidRPr="0000563D">
        <w:rPr>
          <w:lang w:val="en-US"/>
        </w:rPr>
        <w:t xml:space="preserve">The current penalties for non-compliance or ‘interference’ with </w:t>
      </w:r>
      <w:r w:rsidR="00C664CB" w:rsidRPr="0000563D">
        <w:rPr>
          <w:lang w:val="en-US"/>
        </w:rPr>
        <w:t xml:space="preserve">our </w:t>
      </w:r>
      <w:r w:rsidRPr="0000563D">
        <w:rPr>
          <w:lang w:val="en-US"/>
        </w:rPr>
        <w:t>inquiry mechanisms relating to the positive duty are low, particularly when compared with penalties available under other Commonwealth regulatory schemes.</w:t>
      </w:r>
      <w:r w:rsidRPr="0000563D">
        <w:t> </w:t>
      </w:r>
    </w:p>
    <w:p w14:paraId="7623978A" w14:textId="406812E5" w:rsidR="00BF6338" w:rsidRPr="0000563D" w:rsidRDefault="00BF6338" w:rsidP="008911EA">
      <w:r w:rsidRPr="0000563D">
        <w:t xml:space="preserve">For example, under section 21 of the </w:t>
      </w:r>
      <w:r w:rsidR="00EA7339" w:rsidRPr="0000563D">
        <w:t xml:space="preserve">Australian Human Rights </w:t>
      </w:r>
      <w:r w:rsidRPr="0000563D">
        <w:t>Commission Act (as applied by section 35D of the Act), a notice can be issued by the Commission to compel the production of specified information or documents from the duty holder, which may be necessary to assess compliance and make findings. </w:t>
      </w:r>
    </w:p>
    <w:p w14:paraId="4E7982AA" w14:textId="629B22CC" w:rsidR="00BF6338" w:rsidRPr="0000563D" w:rsidRDefault="00BF6338" w:rsidP="008911EA">
      <w:r w:rsidRPr="0000563D">
        <w:lastRenderedPageBreak/>
        <w:t>Currently, the penalty for non-compliance with a section 21 notice issued by the Commission is 10 penalty units for an individual ($3,300) and 50 penalty units for a body corporate ($16,500)</w:t>
      </w:r>
      <w:r w:rsidRPr="0000563D">
        <w:rPr>
          <w:lang w:val="en-US"/>
        </w:rPr>
        <w:t>.</w:t>
      </w:r>
      <w:r w:rsidRPr="0000563D">
        <w:rPr>
          <w:rStyle w:val="EndnoteReference"/>
          <w:lang w:val="en-US"/>
        </w:rPr>
        <w:endnoteReference w:id="292"/>
      </w:r>
    </w:p>
    <w:p w14:paraId="2696A593" w14:textId="77777777" w:rsidR="00BF6338" w:rsidRPr="0000563D" w:rsidRDefault="00BF6338" w:rsidP="008911EA">
      <w:r w:rsidRPr="0000563D">
        <w:t>By way of contrast, preliminary research suggests that penalties for non-compliance with similar ‘notices to produce’ in other regulatory schemes are significantly higher, as set out below:  </w:t>
      </w:r>
    </w:p>
    <w:p w14:paraId="7C5ACEDE" w14:textId="77777777" w:rsidR="00BF6338" w:rsidRPr="0000563D" w:rsidRDefault="00BF6338" w:rsidP="00606A3C">
      <w:pPr>
        <w:pStyle w:val="ListParagraph"/>
        <w:numPr>
          <w:ilvl w:val="0"/>
          <w:numId w:val="7"/>
        </w:numPr>
      </w:pPr>
      <w:r w:rsidRPr="0000563D">
        <w:rPr>
          <w:b/>
          <w:bCs/>
        </w:rPr>
        <w:t>Comcare</w:t>
      </w:r>
      <w:r w:rsidRPr="0000563D">
        <w:t xml:space="preserve"> – individual: currently $14,000; body corporate: $70,000.</w:t>
      </w:r>
      <w:r w:rsidRPr="0000563D">
        <w:rPr>
          <w:rStyle w:val="EndnoteReference"/>
        </w:rPr>
        <w:endnoteReference w:id="293"/>
      </w:r>
    </w:p>
    <w:p w14:paraId="42BF0C04" w14:textId="77777777" w:rsidR="00BF6338" w:rsidRPr="0000563D" w:rsidRDefault="00BF6338" w:rsidP="00606A3C">
      <w:pPr>
        <w:pStyle w:val="ListParagraph"/>
        <w:numPr>
          <w:ilvl w:val="0"/>
          <w:numId w:val="8"/>
        </w:numPr>
      </w:pPr>
      <w:r w:rsidRPr="0000563D">
        <w:rPr>
          <w:b/>
          <w:bCs/>
        </w:rPr>
        <w:t>ACCC</w:t>
      </w:r>
      <w:r w:rsidRPr="0000563D">
        <w:t xml:space="preserve"> – individual: imprisonment for 2 years or a fine not exceeding 100 penalty units ($33,000); body corporate: 500 penalty units ($165,000).</w:t>
      </w:r>
      <w:r w:rsidRPr="0000563D">
        <w:rPr>
          <w:rStyle w:val="EndnoteReference"/>
        </w:rPr>
        <w:endnoteReference w:id="294"/>
      </w:r>
    </w:p>
    <w:p w14:paraId="363CC88D" w14:textId="530E745D" w:rsidR="00BF6338" w:rsidRPr="0000563D" w:rsidRDefault="00BF6338" w:rsidP="00606A3C">
      <w:pPr>
        <w:pStyle w:val="ListParagraph"/>
        <w:numPr>
          <w:ilvl w:val="0"/>
          <w:numId w:val="9"/>
        </w:numPr>
      </w:pPr>
      <w:r w:rsidRPr="0000563D">
        <w:rPr>
          <w:b/>
          <w:bCs/>
        </w:rPr>
        <w:t>OAIC</w:t>
      </w:r>
      <w:r w:rsidRPr="0000563D">
        <w:t xml:space="preserve"> – </w:t>
      </w:r>
      <w:r w:rsidRPr="0000563D">
        <w:rPr>
          <w:lang w:val="en-US"/>
        </w:rPr>
        <w:t>60 penalty units (</w:t>
      </w:r>
      <w:r w:rsidRPr="0000563D">
        <w:t>$19,800</w:t>
      </w:r>
      <w:r w:rsidRPr="0000563D">
        <w:rPr>
          <w:lang w:val="en-US"/>
        </w:rPr>
        <w:t xml:space="preserve">) or 300 penalty units ($99,000) for </w:t>
      </w:r>
      <w:r w:rsidR="00160330" w:rsidRPr="0000563D">
        <w:rPr>
          <w:lang w:val="en-US"/>
        </w:rPr>
        <w:t xml:space="preserve">2 </w:t>
      </w:r>
      <w:r w:rsidRPr="0000563D">
        <w:rPr>
          <w:lang w:val="en-US"/>
        </w:rPr>
        <w:t>or more breaches by a body corporate.</w:t>
      </w:r>
      <w:r w:rsidRPr="0000563D">
        <w:rPr>
          <w:rStyle w:val="EndnoteReference"/>
          <w:lang w:val="en-US"/>
        </w:rPr>
        <w:endnoteReference w:id="295"/>
      </w:r>
    </w:p>
    <w:p w14:paraId="54E68D8E" w14:textId="77777777" w:rsidR="00BF6338" w:rsidRPr="0000563D" w:rsidRDefault="00BF6338" w:rsidP="00606A3C">
      <w:pPr>
        <w:pStyle w:val="ListParagraph"/>
        <w:numPr>
          <w:ilvl w:val="0"/>
          <w:numId w:val="10"/>
        </w:numPr>
      </w:pPr>
      <w:r w:rsidRPr="0000563D">
        <w:rPr>
          <w:b/>
          <w:bCs/>
        </w:rPr>
        <w:t>FWO</w:t>
      </w:r>
      <w:r w:rsidRPr="0000563D">
        <w:t xml:space="preserve"> - individual: 60 penalty units ($19,800); body corporate (small business) 300 penalty units ($99,000) and body corporate (not small business) 1,500 penalty units ($495,000).</w:t>
      </w:r>
      <w:r w:rsidRPr="0000563D">
        <w:rPr>
          <w:rStyle w:val="EndnoteReference"/>
        </w:rPr>
        <w:endnoteReference w:id="296"/>
      </w:r>
      <w:r w:rsidRPr="0000563D">
        <w:t> </w:t>
      </w:r>
    </w:p>
    <w:p w14:paraId="1D4CADD2" w14:textId="360BFCFA" w:rsidR="00BF6338" w:rsidRPr="0000563D" w:rsidRDefault="00BF6338" w:rsidP="008911EA">
      <w:r w:rsidRPr="0000563D">
        <w:t>Given the relatively low penalties in the</w:t>
      </w:r>
      <w:r w:rsidR="00EA7339" w:rsidRPr="0000563D">
        <w:t xml:space="preserve"> Australian Human Rights</w:t>
      </w:r>
      <w:r w:rsidRPr="0000563D">
        <w:t xml:space="preserve"> Commission Act, the Commission is concerned that the current penalty amounts may not adequately deter non-compliance</w:t>
      </w:r>
      <w:r w:rsidR="00536EFF" w:rsidRPr="0000563D">
        <w:t xml:space="preserve"> </w:t>
      </w:r>
      <w:r w:rsidR="00FA0765" w:rsidRPr="0000563D">
        <w:t xml:space="preserve">or ‘interference’ </w:t>
      </w:r>
      <w:r w:rsidR="007629F5" w:rsidRPr="0000563D">
        <w:t xml:space="preserve">with the </w:t>
      </w:r>
      <w:r w:rsidR="00891AD2" w:rsidRPr="0000563D">
        <w:t>C</w:t>
      </w:r>
      <w:r w:rsidR="007629F5" w:rsidRPr="0000563D">
        <w:t xml:space="preserve">ommission’s </w:t>
      </w:r>
      <w:r w:rsidR="00FA0765" w:rsidRPr="0000563D">
        <w:t xml:space="preserve">administration and </w:t>
      </w:r>
      <w:r w:rsidR="007629F5" w:rsidRPr="0000563D">
        <w:t>enforcement of the positive duty</w:t>
      </w:r>
      <w:r w:rsidRPr="0000563D">
        <w:t xml:space="preserve">. </w:t>
      </w:r>
      <w:r w:rsidR="00E818F5" w:rsidRPr="0000563D">
        <w:t xml:space="preserve">Some contributors to the Commission’s </w:t>
      </w:r>
      <w:r w:rsidR="00E818F5" w:rsidRPr="002D4943">
        <w:t>Speaking from Experience</w:t>
      </w:r>
      <w:r w:rsidR="00E818F5" w:rsidRPr="0000563D">
        <w:rPr>
          <w:i/>
        </w:rPr>
        <w:t xml:space="preserve"> </w:t>
      </w:r>
      <w:r w:rsidR="006D4D06" w:rsidRPr="0000563D">
        <w:t>report</w:t>
      </w:r>
      <w:r w:rsidR="00E818F5" w:rsidRPr="0000563D">
        <w:t xml:space="preserve"> </w:t>
      </w:r>
      <w:r w:rsidR="00D325B0" w:rsidRPr="0000563D">
        <w:t>repeated</w:t>
      </w:r>
      <w:r w:rsidR="00E818F5" w:rsidRPr="0000563D">
        <w:t xml:space="preserve"> this concern, noting they had the sense that leaders did not take the new laws seriously.</w:t>
      </w:r>
      <w:r w:rsidR="004A6F4A" w:rsidRPr="0000563D">
        <w:rPr>
          <w:rStyle w:val="EndnoteReference"/>
        </w:rPr>
        <w:endnoteReference w:id="297"/>
      </w:r>
      <w:r w:rsidR="00E818F5" w:rsidRPr="0000563D">
        <w:t xml:space="preserve"> </w:t>
      </w:r>
      <w:r w:rsidRPr="0000563D">
        <w:t xml:space="preserve">This is particularly the case when balanced against the potential cost to a duty holder if the Commission were to direct action that it must take, or refrain from taking, to achieve compliance, based on the information produced. Similarly, under section 26(1) of the </w:t>
      </w:r>
      <w:r w:rsidR="00BF662D" w:rsidRPr="0000563D">
        <w:t xml:space="preserve">Australian Human Rights </w:t>
      </w:r>
      <w:r w:rsidRPr="0000563D">
        <w:t>Commission Act, offences relating to hindering, obstructing, or interfering with Commission staff who are carrying out investigation or inquiry functions under the positive duty is set at 10 penalty units ($3,300). This appears low considering the significant impact that such actions could have on the integrity of inquiries.  </w:t>
      </w:r>
    </w:p>
    <w:p w14:paraId="605F6BC7" w14:textId="3B03823B" w:rsidR="00133B5B" w:rsidRPr="0000563D" w:rsidRDefault="00BF6338" w:rsidP="008911EA">
      <w:r w:rsidRPr="0000563D">
        <w:t>An increase in penalty units would better protect the integrity of the Commission’s regulatory role and reflect the seriousness of a duty holder’s obligations under the positive duty. It is also likely to increase public trust and confidence in the regulatory framework and the Commission’s standing as a regulator, by strengthening the view that compliance with the law is not optional and that appropriate penalties are available to respond to non-compliance.  </w:t>
      </w:r>
    </w:p>
    <w:p w14:paraId="37E96BDC" w14:textId="77777777" w:rsidR="00BF6338" w:rsidRPr="0000563D" w:rsidRDefault="00BF6338" w:rsidP="00592F2A">
      <w:pPr>
        <w:pStyle w:val="Heading3"/>
        <w:rPr>
          <w:rFonts w:cs="Open Sans"/>
          <w:i/>
        </w:rPr>
      </w:pPr>
      <w:r w:rsidRPr="0000563D">
        <w:rPr>
          <w:rFonts w:cs="Open Sans"/>
          <w:i/>
        </w:rPr>
        <w:t>Limitations on the Commission’s ability to share information</w:t>
      </w:r>
    </w:p>
    <w:p w14:paraId="10DBA8AC" w14:textId="6A1924C2" w:rsidR="00BF6338" w:rsidRPr="0000563D" w:rsidRDefault="00BF6338" w:rsidP="008911EA">
      <w:r w:rsidRPr="0000563D">
        <w:rPr>
          <w:lang w:val="en-US"/>
        </w:rPr>
        <w:t>The Commission’s ability to share information is limited by the secrecy provision in s</w:t>
      </w:r>
      <w:r w:rsidR="00A11A15" w:rsidRPr="0000563D">
        <w:rPr>
          <w:lang w:val="en-US"/>
        </w:rPr>
        <w:t>ection</w:t>
      </w:r>
      <w:r w:rsidRPr="0000563D">
        <w:rPr>
          <w:lang w:val="en-US"/>
        </w:rPr>
        <w:t xml:space="preserve"> 49 of the Australian Human Rights Commission Act. This is a strict non-disclosure provision that applies to information acquired by Commission members and staff because of their office or employment. It prohibits the President, Commissioners and Commission staff from divulging information </w:t>
      </w:r>
      <w:r w:rsidRPr="0000563D">
        <w:rPr>
          <w:lang w:val="en-US"/>
        </w:rPr>
        <w:lastRenderedPageBreak/>
        <w:t xml:space="preserve">relating to the ‘affairs of another person’ – understood as information that could </w:t>
      </w:r>
      <w:r w:rsidRPr="0000563D">
        <w:rPr>
          <w:i/>
          <w:iCs/>
          <w:lang w:val="en-US"/>
        </w:rPr>
        <w:t>identify</w:t>
      </w:r>
      <w:r w:rsidRPr="0000563D">
        <w:rPr>
          <w:lang w:val="en-US"/>
        </w:rPr>
        <w:t xml:space="preserve"> one or more specific individuals and legal persons (such as companies) – except in limited circumstances. Criminal penalties </w:t>
      </w:r>
      <w:proofErr w:type="gramStart"/>
      <w:r w:rsidRPr="0000563D">
        <w:rPr>
          <w:lang w:val="en-US"/>
        </w:rPr>
        <w:t>apply:</w:t>
      </w:r>
      <w:proofErr w:type="gramEnd"/>
      <w:r w:rsidRPr="0000563D">
        <w:rPr>
          <w:lang w:val="en-US"/>
        </w:rPr>
        <w:t xml:space="preserve"> up to 12 months imprisonment or 50 penalty units ($16,500), or both.</w:t>
      </w:r>
    </w:p>
    <w:p w14:paraId="55E2887A" w14:textId="77777777" w:rsidR="00BF6338" w:rsidRPr="0000563D" w:rsidRDefault="00BF6338" w:rsidP="008911EA">
      <w:r w:rsidRPr="0000563D">
        <w:rPr>
          <w:lang w:val="en-US"/>
        </w:rPr>
        <w:t xml:space="preserve">In general terms, the </w:t>
      </w:r>
      <w:proofErr w:type="gramStart"/>
      <w:r w:rsidRPr="0000563D">
        <w:rPr>
          <w:lang w:val="en-US"/>
        </w:rPr>
        <w:t>secrecy</w:t>
      </w:r>
      <w:proofErr w:type="gramEnd"/>
      <w:r w:rsidRPr="0000563D">
        <w:rPr>
          <w:lang w:val="en-US"/>
        </w:rPr>
        <w:t xml:space="preserve"> provision effectively prevents the Commission from divulging information relating to the Commission’s positive duty functions including:</w:t>
      </w:r>
    </w:p>
    <w:p w14:paraId="6E9AA0C9" w14:textId="77777777" w:rsidR="00BF6338" w:rsidRPr="0000563D" w:rsidRDefault="00BF6338" w:rsidP="008911EA">
      <w:pPr>
        <w:pStyle w:val="ListBullet"/>
        <w:rPr>
          <w:rFonts w:cs="Open Sans"/>
        </w:rPr>
      </w:pPr>
      <w:r w:rsidRPr="0000563D">
        <w:rPr>
          <w:rFonts w:cs="Open Sans"/>
        </w:rPr>
        <w:t>sharing identifying information with other regulators who have similar powers or overlapping jurisdictions, such as the Fair Work Ombudsman or work, health and safety (WHS) regulators</w:t>
      </w:r>
    </w:p>
    <w:p w14:paraId="3D173183" w14:textId="77777777" w:rsidR="00BF6338" w:rsidRPr="0000563D" w:rsidRDefault="00BF6338" w:rsidP="008911EA">
      <w:pPr>
        <w:pStyle w:val="ListBullet"/>
        <w:rPr>
          <w:rFonts w:cs="Open Sans"/>
        </w:rPr>
      </w:pPr>
      <w:r w:rsidRPr="0000563D">
        <w:rPr>
          <w:rFonts w:cs="Open Sans"/>
        </w:rPr>
        <w:t>publishing a compliance notice issued to an organisation or identifying information about any compliance notices issued</w:t>
      </w:r>
    </w:p>
    <w:p w14:paraId="3DD3370C" w14:textId="77777777" w:rsidR="00BF6338" w:rsidRPr="0000563D" w:rsidRDefault="00BF6338" w:rsidP="008911EA">
      <w:pPr>
        <w:pStyle w:val="ListBullet"/>
        <w:rPr>
          <w:rFonts w:cs="Open Sans"/>
        </w:rPr>
      </w:pPr>
      <w:r w:rsidRPr="0000563D">
        <w:rPr>
          <w:rFonts w:cs="Open Sans"/>
        </w:rPr>
        <w:t>publishing the name of an organisation under consideration for, or subject to, the Commission’s compliance and enforcement activities, such as voluntary engagement or an inquiry.</w:t>
      </w:r>
    </w:p>
    <w:p w14:paraId="6AF393A2" w14:textId="3EB6985E" w:rsidR="00BF6338" w:rsidRPr="0000563D" w:rsidRDefault="00BF6338" w:rsidP="008911EA">
      <w:pPr>
        <w:rPr>
          <w:lang w:val="en-US"/>
        </w:rPr>
      </w:pPr>
      <w:r w:rsidRPr="0000563D">
        <w:rPr>
          <w:lang w:val="en-US"/>
        </w:rPr>
        <w:t xml:space="preserve">The inability of the Commission to share information with regulators that have overlapping jurisdictions creates complexities and inefficiencies. </w:t>
      </w:r>
      <w:r w:rsidR="008D6C06" w:rsidRPr="0000563D">
        <w:rPr>
          <w:lang w:val="en-US"/>
        </w:rPr>
        <w:t xml:space="preserve">We are </w:t>
      </w:r>
      <w:r w:rsidRPr="0000563D">
        <w:rPr>
          <w:lang w:val="en-US"/>
        </w:rPr>
        <w:t xml:space="preserve">limited in </w:t>
      </w:r>
      <w:r w:rsidR="008D6C06" w:rsidRPr="0000563D">
        <w:rPr>
          <w:lang w:val="en-US"/>
        </w:rPr>
        <w:t xml:space="preserve">our </w:t>
      </w:r>
      <w:r w:rsidRPr="0000563D">
        <w:rPr>
          <w:lang w:val="en-US"/>
        </w:rPr>
        <w:t xml:space="preserve">ability to identify and </w:t>
      </w:r>
      <w:proofErr w:type="spellStart"/>
      <w:r w:rsidRPr="0000563D">
        <w:rPr>
          <w:lang w:val="en-US"/>
        </w:rPr>
        <w:t>minimise</w:t>
      </w:r>
      <w:proofErr w:type="spellEnd"/>
      <w:r w:rsidRPr="0000563D">
        <w:rPr>
          <w:lang w:val="en-US"/>
        </w:rPr>
        <w:t xml:space="preserve"> duplication and </w:t>
      </w:r>
      <w:proofErr w:type="spellStart"/>
      <w:r w:rsidRPr="0000563D">
        <w:rPr>
          <w:lang w:val="en-US"/>
        </w:rPr>
        <w:t>harmonise</w:t>
      </w:r>
      <w:proofErr w:type="spellEnd"/>
      <w:r w:rsidRPr="0000563D">
        <w:rPr>
          <w:lang w:val="en-US"/>
        </w:rPr>
        <w:t xml:space="preserve"> activities with other regulators to achieve better regulatory outcomes and reduce the regulatory burden on duty holders. Information sharing with other regulators can avoid duplication given the overlapping jurisdictions. </w:t>
      </w:r>
    </w:p>
    <w:p w14:paraId="1D73AA9C" w14:textId="63C38C58" w:rsidR="00BF6338" w:rsidRPr="0000563D" w:rsidRDefault="00BF6338" w:rsidP="008911EA">
      <w:r w:rsidRPr="0000563D">
        <w:t xml:space="preserve">The information that </w:t>
      </w:r>
      <w:r w:rsidR="008D6C06" w:rsidRPr="0000563D">
        <w:t>we</w:t>
      </w:r>
      <w:r w:rsidRPr="0000563D">
        <w:t xml:space="preserve"> can share with the public about </w:t>
      </w:r>
      <w:r w:rsidR="008D6C06" w:rsidRPr="0000563D">
        <w:t xml:space="preserve">our </w:t>
      </w:r>
      <w:r w:rsidRPr="0000563D">
        <w:t>compliance and enforcement activities is also more limited than other regulators. Informing the public about operational activities is an essential part of a regulator</w:t>
      </w:r>
      <w:r w:rsidR="00965648" w:rsidRPr="0000563D">
        <w:t>’</w:t>
      </w:r>
      <w:r w:rsidRPr="0000563D">
        <w:t xml:space="preserve">s work. This is because it promotes compliance, can act as a deterrent, has an educative function, and ensures transparency and public confidence. </w:t>
      </w:r>
      <w:r w:rsidR="00B10CCB" w:rsidRPr="0000563D">
        <w:t xml:space="preserve">Contributors to the Speaking from Experience report emphasised </w:t>
      </w:r>
      <w:r w:rsidR="00D409E8" w:rsidRPr="0000563D">
        <w:t xml:space="preserve">concerns about </w:t>
      </w:r>
      <w:r w:rsidR="003E6A39" w:rsidRPr="0000563D">
        <w:t xml:space="preserve">a lack of transparency in relation to workplace sexual harassment, and in particular </w:t>
      </w:r>
      <w:r w:rsidR="00D409E8" w:rsidRPr="0000563D">
        <w:t xml:space="preserve">the use of </w:t>
      </w:r>
      <w:r w:rsidR="00E60811" w:rsidRPr="0000563D">
        <w:t>non-</w:t>
      </w:r>
      <w:r w:rsidR="00D409E8" w:rsidRPr="0000563D">
        <w:t xml:space="preserve">disclosure agreements </w:t>
      </w:r>
      <w:r w:rsidR="00E60811" w:rsidRPr="0000563D">
        <w:t xml:space="preserve">to </w:t>
      </w:r>
      <w:r w:rsidR="003E6A39" w:rsidRPr="0000563D">
        <w:t>limit</w:t>
      </w:r>
      <w:r w:rsidR="00E60811" w:rsidRPr="0000563D">
        <w:t xml:space="preserve"> genuine accountability.</w:t>
      </w:r>
      <w:r w:rsidR="00E60811" w:rsidRPr="0000563D">
        <w:rPr>
          <w:rStyle w:val="EndnoteReference"/>
        </w:rPr>
        <w:endnoteReference w:id="298"/>
      </w:r>
      <w:r w:rsidR="00E60811" w:rsidRPr="0000563D">
        <w:t xml:space="preserve"> </w:t>
      </w:r>
    </w:p>
    <w:p w14:paraId="7964E6C7" w14:textId="77777777" w:rsidR="00BF6338" w:rsidRPr="0000563D" w:rsidRDefault="00BF6338" w:rsidP="008911EA">
      <w:pPr>
        <w:rPr>
          <w:lang w:val="en-US"/>
        </w:rPr>
      </w:pPr>
      <w:r w:rsidRPr="0000563D">
        <w:rPr>
          <w:lang w:val="en-US"/>
        </w:rPr>
        <w:t>Commonly permitted disclosures that are available to other regulators include when information is disclosed with a person’s consent, when information is already in the public domain, to lessen or reduce a risk to public health or safety, or to comment on investigations or regulatory activity.</w:t>
      </w:r>
    </w:p>
    <w:p w14:paraId="25AEDF43" w14:textId="5FEBF398" w:rsidR="007E0382" w:rsidRPr="0000563D" w:rsidRDefault="00BF6338" w:rsidP="3FBA0D3C">
      <w:pPr>
        <w:rPr>
          <w:rStyle w:val="EndnoteReference"/>
          <w:rFonts w:eastAsia="Open Sans"/>
          <w:lang w:val="en-US"/>
        </w:rPr>
      </w:pPr>
      <w:r w:rsidRPr="0000563D">
        <w:rPr>
          <w:rFonts w:eastAsia="Open Sans"/>
          <w:lang w:val="en-US"/>
        </w:rPr>
        <w:t xml:space="preserve">An independent statutory review of the amendments made by the </w:t>
      </w:r>
      <w:r w:rsidRPr="0000563D">
        <w:rPr>
          <w:rFonts w:eastAsia="Open Sans"/>
          <w:i/>
          <w:iCs/>
        </w:rPr>
        <w:t xml:space="preserve">Anti-Discrimination and Human Rights Legislation Amendment (Respect at Work) Act 2022 </w:t>
      </w:r>
      <w:r w:rsidR="00CD4CBA" w:rsidRPr="0000563D">
        <w:rPr>
          <w:rFonts w:eastAsia="Open Sans"/>
        </w:rPr>
        <w:t>(</w:t>
      </w:r>
      <w:proofErr w:type="spellStart"/>
      <w:r w:rsidR="00CD4CBA" w:rsidRPr="0000563D">
        <w:rPr>
          <w:rFonts w:eastAsia="Open Sans"/>
        </w:rPr>
        <w:t>Cth</w:t>
      </w:r>
      <w:proofErr w:type="spellEnd"/>
      <w:r w:rsidR="00CD4CBA" w:rsidRPr="0000563D">
        <w:rPr>
          <w:rFonts w:eastAsia="Open Sans"/>
        </w:rPr>
        <w:t xml:space="preserve">) </w:t>
      </w:r>
      <w:r w:rsidRPr="0000563D">
        <w:rPr>
          <w:rFonts w:eastAsia="Open Sans"/>
          <w:lang w:val="en-US"/>
        </w:rPr>
        <w:t>must be undertaken between 12 December 2025 and 12 December 2026.</w:t>
      </w:r>
      <w:r w:rsidRPr="0000563D">
        <w:rPr>
          <w:rStyle w:val="EndnoteReference"/>
          <w:rFonts w:eastAsia="Open Sans"/>
          <w:lang w:val="en-US"/>
        </w:rPr>
        <w:endnoteReference w:id="299"/>
      </w:r>
      <w:r w:rsidRPr="0000563D">
        <w:rPr>
          <w:rFonts w:eastAsia="Open Sans"/>
          <w:vertAlign w:val="superscript"/>
          <w:lang w:val="en-US"/>
        </w:rPr>
        <w:t xml:space="preserve"> </w:t>
      </w:r>
      <w:r w:rsidRPr="0000563D">
        <w:rPr>
          <w:rFonts w:eastAsia="Open Sans"/>
          <w:lang w:val="en-US"/>
        </w:rPr>
        <w:t xml:space="preserve">As part of this review, consideration will be given to whether the legislative changes are operating effectively, and whether the Commission has the resources to carry out </w:t>
      </w:r>
      <w:r w:rsidR="008D6C06" w:rsidRPr="0000563D">
        <w:rPr>
          <w:rFonts w:eastAsia="Open Sans"/>
          <w:lang w:val="en-US"/>
        </w:rPr>
        <w:t xml:space="preserve">our </w:t>
      </w:r>
      <w:r w:rsidRPr="0000563D">
        <w:rPr>
          <w:rFonts w:eastAsia="Open Sans"/>
          <w:lang w:val="en-US"/>
        </w:rPr>
        <w:t>functions relating to the positive duty in the Sex Discrimination Act.</w:t>
      </w:r>
      <w:r w:rsidRPr="0000563D">
        <w:rPr>
          <w:rStyle w:val="EndnoteReference"/>
          <w:rFonts w:eastAsia="Open Sans"/>
          <w:lang w:val="en-US"/>
        </w:rPr>
        <w:endnoteReference w:id="300"/>
      </w:r>
    </w:p>
    <w:p w14:paraId="1A027810" w14:textId="11C2EB49" w:rsidR="00BF6338" w:rsidRPr="0000563D" w:rsidRDefault="007035DF" w:rsidP="008911EA">
      <w:pPr>
        <w:rPr>
          <w:rFonts w:eastAsia="Open Sans"/>
          <w:lang w:val="en-US"/>
        </w:rPr>
      </w:pPr>
      <w:r w:rsidRPr="0000563D">
        <w:rPr>
          <w:rFonts w:eastAsia="Open Sans"/>
          <w:lang w:val="en-US"/>
        </w:rPr>
        <w:lastRenderedPageBreak/>
        <w:t>T</w:t>
      </w:r>
      <w:r w:rsidR="00BF6338" w:rsidRPr="0000563D">
        <w:rPr>
          <w:rFonts w:eastAsia="Open Sans"/>
          <w:lang w:val="en-US"/>
        </w:rPr>
        <w:t>h</w:t>
      </w:r>
      <w:r w:rsidR="0610BEA2" w:rsidRPr="0000563D">
        <w:rPr>
          <w:rFonts w:eastAsia="Open Sans"/>
          <w:lang w:val="en-US"/>
        </w:rPr>
        <w:t>is present</w:t>
      </w:r>
      <w:r w:rsidR="341C3C77" w:rsidRPr="0000563D">
        <w:rPr>
          <w:rFonts w:eastAsia="Open Sans"/>
          <w:lang w:val="en-US"/>
        </w:rPr>
        <w:t>s</w:t>
      </w:r>
      <w:r w:rsidR="0610BEA2" w:rsidRPr="0000563D">
        <w:rPr>
          <w:rFonts w:eastAsia="Open Sans"/>
          <w:lang w:val="en-US"/>
        </w:rPr>
        <w:t xml:space="preserve"> an opportunity to examine th</w:t>
      </w:r>
      <w:r w:rsidR="00BF6338" w:rsidRPr="0000563D">
        <w:rPr>
          <w:rFonts w:eastAsia="Open Sans"/>
          <w:lang w:val="en-US"/>
        </w:rPr>
        <w:t xml:space="preserve">e operation of the secrecy provision and the Commission’s information sharing powers, in the context of </w:t>
      </w:r>
      <w:r w:rsidR="00762D58" w:rsidRPr="0000563D">
        <w:rPr>
          <w:rFonts w:eastAsia="Open Sans"/>
          <w:lang w:val="en-US"/>
        </w:rPr>
        <w:t xml:space="preserve">our </w:t>
      </w:r>
      <w:r w:rsidR="00FB0927" w:rsidRPr="0000563D">
        <w:rPr>
          <w:rFonts w:eastAsia="Open Sans"/>
          <w:lang w:val="en-US"/>
        </w:rPr>
        <w:t xml:space="preserve">statutory </w:t>
      </w:r>
      <w:r w:rsidR="00BF6338" w:rsidRPr="0000563D">
        <w:rPr>
          <w:rFonts w:eastAsia="Open Sans"/>
          <w:lang w:val="en-US"/>
        </w:rPr>
        <w:t>functions</w:t>
      </w:r>
      <w:r w:rsidR="0C9A7995" w:rsidRPr="0000563D">
        <w:rPr>
          <w:rFonts w:eastAsia="Open Sans"/>
          <w:lang w:val="en-US"/>
        </w:rPr>
        <w:t>, enforcement powers</w:t>
      </w:r>
      <w:r w:rsidR="127EBFB4" w:rsidRPr="0000563D">
        <w:rPr>
          <w:rFonts w:eastAsia="Open Sans"/>
          <w:lang w:val="en-US"/>
        </w:rPr>
        <w:t>,</w:t>
      </w:r>
      <w:r w:rsidR="00BF6338" w:rsidRPr="0000563D">
        <w:rPr>
          <w:rFonts w:eastAsia="Open Sans"/>
          <w:lang w:val="en-US"/>
        </w:rPr>
        <w:t xml:space="preserve"> and the broader regulatory landscape</w:t>
      </w:r>
      <w:r w:rsidR="2A5DABC0" w:rsidRPr="0000563D">
        <w:rPr>
          <w:rFonts w:eastAsia="Open Sans"/>
          <w:lang w:val="en-US"/>
        </w:rPr>
        <w:t xml:space="preserve">. </w:t>
      </w:r>
    </w:p>
    <w:p w14:paraId="2EF664C4" w14:textId="38446214" w:rsidR="00BF6338" w:rsidRPr="002D4943" w:rsidRDefault="03A5A55A" w:rsidP="008911EA">
      <w:r w:rsidRPr="0000563D">
        <w:rPr>
          <w:rFonts w:eastAsia="Open Sans"/>
          <w:lang w:val="en-US"/>
        </w:rPr>
        <w:t>The</w:t>
      </w:r>
      <w:r w:rsidR="2766FE04" w:rsidRPr="0000563D">
        <w:rPr>
          <w:rFonts w:eastAsia="Open Sans"/>
          <w:lang w:val="en-US"/>
        </w:rPr>
        <w:t xml:space="preserve"> </w:t>
      </w:r>
      <w:r w:rsidR="2766FE04" w:rsidRPr="002D4943">
        <w:t>Australian Human Rights Commission Act</w:t>
      </w:r>
      <w:r w:rsidR="2766FE04" w:rsidRPr="002D4943">
        <w:rPr>
          <w:i/>
        </w:rPr>
        <w:t xml:space="preserve"> </w:t>
      </w:r>
      <w:r w:rsidR="7D80A13D" w:rsidRPr="0000563D">
        <w:t xml:space="preserve">should be amended </w:t>
      </w:r>
      <w:r w:rsidR="2766FE04" w:rsidRPr="002D4943">
        <w:t>to enable better information sharing with other regulators</w:t>
      </w:r>
      <w:r w:rsidR="46412CE9" w:rsidRPr="0000563D">
        <w:t xml:space="preserve"> and the public</w:t>
      </w:r>
      <w:r w:rsidR="2766FE04" w:rsidRPr="0000563D">
        <w:t>.</w:t>
      </w:r>
      <w:r w:rsidR="580CBEED" w:rsidRPr="0000563D">
        <w:t xml:space="preserve"> </w:t>
      </w:r>
      <w:r w:rsidR="3387EE71" w:rsidRPr="0000563D">
        <w:t xml:space="preserve">The scope of these amendments should be considered and </w:t>
      </w:r>
      <w:r w:rsidR="2C0FAEA6" w:rsidRPr="0000563D">
        <w:t xml:space="preserve">informed </w:t>
      </w:r>
      <w:r w:rsidR="3387EE71" w:rsidRPr="0000563D">
        <w:t>by the independent review of the positive duty in the</w:t>
      </w:r>
      <w:r w:rsidR="3387EE71" w:rsidRPr="002D4943">
        <w:rPr>
          <w:i/>
          <w:iCs/>
        </w:rPr>
        <w:t xml:space="preserve"> </w:t>
      </w:r>
      <w:r w:rsidR="3387EE71" w:rsidRPr="0000563D">
        <w:t>Sex Discrimination Act due to commence in 2026.</w:t>
      </w:r>
    </w:p>
    <w:p w14:paraId="3D849270" w14:textId="16E0611B" w:rsidR="00BF6338" w:rsidRPr="002D4943" w:rsidRDefault="00BF6338" w:rsidP="007035DF">
      <w:pPr>
        <w:pStyle w:val="Heading2"/>
        <w:rPr>
          <w:rFonts w:ascii="Open Sans" w:hAnsi="Open Sans" w:cs="Open Sans"/>
        </w:rPr>
      </w:pPr>
      <w:bookmarkStart w:id="61" w:name="_Toc214961143"/>
      <w:r w:rsidRPr="002D4943">
        <w:rPr>
          <w:rFonts w:ascii="Open Sans" w:hAnsi="Open Sans" w:cs="Open Sans"/>
        </w:rPr>
        <w:t xml:space="preserve">Enhancing regulatory coordination: </w:t>
      </w:r>
      <w:r w:rsidR="007035DF" w:rsidRPr="002D4943">
        <w:rPr>
          <w:rFonts w:ascii="Open Sans" w:hAnsi="Open Sans" w:cs="Open Sans"/>
        </w:rPr>
        <w:t>The Commission’s</w:t>
      </w:r>
      <w:r w:rsidRPr="002D4943">
        <w:rPr>
          <w:rFonts w:ascii="Open Sans" w:hAnsi="Open Sans" w:cs="Open Sans"/>
        </w:rPr>
        <w:t xml:space="preserve"> collaborative approach to positive duty implementation</w:t>
      </w:r>
      <w:bookmarkEnd w:id="61"/>
      <w:r w:rsidRPr="002D4943">
        <w:rPr>
          <w:rFonts w:ascii="Open Sans" w:hAnsi="Open Sans" w:cs="Open Sans"/>
        </w:rPr>
        <w:t> </w:t>
      </w:r>
    </w:p>
    <w:p w14:paraId="21F2A75C" w14:textId="77777777" w:rsidR="00BF6338" w:rsidRPr="0000563D" w:rsidRDefault="00BF6338" w:rsidP="008911EA">
      <w:r w:rsidRPr="0000563D">
        <w:t>Recent submissions to the Economic Forum Roundtable from the Australian Retailers Association, and a coalition of 27 groups representing Australia’s small, medium and large businesses, university and the investment community, called for ‘harmonising and modernising regulation’, and for ‘reducing red tape through better regulation’.</w:t>
      </w:r>
      <w:r w:rsidRPr="0000563D">
        <w:rPr>
          <w:rStyle w:val="EndnoteReference"/>
        </w:rPr>
        <w:endnoteReference w:id="301"/>
      </w:r>
      <w:r w:rsidRPr="0000563D">
        <w:t xml:space="preserve"> The Australian Retailers Association noted they supported embedding the principles of good regulatory design when new regulations are introduced stating that this should include: </w:t>
      </w:r>
    </w:p>
    <w:p w14:paraId="750B31A3" w14:textId="77777777" w:rsidR="00BF6338" w:rsidRPr="0000563D" w:rsidRDefault="00BF6338" w:rsidP="004552C6">
      <w:pPr>
        <w:pStyle w:val="Blockquote"/>
        <w:rPr>
          <w:rFonts w:cs="Open Sans"/>
        </w:rPr>
      </w:pPr>
      <w:r w:rsidRPr="0000563D">
        <w:rPr>
          <w:rFonts w:cs="Open Sans"/>
        </w:rPr>
        <w:t>ensuring alignment with existing state, federal, and international frameworks; assessing unintended economic consequences; and incorporating clear mechanisms for post-implementation review.</w:t>
      </w:r>
      <w:r w:rsidRPr="0000563D">
        <w:rPr>
          <w:rStyle w:val="EndnoteReference"/>
          <w:rFonts w:cs="Open Sans"/>
          <w:sz w:val="22"/>
          <w:szCs w:val="22"/>
        </w:rPr>
        <w:endnoteReference w:id="302"/>
      </w:r>
    </w:p>
    <w:p w14:paraId="497C236A" w14:textId="2EAB968B" w:rsidR="00BF6338" w:rsidRPr="0000563D" w:rsidRDefault="00BF6338" w:rsidP="008911EA">
      <w:pPr>
        <w:rPr>
          <w:rFonts w:eastAsia="Aptos"/>
          <w:kern w:val="2"/>
          <w:lang w:eastAsia="en-US"/>
          <w14:ligatures w14:val="standardContextual"/>
        </w:rPr>
      </w:pPr>
      <w:r w:rsidRPr="0000563D">
        <w:t xml:space="preserve">The Commission is well attuned to the importance of increasing regulatory alignment and efficiency. </w:t>
      </w:r>
      <w:r w:rsidR="00642B34" w:rsidRPr="0000563D">
        <w:t>Our</w:t>
      </w:r>
      <w:r w:rsidRPr="0000563D">
        <w:t xml:space="preserve"> approach to regulation is outlined in </w:t>
      </w:r>
      <w:r w:rsidR="00642B34" w:rsidRPr="0000563D">
        <w:t xml:space="preserve">the Commission’s </w:t>
      </w:r>
      <w:r w:rsidRPr="0000563D">
        <w:rPr>
          <w:i/>
          <w:iCs/>
        </w:rPr>
        <w:t>Compliance and Enforcement Policy</w:t>
      </w:r>
      <w:r w:rsidRPr="0000563D">
        <w:t xml:space="preserve"> which aligns with principles of regulatory best practice. The Commission uses a risk-based, intelligence-led and data-driven approach to compliance and enforcement of the positive duty in the Sex Discrimination Act, focusing </w:t>
      </w:r>
      <w:r w:rsidR="00642B34" w:rsidRPr="0000563D">
        <w:t xml:space="preserve">our </w:t>
      </w:r>
      <w:r w:rsidRPr="0000563D">
        <w:t xml:space="preserve">resources on activities and inquiries that will provide the greatest impact for meaningful cultural change. </w:t>
      </w:r>
      <w:r w:rsidR="00642B34" w:rsidRPr="0000563D">
        <w:rPr>
          <w:rFonts w:eastAsia="Aptos"/>
          <w:kern w:val="2"/>
          <w:lang w:eastAsia="en-US"/>
          <w14:ligatures w14:val="standardContextual"/>
        </w:rPr>
        <w:t>We are</w:t>
      </w:r>
      <w:r w:rsidRPr="0000563D">
        <w:rPr>
          <w:rFonts w:eastAsia="Aptos"/>
          <w:kern w:val="2"/>
          <w:lang w:eastAsia="en-US"/>
          <w14:ligatures w14:val="standardContextual"/>
        </w:rPr>
        <w:t xml:space="preserve"> committed to using </w:t>
      </w:r>
      <w:r w:rsidR="00642B34" w:rsidRPr="0000563D">
        <w:rPr>
          <w:rFonts w:eastAsia="Aptos"/>
          <w:kern w:val="2"/>
          <w:lang w:eastAsia="en-US"/>
          <w14:ligatures w14:val="standardContextual"/>
        </w:rPr>
        <w:t xml:space="preserve">our </w:t>
      </w:r>
      <w:r w:rsidRPr="0000563D">
        <w:rPr>
          <w:rFonts w:eastAsia="Aptos"/>
          <w:kern w:val="2"/>
          <w:lang w:eastAsia="en-US"/>
          <w14:ligatures w14:val="standardContextual"/>
        </w:rPr>
        <w:t xml:space="preserve">resources strategically to provide the greatest benefit for the community. In discharging </w:t>
      </w:r>
      <w:r w:rsidR="00642B34" w:rsidRPr="0000563D">
        <w:rPr>
          <w:rFonts w:eastAsia="Aptos"/>
          <w:kern w:val="2"/>
          <w:lang w:eastAsia="en-US"/>
          <w14:ligatures w14:val="standardContextual"/>
        </w:rPr>
        <w:t xml:space="preserve">our </w:t>
      </w:r>
      <w:r w:rsidRPr="0000563D">
        <w:rPr>
          <w:rFonts w:eastAsia="Aptos"/>
          <w:kern w:val="2"/>
          <w:lang w:eastAsia="en-US"/>
          <w14:ligatures w14:val="standardContextual"/>
        </w:rPr>
        <w:t xml:space="preserve">regulatory role, the Commission </w:t>
      </w:r>
      <w:proofErr w:type="gramStart"/>
      <w:r w:rsidRPr="0000563D">
        <w:rPr>
          <w:rFonts w:eastAsia="Aptos"/>
          <w:kern w:val="2"/>
          <w:lang w:eastAsia="en-US"/>
          <w14:ligatures w14:val="standardContextual"/>
        </w:rPr>
        <w:t>is able to</w:t>
      </w:r>
      <w:proofErr w:type="gramEnd"/>
      <w:r w:rsidRPr="0000563D">
        <w:rPr>
          <w:rFonts w:eastAsia="Aptos"/>
          <w:kern w:val="2"/>
          <w:lang w:eastAsia="en-US"/>
          <w14:ligatures w14:val="standardContextual"/>
        </w:rPr>
        <w:t xml:space="preserve"> proactively initiate action to address relevant unlawful conduct, rather than relying on individuals to bring complaints. This eases the overall burden on individuals to bring complaints. </w:t>
      </w:r>
    </w:p>
    <w:p w14:paraId="3A67743F" w14:textId="3DFFB406" w:rsidR="00BF6338" w:rsidRPr="0000563D" w:rsidRDefault="00BF6338" w:rsidP="008911EA">
      <w:pPr>
        <w:rPr>
          <w:rFonts w:eastAsia="Aptos"/>
        </w:rPr>
      </w:pPr>
      <w:r w:rsidRPr="0000563D">
        <w:rPr>
          <w:rFonts w:eastAsia="Aptos"/>
          <w:lang w:eastAsia="en-US"/>
        </w:rPr>
        <w:t xml:space="preserve">The Commission has built strategic partnerships and demonstrated regulatory best practice to ensure regulatory efficiency. For example, </w:t>
      </w:r>
      <w:r w:rsidRPr="0000563D">
        <w:rPr>
          <w:rFonts w:eastAsia="Aptos"/>
        </w:rPr>
        <w:t xml:space="preserve">in September 2024, the Commission delivered the first National Regulator Roundtable, bringing together 32 representatives from 20 agencies across state and federal Work Health and Safety, Anti-Discrimination, Human Rights, Equal Opportunity, and Fair Work jurisdictions. The Regulator Roundtable strengthened coordination </w:t>
      </w:r>
      <w:r w:rsidRPr="0000563D">
        <w:rPr>
          <w:rFonts w:eastAsia="Aptos"/>
        </w:rPr>
        <w:lastRenderedPageBreak/>
        <w:t xml:space="preserve">and communication between regulatory bodies. The 2025 event has been expanded to </w:t>
      </w:r>
      <w:r w:rsidR="00160330" w:rsidRPr="0000563D">
        <w:rPr>
          <w:rFonts w:eastAsia="Aptos"/>
        </w:rPr>
        <w:t>2</w:t>
      </w:r>
      <w:r w:rsidRPr="0000563D">
        <w:rPr>
          <w:rFonts w:eastAsia="Aptos"/>
        </w:rPr>
        <w:t xml:space="preserve"> days following the positive feedback from attendees. </w:t>
      </w:r>
    </w:p>
    <w:p w14:paraId="2DE36D74" w14:textId="4F43B9D8" w:rsidR="00BF6338" w:rsidRPr="0000563D" w:rsidRDefault="00BF6338" w:rsidP="008911EA">
      <w:pPr>
        <w:rPr>
          <w:rFonts w:eastAsia="Aptos"/>
        </w:rPr>
      </w:pPr>
      <w:r w:rsidRPr="0000563D">
        <w:rPr>
          <w:rFonts w:eastAsia="Aptos"/>
        </w:rPr>
        <w:t xml:space="preserve">The Commission and the Queensland Human Rights Commission built on this success by securing approval from the Australian Council of Human Rights Agencies (ACHRA) to establish a Positive Duty Working Group in October 2024. The </w:t>
      </w:r>
      <w:r w:rsidR="00D765C9" w:rsidRPr="0000563D">
        <w:rPr>
          <w:rFonts w:eastAsia="Aptos"/>
        </w:rPr>
        <w:t>W</w:t>
      </w:r>
      <w:r w:rsidRPr="0000563D">
        <w:rPr>
          <w:rFonts w:eastAsia="Aptos"/>
        </w:rPr>
        <w:t xml:space="preserve">orking </w:t>
      </w:r>
      <w:r w:rsidR="00D765C9" w:rsidRPr="0000563D">
        <w:rPr>
          <w:rFonts w:eastAsia="Aptos"/>
        </w:rPr>
        <w:t>G</w:t>
      </w:r>
      <w:r w:rsidRPr="0000563D">
        <w:rPr>
          <w:rFonts w:eastAsia="Aptos"/>
        </w:rPr>
        <w:t>roup held its first meeting in November 2024 and now meets quarterly. It enables ongoing collaboration between anti-discrimination, equal opportunity and human rights commissions across federal, state and territory levels.</w:t>
      </w:r>
    </w:p>
    <w:p w14:paraId="08EAC972" w14:textId="15AA175C" w:rsidR="00BF6338" w:rsidRPr="0000563D" w:rsidRDefault="00BF6338" w:rsidP="008911EA">
      <w:pPr>
        <w:rPr>
          <w:rFonts w:eastAsia="Aptos"/>
        </w:rPr>
      </w:pPr>
      <w:r w:rsidRPr="0000563D">
        <w:rPr>
          <w:rFonts w:eastAsia="Aptos"/>
        </w:rPr>
        <w:t xml:space="preserve">These initiatives reflect the Commission’s commitment to the </w:t>
      </w:r>
      <w:r w:rsidR="00F85A86" w:rsidRPr="0000563D">
        <w:rPr>
          <w:rFonts w:eastAsia="Aptos"/>
        </w:rPr>
        <w:t xml:space="preserve">3 </w:t>
      </w:r>
      <w:r w:rsidRPr="0000563D">
        <w:rPr>
          <w:rFonts w:eastAsia="Aptos"/>
        </w:rPr>
        <w:t xml:space="preserve">principles of regulatory best practice outlined in the </w:t>
      </w:r>
      <w:r w:rsidRPr="0000563D">
        <w:rPr>
          <w:rFonts w:eastAsia="Aptos"/>
          <w:i/>
          <w:iCs/>
        </w:rPr>
        <w:t>Regulator Performance Guide</w:t>
      </w:r>
      <w:r w:rsidRPr="0000563D">
        <w:rPr>
          <w:rFonts w:eastAsia="Aptos"/>
        </w:rPr>
        <w:t>. The collaborative approach demonstrates continuous improvement through systematic capability building, risk-based decision-making that leverages collective knowledge whilst minimising burden, and transparent communication that reduces duplication across jurisdictions. </w:t>
      </w:r>
    </w:p>
    <w:p w14:paraId="323EC6C6" w14:textId="77777777" w:rsidR="00BF6338" w:rsidRPr="0000563D" w:rsidRDefault="00BF6338" w:rsidP="008911EA">
      <w:pPr>
        <w:rPr>
          <w:rFonts w:eastAsia="Aptos"/>
        </w:rPr>
      </w:pPr>
      <w:r w:rsidRPr="0000563D">
        <w:rPr>
          <w:rFonts w:eastAsia="Aptos"/>
        </w:rPr>
        <w:t>The Commission’s approach shows how effective regulation can be enhanced through strategic collaboration, creating more efficient outcomes for Australian workplaces whilst maintaining strong protections against discrimination. </w:t>
      </w:r>
    </w:p>
    <w:p w14:paraId="685C511F" w14:textId="77777777" w:rsidR="009E256B" w:rsidRPr="0000563D" w:rsidRDefault="009E256B" w:rsidP="006E7E5F">
      <w:pPr>
        <w:sectPr w:rsidR="009E256B" w:rsidRPr="0000563D" w:rsidSect="0090680E">
          <w:headerReference w:type="default" r:id="rId25"/>
          <w:endnotePr>
            <w:numFmt w:val="decimal"/>
          </w:endnotePr>
          <w:pgSz w:w="11906" w:h="16838" w:code="9"/>
          <w:pgMar w:top="1440" w:right="1440" w:bottom="1440" w:left="1440" w:header="720" w:footer="720" w:gutter="0"/>
          <w:cols w:space="720"/>
          <w:docGrid w:linePitch="360"/>
        </w:sectPr>
      </w:pPr>
    </w:p>
    <w:p w14:paraId="38A0F611" w14:textId="65A025E1" w:rsidR="00882C52" w:rsidRPr="002D4943" w:rsidRDefault="00714A06" w:rsidP="00882C52">
      <w:pPr>
        <w:pStyle w:val="Heading1unnumbered"/>
        <w:rPr>
          <w:rFonts w:ascii="Open Sans" w:hAnsi="Open Sans" w:cs="Open Sans"/>
        </w:rPr>
      </w:pPr>
      <w:bookmarkStart w:id="62" w:name="_Toc214961144"/>
      <w:r w:rsidRPr="002D4943">
        <w:rPr>
          <w:rFonts w:ascii="Open Sans" w:hAnsi="Open Sans" w:cs="Open Sans"/>
        </w:rPr>
        <w:lastRenderedPageBreak/>
        <w:t>Endnotes</w:t>
      </w:r>
      <w:bookmarkEnd w:id="62"/>
    </w:p>
    <w:p w14:paraId="7EFB642C" w14:textId="3777A7ED" w:rsidR="00882C52" w:rsidRPr="0000563D" w:rsidRDefault="00882C52" w:rsidP="008911EA"/>
    <w:sectPr w:rsidR="00882C52" w:rsidRPr="0000563D" w:rsidSect="0090680E">
      <w:headerReference w:type="default" r:id="rId26"/>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78DB" w14:textId="77777777" w:rsidR="00B432C9" w:rsidRDefault="00B432C9" w:rsidP="00404018">
      <w:pPr>
        <w:pStyle w:val="Frontmatter"/>
      </w:pPr>
      <w:r>
        <w:separator/>
      </w:r>
    </w:p>
  </w:endnote>
  <w:endnote w:type="continuationSeparator" w:id="0">
    <w:p w14:paraId="640673E8" w14:textId="77777777" w:rsidR="00B432C9" w:rsidRDefault="00B432C9" w:rsidP="008911EA">
      <w:r>
        <w:continuationSeparator/>
      </w:r>
    </w:p>
  </w:endnote>
  <w:endnote w:type="continuationNotice" w:id="1">
    <w:p w14:paraId="2977FD84" w14:textId="77777777" w:rsidR="00B432C9" w:rsidRDefault="00B432C9" w:rsidP="008911EA"/>
  </w:endnote>
  <w:endnote w:id="2">
    <w:p w14:paraId="1A36A989" w14:textId="77777777" w:rsidR="001830BD" w:rsidRPr="002D4943" w:rsidRDefault="001830BD" w:rsidP="001830B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Productivity Commission, </w:t>
      </w:r>
      <w:r w:rsidRPr="002D4943">
        <w:rPr>
          <w:rFonts w:cs="Open Sans"/>
          <w:i/>
          <w:sz w:val="18"/>
          <w:szCs w:val="18"/>
        </w:rPr>
        <w:t xml:space="preserve">Review of the Disability Discrimination Act 1992 </w:t>
      </w:r>
      <w:r w:rsidRPr="002D4943">
        <w:rPr>
          <w:rFonts w:cs="Open Sans"/>
          <w:sz w:val="18"/>
          <w:szCs w:val="18"/>
        </w:rPr>
        <w:t>(Final Report, No 30, 14 July 2004).</w:t>
      </w:r>
    </w:p>
  </w:endnote>
  <w:endnote w:id="3">
    <w:p w14:paraId="3E12A0C5" w14:textId="6A98CFFB" w:rsidR="001830BD" w:rsidRPr="002D4943" w:rsidRDefault="001830BD" w:rsidP="001830B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Convention on the Rights of Persons with Disabilities, </w:t>
      </w:r>
      <w:r w:rsidRPr="002D4943">
        <w:rPr>
          <w:rFonts w:cs="Open Sans"/>
          <w:sz w:val="18"/>
          <w:szCs w:val="18"/>
        </w:rPr>
        <w:t>opened for signature 30 March 2007, 2515 UNTS 320 (entered into force 3 May 2008)</w:t>
      </w:r>
      <w:r w:rsidR="00894342" w:rsidRPr="002D4943">
        <w:rPr>
          <w:rFonts w:cs="Open Sans"/>
          <w:sz w:val="18"/>
          <w:szCs w:val="18"/>
        </w:rPr>
        <w:t xml:space="preserve"> (‘</w:t>
      </w:r>
      <w:r w:rsidR="00894342" w:rsidRPr="002D4943">
        <w:rPr>
          <w:rFonts w:cs="Open Sans"/>
          <w:i/>
          <w:sz w:val="18"/>
          <w:szCs w:val="18"/>
        </w:rPr>
        <w:t>CRPD’</w:t>
      </w:r>
      <w:r w:rsidRPr="002D4943">
        <w:rPr>
          <w:rFonts w:cs="Open Sans"/>
          <w:sz w:val="18"/>
          <w:szCs w:val="18"/>
        </w:rPr>
        <w:t>).</w:t>
      </w:r>
    </w:p>
  </w:endnote>
  <w:endnote w:id="4">
    <w:p w14:paraId="6C01FEA6" w14:textId="0CF54AB5" w:rsidR="770BF407" w:rsidRPr="002D4943" w:rsidRDefault="770BF407" w:rsidP="770BF40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5C3C93" w:rsidRPr="002D4943">
        <w:rPr>
          <w:rFonts w:cs="Open Sans"/>
          <w:sz w:val="18"/>
          <w:szCs w:val="18"/>
        </w:rPr>
        <w:t>See</w:t>
      </w:r>
      <w:r w:rsidR="0063625F" w:rsidRPr="002D4943">
        <w:rPr>
          <w:rFonts w:cs="Open Sans"/>
          <w:sz w:val="18"/>
          <w:szCs w:val="18"/>
        </w:rPr>
        <w:t>, Australian Bu</w:t>
      </w:r>
      <w:r w:rsidR="008F1209" w:rsidRPr="002D4943">
        <w:rPr>
          <w:rFonts w:cs="Open Sans"/>
          <w:sz w:val="18"/>
          <w:szCs w:val="18"/>
        </w:rPr>
        <w:t xml:space="preserve">reau of Statistics, </w:t>
      </w:r>
      <w:r w:rsidR="008F1209" w:rsidRPr="002D4943">
        <w:rPr>
          <w:rFonts w:cs="Open Sans"/>
          <w:i/>
          <w:sz w:val="18"/>
          <w:szCs w:val="18"/>
        </w:rPr>
        <w:t>Disability, Ageing and Carers, Australia: Summary of Findings, 2003</w:t>
      </w:r>
      <w:r w:rsidR="008F1209" w:rsidRPr="002D4943">
        <w:rPr>
          <w:rFonts w:cs="Open Sans"/>
          <w:sz w:val="18"/>
          <w:szCs w:val="18"/>
        </w:rPr>
        <w:t xml:space="preserve"> (Catalo</w:t>
      </w:r>
      <w:r w:rsidR="00E1419C" w:rsidRPr="002D4943">
        <w:rPr>
          <w:rFonts w:cs="Open Sans"/>
          <w:sz w:val="18"/>
          <w:szCs w:val="18"/>
        </w:rPr>
        <w:t>gue No. 4430</w:t>
      </w:r>
      <w:r w:rsidR="00D70068" w:rsidRPr="002D4943">
        <w:rPr>
          <w:rFonts w:cs="Open Sans"/>
          <w:sz w:val="18"/>
          <w:szCs w:val="18"/>
        </w:rPr>
        <w:t>.0, 15 September 2004</w:t>
      </w:r>
      <w:r w:rsidR="00663F8F" w:rsidRPr="002D4943">
        <w:rPr>
          <w:rFonts w:cs="Open Sans"/>
          <w:sz w:val="18"/>
          <w:szCs w:val="18"/>
        </w:rPr>
        <w:t xml:space="preserve">); Australian </w:t>
      </w:r>
      <w:r w:rsidR="009C568E" w:rsidRPr="002D4943">
        <w:rPr>
          <w:rFonts w:cs="Open Sans"/>
          <w:sz w:val="18"/>
          <w:szCs w:val="18"/>
        </w:rPr>
        <w:t xml:space="preserve">Bureau of Statistics, </w:t>
      </w:r>
      <w:r w:rsidR="009C568E" w:rsidRPr="002D4943">
        <w:rPr>
          <w:rFonts w:cs="Open Sans"/>
          <w:i/>
          <w:sz w:val="18"/>
          <w:szCs w:val="18"/>
        </w:rPr>
        <w:t>Disability, Ageing and Carers, Australia</w:t>
      </w:r>
      <w:r w:rsidR="008F5B98" w:rsidRPr="002D4943">
        <w:rPr>
          <w:rFonts w:cs="Open Sans"/>
          <w:i/>
          <w:sz w:val="18"/>
          <w:szCs w:val="18"/>
        </w:rPr>
        <w:t>: Summary of Findings</w:t>
      </w:r>
      <w:r w:rsidR="00E930BF" w:rsidRPr="002D4943">
        <w:rPr>
          <w:rFonts w:cs="Open Sans"/>
          <w:i/>
          <w:sz w:val="18"/>
          <w:szCs w:val="18"/>
        </w:rPr>
        <w:t xml:space="preserve">, 2018 </w:t>
      </w:r>
      <w:r w:rsidR="00E930BF" w:rsidRPr="002D4943">
        <w:rPr>
          <w:rFonts w:cs="Open Sans"/>
          <w:sz w:val="18"/>
          <w:szCs w:val="18"/>
        </w:rPr>
        <w:t>(Catalogue N</w:t>
      </w:r>
      <w:r w:rsidR="00596EF3" w:rsidRPr="002D4943">
        <w:rPr>
          <w:rFonts w:cs="Open Sans"/>
          <w:sz w:val="18"/>
          <w:szCs w:val="18"/>
        </w:rPr>
        <w:t>o. 4430.0, 24 October 2019</w:t>
      </w:r>
      <w:r w:rsidR="00FD1D48" w:rsidRPr="002D4943">
        <w:rPr>
          <w:rFonts w:cs="Open Sans"/>
          <w:sz w:val="18"/>
          <w:szCs w:val="18"/>
        </w:rPr>
        <w:t>)</w:t>
      </w:r>
      <w:r w:rsidR="00A047E4" w:rsidRPr="002D4943">
        <w:rPr>
          <w:rFonts w:cs="Open Sans"/>
          <w:sz w:val="18"/>
          <w:szCs w:val="18"/>
        </w:rPr>
        <w:t xml:space="preserve">; </w:t>
      </w:r>
      <w:r w:rsidR="00974737" w:rsidRPr="002D4943">
        <w:rPr>
          <w:rFonts w:cs="Open Sans"/>
          <w:sz w:val="18"/>
          <w:szCs w:val="18"/>
        </w:rPr>
        <w:t xml:space="preserve">Australian Bureau of Statistics, </w:t>
      </w:r>
      <w:r w:rsidR="00974737" w:rsidRPr="002D4943">
        <w:rPr>
          <w:rFonts w:cs="Open Sans"/>
          <w:i/>
          <w:sz w:val="18"/>
          <w:szCs w:val="18"/>
        </w:rPr>
        <w:t>Disability, Ageing and Carers, Australi</w:t>
      </w:r>
      <w:r w:rsidR="00952900" w:rsidRPr="002D4943">
        <w:rPr>
          <w:rFonts w:cs="Open Sans"/>
          <w:i/>
          <w:sz w:val="18"/>
          <w:szCs w:val="18"/>
        </w:rPr>
        <w:t xml:space="preserve">a: </w:t>
      </w:r>
      <w:r w:rsidR="009C3672" w:rsidRPr="002D4943">
        <w:rPr>
          <w:rFonts w:cs="Open Sans"/>
          <w:i/>
          <w:sz w:val="18"/>
          <w:szCs w:val="18"/>
        </w:rPr>
        <w:t>Summary of Findings</w:t>
      </w:r>
      <w:r w:rsidR="00D2120D" w:rsidRPr="002D4943">
        <w:rPr>
          <w:rFonts w:cs="Open Sans"/>
          <w:i/>
          <w:sz w:val="18"/>
          <w:szCs w:val="18"/>
        </w:rPr>
        <w:t>,</w:t>
      </w:r>
      <w:r w:rsidR="00F67B77" w:rsidRPr="002D4943">
        <w:rPr>
          <w:rFonts w:cs="Open Sans"/>
          <w:i/>
          <w:sz w:val="18"/>
          <w:szCs w:val="18"/>
        </w:rPr>
        <w:t xml:space="preserve"> </w:t>
      </w:r>
      <w:r w:rsidR="00FD1031" w:rsidRPr="002D4943">
        <w:rPr>
          <w:rFonts w:cs="Open Sans"/>
          <w:i/>
          <w:sz w:val="18"/>
          <w:szCs w:val="18"/>
        </w:rPr>
        <w:t>2022</w:t>
      </w:r>
      <w:r w:rsidR="00D2120D" w:rsidRPr="002D4943">
        <w:rPr>
          <w:rFonts w:cs="Open Sans"/>
          <w:i/>
          <w:sz w:val="18"/>
          <w:szCs w:val="18"/>
        </w:rPr>
        <w:t xml:space="preserve"> </w:t>
      </w:r>
      <w:r w:rsidR="00342E4B" w:rsidRPr="002D4943">
        <w:rPr>
          <w:rFonts w:cs="Open Sans"/>
          <w:sz w:val="18"/>
          <w:szCs w:val="18"/>
        </w:rPr>
        <w:t>(Catalogue No.</w:t>
      </w:r>
      <w:r w:rsidR="00FE3C61" w:rsidRPr="002D4943">
        <w:rPr>
          <w:rFonts w:cs="Open Sans"/>
          <w:sz w:val="18"/>
          <w:szCs w:val="18"/>
        </w:rPr>
        <w:t xml:space="preserve"> 44</w:t>
      </w:r>
      <w:r w:rsidR="00844D3B" w:rsidRPr="002D4943">
        <w:rPr>
          <w:rFonts w:cs="Open Sans"/>
          <w:sz w:val="18"/>
          <w:szCs w:val="18"/>
        </w:rPr>
        <w:t>30.0</w:t>
      </w:r>
      <w:r w:rsidR="004C3235" w:rsidRPr="002D4943">
        <w:rPr>
          <w:rFonts w:cs="Open Sans"/>
          <w:sz w:val="18"/>
          <w:szCs w:val="18"/>
        </w:rPr>
        <w:t xml:space="preserve">, 4 July 2024). </w:t>
      </w:r>
    </w:p>
  </w:endnote>
  <w:endnote w:id="5">
    <w:p w14:paraId="2803DCD7" w14:textId="6F145624" w:rsidR="770BF407" w:rsidRPr="00825777" w:rsidRDefault="770BF407" w:rsidP="770BF407">
      <w:pPr>
        <w:pStyle w:val="EndnoteText"/>
        <w:rPr>
          <w:rFonts w:cs="Open Sans"/>
        </w:rPr>
      </w:pPr>
      <w:r w:rsidRPr="00825777">
        <w:rPr>
          <w:rStyle w:val="EndnoteReference"/>
          <w:rFonts w:cs="Open Sans"/>
        </w:rPr>
        <w:endnoteRef/>
      </w:r>
      <w:r w:rsidRPr="00825777">
        <w:rPr>
          <w:rFonts w:cs="Open Sans"/>
        </w:rPr>
        <w:t xml:space="preserve"> </w:t>
      </w:r>
      <w:r w:rsidRPr="00825777">
        <w:rPr>
          <w:rFonts w:cs="Open Sans"/>
          <w:sz w:val="18"/>
          <w:szCs w:val="18"/>
        </w:rPr>
        <w:t xml:space="preserve">Australian Human Rights Commission, </w:t>
      </w:r>
      <w:r w:rsidRPr="00825777">
        <w:rPr>
          <w:rFonts w:cs="Open Sans"/>
          <w:i/>
          <w:sz w:val="18"/>
          <w:szCs w:val="18"/>
        </w:rPr>
        <w:t xml:space="preserve">Willing to Work: National Inquiry into Employment Discrimination Against Older Australians and Australians with Disability </w:t>
      </w:r>
      <w:r w:rsidRPr="00825777">
        <w:rPr>
          <w:rFonts w:cs="Open Sans"/>
          <w:sz w:val="18"/>
          <w:szCs w:val="18"/>
        </w:rPr>
        <w:t>(2016).</w:t>
      </w:r>
      <w:r w:rsidRPr="00825777">
        <w:rPr>
          <w:rFonts w:cs="Open Sans"/>
        </w:rPr>
        <w:t xml:space="preserve"> </w:t>
      </w:r>
    </w:p>
  </w:endnote>
  <w:endnote w:id="6">
    <w:p w14:paraId="53560E26" w14:textId="402E5B68" w:rsidR="770BF407" w:rsidRPr="00825777" w:rsidRDefault="770BF407" w:rsidP="770BF407">
      <w:pPr>
        <w:pStyle w:val="EndnoteText"/>
        <w:rPr>
          <w:rFonts w:cs="Open Sans"/>
        </w:rPr>
      </w:pPr>
      <w:r w:rsidRPr="00825777">
        <w:rPr>
          <w:rStyle w:val="EndnoteReference"/>
          <w:rFonts w:cs="Open Sans"/>
        </w:rPr>
        <w:endnoteRef/>
      </w:r>
      <w:r w:rsidRPr="00825777">
        <w:rPr>
          <w:rFonts w:cs="Open Sans"/>
        </w:rPr>
        <w:t xml:space="preserve"> </w:t>
      </w:r>
      <w:r w:rsidRPr="00825777">
        <w:rPr>
          <w:rFonts w:cs="Open Sans"/>
          <w:sz w:val="18"/>
          <w:szCs w:val="18"/>
        </w:rPr>
        <w:t xml:space="preserve">See Australian Human Rights Commission, </w:t>
      </w:r>
      <w:hyperlink r:id="rId1">
        <w:r w:rsidRPr="00825777">
          <w:rPr>
            <w:rStyle w:val="Hyperlink"/>
            <w:rFonts w:cs="Open Sans"/>
            <w:sz w:val="18"/>
            <w:szCs w:val="18"/>
          </w:rPr>
          <w:t>Equality at Work</w:t>
        </w:r>
      </w:hyperlink>
      <w:r w:rsidRPr="00825777">
        <w:rPr>
          <w:rFonts w:cs="Open Sans"/>
          <w:sz w:val="18"/>
          <w:szCs w:val="18"/>
        </w:rPr>
        <w:t xml:space="preserve"> [website], n.d. accessed 20 October 2025.</w:t>
      </w:r>
      <w:r w:rsidRPr="00825777">
        <w:rPr>
          <w:rFonts w:cs="Open Sans"/>
        </w:rPr>
        <w:t xml:space="preserve"> </w:t>
      </w:r>
    </w:p>
  </w:endnote>
  <w:endnote w:id="7">
    <w:p w14:paraId="4DBEC053" w14:textId="77D395E1" w:rsidR="00726A5F" w:rsidRPr="002D4943" w:rsidRDefault="00726A5F" w:rsidP="00726A5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w:t>
      </w:r>
      <w:r w:rsidR="00772A36" w:rsidRPr="002D4943">
        <w:rPr>
          <w:rFonts w:cs="Open Sans"/>
          <w:sz w:val="18"/>
          <w:szCs w:val="18"/>
        </w:rPr>
        <w:t xml:space="preserve"> (‘</w:t>
      </w:r>
      <w:r w:rsidR="00772A36" w:rsidRPr="002D4943">
        <w:rPr>
          <w:rFonts w:cs="Open Sans"/>
          <w:i/>
          <w:sz w:val="18"/>
          <w:szCs w:val="18"/>
        </w:rPr>
        <w:t>Free &amp; Equal 2021 Position Paper’</w:t>
      </w:r>
      <w:r w:rsidRPr="002D4943">
        <w:rPr>
          <w:rFonts w:cs="Open Sans"/>
          <w:sz w:val="18"/>
          <w:szCs w:val="18"/>
        </w:rPr>
        <w:t>).</w:t>
      </w:r>
    </w:p>
  </w:endnote>
  <w:endnote w:id="8">
    <w:p w14:paraId="1ACE6CB9" w14:textId="09847EDE" w:rsidR="00CD076B" w:rsidRPr="002D4943" w:rsidRDefault="00CD076B" w:rsidP="00CD076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D2B44" w:rsidRPr="002D4943">
        <w:rPr>
          <w:rFonts w:cs="Open Sans"/>
          <w:sz w:val="18"/>
          <w:szCs w:val="18"/>
        </w:rPr>
        <w:t>CRPD</w:t>
      </w:r>
      <w:r w:rsidRPr="002D4943">
        <w:rPr>
          <w:rFonts w:cs="Open Sans"/>
          <w:sz w:val="18"/>
          <w:szCs w:val="18"/>
        </w:rPr>
        <w:t xml:space="preserve"> </w:t>
      </w:r>
      <w:r w:rsidR="006B2146" w:rsidRPr="002D4943">
        <w:rPr>
          <w:rFonts w:cs="Open Sans"/>
          <w:sz w:val="18"/>
          <w:szCs w:val="18"/>
        </w:rPr>
        <w:t>a</w:t>
      </w:r>
      <w:r w:rsidRPr="002D4943">
        <w:rPr>
          <w:rFonts w:cs="Open Sans"/>
          <w:sz w:val="18"/>
          <w:szCs w:val="18"/>
        </w:rPr>
        <w:t>rt</w:t>
      </w:r>
      <w:r w:rsidR="004D41D9" w:rsidRPr="002D4943">
        <w:rPr>
          <w:rFonts w:cs="Open Sans"/>
          <w:sz w:val="18"/>
          <w:szCs w:val="18"/>
        </w:rPr>
        <w:t>s</w:t>
      </w:r>
      <w:r w:rsidRPr="002D4943">
        <w:rPr>
          <w:rFonts w:cs="Open Sans"/>
          <w:sz w:val="18"/>
          <w:szCs w:val="18"/>
        </w:rPr>
        <w:t xml:space="preserve"> 5(1) &amp; (2).</w:t>
      </w:r>
    </w:p>
  </w:endnote>
  <w:endnote w:id="9">
    <w:p w14:paraId="686FE030" w14:textId="5E18ADF6" w:rsidR="00D420A3" w:rsidRPr="002D4943" w:rsidRDefault="00D420A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D2B44" w:rsidRPr="002D4943">
        <w:rPr>
          <w:rFonts w:cs="Open Sans"/>
          <w:sz w:val="18"/>
          <w:szCs w:val="18"/>
        </w:rPr>
        <w:t xml:space="preserve">CRPD </w:t>
      </w:r>
      <w:r w:rsidR="00D26AFA" w:rsidRPr="002D4943">
        <w:rPr>
          <w:rFonts w:cs="Open Sans"/>
          <w:sz w:val="18"/>
          <w:szCs w:val="18"/>
        </w:rPr>
        <w:t xml:space="preserve">Preamble. </w:t>
      </w:r>
    </w:p>
  </w:endnote>
  <w:endnote w:id="10">
    <w:p w14:paraId="76EC51EC" w14:textId="77777777" w:rsidR="00800D5F" w:rsidRPr="002D4943" w:rsidRDefault="00800D5F" w:rsidP="00800D5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Human Rights Committee, </w:t>
      </w:r>
      <w:r w:rsidRPr="002D4943">
        <w:rPr>
          <w:rFonts w:cs="Open Sans"/>
          <w:i/>
          <w:sz w:val="18"/>
          <w:szCs w:val="18"/>
        </w:rPr>
        <w:t xml:space="preserve">General Comment No. 18: Non-discrimination, </w:t>
      </w:r>
      <w:r w:rsidRPr="002D4943">
        <w:rPr>
          <w:rFonts w:cs="Open Sans"/>
          <w:sz w:val="18"/>
          <w:szCs w:val="18"/>
        </w:rPr>
        <w:t>37</w:t>
      </w:r>
      <w:r w:rsidRPr="002D4943">
        <w:rPr>
          <w:rFonts w:cs="Open Sans"/>
          <w:sz w:val="18"/>
          <w:szCs w:val="18"/>
          <w:vertAlign w:val="superscript"/>
        </w:rPr>
        <w:t>th</w:t>
      </w:r>
      <w:r w:rsidRPr="002D4943">
        <w:rPr>
          <w:rFonts w:cs="Open Sans"/>
          <w:sz w:val="18"/>
          <w:szCs w:val="18"/>
        </w:rPr>
        <w:t xml:space="preserve"> sess, UN Doc CCPR/C/GC/18 (10 June 1989). </w:t>
      </w:r>
    </w:p>
  </w:endnote>
  <w:endnote w:id="11">
    <w:p w14:paraId="3C506A32" w14:textId="0D2A29EB" w:rsidR="00800D5F" w:rsidRPr="002D4943" w:rsidRDefault="00800D5F" w:rsidP="00800D5F">
      <w:pPr>
        <w:pStyle w:val="EndnoteText"/>
        <w:rPr>
          <w:rFonts w:cs="Open Sans"/>
          <w:sz w:val="18"/>
          <w:szCs w:val="18"/>
        </w:rPr>
      </w:pPr>
      <w:r w:rsidRPr="00825777">
        <w:rPr>
          <w:rStyle w:val="EndnoteReference"/>
          <w:rFonts w:cs="Open Sans"/>
          <w:sz w:val="18"/>
          <w:szCs w:val="18"/>
        </w:rPr>
        <w:endnoteRef/>
      </w:r>
      <w:r w:rsidRPr="00825777">
        <w:rPr>
          <w:rFonts w:cs="Open Sans"/>
          <w:sz w:val="18"/>
          <w:szCs w:val="18"/>
        </w:rPr>
        <w:t xml:space="preserve"> </w:t>
      </w:r>
      <w:r w:rsidRPr="00825777">
        <w:rPr>
          <w:rFonts w:cs="Open Sans"/>
          <w:i/>
          <w:sz w:val="18"/>
          <w:szCs w:val="18"/>
        </w:rPr>
        <w:t>International Covenant on Civil and Political Rights</w:t>
      </w:r>
      <w:r w:rsidRPr="00825777">
        <w:rPr>
          <w:rFonts w:cs="Open Sans"/>
          <w:sz w:val="18"/>
          <w:szCs w:val="18"/>
        </w:rPr>
        <w:t xml:space="preserve"> </w:t>
      </w:r>
      <w:r w:rsidR="006379C2" w:rsidRPr="002D4943">
        <w:rPr>
          <w:rFonts w:cs="Open Sans"/>
          <w:sz w:val="18"/>
          <w:szCs w:val="18"/>
        </w:rPr>
        <w:t>opened for signature 16 December 1966, 999 UNTS 171 (entered into force 23 March 1976) (‘</w:t>
      </w:r>
      <w:r w:rsidR="006379C2" w:rsidRPr="002D4943">
        <w:rPr>
          <w:rFonts w:cs="Open Sans"/>
          <w:i/>
          <w:sz w:val="18"/>
          <w:szCs w:val="18"/>
        </w:rPr>
        <w:t>ICCPR’</w:t>
      </w:r>
      <w:r w:rsidRPr="002D4943">
        <w:rPr>
          <w:rFonts w:cs="Open Sans"/>
          <w:sz w:val="18"/>
          <w:szCs w:val="18"/>
        </w:rPr>
        <w:t>)</w:t>
      </w:r>
      <w:r w:rsidR="00A031E6" w:rsidRPr="002D4943">
        <w:rPr>
          <w:rFonts w:cs="Open Sans"/>
          <w:sz w:val="18"/>
          <w:szCs w:val="18"/>
        </w:rPr>
        <w:t xml:space="preserve"> </w:t>
      </w:r>
      <w:r w:rsidR="00A031E6" w:rsidRPr="00825777">
        <w:rPr>
          <w:rFonts w:cs="Open Sans"/>
          <w:sz w:val="18"/>
          <w:szCs w:val="18"/>
        </w:rPr>
        <w:t>arts 2(1) &amp; 26;</w:t>
      </w:r>
      <w:r w:rsidRPr="00825777">
        <w:rPr>
          <w:rFonts w:cs="Open Sans"/>
          <w:sz w:val="18"/>
          <w:szCs w:val="18"/>
        </w:rPr>
        <w:t xml:space="preserve"> </w:t>
      </w:r>
      <w:r w:rsidRPr="002D4943">
        <w:rPr>
          <w:rFonts w:cs="Open Sans"/>
          <w:i/>
          <w:sz w:val="18"/>
          <w:szCs w:val="18"/>
        </w:rPr>
        <w:t>International Covenant on Economic, Social and Cultural Rights</w:t>
      </w:r>
      <w:r w:rsidR="004D4062" w:rsidRPr="002D4943">
        <w:rPr>
          <w:rFonts w:cs="Open Sans"/>
          <w:sz w:val="18"/>
          <w:szCs w:val="18"/>
        </w:rPr>
        <w:t xml:space="preserve"> </w:t>
      </w:r>
      <w:r w:rsidR="006B4157" w:rsidRPr="002D4943">
        <w:rPr>
          <w:rFonts w:cs="Open Sans"/>
          <w:sz w:val="18"/>
          <w:szCs w:val="18"/>
        </w:rPr>
        <w:t xml:space="preserve">opened for signature </w:t>
      </w:r>
      <w:r w:rsidR="001C2EC3" w:rsidRPr="002D4943">
        <w:rPr>
          <w:rFonts w:cs="Open Sans"/>
          <w:sz w:val="18"/>
          <w:szCs w:val="18"/>
        </w:rPr>
        <w:t>16 December 1966, 993 UNTS 3</w:t>
      </w:r>
      <w:r w:rsidR="0027639A" w:rsidRPr="002D4943">
        <w:rPr>
          <w:rFonts w:cs="Open Sans"/>
          <w:sz w:val="18"/>
          <w:szCs w:val="18"/>
        </w:rPr>
        <w:t xml:space="preserve"> (</w:t>
      </w:r>
      <w:r w:rsidR="00920782" w:rsidRPr="002D4943">
        <w:rPr>
          <w:rFonts w:cs="Open Sans"/>
          <w:sz w:val="18"/>
          <w:szCs w:val="18"/>
        </w:rPr>
        <w:t>entered into force 3 Janua</w:t>
      </w:r>
      <w:r w:rsidR="007D2210" w:rsidRPr="002D4943">
        <w:rPr>
          <w:rFonts w:cs="Open Sans"/>
          <w:sz w:val="18"/>
          <w:szCs w:val="18"/>
        </w:rPr>
        <w:t>ry 1976)</w:t>
      </w:r>
      <w:r w:rsidRPr="002D4943">
        <w:rPr>
          <w:rFonts w:cs="Open Sans"/>
          <w:sz w:val="18"/>
          <w:szCs w:val="18"/>
        </w:rPr>
        <w:t xml:space="preserve"> </w:t>
      </w:r>
      <w:r w:rsidR="006F1DFB" w:rsidRPr="002D4943">
        <w:rPr>
          <w:rFonts w:cs="Open Sans"/>
          <w:sz w:val="18"/>
          <w:szCs w:val="18"/>
        </w:rPr>
        <w:t>(</w:t>
      </w:r>
      <w:r w:rsidR="00BA04A9" w:rsidRPr="002D4943">
        <w:rPr>
          <w:rFonts w:cs="Open Sans"/>
          <w:sz w:val="18"/>
          <w:szCs w:val="18"/>
        </w:rPr>
        <w:t>‘</w:t>
      </w:r>
      <w:r w:rsidR="00BA04A9" w:rsidRPr="002D4943">
        <w:rPr>
          <w:rFonts w:cs="Open Sans"/>
          <w:i/>
          <w:sz w:val="18"/>
          <w:szCs w:val="18"/>
        </w:rPr>
        <w:t>ICESCR</w:t>
      </w:r>
      <w:r w:rsidR="00BA04A9" w:rsidRPr="002D4943">
        <w:rPr>
          <w:rFonts w:cs="Open Sans"/>
          <w:sz w:val="18"/>
          <w:szCs w:val="18"/>
        </w:rPr>
        <w:t xml:space="preserve">’) </w:t>
      </w:r>
      <w:r w:rsidR="00A031E6" w:rsidRPr="002D4943">
        <w:rPr>
          <w:rFonts w:cs="Open Sans"/>
          <w:sz w:val="18"/>
          <w:szCs w:val="18"/>
        </w:rPr>
        <w:t xml:space="preserve">art 2.2; </w:t>
      </w:r>
      <w:r w:rsidRPr="00825777">
        <w:rPr>
          <w:rFonts w:cs="Open Sans"/>
          <w:i/>
          <w:sz w:val="18"/>
          <w:szCs w:val="18"/>
        </w:rPr>
        <w:t>International Convention on the Elimination of All Forms of Racial Discrimination</w:t>
      </w:r>
      <w:r w:rsidR="00CD25FC" w:rsidRPr="00825777">
        <w:rPr>
          <w:rFonts w:cs="Open Sans"/>
          <w:i/>
          <w:sz w:val="18"/>
          <w:szCs w:val="18"/>
        </w:rPr>
        <w:t xml:space="preserve"> </w:t>
      </w:r>
      <w:r w:rsidR="00717665" w:rsidRPr="002D4943">
        <w:rPr>
          <w:rFonts w:cs="Open Sans"/>
          <w:sz w:val="18"/>
          <w:szCs w:val="18"/>
        </w:rPr>
        <w:t>opened for signature 21 December 1965, 660 UNTS 195 (entered into force 4 January 1969) (</w:t>
      </w:r>
      <w:r w:rsidR="0043697D" w:rsidRPr="002D4943">
        <w:rPr>
          <w:rFonts w:cs="Open Sans"/>
          <w:sz w:val="18"/>
          <w:szCs w:val="18"/>
        </w:rPr>
        <w:t>‘</w:t>
      </w:r>
      <w:r w:rsidR="00717665" w:rsidRPr="002D4943">
        <w:rPr>
          <w:rFonts w:cs="Open Sans"/>
          <w:i/>
          <w:sz w:val="18"/>
          <w:szCs w:val="18"/>
        </w:rPr>
        <w:t>ICERD</w:t>
      </w:r>
      <w:r w:rsidR="0043697D" w:rsidRPr="002D4943">
        <w:rPr>
          <w:rFonts w:cs="Open Sans"/>
          <w:i/>
          <w:sz w:val="18"/>
          <w:szCs w:val="18"/>
        </w:rPr>
        <w:t>’</w:t>
      </w:r>
      <w:r w:rsidR="00717665" w:rsidRPr="002D4943">
        <w:rPr>
          <w:rFonts w:cs="Open Sans"/>
          <w:sz w:val="18"/>
          <w:szCs w:val="18"/>
        </w:rPr>
        <w:t xml:space="preserve">) </w:t>
      </w:r>
      <w:r w:rsidR="00CD25FC" w:rsidRPr="00825777">
        <w:rPr>
          <w:rFonts w:cs="Open Sans"/>
          <w:sz w:val="18"/>
          <w:szCs w:val="18"/>
        </w:rPr>
        <w:t xml:space="preserve">arts 1, 2, </w:t>
      </w:r>
      <w:r w:rsidR="00A93BD3" w:rsidRPr="00825777">
        <w:rPr>
          <w:rFonts w:cs="Open Sans"/>
          <w:sz w:val="18"/>
          <w:szCs w:val="18"/>
        </w:rPr>
        <w:t>4, &amp; 5;</w:t>
      </w:r>
      <w:r w:rsidRPr="00825777">
        <w:rPr>
          <w:rFonts w:cs="Open Sans"/>
          <w:sz w:val="18"/>
          <w:szCs w:val="18"/>
        </w:rPr>
        <w:t xml:space="preserve"> </w:t>
      </w:r>
      <w:r w:rsidRPr="00825777">
        <w:rPr>
          <w:rFonts w:cs="Open Sans"/>
          <w:i/>
          <w:sz w:val="18"/>
          <w:szCs w:val="18"/>
        </w:rPr>
        <w:t>Convention on the Rights of the Child</w:t>
      </w:r>
      <w:r w:rsidRPr="00825777">
        <w:rPr>
          <w:rFonts w:cs="Open Sans"/>
          <w:sz w:val="18"/>
          <w:szCs w:val="18"/>
        </w:rPr>
        <w:t xml:space="preserve"> </w:t>
      </w:r>
      <w:r w:rsidR="005B5A70" w:rsidRPr="002D4943">
        <w:rPr>
          <w:rFonts w:cs="Open Sans"/>
          <w:sz w:val="18"/>
          <w:szCs w:val="18"/>
        </w:rPr>
        <w:t>opened for signature 20 November 1989, 1577 UNTS 3 (entered into force 2 September 1990) (‘</w:t>
      </w:r>
      <w:r w:rsidR="005B5A70" w:rsidRPr="002D4943">
        <w:rPr>
          <w:rFonts w:cs="Open Sans"/>
          <w:i/>
          <w:sz w:val="18"/>
          <w:szCs w:val="18"/>
        </w:rPr>
        <w:t>CRC’</w:t>
      </w:r>
      <w:r w:rsidR="005B5A70" w:rsidRPr="002D4943">
        <w:rPr>
          <w:rFonts w:cs="Open Sans"/>
          <w:sz w:val="18"/>
          <w:szCs w:val="18"/>
        </w:rPr>
        <w:t xml:space="preserve">) </w:t>
      </w:r>
      <w:r w:rsidR="00A93BD3" w:rsidRPr="00825777">
        <w:rPr>
          <w:rFonts w:cs="Open Sans"/>
          <w:sz w:val="18"/>
          <w:szCs w:val="18"/>
        </w:rPr>
        <w:t>art 2;</w:t>
      </w:r>
      <w:r w:rsidRPr="00825777">
        <w:rPr>
          <w:rFonts w:cs="Open Sans"/>
          <w:sz w:val="18"/>
          <w:szCs w:val="18"/>
        </w:rPr>
        <w:t xml:space="preserve"> </w:t>
      </w:r>
      <w:r w:rsidRPr="002D4943">
        <w:rPr>
          <w:rFonts w:cs="Open Sans"/>
          <w:i/>
          <w:sz w:val="18"/>
          <w:szCs w:val="18"/>
        </w:rPr>
        <w:t>Convention on the Elimination of All Forms of Discrimination Against Women</w:t>
      </w:r>
      <w:r w:rsidRPr="002D4943">
        <w:rPr>
          <w:rFonts w:cs="Open Sans"/>
          <w:sz w:val="18"/>
          <w:szCs w:val="18"/>
        </w:rPr>
        <w:t xml:space="preserve"> </w:t>
      </w:r>
      <w:r w:rsidR="0099715E" w:rsidRPr="002D4943">
        <w:rPr>
          <w:rFonts w:cs="Open Sans"/>
          <w:sz w:val="18"/>
          <w:szCs w:val="18"/>
        </w:rPr>
        <w:t xml:space="preserve">opened for signature for signature 18 December 1979, 1249 UNTS 13 </w:t>
      </w:r>
      <w:r w:rsidR="00840EE4" w:rsidRPr="002D4943">
        <w:rPr>
          <w:rFonts w:cs="Open Sans"/>
          <w:sz w:val="18"/>
          <w:szCs w:val="18"/>
        </w:rPr>
        <w:t xml:space="preserve">(entered into force 3 September 1981) </w:t>
      </w:r>
      <w:r w:rsidR="00A93BD3" w:rsidRPr="002D4943">
        <w:rPr>
          <w:rFonts w:cs="Open Sans"/>
          <w:sz w:val="18"/>
          <w:szCs w:val="18"/>
        </w:rPr>
        <w:t>2, 3, 4 &amp; 15;</w:t>
      </w:r>
      <w:r w:rsidRPr="002D4943">
        <w:rPr>
          <w:rFonts w:cs="Open Sans"/>
          <w:sz w:val="18"/>
          <w:szCs w:val="18"/>
        </w:rPr>
        <w:t xml:space="preserve"> </w:t>
      </w:r>
      <w:r w:rsidR="0043697D" w:rsidRPr="002D4943">
        <w:rPr>
          <w:rFonts w:cs="Open Sans"/>
          <w:i/>
          <w:sz w:val="18"/>
          <w:szCs w:val="18"/>
        </w:rPr>
        <w:t>CRPD</w:t>
      </w:r>
      <w:r w:rsidRPr="002D4943">
        <w:rPr>
          <w:rFonts w:cs="Open Sans"/>
          <w:sz w:val="18"/>
          <w:szCs w:val="18"/>
        </w:rPr>
        <w:t xml:space="preserve"> </w:t>
      </w:r>
      <w:r w:rsidR="00A93BD3" w:rsidRPr="002D4943">
        <w:rPr>
          <w:rFonts w:cs="Open Sans"/>
          <w:sz w:val="18"/>
          <w:szCs w:val="18"/>
        </w:rPr>
        <w:t>arts</w:t>
      </w:r>
      <w:r w:rsidRPr="002D4943">
        <w:rPr>
          <w:rFonts w:cs="Open Sans"/>
          <w:sz w:val="18"/>
          <w:szCs w:val="18"/>
        </w:rPr>
        <w:t xml:space="preserve"> </w:t>
      </w:r>
      <w:r w:rsidR="00A93BD3" w:rsidRPr="002D4943">
        <w:rPr>
          <w:rFonts w:cs="Open Sans"/>
          <w:sz w:val="18"/>
          <w:szCs w:val="18"/>
        </w:rPr>
        <w:t>3, 4, 5 &amp; 12.</w:t>
      </w:r>
    </w:p>
  </w:endnote>
  <w:endnote w:id="12">
    <w:p w14:paraId="083E18D7" w14:textId="4AB90EAD" w:rsidR="00484458" w:rsidRPr="00825777" w:rsidRDefault="00484458">
      <w:pPr>
        <w:pStyle w:val="EndnoteText"/>
        <w:rPr>
          <w:rFonts w:cs="Open Sans"/>
        </w:rPr>
      </w:pPr>
      <w:r w:rsidRPr="00825777">
        <w:rPr>
          <w:rStyle w:val="EndnoteReference"/>
          <w:rFonts w:cs="Open Sans"/>
          <w:sz w:val="18"/>
          <w:szCs w:val="18"/>
        </w:rPr>
        <w:endnoteRef/>
      </w:r>
      <w:r w:rsidR="00C83454" w:rsidRPr="00825777">
        <w:rPr>
          <w:rFonts w:cs="Open Sans"/>
          <w:sz w:val="18"/>
          <w:szCs w:val="18"/>
        </w:rPr>
        <w:t xml:space="preserve"> </w:t>
      </w:r>
      <w:r w:rsidR="00C83454" w:rsidRPr="002D4943">
        <w:rPr>
          <w:rFonts w:cs="Open Sans"/>
          <w:sz w:val="18"/>
          <w:szCs w:val="18"/>
        </w:rPr>
        <w:t xml:space="preserve">CRPD </w:t>
      </w:r>
      <w:r w:rsidRPr="002D4943">
        <w:rPr>
          <w:rFonts w:cs="Open Sans"/>
          <w:sz w:val="18"/>
          <w:szCs w:val="18"/>
        </w:rPr>
        <w:t>art 5(1).</w:t>
      </w:r>
    </w:p>
  </w:endnote>
  <w:endnote w:id="13">
    <w:p w14:paraId="01EC9B73" w14:textId="5F5BD3C9" w:rsidR="00CD076B" w:rsidRPr="002D4943" w:rsidRDefault="00CD076B" w:rsidP="00CD076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83454" w:rsidRPr="002D4943">
        <w:rPr>
          <w:rFonts w:cs="Open Sans"/>
          <w:sz w:val="18"/>
          <w:szCs w:val="18"/>
        </w:rPr>
        <w:t xml:space="preserve">CRPD </w:t>
      </w:r>
      <w:r w:rsidR="004D41D9" w:rsidRPr="002D4943">
        <w:rPr>
          <w:rFonts w:cs="Open Sans"/>
          <w:sz w:val="18"/>
          <w:szCs w:val="18"/>
        </w:rPr>
        <w:t>a</w:t>
      </w:r>
      <w:r w:rsidRPr="002D4943">
        <w:rPr>
          <w:rFonts w:cs="Open Sans"/>
          <w:sz w:val="18"/>
          <w:szCs w:val="18"/>
        </w:rPr>
        <w:t>rt 5(2).</w:t>
      </w:r>
    </w:p>
  </w:endnote>
  <w:endnote w:id="14">
    <w:p w14:paraId="4EB3642F" w14:textId="5F75F70F" w:rsidR="005B7432" w:rsidRPr="002D4943" w:rsidRDefault="005B7432" w:rsidP="005B743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83454" w:rsidRPr="002D4943">
        <w:rPr>
          <w:rFonts w:cs="Open Sans"/>
          <w:sz w:val="18"/>
          <w:szCs w:val="18"/>
        </w:rPr>
        <w:t xml:space="preserve">CRPD </w:t>
      </w:r>
      <w:r w:rsidRPr="002D4943">
        <w:rPr>
          <w:rFonts w:cs="Open Sans"/>
          <w:sz w:val="18"/>
          <w:szCs w:val="18"/>
        </w:rPr>
        <w:t>art 2.</w:t>
      </w:r>
    </w:p>
  </w:endnote>
  <w:endnote w:id="15">
    <w:p w14:paraId="1F4F1074" w14:textId="77777777" w:rsidR="000632A8" w:rsidRPr="002D4943" w:rsidRDefault="000632A8" w:rsidP="000632A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United Nations Committee on the Rights of Persons with Disabilities, </w:t>
      </w:r>
      <w:r w:rsidRPr="002D4943">
        <w:rPr>
          <w:rFonts w:cs="Open Sans"/>
          <w:i/>
          <w:sz w:val="18"/>
          <w:szCs w:val="18"/>
        </w:rPr>
        <w:t>General Comment 6 on equality and non-discrimination</w:t>
      </w:r>
      <w:r w:rsidRPr="002D4943">
        <w:rPr>
          <w:rFonts w:cs="Open Sans"/>
          <w:sz w:val="18"/>
          <w:szCs w:val="18"/>
        </w:rPr>
        <w:t xml:space="preserve">, UN Doc CRPD/C/GC/6 (26 April 2018) [24]. </w:t>
      </w:r>
    </w:p>
  </w:endnote>
  <w:endnote w:id="16">
    <w:p w14:paraId="68CC97D2" w14:textId="7EF9EE96" w:rsidR="00515E96" w:rsidRPr="002D4943" w:rsidRDefault="00515E9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746826" w:rsidRPr="002D4943">
        <w:rPr>
          <w:rFonts w:cs="Open Sans"/>
          <w:sz w:val="18"/>
          <w:szCs w:val="18"/>
        </w:rPr>
        <w:t xml:space="preserve">United Nations Committee on the Rights of Persons with Disabilities, </w:t>
      </w:r>
      <w:r w:rsidR="00746826" w:rsidRPr="002D4943">
        <w:rPr>
          <w:rFonts w:cs="Open Sans"/>
          <w:i/>
          <w:sz w:val="18"/>
          <w:szCs w:val="18"/>
        </w:rPr>
        <w:t>General Comment 6 on equality and non-discrimination</w:t>
      </w:r>
      <w:r w:rsidR="00746826" w:rsidRPr="002D4943">
        <w:rPr>
          <w:rFonts w:cs="Open Sans"/>
          <w:sz w:val="18"/>
          <w:szCs w:val="18"/>
        </w:rPr>
        <w:t>, UN Doc CRPD/C/GC/6 (26 April 2018) [24].</w:t>
      </w:r>
    </w:p>
  </w:endnote>
  <w:endnote w:id="17">
    <w:p w14:paraId="6D143988" w14:textId="6B4D9FFB" w:rsidR="00CD076B" w:rsidRPr="002D4943" w:rsidRDefault="00CD076B" w:rsidP="00CD076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83454" w:rsidRPr="002D4943">
        <w:rPr>
          <w:rFonts w:cs="Open Sans"/>
          <w:sz w:val="18"/>
          <w:szCs w:val="18"/>
        </w:rPr>
        <w:t xml:space="preserve">CRPD </w:t>
      </w:r>
      <w:r w:rsidR="004D41D9" w:rsidRPr="002D4943">
        <w:rPr>
          <w:rFonts w:cs="Open Sans"/>
          <w:sz w:val="18"/>
          <w:szCs w:val="18"/>
        </w:rPr>
        <w:t>a</w:t>
      </w:r>
      <w:r w:rsidR="007A41A5" w:rsidRPr="002D4943">
        <w:rPr>
          <w:rFonts w:cs="Open Sans"/>
          <w:sz w:val="18"/>
          <w:szCs w:val="18"/>
        </w:rPr>
        <w:t>rt 2.</w:t>
      </w:r>
    </w:p>
  </w:endnote>
  <w:endnote w:id="18">
    <w:p w14:paraId="2DC184C6" w14:textId="40AB7058" w:rsidR="00716518" w:rsidRPr="002D4943" w:rsidRDefault="0071651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C7B17" w:rsidRPr="002D4943">
        <w:rPr>
          <w:rFonts w:cs="Open Sans"/>
          <w:sz w:val="18"/>
          <w:szCs w:val="18"/>
        </w:rPr>
        <w:t xml:space="preserve">United Nations Committee on the Rights of Persons with Disabilities, </w:t>
      </w:r>
      <w:r w:rsidR="003C7B17" w:rsidRPr="002D4943">
        <w:rPr>
          <w:rFonts w:cs="Open Sans"/>
          <w:i/>
          <w:sz w:val="18"/>
          <w:szCs w:val="18"/>
        </w:rPr>
        <w:t>General Comment 6 on equality and non-discrimination</w:t>
      </w:r>
      <w:r w:rsidR="003C7B17" w:rsidRPr="002D4943">
        <w:rPr>
          <w:rFonts w:cs="Open Sans"/>
          <w:sz w:val="18"/>
          <w:szCs w:val="18"/>
        </w:rPr>
        <w:t xml:space="preserve">, UN Doc CRPD/C/GC/6 (26 April 2018) para </w:t>
      </w:r>
      <w:r w:rsidR="009B7186" w:rsidRPr="002D4943">
        <w:rPr>
          <w:rFonts w:cs="Open Sans"/>
          <w:sz w:val="18"/>
          <w:szCs w:val="18"/>
        </w:rPr>
        <w:t>2</w:t>
      </w:r>
      <w:r w:rsidR="003C7B17" w:rsidRPr="002D4943">
        <w:rPr>
          <w:rFonts w:cs="Open Sans"/>
          <w:sz w:val="18"/>
          <w:szCs w:val="18"/>
        </w:rPr>
        <w:t>4</w:t>
      </w:r>
      <w:r w:rsidR="009B7186" w:rsidRPr="002D4943">
        <w:rPr>
          <w:rFonts w:cs="Open Sans"/>
          <w:sz w:val="18"/>
          <w:szCs w:val="18"/>
        </w:rPr>
        <w:t>(b)</w:t>
      </w:r>
      <w:r w:rsidR="003C7B17" w:rsidRPr="002D4943">
        <w:rPr>
          <w:rFonts w:cs="Open Sans"/>
          <w:sz w:val="18"/>
          <w:szCs w:val="18"/>
        </w:rPr>
        <w:t>.</w:t>
      </w:r>
    </w:p>
  </w:endnote>
  <w:endnote w:id="19">
    <w:p w14:paraId="4E5E2572" w14:textId="77777777" w:rsidR="00AD5CBC" w:rsidRPr="002D4943" w:rsidRDefault="00AD5CBC" w:rsidP="00AD5CBC">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Human Rights Committee, </w:t>
      </w:r>
      <w:r w:rsidRPr="002D4943">
        <w:rPr>
          <w:rFonts w:cs="Open Sans"/>
          <w:i/>
          <w:sz w:val="18"/>
          <w:szCs w:val="18"/>
        </w:rPr>
        <w:t xml:space="preserve">General Comment No 18: Non-Discrimination, </w:t>
      </w:r>
      <w:r w:rsidRPr="002D4943">
        <w:rPr>
          <w:rFonts w:cs="Open Sans"/>
          <w:sz w:val="18"/>
          <w:szCs w:val="18"/>
        </w:rPr>
        <w:t>UN Doc CCPR/C/GC/18 (10 November 1989), 2 [8].</w:t>
      </w:r>
    </w:p>
  </w:endnote>
  <w:endnote w:id="20">
    <w:p w14:paraId="0CCF75E9" w14:textId="77777777" w:rsidR="00AD5CBC" w:rsidRPr="002D4943" w:rsidRDefault="00AD5CBC" w:rsidP="00AD5CBC">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United Nations Committee on the Rights of Persons with Disabilities, </w:t>
      </w:r>
      <w:r w:rsidRPr="002D4943">
        <w:rPr>
          <w:rFonts w:cs="Open Sans"/>
          <w:i/>
          <w:sz w:val="18"/>
          <w:szCs w:val="18"/>
        </w:rPr>
        <w:t>General Comment 6 on equality and non-discrimination</w:t>
      </w:r>
      <w:r w:rsidRPr="002D4943">
        <w:rPr>
          <w:rFonts w:cs="Open Sans"/>
          <w:sz w:val="18"/>
          <w:szCs w:val="18"/>
        </w:rPr>
        <w:t>, UN Doc CRPD/C/GC/6 (26 April 2018) 11.</w:t>
      </w:r>
    </w:p>
  </w:endnote>
  <w:endnote w:id="21">
    <w:p w14:paraId="40FB6DB4" w14:textId="76F2CC96" w:rsidR="006D40AD" w:rsidRPr="002D4943" w:rsidRDefault="006D40AD">
      <w:pPr>
        <w:pStyle w:val="EndnoteText"/>
        <w:rPr>
          <w:rFonts w:cs="Open Sans"/>
          <w:sz w:val="18"/>
          <w:szCs w:val="18"/>
        </w:rPr>
      </w:pPr>
      <w:r w:rsidRPr="002D4943">
        <w:rPr>
          <w:rStyle w:val="EndnoteReference"/>
          <w:rFonts w:cs="Open Sans"/>
          <w:sz w:val="18"/>
          <w:szCs w:val="18"/>
        </w:rPr>
        <w:endnoteRef/>
      </w:r>
      <w:r w:rsidR="001D5771" w:rsidRPr="002D4943">
        <w:rPr>
          <w:rFonts w:cs="Open Sans"/>
          <w:sz w:val="18"/>
          <w:szCs w:val="18"/>
        </w:rPr>
        <w:t xml:space="preserve"> CRPD </w:t>
      </w:r>
      <w:r w:rsidR="004D41D9" w:rsidRPr="002D4943">
        <w:rPr>
          <w:rFonts w:cs="Open Sans"/>
          <w:sz w:val="18"/>
          <w:szCs w:val="18"/>
        </w:rPr>
        <w:t>a</w:t>
      </w:r>
      <w:r w:rsidR="00175A70" w:rsidRPr="002D4943">
        <w:rPr>
          <w:rFonts w:cs="Open Sans"/>
          <w:sz w:val="18"/>
          <w:szCs w:val="18"/>
        </w:rPr>
        <w:t>rt 13</w:t>
      </w:r>
      <w:r w:rsidR="00B462AB" w:rsidRPr="002D4943">
        <w:rPr>
          <w:rFonts w:cs="Open Sans"/>
          <w:sz w:val="18"/>
          <w:szCs w:val="18"/>
        </w:rPr>
        <w:t>(1)</w:t>
      </w:r>
      <w:r w:rsidR="00175A70" w:rsidRPr="002D4943">
        <w:rPr>
          <w:rFonts w:cs="Open Sans"/>
          <w:sz w:val="18"/>
          <w:szCs w:val="18"/>
        </w:rPr>
        <w:t>.</w:t>
      </w:r>
    </w:p>
  </w:endnote>
  <w:endnote w:id="22">
    <w:p w14:paraId="6DD5CBD8" w14:textId="629D1E2C" w:rsidR="001455E3" w:rsidRPr="002D4943" w:rsidRDefault="001455E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D5771" w:rsidRPr="002D4943">
        <w:rPr>
          <w:rFonts w:cs="Open Sans"/>
          <w:sz w:val="18"/>
          <w:szCs w:val="18"/>
        </w:rPr>
        <w:t xml:space="preserve">CRPD </w:t>
      </w:r>
      <w:r w:rsidR="004D41D9" w:rsidRPr="002D4943">
        <w:rPr>
          <w:rFonts w:cs="Open Sans"/>
          <w:sz w:val="18"/>
          <w:szCs w:val="18"/>
        </w:rPr>
        <w:t>a</w:t>
      </w:r>
      <w:r w:rsidR="00B462AB" w:rsidRPr="002D4943">
        <w:rPr>
          <w:rFonts w:cs="Open Sans"/>
          <w:sz w:val="18"/>
          <w:szCs w:val="18"/>
        </w:rPr>
        <w:t>rt 13(2).</w:t>
      </w:r>
    </w:p>
  </w:endnote>
  <w:endnote w:id="23">
    <w:p w14:paraId="164E6984" w14:textId="254A1A6B" w:rsidR="00665D61" w:rsidRPr="002D4943" w:rsidRDefault="00665D61">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5E32BF" w:rsidRPr="002D4943">
        <w:rPr>
          <w:rFonts w:cs="Open Sans"/>
          <w:sz w:val="18"/>
          <w:szCs w:val="18"/>
        </w:rPr>
        <w:t>Arlene S. Kanter, The Development of Disability Rights under International Law (Routledge, 2015) 230.</w:t>
      </w:r>
    </w:p>
  </w:endnote>
  <w:endnote w:id="24">
    <w:p w14:paraId="31167A4E" w14:textId="73DEA3CE" w:rsidR="00665D61" w:rsidRPr="002D4943" w:rsidRDefault="00665D61">
      <w:pPr>
        <w:pStyle w:val="EndnoteText"/>
        <w:rPr>
          <w:rFonts w:cs="Open Sans"/>
          <w:sz w:val="18"/>
          <w:szCs w:val="18"/>
        </w:rPr>
      </w:pPr>
      <w:r w:rsidRPr="002D4943">
        <w:rPr>
          <w:rStyle w:val="EndnoteReference"/>
          <w:rFonts w:cs="Open Sans"/>
          <w:sz w:val="18"/>
          <w:szCs w:val="18"/>
        </w:rPr>
        <w:endnoteRef/>
      </w:r>
      <w:r w:rsidR="008D4EAA" w:rsidRPr="002D4943">
        <w:rPr>
          <w:rFonts w:cs="Open Sans"/>
          <w:sz w:val="18"/>
          <w:szCs w:val="18"/>
        </w:rPr>
        <w:t xml:space="preserve"> Human Rights Council</w:t>
      </w:r>
      <w:r w:rsidR="0068203C" w:rsidRPr="002D4943">
        <w:rPr>
          <w:rFonts w:cs="Open Sans"/>
          <w:sz w:val="18"/>
          <w:szCs w:val="18"/>
        </w:rPr>
        <w:t>,</w:t>
      </w:r>
      <w:r w:rsidR="0068203C" w:rsidRPr="002D4943">
        <w:rPr>
          <w:rFonts w:cs="Open Sans"/>
          <w:i/>
          <w:sz w:val="18"/>
          <w:szCs w:val="18"/>
        </w:rPr>
        <w:t xml:space="preserve"> Report on</w:t>
      </w:r>
      <w:r w:rsidR="00A27F16" w:rsidRPr="002D4943">
        <w:rPr>
          <w:rFonts w:cs="Open Sans"/>
          <w:i/>
          <w:sz w:val="18"/>
          <w:szCs w:val="18"/>
        </w:rPr>
        <w:t xml:space="preserve"> Equality and non-discrimination under article 5 of the Convention on the Rights of Persons with Disabilities</w:t>
      </w:r>
      <w:r w:rsidR="00A27F16" w:rsidRPr="002D4943">
        <w:rPr>
          <w:rFonts w:cs="Open Sans"/>
          <w:sz w:val="18"/>
          <w:szCs w:val="18"/>
        </w:rPr>
        <w:t xml:space="preserve">, </w:t>
      </w:r>
      <w:r w:rsidR="0068203C" w:rsidRPr="002D4943">
        <w:rPr>
          <w:rFonts w:cs="Open Sans"/>
          <w:sz w:val="18"/>
          <w:szCs w:val="18"/>
        </w:rPr>
        <w:t>U</w:t>
      </w:r>
      <w:r w:rsidR="001C2F80" w:rsidRPr="002D4943">
        <w:rPr>
          <w:rFonts w:cs="Open Sans"/>
          <w:sz w:val="18"/>
          <w:szCs w:val="18"/>
        </w:rPr>
        <w:t>N</w:t>
      </w:r>
      <w:r w:rsidR="0068203C" w:rsidRPr="002D4943">
        <w:rPr>
          <w:rFonts w:cs="Open Sans"/>
          <w:sz w:val="18"/>
          <w:szCs w:val="18"/>
        </w:rPr>
        <w:t xml:space="preserve"> Doc</w:t>
      </w:r>
      <w:r w:rsidR="004D291D" w:rsidRPr="002D4943">
        <w:rPr>
          <w:rFonts w:cs="Open Sans"/>
          <w:sz w:val="18"/>
          <w:szCs w:val="18"/>
        </w:rPr>
        <w:t xml:space="preserve"> A/HRC/34/26</w:t>
      </w:r>
      <w:r w:rsidR="000961EE" w:rsidRPr="002D4943">
        <w:rPr>
          <w:rFonts w:cs="Open Sans"/>
          <w:sz w:val="18"/>
          <w:szCs w:val="18"/>
        </w:rPr>
        <w:t xml:space="preserve"> (9 December 2016)</w:t>
      </w:r>
      <w:r w:rsidR="004D291D" w:rsidRPr="002D4943">
        <w:rPr>
          <w:rFonts w:cs="Open Sans"/>
          <w:sz w:val="18"/>
          <w:szCs w:val="18"/>
        </w:rPr>
        <w:t xml:space="preserve"> para 35.</w:t>
      </w:r>
    </w:p>
  </w:endnote>
  <w:endnote w:id="25">
    <w:p w14:paraId="5221AF0E"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Acts Interpretation Act 1901 </w:t>
      </w:r>
      <w:r w:rsidRPr="002D4943">
        <w:rPr>
          <w:rFonts w:cs="Open Sans"/>
          <w:sz w:val="18"/>
          <w:szCs w:val="18"/>
        </w:rPr>
        <w:t>(Cth) s 15AB(2)(d).</w:t>
      </w:r>
    </w:p>
  </w:endnote>
  <w:endnote w:id="26">
    <w:p w14:paraId="714597D5"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Acts Interpretation Act 1901 </w:t>
      </w:r>
      <w:r w:rsidRPr="002D4943">
        <w:rPr>
          <w:rFonts w:cs="Open Sans"/>
          <w:sz w:val="18"/>
          <w:szCs w:val="18"/>
        </w:rPr>
        <w:t>(Cth) s 15AA.</w:t>
      </w:r>
    </w:p>
  </w:endnote>
  <w:endnote w:id="27">
    <w:p w14:paraId="15DEA7DD"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 1992</w:t>
      </w:r>
      <w:r w:rsidRPr="002D4943">
        <w:rPr>
          <w:rFonts w:cs="Open Sans"/>
          <w:sz w:val="18"/>
          <w:szCs w:val="18"/>
        </w:rPr>
        <w:t xml:space="preserve"> (Cth) s 12(8).</w:t>
      </w:r>
    </w:p>
  </w:endnote>
  <w:endnote w:id="28">
    <w:p w14:paraId="19DA88E7"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Age Discrimination Act 2004 </w:t>
      </w:r>
      <w:r w:rsidRPr="002D4943">
        <w:rPr>
          <w:rFonts w:cs="Open Sans"/>
          <w:sz w:val="18"/>
          <w:szCs w:val="18"/>
        </w:rPr>
        <w:t>(Cth) s 3.</w:t>
      </w:r>
    </w:p>
  </w:endnote>
  <w:endnote w:id="29">
    <w:p w14:paraId="6FC2C18F" w14:textId="5E267270"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 3(a)</w:t>
      </w:r>
      <w:r w:rsidR="00555EDE" w:rsidRPr="002D4943">
        <w:rPr>
          <w:rFonts w:cs="Open Sans"/>
          <w:sz w:val="18"/>
          <w:szCs w:val="18"/>
        </w:rPr>
        <w:t xml:space="preserve">, </w:t>
      </w:r>
      <w:r w:rsidR="00D40D7F" w:rsidRPr="002D4943">
        <w:rPr>
          <w:rFonts w:cs="Open Sans"/>
          <w:sz w:val="18"/>
          <w:szCs w:val="18"/>
        </w:rPr>
        <w:t>sch 1</w:t>
      </w:r>
    </w:p>
  </w:endnote>
  <w:endnote w:id="30">
    <w:p w14:paraId="1D887B45" w14:textId="091BF565"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420B1" w:rsidRPr="002D4943">
        <w:rPr>
          <w:rFonts w:cs="Open Sans"/>
          <w:i/>
          <w:sz w:val="18"/>
          <w:szCs w:val="18"/>
        </w:rPr>
        <w:t>Rac</w:t>
      </w:r>
      <w:r w:rsidR="00B90D4F">
        <w:rPr>
          <w:rFonts w:cs="Open Sans"/>
          <w:i/>
          <w:sz w:val="18"/>
          <w:szCs w:val="18"/>
        </w:rPr>
        <w:t>ial</w:t>
      </w:r>
      <w:r w:rsidR="006420B1" w:rsidRPr="002D4943">
        <w:rPr>
          <w:rFonts w:cs="Open Sans"/>
          <w:i/>
          <w:sz w:val="18"/>
          <w:szCs w:val="18"/>
        </w:rPr>
        <w:t xml:space="preserve"> Discrimination Act 1975 </w:t>
      </w:r>
      <w:r w:rsidR="00647CAD" w:rsidRPr="002D4943">
        <w:rPr>
          <w:rFonts w:cs="Open Sans"/>
          <w:sz w:val="18"/>
          <w:szCs w:val="18"/>
        </w:rPr>
        <w:t xml:space="preserve">(Cth) sch 1. </w:t>
      </w:r>
    </w:p>
  </w:endnote>
  <w:endnote w:id="31">
    <w:p w14:paraId="17EDC456" w14:textId="2DC80746"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D084A" w:rsidRPr="002D4943">
        <w:rPr>
          <w:rFonts w:cs="Open Sans"/>
          <w:i/>
          <w:sz w:val="18"/>
          <w:szCs w:val="18"/>
        </w:rPr>
        <w:t xml:space="preserve">Royal Commission into Violence, Abuse, Neglect and Exploitation of People with Disability, </w:t>
      </w:r>
      <w:r w:rsidR="0077445D" w:rsidRPr="002D4943">
        <w:rPr>
          <w:rFonts w:cs="Open Sans"/>
          <w:sz w:val="18"/>
          <w:szCs w:val="18"/>
        </w:rPr>
        <w:t xml:space="preserve">(Final </w:t>
      </w:r>
      <w:r w:rsidR="00EB2356" w:rsidRPr="002D4943">
        <w:rPr>
          <w:rFonts w:cs="Open Sans"/>
          <w:sz w:val="18"/>
          <w:szCs w:val="18"/>
        </w:rPr>
        <w:t>Report</w:t>
      </w:r>
      <w:r w:rsidR="00B914CC" w:rsidRPr="00825777">
        <w:rPr>
          <w:rFonts w:cs="Open Sans"/>
          <w:sz w:val="18"/>
          <w:szCs w:val="18"/>
        </w:rPr>
        <w:t xml:space="preserve">, </w:t>
      </w:r>
      <w:r w:rsidR="0075668C" w:rsidRPr="00825777">
        <w:rPr>
          <w:rFonts w:cs="Open Sans"/>
          <w:sz w:val="18"/>
          <w:szCs w:val="18"/>
        </w:rPr>
        <w:t xml:space="preserve">29 September </w:t>
      </w:r>
      <w:r w:rsidR="00C24A05" w:rsidRPr="00825777">
        <w:rPr>
          <w:rFonts w:cs="Open Sans"/>
          <w:sz w:val="18"/>
          <w:szCs w:val="18"/>
        </w:rPr>
        <w:t>2023</w:t>
      </w:r>
      <w:r w:rsidR="0075668C" w:rsidRPr="00825777">
        <w:rPr>
          <w:rFonts w:cs="Open Sans"/>
          <w:sz w:val="18"/>
          <w:szCs w:val="18"/>
        </w:rPr>
        <w:t>)</w:t>
      </w:r>
      <w:r w:rsidR="00E3497B" w:rsidRPr="00825777">
        <w:rPr>
          <w:rFonts w:cs="Open Sans"/>
          <w:sz w:val="18"/>
          <w:szCs w:val="18"/>
        </w:rPr>
        <w:t xml:space="preserve"> vol 4, </w:t>
      </w:r>
      <w:r w:rsidR="004541DB" w:rsidRPr="00825777">
        <w:rPr>
          <w:rFonts w:cs="Open Sans"/>
          <w:sz w:val="18"/>
          <w:szCs w:val="18"/>
        </w:rPr>
        <w:t>R</w:t>
      </w:r>
      <w:r w:rsidR="009B638F" w:rsidRPr="00825777">
        <w:rPr>
          <w:rFonts w:cs="Open Sans"/>
          <w:sz w:val="18"/>
          <w:szCs w:val="18"/>
        </w:rPr>
        <w:t>ecommendation 4.34</w:t>
      </w:r>
      <w:r w:rsidR="008F38F0" w:rsidRPr="00825777">
        <w:rPr>
          <w:rFonts w:cs="Open Sans"/>
          <w:sz w:val="18"/>
          <w:szCs w:val="18"/>
        </w:rPr>
        <w:t xml:space="preserve"> (‘</w:t>
      </w:r>
      <w:r w:rsidR="008F38F0" w:rsidRPr="00825777">
        <w:rPr>
          <w:rFonts w:cs="Open Sans"/>
          <w:i/>
          <w:iCs/>
          <w:sz w:val="18"/>
          <w:szCs w:val="18"/>
        </w:rPr>
        <w:t>Disability Royal Commission Final Report’</w:t>
      </w:r>
      <w:r w:rsidR="008F38F0" w:rsidRPr="00825777">
        <w:rPr>
          <w:rFonts w:cs="Open Sans"/>
          <w:sz w:val="18"/>
          <w:szCs w:val="18"/>
        </w:rPr>
        <w:t>).</w:t>
      </w:r>
    </w:p>
  </w:endnote>
  <w:endnote w:id="32">
    <w:p w14:paraId="1791C88C" w14:textId="40F0CB88" w:rsidR="00077447" w:rsidRPr="00825777" w:rsidRDefault="00077447" w:rsidP="00077447">
      <w:pPr>
        <w:pStyle w:val="EndnoteText"/>
        <w:rPr>
          <w:rFonts w:cs="Open Sans"/>
        </w:rPr>
      </w:pPr>
      <w:r w:rsidRPr="002D4943">
        <w:rPr>
          <w:rStyle w:val="EndnoteReference"/>
          <w:rFonts w:cs="Open Sans"/>
          <w:sz w:val="18"/>
          <w:szCs w:val="18"/>
        </w:rPr>
        <w:endnoteRef/>
      </w:r>
      <w:r w:rsidRPr="002D4943">
        <w:rPr>
          <w:rFonts w:cs="Open Sans"/>
          <w:sz w:val="18"/>
          <w:szCs w:val="18"/>
        </w:rPr>
        <w:t xml:space="preserve"> </w:t>
      </w:r>
      <w:r w:rsidR="00F47BEA" w:rsidRPr="00825777">
        <w:rPr>
          <w:rFonts w:cs="Open Sans"/>
          <w:sz w:val="18"/>
          <w:szCs w:val="18"/>
        </w:rPr>
        <w:t xml:space="preserve">See, </w:t>
      </w:r>
      <w:r w:rsidR="00710F68" w:rsidRPr="00825777">
        <w:rPr>
          <w:rFonts w:cs="Open Sans"/>
          <w:sz w:val="18"/>
          <w:szCs w:val="18"/>
        </w:rPr>
        <w:t>Office of the</w:t>
      </w:r>
      <w:r w:rsidR="00A84E53" w:rsidRPr="00825777">
        <w:rPr>
          <w:rFonts w:cs="Open Sans"/>
          <w:sz w:val="18"/>
          <w:szCs w:val="18"/>
        </w:rPr>
        <w:t xml:space="preserve"> United Nations</w:t>
      </w:r>
      <w:r w:rsidR="00710F68" w:rsidRPr="00825777">
        <w:rPr>
          <w:rFonts w:cs="Open Sans"/>
          <w:sz w:val="18"/>
          <w:szCs w:val="18"/>
        </w:rPr>
        <w:t xml:space="preserve"> High Commissioner</w:t>
      </w:r>
      <w:r w:rsidR="00A84E53" w:rsidRPr="00825777">
        <w:rPr>
          <w:rFonts w:cs="Open Sans"/>
          <w:sz w:val="18"/>
          <w:szCs w:val="18"/>
        </w:rPr>
        <w:t xml:space="preserve"> for Human Rights</w:t>
      </w:r>
      <w:r w:rsidR="006B288B" w:rsidRPr="00825777">
        <w:rPr>
          <w:rFonts w:cs="Open Sans"/>
          <w:sz w:val="18"/>
          <w:szCs w:val="18"/>
        </w:rPr>
        <w:t>,</w:t>
      </w:r>
      <w:r w:rsidR="00A84E53" w:rsidRPr="00825777">
        <w:rPr>
          <w:rFonts w:cs="Open Sans"/>
          <w:sz w:val="18"/>
          <w:szCs w:val="18"/>
        </w:rPr>
        <w:t xml:space="preserve"> </w:t>
      </w:r>
      <w:r w:rsidR="00CC6FDD" w:rsidRPr="00825777">
        <w:rPr>
          <w:rFonts w:cs="Open Sans"/>
          <w:i/>
          <w:sz w:val="18"/>
          <w:szCs w:val="18"/>
        </w:rPr>
        <w:t xml:space="preserve">Implementing the Rights of Persons with </w:t>
      </w:r>
      <w:r w:rsidR="009F0C5F" w:rsidRPr="00825777">
        <w:rPr>
          <w:rFonts w:cs="Open Sans"/>
          <w:i/>
          <w:sz w:val="18"/>
          <w:szCs w:val="18"/>
        </w:rPr>
        <w:t xml:space="preserve">Disabilities </w:t>
      </w:r>
      <w:r w:rsidR="00197A02" w:rsidRPr="00825777">
        <w:rPr>
          <w:rFonts w:cs="Open Sans"/>
          <w:i/>
          <w:sz w:val="18"/>
          <w:szCs w:val="18"/>
        </w:rPr>
        <w:t>– the Role of Inde</w:t>
      </w:r>
      <w:r w:rsidR="00552319" w:rsidRPr="00825777">
        <w:rPr>
          <w:rFonts w:cs="Open Sans"/>
          <w:i/>
          <w:sz w:val="18"/>
          <w:szCs w:val="18"/>
        </w:rPr>
        <w:t>pendent Monitoring Frameworks</w:t>
      </w:r>
      <w:r w:rsidR="007A46F2" w:rsidRPr="00825777">
        <w:rPr>
          <w:rFonts w:cs="Open Sans"/>
          <w:i/>
          <w:sz w:val="18"/>
          <w:szCs w:val="18"/>
        </w:rPr>
        <w:t xml:space="preserve">: Practical Guide </w:t>
      </w:r>
      <w:r w:rsidR="007A46F2" w:rsidRPr="00825777">
        <w:rPr>
          <w:rFonts w:cs="Open Sans"/>
          <w:sz w:val="18"/>
          <w:szCs w:val="18"/>
        </w:rPr>
        <w:t xml:space="preserve">(Professional Training Series No 28, United Nations, 2023). </w:t>
      </w:r>
      <w:r w:rsidR="006B288B" w:rsidRPr="00825777">
        <w:rPr>
          <w:rFonts w:cs="Open Sans"/>
          <w:sz w:val="18"/>
          <w:szCs w:val="18"/>
        </w:rPr>
        <w:t xml:space="preserve"> </w:t>
      </w:r>
      <w:r w:rsidRPr="00825777">
        <w:rPr>
          <w:rFonts w:cs="Open Sans"/>
        </w:rPr>
        <w:t xml:space="preserve"> </w:t>
      </w:r>
    </w:p>
  </w:endnote>
  <w:endnote w:id="33">
    <w:p w14:paraId="4EC76A44"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Government, </w:t>
      </w:r>
      <w:r w:rsidRPr="002D4943">
        <w:rPr>
          <w:rFonts w:cs="Open Sans"/>
          <w:i/>
          <w:sz w:val="18"/>
          <w:szCs w:val="18"/>
        </w:rPr>
        <w:t xml:space="preserve">Implementation of the Convention on the Rights of Persons with Disabilities, </w:t>
      </w:r>
      <w:r w:rsidRPr="002D4943">
        <w:rPr>
          <w:rFonts w:cs="Open Sans"/>
          <w:sz w:val="18"/>
          <w:szCs w:val="18"/>
        </w:rPr>
        <w:t xml:space="preserve">Report to the UN Committee on the Rights of Persons with Disabilities, UN Doc CRPD/C/Aus/1 (7 June 2012). Australian Government, </w:t>
      </w:r>
      <w:r w:rsidRPr="002D4943">
        <w:rPr>
          <w:rFonts w:cs="Open Sans"/>
          <w:i/>
          <w:sz w:val="18"/>
          <w:szCs w:val="18"/>
        </w:rPr>
        <w:t>Combined second and third periodic reports submitted by Australia under article 25 of the Convention, due in 2018</w:t>
      </w:r>
      <w:r w:rsidRPr="002D4943">
        <w:rPr>
          <w:rFonts w:cs="Open Sans"/>
          <w:sz w:val="18"/>
          <w:szCs w:val="18"/>
        </w:rPr>
        <w:t>, Report to the UN Committee on the Rights of Persons with Disabilities, UN Doc CPRD/C/Aus/2-3 (5 February 2019).</w:t>
      </w:r>
    </w:p>
  </w:endnote>
  <w:endnote w:id="34">
    <w:p w14:paraId="53449083"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10.</w:t>
      </w:r>
    </w:p>
  </w:endnote>
  <w:endnote w:id="35">
    <w:p w14:paraId="0868DB51" w14:textId="77777777" w:rsidR="00077447" w:rsidRPr="002D4943" w:rsidRDefault="00077447" w:rsidP="0007744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United Nations Committee on the Rights of Persons with Disabilities, </w:t>
      </w:r>
      <w:r w:rsidRPr="002D4943">
        <w:rPr>
          <w:rFonts w:cs="Open Sans"/>
          <w:i/>
          <w:sz w:val="18"/>
          <w:szCs w:val="18"/>
        </w:rPr>
        <w:t>Concluding observations on the combined second and third periodic reports of Australia</w:t>
      </w:r>
      <w:r w:rsidRPr="002D4943">
        <w:rPr>
          <w:rFonts w:cs="Open Sans"/>
          <w:sz w:val="18"/>
          <w:szCs w:val="18"/>
        </w:rPr>
        <w:t xml:space="preserve">, UN Doc CPRD/C/Aus/Co/2-3 (15 October 2019) [61]. </w:t>
      </w:r>
    </w:p>
  </w:endnote>
  <w:endnote w:id="36">
    <w:p w14:paraId="39B27137" w14:textId="40B65898" w:rsidR="00077447" w:rsidRPr="00825777" w:rsidRDefault="00077447" w:rsidP="00077447">
      <w:pPr>
        <w:pStyle w:val="EndnoteText"/>
        <w:rPr>
          <w:rFonts w:cs="Open Sans"/>
          <w:b/>
          <w:sz w:val="18"/>
          <w:szCs w:val="18"/>
        </w:rPr>
      </w:pPr>
      <w:r w:rsidRPr="002D4943">
        <w:rPr>
          <w:rStyle w:val="EndnoteReference"/>
          <w:rFonts w:cs="Open Sans"/>
          <w:sz w:val="18"/>
          <w:szCs w:val="18"/>
        </w:rPr>
        <w:endnoteRef/>
      </w:r>
      <w:r w:rsidR="0023211F" w:rsidRPr="00825777">
        <w:rPr>
          <w:rFonts w:cs="Open Sans"/>
          <w:i/>
          <w:sz w:val="18"/>
          <w:szCs w:val="18"/>
        </w:rPr>
        <w:t>Canadian Human Rights Act</w:t>
      </w:r>
      <w:r w:rsidR="00291D30" w:rsidRPr="00825777">
        <w:rPr>
          <w:rFonts w:cs="Open Sans"/>
          <w:sz w:val="18"/>
          <w:szCs w:val="18"/>
        </w:rPr>
        <w:t xml:space="preserve">, </w:t>
      </w:r>
      <w:r w:rsidR="0023211F" w:rsidRPr="00825777">
        <w:rPr>
          <w:rFonts w:cs="Open Sans"/>
          <w:sz w:val="18"/>
          <w:szCs w:val="18"/>
        </w:rPr>
        <w:t>R.S.C., 1985, c. H-6</w:t>
      </w:r>
      <w:r w:rsidR="001F55A6" w:rsidRPr="00825777">
        <w:rPr>
          <w:rFonts w:cs="Open Sans"/>
          <w:sz w:val="18"/>
          <w:szCs w:val="18"/>
        </w:rPr>
        <w:t>, s</w:t>
      </w:r>
      <w:r w:rsidR="00320DD8" w:rsidRPr="00825777">
        <w:rPr>
          <w:rFonts w:cs="Open Sans"/>
          <w:sz w:val="18"/>
          <w:szCs w:val="18"/>
        </w:rPr>
        <w:t xml:space="preserve"> </w:t>
      </w:r>
      <w:r w:rsidR="001F55A6" w:rsidRPr="00825777">
        <w:rPr>
          <w:rFonts w:cs="Open Sans"/>
          <w:sz w:val="18"/>
          <w:szCs w:val="18"/>
        </w:rPr>
        <w:t>28.1</w:t>
      </w:r>
      <w:r w:rsidRPr="002D4943">
        <w:rPr>
          <w:rFonts w:cs="Open Sans"/>
          <w:sz w:val="18"/>
          <w:szCs w:val="18"/>
        </w:rPr>
        <w:t>.</w:t>
      </w:r>
    </w:p>
  </w:endnote>
  <w:endnote w:id="37">
    <w:p w14:paraId="527EA037" w14:textId="01A407E8" w:rsidR="001144F6" w:rsidRPr="002D4943" w:rsidRDefault="001144F6" w:rsidP="001144F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 xml:space="preserve">Free and Equal Final Report: Revitalising Australia’s Commitment to Human Rights </w:t>
      </w:r>
      <w:r w:rsidRPr="002D4943">
        <w:rPr>
          <w:rFonts w:cs="Open Sans"/>
          <w:sz w:val="18"/>
          <w:szCs w:val="18"/>
        </w:rPr>
        <w:t>(2023)</w:t>
      </w:r>
      <w:r w:rsidR="00772A36" w:rsidRPr="002D4943">
        <w:rPr>
          <w:rFonts w:cs="Open Sans"/>
          <w:sz w:val="18"/>
          <w:szCs w:val="18"/>
        </w:rPr>
        <w:t xml:space="preserve"> (‘</w:t>
      </w:r>
      <w:r w:rsidR="00772A36" w:rsidRPr="002D4943">
        <w:rPr>
          <w:rFonts w:cs="Open Sans"/>
          <w:i/>
          <w:sz w:val="18"/>
          <w:szCs w:val="18"/>
        </w:rPr>
        <w:t>Free &amp; Equal Final Report’</w:t>
      </w:r>
      <w:r w:rsidR="00772A36" w:rsidRPr="002D4943">
        <w:rPr>
          <w:rFonts w:cs="Open Sans"/>
          <w:sz w:val="18"/>
          <w:szCs w:val="18"/>
        </w:rPr>
        <w:t>).</w:t>
      </w:r>
    </w:p>
  </w:endnote>
  <w:endnote w:id="38">
    <w:p w14:paraId="03B41C57" w14:textId="77777777" w:rsidR="009A725C" w:rsidRPr="002D4943" w:rsidRDefault="009A725C" w:rsidP="009A725C">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Parliamentary Joint Committee on Human Rights, Parliament of Australia, </w:t>
      </w:r>
      <w:r w:rsidRPr="002D4943">
        <w:rPr>
          <w:rFonts w:cs="Open Sans"/>
          <w:i/>
          <w:sz w:val="18"/>
          <w:szCs w:val="18"/>
        </w:rPr>
        <w:t>Inquiry into Australia’s Human Rights Framework</w:t>
      </w:r>
      <w:r w:rsidRPr="002D4943">
        <w:rPr>
          <w:rFonts w:cs="Open Sans"/>
          <w:sz w:val="18"/>
          <w:szCs w:val="18"/>
        </w:rPr>
        <w:t xml:space="preserve"> (Final Report, May 2024). </w:t>
      </w:r>
    </w:p>
  </w:endnote>
  <w:endnote w:id="39">
    <w:p w14:paraId="2FAFD9F2" w14:textId="70BD05A2" w:rsidR="009A725C" w:rsidRPr="002D4943" w:rsidRDefault="009A725C" w:rsidP="009A725C">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5773A5" w:rsidRPr="002D4943">
        <w:rPr>
          <w:rFonts w:cs="Open Sans"/>
          <w:sz w:val="18"/>
          <w:szCs w:val="18"/>
        </w:rPr>
        <w:t>See Recommendations 4.1-4.21,</w:t>
      </w:r>
      <w:r w:rsidRPr="002D4943">
        <w:rPr>
          <w:rFonts w:cs="Open Sans"/>
          <w:sz w:val="18"/>
          <w:szCs w:val="18"/>
        </w:rPr>
        <w:t xml:space="preserve"> Australian Government, </w:t>
      </w:r>
      <w:r w:rsidRPr="002D4943">
        <w:rPr>
          <w:rFonts w:cs="Open Sans"/>
          <w:i/>
          <w:sz w:val="18"/>
          <w:szCs w:val="18"/>
        </w:rPr>
        <w:t xml:space="preserve">Australian Government Response to the Disability Royal Commission </w:t>
      </w:r>
      <w:r w:rsidRPr="002D4943">
        <w:rPr>
          <w:rFonts w:cs="Open Sans"/>
          <w:sz w:val="18"/>
          <w:szCs w:val="18"/>
        </w:rPr>
        <w:t xml:space="preserve">(Final Report, July 2024) 31-40. </w:t>
      </w:r>
    </w:p>
  </w:endnote>
  <w:endnote w:id="40">
    <w:p w14:paraId="6B8C651E" w14:textId="029A5C07" w:rsidR="00113F17" w:rsidRPr="002D4943" w:rsidRDefault="00113F17" w:rsidP="00113F1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w:t>
      </w:r>
    </w:p>
  </w:endnote>
  <w:endnote w:id="41">
    <w:p w14:paraId="4D4AB1BC" w14:textId="42329F96" w:rsidR="00F014A5" w:rsidRPr="002D4943" w:rsidRDefault="00F014A5" w:rsidP="00F014A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772A36" w:rsidRPr="002D4943">
        <w:rPr>
          <w:rFonts w:cs="Open Sans"/>
          <w:sz w:val="18"/>
          <w:szCs w:val="18"/>
        </w:rPr>
        <w:t>Free &amp; Equal Final Report</w:t>
      </w:r>
      <w:r w:rsidR="00772A36" w:rsidRPr="002D4943">
        <w:rPr>
          <w:rFonts w:cs="Open Sans"/>
          <w:i/>
          <w:sz w:val="18"/>
          <w:szCs w:val="18"/>
        </w:rPr>
        <w:t xml:space="preserve"> </w:t>
      </w:r>
      <w:r w:rsidRPr="002D4943">
        <w:rPr>
          <w:rFonts w:cs="Open Sans"/>
          <w:sz w:val="18"/>
          <w:szCs w:val="18"/>
        </w:rPr>
        <w:t>76.</w:t>
      </w:r>
    </w:p>
  </w:endnote>
  <w:endnote w:id="42">
    <w:p w14:paraId="26FFB3E6" w14:textId="77777777" w:rsidR="0040585F" w:rsidRPr="002D4943" w:rsidRDefault="0040585F" w:rsidP="0040585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Attorney</w:t>
      </w:r>
      <w:r w:rsidRPr="002D4943">
        <w:rPr>
          <w:rFonts w:cs="Open Sans"/>
          <w:sz w:val="18"/>
          <w:szCs w:val="18"/>
        </w:rPr>
        <w:noBreakHyphen/>
        <w:t>General’s Department, (April 2010), Australia’s Human Rights Framework, 9.</w:t>
      </w:r>
    </w:p>
  </w:endnote>
  <w:endnote w:id="43">
    <w:p w14:paraId="3505A55B" w14:textId="58A1B564" w:rsidR="009516DE" w:rsidRPr="002D4943" w:rsidRDefault="009516DE" w:rsidP="009516DE">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71803" w:rsidRPr="002D4943">
        <w:rPr>
          <w:rFonts w:cs="Open Sans"/>
          <w:sz w:val="18"/>
          <w:szCs w:val="18"/>
        </w:rPr>
        <w:t>Free &amp; Equal 2021 Position Paper</w:t>
      </w:r>
      <w:r w:rsidR="00F71803" w:rsidRPr="002D4943">
        <w:rPr>
          <w:rFonts w:cs="Open Sans"/>
          <w:i/>
          <w:sz w:val="18"/>
          <w:szCs w:val="18"/>
        </w:rPr>
        <w:t xml:space="preserve"> </w:t>
      </w:r>
      <w:r w:rsidRPr="002D4943">
        <w:rPr>
          <w:rFonts w:cs="Open Sans"/>
          <w:sz w:val="18"/>
          <w:szCs w:val="18"/>
        </w:rPr>
        <w:t>39</w:t>
      </w:r>
      <w:r w:rsidR="00C0622C" w:rsidRPr="002D4943">
        <w:rPr>
          <w:rFonts w:cs="Open Sans"/>
          <w:sz w:val="18"/>
          <w:szCs w:val="18"/>
        </w:rPr>
        <w:t>,</w:t>
      </w:r>
      <w:r w:rsidRPr="002D4943">
        <w:rPr>
          <w:rFonts w:cs="Open Sans"/>
          <w:i/>
          <w:sz w:val="18"/>
          <w:szCs w:val="18"/>
        </w:rPr>
        <w:t xml:space="preserve"> </w:t>
      </w:r>
      <w:r w:rsidRPr="002D4943">
        <w:rPr>
          <w:rFonts w:cs="Open Sans"/>
          <w:sz w:val="18"/>
          <w:szCs w:val="18"/>
        </w:rPr>
        <w:t xml:space="preserve">citing Australian Chamber of Commerce and Industry, Submission 153, </w:t>
      </w:r>
      <w:r w:rsidRPr="002D4943">
        <w:rPr>
          <w:rFonts w:cs="Open Sans"/>
          <w:i/>
          <w:sz w:val="18"/>
          <w:szCs w:val="18"/>
        </w:rPr>
        <w:t>Free &amp; Equal Inquiry</w:t>
      </w:r>
      <w:r w:rsidRPr="002D4943">
        <w:rPr>
          <w:rFonts w:cs="Open Sans"/>
          <w:sz w:val="18"/>
          <w:szCs w:val="18"/>
        </w:rPr>
        <w:t>, 1.</w:t>
      </w:r>
    </w:p>
  </w:endnote>
  <w:endnote w:id="44">
    <w:p w14:paraId="03CDAEE1" w14:textId="77777777" w:rsidR="007E5B98" w:rsidRPr="002D4943" w:rsidRDefault="007E5B98" w:rsidP="007E5B9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Government, Department of Finance, </w:t>
      </w:r>
      <w:r w:rsidRPr="002D4943">
        <w:rPr>
          <w:rFonts w:cs="Open Sans"/>
          <w:i/>
          <w:sz w:val="18"/>
          <w:szCs w:val="18"/>
        </w:rPr>
        <w:t xml:space="preserve">Regulator Performance: Principle 1: Continuous improvement and building trust, </w:t>
      </w:r>
      <w:r w:rsidRPr="002D4943">
        <w:rPr>
          <w:rFonts w:cs="Open Sans"/>
          <w:sz w:val="18"/>
          <w:szCs w:val="18"/>
        </w:rPr>
        <w:t>(30 June 2023) &lt;</w:t>
      </w:r>
      <w:hyperlink r:id="rId2" w:history="1">
        <w:r w:rsidRPr="002D4943">
          <w:rPr>
            <w:rStyle w:val="Hyperlink"/>
            <w:rFonts w:cs="Open Sans"/>
            <w:sz w:val="18"/>
            <w:szCs w:val="18"/>
          </w:rPr>
          <w:t>https://www.finance.gov.au/government/managing-commonwealth-resources/regulator-performance-rmg-128/principle-1-continuous-improvement-and-building-trust</w:t>
        </w:r>
      </w:hyperlink>
      <w:r w:rsidRPr="002D4943">
        <w:rPr>
          <w:rFonts w:cs="Open Sans"/>
          <w:sz w:val="18"/>
          <w:szCs w:val="18"/>
        </w:rPr>
        <w:t xml:space="preserve">&gt; </w:t>
      </w:r>
    </w:p>
  </w:endnote>
  <w:endnote w:id="45">
    <w:p w14:paraId="4F2359E7" w14:textId="77777777" w:rsidR="00A51032" w:rsidRPr="002D4943" w:rsidRDefault="00A51032" w:rsidP="00A5103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Institute of Company Directors, </w:t>
      </w:r>
      <w:r w:rsidRPr="002D4943">
        <w:rPr>
          <w:rFonts w:cs="Open Sans"/>
          <w:i/>
          <w:sz w:val="18"/>
          <w:szCs w:val="18"/>
        </w:rPr>
        <w:t xml:space="preserve">How excessive regulation is affecting Australian innovation and productivity, </w:t>
      </w:r>
      <w:r w:rsidRPr="002D4943">
        <w:rPr>
          <w:rFonts w:cs="Open Sans"/>
          <w:sz w:val="18"/>
          <w:szCs w:val="18"/>
        </w:rPr>
        <w:t xml:space="preserve">(1 May 2025) &lt; </w:t>
      </w:r>
      <w:hyperlink r:id="rId3" w:history="1">
        <w:r w:rsidRPr="002D4943">
          <w:rPr>
            <w:rStyle w:val="Hyperlink"/>
            <w:rFonts w:cs="Open Sans"/>
            <w:sz w:val="18"/>
            <w:szCs w:val="18"/>
          </w:rPr>
          <w:t>https://www.aicd.com.au/leadership/types/management/how-excessive-regulation-is-affecting-australian-innovation-and-productivity.html</w:t>
        </w:r>
      </w:hyperlink>
      <w:r w:rsidRPr="002D4943">
        <w:rPr>
          <w:rFonts w:cs="Open Sans"/>
          <w:sz w:val="18"/>
          <w:szCs w:val="18"/>
        </w:rPr>
        <w:t>&gt;</w:t>
      </w:r>
    </w:p>
  </w:endnote>
  <w:endnote w:id="46">
    <w:p w14:paraId="1A3CC15F" w14:textId="77777777" w:rsidR="00A51032" w:rsidRPr="002D4943" w:rsidRDefault="00A51032" w:rsidP="00A5103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Institute of Company Directors, </w:t>
      </w:r>
      <w:r w:rsidRPr="002D4943">
        <w:rPr>
          <w:rFonts w:cs="Open Sans"/>
          <w:i/>
          <w:sz w:val="18"/>
          <w:szCs w:val="18"/>
        </w:rPr>
        <w:t xml:space="preserve">How excessive regulation is affecting Australian innovation and productivity, </w:t>
      </w:r>
      <w:r w:rsidRPr="002D4943">
        <w:rPr>
          <w:rFonts w:cs="Open Sans"/>
          <w:sz w:val="18"/>
          <w:szCs w:val="18"/>
        </w:rPr>
        <w:t xml:space="preserve">(1 May 2025) &lt; </w:t>
      </w:r>
      <w:hyperlink r:id="rId4" w:history="1">
        <w:r w:rsidRPr="002D4943">
          <w:rPr>
            <w:rStyle w:val="Hyperlink"/>
            <w:rFonts w:cs="Open Sans"/>
            <w:sz w:val="18"/>
            <w:szCs w:val="18"/>
          </w:rPr>
          <w:t>https://www.aicd.com.au/leadership/types/management/how-excessive-regulation-is-affecting-australian-innovation-and-productivity.html</w:t>
        </w:r>
      </w:hyperlink>
      <w:r w:rsidRPr="002D4943">
        <w:rPr>
          <w:rFonts w:cs="Open Sans"/>
          <w:sz w:val="18"/>
          <w:szCs w:val="18"/>
        </w:rPr>
        <w:t>&gt;</w:t>
      </w:r>
    </w:p>
  </w:endnote>
  <w:endnote w:id="47">
    <w:p w14:paraId="41B7EF8F" w14:textId="32289FD7" w:rsidR="00FE60A3" w:rsidRPr="002D4943" w:rsidRDefault="00FE60A3" w:rsidP="00FE60A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 xml:space="preserve">Respect@Work: National Inquiry into Sexual Harassment in Australian Workplaces </w:t>
      </w:r>
      <w:r w:rsidRPr="002D4943">
        <w:rPr>
          <w:rFonts w:cs="Open Sans"/>
          <w:sz w:val="18"/>
          <w:szCs w:val="18"/>
        </w:rPr>
        <w:t xml:space="preserve">(2020), 19. </w:t>
      </w:r>
    </w:p>
  </w:endnote>
  <w:endnote w:id="48">
    <w:p w14:paraId="1F7C456C" w14:textId="643B1E56" w:rsidR="00AB5DDB" w:rsidRPr="002D4943" w:rsidRDefault="00AB5DDB" w:rsidP="00AB5DD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379C2" w:rsidRPr="002D4943">
        <w:rPr>
          <w:rFonts w:cs="Open Sans"/>
          <w:sz w:val="18"/>
          <w:szCs w:val="18"/>
        </w:rPr>
        <w:t>ICCPR</w:t>
      </w:r>
      <w:r w:rsidRPr="002D4943">
        <w:rPr>
          <w:rFonts w:cs="Open Sans"/>
          <w:sz w:val="18"/>
          <w:szCs w:val="18"/>
        </w:rPr>
        <w:t xml:space="preserve"> </w:t>
      </w:r>
      <w:r w:rsidR="004D41D9" w:rsidRPr="002D4943">
        <w:rPr>
          <w:rFonts w:cs="Open Sans"/>
          <w:sz w:val="18"/>
          <w:szCs w:val="18"/>
        </w:rPr>
        <w:t>a</w:t>
      </w:r>
      <w:r w:rsidRPr="002D4943">
        <w:rPr>
          <w:rFonts w:cs="Open Sans"/>
          <w:sz w:val="18"/>
          <w:szCs w:val="18"/>
        </w:rPr>
        <w:t xml:space="preserve">rt 2. </w:t>
      </w:r>
    </w:p>
  </w:endnote>
  <w:endnote w:id="49">
    <w:p w14:paraId="6B93D6D4" w14:textId="721F26F7" w:rsidR="00ED58AF" w:rsidRPr="002D4943" w:rsidRDefault="00ED58AF" w:rsidP="00ED58AF">
      <w:pPr>
        <w:pStyle w:val="EndnoteText"/>
        <w:rPr>
          <w:rFonts w:cs="Open Sans"/>
          <w:b/>
          <w:sz w:val="18"/>
          <w:szCs w:val="18"/>
          <w:u w:val="single"/>
        </w:rPr>
      </w:pPr>
      <w:r w:rsidRPr="002D4943">
        <w:rPr>
          <w:rStyle w:val="EndnoteReference"/>
          <w:rFonts w:cs="Open Sans"/>
          <w:sz w:val="18"/>
          <w:szCs w:val="18"/>
        </w:rPr>
        <w:endnoteRef/>
      </w:r>
      <w:r w:rsidRPr="002D4943">
        <w:rPr>
          <w:rFonts w:cs="Open Sans"/>
          <w:sz w:val="18"/>
          <w:szCs w:val="18"/>
        </w:rPr>
        <w:t xml:space="preserve"> Committee on the Rights of Persons with Disabilities, </w:t>
      </w:r>
      <w:r w:rsidRPr="002D4943">
        <w:rPr>
          <w:rFonts w:cs="Open Sans"/>
          <w:i/>
          <w:sz w:val="18"/>
          <w:szCs w:val="18"/>
        </w:rPr>
        <w:t>Concluding observations on the combined second and third periodic reports of Australia</w:t>
      </w:r>
      <w:r w:rsidRPr="002D4943">
        <w:rPr>
          <w:rFonts w:cs="Open Sans"/>
          <w:sz w:val="18"/>
          <w:szCs w:val="18"/>
        </w:rPr>
        <w:t xml:space="preserve">, 22nd sess, UN Doc CRPD/C/AUS/CO/2-3 (15 October 2019) </w:t>
      </w:r>
      <w:r w:rsidR="006379C2" w:rsidRPr="002D4943">
        <w:rPr>
          <w:rFonts w:cs="Open Sans"/>
          <w:sz w:val="18"/>
          <w:szCs w:val="18"/>
        </w:rPr>
        <w:t>[</w:t>
      </w:r>
      <w:r w:rsidRPr="002D4943">
        <w:rPr>
          <w:rFonts w:cs="Open Sans"/>
          <w:sz w:val="18"/>
          <w:szCs w:val="18"/>
        </w:rPr>
        <w:t>9</w:t>
      </w:r>
      <w:r w:rsidR="006379C2" w:rsidRPr="002D4943">
        <w:rPr>
          <w:rFonts w:cs="Open Sans"/>
          <w:sz w:val="18"/>
          <w:szCs w:val="18"/>
        </w:rPr>
        <w:t>]</w:t>
      </w:r>
      <w:r w:rsidRPr="002D4943">
        <w:rPr>
          <w:rFonts w:cs="Open Sans"/>
          <w:sz w:val="18"/>
          <w:szCs w:val="18"/>
        </w:rPr>
        <w:t>.</w:t>
      </w:r>
    </w:p>
  </w:endnote>
  <w:endnote w:id="50">
    <w:p w14:paraId="21A56A32" w14:textId="11E96E9E" w:rsidR="00ED58AF" w:rsidRPr="002D4943" w:rsidRDefault="00ED58AF" w:rsidP="00ED58A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71803" w:rsidRPr="002D4943">
        <w:rPr>
          <w:rFonts w:cs="Open Sans"/>
          <w:sz w:val="18"/>
          <w:szCs w:val="18"/>
        </w:rPr>
        <w:t>Ibid</w:t>
      </w:r>
      <w:r w:rsidRPr="002D4943">
        <w:rPr>
          <w:rFonts w:cs="Open Sans"/>
          <w:sz w:val="18"/>
          <w:szCs w:val="18"/>
        </w:rPr>
        <w:t xml:space="preserve"> </w:t>
      </w:r>
      <w:r w:rsidR="006379C2" w:rsidRPr="002D4943">
        <w:rPr>
          <w:rFonts w:cs="Open Sans"/>
          <w:sz w:val="18"/>
          <w:szCs w:val="18"/>
        </w:rPr>
        <w:t>[</w:t>
      </w:r>
      <w:r w:rsidRPr="002D4943">
        <w:rPr>
          <w:rFonts w:cs="Open Sans"/>
          <w:sz w:val="18"/>
          <w:szCs w:val="18"/>
        </w:rPr>
        <w:t>10(a)</w:t>
      </w:r>
      <w:r w:rsidR="006379C2" w:rsidRPr="002D4943">
        <w:rPr>
          <w:rFonts w:cs="Open Sans"/>
          <w:sz w:val="18"/>
          <w:szCs w:val="18"/>
        </w:rPr>
        <w:t>]</w:t>
      </w:r>
      <w:r w:rsidRPr="002D4943">
        <w:rPr>
          <w:rFonts w:cs="Open Sans"/>
          <w:sz w:val="18"/>
          <w:szCs w:val="18"/>
        </w:rPr>
        <w:t>.</w:t>
      </w:r>
    </w:p>
  </w:endnote>
  <w:endnote w:id="51">
    <w:p w14:paraId="63FD13F2" w14:textId="4666DD41" w:rsidR="00E10CD9" w:rsidRPr="002D4943" w:rsidRDefault="00E10CD9" w:rsidP="00E10CD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 xml:space="preserve">Willing to Work: National Inquiry into Employment Discrimination Against Older Australians and Australians with Disability </w:t>
      </w:r>
      <w:r w:rsidRPr="002D4943">
        <w:rPr>
          <w:rFonts w:cs="Open Sans"/>
          <w:sz w:val="18"/>
          <w:szCs w:val="18"/>
        </w:rPr>
        <w:t xml:space="preserve">(2016), 338. </w:t>
      </w:r>
    </w:p>
  </w:endnote>
  <w:endnote w:id="52">
    <w:p w14:paraId="382851CE" w14:textId="28EB484B" w:rsidR="00AB5DDB" w:rsidRPr="002D4943" w:rsidRDefault="00AB5DDB" w:rsidP="00AB5DD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4D5311" w:rsidRPr="002D4943">
        <w:rPr>
          <w:rFonts w:cs="Open Sans"/>
          <w:sz w:val="18"/>
          <w:szCs w:val="18"/>
        </w:rPr>
        <w:t>Free &amp; Equal 2021 Position Paper</w:t>
      </w:r>
      <w:r w:rsidR="004D5311" w:rsidRPr="002D4943">
        <w:rPr>
          <w:rFonts w:cs="Open Sans"/>
          <w:i/>
          <w:sz w:val="18"/>
          <w:szCs w:val="18"/>
        </w:rPr>
        <w:t xml:space="preserve"> </w:t>
      </w:r>
      <w:r w:rsidRPr="002D4943">
        <w:rPr>
          <w:rFonts w:cs="Open Sans"/>
          <w:sz w:val="18"/>
          <w:szCs w:val="18"/>
        </w:rPr>
        <w:t xml:space="preserve">300–301, 303, 309, 339, 345; </w:t>
      </w:r>
      <w:r w:rsidR="004D5311" w:rsidRPr="002D4943">
        <w:rPr>
          <w:rFonts w:cs="Open Sans"/>
          <w:sz w:val="18"/>
          <w:szCs w:val="18"/>
        </w:rPr>
        <w:t>Free &amp; Equal Final Report</w:t>
      </w:r>
      <w:r w:rsidR="00A71667" w:rsidRPr="002D4943">
        <w:rPr>
          <w:rFonts w:cs="Open Sans"/>
          <w:sz w:val="18"/>
          <w:szCs w:val="18"/>
        </w:rPr>
        <w:t xml:space="preserve"> </w:t>
      </w:r>
      <w:r w:rsidRPr="002D4943">
        <w:rPr>
          <w:rFonts w:cs="Open Sans"/>
          <w:sz w:val="18"/>
          <w:szCs w:val="18"/>
        </w:rPr>
        <w:t xml:space="preserve">88. </w:t>
      </w:r>
    </w:p>
  </w:endnote>
  <w:endnote w:id="53">
    <w:p w14:paraId="4C7848AF" w14:textId="2636D693" w:rsidR="00810A64" w:rsidRPr="002D4943" w:rsidRDefault="00810A64" w:rsidP="00C0258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EB5470" w:rsidRPr="002D4943">
        <w:rPr>
          <w:rFonts w:cs="Open Sans"/>
          <w:i/>
          <w:sz w:val="18"/>
          <w:szCs w:val="18"/>
        </w:rPr>
        <w:t xml:space="preserve">Disability Discrimination Act 1992 </w:t>
      </w:r>
      <w:r w:rsidR="00EB5470" w:rsidRPr="002D4943">
        <w:rPr>
          <w:rFonts w:cs="Open Sans"/>
          <w:sz w:val="18"/>
          <w:szCs w:val="18"/>
        </w:rPr>
        <w:t>(Cth) s 5(1).</w:t>
      </w:r>
    </w:p>
  </w:endnote>
  <w:endnote w:id="54">
    <w:p w14:paraId="566E0F85" w14:textId="65F89785" w:rsidR="00810A64" w:rsidRPr="002D4943" w:rsidRDefault="00810A64" w:rsidP="00C0258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Age Discrimination Act 2004 </w:t>
      </w:r>
      <w:r w:rsidRPr="002D4943">
        <w:rPr>
          <w:rFonts w:cs="Open Sans"/>
          <w:sz w:val="18"/>
          <w:szCs w:val="18"/>
        </w:rPr>
        <w:t>(Cth) s</w:t>
      </w:r>
      <w:r w:rsidR="00DC1608" w:rsidRPr="002D4943">
        <w:rPr>
          <w:rFonts w:cs="Open Sans"/>
          <w:sz w:val="18"/>
          <w:szCs w:val="18"/>
        </w:rPr>
        <w:t xml:space="preserve"> </w:t>
      </w:r>
      <w:r w:rsidRPr="002D4943">
        <w:rPr>
          <w:rFonts w:cs="Open Sans"/>
          <w:sz w:val="18"/>
          <w:szCs w:val="18"/>
        </w:rPr>
        <w:t xml:space="preserve">14(a), </w:t>
      </w:r>
      <w:r w:rsidRPr="002D4943">
        <w:rPr>
          <w:rFonts w:cs="Open Sans"/>
          <w:i/>
          <w:sz w:val="18"/>
          <w:szCs w:val="18"/>
        </w:rPr>
        <w:t xml:space="preserve">Sex Discrimination Act 1984 </w:t>
      </w:r>
      <w:r w:rsidRPr="002D4943">
        <w:rPr>
          <w:rFonts w:cs="Open Sans"/>
          <w:sz w:val="18"/>
          <w:szCs w:val="18"/>
        </w:rPr>
        <w:t>(Cth) s</w:t>
      </w:r>
      <w:r w:rsidR="00D03CB3" w:rsidRPr="002D4943">
        <w:rPr>
          <w:rFonts w:cs="Open Sans"/>
          <w:sz w:val="18"/>
          <w:szCs w:val="18"/>
        </w:rPr>
        <w:t>s</w:t>
      </w:r>
      <w:r w:rsidR="00DC1608" w:rsidRPr="002D4943">
        <w:rPr>
          <w:rFonts w:cs="Open Sans"/>
          <w:sz w:val="18"/>
          <w:szCs w:val="18"/>
        </w:rPr>
        <w:t xml:space="preserve"> </w:t>
      </w:r>
      <w:r w:rsidRPr="002D4943">
        <w:rPr>
          <w:rFonts w:cs="Open Sans"/>
          <w:sz w:val="18"/>
          <w:szCs w:val="18"/>
        </w:rPr>
        <w:t>5(1), 5A(1), 5B(1), 5C(1), 6(1), 7(1), 7AA(1), 7A(1).</w:t>
      </w:r>
    </w:p>
  </w:endnote>
  <w:endnote w:id="55">
    <w:p w14:paraId="77370766" w14:textId="114E6035" w:rsidR="008C3307" w:rsidRPr="002D4943" w:rsidRDefault="008C3307" w:rsidP="008C330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the Australian Government Attorney-General</w:t>
      </w:r>
      <w:r w:rsidR="00B01DC3" w:rsidRPr="002D4943">
        <w:rPr>
          <w:rFonts w:cs="Open Sans"/>
          <w:sz w:val="18"/>
          <w:szCs w:val="18"/>
        </w:rPr>
        <w:t>’</w:t>
      </w:r>
      <w:r w:rsidRPr="002D4943">
        <w:rPr>
          <w:rFonts w:cs="Open Sans"/>
          <w:sz w:val="18"/>
          <w:szCs w:val="18"/>
        </w:rPr>
        <w:t xml:space="preserve">s Department, </w:t>
      </w:r>
      <w:r w:rsidRPr="002D4943">
        <w:rPr>
          <w:rFonts w:cs="Open Sans"/>
          <w:i/>
          <w:sz w:val="18"/>
          <w:szCs w:val="18"/>
        </w:rPr>
        <w:t xml:space="preserve">Consolidation of Commonwealth Anti- Discrimination Laws: Discussion Paper </w:t>
      </w:r>
      <w:r w:rsidRPr="002D4943">
        <w:rPr>
          <w:rFonts w:cs="Open Sans"/>
          <w:sz w:val="18"/>
          <w:szCs w:val="18"/>
        </w:rPr>
        <w:t>(September 2011)</w:t>
      </w:r>
      <w:r w:rsidR="00622192" w:rsidRPr="002D4943">
        <w:rPr>
          <w:rFonts w:cs="Open Sans"/>
          <w:sz w:val="18"/>
          <w:szCs w:val="18"/>
        </w:rPr>
        <w:t>,</w:t>
      </w:r>
      <w:r w:rsidRPr="002D4943">
        <w:rPr>
          <w:rFonts w:cs="Open Sans"/>
          <w:sz w:val="18"/>
          <w:szCs w:val="18"/>
        </w:rPr>
        <w:t>27</w:t>
      </w:r>
      <w:r w:rsidR="00622192" w:rsidRPr="002D4943">
        <w:rPr>
          <w:rFonts w:cs="Open Sans"/>
          <w:sz w:val="18"/>
          <w:szCs w:val="18"/>
        </w:rPr>
        <w:t>,</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28</w:t>
      </w:r>
      <w:r w:rsidR="00622192" w:rsidRPr="002D4943">
        <w:rPr>
          <w:rFonts w:cs="Open Sans"/>
          <w:sz w:val="18"/>
          <w:szCs w:val="18"/>
        </w:rPr>
        <w:t>1.</w:t>
      </w:r>
      <w:r w:rsidRPr="002D4943">
        <w:rPr>
          <w:rFonts w:cs="Open Sans"/>
          <w:i/>
          <w:sz w:val="18"/>
          <w:szCs w:val="18"/>
        </w:rPr>
        <w:t xml:space="preserve"> </w:t>
      </w:r>
    </w:p>
  </w:endnote>
  <w:endnote w:id="56">
    <w:p w14:paraId="1523CE6A" w14:textId="14B5B298" w:rsidR="008C3307" w:rsidRPr="002D4943" w:rsidRDefault="008C3307" w:rsidP="008C330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Council of Trade Unions, Submission 159, </w:t>
      </w:r>
      <w:r w:rsidRPr="002D4943">
        <w:rPr>
          <w:rFonts w:cs="Open Sans"/>
          <w:i/>
          <w:sz w:val="18"/>
          <w:szCs w:val="18"/>
        </w:rPr>
        <w:t>Free &amp; Equal Inquiry</w:t>
      </w:r>
      <w:r w:rsidRPr="002D4943">
        <w:rPr>
          <w:rFonts w:cs="Open Sans"/>
          <w:sz w:val="18"/>
          <w:szCs w:val="18"/>
        </w:rPr>
        <w:t xml:space="preserve">, 17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282</w:t>
      </w:r>
      <w:r w:rsidR="00F80C94" w:rsidRPr="002D4943">
        <w:rPr>
          <w:rFonts w:cs="Open Sans"/>
          <w:sz w:val="18"/>
          <w:szCs w:val="18"/>
        </w:rPr>
        <w:t>.</w:t>
      </w:r>
    </w:p>
  </w:endnote>
  <w:endnote w:id="57">
    <w:p w14:paraId="2717773F" w14:textId="5A696EEA" w:rsidR="00E36609" w:rsidRPr="002D4943" w:rsidRDefault="00E36609" w:rsidP="00E3660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B94949" w:rsidRPr="002D4943">
        <w:rPr>
          <w:rFonts w:cs="Open Sans"/>
          <w:sz w:val="18"/>
          <w:szCs w:val="18"/>
        </w:rPr>
        <w:t>Free &amp; Equal 2021 Position Paper</w:t>
      </w:r>
      <w:r w:rsidR="00B94949" w:rsidRPr="002D4943">
        <w:rPr>
          <w:rFonts w:cs="Open Sans"/>
          <w:i/>
          <w:sz w:val="18"/>
          <w:szCs w:val="18"/>
        </w:rPr>
        <w:t xml:space="preserve"> </w:t>
      </w:r>
      <w:r w:rsidRPr="002D4943">
        <w:rPr>
          <w:rFonts w:cs="Open Sans"/>
          <w:sz w:val="18"/>
          <w:szCs w:val="18"/>
        </w:rPr>
        <w:t>282</w:t>
      </w:r>
      <w:r w:rsidRPr="002D4943">
        <w:rPr>
          <w:rFonts w:cs="Open Sans"/>
          <w:i/>
          <w:sz w:val="18"/>
          <w:szCs w:val="18"/>
        </w:rPr>
        <w:t>.</w:t>
      </w:r>
    </w:p>
  </w:endnote>
  <w:endnote w:id="58">
    <w:p w14:paraId="72A355CB" w14:textId="6A662EEE" w:rsidR="006D0408" w:rsidRPr="002D4943" w:rsidRDefault="006D0408" w:rsidP="006D040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94949" w:rsidRPr="002D4943">
        <w:rPr>
          <w:rFonts w:cs="Open Sans"/>
          <w:sz w:val="18"/>
          <w:szCs w:val="18"/>
        </w:rPr>
        <w:t>Free &amp; Equal 2021 Position Paper</w:t>
      </w:r>
      <w:r w:rsidR="00B94949" w:rsidRPr="002D4943">
        <w:rPr>
          <w:rFonts w:cs="Open Sans"/>
          <w:i/>
          <w:sz w:val="18"/>
          <w:szCs w:val="18"/>
        </w:rPr>
        <w:t xml:space="preserve"> </w:t>
      </w:r>
      <w:r w:rsidRPr="002D4943">
        <w:rPr>
          <w:rFonts w:cs="Open Sans"/>
          <w:sz w:val="18"/>
          <w:szCs w:val="18"/>
        </w:rPr>
        <w:t>282</w:t>
      </w:r>
      <w:r w:rsidR="00DD3129" w:rsidRPr="002D4943">
        <w:rPr>
          <w:rFonts w:cs="Open Sans"/>
          <w:i/>
          <w:sz w:val="18"/>
          <w:szCs w:val="18"/>
        </w:rPr>
        <w:t>.</w:t>
      </w:r>
    </w:p>
  </w:endnote>
  <w:endnote w:id="59">
    <w:p w14:paraId="0CF5A6AF" w14:textId="520F12C7" w:rsidR="009C428C" w:rsidRPr="002D4943" w:rsidRDefault="009C428C">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94949" w:rsidRPr="002D4943">
        <w:rPr>
          <w:rFonts w:cs="Open Sans"/>
          <w:sz w:val="18"/>
          <w:szCs w:val="18"/>
        </w:rPr>
        <w:t>Free &amp; Equal 2021 Position Paper</w:t>
      </w:r>
      <w:r w:rsidR="00B94949" w:rsidRPr="002D4943">
        <w:rPr>
          <w:rFonts w:cs="Open Sans"/>
          <w:i/>
          <w:sz w:val="18"/>
          <w:szCs w:val="18"/>
        </w:rPr>
        <w:t xml:space="preserve"> </w:t>
      </w:r>
      <w:r w:rsidR="00854968" w:rsidRPr="002D4943">
        <w:rPr>
          <w:rFonts w:cs="Open Sans"/>
          <w:sz w:val="18"/>
          <w:szCs w:val="18"/>
        </w:rPr>
        <w:t>282</w:t>
      </w:r>
      <w:r w:rsidR="00F80C94" w:rsidRPr="002D4943">
        <w:rPr>
          <w:rFonts w:cs="Open Sans"/>
          <w:i/>
          <w:sz w:val="18"/>
          <w:szCs w:val="18"/>
        </w:rPr>
        <w:t>.</w:t>
      </w:r>
    </w:p>
  </w:endnote>
  <w:endnote w:id="60">
    <w:p w14:paraId="18C52829" w14:textId="77777777" w:rsidR="003435FB" w:rsidRPr="002D4943" w:rsidRDefault="003435FB" w:rsidP="003435F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Free &amp; Equal Final Report</w:t>
      </w:r>
      <w:r w:rsidRPr="002D4943">
        <w:rPr>
          <w:rFonts w:cs="Open Sans"/>
          <w:i/>
          <w:sz w:val="18"/>
          <w:szCs w:val="18"/>
        </w:rPr>
        <w:t xml:space="preserve"> </w:t>
      </w:r>
      <w:r w:rsidRPr="002D4943">
        <w:rPr>
          <w:rFonts w:cs="Open Sans"/>
          <w:sz w:val="18"/>
          <w:szCs w:val="18"/>
        </w:rPr>
        <w:t>88.</w:t>
      </w:r>
    </w:p>
  </w:endnote>
  <w:endnote w:id="61">
    <w:p w14:paraId="0AF74538" w14:textId="0B6FFFCB" w:rsidR="001A453F" w:rsidRPr="002D4943" w:rsidRDefault="001A453F" w:rsidP="001A453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Dominique Allen, ‘An Evaluation of the Mechanisms designed to promote substantive equality in the Equal Opportunity Act 2010 (Vic)’ (2020) 44(2) </w:t>
      </w:r>
      <w:r w:rsidRPr="002D4943">
        <w:rPr>
          <w:rFonts w:cs="Open Sans"/>
          <w:i/>
          <w:sz w:val="18"/>
          <w:szCs w:val="18"/>
        </w:rPr>
        <w:t xml:space="preserve">Melbourne University Law Review </w:t>
      </w:r>
      <w:r w:rsidRPr="002D4943">
        <w:rPr>
          <w:rFonts w:cs="Open Sans"/>
          <w:sz w:val="18"/>
          <w:szCs w:val="18"/>
        </w:rPr>
        <w:t xml:space="preserve">459, 484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283</w:t>
      </w:r>
      <w:r w:rsidRPr="002D4943">
        <w:rPr>
          <w:rFonts w:cs="Open Sans"/>
          <w:i/>
          <w:sz w:val="18"/>
          <w:szCs w:val="18"/>
        </w:rPr>
        <w:t>.</w:t>
      </w:r>
    </w:p>
  </w:endnote>
  <w:endnote w:id="62">
    <w:p w14:paraId="4B27340F" w14:textId="7A4F794C" w:rsidR="001A453F" w:rsidRPr="002D4943" w:rsidRDefault="001A453F" w:rsidP="001A453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94949" w:rsidRPr="002D4943">
        <w:rPr>
          <w:rFonts w:cs="Open Sans"/>
          <w:sz w:val="18"/>
          <w:szCs w:val="18"/>
        </w:rPr>
        <w:t>Free &amp; Equal 2021 Position Paper</w:t>
      </w:r>
      <w:r w:rsidR="00B94949" w:rsidRPr="002D4943">
        <w:rPr>
          <w:rFonts w:cs="Open Sans"/>
          <w:i/>
          <w:sz w:val="18"/>
          <w:szCs w:val="18"/>
        </w:rPr>
        <w:t xml:space="preserve"> </w:t>
      </w:r>
      <w:r w:rsidRPr="002D4943">
        <w:rPr>
          <w:rFonts w:cs="Open Sans"/>
          <w:sz w:val="18"/>
          <w:szCs w:val="18"/>
        </w:rPr>
        <w:t>283</w:t>
      </w:r>
      <w:r w:rsidRPr="002D4943">
        <w:rPr>
          <w:rFonts w:cs="Open Sans"/>
          <w:i/>
          <w:sz w:val="18"/>
          <w:szCs w:val="18"/>
        </w:rPr>
        <w:t>.</w:t>
      </w:r>
    </w:p>
  </w:endnote>
  <w:endnote w:id="63">
    <w:p w14:paraId="67B1B545" w14:textId="4E1BDBEF" w:rsidR="00B155DF" w:rsidRPr="002D4943" w:rsidRDefault="00B155DF" w:rsidP="00B155DF">
      <w:pPr>
        <w:pStyle w:val="EndnoteText"/>
        <w:rPr>
          <w:rFonts w:cs="Open Sans"/>
          <w:sz w:val="18"/>
          <w:szCs w:val="18"/>
        </w:rPr>
      </w:pPr>
      <w:r w:rsidRPr="002D4943">
        <w:rPr>
          <w:rStyle w:val="EndnoteTextChar"/>
          <w:rFonts w:cs="Open Sans"/>
          <w:sz w:val="18"/>
          <w:szCs w:val="18"/>
          <w:vertAlign w:val="superscript"/>
        </w:rPr>
        <w:endnoteRef/>
      </w:r>
      <w:r w:rsidRPr="002D4943">
        <w:rPr>
          <w:rFonts w:cs="Open Sans"/>
          <w:sz w:val="18"/>
          <w:szCs w:val="18"/>
        </w:rPr>
        <w:t xml:space="preserve"> Australian Government Attorney-General’s Department, </w:t>
      </w:r>
      <w:r w:rsidRPr="002D4943">
        <w:rPr>
          <w:rFonts w:cs="Open Sans"/>
          <w:i/>
          <w:sz w:val="18"/>
          <w:szCs w:val="18"/>
        </w:rPr>
        <w:t xml:space="preserve">Consolidation of Commonwealth Anti- Discrimination Laws: Discussion Paper </w:t>
      </w:r>
      <w:r w:rsidRPr="002D4943">
        <w:rPr>
          <w:rFonts w:cs="Open Sans"/>
          <w:sz w:val="18"/>
          <w:szCs w:val="18"/>
        </w:rPr>
        <w:t xml:space="preserve">(September 2011) [30], citing Productivity Commission, Review of the Disability Discrimination Act (Report No 30, 30 April 2004) 307. </w:t>
      </w:r>
    </w:p>
  </w:endnote>
  <w:endnote w:id="64">
    <w:p w14:paraId="5BDAA493" w14:textId="1DD14714" w:rsidR="005A66B4" w:rsidRPr="002D4943" w:rsidRDefault="005A66B4">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75A8A" w:rsidRPr="002D4943">
        <w:rPr>
          <w:rFonts w:cs="Open Sans"/>
          <w:i/>
          <w:sz w:val="18"/>
          <w:szCs w:val="18"/>
        </w:rPr>
        <w:t xml:space="preserve">Fair Work Act 2009 </w:t>
      </w:r>
      <w:r w:rsidR="00375A8A" w:rsidRPr="002D4943">
        <w:rPr>
          <w:rFonts w:cs="Open Sans"/>
          <w:sz w:val="18"/>
          <w:szCs w:val="18"/>
        </w:rPr>
        <w:t>(Cth)</w:t>
      </w:r>
      <w:r w:rsidR="00675AEC" w:rsidRPr="002D4943">
        <w:rPr>
          <w:rFonts w:cs="Open Sans"/>
          <w:sz w:val="18"/>
          <w:szCs w:val="18"/>
        </w:rPr>
        <w:t xml:space="preserve"> s 351. </w:t>
      </w:r>
      <w:r w:rsidRPr="002D4943">
        <w:rPr>
          <w:rFonts w:cs="Open Sans"/>
          <w:sz w:val="18"/>
          <w:szCs w:val="18"/>
        </w:rPr>
        <w:t xml:space="preserve"> </w:t>
      </w:r>
    </w:p>
  </w:endnote>
  <w:endnote w:id="65">
    <w:p w14:paraId="53D2640B" w14:textId="77777777" w:rsidR="00810A64" w:rsidRPr="002D4943" w:rsidRDefault="00810A64" w:rsidP="00C0258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w:t>
      </w:r>
      <w:r w:rsidRPr="002D4943">
        <w:rPr>
          <w:rFonts w:cs="Open Sans"/>
          <w:sz w:val="18"/>
          <w:szCs w:val="18"/>
        </w:rPr>
        <w:t>(Cth) s 5.</w:t>
      </w:r>
    </w:p>
  </w:endnote>
  <w:endnote w:id="66">
    <w:p w14:paraId="3969060F" w14:textId="77777777" w:rsidR="00C045C2" w:rsidRPr="002D4943" w:rsidRDefault="00C045C2" w:rsidP="00C045C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w:t>
      </w:r>
      <w:r w:rsidRPr="002D4943">
        <w:rPr>
          <w:rFonts w:cs="Open Sans"/>
          <w:sz w:val="18"/>
          <w:szCs w:val="18"/>
        </w:rPr>
        <w:t>(Cth) s 10.</w:t>
      </w:r>
    </w:p>
  </w:endnote>
  <w:endnote w:id="67">
    <w:p w14:paraId="58C22E38" w14:textId="14A4449D" w:rsidR="00810A64" w:rsidRPr="002D4943" w:rsidRDefault="00810A64" w:rsidP="00C0258B">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EA29EF" w:rsidRPr="002D4943">
        <w:rPr>
          <w:rFonts w:cs="Open Sans"/>
          <w:sz w:val="18"/>
          <w:szCs w:val="18"/>
        </w:rPr>
        <w:t xml:space="preserve">See </w:t>
      </w:r>
      <w:r w:rsidR="00EA29EF" w:rsidRPr="002D4943">
        <w:rPr>
          <w:rFonts w:cs="Open Sans"/>
          <w:i/>
          <w:sz w:val="18"/>
          <w:szCs w:val="18"/>
        </w:rPr>
        <w:t xml:space="preserve">Disability Discrimination Act 1992 </w:t>
      </w:r>
      <w:r w:rsidR="00EA29EF" w:rsidRPr="002D4943">
        <w:rPr>
          <w:rFonts w:cs="Open Sans"/>
          <w:sz w:val="18"/>
          <w:szCs w:val="18"/>
        </w:rPr>
        <w:t>(Cth) s 10 &amp;</w:t>
      </w:r>
      <w:r w:rsidRPr="002D4943">
        <w:rPr>
          <w:rFonts w:cs="Open Sans"/>
          <w:sz w:val="18"/>
          <w:szCs w:val="18"/>
        </w:rPr>
        <w:t xml:space="preserve"> Commonwealth, </w:t>
      </w:r>
      <w:r w:rsidRPr="002D4943">
        <w:rPr>
          <w:rFonts w:cs="Open Sans"/>
          <w:i/>
          <w:sz w:val="18"/>
          <w:szCs w:val="18"/>
        </w:rPr>
        <w:t>Royal Commission into Violence, Abuse, Neglect and Exploitation of People with Disability</w:t>
      </w:r>
      <w:r w:rsidR="00D76D05" w:rsidRPr="002D4943">
        <w:rPr>
          <w:rFonts w:cs="Open Sans"/>
          <w:sz w:val="18"/>
          <w:szCs w:val="18"/>
        </w:rPr>
        <w:t xml:space="preserve"> (Final Report, September 2023) </w:t>
      </w:r>
      <w:r w:rsidRPr="002D4943">
        <w:rPr>
          <w:rFonts w:cs="Open Sans"/>
          <w:sz w:val="18"/>
          <w:szCs w:val="18"/>
        </w:rPr>
        <w:t>Vol 4, 301.</w:t>
      </w:r>
    </w:p>
  </w:endnote>
  <w:endnote w:id="68">
    <w:p w14:paraId="7FFD8C88" w14:textId="77777777" w:rsidR="00B563BC" w:rsidRPr="002D4943" w:rsidRDefault="00B563BC" w:rsidP="00B563BC">
      <w:pPr>
        <w:pStyle w:val="EndnoteText"/>
        <w:widowControl w:val="0"/>
        <w:rPr>
          <w:rFonts w:cs="Open Sans"/>
          <w:sz w:val="18"/>
          <w:szCs w:val="18"/>
        </w:rPr>
      </w:pPr>
      <w:r w:rsidRPr="002D4943">
        <w:rPr>
          <w:rStyle w:val="EndnoteReference"/>
          <w:rFonts w:cs="Open Sans"/>
          <w:sz w:val="18"/>
          <w:szCs w:val="18"/>
        </w:rPr>
        <w:endnoteRef/>
      </w:r>
      <w:r w:rsidRPr="002D4943">
        <w:rPr>
          <w:rFonts w:cs="Open Sans"/>
          <w:sz w:val="18"/>
          <w:szCs w:val="18"/>
        </w:rPr>
        <w:t xml:space="preserve"> Commonwealth,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4, 301.</w:t>
      </w:r>
    </w:p>
  </w:endnote>
  <w:endnote w:id="69">
    <w:p w14:paraId="3A87C0DA" w14:textId="4536A6A0" w:rsidR="00810A64" w:rsidRPr="002D4943" w:rsidRDefault="00810A64" w:rsidP="00C0258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961CC" w:rsidRPr="002D4943">
        <w:rPr>
          <w:rFonts w:cs="Open Sans"/>
          <w:sz w:val="18"/>
          <w:szCs w:val="18"/>
        </w:rPr>
        <w:t xml:space="preserve">Law Council of Australia, Submission 156, </w:t>
      </w:r>
      <w:r w:rsidR="00A961CC" w:rsidRPr="002D4943">
        <w:rPr>
          <w:rFonts w:cs="Open Sans"/>
          <w:i/>
          <w:sz w:val="18"/>
          <w:szCs w:val="18"/>
        </w:rPr>
        <w:t>Free &amp; Equal Inquiry</w:t>
      </w:r>
      <w:r w:rsidR="00A961CC" w:rsidRPr="002D4943">
        <w:rPr>
          <w:rFonts w:cs="Open Sans"/>
          <w:sz w:val="18"/>
          <w:szCs w:val="18"/>
        </w:rPr>
        <w:t xml:space="preserve">, [133]–[134]. Also: Victoria Legal Aid, Submission 131, </w:t>
      </w:r>
      <w:r w:rsidR="00A961CC" w:rsidRPr="002D4943">
        <w:rPr>
          <w:rFonts w:cs="Open Sans"/>
          <w:i/>
          <w:sz w:val="18"/>
          <w:szCs w:val="18"/>
        </w:rPr>
        <w:t>Free &amp; Equal Inquiry</w:t>
      </w:r>
      <w:r w:rsidR="00A961CC" w:rsidRPr="002D4943">
        <w:rPr>
          <w:rFonts w:cs="Open Sans"/>
          <w:sz w:val="18"/>
          <w:szCs w:val="18"/>
        </w:rPr>
        <w:t xml:space="preserve">; Legal Aid NSW, Submission 112, </w:t>
      </w:r>
      <w:r w:rsidR="00A961CC" w:rsidRPr="002D4943">
        <w:rPr>
          <w:rFonts w:cs="Open Sans"/>
          <w:i/>
          <w:sz w:val="18"/>
          <w:szCs w:val="18"/>
        </w:rPr>
        <w:t>Free &amp; Equal Inquiry</w:t>
      </w:r>
      <w:r w:rsidR="00A961CC" w:rsidRPr="002D4943">
        <w:rPr>
          <w:rFonts w:cs="Open Sans"/>
          <w:sz w:val="18"/>
          <w:szCs w:val="18"/>
        </w:rPr>
        <w:t xml:space="preserve">; Maurice Blackburn Lawyers, Submission 132, </w:t>
      </w:r>
      <w:r w:rsidR="00A961CC" w:rsidRPr="002D4943">
        <w:rPr>
          <w:rFonts w:cs="Open Sans"/>
          <w:i/>
          <w:sz w:val="18"/>
          <w:szCs w:val="18"/>
        </w:rPr>
        <w:t>Free &amp; Equal Inquiry</w:t>
      </w:r>
      <w:r w:rsidR="00A961CC" w:rsidRPr="002D4943">
        <w:rPr>
          <w:rFonts w:cs="Open Sans"/>
          <w:sz w:val="18"/>
          <w:szCs w:val="18"/>
        </w:rPr>
        <w:t xml:space="preserve"> cited in</w:t>
      </w:r>
      <w:r w:rsidRPr="002D4943">
        <w:rPr>
          <w:rFonts w:cs="Open Sans"/>
          <w:sz w:val="18"/>
          <w:szCs w:val="18"/>
        </w:rPr>
        <w:t xml:space="preserve">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208</w:t>
      </w:r>
      <w:r w:rsidR="00DD3129" w:rsidRPr="002D4943">
        <w:rPr>
          <w:rFonts w:cs="Open Sans"/>
          <w:i/>
          <w:sz w:val="18"/>
          <w:szCs w:val="18"/>
        </w:rPr>
        <w:t>.</w:t>
      </w:r>
    </w:p>
  </w:endnote>
  <w:endnote w:id="70">
    <w:p w14:paraId="4AB51D3B" w14:textId="77777777" w:rsidR="009C63B1" w:rsidRPr="002D4943" w:rsidRDefault="009C63B1" w:rsidP="009C63B1">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Government Attorney-General’s Department, </w:t>
      </w:r>
      <w:r w:rsidRPr="002D4943">
        <w:rPr>
          <w:rFonts w:cs="Open Sans"/>
          <w:i/>
          <w:sz w:val="18"/>
          <w:szCs w:val="18"/>
        </w:rPr>
        <w:t xml:space="preserve">Consolidation of Commonwealth Discrimination Laws: Human Rights and Anti-Discrimination Bill 2012, Exposure Draft Explanatory Notes </w:t>
      </w:r>
      <w:r w:rsidRPr="002D4943">
        <w:rPr>
          <w:rFonts w:cs="Open Sans"/>
          <w:sz w:val="18"/>
          <w:szCs w:val="18"/>
        </w:rPr>
        <w:t xml:space="preserve">(November 2012) [463]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206</w:t>
      </w:r>
      <w:r w:rsidRPr="002D4943">
        <w:rPr>
          <w:rFonts w:cs="Open Sans"/>
          <w:i/>
          <w:sz w:val="18"/>
          <w:szCs w:val="18"/>
        </w:rPr>
        <w:t>.</w:t>
      </w:r>
    </w:p>
  </w:endnote>
  <w:endnote w:id="71">
    <w:p w14:paraId="2D937761" w14:textId="77777777" w:rsidR="00BB3A42" w:rsidRPr="002D4943" w:rsidRDefault="00BB3A42" w:rsidP="00BB3A4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Fair Work Act 2009</w:t>
      </w:r>
      <w:r w:rsidRPr="002D4943">
        <w:rPr>
          <w:rFonts w:cs="Open Sans"/>
          <w:sz w:val="18"/>
          <w:szCs w:val="18"/>
        </w:rPr>
        <w:t xml:space="preserve"> (Cth) s 361.</w:t>
      </w:r>
    </w:p>
  </w:endnote>
  <w:endnote w:id="72">
    <w:p w14:paraId="1F54C6CA" w14:textId="15DF897E" w:rsidR="00C60BE6" w:rsidRPr="002D4943" w:rsidRDefault="00C60BE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0C2788" w:rsidRPr="002D4943">
        <w:rPr>
          <w:rFonts w:cs="Open Sans"/>
          <w:sz w:val="18"/>
          <w:szCs w:val="18"/>
        </w:rPr>
        <w:t>Disability Royal Commission Final Report</w:t>
      </w:r>
      <w:r w:rsidR="00D17BB1" w:rsidRPr="002D4943">
        <w:rPr>
          <w:rFonts w:cs="Open Sans"/>
          <w:sz w:val="18"/>
          <w:szCs w:val="18"/>
        </w:rPr>
        <w:t xml:space="preserve"> Vol 4, 302.</w:t>
      </w:r>
    </w:p>
  </w:endnote>
  <w:endnote w:id="73">
    <w:p w14:paraId="6269637D" w14:textId="0ECA702C" w:rsidR="00A461CC" w:rsidRPr="002D4943" w:rsidRDefault="00A461CC">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296D9C" w:rsidRPr="002D4943">
        <w:rPr>
          <w:rFonts w:cs="Open Sans"/>
          <w:sz w:val="18"/>
          <w:szCs w:val="18"/>
        </w:rPr>
        <w:t>Free &amp; Equal 2021 Position Paper</w:t>
      </w:r>
      <w:r w:rsidR="00296D9C" w:rsidRPr="002D4943">
        <w:rPr>
          <w:rFonts w:cs="Open Sans"/>
          <w:i/>
          <w:sz w:val="18"/>
          <w:szCs w:val="18"/>
        </w:rPr>
        <w:t xml:space="preserve"> </w:t>
      </w:r>
      <w:r w:rsidR="00661E33" w:rsidRPr="002D4943">
        <w:rPr>
          <w:rFonts w:cs="Open Sans"/>
          <w:sz w:val="18"/>
          <w:szCs w:val="18"/>
        </w:rPr>
        <w:t xml:space="preserve">205 </w:t>
      </w:r>
      <w:r w:rsidR="00D80FE4" w:rsidRPr="002D4943">
        <w:rPr>
          <w:rFonts w:cs="Open Sans"/>
          <w:sz w:val="18"/>
          <w:szCs w:val="18"/>
        </w:rPr>
        <w:t>&amp;</w:t>
      </w:r>
      <w:r w:rsidR="00AD6B8D" w:rsidRPr="002D4943">
        <w:rPr>
          <w:rFonts w:cs="Open Sans"/>
          <w:sz w:val="18"/>
          <w:szCs w:val="18"/>
        </w:rPr>
        <w:t xml:space="preserve"> 206</w:t>
      </w:r>
      <w:r w:rsidR="00AD6B8D" w:rsidRPr="002D4943">
        <w:rPr>
          <w:rFonts w:cs="Open Sans"/>
          <w:i/>
          <w:sz w:val="18"/>
          <w:szCs w:val="18"/>
        </w:rPr>
        <w:t>.</w:t>
      </w:r>
    </w:p>
  </w:endnote>
  <w:endnote w:id="74">
    <w:p w14:paraId="21408375" w14:textId="249E8153" w:rsidR="00DF7BF6" w:rsidRPr="002D4943" w:rsidRDefault="00DF7BF6" w:rsidP="00DF7BF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056C63" w:rsidRPr="002D4943">
        <w:rPr>
          <w:rFonts w:cs="Open Sans"/>
          <w:sz w:val="18"/>
          <w:szCs w:val="18"/>
        </w:rPr>
        <w:t>Free &amp; Equal 2021 Position Paper</w:t>
      </w:r>
      <w:r w:rsidR="00056C63" w:rsidRPr="002D4943">
        <w:rPr>
          <w:rFonts w:cs="Open Sans"/>
          <w:i/>
          <w:sz w:val="18"/>
          <w:szCs w:val="18"/>
        </w:rPr>
        <w:t xml:space="preserve"> </w:t>
      </w:r>
      <w:r w:rsidRPr="002D4943">
        <w:rPr>
          <w:rFonts w:cs="Open Sans"/>
          <w:sz w:val="18"/>
          <w:szCs w:val="18"/>
        </w:rPr>
        <w:t>206</w:t>
      </w:r>
      <w:r w:rsidRPr="002D4943">
        <w:rPr>
          <w:rFonts w:cs="Open Sans"/>
          <w:i/>
          <w:sz w:val="18"/>
          <w:szCs w:val="18"/>
        </w:rPr>
        <w:t>.</w:t>
      </w:r>
    </w:p>
  </w:endnote>
  <w:endnote w:id="75">
    <w:p w14:paraId="6D0CE3B0" w14:textId="3182C669" w:rsidR="00C5112F" w:rsidRPr="002D4943" w:rsidRDefault="00C5112F" w:rsidP="00C5112F">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Senate Legal and Constitutional Affairs Legislation Committee, </w:t>
      </w:r>
      <w:r w:rsidRPr="002D4943">
        <w:rPr>
          <w:rFonts w:cs="Open Sans"/>
          <w:i/>
          <w:sz w:val="18"/>
          <w:szCs w:val="18"/>
        </w:rPr>
        <w:t>Human Rights and Anti-Discrimination Bill 2012, February 2013</w:t>
      </w:r>
      <w:r w:rsidRPr="002D4943">
        <w:rPr>
          <w:rFonts w:cs="Open Sans"/>
          <w:sz w:val="18"/>
          <w:szCs w:val="18"/>
        </w:rPr>
        <w:t>, Report, [7.8</w:t>
      </w:r>
      <w:r w:rsidR="004A641A" w:rsidRPr="002D4943">
        <w:rPr>
          <w:rFonts w:cs="Open Sans"/>
          <w:sz w:val="18"/>
          <w:szCs w:val="18"/>
        </w:rPr>
        <w:t>6</w:t>
      </w:r>
      <w:r w:rsidRPr="002D4943">
        <w:rPr>
          <w:rFonts w:cs="Open Sans"/>
          <w:sz w:val="18"/>
          <w:szCs w:val="18"/>
        </w:rPr>
        <w:t>], 98</w:t>
      </w:r>
      <w:r w:rsidRPr="002D4943">
        <w:rPr>
          <w:rFonts w:cs="Open Sans"/>
          <w:i/>
          <w:sz w:val="18"/>
          <w:szCs w:val="18"/>
        </w:rPr>
        <w:t>.</w:t>
      </w:r>
    </w:p>
  </w:endnote>
  <w:endnote w:id="76">
    <w:p w14:paraId="062F0889" w14:textId="77777777" w:rsidR="00F8594C" w:rsidRPr="002D4943" w:rsidRDefault="00F8594C" w:rsidP="00F8594C">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6.</w:t>
      </w:r>
    </w:p>
  </w:endnote>
  <w:endnote w:id="77">
    <w:p w14:paraId="32D78496" w14:textId="2D76B6E1" w:rsidR="00810A64" w:rsidRPr="002D4943" w:rsidRDefault="00810A64" w:rsidP="00B014C0">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Racial Discrimination Act 1975 </w:t>
      </w:r>
      <w:r w:rsidRPr="002D4943">
        <w:rPr>
          <w:rFonts w:cs="Open Sans"/>
          <w:sz w:val="18"/>
          <w:szCs w:val="18"/>
        </w:rPr>
        <w:t>(Cth) s 9(1A)(b),</w:t>
      </w:r>
      <w:r w:rsidRPr="002D4943">
        <w:rPr>
          <w:rStyle w:val="EndnoteReference"/>
          <w:rFonts w:cs="Open Sans"/>
          <w:sz w:val="18"/>
          <w:szCs w:val="18"/>
        </w:rPr>
        <w:t xml:space="preserve"> </w:t>
      </w:r>
      <w:r w:rsidRPr="002D4943">
        <w:rPr>
          <w:rFonts w:cs="Open Sans"/>
          <w:i/>
          <w:sz w:val="18"/>
          <w:szCs w:val="18"/>
        </w:rPr>
        <w:t xml:space="preserve">Anti-Discrimination Act 1977 </w:t>
      </w:r>
      <w:r w:rsidRPr="002D4943">
        <w:rPr>
          <w:rFonts w:cs="Open Sans"/>
          <w:sz w:val="18"/>
          <w:szCs w:val="18"/>
        </w:rPr>
        <w:t xml:space="preserve">(NSW) s 49B(1)(b), </w:t>
      </w:r>
      <w:r w:rsidRPr="002D4943">
        <w:rPr>
          <w:rFonts w:cs="Open Sans"/>
          <w:i/>
          <w:sz w:val="18"/>
          <w:szCs w:val="18"/>
        </w:rPr>
        <w:t>Anti-Discrimination Act 1991</w:t>
      </w:r>
      <w:r w:rsidRPr="002D4943">
        <w:rPr>
          <w:rFonts w:cs="Open Sans"/>
          <w:sz w:val="18"/>
          <w:szCs w:val="18"/>
        </w:rPr>
        <w:t xml:space="preserve"> (Qld) s 11(1), </w:t>
      </w:r>
      <w:r w:rsidRPr="002D4943">
        <w:rPr>
          <w:rFonts w:cs="Open Sans"/>
          <w:i/>
          <w:sz w:val="18"/>
          <w:szCs w:val="18"/>
        </w:rPr>
        <w:t xml:space="preserve">Equal Opportunity Act 1984 </w:t>
      </w:r>
      <w:r w:rsidRPr="002D4943">
        <w:rPr>
          <w:rFonts w:cs="Open Sans"/>
          <w:sz w:val="18"/>
          <w:szCs w:val="18"/>
        </w:rPr>
        <w:t xml:space="preserve">(SA) s 66(b), </w:t>
      </w:r>
      <w:r w:rsidRPr="002D4943">
        <w:rPr>
          <w:rFonts w:cs="Open Sans"/>
          <w:i/>
          <w:sz w:val="18"/>
          <w:szCs w:val="18"/>
        </w:rPr>
        <w:t>Equal Opportunity Act 1984</w:t>
      </w:r>
      <w:r w:rsidRPr="002D4943">
        <w:rPr>
          <w:rFonts w:cs="Open Sans"/>
          <w:sz w:val="18"/>
          <w:szCs w:val="18"/>
        </w:rPr>
        <w:t xml:space="preserve"> (WA) s 66A(3).</w:t>
      </w:r>
    </w:p>
  </w:endnote>
  <w:endnote w:id="78">
    <w:p w14:paraId="467F5F63" w14:textId="01026DA9" w:rsidR="00944F3A" w:rsidRPr="002D4943" w:rsidRDefault="00944F3A">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F17D5" w:rsidRPr="002D4943">
        <w:rPr>
          <w:rFonts w:cs="Open Sans"/>
          <w:sz w:val="18"/>
          <w:szCs w:val="18"/>
        </w:rPr>
        <w:t>Australian Government Attorney-General</w:t>
      </w:r>
      <w:r w:rsidR="000C2788" w:rsidRPr="002D4943">
        <w:rPr>
          <w:rFonts w:cs="Open Sans"/>
          <w:sz w:val="18"/>
          <w:szCs w:val="18"/>
          <w:lang w:val="en-US"/>
        </w:rPr>
        <w:t>’</w:t>
      </w:r>
      <w:r w:rsidR="00BF17D5" w:rsidRPr="002D4943">
        <w:rPr>
          <w:rFonts w:cs="Open Sans"/>
          <w:sz w:val="18"/>
          <w:szCs w:val="18"/>
        </w:rPr>
        <w:t xml:space="preserve">s Department, </w:t>
      </w:r>
      <w:r w:rsidR="00BF17D5" w:rsidRPr="002D4943">
        <w:rPr>
          <w:rFonts w:cs="Open Sans"/>
          <w:i/>
          <w:sz w:val="18"/>
          <w:szCs w:val="18"/>
        </w:rPr>
        <w:t xml:space="preserve">Consolidation of Commonwealth Anti- Discrimination Laws: Discussion Paper </w:t>
      </w:r>
      <w:r w:rsidR="00BF17D5" w:rsidRPr="002D4943">
        <w:rPr>
          <w:rFonts w:cs="Open Sans"/>
          <w:sz w:val="18"/>
          <w:szCs w:val="18"/>
        </w:rPr>
        <w:t>(September 2011) 38</w:t>
      </w:r>
      <w:r w:rsidR="007612F2" w:rsidRPr="002D4943">
        <w:rPr>
          <w:rFonts w:cs="Open Sans"/>
          <w:sz w:val="18"/>
          <w:szCs w:val="18"/>
        </w:rPr>
        <w:t>.</w:t>
      </w:r>
    </w:p>
  </w:endnote>
  <w:endnote w:id="79">
    <w:p w14:paraId="2062FADF" w14:textId="763D6D6B" w:rsidR="00D6700D" w:rsidRPr="002D4943" w:rsidRDefault="00D6700D" w:rsidP="00D6700D">
      <w:pPr>
        <w:pStyle w:val="EndnoteText"/>
        <w:rPr>
          <w:rFonts w:cs="Open Sans"/>
          <w:i/>
          <w:sz w:val="18"/>
          <w:szCs w:val="18"/>
        </w:rPr>
      </w:pPr>
      <w:r w:rsidRPr="002D4943">
        <w:rPr>
          <w:rStyle w:val="EndnoteReference"/>
          <w:rFonts w:cs="Open Sans"/>
          <w:sz w:val="18"/>
          <w:szCs w:val="18"/>
        </w:rPr>
        <w:endnoteRef/>
      </w:r>
      <w:r w:rsidRPr="002D4943">
        <w:rPr>
          <w:rFonts w:cs="Open Sans"/>
          <w:sz w:val="18"/>
          <w:szCs w:val="18"/>
        </w:rPr>
        <w:t xml:space="preserve"> Law Council of Australia, Submission 156, </w:t>
      </w:r>
      <w:r w:rsidRPr="002D4943">
        <w:rPr>
          <w:rFonts w:cs="Open Sans"/>
          <w:i/>
          <w:sz w:val="18"/>
          <w:szCs w:val="18"/>
        </w:rPr>
        <w:t>Free &amp; Equal Inquiry</w:t>
      </w:r>
      <w:r w:rsidRPr="002D4943">
        <w:rPr>
          <w:rFonts w:cs="Open Sans"/>
          <w:sz w:val="18"/>
          <w:szCs w:val="18"/>
        </w:rPr>
        <w:t xml:space="preserve">, 66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298</w:t>
      </w:r>
      <w:r w:rsidR="00DD3129" w:rsidRPr="002D4943">
        <w:rPr>
          <w:rFonts w:cs="Open Sans"/>
          <w:i/>
          <w:sz w:val="18"/>
          <w:szCs w:val="18"/>
        </w:rPr>
        <w:t>.</w:t>
      </w:r>
    </w:p>
  </w:endnote>
  <w:endnote w:id="80">
    <w:p w14:paraId="4140FBEF" w14:textId="1CA13FF9" w:rsidR="00810A64" w:rsidRPr="002D4943" w:rsidRDefault="00810A64" w:rsidP="009543F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Racial Discrimination Act 1975 </w:t>
      </w:r>
      <w:r w:rsidRPr="002D4943">
        <w:rPr>
          <w:rFonts w:cs="Open Sans"/>
          <w:sz w:val="18"/>
          <w:szCs w:val="18"/>
        </w:rPr>
        <w:t>(Cth) s</w:t>
      </w:r>
      <w:r w:rsidR="007B1A5C" w:rsidRPr="002D4943">
        <w:rPr>
          <w:rFonts w:cs="Open Sans"/>
          <w:sz w:val="18"/>
          <w:szCs w:val="18"/>
        </w:rPr>
        <w:t>s</w:t>
      </w:r>
      <w:r w:rsidR="003854D0" w:rsidRPr="002D4943">
        <w:rPr>
          <w:rFonts w:cs="Open Sans"/>
          <w:sz w:val="18"/>
          <w:szCs w:val="18"/>
        </w:rPr>
        <w:t xml:space="preserve"> </w:t>
      </w:r>
      <w:r w:rsidRPr="002D4943">
        <w:rPr>
          <w:rFonts w:cs="Open Sans"/>
          <w:sz w:val="18"/>
          <w:szCs w:val="18"/>
        </w:rPr>
        <w:t>9(1A)(a)-(c).</w:t>
      </w:r>
    </w:p>
  </w:endnote>
  <w:endnote w:id="81">
    <w:p w14:paraId="35EFBAA2" w14:textId="2F24E368" w:rsidR="00810A64" w:rsidRPr="002D4943" w:rsidRDefault="00810A64" w:rsidP="001A672A">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57749C" w:rsidRPr="002D4943">
        <w:rPr>
          <w:rFonts w:cs="Open Sans"/>
          <w:i/>
          <w:sz w:val="18"/>
          <w:szCs w:val="18"/>
        </w:rPr>
        <w:t xml:space="preserve">Disability Discrimination Act 1992 </w:t>
      </w:r>
      <w:r w:rsidR="0057749C" w:rsidRPr="002D4943">
        <w:rPr>
          <w:rFonts w:cs="Open Sans"/>
          <w:sz w:val="18"/>
          <w:szCs w:val="18"/>
        </w:rPr>
        <w:t>(Cth) s 6(3).</w:t>
      </w:r>
    </w:p>
  </w:endnote>
  <w:endnote w:id="82">
    <w:p w14:paraId="5121A730" w14:textId="50F97BC9" w:rsidR="00192F91" w:rsidRPr="002D4943" w:rsidRDefault="00192F91" w:rsidP="00192F91">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w:t>
      </w:r>
      <w:r w:rsidR="003854D0" w:rsidRPr="002D4943">
        <w:rPr>
          <w:rFonts w:cs="Open Sans"/>
          <w:sz w:val="18"/>
          <w:szCs w:val="18"/>
        </w:rPr>
        <w:t xml:space="preserve"> ss</w:t>
      </w:r>
      <w:r w:rsidRPr="002D4943">
        <w:rPr>
          <w:rFonts w:cs="Open Sans"/>
          <w:sz w:val="18"/>
          <w:szCs w:val="18"/>
        </w:rPr>
        <w:t xml:space="preserve"> 11, 21B and 29A.</w:t>
      </w:r>
    </w:p>
  </w:endnote>
  <w:endnote w:id="83">
    <w:p w14:paraId="603E73B8" w14:textId="3DC7E209" w:rsidR="00B44F53" w:rsidRPr="002D4943" w:rsidRDefault="00B44F5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71949" w:rsidRPr="002D4943">
        <w:rPr>
          <w:rFonts w:cs="Open Sans"/>
          <w:i/>
          <w:sz w:val="18"/>
          <w:szCs w:val="18"/>
        </w:rPr>
        <w:t>Secretary, Department of Foreign Affairs &amp; Trade v Styles</w:t>
      </w:r>
      <w:r w:rsidR="00671949" w:rsidRPr="002D4943">
        <w:rPr>
          <w:rFonts w:cs="Open Sans"/>
          <w:sz w:val="18"/>
          <w:szCs w:val="18"/>
        </w:rPr>
        <w:t xml:space="preserve"> (1989) 23 FCR 251, pp 263–64 </w:t>
      </w:r>
      <w:r w:rsidR="000F1E90" w:rsidRPr="002D4943">
        <w:rPr>
          <w:rFonts w:cs="Open Sans"/>
          <w:sz w:val="18"/>
          <w:szCs w:val="18"/>
        </w:rPr>
        <w:t xml:space="preserve">cited in Commonwealth, </w:t>
      </w:r>
      <w:r w:rsidR="000F1E90" w:rsidRPr="002D4943">
        <w:rPr>
          <w:rFonts w:cs="Open Sans"/>
          <w:i/>
          <w:sz w:val="18"/>
          <w:szCs w:val="18"/>
        </w:rPr>
        <w:t>Royal Commission into Violence, Abuse, Neglect and Exploitation of People with Disability</w:t>
      </w:r>
      <w:r w:rsidR="000F1E90" w:rsidRPr="002D4943">
        <w:rPr>
          <w:rFonts w:cs="Open Sans"/>
          <w:sz w:val="18"/>
          <w:szCs w:val="18"/>
        </w:rPr>
        <w:t xml:space="preserve">, </w:t>
      </w:r>
      <w:r w:rsidR="00205CB1" w:rsidRPr="002D4943">
        <w:rPr>
          <w:rFonts w:cs="Open Sans"/>
          <w:sz w:val="18"/>
          <w:szCs w:val="18"/>
        </w:rPr>
        <w:t xml:space="preserve">(Final Report, 2023) Vol 4, 304. </w:t>
      </w:r>
    </w:p>
  </w:endnote>
  <w:endnote w:id="84">
    <w:p w14:paraId="10E4F295" w14:textId="5E798BAF" w:rsidR="00B44F53" w:rsidRPr="002D4943" w:rsidRDefault="00B44F5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97B29" w:rsidRPr="002D4943">
        <w:rPr>
          <w:rFonts w:cs="Open Sans"/>
          <w:i/>
          <w:color w:val="auto"/>
          <w:sz w:val="18"/>
          <w:szCs w:val="18"/>
        </w:rPr>
        <w:t xml:space="preserve">Waters v Public Transport Corporation </w:t>
      </w:r>
      <w:r w:rsidR="00F97B29" w:rsidRPr="002D4943">
        <w:rPr>
          <w:rFonts w:cs="Open Sans"/>
          <w:color w:val="auto"/>
          <w:sz w:val="18"/>
          <w:szCs w:val="18"/>
        </w:rPr>
        <w:t xml:space="preserve">(1991) 173 CLR 349, </w:t>
      </w:r>
      <w:r w:rsidR="00B9466A" w:rsidRPr="002D4943">
        <w:rPr>
          <w:rFonts w:cs="Open Sans"/>
          <w:color w:val="auto"/>
          <w:sz w:val="18"/>
          <w:szCs w:val="18"/>
        </w:rPr>
        <w:t xml:space="preserve">pp </w:t>
      </w:r>
      <w:r w:rsidR="00F97B29" w:rsidRPr="002D4943">
        <w:rPr>
          <w:rFonts w:cs="Open Sans"/>
          <w:color w:val="auto"/>
          <w:sz w:val="18"/>
          <w:szCs w:val="18"/>
        </w:rPr>
        <w:t xml:space="preserve">378 &amp; </w:t>
      </w:r>
      <w:r w:rsidR="000F1E90" w:rsidRPr="002D4943">
        <w:rPr>
          <w:rFonts w:cs="Open Sans"/>
          <w:color w:val="auto"/>
          <w:sz w:val="18"/>
          <w:szCs w:val="18"/>
        </w:rPr>
        <w:t xml:space="preserve">395 </w:t>
      </w:r>
      <w:r w:rsidR="000F1E90" w:rsidRPr="002D4943">
        <w:rPr>
          <w:rFonts w:cs="Open Sans"/>
          <w:sz w:val="18"/>
          <w:szCs w:val="18"/>
        </w:rPr>
        <w:t xml:space="preserve">cited in </w:t>
      </w:r>
      <w:r w:rsidR="00285718" w:rsidRPr="002D4943">
        <w:rPr>
          <w:rFonts w:cs="Open Sans"/>
          <w:sz w:val="18"/>
          <w:szCs w:val="18"/>
        </w:rPr>
        <w:t>Disability Royal Commission Final Report</w:t>
      </w:r>
      <w:r w:rsidR="00205CB1" w:rsidRPr="002D4943">
        <w:rPr>
          <w:rFonts w:cs="Open Sans"/>
          <w:sz w:val="18"/>
          <w:szCs w:val="18"/>
        </w:rPr>
        <w:t xml:space="preserve"> Vol 4, 304.</w:t>
      </w:r>
    </w:p>
  </w:endnote>
  <w:endnote w:id="85">
    <w:p w14:paraId="5148CAB9" w14:textId="0B23365E" w:rsidR="00B44F53" w:rsidRPr="002D4943" w:rsidRDefault="00B44F53">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285718" w:rsidRPr="002D4943">
        <w:rPr>
          <w:rFonts w:cs="Open Sans"/>
          <w:iCs/>
          <w:sz w:val="18"/>
          <w:szCs w:val="18"/>
        </w:rPr>
        <w:t>Ibid</w:t>
      </w:r>
      <w:r w:rsidR="00205CB1" w:rsidRPr="002D4943">
        <w:rPr>
          <w:rFonts w:cs="Open Sans"/>
          <w:sz w:val="18"/>
          <w:szCs w:val="18"/>
        </w:rPr>
        <w:t xml:space="preserve">. </w:t>
      </w:r>
    </w:p>
  </w:endnote>
  <w:endnote w:id="86">
    <w:p w14:paraId="772EBAEE" w14:textId="414D6CB8" w:rsidR="004E4CDD" w:rsidRPr="002D4943" w:rsidRDefault="004E4CDD" w:rsidP="004E4CD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285718" w:rsidRPr="002D4943">
        <w:rPr>
          <w:rFonts w:cs="Open Sans"/>
          <w:iCs/>
          <w:sz w:val="18"/>
          <w:szCs w:val="18"/>
        </w:rPr>
        <w:t>Ibid</w:t>
      </w:r>
      <w:r w:rsidR="00205CB1" w:rsidRPr="002D4943">
        <w:rPr>
          <w:rFonts w:cs="Open Sans"/>
          <w:sz w:val="18"/>
          <w:szCs w:val="18"/>
        </w:rPr>
        <w:t>.</w:t>
      </w:r>
    </w:p>
  </w:endnote>
  <w:endnote w:id="87">
    <w:p w14:paraId="77545619" w14:textId="2B3F7E0A" w:rsidR="00A1415E" w:rsidRPr="002D4943" w:rsidRDefault="00A1415E" w:rsidP="00A1415E">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056C63" w:rsidRPr="002D4943">
        <w:rPr>
          <w:rFonts w:cs="Open Sans"/>
          <w:sz w:val="18"/>
          <w:szCs w:val="18"/>
        </w:rPr>
        <w:t>Free &amp; Equal 2021 Position Paper</w:t>
      </w:r>
      <w:r w:rsidR="00056C63" w:rsidRPr="002D4943">
        <w:rPr>
          <w:rFonts w:cs="Open Sans"/>
          <w:i/>
          <w:sz w:val="18"/>
          <w:szCs w:val="18"/>
        </w:rPr>
        <w:t xml:space="preserve"> </w:t>
      </w:r>
      <w:r w:rsidRPr="002D4943">
        <w:rPr>
          <w:rFonts w:cs="Open Sans"/>
          <w:sz w:val="18"/>
          <w:szCs w:val="18"/>
        </w:rPr>
        <w:t>296</w:t>
      </w:r>
      <w:r w:rsidR="00DD3129" w:rsidRPr="002D4943">
        <w:rPr>
          <w:rFonts w:cs="Open Sans"/>
          <w:i/>
          <w:sz w:val="18"/>
          <w:szCs w:val="18"/>
        </w:rPr>
        <w:t>.</w:t>
      </w:r>
    </w:p>
  </w:endnote>
  <w:endnote w:id="88">
    <w:p w14:paraId="5711BB0C" w14:textId="5250A157" w:rsidR="00015820" w:rsidRPr="002D4943" w:rsidRDefault="00015820" w:rsidP="00015820">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w:t>
      </w:r>
      <w:r w:rsidRPr="002D4943">
        <w:rPr>
          <w:rFonts w:cs="Open Sans"/>
          <w:i/>
          <w:sz w:val="18"/>
          <w:szCs w:val="18"/>
        </w:rPr>
        <w:t>Drummond v Commissioners for H Revenue and Customs</w:t>
      </w:r>
      <w:r w:rsidRPr="002D4943">
        <w:rPr>
          <w:rFonts w:cs="Open Sans"/>
          <w:sz w:val="18"/>
          <w:szCs w:val="18"/>
        </w:rPr>
        <w:t xml:space="preserve"> [2022] ET/4109218/2021 </w:t>
      </w:r>
      <w:r w:rsidR="00265D34" w:rsidRPr="002D4943">
        <w:rPr>
          <w:rFonts w:cs="Open Sans"/>
          <w:sz w:val="18"/>
          <w:szCs w:val="18"/>
        </w:rPr>
        <w:t xml:space="preserve">[74] – [79], </w:t>
      </w:r>
      <w:r w:rsidRPr="002D4943">
        <w:rPr>
          <w:rFonts w:cs="Open Sans"/>
          <w:sz w:val="18"/>
          <w:szCs w:val="18"/>
        </w:rPr>
        <w:t>[8</w:t>
      </w:r>
      <w:r w:rsidR="0078656D" w:rsidRPr="002D4943">
        <w:rPr>
          <w:rFonts w:cs="Open Sans"/>
          <w:sz w:val="18"/>
          <w:szCs w:val="18"/>
        </w:rPr>
        <w:t>3</w:t>
      </w:r>
      <w:r w:rsidRPr="002D4943">
        <w:rPr>
          <w:rFonts w:cs="Open Sans"/>
          <w:sz w:val="18"/>
          <w:szCs w:val="18"/>
        </w:rPr>
        <w:t xml:space="preserve">] </w:t>
      </w:r>
      <w:r w:rsidR="00497667" w:rsidRPr="002D4943">
        <w:rPr>
          <w:rFonts w:cs="Open Sans"/>
          <w:sz w:val="18"/>
          <w:szCs w:val="18"/>
        </w:rPr>
        <w:t>–</w:t>
      </w:r>
      <w:r w:rsidRPr="002D4943">
        <w:rPr>
          <w:rFonts w:cs="Open Sans"/>
          <w:sz w:val="18"/>
          <w:szCs w:val="18"/>
        </w:rPr>
        <w:t xml:space="preserve">[89].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w:t>
      </w:r>
      <w:r w:rsidR="008F3ADE" w:rsidRPr="002D4943">
        <w:rPr>
          <w:rFonts w:cs="Open Sans"/>
          <w:sz w:val="18"/>
          <w:szCs w:val="18"/>
        </w:rPr>
        <w:t xml:space="preserve">p </w:t>
      </w:r>
      <w:r w:rsidRPr="002D4943">
        <w:rPr>
          <w:rFonts w:cs="Open Sans"/>
          <w:sz w:val="18"/>
          <w:szCs w:val="18"/>
        </w:rPr>
        <w:t>29</w:t>
      </w:r>
      <w:r w:rsidR="00A05DCA" w:rsidRPr="002D4943">
        <w:rPr>
          <w:rFonts w:cs="Open Sans"/>
          <w:sz w:val="18"/>
          <w:szCs w:val="18"/>
        </w:rPr>
        <w:t>7</w:t>
      </w:r>
      <w:r w:rsidR="00DD3129" w:rsidRPr="002D4943">
        <w:rPr>
          <w:rFonts w:cs="Open Sans"/>
          <w:i/>
          <w:sz w:val="18"/>
          <w:szCs w:val="18"/>
        </w:rPr>
        <w:t>.</w:t>
      </w:r>
    </w:p>
  </w:endnote>
  <w:endnote w:id="89">
    <w:p w14:paraId="199310B7" w14:textId="61BBD9D1" w:rsidR="00D65BCB" w:rsidRPr="002D4943" w:rsidRDefault="00D65BC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1475D" w:rsidRPr="002D4943">
        <w:rPr>
          <w:rFonts w:cs="Open Sans"/>
          <w:sz w:val="18"/>
          <w:szCs w:val="18"/>
        </w:rPr>
        <w:t xml:space="preserve">Sandra Fredman, </w:t>
      </w:r>
      <w:r w:rsidR="00B1475D" w:rsidRPr="002D4943">
        <w:rPr>
          <w:rFonts w:cs="Open Sans"/>
          <w:i/>
          <w:sz w:val="18"/>
          <w:szCs w:val="18"/>
        </w:rPr>
        <w:t xml:space="preserve">Discrimination Law </w:t>
      </w:r>
      <w:r w:rsidR="00B1475D" w:rsidRPr="002D4943">
        <w:rPr>
          <w:rFonts w:cs="Open Sans"/>
          <w:sz w:val="18"/>
          <w:szCs w:val="18"/>
        </w:rPr>
        <w:t>(OUP, 2nd ed, 2011) 190</w:t>
      </w:r>
      <w:r w:rsidR="00012131" w:rsidRPr="002D4943">
        <w:rPr>
          <w:rFonts w:cs="Open Sans"/>
          <w:sz w:val="18"/>
          <w:szCs w:val="18"/>
        </w:rPr>
        <w:t>,</w:t>
      </w:r>
      <w:r w:rsidR="00B1475D" w:rsidRPr="002D4943">
        <w:rPr>
          <w:rFonts w:cs="Open Sans"/>
          <w:sz w:val="18"/>
          <w:szCs w:val="18"/>
        </w:rPr>
        <w:t xml:space="preserve"> cited in Australian Human Rights Commission, </w:t>
      </w:r>
      <w:r w:rsidR="00B1475D" w:rsidRPr="002D4943">
        <w:rPr>
          <w:rFonts w:cs="Open Sans"/>
          <w:i/>
          <w:sz w:val="18"/>
          <w:szCs w:val="18"/>
        </w:rPr>
        <w:t>Free and Equal: A reform agenda for federal discrimination laws</w:t>
      </w:r>
      <w:r w:rsidR="00B1475D" w:rsidRPr="002D4943">
        <w:rPr>
          <w:rFonts w:cs="Open Sans"/>
          <w:sz w:val="18"/>
          <w:szCs w:val="18"/>
        </w:rPr>
        <w:t xml:space="preserve"> (Position Paper, December 2021) p 297</w:t>
      </w:r>
      <w:r w:rsidR="00B1475D" w:rsidRPr="002D4943">
        <w:rPr>
          <w:rFonts w:cs="Open Sans"/>
          <w:i/>
          <w:sz w:val="18"/>
          <w:szCs w:val="18"/>
        </w:rPr>
        <w:t>.</w:t>
      </w:r>
    </w:p>
  </w:endnote>
  <w:endnote w:id="90">
    <w:p w14:paraId="5E419FC3" w14:textId="4B9FC26D" w:rsidR="00015820" w:rsidRPr="002D4943" w:rsidRDefault="00015820" w:rsidP="00015820">
      <w:pPr>
        <w:pStyle w:val="EndnoteText"/>
        <w:rPr>
          <w:rFonts w:cs="Open Sans"/>
          <w:i/>
          <w:sz w:val="18"/>
          <w:szCs w:val="18"/>
        </w:rPr>
      </w:pPr>
      <w:r w:rsidRPr="002D4943">
        <w:rPr>
          <w:rStyle w:val="EndnoteReference"/>
          <w:rFonts w:cs="Open Sans"/>
          <w:sz w:val="18"/>
          <w:szCs w:val="18"/>
        </w:rPr>
        <w:endnoteRef/>
      </w:r>
      <w:r w:rsidRPr="002D4943">
        <w:rPr>
          <w:rFonts w:cs="Open Sans"/>
          <w:sz w:val="18"/>
          <w:szCs w:val="18"/>
        </w:rPr>
        <w:t xml:space="preserve"> </w:t>
      </w:r>
      <w:r w:rsidR="00F309B6" w:rsidRPr="002D4943">
        <w:rPr>
          <w:rFonts w:cs="Open Sans"/>
          <w:sz w:val="18"/>
          <w:szCs w:val="18"/>
        </w:rPr>
        <w:t>Ibid</w:t>
      </w:r>
      <w:r w:rsidR="00DD3129" w:rsidRPr="002D4943">
        <w:rPr>
          <w:rFonts w:cs="Open Sans"/>
          <w:i/>
          <w:sz w:val="18"/>
          <w:szCs w:val="18"/>
        </w:rPr>
        <w:t>.</w:t>
      </w:r>
    </w:p>
  </w:endnote>
  <w:endnote w:id="91">
    <w:p w14:paraId="553DFBAB" w14:textId="5B4C22B3" w:rsidR="00691BB5" w:rsidRPr="002D4943" w:rsidRDefault="00691BB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2828C2" w:rsidRPr="002D4943">
        <w:rPr>
          <w:rFonts w:cs="Open Sans"/>
          <w:i/>
          <w:sz w:val="18"/>
          <w:szCs w:val="18"/>
        </w:rPr>
        <w:t xml:space="preserve">Equal Opportunity Act 2010 </w:t>
      </w:r>
      <w:r w:rsidR="002828C2" w:rsidRPr="002D4943">
        <w:rPr>
          <w:rFonts w:cs="Open Sans"/>
          <w:sz w:val="18"/>
          <w:szCs w:val="18"/>
        </w:rPr>
        <w:t>(Vic) s</w:t>
      </w:r>
      <w:r w:rsidR="006B2146" w:rsidRPr="002D4943">
        <w:rPr>
          <w:rFonts w:cs="Open Sans"/>
          <w:sz w:val="18"/>
          <w:szCs w:val="18"/>
        </w:rPr>
        <w:t xml:space="preserve"> </w:t>
      </w:r>
      <w:r w:rsidR="00DB0427" w:rsidRPr="002D4943">
        <w:rPr>
          <w:rFonts w:cs="Open Sans"/>
          <w:sz w:val="18"/>
          <w:szCs w:val="18"/>
        </w:rPr>
        <w:t xml:space="preserve">9(3), </w:t>
      </w:r>
      <w:r w:rsidR="00DB0427" w:rsidRPr="002D4943">
        <w:rPr>
          <w:rFonts w:cs="Open Sans"/>
          <w:i/>
          <w:sz w:val="18"/>
          <w:szCs w:val="18"/>
        </w:rPr>
        <w:t xml:space="preserve">Sex Discrimination Act 1984 </w:t>
      </w:r>
      <w:r w:rsidR="00DB0427" w:rsidRPr="002D4943">
        <w:rPr>
          <w:rFonts w:cs="Open Sans"/>
          <w:sz w:val="18"/>
          <w:szCs w:val="18"/>
        </w:rPr>
        <w:t>(Cth) s</w:t>
      </w:r>
      <w:r w:rsidR="00CA2E9B" w:rsidRPr="002D4943">
        <w:rPr>
          <w:rFonts w:cs="Open Sans"/>
          <w:sz w:val="18"/>
          <w:szCs w:val="18"/>
        </w:rPr>
        <w:t xml:space="preserve"> </w:t>
      </w:r>
      <w:r w:rsidR="00DB0427" w:rsidRPr="002D4943">
        <w:rPr>
          <w:rFonts w:cs="Open Sans"/>
          <w:sz w:val="18"/>
          <w:szCs w:val="18"/>
        </w:rPr>
        <w:t>7B(2)</w:t>
      </w:r>
      <w:r w:rsidR="00BB39C0" w:rsidRPr="002D4943">
        <w:rPr>
          <w:rFonts w:cs="Open Sans"/>
          <w:sz w:val="18"/>
          <w:szCs w:val="18"/>
        </w:rPr>
        <w:t>.</w:t>
      </w:r>
    </w:p>
  </w:endnote>
  <w:endnote w:id="92">
    <w:p w14:paraId="608CCF8A"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4.</w:t>
      </w:r>
    </w:p>
  </w:endnote>
  <w:endnote w:id="93">
    <w:p w14:paraId="1502CB29"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ss 4 – 6.</w:t>
      </w:r>
    </w:p>
  </w:endnote>
  <w:endnote w:id="94">
    <w:p w14:paraId="27389832" w14:textId="1D94D1D9" w:rsidR="00691A46" w:rsidRPr="00825777" w:rsidRDefault="00691A46" w:rsidP="00691A46">
      <w:pPr>
        <w:pStyle w:val="EndnoteText"/>
        <w:rPr>
          <w:rFonts w:cs="Open Sans"/>
        </w:rPr>
      </w:pPr>
      <w:r w:rsidRPr="00825777">
        <w:rPr>
          <w:rStyle w:val="EndnoteReference"/>
          <w:rFonts w:cs="Open Sans"/>
          <w:sz w:val="18"/>
          <w:szCs w:val="18"/>
        </w:rPr>
        <w:endnoteRef/>
      </w:r>
      <w:r w:rsidR="00C75881" w:rsidRPr="002D4943">
        <w:rPr>
          <w:rFonts w:cs="Open Sans"/>
          <w:sz w:val="18"/>
          <w:szCs w:val="18"/>
        </w:rPr>
        <w:t>United Nations Committee on the Rights of Persons with Disabilities,</w:t>
      </w:r>
      <w:r w:rsidR="00B34511" w:rsidRPr="002D4943">
        <w:rPr>
          <w:rFonts w:cs="Open Sans"/>
          <w:i/>
          <w:sz w:val="18"/>
          <w:szCs w:val="18"/>
        </w:rPr>
        <w:t xml:space="preserve"> General Comment 6 on equality and non-discrimination</w:t>
      </w:r>
      <w:r w:rsidR="00B34511" w:rsidRPr="002D4943">
        <w:rPr>
          <w:rFonts w:cs="Open Sans"/>
          <w:sz w:val="18"/>
          <w:szCs w:val="18"/>
        </w:rPr>
        <w:t xml:space="preserve">, UN Doc CRPD/C/GC/6 (26 April 2018) </w:t>
      </w:r>
      <w:r w:rsidR="00DB4EF1" w:rsidRPr="002D4943">
        <w:rPr>
          <w:rFonts w:cs="Open Sans"/>
          <w:sz w:val="18"/>
          <w:szCs w:val="18"/>
        </w:rPr>
        <w:t>[</w:t>
      </w:r>
      <w:r w:rsidR="00ED548E" w:rsidRPr="002D4943">
        <w:rPr>
          <w:rFonts w:cs="Open Sans"/>
          <w:sz w:val="18"/>
          <w:szCs w:val="18"/>
        </w:rPr>
        <w:t>18(c)</w:t>
      </w:r>
      <w:r w:rsidR="00DB4EF1" w:rsidRPr="002D4943">
        <w:rPr>
          <w:rFonts w:cs="Open Sans"/>
          <w:sz w:val="18"/>
          <w:szCs w:val="18"/>
        </w:rPr>
        <w:t>]</w:t>
      </w:r>
      <w:r w:rsidR="00ED548E" w:rsidRPr="002D4943">
        <w:rPr>
          <w:rFonts w:cs="Open Sans"/>
          <w:sz w:val="18"/>
          <w:szCs w:val="18"/>
        </w:rPr>
        <w:t>.</w:t>
      </w:r>
    </w:p>
  </w:endnote>
  <w:endnote w:id="95">
    <w:p w14:paraId="413387C3" w14:textId="368C46EE" w:rsidR="00691A46" w:rsidRPr="00825777" w:rsidRDefault="00691A46" w:rsidP="00691A46">
      <w:pPr>
        <w:pStyle w:val="EndnoteText"/>
        <w:rPr>
          <w:rFonts w:cs="Open Sans"/>
          <w:sz w:val="18"/>
          <w:szCs w:val="18"/>
        </w:rPr>
      </w:pPr>
      <w:r w:rsidRPr="00825777">
        <w:rPr>
          <w:rStyle w:val="EndnoteReference"/>
          <w:rFonts w:cs="Open Sans"/>
          <w:sz w:val="18"/>
          <w:szCs w:val="18"/>
        </w:rPr>
        <w:endnoteRef/>
      </w:r>
      <w:r w:rsidRPr="00825777">
        <w:rPr>
          <w:rFonts w:cs="Open Sans"/>
          <w:sz w:val="18"/>
          <w:szCs w:val="18"/>
        </w:rPr>
        <w:t xml:space="preserve"> </w:t>
      </w:r>
      <w:r w:rsidR="004541DB" w:rsidRPr="00825777">
        <w:rPr>
          <w:rFonts w:cs="Open Sans"/>
          <w:i/>
          <w:sz w:val="18"/>
          <w:szCs w:val="18"/>
        </w:rPr>
        <w:t xml:space="preserve">Royal Commission into Violence, Abuse, Neglect and Exploitation of People with Disability, </w:t>
      </w:r>
      <w:r w:rsidR="004541DB" w:rsidRPr="00825777">
        <w:rPr>
          <w:rFonts w:cs="Open Sans"/>
          <w:sz w:val="18"/>
          <w:szCs w:val="18"/>
        </w:rPr>
        <w:t>(Final Report, 29 September 2023) vol 4, Recommendation 4.26.</w:t>
      </w:r>
    </w:p>
  </w:endnote>
  <w:endnote w:id="96">
    <w:p w14:paraId="70EC1642" w14:textId="3E89E184" w:rsidR="00691A46" w:rsidRPr="002D4943" w:rsidRDefault="00691A46" w:rsidP="00691A46">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Discrimination Act 1991 </w:t>
      </w:r>
      <w:r w:rsidRPr="002D4943">
        <w:rPr>
          <w:rFonts w:cs="Open Sans"/>
          <w:sz w:val="18"/>
          <w:szCs w:val="18"/>
        </w:rPr>
        <w:t>(ACT) s 74</w:t>
      </w:r>
      <w:r w:rsidR="00DB4EF1" w:rsidRPr="002D4943">
        <w:rPr>
          <w:rFonts w:cs="Open Sans"/>
          <w:sz w:val="18"/>
          <w:szCs w:val="18"/>
        </w:rPr>
        <w:t>,</w:t>
      </w:r>
      <w:r w:rsidRPr="002D4943">
        <w:rPr>
          <w:rFonts w:cs="Open Sans"/>
          <w:sz w:val="18"/>
          <w:szCs w:val="18"/>
        </w:rPr>
        <w:t xml:space="preserve"> </w:t>
      </w:r>
      <w:r w:rsidRPr="002D4943">
        <w:rPr>
          <w:rFonts w:cs="Open Sans"/>
          <w:i/>
          <w:sz w:val="18"/>
          <w:szCs w:val="18"/>
        </w:rPr>
        <w:t xml:space="preserve">Equal Opportunity Act 2010 </w:t>
      </w:r>
      <w:r w:rsidRPr="002D4943">
        <w:rPr>
          <w:rFonts w:cs="Open Sans"/>
          <w:sz w:val="18"/>
          <w:szCs w:val="18"/>
        </w:rPr>
        <w:t>(Vic) ss 20,22A,33,40,</w:t>
      </w:r>
      <w:r w:rsidR="000E099A" w:rsidRPr="002D4943">
        <w:rPr>
          <w:rFonts w:cs="Open Sans"/>
          <w:sz w:val="18"/>
          <w:szCs w:val="18"/>
        </w:rPr>
        <w:t xml:space="preserve"> </w:t>
      </w:r>
      <w:r w:rsidRPr="002D4943">
        <w:rPr>
          <w:rFonts w:cs="Open Sans"/>
          <w:sz w:val="18"/>
          <w:szCs w:val="18"/>
        </w:rPr>
        <w:t>45</w:t>
      </w:r>
      <w:r w:rsidRPr="002D4943" w:rsidDel="00842BC3">
        <w:rPr>
          <w:rFonts w:cs="Open Sans"/>
          <w:sz w:val="18"/>
          <w:szCs w:val="18"/>
        </w:rPr>
        <w:t>.</w:t>
      </w:r>
    </w:p>
  </w:endnote>
  <w:endnote w:id="97">
    <w:p w14:paraId="2C1EDAB0" w14:textId="1BC081A8"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Dominique Allen, An Evaluation of the Mechanisms designed to promote substantive equality in the Equal Opportunity Act 2010 (Vic) (2020) 44(2) </w:t>
      </w:r>
      <w:r w:rsidRPr="002D4943">
        <w:rPr>
          <w:rFonts w:cs="Open Sans"/>
          <w:i/>
          <w:sz w:val="18"/>
          <w:szCs w:val="18"/>
        </w:rPr>
        <w:t xml:space="preserve">Melbourne University Law Review </w:t>
      </w:r>
      <w:r w:rsidRPr="002D4943">
        <w:rPr>
          <w:rFonts w:cs="Open Sans"/>
          <w:sz w:val="18"/>
          <w:szCs w:val="18"/>
        </w:rPr>
        <w:t>459, 488</w:t>
      </w:r>
      <w:r w:rsidR="005B19E2" w:rsidRPr="002D4943">
        <w:rPr>
          <w:rFonts w:cs="Open Sans"/>
          <w:sz w:val="18"/>
          <w:szCs w:val="18"/>
        </w:rPr>
        <w:t>,</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292.</w:t>
      </w:r>
    </w:p>
  </w:endnote>
  <w:endnote w:id="98">
    <w:p w14:paraId="36B85D64" w14:textId="6BDFE968"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Disability Discrimination Legal Service, Submission 73, </w:t>
      </w:r>
      <w:r w:rsidRPr="002D4943">
        <w:rPr>
          <w:rFonts w:cs="Open Sans"/>
          <w:i/>
          <w:sz w:val="18"/>
          <w:szCs w:val="18"/>
        </w:rPr>
        <w:t>Free &amp; Equal Inquiry</w:t>
      </w:r>
      <w:r w:rsidRPr="002D4943">
        <w:rPr>
          <w:rFonts w:cs="Open Sans"/>
          <w:sz w:val="18"/>
          <w:szCs w:val="18"/>
        </w:rPr>
        <w:t>, 17</w:t>
      </w:r>
      <w:r w:rsidR="007A3A5F" w:rsidRPr="002D4943">
        <w:rPr>
          <w:rFonts w:cs="Open Sans"/>
          <w:sz w:val="18"/>
          <w:szCs w:val="18"/>
        </w:rPr>
        <w:t>,</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290</w:t>
      </w:r>
      <w:r w:rsidRPr="002D4943">
        <w:rPr>
          <w:rFonts w:cs="Open Sans"/>
          <w:i/>
          <w:sz w:val="18"/>
          <w:szCs w:val="18"/>
        </w:rPr>
        <w:t>.</w:t>
      </w:r>
    </w:p>
  </w:endnote>
  <w:endnote w:id="99">
    <w:p w14:paraId="59E39BCB" w14:textId="043E4E25"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Alice Taylor, ‘The Conflicting Purposes of Australian Anti-Discrimination Law” (2019) 42(1) </w:t>
      </w:r>
      <w:r w:rsidRPr="002D4943">
        <w:rPr>
          <w:rFonts w:cs="Open Sans"/>
          <w:i/>
          <w:sz w:val="18"/>
          <w:szCs w:val="18"/>
        </w:rPr>
        <w:t xml:space="preserve">University of New South Wales Law Journal </w:t>
      </w:r>
      <w:r w:rsidRPr="002D4943">
        <w:rPr>
          <w:rFonts w:cs="Open Sans"/>
          <w:sz w:val="18"/>
          <w:szCs w:val="18"/>
        </w:rPr>
        <w:t>188, 202</w:t>
      </w:r>
      <w:r w:rsidR="00C80478" w:rsidRPr="002D4943">
        <w:rPr>
          <w:rFonts w:cs="Open Sans"/>
          <w:sz w:val="18"/>
          <w:szCs w:val="18"/>
        </w:rPr>
        <w:t>,</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290</w:t>
      </w:r>
      <w:r w:rsidRPr="002D4943">
        <w:rPr>
          <w:rFonts w:cs="Open Sans"/>
          <w:i/>
          <w:sz w:val="18"/>
          <w:szCs w:val="18"/>
        </w:rPr>
        <w:t>.</w:t>
      </w:r>
    </w:p>
  </w:endnote>
  <w:endnote w:id="100">
    <w:p w14:paraId="0BDCAC1E" w14:textId="3C3F6B0C"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DC43A2" w:rsidRPr="002D4943">
        <w:rPr>
          <w:rFonts w:cs="Open Sans"/>
          <w:sz w:val="18"/>
          <w:szCs w:val="18"/>
        </w:rPr>
        <w:t>Free &amp; Equal 2021 Position Paper</w:t>
      </w:r>
      <w:r w:rsidR="00DC43A2" w:rsidRPr="002D4943">
        <w:rPr>
          <w:rFonts w:cs="Open Sans"/>
          <w:i/>
          <w:sz w:val="18"/>
          <w:szCs w:val="18"/>
        </w:rPr>
        <w:t xml:space="preserve"> </w:t>
      </w:r>
      <w:r w:rsidRPr="002D4943">
        <w:rPr>
          <w:rFonts w:cs="Open Sans"/>
          <w:sz w:val="18"/>
          <w:szCs w:val="18"/>
        </w:rPr>
        <w:t xml:space="preserve">290. </w:t>
      </w:r>
    </w:p>
  </w:endnote>
  <w:endnote w:id="101">
    <w:p w14:paraId="2BC3A78F"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w:t>
      </w:r>
      <w:r w:rsidRPr="002D4943">
        <w:rPr>
          <w:rFonts w:cs="Open Sans"/>
          <w:i/>
          <w:sz w:val="18"/>
          <w:szCs w:val="18"/>
        </w:rPr>
        <w:t>EIX20 v State of Western Australia (No 2)</w:t>
      </w:r>
      <w:r w:rsidRPr="002D4943">
        <w:rPr>
          <w:rFonts w:cs="Open Sans"/>
          <w:sz w:val="18"/>
          <w:szCs w:val="18"/>
        </w:rPr>
        <w:t xml:space="preserve"> [2025] FCA 28 at [77]- [78], </w:t>
      </w:r>
      <w:r w:rsidRPr="002D4943">
        <w:rPr>
          <w:rFonts w:cs="Open Sans"/>
          <w:i/>
          <w:sz w:val="18"/>
          <w:szCs w:val="18"/>
        </w:rPr>
        <w:t>Ponraj v Wycombe Services Pty Ltd</w:t>
      </w:r>
      <w:r w:rsidRPr="002D4943">
        <w:rPr>
          <w:rFonts w:cs="Open Sans"/>
          <w:sz w:val="18"/>
          <w:szCs w:val="18"/>
        </w:rPr>
        <w:t xml:space="preserve"> [2023] FCA 118 at [116], </w:t>
      </w:r>
      <w:r w:rsidRPr="002D4943">
        <w:rPr>
          <w:rFonts w:cs="Open Sans"/>
          <w:i/>
          <w:sz w:val="18"/>
          <w:szCs w:val="18"/>
        </w:rPr>
        <w:t>Varasdi v State of Victoria</w:t>
      </w:r>
      <w:r w:rsidRPr="002D4943">
        <w:rPr>
          <w:rFonts w:cs="Open Sans"/>
          <w:sz w:val="18"/>
          <w:szCs w:val="18"/>
        </w:rPr>
        <w:t xml:space="preserve"> [2018] FCA 1655 at [32]-[33], </w:t>
      </w:r>
      <w:r w:rsidRPr="002D4943">
        <w:rPr>
          <w:rFonts w:cs="Open Sans"/>
          <w:i/>
          <w:sz w:val="18"/>
          <w:szCs w:val="18"/>
        </w:rPr>
        <w:t>Tropoulos v Journey Lawyers Pty Ltd</w:t>
      </w:r>
      <w:r w:rsidRPr="002D4943">
        <w:rPr>
          <w:rFonts w:cs="Open Sans"/>
          <w:sz w:val="18"/>
          <w:szCs w:val="18"/>
        </w:rPr>
        <w:t xml:space="preserve"> [2019] FCA 436 at [282].</w:t>
      </w:r>
    </w:p>
  </w:endnote>
  <w:endnote w:id="102">
    <w:p w14:paraId="70CDB232"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United Nations Committee on the Rights of Persons with Disabilities, </w:t>
      </w:r>
      <w:r w:rsidRPr="002D4943">
        <w:rPr>
          <w:rFonts w:cs="Open Sans"/>
          <w:i/>
          <w:sz w:val="18"/>
          <w:szCs w:val="18"/>
        </w:rPr>
        <w:t>General Comment 6 on equality and non-discrimination</w:t>
      </w:r>
      <w:r w:rsidRPr="002D4943">
        <w:rPr>
          <w:rFonts w:cs="Open Sans"/>
          <w:sz w:val="18"/>
          <w:szCs w:val="18"/>
        </w:rPr>
        <w:t>, UN Doc CRPD/C/GC/6 (26 April 2018) 7.</w:t>
      </w:r>
    </w:p>
  </w:endnote>
  <w:endnote w:id="103">
    <w:p w14:paraId="1E3A2107" w14:textId="714330FE" w:rsidR="00691A46" w:rsidRPr="00825777" w:rsidRDefault="00691A46" w:rsidP="00691A46">
      <w:pPr>
        <w:pStyle w:val="EndnoteText"/>
        <w:rPr>
          <w:rFonts w:cs="Open Sans"/>
        </w:rPr>
      </w:pPr>
      <w:r w:rsidRPr="002D4943">
        <w:rPr>
          <w:rStyle w:val="EndnoteReference"/>
          <w:rFonts w:cs="Open Sans"/>
          <w:sz w:val="20"/>
        </w:rPr>
        <w:endnoteRef/>
      </w:r>
      <w:r w:rsidRPr="00825777">
        <w:rPr>
          <w:rFonts w:cs="Open Sans"/>
        </w:rPr>
        <w:t xml:space="preserve"> </w:t>
      </w:r>
      <w:r w:rsidR="00572AD9" w:rsidRPr="002D4943">
        <w:rPr>
          <w:rFonts w:cs="Open Sans"/>
          <w:i/>
          <w:sz w:val="18"/>
          <w:szCs w:val="18"/>
        </w:rPr>
        <w:t>Disability Discrimination Act 1992</w:t>
      </w:r>
      <w:r w:rsidR="00572AD9" w:rsidRPr="002D4943">
        <w:rPr>
          <w:rFonts w:cs="Open Sans"/>
          <w:sz w:val="18"/>
          <w:szCs w:val="18"/>
        </w:rPr>
        <w:t xml:space="preserve"> (Cth), </w:t>
      </w:r>
      <w:r w:rsidRPr="00825777">
        <w:rPr>
          <w:rFonts w:cs="Open Sans"/>
          <w:sz w:val="18"/>
          <w:szCs w:val="18"/>
        </w:rPr>
        <w:t>s</w:t>
      </w:r>
      <w:r w:rsidR="00572AD9" w:rsidRPr="00825777">
        <w:rPr>
          <w:rFonts w:cs="Open Sans"/>
          <w:sz w:val="18"/>
          <w:szCs w:val="18"/>
        </w:rPr>
        <w:t xml:space="preserve"> </w:t>
      </w:r>
      <w:r w:rsidRPr="00825777">
        <w:rPr>
          <w:rFonts w:cs="Open Sans"/>
          <w:sz w:val="18"/>
          <w:szCs w:val="18"/>
        </w:rPr>
        <w:t>4.</w:t>
      </w:r>
    </w:p>
  </w:endnote>
  <w:endnote w:id="104">
    <w:p w14:paraId="59EC5F15" w14:textId="0755E203" w:rsidR="005D31AF" w:rsidRPr="005D31AF" w:rsidRDefault="005D31AF">
      <w:pPr>
        <w:pStyle w:val="EndnoteText"/>
        <w:rPr>
          <w:lang w:val="en-US"/>
        </w:rPr>
      </w:pPr>
      <w:r>
        <w:rPr>
          <w:rStyle w:val="EndnoteReference"/>
        </w:rPr>
        <w:endnoteRef/>
      </w:r>
      <w:r>
        <w:t xml:space="preserve"> </w:t>
      </w:r>
      <w:r w:rsidRPr="002D4943">
        <w:rPr>
          <w:rFonts w:cs="Open Sans"/>
          <w:iCs/>
          <w:sz w:val="18"/>
          <w:szCs w:val="18"/>
        </w:rPr>
        <w:t>Disability Royal Commission Final Report</w:t>
      </w:r>
      <w:r w:rsidRPr="002D4943">
        <w:rPr>
          <w:rFonts w:cs="Open Sans"/>
          <w:sz w:val="18"/>
          <w:szCs w:val="18"/>
        </w:rPr>
        <w:t xml:space="preserve"> Vol 4, 307.</w:t>
      </w:r>
    </w:p>
  </w:endnote>
  <w:endnote w:id="105">
    <w:p w14:paraId="158A90F3" w14:textId="15F66430" w:rsidR="0009798C" w:rsidRPr="00825777" w:rsidRDefault="0009798C">
      <w:pPr>
        <w:pStyle w:val="EndnoteText"/>
        <w:rPr>
          <w:rFonts w:cs="Open Sans"/>
          <w:sz w:val="18"/>
          <w:szCs w:val="18"/>
        </w:rPr>
      </w:pPr>
      <w:r w:rsidRPr="00825777">
        <w:rPr>
          <w:rStyle w:val="EndnoteReference"/>
          <w:rFonts w:cs="Open Sans"/>
          <w:sz w:val="18"/>
          <w:szCs w:val="18"/>
        </w:rPr>
        <w:endnoteRef/>
      </w:r>
      <w:r w:rsidRPr="00825777">
        <w:rPr>
          <w:rFonts w:cs="Open Sans"/>
          <w:sz w:val="18"/>
          <w:szCs w:val="18"/>
        </w:rPr>
        <w:t xml:space="preserve"> </w:t>
      </w:r>
      <w:r w:rsidR="00C75881" w:rsidRPr="002D4943">
        <w:rPr>
          <w:rFonts w:cs="Open Sans"/>
          <w:sz w:val="18"/>
          <w:szCs w:val="18"/>
        </w:rPr>
        <w:t>CRPD art</w:t>
      </w:r>
      <w:r w:rsidRPr="002D4943">
        <w:rPr>
          <w:rFonts w:cs="Open Sans"/>
          <w:sz w:val="18"/>
          <w:szCs w:val="18"/>
        </w:rPr>
        <w:t xml:space="preserve"> 16(1)</w:t>
      </w:r>
      <w:r w:rsidR="00C75881" w:rsidRPr="00825777">
        <w:rPr>
          <w:rFonts w:cs="Open Sans"/>
          <w:sz w:val="18"/>
          <w:szCs w:val="18"/>
        </w:rPr>
        <w:t>.</w:t>
      </w:r>
    </w:p>
  </w:endnote>
  <w:endnote w:id="106">
    <w:p w14:paraId="36B53B80" w14:textId="5ACF8205" w:rsidR="00745734" w:rsidRPr="00825777" w:rsidRDefault="00745734">
      <w:pPr>
        <w:pStyle w:val="EndnoteText"/>
        <w:rPr>
          <w:rFonts w:cs="Open Sans"/>
          <w:lang w:val="en-US"/>
        </w:rPr>
      </w:pPr>
      <w:r w:rsidRPr="002D4943">
        <w:rPr>
          <w:rStyle w:val="EndnoteReference"/>
          <w:rFonts w:cs="Open Sans"/>
          <w:sz w:val="20"/>
        </w:rPr>
        <w:endnoteRef/>
      </w:r>
      <w:r w:rsidRPr="002D4943">
        <w:rPr>
          <w:rFonts w:cs="Open Sans"/>
          <w:sz w:val="20"/>
        </w:rPr>
        <w:t xml:space="preserve"> </w:t>
      </w:r>
      <w:r w:rsidR="00572AD9" w:rsidRPr="00825777">
        <w:rPr>
          <w:rFonts w:cs="Open Sans"/>
          <w:i/>
          <w:sz w:val="18"/>
          <w:szCs w:val="18"/>
        </w:rPr>
        <w:t xml:space="preserve">Report of the Working Group to the Ad Hoc Committee on a Comprehensive and Integral International Convention on the Protection and Promotion of the Rights and Dignity of Persons with Disabilities, </w:t>
      </w:r>
      <w:r w:rsidR="00572AD9" w:rsidRPr="00825777">
        <w:rPr>
          <w:rFonts w:cs="Open Sans"/>
          <w:sz w:val="18"/>
          <w:szCs w:val="18"/>
        </w:rPr>
        <w:t xml:space="preserve">UN Enable, Annex I: Draft Convention, Draft art 12 </w:t>
      </w:r>
      <w:r w:rsidR="000F0B09" w:rsidRPr="00825777">
        <w:rPr>
          <w:rFonts w:cs="Open Sans"/>
          <w:sz w:val="18"/>
          <w:szCs w:val="18"/>
        </w:rPr>
        <w:t>&lt;</w:t>
      </w:r>
      <w:hyperlink r:id="rId5" w:history="1">
        <w:r w:rsidR="000F0B09" w:rsidRPr="00825777">
          <w:rPr>
            <w:rStyle w:val="Hyperlink"/>
            <w:rFonts w:cs="Open Sans"/>
            <w:sz w:val="18"/>
            <w:szCs w:val="18"/>
          </w:rPr>
          <w:t>https://www.un.org/esa/socdev/enable/rights/ahcwgreporta12.htm</w:t>
        </w:r>
      </w:hyperlink>
      <w:r w:rsidR="00572AD9" w:rsidRPr="00825777">
        <w:rPr>
          <w:rFonts w:cs="Open Sans"/>
          <w:sz w:val="18"/>
          <w:szCs w:val="18"/>
        </w:rPr>
        <w:t>&gt;</w:t>
      </w:r>
    </w:p>
  </w:endnote>
  <w:endnote w:id="107">
    <w:p w14:paraId="7F1B9AF4" w14:textId="1B02CF90" w:rsidR="007E335C" w:rsidRPr="00825777" w:rsidRDefault="007E335C">
      <w:pPr>
        <w:pStyle w:val="EndnoteText"/>
        <w:rPr>
          <w:rFonts w:cs="Open Sans"/>
        </w:rPr>
      </w:pPr>
      <w:r w:rsidRPr="00825777">
        <w:rPr>
          <w:rStyle w:val="EndnoteReference"/>
          <w:rFonts w:cs="Open Sans"/>
          <w:sz w:val="18"/>
          <w:szCs w:val="18"/>
        </w:rPr>
        <w:endnoteRef/>
      </w:r>
      <w:r w:rsidRPr="00825777">
        <w:rPr>
          <w:rFonts w:cs="Open Sans"/>
          <w:sz w:val="18"/>
          <w:szCs w:val="18"/>
        </w:rPr>
        <w:t xml:space="preserve"> </w:t>
      </w:r>
      <w:r w:rsidR="00C75881" w:rsidRPr="002D4943">
        <w:rPr>
          <w:rFonts w:cs="Open Sans"/>
          <w:sz w:val="18"/>
          <w:szCs w:val="18"/>
        </w:rPr>
        <w:t>CRPD art</w:t>
      </w:r>
      <w:r w:rsidRPr="002D4943">
        <w:rPr>
          <w:rFonts w:cs="Open Sans"/>
          <w:sz w:val="18"/>
          <w:szCs w:val="18"/>
        </w:rPr>
        <w:t xml:space="preserve"> 8(1)(b)</w:t>
      </w:r>
      <w:r w:rsidR="00C75881" w:rsidRPr="00825777">
        <w:rPr>
          <w:rFonts w:cs="Open Sans"/>
          <w:sz w:val="18"/>
          <w:szCs w:val="18"/>
        </w:rPr>
        <w:t>.</w:t>
      </w:r>
    </w:p>
  </w:endnote>
  <w:endnote w:id="108">
    <w:p w14:paraId="6ECD5489" w14:textId="21190573"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3542A" w:rsidRPr="002D4943">
        <w:rPr>
          <w:rFonts w:cs="Open Sans"/>
          <w:sz w:val="18"/>
          <w:szCs w:val="18"/>
        </w:rPr>
        <w:t xml:space="preserve">United Nations Committee on the Rights of Persons with Disabilities, </w:t>
      </w:r>
      <w:r w:rsidR="00C3542A" w:rsidRPr="002D4943">
        <w:rPr>
          <w:rFonts w:cs="Open Sans"/>
          <w:i/>
          <w:sz w:val="18"/>
          <w:szCs w:val="18"/>
        </w:rPr>
        <w:t>General Comment 6 on equality and non-discrimination</w:t>
      </w:r>
      <w:r w:rsidR="00C3542A" w:rsidRPr="002D4943">
        <w:rPr>
          <w:rFonts w:cs="Open Sans"/>
          <w:sz w:val="18"/>
          <w:szCs w:val="18"/>
        </w:rPr>
        <w:t>, UN Doc CRPD/C/GC/6 (26 April 2018) 18.</w:t>
      </w:r>
    </w:p>
  </w:endnote>
  <w:endnote w:id="109">
    <w:p w14:paraId="5630F74A" w14:textId="454C848C"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 1992</w:t>
      </w:r>
      <w:r w:rsidRPr="002D4943">
        <w:rPr>
          <w:rFonts w:cs="Open Sans"/>
          <w:sz w:val="18"/>
          <w:szCs w:val="18"/>
        </w:rPr>
        <w:t xml:space="preserve"> (Cth), s 7 and 8 extend the operation of the </w:t>
      </w:r>
      <w:r w:rsidR="00230970" w:rsidRPr="002D4943">
        <w:rPr>
          <w:rFonts w:cs="Open Sans"/>
          <w:sz w:val="18"/>
          <w:szCs w:val="18"/>
        </w:rPr>
        <w:t>Act</w:t>
      </w:r>
      <w:r w:rsidRPr="002D4943">
        <w:rPr>
          <w:rFonts w:cs="Open Sans"/>
          <w:sz w:val="18"/>
          <w:szCs w:val="18"/>
        </w:rPr>
        <w:t xml:space="preserve"> to associates, carers, assistants, assistance animals and disability aids.</w:t>
      </w:r>
    </w:p>
  </w:endnote>
  <w:endnote w:id="110">
    <w:p w14:paraId="2F8BC4E6"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 1992</w:t>
      </w:r>
      <w:r w:rsidRPr="002D4943">
        <w:rPr>
          <w:rFonts w:cs="Open Sans"/>
          <w:sz w:val="18"/>
          <w:szCs w:val="18"/>
        </w:rPr>
        <w:t xml:space="preserve"> (Cth), s 35.</w:t>
      </w:r>
    </w:p>
  </w:endnote>
  <w:endnote w:id="111">
    <w:p w14:paraId="200D7E6D"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 1992</w:t>
      </w:r>
      <w:r w:rsidRPr="002D4943">
        <w:rPr>
          <w:rFonts w:cs="Open Sans"/>
          <w:sz w:val="18"/>
          <w:szCs w:val="18"/>
        </w:rPr>
        <w:t xml:space="preserve"> (Cth), s 37.</w:t>
      </w:r>
    </w:p>
  </w:endnote>
  <w:endnote w:id="112">
    <w:p w14:paraId="40B7F164"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 1992</w:t>
      </w:r>
      <w:r w:rsidRPr="002D4943">
        <w:rPr>
          <w:rFonts w:cs="Open Sans"/>
          <w:sz w:val="18"/>
          <w:szCs w:val="18"/>
        </w:rPr>
        <w:t xml:space="preserve"> (Cth), s 39.</w:t>
      </w:r>
    </w:p>
  </w:endnote>
  <w:endnote w:id="113">
    <w:p w14:paraId="6BB46257" w14:textId="7559DBAB" w:rsidR="008E13B9" w:rsidRPr="002D4943" w:rsidRDefault="008E13B9" w:rsidP="005A2EF5">
      <w:pPr>
        <w:pStyle w:val="EndnoteText"/>
        <w:ind w:left="0" w:firstLine="0"/>
        <w:rPr>
          <w:rFonts w:cs="Open Sans"/>
          <w:sz w:val="18"/>
          <w:szCs w:val="18"/>
        </w:rPr>
      </w:pPr>
      <w:r w:rsidRPr="002D4943">
        <w:rPr>
          <w:rStyle w:val="EndnoteReference"/>
          <w:rFonts w:cs="Open Sans"/>
          <w:sz w:val="18"/>
          <w:szCs w:val="18"/>
        </w:rPr>
        <w:endnoteRef/>
      </w:r>
      <w:r w:rsidR="00205CB1" w:rsidRPr="002D4943">
        <w:rPr>
          <w:rFonts w:cs="Open Sans"/>
          <w:sz w:val="18"/>
          <w:szCs w:val="18"/>
        </w:rPr>
        <w:t xml:space="preserve"> </w:t>
      </w:r>
      <w:r w:rsidR="004E4C56" w:rsidRPr="002D4943">
        <w:rPr>
          <w:rFonts w:cs="Open Sans"/>
          <w:iCs/>
          <w:sz w:val="18"/>
          <w:szCs w:val="18"/>
        </w:rPr>
        <w:t>Disability Royal Commission Final Report</w:t>
      </w:r>
      <w:r w:rsidR="004E4C56" w:rsidRPr="002D4943">
        <w:rPr>
          <w:rFonts w:cs="Open Sans"/>
          <w:sz w:val="18"/>
          <w:szCs w:val="18"/>
        </w:rPr>
        <w:t xml:space="preserve"> </w:t>
      </w:r>
      <w:r w:rsidR="00205CB1" w:rsidRPr="002D4943">
        <w:rPr>
          <w:rFonts w:cs="Open Sans"/>
          <w:sz w:val="18"/>
          <w:szCs w:val="18"/>
        </w:rPr>
        <w:t>Vol 4, 319.</w:t>
      </w:r>
      <w:r w:rsidRPr="002D4943">
        <w:rPr>
          <w:rFonts w:cs="Open Sans"/>
          <w:sz w:val="18"/>
          <w:szCs w:val="18"/>
        </w:rPr>
        <w:t xml:space="preserve"> </w:t>
      </w:r>
    </w:p>
  </w:endnote>
  <w:endnote w:id="114">
    <w:p w14:paraId="022D9BB8"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Berry v State of South Australia </w:t>
      </w:r>
      <w:r w:rsidRPr="002D4943">
        <w:rPr>
          <w:rFonts w:cs="Open Sans"/>
          <w:sz w:val="18"/>
          <w:szCs w:val="18"/>
        </w:rPr>
        <w:t>[2017] FCA 702, [11].</w:t>
      </w:r>
    </w:p>
  </w:endnote>
  <w:endnote w:id="115">
    <w:p w14:paraId="2ABB9BEA" w14:textId="77777777" w:rsidR="008E13B9" w:rsidRPr="002D4943" w:rsidRDefault="008E13B9" w:rsidP="00A2165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Orlowski v Sunrise Co-operative Housing Inc </w:t>
      </w:r>
      <w:r w:rsidRPr="002D4943">
        <w:rPr>
          <w:rFonts w:cs="Open Sans"/>
          <w:sz w:val="18"/>
          <w:szCs w:val="18"/>
        </w:rPr>
        <w:t>[2009] FMCA 31 [21].</w:t>
      </w:r>
    </w:p>
  </w:endnote>
  <w:endnote w:id="116">
    <w:p w14:paraId="468AEDE0" w14:textId="77777777" w:rsidR="008D3649" w:rsidRPr="002D4943" w:rsidRDefault="008D3649" w:rsidP="008D364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color w:val="000000"/>
          <w:sz w:val="18"/>
          <w:szCs w:val="18"/>
        </w:rPr>
        <w:t xml:space="preserve">Sex Discrimination Act 1984 </w:t>
      </w:r>
      <w:r w:rsidRPr="002D4943">
        <w:rPr>
          <w:rFonts w:cs="Open Sans"/>
          <w:color w:val="000000"/>
          <w:sz w:val="18"/>
          <w:szCs w:val="18"/>
        </w:rPr>
        <w:t>(Cth) ss 28A and 28M.</w:t>
      </w:r>
    </w:p>
  </w:endnote>
  <w:endnote w:id="117">
    <w:p w14:paraId="2D3A98E3" w14:textId="6047BCFC" w:rsidR="00A6689D" w:rsidRPr="002D4943" w:rsidRDefault="00A6689D">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52477" w:rsidRPr="002D4943">
        <w:rPr>
          <w:rFonts w:cs="Open Sans"/>
          <w:i/>
          <w:color w:val="000000"/>
          <w:sz w:val="18"/>
          <w:szCs w:val="18"/>
        </w:rPr>
        <w:t xml:space="preserve">Sex Discrimination Act 1984 </w:t>
      </w:r>
      <w:r w:rsidR="00B52477" w:rsidRPr="002D4943">
        <w:rPr>
          <w:rFonts w:cs="Open Sans"/>
          <w:color w:val="000000"/>
          <w:sz w:val="18"/>
          <w:szCs w:val="18"/>
        </w:rPr>
        <w:t xml:space="preserve">(Cth) ss 28A and 28M; Racial Discrimination Act 1975 (Cth) s 18C; </w:t>
      </w:r>
      <w:r w:rsidR="00B52477" w:rsidRPr="002D4943">
        <w:rPr>
          <w:rFonts w:cs="Open Sans"/>
          <w:i/>
          <w:color w:val="000000"/>
          <w:sz w:val="18"/>
          <w:szCs w:val="18"/>
        </w:rPr>
        <w:t xml:space="preserve">Disability Standards for Education 2005 </w:t>
      </w:r>
      <w:r w:rsidR="00B52477" w:rsidRPr="002D4943">
        <w:rPr>
          <w:rFonts w:cs="Open Sans"/>
          <w:color w:val="000000"/>
          <w:sz w:val="18"/>
          <w:szCs w:val="18"/>
        </w:rPr>
        <w:t>(Cth) s 8.1.</w:t>
      </w:r>
    </w:p>
  </w:endnote>
  <w:endnote w:id="118">
    <w:p w14:paraId="5485F5C9" w14:textId="463E0BE9" w:rsidR="008E13B9" w:rsidRPr="002D4943" w:rsidRDefault="008E13B9" w:rsidP="002D4943">
      <w:pPr>
        <w:pStyle w:val="EndnoteText"/>
        <w:rPr>
          <w:rFonts w:cs="Open Sans"/>
          <w:i/>
          <w:color w:val="000000"/>
          <w:sz w:val="18"/>
          <w:szCs w:val="18"/>
        </w:rPr>
      </w:pPr>
      <w:r w:rsidRPr="002D4943">
        <w:rPr>
          <w:rStyle w:val="EndnoteReference"/>
          <w:rFonts w:cs="Open Sans"/>
          <w:sz w:val="18"/>
          <w:szCs w:val="18"/>
        </w:rPr>
        <w:endnoteRef/>
      </w:r>
      <w:r w:rsidRPr="002D4943">
        <w:rPr>
          <w:rFonts w:cs="Open Sans"/>
          <w:sz w:val="18"/>
          <w:szCs w:val="18"/>
        </w:rPr>
        <w:t xml:space="preserve"> </w:t>
      </w:r>
      <w:r w:rsidR="004E4C56" w:rsidRPr="002D4943">
        <w:rPr>
          <w:rFonts w:cs="Open Sans"/>
          <w:iCs/>
          <w:sz w:val="18"/>
          <w:szCs w:val="18"/>
        </w:rPr>
        <w:t>Disability Royal Commission Final Report</w:t>
      </w:r>
      <w:r w:rsidR="004E4C56" w:rsidRPr="002D4943">
        <w:rPr>
          <w:rFonts w:cs="Open Sans"/>
          <w:sz w:val="18"/>
          <w:szCs w:val="18"/>
        </w:rPr>
        <w:t xml:space="preserve"> </w:t>
      </w:r>
      <w:r w:rsidR="00205CB1" w:rsidRPr="002D4943">
        <w:rPr>
          <w:rFonts w:cs="Open Sans"/>
          <w:color w:val="000000"/>
          <w:sz w:val="18"/>
          <w:szCs w:val="18"/>
        </w:rPr>
        <w:t>Vol 4, 324,</w:t>
      </w:r>
      <w:r w:rsidRPr="002D4943">
        <w:rPr>
          <w:rFonts w:cs="Open Sans"/>
          <w:color w:val="000000"/>
          <w:sz w:val="18"/>
          <w:szCs w:val="18"/>
        </w:rPr>
        <w:t xml:space="preserve"> Recommendation 4.29</w:t>
      </w:r>
      <w:r w:rsidRPr="002D4943">
        <w:rPr>
          <w:rFonts w:cs="Open Sans"/>
          <w:i/>
          <w:color w:val="000000"/>
          <w:sz w:val="18"/>
          <w:szCs w:val="18"/>
        </w:rPr>
        <w:t>.</w:t>
      </w:r>
    </w:p>
  </w:endnote>
  <w:endnote w:id="119">
    <w:p w14:paraId="4ABCD1A3" w14:textId="77777777" w:rsidR="008E13B9" w:rsidRPr="002D4943" w:rsidRDefault="008E13B9" w:rsidP="002D4943">
      <w:pPr>
        <w:pStyle w:val="EndnoteText"/>
        <w:rPr>
          <w:i/>
          <w:color w:val="000000"/>
          <w:sz w:val="18"/>
          <w:szCs w:val="18"/>
        </w:rPr>
      </w:pPr>
      <w:r w:rsidRPr="002D4943">
        <w:rPr>
          <w:rStyle w:val="EndnoteReference"/>
          <w:rFonts w:cs="Open Sans"/>
        </w:rPr>
        <w:endnoteRef/>
      </w:r>
      <w:r w:rsidRPr="002D4943">
        <w:rPr>
          <w:rFonts w:cs="Open Sans"/>
          <w:i/>
          <w:color w:val="000000"/>
          <w:sz w:val="18"/>
          <w:szCs w:val="18"/>
        </w:rPr>
        <w:t xml:space="preserve"> Sex Discrimination Act 1984 (Cth) ss 28A and 28M; Racial Discrimination Act 1975 (Cth) s 18C; Disability Standards for Education 2005 (Cth) s 8.1. </w:t>
      </w:r>
    </w:p>
  </w:endnote>
  <w:endnote w:id="120">
    <w:p w14:paraId="48C34058" w14:textId="77777777" w:rsidR="008E13B9" w:rsidRPr="002D4943" w:rsidRDefault="008E13B9" w:rsidP="008E13B9">
      <w:pPr>
        <w:pStyle w:val="EndnoteText"/>
        <w:rPr>
          <w:rFonts w:cs="Open Sans"/>
          <w:sz w:val="18"/>
          <w:szCs w:val="18"/>
        </w:rPr>
      </w:pPr>
      <w:r w:rsidRPr="002D4943">
        <w:rPr>
          <w:rStyle w:val="EndnoteReference"/>
          <w:rFonts w:cs="Open Sans"/>
        </w:rPr>
        <w:endnoteRef/>
      </w:r>
      <w:r w:rsidRPr="002D4943">
        <w:rPr>
          <w:rStyle w:val="EndnoteReference"/>
          <w:rFonts w:cs="Open Sans"/>
        </w:rPr>
        <w:t xml:space="preserve"> </w:t>
      </w:r>
      <w:r w:rsidRPr="002D4943">
        <w:rPr>
          <w:rFonts w:cs="Open Sans"/>
          <w:i/>
          <w:color w:val="000000"/>
          <w:sz w:val="18"/>
          <w:szCs w:val="18"/>
        </w:rPr>
        <w:t>Jones v Scully (2002) 120 FCR 243 at [102]-[109] per</w:t>
      </w:r>
      <w:r w:rsidRPr="002D4943">
        <w:rPr>
          <w:rFonts w:cs="Open Sans"/>
          <w:sz w:val="18"/>
          <w:szCs w:val="18"/>
        </w:rPr>
        <w:t xml:space="preserve"> Hely J; </w:t>
      </w:r>
      <w:r w:rsidRPr="002D4943">
        <w:rPr>
          <w:rFonts w:eastAsia="Times New Roman" w:cs="Open Sans"/>
          <w:i/>
          <w:sz w:val="18"/>
          <w:szCs w:val="18"/>
        </w:rPr>
        <w:t>Clarke v Nationwide News Pty Ltd (t/as Sunday Times)</w:t>
      </w:r>
      <w:r w:rsidRPr="002D4943">
        <w:rPr>
          <w:rFonts w:cs="Open Sans"/>
          <w:sz w:val="18"/>
          <w:szCs w:val="18"/>
        </w:rPr>
        <w:t> (2012) 201 FCR 389 at </w:t>
      </w:r>
      <w:r w:rsidRPr="002D4943">
        <w:rPr>
          <w:rFonts w:eastAsia="Times New Roman" w:cs="Open Sans"/>
          <w:sz w:val="18"/>
          <w:szCs w:val="18"/>
        </w:rPr>
        <w:t>[65]-[71]</w:t>
      </w:r>
      <w:r w:rsidRPr="002D4943">
        <w:rPr>
          <w:rFonts w:cs="Open Sans"/>
          <w:sz w:val="18"/>
          <w:szCs w:val="18"/>
        </w:rPr>
        <w:t> per Barker J.</w:t>
      </w:r>
    </w:p>
  </w:endnote>
  <w:endnote w:id="121">
    <w:p w14:paraId="0588398D"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Times New Roman" w:cs="Open Sans"/>
          <w:i/>
          <w:sz w:val="18"/>
          <w:szCs w:val="18"/>
        </w:rPr>
        <w:t>Jones v Scully</w:t>
      </w:r>
      <w:r w:rsidRPr="002D4943">
        <w:rPr>
          <w:rFonts w:cs="Open Sans"/>
          <w:sz w:val="18"/>
          <w:szCs w:val="18"/>
        </w:rPr>
        <w:t> (2002) 120 FCR 243 at </w:t>
      </w:r>
      <w:r w:rsidRPr="002D4943">
        <w:rPr>
          <w:rFonts w:eastAsia="Times New Roman" w:cs="Open Sans"/>
          <w:sz w:val="18"/>
          <w:szCs w:val="18"/>
        </w:rPr>
        <w:t>[99]</w:t>
      </w:r>
      <w:r w:rsidRPr="002D4943">
        <w:rPr>
          <w:rFonts w:cs="Open Sans"/>
          <w:sz w:val="18"/>
          <w:szCs w:val="18"/>
        </w:rPr>
        <w:t> per Hely J; </w:t>
      </w:r>
      <w:r w:rsidRPr="002D4943">
        <w:rPr>
          <w:rFonts w:eastAsia="Times New Roman" w:cs="Open Sans"/>
          <w:i/>
          <w:sz w:val="18"/>
          <w:szCs w:val="18"/>
        </w:rPr>
        <w:t>Silberberg v Builders Collective of Australia Inc</w:t>
      </w:r>
      <w:r w:rsidRPr="002D4943">
        <w:rPr>
          <w:rFonts w:cs="Open Sans"/>
          <w:sz w:val="18"/>
          <w:szCs w:val="18"/>
        </w:rPr>
        <w:t> (2007) 164 FCR 475 at </w:t>
      </w:r>
      <w:r w:rsidRPr="002D4943">
        <w:rPr>
          <w:rFonts w:eastAsia="Times New Roman" w:cs="Open Sans"/>
          <w:sz w:val="18"/>
          <w:szCs w:val="18"/>
        </w:rPr>
        <w:t>[21]</w:t>
      </w:r>
      <w:r w:rsidRPr="002D4943">
        <w:rPr>
          <w:rFonts w:cs="Open Sans"/>
          <w:sz w:val="18"/>
          <w:szCs w:val="18"/>
        </w:rPr>
        <w:t> per Gyles J.</w:t>
      </w:r>
    </w:p>
  </w:endnote>
  <w:endnote w:id="122">
    <w:p w14:paraId="561497EF"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Times New Roman" w:cs="Open Sans"/>
          <w:i/>
          <w:sz w:val="18"/>
          <w:szCs w:val="18"/>
        </w:rPr>
        <w:t>Eatock v Bolt</w:t>
      </w:r>
      <w:r w:rsidRPr="002D4943">
        <w:rPr>
          <w:rFonts w:cs="Open Sans"/>
          <w:sz w:val="18"/>
          <w:szCs w:val="18"/>
        </w:rPr>
        <w:t> (2011) 197 FCR 261 at </w:t>
      </w:r>
      <w:r w:rsidRPr="002D4943">
        <w:rPr>
          <w:rFonts w:eastAsia="Times New Roman" w:cs="Open Sans"/>
          <w:sz w:val="18"/>
          <w:szCs w:val="18"/>
        </w:rPr>
        <w:t>[253]</w:t>
      </w:r>
      <w:r w:rsidRPr="002D4943">
        <w:rPr>
          <w:rFonts w:cs="Open Sans"/>
          <w:sz w:val="18"/>
          <w:szCs w:val="18"/>
        </w:rPr>
        <w:t> per Bromberg J; </w:t>
      </w:r>
      <w:r w:rsidRPr="002D4943">
        <w:rPr>
          <w:rFonts w:eastAsia="Times New Roman" w:cs="Open Sans"/>
          <w:i/>
          <w:sz w:val="18"/>
          <w:szCs w:val="18"/>
        </w:rPr>
        <w:t>Clarke v Nationwide News Pty Ltd (t/as Sunday Times)</w:t>
      </w:r>
      <w:r w:rsidRPr="002D4943">
        <w:rPr>
          <w:rFonts w:cs="Open Sans"/>
          <w:sz w:val="18"/>
          <w:szCs w:val="18"/>
        </w:rPr>
        <w:t> (2012) 201 FCR 389.</w:t>
      </w:r>
    </w:p>
  </w:endnote>
  <w:endnote w:id="123">
    <w:p w14:paraId="3CFEA062"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Jones v Toben</w:t>
      </w:r>
      <w:r w:rsidRPr="002D4943">
        <w:rPr>
          <w:rFonts w:cs="Open Sans"/>
          <w:sz w:val="18"/>
          <w:szCs w:val="18"/>
        </w:rPr>
        <w:t xml:space="preserve"> [2002] FCA 1150 at [73]-[75] per Branson J; </w:t>
      </w:r>
      <w:r w:rsidRPr="002D4943">
        <w:rPr>
          <w:rFonts w:eastAsia="Times New Roman" w:cs="Open Sans"/>
          <w:i/>
          <w:sz w:val="18"/>
          <w:szCs w:val="18"/>
        </w:rPr>
        <w:t>Silberberg v Builders Collective of Australia Inc</w:t>
      </w:r>
      <w:r w:rsidRPr="002D4943">
        <w:rPr>
          <w:rFonts w:cs="Open Sans"/>
          <w:sz w:val="18"/>
          <w:szCs w:val="18"/>
        </w:rPr>
        <w:t xml:space="preserve"> (2007) 164 FCR 475; </w:t>
      </w:r>
      <w:r w:rsidRPr="002D4943">
        <w:rPr>
          <w:rFonts w:cs="Open Sans"/>
          <w:i/>
          <w:sz w:val="18"/>
          <w:szCs w:val="18"/>
        </w:rPr>
        <w:t>Clarke v Nationwide News Pty Ltd trading as Sunday Times</w:t>
      </w:r>
      <w:r w:rsidRPr="002D4943">
        <w:rPr>
          <w:rFonts w:cs="Open Sans"/>
          <w:sz w:val="18"/>
          <w:szCs w:val="18"/>
        </w:rPr>
        <w:t xml:space="preserve"> (2012) 201 FCR 389; </w:t>
      </w:r>
      <w:r w:rsidRPr="002D4943">
        <w:rPr>
          <w:rFonts w:cs="Open Sans"/>
          <w:i/>
          <w:sz w:val="18"/>
          <w:szCs w:val="18"/>
        </w:rPr>
        <w:t>Faruqi v Hanson</w:t>
      </w:r>
      <w:r w:rsidRPr="002D4943">
        <w:rPr>
          <w:rFonts w:cs="Open Sans"/>
          <w:sz w:val="18"/>
          <w:szCs w:val="18"/>
        </w:rPr>
        <w:t> [2024] FCA 1264.</w:t>
      </w:r>
    </w:p>
  </w:endnote>
  <w:endnote w:id="124">
    <w:p w14:paraId="0F5BABC5" w14:textId="59954F04"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932E92" w:rsidRPr="002D4943">
        <w:rPr>
          <w:rFonts w:cs="Open Sans"/>
          <w:i/>
          <w:sz w:val="18"/>
          <w:szCs w:val="18"/>
        </w:rPr>
        <w:t>Clarke v</w:t>
      </w:r>
      <w:r w:rsidR="009836CF" w:rsidRPr="002D4943">
        <w:rPr>
          <w:rFonts w:cs="Open Sans"/>
          <w:i/>
          <w:sz w:val="18"/>
          <w:szCs w:val="18"/>
        </w:rPr>
        <w:t xml:space="preserve"> Nationwide News</w:t>
      </w:r>
      <w:r w:rsidR="00932E92" w:rsidRPr="002D4943">
        <w:rPr>
          <w:rFonts w:cs="Open Sans"/>
          <w:i/>
          <w:sz w:val="18"/>
          <w:szCs w:val="18"/>
        </w:rPr>
        <w:t xml:space="preserve"> </w:t>
      </w:r>
      <w:r w:rsidR="009836CF" w:rsidRPr="002D4943">
        <w:rPr>
          <w:rFonts w:cs="Open Sans"/>
          <w:i/>
          <w:sz w:val="18"/>
          <w:szCs w:val="18"/>
        </w:rPr>
        <w:t>Pty Ltd</w:t>
      </w:r>
      <w:r w:rsidR="00646A8C" w:rsidRPr="002D4943">
        <w:rPr>
          <w:rFonts w:cs="Open Sans"/>
          <w:i/>
          <w:sz w:val="18"/>
          <w:szCs w:val="18"/>
        </w:rPr>
        <w:t xml:space="preserve"> trading as The Sunday Times</w:t>
      </w:r>
      <w:r w:rsidR="009836CF" w:rsidRPr="002D4943">
        <w:rPr>
          <w:rFonts w:cs="Open Sans"/>
          <w:i/>
          <w:sz w:val="18"/>
          <w:szCs w:val="18"/>
        </w:rPr>
        <w:t xml:space="preserve"> </w:t>
      </w:r>
      <w:r w:rsidRPr="002D4943">
        <w:rPr>
          <w:rFonts w:cs="Open Sans"/>
          <w:sz w:val="18"/>
          <w:szCs w:val="18"/>
        </w:rPr>
        <w:t>(2012) 201 FCR 389</w:t>
      </w:r>
      <w:r w:rsidR="00FE00D8" w:rsidRPr="002D4943">
        <w:rPr>
          <w:rFonts w:cs="Open Sans"/>
          <w:sz w:val="18"/>
          <w:szCs w:val="18"/>
        </w:rPr>
        <w:t>, [352]</w:t>
      </w:r>
      <w:r w:rsidRPr="002D4943">
        <w:rPr>
          <w:rFonts w:cs="Open Sans"/>
          <w:sz w:val="18"/>
          <w:szCs w:val="18"/>
        </w:rPr>
        <w:t>.</w:t>
      </w:r>
    </w:p>
  </w:endnote>
  <w:endnote w:id="125">
    <w:p w14:paraId="4AD94D2D" w14:textId="327D9D61"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E13A7" w:rsidRPr="002D4943">
        <w:rPr>
          <w:rFonts w:cs="Open Sans"/>
          <w:sz w:val="18"/>
          <w:szCs w:val="18"/>
        </w:rPr>
        <w:t>ICCPR</w:t>
      </w:r>
      <w:r w:rsidRPr="002D4943">
        <w:rPr>
          <w:rFonts w:cs="Open Sans"/>
          <w:sz w:val="18"/>
          <w:szCs w:val="18"/>
        </w:rPr>
        <w:t xml:space="preserve"> </w:t>
      </w:r>
      <w:r w:rsidR="003B4F97" w:rsidRPr="002D4943">
        <w:rPr>
          <w:rFonts w:cs="Open Sans"/>
          <w:sz w:val="18"/>
          <w:szCs w:val="18"/>
        </w:rPr>
        <w:t>art</w:t>
      </w:r>
      <w:r w:rsidRPr="002D4943">
        <w:rPr>
          <w:rFonts w:cs="Open Sans"/>
          <w:sz w:val="18"/>
          <w:szCs w:val="18"/>
        </w:rPr>
        <w:t xml:space="preserve"> 19.</w:t>
      </w:r>
    </w:p>
  </w:endnote>
  <w:endnote w:id="126">
    <w:p w14:paraId="0D72A26C" w14:textId="3795B02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717665" w:rsidRPr="002D4943">
        <w:rPr>
          <w:rFonts w:cs="Open Sans"/>
          <w:sz w:val="18"/>
          <w:szCs w:val="18"/>
        </w:rPr>
        <w:t>ICCPR</w:t>
      </w:r>
      <w:r w:rsidR="00C55048" w:rsidRPr="002D4943">
        <w:rPr>
          <w:rFonts w:cs="Open Sans"/>
          <w:sz w:val="18"/>
          <w:szCs w:val="18"/>
        </w:rPr>
        <w:t xml:space="preserve"> art 19(2)</w:t>
      </w:r>
      <w:r w:rsidRPr="002D4943">
        <w:rPr>
          <w:rFonts w:cs="Open Sans"/>
          <w:sz w:val="18"/>
          <w:szCs w:val="18"/>
        </w:rPr>
        <w:t xml:space="preserve">. Freedom of expression is also protected under several other international instruments, including: </w:t>
      </w:r>
      <w:r w:rsidR="0043697D" w:rsidRPr="002D4943">
        <w:rPr>
          <w:rFonts w:cs="Open Sans"/>
          <w:sz w:val="18"/>
          <w:szCs w:val="18"/>
        </w:rPr>
        <w:t>ICERD</w:t>
      </w:r>
      <w:r w:rsidR="00434B25" w:rsidRPr="002D4943">
        <w:rPr>
          <w:rFonts w:cs="Open Sans"/>
          <w:sz w:val="18"/>
          <w:szCs w:val="18"/>
        </w:rPr>
        <w:t xml:space="preserve"> </w:t>
      </w:r>
      <w:r w:rsidRPr="002D4943">
        <w:rPr>
          <w:rFonts w:cs="Open Sans"/>
          <w:sz w:val="18"/>
          <w:szCs w:val="18"/>
        </w:rPr>
        <w:t xml:space="preserve">art 5; </w:t>
      </w:r>
      <w:r w:rsidR="005B5A70" w:rsidRPr="002D4943">
        <w:rPr>
          <w:rFonts w:cs="Open Sans"/>
          <w:sz w:val="18"/>
          <w:szCs w:val="18"/>
        </w:rPr>
        <w:t>CRC</w:t>
      </w:r>
      <w:r w:rsidRPr="002D4943">
        <w:rPr>
          <w:rFonts w:cs="Open Sans"/>
          <w:i/>
          <w:sz w:val="18"/>
          <w:szCs w:val="18"/>
        </w:rPr>
        <w:t xml:space="preserve"> </w:t>
      </w:r>
      <w:r w:rsidRPr="002D4943">
        <w:rPr>
          <w:rFonts w:cs="Open Sans"/>
          <w:sz w:val="18"/>
          <w:szCs w:val="18"/>
        </w:rPr>
        <w:t xml:space="preserve">art 13; </w:t>
      </w:r>
      <w:r w:rsidR="005B5A70" w:rsidRPr="002D4943">
        <w:rPr>
          <w:rFonts w:cs="Open Sans"/>
          <w:sz w:val="18"/>
          <w:szCs w:val="18"/>
        </w:rPr>
        <w:t>CRPD</w:t>
      </w:r>
      <w:r w:rsidRPr="002D4943">
        <w:rPr>
          <w:rFonts w:cs="Open Sans"/>
          <w:sz w:val="18"/>
          <w:szCs w:val="18"/>
        </w:rPr>
        <w:t xml:space="preserve"> art 21. </w:t>
      </w:r>
    </w:p>
  </w:endnote>
  <w:endnote w:id="127">
    <w:p w14:paraId="01CDD25E"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Human Rights Committee, </w:t>
      </w:r>
      <w:r w:rsidRPr="002D4943">
        <w:rPr>
          <w:rFonts w:cs="Open Sans"/>
          <w:i/>
          <w:sz w:val="18"/>
          <w:szCs w:val="18"/>
        </w:rPr>
        <w:t xml:space="preserve">General Comment No 34: Article 19 – Freedoms of Opinion and Expression, </w:t>
      </w:r>
      <w:r w:rsidRPr="002D4943">
        <w:rPr>
          <w:rFonts w:cs="Open Sans"/>
          <w:sz w:val="18"/>
          <w:szCs w:val="18"/>
        </w:rPr>
        <w:t>UN Doc CCPR/C/GC/34 (12 September 2011) para 11.</w:t>
      </w:r>
    </w:p>
  </w:endnote>
  <w:endnote w:id="128">
    <w:p w14:paraId="500C1E6A" w14:textId="1B638AC2"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Human Rights Committee, </w:t>
      </w:r>
      <w:r w:rsidR="0053137D" w:rsidRPr="002D4943">
        <w:rPr>
          <w:rFonts w:cs="Open Sans"/>
          <w:i/>
          <w:sz w:val="18"/>
          <w:szCs w:val="18"/>
        </w:rPr>
        <w:t xml:space="preserve">General Comment No 34: Article 19 – Freedoms of Opinion and Expression, </w:t>
      </w:r>
      <w:r w:rsidR="0053137D" w:rsidRPr="002D4943">
        <w:rPr>
          <w:rFonts w:cs="Open Sans"/>
          <w:sz w:val="18"/>
          <w:szCs w:val="18"/>
        </w:rPr>
        <w:t xml:space="preserve">UN Doc CCPR/C/GC/34 (12 September 2011) </w:t>
      </w:r>
      <w:r w:rsidRPr="002D4943">
        <w:rPr>
          <w:rFonts w:cs="Open Sans"/>
          <w:sz w:val="18"/>
          <w:szCs w:val="18"/>
        </w:rPr>
        <w:t xml:space="preserve">para 21. </w:t>
      </w:r>
    </w:p>
  </w:endnote>
  <w:endnote w:id="129">
    <w:p w14:paraId="7BF7A02C" w14:textId="004E96AD"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4354F" w:rsidRPr="002D4943">
        <w:rPr>
          <w:rFonts w:cs="Open Sans"/>
          <w:sz w:val="18"/>
          <w:szCs w:val="18"/>
        </w:rPr>
        <w:t>ICCPR</w:t>
      </w:r>
      <w:r w:rsidR="00C6509F" w:rsidRPr="002D4943">
        <w:rPr>
          <w:rFonts w:cs="Open Sans"/>
          <w:sz w:val="18"/>
          <w:szCs w:val="18"/>
        </w:rPr>
        <w:t xml:space="preserve"> art 19(3).</w:t>
      </w:r>
    </w:p>
  </w:endnote>
  <w:endnote w:id="130">
    <w:p w14:paraId="7A798AF2" w14:textId="5ADCCFBE" w:rsidR="005F449A" w:rsidRPr="002D4943" w:rsidRDefault="005F449A" w:rsidP="005F449A">
      <w:pPr>
        <w:pStyle w:val="EndnoteText"/>
        <w:rPr>
          <w:rFonts w:cs="Open Sans"/>
          <w:sz w:val="20"/>
          <w:lang w:val="en-US"/>
        </w:rPr>
      </w:pPr>
      <w:r w:rsidRPr="002D4943">
        <w:rPr>
          <w:rStyle w:val="EndnoteReference"/>
          <w:rFonts w:cs="Open Sans"/>
          <w:sz w:val="20"/>
        </w:rPr>
        <w:endnoteRef/>
      </w:r>
      <w:r w:rsidRPr="002D4943">
        <w:rPr>
          <w:rFonts w:cs="Open Sans"/>
          <w:sz w:val="20"/>
        </w:rPr>
        <w:t xml:space="preserve"> </w:t>
      </w:r>
      <w:r w:rsidRPr="002D4943">
        <w:rPr>
          <w:rFonts w:cs="Open Sans"/>
          <w:sz w:val="18"/>
          <w:szCs w:val="18"/>
        </w:rPr>
        <w:t xml:space="preserve">Parliamentary Joint Committee on Human Rights, </w:t>
      </w:r>
      <w:r w:rsidR="0000563D" w:rsidRPr="002D4943">
        <w:rPr>
          <w:rFonts w:cs="Open Sans"/>
          <w:sz w:val="18"/>
          <w:szCs w:val="18"/>
        </w:rPr>
        <w:t xml:space="preserve">Parliament of Australia, </w:t>
      </w:r>
      <w:r w:rsidRPr="002D4943">
        <w:rPr>
          <w:rFonts w:cs="Open Sans"/>
          <w:i/>
          <w:sz w:val="18"/>
          <w:szCs w:val="18"/>
        </w:rPr>
        <w:t>Freedom of speech in Australia: Inquiry into the operation of Part IIA of the Racial Discrimination Act 1975 (Cth) and related procedures under the Australian Human Rights Commission Act 1986 (Cth),</w:t>
      </w:r>
      <w:r w:rsidRPr="002D4943">
        <w:rPr>
          <w:rFonts w:cs="Open Sans"/>
          <w:sz w:val="18"/>
          <w:szCs w:val="18"/>
        </w:rPr>
        <w:t xml:space="preserve"> </w:t>
      </w:r>
      <w:r w:rsidR="0000563D" w:rsidRPr="002D4943">
        <w:rPr>
          <w:rFonts w:cs="Open Sans"/>
          <w:sz w:val="18"/>
          <w:szCs w:val="18"/>
        </w:rPr>
        <w:t>(</w:t>
      </w:r>
      <w:r w:rsidRPr="002D4943">
        <w:rPr>
          <w:rFonts w:cs="Open Sans"/>
          <w:sz w:val="18"/>
          <w:szCs w:val="18"/>
        </w:rPr>
        <w:t>Inquiry report, 28 February 2017</w:t>
      </w:r>
      <w:r w:rsidR="0000563D" w:rsidRPr="002D4943">
        <w:rPr>
          <w:rFonts w:cs="Open Sans"/>
          <w:sz w:val="18"/>
          <w:szCs w:val="18"/>
        </w:rPr>
        <w:t>).</w:t>
      </w:r>
    </w:p>
  </w:endnote>
  <w:endnote w:id="131">
    <w:p w14:paraId="12FFD5E5" w14:textId="7DA0549A"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8B6F3F" w:rsidRPr="002D4943">
        <w:rPr>
          <w:rFonts w:cs="Open Sans"/>
          <w:sz w:val="18"/>
          <w:szCs w:val="18"/>
        </w:rPr>
        <w:t xml:space="preserve">Australian </w:t>
      </w:r>
      <w:r w:rsidR="00AD7D2C" w:rsidRPr="002D4943">
        <w:rPr>
          <w:rFonts w:cs="Open Sans"/>
          <w:sz w:val="18"/>
          <w:szCs w:val="18"/>
        </w:rPr>
        <w:t xml:space="preserve">Government </w:t>
      </w:r>
      <w:r w:rsidR="008B6F3F" w:rsidRPr="002D4943">
        <w:rPr>
          <w:rFonts w:cs="Open Sans"/>
          <w:sz w:val="18"/>
          <w:szCs w:val="18"/>
        </w:rPr>
        <w:t>Attorney-General</w:t>
      </w:r>
      <w:r w:rsidR="00AD7D2C" w:rsidRPr="002D4943">
        <w:rPr>
          <w:rFonts w:cs="Open Sans"/>
          <w:sz w:val="18"/>
          <w:szCs w:val="18"/>
        </w:rPr>
        <w:t>’s</w:t>
      </w:r>
      <w:r w:rsidR="008B6F3F" w:rsidRPr="002D4943">
        <w:rPr>
          <w:rFonts w:cs="Open Sans"/>
          <w:sz w:val="18"/>
          <w:szCs w:val="18"/>
        </w:rPr>
        <w:t xml:space="preserve"> Department, </w:t>
      </w:r>
      <w:r w:rsidR="008B6F3F" w:rsidRPr="002D4943">
        <w:rPr>
          <w:rFonts w:cs="Open Sans"/>
          <w:i/>
          <w:sz w:val="18"/>
          <w:szCs w:val="18"/>
        </w:rPr>
        <w:t>Disability Discrimination Act</w:t>
      </w:r>
      <w:r w:rsidR="00AD7D2C" w:rsidRPr="002D4943">
        <w:rPr>
          <w:rFonts w:cs="Open Sans"/>
          <w:i/>
          <w:sz w:val="18"/>
          <w:szCs w:val="18"/>
        </w:rPr>
        <w:t xml:space="preserve"> 1992</w:t>
      </w:r>
      <w:r w:rsidR="008B6F3F" w:rsidRPr="002D4943">
        <w:rPr>
          <w:rFonts w:cs="Open Sans"/>
          <w:i/>
          <w:sz w:val="18"/>
          <w:szCs w:val="18"/>
        </w:rPr>
        <w:t xml:space="preserve"> Review </w:t>
      </w:r>
      <w:r w:rsidR="008B6F3F" w:rsidRPr="002D4943">
        <w:rPr>
          <w:rFonts w:cs="Open Sans"/>
          <w:sz w:val="18"/>
          <w:szCs w:val="18"/>
        </w:rPr>
        <w:t xml:space="preserve">(Issues Paper, </w:t>
      </w:r>
      <w:r w:rsidR="00D536F7" w:rsidRPr="002D4943">
        <w:rPr>
          <w:rFonts w:cs="Open Sans"/>
          <w:sz w:val="18"/>
          <w:szCs w:val="18"/>
        </w:rPr>
        <w:t xml:space="preserve">1 August 2025) </w:t>
      </w:r>
      <w:r w:rsidRPr="002D4943">
        <w:rPr>
          <w:rFonts w:cs="Open Sans"/>
          <w:sz w:val="18"/>
          <w:szCs w:val="18"/>
        </w:rPr>
        <w:t xml:space="preserve">19. </w:t>
      </w:r>
    </w:p>
  </w:endnote>
  <w:endnote w:id="132">
    <w:p w14:paraId="7BBD70E7" w14:textId="346AB684"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CB3182" w:rsidRPr="002D4943">
        <w:rPr>
          <w:rFonts w:cs="Open Sans"/>
          <w:sz w:val="18"/>
          <w:szCs w:val="18"/>
        </w:rPr>
        <w:t xml:space="preserve"> </w:t>
      </w:r>
      <w:r w:rsidR="00CB3182" w:rsidRPr="002D4943">
        <w:rPr>
          <w:rFonts w:cs="Open Sans"/>
          <w:i/>
          <w:sz w:val="18"/>
          <w:szCs w:val="18"/>
        </w:rPr>
        <w:t>Royal Commission into Violence, Abuse, Neglect and Exploitation of People with Disability</w:t>
      </w:r>
      <w:r w:rsidR="00CB3182" w:rsidRPr="002D4943">
        <w:rPr>
          <w:rFonts w:cs="Open Sans"/>
          <w:sz w:val="18"/>
          <w:szCs w:val="18"/>
        </w:rPr>
        <w:t>, (Final Report, 2023) Vol 4, 32</w:t>
      </w:r>
      <w:r w:rsidR="00DE090A" w:rsidRPr="002D4943">
        <w:rPr>
          <w:rFonts w:cs="Open Sans"/>
          <w:sz w:val="18"/>
          <w:szCs w:val="18"/>
        </w:rPr>
        <w:t>, recommendation 4.30</w:t>
      </w:r>
      <w:r w:rsidR="00CB3182" w:rsidRPr="002D4943">
        <w:rPr>
          <w:rFonts w:cs="Open Sans"/>
          <w:sz w:val="18"/>
          <w:szCs w:val="18"/>
        </w:rPr>
        <w:t>.</w:t>
      </w:r>
    </w:p>
  </w:endnote>
  <w:endnote w:id="133">
    <w:p w14:paraId="2DA14F65" w14:textId="77777777" w:rsidR="008E13B9" w:rsidRPr="00825777" w:rsidRDefault="008E13B9" w:rsidP="008911EA">
      <w:pPr>
        <w:rPr>
          <w:sz w:val="18"/>
          <w:szCs w:val="18"/>
        </w:rPr>
      </w:pPr>
      <w:r w:rsidRPr="002D4943">
        <w:rPr>
          <w:rStyle w:val="EndnoteReference"/>
          <w:sz w:val="18"/>
          <w:szCs w:val="18"/>
        </w:rPr>
        <w:endnoteRef/>
      </w:r>
      <w:r w:rsidRPr="00825777">
        <w:rPr>
          <w:sz w:val="18"/>
          <w:szCs w:val="18"/>
        </w:rPr>
        <w:t xml:space="preserve"> race, religion, nationality, national or ethnic origin or political opinion.</w:t>
      </w:r>
    </w:p>
  </w:endnote>
  <w:endnote w:id="134">
    <w:p w14:paraId="2D888787" w14:textId="308605DD" w:rsidR="001C672C" w:rsidRPr="00825777" w:rsidRDefault="001C672C">
      <w:pPr>
        <w:pStyle w:val="EndnoteText"/>
        <w:rPr>
          <w:rFonts w:cs="Open Sans"/>
        </w:rPr>
      </w:pPr>
      <w:r w:rsidRPr="00825777">
        <w:rPr>
          <w:rStyle w:val="EndnoteReference"/>
          <w:rFonts w:cs="Open Sans"/>
        </w:rPr>
        <w:endnoteRef/>
      </w:r>
      <w:r w:rsidRPr="00825777">
        <w:rPr>
          <w:rFonts w:cs="Open Sans"/>
        </w:rPr>
        <w:t xml:space="preserve"> </w:t>
      </w:r>
      <w:r w:rsidR="00A16A46" w:rsidRPr="002D4943">
        <w:rPr>
          <w:rFonts w:cs="Open Sans"/>
          <w:i/>
          <w:sz w:val="18"/>
          <w:szCs w:val="18"/>
        </w:rPr>
        <w:t>Criminal Code Act 1995</w:t>
      </w:r>
      <w:r w:rsidR="00A16A46" w:rsidRPr="002D4943">
        <w:rPr>
          <w:rFonts w:cs="Open Sans"/>
          <w:sz w:val="18"/>
          <w:szCs w:val="18"/>
        </w:rPr>
        <w:t xml:space="preserve"> (Cth) s 80</w:t>
      </w:r>
      <w:r w:rsidR="00965D11" w:rsidRPr="002D4943">
        <w:rPr>
          <w:rFonts w:cs="Open Sans"/>
          <w:sz w:val="18"/>
          <w:szCs w:val="18"/>
        </w:rPr>
        <w:t xml:space="preserve">.2A, 80.2B, 80.2BA, 80.2BB, 80.2BC, 80.2BD, </w:t>
      </w:r>
      <w:r w:rsidR="00884B7E" w:rsidRPr="002D4943">
        <w:rPr>
          <w:rFonts w:cs="Open Sans"/>
          <w:sz w:val="18"/>
          <w:szCs w:val="18"/>
        </w:rPr>
        <w:t>80.2H, 80.2HA, 80.2K.</w:t>
      </w:r>
    </w:p>
  </w:endnote>
  <w:endnote w:id="135">
    <w:p w14:paraId="51D96BCF"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Criminal Code 2022</w:t>
      </w:r>
      <w:r w:rsidRPr="002D4943">
        <w:rPr>
          <w:rFonts w:cs="Open Sans"/>
          <w:sz w:val="18"/>
          <w:szCs w:val="18"/>
        </w:rPr>
        <w:t xml:space="preserve"> (ACT), s 750; </w:t>
      </w:r>
      <w:r w:rsidRPr="002D4943">
        <w:rPr>
          <w:rFonts w:cs="Open Sans"/>
          <w:i/>
          <w:sz w:val="18"/>
          <w:szCs w:val="18"/>
        </w:rPr>
        <w:t>Justice Legislation Amendment (Anti-vilification and Social Cohesion) Act 2025</w:t>
      </w:r>
      <w:r w:rsidRPr="002D4943">
        <w:rPr>
          <w:rFonts w:cs="Open Sans"/>
          <w:sz w:val="18"/>
          <w:szCs w:val="18"/>
        </w:rPr>
        <w:t xml:space="preserve"> (Vic).</w:t>
      </w:r>
    </w:p>
  </w:endnote>
  <w:endnote w:id="136">
    <w:p w14:paraId="1D09CE26" w14:textId="14F75B1B" w:rsidR="008E13B9" w:rsidRPr="00825777" w:rsidRDefault="008E13B9" w:rsidP="006E7E5F">
      <w:pPr>
        <w:pStyle w:val="ListNumber"/>
        <w:numPr>
          <w:ilvl w:val="0"/>
          <w:numId w:val="0"/>
        </w:numPr>
        <w:ind w:left="360" w:hanging="360"/>
        <w:rPr>
          <w:rFonts w:cs="Open Sans"/>
          <w:sz w:val="18"/>
          <w:szCs w:val="18"/>
        </w:rPr>
      </w:pPr>
      <w:r w:rsidRPr="002D4943">
        <w:rPr>
          <w:rStyle w:val="EndnoteReference"/>
          <w:rFonts w:cs="Open Sans"/>
          <w:sz w:val="18"/>
          <w:szCs w:val="18"/>
        </w:rPr>
        <w:endnoteRef/>
      </w:r>
      <w:r w:rsidRPr="00825777">
        <w:rPr>
          <w:rFonts w:cs="Open Sans"/>
          <w:sz w:val="18"/>
          <w:szCs w:val="18"/>
        </w:rPr>
        <w:t xml:space="preserve"> </w:t>
      </w:r>
      <w:r w:rsidRPr="00825777">
        <w:rPr>
          <w:rFonts w:cs="Open Sans"/>
          <w:i/>
          <w:sz w:val="18"/>
          <w:szCs w:val="18"/>
        </w:rPr>
        <w:t xml:space="preserve">Crimes Act 1900 </w:t>
      </w:r>
      <w:r w:rsidRPr="00825777">
        <w:rPr>
          <w:rFonts w:cs="Open Sans"/>
          <w:sz w:val="18"/>
          <w:szCs w:val="18"/>
        </w:rPr>
        <w:t>(NSW) s 93Z</w:t>
      </w:r>
      <w:r w:rsidRPr="00825777">
        <w:rPr>
          <w:rFonts w:cs="Open Sans"/>
          <w:i/>
          <w:sz w:val="18"/>
          <w:szCs w:val="18"/>
        </w:rPr>
        <w:t xml:space="preserve">; </w:t>
      </w:r>
      <w:hyperlink r:id="rId6" w:history="1">
        <w:r w:rsidRPr="00825777">
          <w:rPr>
            <w:rFonts w:cs="Open Sans"/>
            <w:i/>
            <w:sz w:val="18"/>
            <w:szCs w:val="18"/>
          </w:rPr>
          <w:t>Criminal Code Act 1899</w:t>
        </w:r>
        <w:r w:rsidRPr="00825777">
          <w:rPr>
            <w:rFonts w:cs="Open Sans"/>
            <w:sz w:val="18"/>
            <w:szCs w:val="18"/>
          </w:rPr>
          <w:t xml:space="preserve"> (Qld)</w:t>
        </w:r>
      </w:hyperlink>
      <w:r w:rsidRPr="00825777">
        <w:rPr>
          <w:rFonts w:cs="Open Sans"/>
          <w:sz w:val="18"/>
          <w:szCs w:val="18"/>
        </w:rPr>
        <w:t xml:space="preserve"> s 52B</w:t>
      </w:r>
      <w:r w:rsidRPr="00825777">
        <w:rPr>
          <w:rFonts w:cs="Open Sans"/>
          <w:i/>
          <w:sz w:val="18"/>
          <w:szCs w:val="18"/>
        </w:rPr>
        <w:t>; Criminal Code</w:t>
      </w:r>
      <w:r w:rsidRPr="00825777">
        <w:rPr>
          <w:rFonts w:cs="Open Sans"/>
          <w:sz w:val="18"/>
          <w:szCs w:val="18"/>
        </w:rPr>
        <w:t xml:space="preserve"> (WA) ss 77, 78.</w:t>
      </w:r>
    </w:p>
  </w:endnote>
  <w:endnote w:id="137">
    <w:p w14:paraId="1C365B81" w14:textId="695950B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Act</w:t>
      </w:r>
      <w:r w:rsidR="00DE2400" w:rsidRPr="002D4943">
        <w:rPr>
          <w:rFonts w:cs="Open Sans"/>
          <w:sz w:val="18"/>
          <w:szCs w:val="18"/>
        </w:rPr>
        <w:t xml:space="preserve"> (Cth) </w:t>
      </w:r>
      <w:r w:rsidRPr="002D4943">
        <w:rPr>
          <w:rFonts w:cs="Open Sans"/>
          <w:sz w:val="18"/>
          <w:szCs w:val="18"/>
        </w:rPr>
        <w:t>ss 35, 37</w:t>
      </w:r>
      <w:r w:rsidR="00557281" w:rsidRPr="002D4943">
        <w:rPr>
          <w:rFonts w:cs="Open Sans"/>
          <w:sz w:val="18"/>
          <w:szCs w:val="18"/>
        </w:rPr>
        <w:t>,</w:t>
      </w:r>
      <w:r w:rsidR="00DE2400" w:rsidRPr="002D4943">
        <w:rPr>
          <w:rFonts w:cs="Open Sans"/>
          <w:sz w:val="18"/>
          <w:szCs w:val="18"/>
        </w:rPr>
        <w:t xml:space="preserve"> </w:t>
      </w:r>
      <w:r w:rsidRPr="002D4943">
        <w:rPr>
          <w:rFonts w:cs="Open Sans"/>
          <w:sz w:val="18"/>
          <w:szCs w:val="18"/>
        </w:rPr>
        <w:t>39.</w:t>
      </w:r>
    </w:p>
  </w:endnote>
  <w:endnote w:id="138">
    <w:p w14:paraId="6C611337" w14:textId="227B91EB"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Criminal Code 2022</w:t>
      </w:r>
      <w:r w:rsidRPr="002D4943">
        <w:rPr>
          <w:rFonts w:cs="Open Sans"/>
          <w:sz w:val="18"/>
          <w:szCs w:val="18"/>
        </w:rPr>
        <w:t xml:space="preserve"> (ACT) s 750; </w:t>
      </w:r>
      <w:r w:rsidRPr="002D4943">
        <w:rPr>
          <w:rFonts w:cs="Open Sans"/>
          <w:i/>
          <w:sz w:val="18"/>
          <w:szCs w:val="18"/>
        </w:rPr>
        <w:t>Justice Legislation Amendment (Anti-vilification and Social Cohesion) Act 2025</w:t>
      </w:r>
      <w:r w:rsidRPr="002D4943">
        <w:rPr>
          <w:rFonts w:cs="Open Sans"/>
          <w:sz w:val="18"/>
          <w:szCs w:val="18"/>
        </w:rPr>
        <w:t xml:space="preserve"> (Vic).</w:t>
      </w:r>
    </w:p>
  </w:endnote>
  <w:endnote w:id="139">
    <w:p w14:paraId="632B1D63" w14:textId="77777777" w:rsidR="008E13B9" w:rsidRPr="002D4943" w:rsidRDefault="008E13B9" w:rsidP="00A2165D">
      <w:pPr>
        <w:pStyle w:val="EndnoteText"/>
        <w:ind w:left="0" w:firstLine="0"/>
        <w:rPr>
          <w:rFonts w:cs="Open Sans"/>
          <w:b/>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Times New Roman" w:cs="Open Sans"/>
          <w:sz w:val="18"/>
          <w:szCs w:val="18"/>
        </w:rPr>
        <w:t>Attorney-General and Minister for Justice and Minister for Integrity</w:t>
      </w:r>
      <w:r w:rsidRPr="002D4943">
        <w:rPr>
          <w:rFonts w:cs="Open Sans"/>
          <w:sz w:val="18"/>
          <w:szCs w:val="18"/>
        </w:rPr>
        <w:t>, ‘</w:t>
      </w:r>
      <w:r w:rsidRPr="002D4943">
        <w:rPr>
          <w:rFonts w:eastAsia="Times New Roman" w:cs="Open Sans"/>
          <w:i/>
          <w:color w:val="auto"/>
          <w:sz w:val="18"/>
          <w:szCs w:val="18"/>
        </w:rPr>
        <w:t>MEDIA STATEMENT: Crisafulli Government to consult on anti-discrimination laws</w:t>
      </w:r>
      <w:r w:rsidRPr="002D4943">
        <w:rPr>
          <w:rFonts w:cs="Open Sans"/>
          <w:sz w:val="18"/>
          <w:szCs w:val="18"/>
        </w:rPr>
        <w:t xml:space="preserve">’ (14 March 2025) available at: </w:t>
      </w:r>
      <w:hyperlink r:id="rId7" w:history="1">
        <w:r w:rsidRPr="002D4943">
          <w:rPr>
            <w:rStyle w:val="Hyperlink"/>
            <w:rFonts w:cs="Open Sans"/>
            <w:sz w:val="18"/>
            <w:szCs w:val="18"/>
          </w:rPr>
          <w:t>https://www.qhrc.qld.gov.au/about-us/news/pause-to-the-anti-discrimination-act-reforms</w:t>
        </w:r>
      </w:hyperlink>
      <w:r w:rsidRPr="002D4943">
        <w:rPr>
          <w:rFonts w:cs="Open Sans"/>
          <w:sz w:val="18"/>
          <w:szCs w:val="18"/>
        </w:rPr>
        <w:t xml:space="preserve">.  </w:t>
      </w:r>
    </w:p>
  </w:endnote>
  <w:endnote w:id="140">
    <w:p w14:paraId="08135B46" w14:textId="77777777" w:rsidR="008E13B9" w:rsidRPr="00825777" w:rsidRDefault="008E13B9" w:rsidP="00FE13A7">
      <w:pPr>
        <w:pStyle w:val="ListNumber"/>
        <w:numPr>
          <w:ilvl w:val="0"/>
          <w:numId w:val="0"/>
        </w:numPr>
        <w:rPr>
          <w:rFonts w:cs="Open Sans"/>
        </w:rPr>
      </w:pPr>
      <w:r w:rsidRPr="002D4943">
        <w:rPr>
          <w:rStyle w:val="EndnoteReference"/>
          <w:rFonts w:cs="Open Sans"/>
          <w:sz w:val="18"/>
          <w:szCs w:val="18"/>
        </w:rPr>
        <w:endnoteRef/>
      </w:r>
      <w:r w:rsidRPr="00825777">
        <w:rPr>
          <w:rFonts w:cs="Open Sans"/>
        </w:rPr>
        <w:t xml:space="preserve"> </w:t>
      </w:r>
      <w:hyperlink r:id="rId8" w:history="1">
        <w:r w:rsidRPr="00825777">
          <w:rPr>
            <w:rFonts w:cs="Open Sans"/>
            <w:i/>
            <w:sz w:val="18"/>
            <w:szCs w:val="18"/>
          </w:rPr>
          <w:t>Anti-discrimination Act 1977</w:t>
        </w:r>
        <w:r w:rsidRPr="00825777">
          <w:rPr>
            <w:rFonts w:cs="Open Sans"/>
            <w:sz w:val="18"/>
            <w:szCs w:val="18"/>
          </w:rPr>
          <w:t xml:space="preserve"> (NSW)</w:t>
        </w:r>
      </w:hyperlink>
      <w:r w:rsidRPr="00825777">
        <w:rPr>
          <w:rFonts w:cs="Open Sans"/>
          <w:sz w:val="18"/>
          <w:szCs w:val="18"/>
        </w:rPr>
        <w:t xml:space="preserve"> ss 20C (racial vilification), 38S (transgender vilification), 49ZE (religious vilification), 49ZXB (HIV/AIDS vilification); </w:t>
      </w:r>
      <w:r w:rsidRPr="00825777">
        <w:rPr>
          <w:rFonts w:cs="Open Sans"/>
          <w:i/>
          <w:sz w:val="18"/>
          <w:szCs w:val="18"/>
        </w:rPr>
        <w:t>Civil Liability Act 1936</w:t>
      </w:r>
      <w:r w:rsidRPr="00825777">
        <w:rPr>
          <w:rFonts w:cs="Open Sans"/>
          <w:sz w:val="18"/>
          <w:szCs w:val="18"/>
        </w:rPr>
        <w:t xml:space="preserve"> (SA) s 73 (racial victimisation).</w:t>
      </w:r>
    </w:p>
  </w:endnote>
  <w:endnote w:id="141">
    <w:p w14:paraId="69A14D04" w14:textId="77777777" w:rsidR="008E13B9" w:rsidRPr="002D4943" w:rsidRDefault="008E13B9" w:rsidP="008E13B9">
      <w:pPr>
        <w:pStyle w:val="EndnoteText"/>
        <w:ind w:left="142" w:hanging="142"/>
        <w:rPr>
          <w:rFonts w:cs="Open Sans"/>
          <w:sz w:val="18"/>
          <w:szCs w:val="18"/>
        </w:rPr>
      </w:pPr>
      <w:r w:rsidRPr="002D4943">
        <w:rPr>
          <w:rStyle w:val="EndnoteReference"/>
          <w:rFonts w:cs="Open Sans"/>
          <w:sz w:val="18"/>
          <w:szCs w:val="18"/>
        </w:rPr>
        <w:endnoteRef/>
      </w:r>
      <w:r w:rsidRPr="002D4943">
        <w:rPr>
          <w:rFonts w:cs="Open Sans"/>
          <w:sz w:val="18"/>
          <w:szCs w:val="18"/>
        </w:rPr>
        <w:t xml:space="preserve"> Queensland’s government has paused amendments to the </w:t>
      </w:r>
      <w:r w:rsidRPr="002D4943">
        <w:rPr>
          <w:rFonts w:cs="Open Sans"/>
          <w:i/>
          <w:sz w:val="18"/>
          <w:szCs w:val="18"/>
        </w:rPr>
        <w:t>Anti-Discrimination Act 1991</w:t>
      </w:r>
      <w:r w:rsidRPr="002D4943">
        <w:rPr>
          <w:rFonts w:cs="Open Sans"/>
          <w:sz w:val="18"/>
          <w:szCs w:val="18"/>
        </w:rPr>
        <w:t xml:space="preserve"> (Qld) that were due to commence on 1 July 2025. </w:t>
      </w:r>
    </w:p>
  </w:endnote>
  <w:endnote w:id="142">
    <w:p w14:paraId="74948905" w14:textId="1F2047C2" w:rsidR="008F7E2B" w:rsidRPr="002D4943" w:rsidRDefault="008F7E2B" w:rsidP="008F7E2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4, 326.</w:t>
      </w:r>
    </w:p>
  </w:endnote>
  <w:endnote w:id="143">
    <w:p w14:paraId="5AE6B0EC"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21B.</w:t>
      </w:r>
    </w:p>
  </w:endnote>
  <w:endnote w:id="144">
    <w:p w14:paraId="5F1E338F"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11.</w:t>
      </w:r>
    </w:p>
  </w:endnote>
  <w:endnote w:id="145">
    <w:p w14:paraId="24ACEF62"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11.</w:t>
      </w:r>
    </w:p>
  </w:endnote>
  <w:endnote w:id="146">
    <w:p w14:paraId="196854CD" w14:textId="7396E82E"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Explanatory Memorandum, </w:t>
      </w:r>
      <w:r w:rsidRPr="002D4943">
        <w:rPr>
          <w:rFonts w:cs="Open Sans"/>
          <w:i/>
          <w:sz w:val="18"/>
          <w:szCs w:val="18"/>
        </w:rPr>
        <w:t xml:space="preserve">Disability Discrimination and Other Human Rights Legislation Amendment Bill 2008 </w:t>
      </w:r>
      <w:r w:rsidRPr="002D4943">
        <w:rPr>
          <w:rFonts w:cs="Open Sans"/>
          <w:sz w:val="18"/>
          <w:szCs w:val="18"/>
        </w:rPr>
        <w:t>(Cth) 12 [57]</w:t>
      </w:r>
      <w:r w:rsidR="00FE00D8" w:rsidRPr="002D4943">
        <w:rPr>
          <w:rFonts w:cs="Open Sans"/>
          <w:sz w:val="18"/>
          <w:szCs w:val="18"/>
        </w:rPr>
        <w:t>,</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294.</w:t>
      </w:r>
    </w:p>
  </w:endnote>
  <w:endnote w:id="147">
    <w:p w14:paraId="5289F9EA" w14:textId="3A09A525" w:rsidR="00691A46" w:rsidRPr="002D4943" w:rsidRDefault="00691A46" w:rsidP="00691A46">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E72CBE" w:rsidRPr="002D4943">
        <w:rPr>
          <w:rFonts w:cs="Open Sans"/>
          <w:sz w:val="18"/>
          <w:szCs w:val="18"/>
        </w:rPr>
        <w:t>Beth Gaze and Belinda Smith, Equality and Discrimination Law in Australia: An Introduction (Cambridge University Press, 2017) 160–161, [67]</w:t>
      </w:r>
      <w:r w:rsidR="002E1AD4" w:rsidRPr="002D4943">
        <w:rPr>
          <w:rFonts w:cs="Open Sans"/>
          <w:sz w:val="18"/>
          <w:szCs w:val="18"/>
        </w:rPr>
        <w:t>,</w:t>
      </w:r>
      <w:r w:rsidR="00E72CBE" w:rsidRPr="002D4943">
        <w:rPr>
          <w:rFonts w:cs="Open Sans"/>
          <w:sz w:val="18"/>
          <w:szCs w:val="18"/>
        </w:rPr>
        <w:t xml:space="preserve"> cited in </w:t>
      </w:r>
      <w:r w:rsidR="00BA76AE" w:rsidRPr="002D4943">
        <w:rPr>
          <w:rFonts w:cs="Open Sans"/>
          <w:i/>
          <w:sz w:val="18"/>
          <w:szCs w:val="18"/>
        </w:rPr>
        <w:t>Free and Equal: A reform agenda for federal discrimination laws</w:t>
      </w:r>
      <w:r w:rsidR="00BA76AE" w:rsidRPr="002D4943">
        <w:rPr>
          <w:rFonts w:cs="Open Sans"/>
          <w:sz w:val="18"/>
          <w:szCs w:val="18"/>
        </w:rPr>
        <w:t xml:space="preserve"> (Position Paper, December 2021) p 295.</w:t>
      </w:r>
    </w:p>
  </w:endnote>
  <w:endnote w:id="148">
    <w:p w14:paraId="62DA8EAA" w14:textId="62F7257B" w:rsidR="00FB1EF1" w:rsidRPr="002D4943" w:rsidRDefault="00FB1EF1" w:rsidP="00FB1EF1">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4, 337</w:t>
      </w:r>
      <w:r w:rsidR="00C338C2" w:rsidRPr="002D4943">
        <w:rPr>
          <w:rFonts w:cs="Open Sans"/>
          <w:sz w:val="18"/>
          <w:szCs w:val="18"/>
        </w:rPr>
        <w:t>.</w:t>
      </w:r>
    </w:p>
  </w:endnote>
  <w:endnote w:id="149">
    <w:p w14:paraId="655147B9" w14:textId="23C61E8E" w:rsidR="009F43E0" w:rsidRPr="002D4943" w:rsidRDefault="009F43E0" w:rsidP="009F43E0">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4, 337</w:t>
      </w:r>
      <w:r w:rsidR="00C338C2" w:rsidRPr="002D4943">
        <w:rPr>
          <w:rFonts w:cs="Open Sans"/>
          <w:sz w:val="18"/>
          <w:szCs w:val="18"/>
        </w:rPr>
        <w:t>.</w:t>
      </w:r>
    </w:p>
  </w:endnote>
  <w:endnote w:id="150">
    <w:p w14:paraId="4A9C86C9" w14:textId="2F548DCC" w:rsidR="001F1C40" w:rsidRPr="00825777" w:rsidRDefault="001F1C40">
      <w:pPr>
        <w:pStyle w:val="EndnoteText"/>
        <w:rPr>
          <w:rFonts w:cs="Open Sans"/>
        </w:rPr>
      </w:pPr>
      <w:r w:rsidRPr="002D4943">
        <w:rPr>
          <w:rStyle w:val="EndnoteReference"/>
          <w:rFonts w:cs="Open Sans"/>
          <w:sz w:val="20"/>
        </w:rPr>
        <w:endnoteRef/>
      </w:r>
      <w:r w:rsidR="00C338C2" w:rsidRPr="002D4943">
        <w:rPr>
          <w:rFonts w:cs="Open Sans"/>
          <w:sz w:val="20"/>
        </w:rPr>
        <w:t xml:space="preserve"> </w:t>
      </w:r>
      <w:r w:rsidR="00C338C2" w:rsidRPr="002D4943">
        <w:rPr>
          <w:rFonts w:cs="Open Sans"/>
          <w:i/>
          <w:sz w:val="18"/>
          <w:szCs w:val="18"/>
        </w:rPr>
        <w:t>Royal Commission into Violence, Abuse, Neglect and Exploitation of People with Disability</w:t>
      </w:r>
      <w:r w:rsidR="00C338C2" w:rsidRPr="002D4943">
        <w:rPr>
          <w:rFonts w:cs="Open Sans"/>
          <w:sz w:val="18"/>
          <w:szCs w:val="18"/>
        </w:rPr>
        <w:t>, (Final Report, 2023) Vol 4, 337.</w:t>
      </w:r>
    </w:p>
  </w:endnote>
  <w:endnote w:id="151">
    <w:p w14:paraId="16436E51" w14:textId="1F11589B" w:rsidR="00691A46" w:rsidRPr="00825777" w:rsidRDefault="00691A46" w:rsidP="00691A46">
      <w:pPr>
        <w:pStyle w:val="EndnoteText"/>
        <w:rPr>
          <w:rFonts w:cs="Open Sans"/>
        </w:rPr>
      </w:pPr>
      <w:r w:rsidRPr="002D4943">
        <w:rPr>
          <w:rStyle w:val="EndnoteReference"/>
          <w:rFonts w:cs="Open Sans"/>
          <w:sz w:val="20"/>
        </w:rPr>
        <w:endnoteRef/>
      </w:r>
      <w:r w:rsidRPr="00825777">
        <w:rPr>
          <w:rFonts w:cs="Open Sans"/>
        </w:rPr>
        <w:t xml:space="preserve"> </w:t>
      </w:r>
      <w:r w:rsidR="00FE13A7" w:rsidRPr="002D4943">
        <w:rPr>
          <w:rFonts w:cs="Open Sans"/>
          <w:sz w:val="18"/>
          <w:szCs w:val="18"/>
        </w:rPr>
        <w:t>Committee</w:t>
      </w:r>
      <w:r w:rsidRPr="002D4943">
        <w:rPr>
          <w:rFonts w:cs="Open Sans"/>
          <w:sz w:val="18"/>
          <w:szCs w:val="18"/>
        </w:rPr>
        <w:t xml:space="preserve"> </w:t>
      </w:r>
      <w:r w:rsidR="000D028B" w:rsidRPr="002D4943">
        <w:rPr>
          <w:rFonts w:cs="Open Sans"/>
          <w:sz w:val="18"/>
          <w:szCs w:val="18"/>
        </w:rPr>
        <w:t>on the Rights of Persons</w:t>
      </w:r>
      <w:r w:rsidR="00E134BC" w:rsidRPr="002D4943">
        <w:rPr>
          <w:rFonts w:cs="Open Sans"/>
          <w:sz w:val="18"/>
          <w:szCs w:val="18"/>
        </w:rPr>
        <w:t xml:space="preserve"> with Disabilities,</w:t>
      </w:r>
      <w:r w:rsidR="00E134BC" w:rsidRPr="00825777">
        <w:rPr>
          <w:rFonts w:cs="Open Sans"/>
        </w:rPr>
        <w:t xml:space="preserve"> </w:t>
      </w:r>
      <w:r w:rsidR="00696D31" w:rsidRPr="002D4943">
        <w:rPr>
          <w:rFonts w:cs="Open Sans"/>
          <w:i/>
          <w:sz w:val="18"/>
          <w:szCs w:val="18"/>
        </w:rPr>
        <w:t>General Comment 6 on equality and non-discrimination</w:t>
      </w:r>
      <w:r w:rsidR="00696D31" w:rsidRPr="002D4943">
        <w:rPr>
          <w:rFonts w:cs="Open Sans"/>
          <w:sz w:val="18"/>
          <w:szCs w:val="18"/>
        </w:rPr>
        <w:t>, UN Doc CRPD/C/GC/6 (26 April 2018) para 23(b).</w:t>
      </w:r>
    </w:p>
  </w:endnote>
  <w:endnote w:id="152">
    <w:p w14:paraId="33EBDD29" w14:textId="7E4C9AE2"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002633E4" w:rsidRPr="002D4943">
        <w:rPr>
          <w:rFonts w:cs="Open Sans"/>
          <w:sz w:val="18"/>
          <w:szCs w:val="18"/>
        </w:rPr>
        <w:t xml:space="preserve"> </w:t>
      </w:r>
      <w:r w:rsidR="00CB601D" w:rsidRPr="00EB4356">
        <w:rPr>
          <w:rFonts w:cs="Open Sans"/>
          <w:sz w:val="18"/>
          <w:szCs w:val="18"/>
        </w:rPr>
        <w:t xml:space="preserve">Explanatory Memorandum, </w:t>
      </w:r>
      <w:r w:rsidR="00CB601D" w:rsidRPr="00EB4356">
        <w:rPr>
          <w:rFonts w:cs="Open Sans"/>
          <w:i/>
          <w:sz w:val="18"/>
          <w:szCs w:val="18"/>
        </w:rPr>
        <w:t xml:space="preserve">Disability Discrimination and Other Human Rights Legislation Amendment Bill 2008 </w:t>
      </w:r>
      <w:r w:rsidR="00CB601D" w:rsidRPr="00EB4356">
        <w:rPr>
          <w:rFonts w:cs="Open Sans"/>
          <w:sz w:val="18"/>
          <w:szCs w:val="18"/>
        </w:rPr>
        <w:t xml:space="preserve">(Cth) 12 [57], cited in Australian Human Rights Commission, </w:t>
      </w:r>
      <w:r w:rsidR="00CB601D" w:rsidRPr="00EB4356">
        <w:rPr>
          <w:rFonts w:cs="Open Sans"/>
          <w:i/>
          <w:sz w:val="18"/>
          <w:szCs w:val="18"/>
        </w:rPr>
        <w:t>Free and Equal: A reform agenda for federal discrimination laws</w:t>
      </w:r>
      <w:r w:rsidR="00CB601D" w:rsidRPr="00EB4356">
        <w:rPr>
          <w:rFonts w:cs="Open Sans"/>
          <w:sz w:val="18"/>
          <w:szCs w:val="18"/>
        </w:rPr>
        <w:t xml:space="preserve"> (Position Paper, December 2021) p 294.</w:t>
      </w:r>
    </w:p>
  </w:endnote>
  <w:endnote w:id="153">
    <w:p w14:paraId="50E40665" w14:textId="6AE50415" w:rsidR="001679B5" w:rsidRPr="00825777" w:rsidRDefault="001679B5" w:rsidP="001679B5">
      <w:pPr>
        <w:pStyle w:val="EndnoteText"/>
        <w:rPr>
          <w:rFonts w:cs="Open Sans"/>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4, 337.</w:t>
      </w:r>
    </w:p>
  </w:endnote>
  <w:endnote w:id="154">
    <w:p w14:paraId="7A904F86"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Fair Work Act 2009</w:t>
      </w:r>
      <w:r w:rsidRPr="002D4943">
        <w:rPr>
          <w:rFonts w:cs="Open Sans"/>
          <w:sz w:val="18"/>
          <w:szCs w:val="18"/>
        </w:rPr>
        <w:t xml:space="preserve"> (Cth) s 65A(1), (6).</w:t>
      </w:r>
    </w:p>
  </w:endnote>
  <w:endnote w:id="155">
    <w:p w14:paraId="0D47BB86"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21A.</w:t>
      </w:r>
    </w:p>
  </w:endnote>
  <w:endnote w:id="156">
    <w:p w14:paraId="13F1B044"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Age Discrimination Act 2004 </w:t>
      </w:r>
      <w:r w:rsidRPr="002D4943">
        <w:rPr>
          <w:rFonts w:cs="Open Sans"/>
          <w:sz w:val="18"/>
          <w:szCs w:val="18"/>
        </w:rPr>
        <w:t>(Cth) ss 18(4),19(3)-(4), 20(3)-(4), 21(4)-(5), 22(2)-(3), 24(2)-(3).</w:t>
      </w:r>
    </w:p>
  </w:endnote>
  <w:endnote w:id="157">
    <w:p w14:paraId="3A03D71A"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Fair Work Act 2009</w:t>
      </w:r>
      <w:r w:rsidRPr="002D4943">
        <w:rPr>
          <w:rFonts w:cs="Open Sans"/>
          <w:sz w:val="18"/>
          <w:szCs w:val="18"/>
        </w:rPr>
        <w:t xml:space="preserve"> (Cth) s 351.</w:t>
      </w:r>
    </w:p>
  </w:endnote>
  <w:endnote w:id="158">
    <w:p w14:paraId="405FD557" w14:textId="0D837D02"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7B, 389.</w:t>
      </w:r>
    </w:p>
  </w:endnote>
  <w:endnote w:id="159">
    <w:p w14:paraId="37883CBA" w14:textId="24787859"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Royal Commission into Violence, Abuse, Neglect and Exploitation of People with Disability</w:t>
      </w:r>
      <w:r w:rsidRPr="002D4943">
        <w:rPr>
          <w:rFonts w:cs="Open Sans"/>
          <w:sz w:val="18"/>
          <w:szCs w:val="18"/>
        </w:rPr>
        <w:t>, (Final Report, 2023) Vol 7B, 390 - 391.</w:t>
      </w:r>
    </w:p>
  </w:endnote>
  <w:endnote w:id="160">
    <w:p w14:paraId="008E8869" w14:textId="64699DCE"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 xml:space="preserve">Willing to Work: National Inquiry into Employment Discrimination Against Older Australians and Australians with Disability </w:t>
      </w:r>
      <w:r w:rsidRPr="002D4943">
        <w:rPr>
          <w:rFonts w:cs="Open Sans"/>
          <w:sz w:val="18"/>
          <w:szCs w:val="18"/>
        </w:rPr>
        <w:t xml:space="preserve">(2016), 176.  </w:t>
      </w:r>
    </w:p>
  </w:endnote>
  <w:endnote w:id="161">
    <w:p w14:paraId="4F915CF1"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21A(2).</w:t>
      </w:r>
    </w:p>
  </w:endnote>
  <w:endnote w:id="162">
    <w:p w14:paraId="7F4EEC36" w14:textId="256C2EB8" w:rsidR="000B4CBE" w:rsidRPr="00825777" w:rsidRDefault="000B4CBE">
      <w:pPr>
        <w:pStyle w:val="EndnoteText"/>
        <w:rPr>
          <w:rFonts w:cs="Open Sans"/>
        </w:rPr>
      </w:pPr>
      <w:r w:rsidRPr="002D4943">
        <w:rPr>
          <w:rStyle w:val="EndnoteReference"/>
          <w:rFonts w:cs="Open Sans"/>
          <w:sz w:val="18"/>
          <w:szCs w:val="18"/>
        </w:rPr>
        <w:endnoteRef/>
      </w:r>
      <w:r w:rsidR="0046727E" w:rsidRPr="002D4943">
        <w:rPr>
          <w:rFonts w:cs="Open Sans"/>
          <w:sz w:val="18"/>
          <w:szCs w:val="18"/>
        </w:rPr>
        <w:t xml:space="preserve"> </w:t>
      </w:r>
      <w:r w:rsidR="0046727E" w:rsidRPr="002D4943">
        <w:rPr>
          <w:rFonts w:cs="Open Sans"/>
          <w:i/>
          <w:sz w:val="18"/>
          <w:szCs w:val="18"/>
        </w:rPr>
        <w:t>Royal Commission into Violence, Abuse, Neglect and Exploitation of People with Disability</w:t>
      </w:r>
      <w:r w:rsidR="0046727E" w:rsidRPr="002D4943">
        <w:rPr>
          <w:rFonts w:cs="Open Sans"/>
          <w:sz w:val="18"/>
          <w:szCs w:val="18"/>
        </w:rPr>
        <w:t>, (Final Report, 2023) Vol 7B, 438.</w:t>
      </w:r>
    </w:p>
  </w:endnote>
  <w:endnote w:id="163">
    <w:p w14:paraId="16A77261" w14:textId="3C13343C" w:rsidR="00691A46" w:rsidRPr="002D4943" w:rsidRDefault="00691A46" w:rsidP="00691A46">
      <w:pPr>
        <w:pStyle w:val="EndnoteText"/>
        <w:rPr>
          <w:rFonts w:cs="Open Sans"/>
          <w:i/>
          <w:sz w:val="18"/>
          <w:szCs w:val="18"/>
        </w:rPr>
      </w:pPr>
      <w:r w:rsidRPr="002D4943">
        <w:rPr>
          <w:rStyle w:val="EndnoteReference"/>
          <w:rFonts w:cs="Open Sans"/>
          <w:sz w:val="18"/>
          <w:szCs w:val="18"/>
        </w:rPr>
        <w:endnoteRef/>
      </w:r>
      <w:r w:rsidRPr="002D4943">
        <w:rPr>
          <w:rFonts w:cs="Open Sans"/>
          <w:sz w:val="18"/>
          <w:szCs w:val="18"/>
        </w:rPr>
        <w:t xml:space="preserve"> Kate Eastman SC</w:t>
      </w:r>
      <w:r w:rsidR="00FE13A7" w:rsidRPr="002D4943">
        <w:rPr>
          <w:rFonts w:cs="Open Sans"/>
          <w:sz w:val="18"/>
          <w:szCs w:val="18"/>
        </w:rPr>
        <w:t>,</w:t>
      </w:r>
      <w:r w:rsidRPr="002D4943">
        <w:rPr>
          <w:rFonts w:cs="Open Sans"/>
          <w:sz w:val="18"/>
          <w:szCs w:val="18"/>
        </w:rPr>
        <w:t xml:space="preserve"> Elizabeth Bennett SC &amp; Cathy Dowsett Submission to the Royal Commission into Violence, Abuse, Neglect and Exploitation of People with Disability, </w:t>
      </w:r>
      <w:r w:rsidRPr="002D4943">
        <w:rPr>
          <w:rFonts w:cs="Open Sans"/>
          <w:i/>
          <w:sz w:val="18"/>
          <w:szCs w:val="18"/>
        </w:rPr>
        <w:t xml:space="preserve">Outline of Submissions of Counsel Assisting following Public Hearing 19 </w:t>
      </w:r>
      <w:r w:rsidRPr="002D4943">
        <w:rPr>
          <w:rFonts w:cs="Open Sans"/>
          <w:sz w:val="18"/>
          <w:szCs w:val="18"/>
        </w:rPr>
        <w:t>(7 January 2022)</w:t>
      </w:r>
      <w:r w:rsidR="001020A3" w:rsidRPr="002D4943">
        <w:rPr>
          <w:rFonts w:cs="Open Sans"/>
          <w:sz w:val="18"/>
          <w:szCs w:val="18"/>
        </w:rPr>
        <w:t xml:space="preserve"> 118,</w:t>
      </w:r>
      <w:r w:rsidRPr="002D4943">
        <w:rPr>
          <w:rFonts w:cs="Open Sans"/>
          <w:sz w:val="18"/>
          <w:szCs w:val="18"/>
        </w:rPr>
        <w:t xml:space="preserve"> </w:t>
      </w:r>
      <w:r w:rsidR="001020A3" w:rsidRPr="002D4943">
        <w:rPr>
          <w:rFonts w:cs="Open Sans"/>
          <w:sz w:val="18"/>
          <w:szCs w:val="18"/>
        </w:rPr>
        <w:t>[</w:t>
      </w:r>
      <w:r w:rsidRPr="002D4943">
        <w:rPr>
          <w:rFonts w:cs="Open Sans"/>
          <w:sz w:val="18"/>
          <w:szCs w:val="18"/>
        </w:rPr>
        <w:t>415</w:t>
      </w:r>
      <w:r w:rsidR="001020A3" w:rsidRPr="002D4943">
        <w:rPr>
          <w:rFonts w:cs="Open Sans"/>
          <w:sz w:val="18"/>
          <w:szCs w:val="18"/>
        </w:rPr>
        <w:t>]</w:t>
      </w:r>
      <w:r w:rsidRPr="002D4943">
        <w:rPr>
          <w:rFonts w:cs="Open Sans"/>
          <w:sz w:val="18"/>
          <w:szCs w:val="18"/>
        </w:rPr>
        <w:t>.</w:t>
      </w:r>
      <w:r w:rsidR="006C19B5" w:rsidRPr="002D4943">
        <w:rPr>
          <w:rFonts w:cs="Open Sans"/>
          <w:sz w:val="18"/>
          <w:szCs w:val="18"/>
        </w:rPr>
        <w:t xml:space="preserve"> </w:t>
      </w:r>
    </w:p>
  </w:endnote>
  <w:endnote w:id="164">
    <w:p w14:paraId="76412485" w14:textId="7C12ED8C"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 xml:space="preserve">  </w:t>
      </w:r>
      <w:r w:rsidR="00787114" w:rsidRPr="002D4943">
        <w:rPr>
          <w:rFonts w:cs="Open Sans"/>
          <w:sz w:val="18"/>
          <w:szCs w:val="18"/>
        </w:rPr>
        <w:t>[</w:t>
      </w:r>
      <w:r w:rsidRPr="002D4943">
        <w:rPr>
          <w:rFonts w:cs="Open Sans"/>
          <w:sz w:val="18"/>
          <w:szCs w:val="18"/>
        </w:rPr>
        <w:t>52</w:t>
      </w:r>
      <w:r w:rsidR="002E4156" w:rsidRPr="002D4943">
        <w:rPr>
          <w:rFonts w:cs="Open Sans"/>
          <w:sz w:val="18"/>
          <w:szCs w:val="18"/>
        </w:rPr>
        <w:t>]</w:t>
      </w:r>
      <w:r w:rsidRPr="002D4943">
        <w:rPr>
          <w:rFonts w:cs="Open Sans"/>
          <w:sz w:val="18"/>
          <w:szCs w:val="18"/>
        </w:rPr>
        <w:t xml:space="preserve"> – </w:t>
      </w:r>
      <w:r w:rsidR="002E4156" w:rsidRPr="002D4943">
        <w:rPr>
          <w:rFonts w:cs="Open Sans"/>
          <w:sz w:val="18"/>
          <w:szCs w:val="18"/>
        </w:rPr>
        <w:t>[</w:t>
      </w:r>
      <w:r w:rsidRPr="002D4943">
        <w:rPr>
          <w:rFonts w:cs="Open Sans"/>
          <w:sz w:val="18"/>
          <w:szCs w:val="18"/>
        </w:rPr>
        <w:t>58</w:t>
      </w:r>
      <w:r w:rsidR="002E4156" w:rsidRPr="002D4943">
        <w:rPr>
          <w:rFonts w:cs="Open Sans"/>
          <w:sz w:val="18"/>
          <w:szCs w:val="18"/>
        </w:rPr>
        <w:t>]</w:t>
      </w:r>
      <w:r w:rsidRPr="002D4943">
        <w:rPr>
          <w:rFonts w:cs="Open Sans"/>
          <w:sz w:val="18"/>
          <w:szCs w:val="18"/>
        </w:rPr>
        <w:t xml:space="preserve">. </w:t>
      </w:r>
      <w:r w:rsidR="0017361B" w:rsidRPr="002D4943">
        <w:rPr>
          <w:rFonts w:cs="Open Sans"/>
          <w:iCs/>
          <w:sz w:val="18"/>
          <w:szCs w:val="18"/>
        </w:rPr>
        <w:t xml:space="preserve">Disability Royal Commission Final Report </w:t>
      </w:r>
      <w:r w:rsidRPr="002D4943">
        <w:rPr>
          <w:rFonts w:cs="Open Sans"/>
          <w:sz w:val="18"/>
          <w:szCs w:val="18"/>
        </w:rPr>
        <w:t>Vol 7B, pp 382 – 385.</w:t>
      </w:r>
    </w:p>
  </w:endnote>
  <w:endnote w:id="165">
    <w:p w14:paraId="3C22F51B" w14:textId="32879260" w:rsidR="00691A46" w:rsidRPr="002D4943" w:rsidRDefault="00691A46" w:rsidP="00691A46">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 xml:space="preserve"> 118.</w:t>
      </w:r>
    </w:p>
  </w:endnote>
  <w:endnote w:id="166">
    <w:p w14:paraId="269C6451" w14:textId="6349A045" w:rsidR="00D14E96" w:rsidRPr="00825777" w:rsidRDefault="00D14E96">
      <w:pPr>
        <w:pStyle w:val="EndnoteText"/>
        <w:rPr>
          <w:rFonts w:cs="Open Sans"/>
        </w:rPr>
      </w:pPr>
      <w:r w:rsidRPr="00825777">
        <w:rPr>
          <w:rStyle w:val="EndnoteReference"/>
          <w:rFonts w:cs="Open Sans"/>
        </w:rPr>
        <w:endnoteRef/>
      </w:r>
      <w:r w:rsidRPr="00825777">
        <w:rPr>
          <w:rFonts w:cs="Open Sans"/>
        </w:rPr>
        <w:t xml:space="preserve"> </w:t>
      </w:r>
      <w:r w:rsidR="00FD71AB" w:rsidRPr="006563DC">
        <w:rPr>
          <w:rFonts w:cs="Open Sans"/>
          <w:sz w:val="18"/>
          <w:szCs w:val="14"/>
        </w:rPr>
        <w:t xml:space="preserve">Centre for Social Impact, </w:t>
      </w:r>
      <w:r w:rsidR="00FD71AB" w:rsidRPr="00A21A58">
        <w:rPr>
          <w:rFonts w:cs="Open Sans"/>
          <w:i/>
          <w:sz w:val="18"/>
          <w:szCs w:val="14"/>
        </w:rPr>
        <w:t>Evaluation of the Australian Human Rights Commission ‘IncludeAbility’ Project 2020-2023</w:t>
      </w:r>
      <w:r w:rsidR="00BE0C85" w:rsidRPr="00A21A58">
        <w:rPr>
          <w:rFonts w:cs="Open Sans"/>
          <w:i/>
          <w:sz w:val="18"/>
          <w:szCs w:val="14"/>
        </w:rPr>
        <w:t>: Key Findings</w:t>
      </w:r>
      <w:r w:rsidR="00BE0C85" w:rsidRPr="006563DC">
        <w:rPr>
          <w:rFonts w:cs="Open Sans"/>
          <w:sz w:val="18"/>
          <w:szCs w:val="14"/>
        </w:rPr>
        <w:t xml:space="preserve"> (September 2023) </w:t>
      </w:r>
      <w:r w:rsidR="0020692E" w:rsidRPr="006563DC">
        <w:rPr>
          <w:rFonts w:cs="Open Sans"/>
          <w:sz w:val="18"/>
          <w:szCs w:val="14"/>
        </w:rPr>
        <w:t>5.</w:t>
      </w:r>
    </w:p>
  </w:endnote>
  <w:endnote w:id="167">
    <w:p w14:paraId="08FE77D6" w14:textId="01B5415B" w:rsidR="00EF0F27" w:rsidRPr="00825777" w:rsidRDefault="00EF0F27">
      <w:pPr>
        <w:pStyle w:val="EndnoteText"/>
        <w:rPr>
          <w:rFonts w:cs="Open Sans"/>
        </w:rPr>
      </w:pPr>
      <w:r w:rsidRPr="00825777">
        <w:rPr>
          <w:rStyle w:val="EndnoteReference"/>
          <w:rFonts w:cs="Open Sans"/>
        </w:rPr>
        <w:endnoteRef/>
      </w:r>
      <w:r w:rsidRPr="00825777">
        <w:rPr>
          <w:rFonts w:cs="Open Sans"/>
        </w:rPr>
        <w:t xml:space="preserve"> </w:t>
      </w:r>
      <w:r w:rsidR="0017361B" w:rsidRPr="00825777">
        <w:rPr>
          <w:rFonts w:cs="Open Sans"/>
          <w:sz w:val="18"/>
          <w:szCs w:val="14"/>
        </w:rPr>
        <w:t>Ibid</w:t>
      </w:r>
      <w:r w:rsidRPr="00825777">
        <w:rPr>
          <w:rFonts w:cs="Open Sans"/>
          <w:sz w:val="18"/>
          <w:szCs w:val="14"/>
        </w:rPr>
        <w:t xml:space="preserve"> 53.</w:t>
      </w:r>
    </w:p>
  </w:endnote>
  <w:endnote w:id="168">
    <w:p w14:paraId="452CADDF" w14:textId="243D0D63"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825777">
        <w:rPr>
          <w:rFonts w:cs="Open Sans"/>
          <w:sz w:val="18"/>
          <w:szCs w:val="14"/>
        </w:rPr>
        <w:t>Ibid</w:t>
      </w:r>
      <w:r w:rsidR="00F95A56" w:rsidRPr="00825777">
        <w:rPr>
          <w:rFonts w:cs="Open Sans"/>
          <w:sz w:val="18"/>
          <w:szCs w:val="14"/>
        </w:rPr>
        <w:t xml:space="preserve"> 5</w:t>
      </w:r>
      <w:r w:rsidRPr="002D4943">
        <w:rPr>
          <w:rFonts w:cs="Open Sans"/>
          <w:sz w:val="18"/>
          <w:szCs w:val="18"/>
        </w:rPr>
        <w:t>.</w:t>
      </w:r>
    </w:p>
  </w:endnote>
  <w:endnote w:id="169">
    <w:p w14:paraId="5E171BE7" w14:textId="77777777" w:rsidR="00691A46" w:rsidRPr="002D4943" w:rsidRDefault="00691A46" w:rsidP="00691A4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Productivity Commission, </w:t>
      </w:r>
      <w:r w:rsidRPr="002D4943">
        <w:rPr>
          <w:rFonts w:cs="Open Sans"/>
          <w:i/>
          <w:sz w:val="18"/>
          <w:szCs w:val="18"/>
        </w:rPr>
        <w:t xml:space="preserve">Review of the Disability Discrimination Act 1992 </w:t>
      </w:r>
      <w:r w:rsidRPr="002D4943">
        <w:rPr>
          <w:rFonts w:cs="Open Sans"/>
          <w:sz w:val="18"/>
          <w:szCs w:val="18"/>
        </w:rPr>
        <w:t>(Final Report, No 30, 14 July 2004) 220 – 221.</w:t>
      </w:r>
    </w:p>
  </w:endnote>
  <w:endnote w:id="170">
    <w:p w14:paraId="580A880F" w14:textId="62561EA6" w:rsidR="00D845A5" w:rsidRPr="002D4943" w:rsidRDefault="00D845A5" w:rsidP="00D845A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150CE" w:rsidRPr="002D4943">
        <w:rPr>
          <w:rFonts w:cs="Open Sans"/>
          <w:sz w:val="18"/>
          <w:szCs w:val="18"/>
        </w:rPr>
        <w:t>Free &amp; Equal 2021 Position Paper</w:t>
      </w:r>
      <w:r w:rsidRPr="002D4943">
        <w:rPr>
          <w:rFonts w:cs="Open Sans"/>
          <w:sz w:val="18"/>
          <w:szCs w:val="18"/>
        </w:rPr>
        <w:t xml:space="preserve"> 77</w:t>
      </w:r>
      <w:r w:rsidRPr="002D4943">
        <w:rPr>
          <w:rFonts w:cs="Open Sans"/>
          <w:i/>
          <w:sz w:val="18"/>
          <w:szCs w:val="18"/>
        </w:rPr>
        <w:t>.</w:t>
      </w:r>
    </w:p>
  </w:endnote>
  <w:endnote w:id="171">
    <w:p w14:paraId="271296F2" w14:textId="70E9104A" w:rsidR="00D845A5" w:rsidRPr="002D4943" w:rsidRDefault="00D845A5" w:rsidP="00D845A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Beth Gaze and Belinda Smith, </w:t>
      </w:r>
      <w:r w:rsidRPr="002D4943">
        <w:rPr>
          <w:rFonts w:cs="Open Sans"/>
          <w:i/>
          <w:sz w:val="18"/>
          <w:szCs w:val="18"/>
        </w:rPr>
        <w:t>Equality and Discrimination Law in Australia: An Introduction</w:t>
      </w:r>
      <w:r w:rsidRPr="002D4943">
        <w:rPr>
          <w:rFonts w:cs="Open Sans"/>
          <w:sz w:val="18"/>
          <w:szCs w:val="18"/>
        </w:rPr>
        <w:t xml:space="preserve"> (Cambridge University Press, 2017) 26</w:t>
      </w:r>
      <w:r w:rsidR="000A24A8" w:rsidRPr="002D4943">
        <w:rPr>
          <w:rFonts w:cs="Open Sans"/>
          <w:sz w:val="18"/>
          <w:szCs w:val="18"/>
        </w:rPr>
        <w:t>6</w:t>
      </w:r>
      <w:r w:rsidRPr="002D4943">
        <w:rPr>
          <w:rFonts w:cs="Open Sans"/>
          <w:sz w:val="18"/>
          <w:szCs w:val="18"/>
        </w:rPr>
        <w:t xml:space="preserve">,) cited in Australian Human Rights Commission, </w:t>
      </w:r>
      <w:r w:rsidRPr="002D4943">
        <w:rPr>
          <w:rFonts w:cs="Open Sans"/>
          <w:i/>
          <w:sz w:val="18"/>
          <w:szCs w:val="18"/>
        </w:rPr>
        <w:t>Free and Equal: A reform agenda for federal discrimination laws</w:t>
      </w:r>
      <w:r w:rsidRPr="002D4943">
        <w:rPr>
          <w:rFonts w:cs="Open Sans"/>
          <w:sz w:val="18"/>
          <w:szCs w:val="18"/>
        </w:rPr>
        <w:t xml:space="preserve"> (Position Paper, December 2021) p 61</w:t>
      </w:r>
      <w:r w:rsidRPr="002D4943">
        <w:rPr>
          <w:rFonts w:cs="Open Sans"/>
          <w:i/>
          <w:sz w:val="18"/>
          <w:szCs w:val="18"/>
        </w:rPr>
        <w:t>.</w:t>
      </w:r>
      <w:r w:rsidR="000A24A8" w:rsidRPr="002D4943">
        <w:rPr>
          <w:rFonts w:cs="Open Sans"/>
          <w:i/>
          <w:sz w:val="18"/>
          <w:szCs w:val="18"/>
        </w:rPr>
        <w:t xml:space="preserve"> </w:t>
      </w:r>
    </w:p>
  </w:endnote>
  <w:endnote w:id="172">
    <w:p w14:paraId="2D28F0CF" w14:textId="51927886" w:rsidR="00D845A5" w:rsidRPr="002D4943" w:rsidRDefault="00D845A5" w:rsidP="00D845A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150CE" w:rsidRPr="002D4943">
        <w:rPr>
          <w:rFonts w:cs="Open Sans"/>
          <w:sz w:val="18"/>
          <w:szCs w:val="18"/>
        </w:rPr>
        <w:t xml:space="preserve">Free &amp; Equal 2021 Position Paper </w:t>
      </w:r>
      <w:r w:rsidRPr="002D4943">
        <w:rPr>
          <w:rFonts w:cs="Open Sans"/>
          <w:sz w:val="18"/>
          <w:szCs w:val="18"/>
        </w:rPr>
        <w:t>28</w:t>
      </w:r>
      <w:r w:rsidRPr="002D4943">
        <w:rPr>
          <w:rFonts w:cs="Open Sans"/>
          <w:i/>
          <w:sz w:val="18"/>
          <w:szCs w:val="18"/>
        </w:rPr>
        <w:t>.</w:t>
      </w:r>
    </w:p>
  </w:endnote>
  <w:endnote w:id="173">
    <w:p w14:paraId="16AAF1D2" w14:textId="42974E01" w:rsidR="00D845A5" w:rsidRPr="002D4943" w:rsidRDefault="00D845A5" w:rsidP="00D845A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150CE" w:rsidRPr="002D4943">
        <w:rPr>
          <w:rFonts w:cs="Open Sans"/>
          <w:sz w:val="18"/>
          <w:szCs w:val="18"/>
        </w:rPr>
        <w:t xml:space="preserve">Free &amp; Equal 2021 Position Paper </w:t>
      </w:r>
      <w:r w:rsidRPr="002D4943">
        <w:rPr>
          <w:rFonts w:cs="Open Sans"/>
          <w:sz w:val="18"/>
          <w:szCs w:val="18"/>
        </w:rPr>
        <w:t>77</w:t>
      </w:r>
      <w:r w:rsidRPr="002D4943">
        <w:rPr>
          <w:rFonts w:cs="Open Sans"/>
          <w:i/>
          <w:sz w:val="18"/>
          <w:szCs w:val="18"/>
        </w:rPr>
        <w:t>.</w:t>
      </w:r>
    </w:p>
  </w:endnote>
  <w:endnote w:id="174">
    <w:p w14:paraId="084FD16A" w14:textId="5C64E5AD" w:rsidR="00771E72" w:rsidRPr="002D4943" w:rsidRDefault="00771E72" w:rsidP="00771E7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Australian Bureau of Statistics, </w:t>
      </w:r>
      <w:r w:rsidRPr="002D4943">
        <w:rPr>
          <w:rFonts w:cs="Open Sans"/>
          <w:i/>
          <w:sz w:val="18"/>
          <w:szCs w:val="18"/>
        </w:rPr>
        <w:t>Disability, Ageing and Carers, Australia: Summary of Findings, 2003 </w:t>
      </w:r>
      <w:r w:rsidRPr="002D4943">
        <w:rPr>
          <w:rFonts w:cs="Open Sans"/>
          <w:sz w:val="18"/>
          <w:szCs w:val="18"/>
        </w:rPr>
        <w:t xml:space="preserve">(Catalogue No. 4430.0, 15 September 2004) </w:t>
      </w:r>
      <w:hyperlink r:id="rId9" w:history="1">
        <w:r w:rsidRPr="002D4943">
          <w:rPr>
            <w:rStyle w:val="Hyperlink"/>
            <w:rFonts w:cs="Open Sans"/>
            <w:sz w:val="18"/>
            <w:szCs w:val="18"/>
          </w:rPr>
          <w:t>https://www.abs.gov.au/AUSSTATS/abs%40.nsf/Lookup/4430.0Main%2BFeatures12003%3FOpenDocument</w:t>
        </w:r>
      </w:hyperlink>
      <w:r w:rsidRPr="002D4943">
        <w:rPr>
          <w:rFonts w:cs="Open Sans"/>
          <w:sz w:val="18"/>
          <w:szCs w:val="18"/>
        </w:rPr>
        <w:t>; Australian Bureau of Statistics, </w:t>
      </w:r>
      <w:r w:rsidRPr="002D4943">
        <w:rPr>
          <w:rFonts w:cs="Open Sans"/>
          <w:i/>
          <w:sz w:val="18"/>
          <w:szCs w:val="18"/>
        </w:rPr>
        <w:t>Disability, Ageing and Carers, Australia: Summary of Findings, 2018 </w:t>
      </w:r>
      <w:r w:rsidRPr="002D4943">
        <w:rPr>
          <w:rFonts w:cs="Open Sans"/>
          <w:sz w:val="18"/>
          <w:szCs w:val="18"/>
        </w:rPr>
        <w:t xml:space="preserve">(Catalogue No. 4430.0, 24 October 2019) &lt; </w:t>
      </w:r>
      <w:hyperlink r:id="rId10" w:history="1">
        <w:r w:rsidRPr="002D4943">
          <w:rPr>
            <w:rStyle w:val="Hyperlink"/>
            <w:rFonts w:cs="Open Sans"/>
            <w:sz w:val="18"/>
            <w:szCs w:val="18"/>
          </w:rPr>
          <w:t>https://www.abs.gov.au/statistics/health/disability/disability-ageing-and-carers-australia-summary-findings/2018</w:t>
        </w:r>
      </w:hyperlink>
      <w:r w:rsidRPr="002D4943">
        <w:rPr>
          <w:rFonts w:cs="Open Sans"/>
          <w:sz w:val="18"/>
          <w:szCs w:val="18"/>
        </w:rPr>
        <w:t>&gt;</w:t>
      </w:r>
      <w:r w:rsidR="00A150CE" w:rsidRPr="002D4943">
        <w:rPr>
          <w:rFonts w:cs="Open Sans"/>
          <w:sz w:val="18"/>
          <w:szCs w:val="18"/>
        </w:rPr>
        <w:t>,</w:t>
      </w:r>
      <w:r w:rsidRPr="002D4943">
        <w:rPr>
          <w:rFonts w:cs="Open Sans"/>
          <w:sz w:val="18"/>
          <w:szCs w:val="18"/>
        </w:rPr>
        <w:t xml:space="preserve"> which shows that the labour force participation rate for people with disability in 2003 was 53%, compared to 53.4% in 2018. The 2022 Australian Bureau of Statistics released information in 2022, the labour force participation rate for people with disability was 60.5% (https://www.abs.gov.au/statistics/health/disability/disability-ageing-and-carers-australia-summary-findings/latest-release).</w:t>
      </w:r>
    </w:p>
  </w:endnote>
  <w:endnote w:id="175">
    <w:p w14:paraId="79218C0C" w14:textId="2B5EC777" w:rsidR="00771E72" w:rsidRPr="002D4943" w:rsidRDefault="00771E72" w:rsidP="00771E7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iCs/>
          <w:sz w:val="18"/>
          <w:szCs w:val="18"/>
        </w:rPr>
        <w:t>Disability Royal Commission Final Report</w:t>
      </w:r>
      <w:r w:rsidRPr="002D4943">
        <w:rPr>
          <w:rFonts w:cs="Open Sans"/>
          <w:sz w:val="18"/>
          <w:szCs w:val="18"/>
        </w:rPr>
        <w:t xml:space="preserve"> Vol 4, 92</w:t>
      </w:r>
      <w:r w:rsidR="003263DB" w:rsidRPr="002D4943">
        <w:rPr>
          <w:rFonts w:cs="Open Sans"/>
          <w:sz w:val="18"/>
          <w:szCs w:val="18"/>
        </w:rPr>
        <w:t>,</w:t>
      </w:r>
      <w:r w:rsidRPr="002D4943">
        <w:rPr>
          <w:rFonts w:cs="Open Sans"/>
          <w:sz w:val="18"/>
          <w:szCs w:val="18"/>
        </w:rPr>
        <w:t xml:space="preserve"> Vol 3 and Vol 7.</w:t>
      </w:r>
    </w:p>
  </w:endnote>
  <w:endnote w:id="176">
    <w:p w14:paraId="25998937" w14:textId="016D82C2"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205CB1" w:rsidRPr="002D4943">
        <w:rPr>
          <w:rFonts w:cs="Open Sans"/>
          <w:sz w:val="18"/>
          <w:szCs w:val="18"/>
        </w:rPr>
        <w:t xml:space="preserve"> </w:t>
      </w:r>
      <w:r w:rsidR="0017361B" w:rsidRPr="002D4943">
        <w:rPr>
          <w:rFonts w:cs="Open Sans"/>
          <w:iCs/>
          <w:sz w:val="18"/>
          <w:szCs w:val="18"/>
        </w:rPr>
        <w:t>Disability Royal Commission Final Report</w:t>
      </w:r>
      <w:r w:rsidR="0017361B" w:rsidRPr="002D4943">
        <w:rPr>
          <w:rFonts w:cs="Open Sans"/>
          <w:sz w:val="18"/>
          <w:szCs w:val="18"/>
        </w:rPr>
        <w:t xml:space="preserve"> </w:t>
      </w:r>
      <w:r w:rsidR="00205CB1" w:rsidRPr="002D4943">
        <w:rPr>
          <w:rFonts w:cs="Open Sans"/>
          <w:sz w:val="18"/>
          <w:szCs w:val="18"/>
        </w:rPr>
        <w:t>Vol 3.</w:t>
      </w:r>
    </w:p>
  </w:endnote>
  <w:endnote w:id="177">
    <w:p w14:paraId="74519714" w14:textId="267365AA" w:rsidR="00C04945" w:rsidRPr="002D4943" w:rsidRDefault="00C04945" w:rsidP="00C04945">
      <w:pPr>
        <w:pStyle w:val="EndnoteText"/>
        <w:spacing w:before="0"/>
        <w:rPr>
          <w:rFonts w:cs="Open Sans"/>
          <w:sz w:val="18"/>
          <w:szCs w:val="18"/>
        </w:rPr>
      </w:pPr>
      <w:r w:rsidRPr="002D4943">
        <w:rPr>
          <w:rStyle w:val="EndnoteReference"/>
          <w:rFonts w:cs="Open Sans"/>
          <w:sz w:val="18"/>
          <w:szCs w:val="18"/>
        </w:rPr>
        <w:endnoteRef/>
      </w:r>
      <w:r w:rsidRPr="002D4943">
        <w:rPr>
          <w:rFonts w:cs="Open Sans"/>
          <w:sz w:val="18"/>
          <w:szCs w:val="18"/>
        </w:rPr>
        <w:t xml:space="preserve"> James Vincent, Hugh Miller, Kirsten Armstrong, Grant Lian, David Qi, Nansi Richards, Taylor Fry, Dennis McCarthy, Sarina Lacey &amp; Tomas Berry, Centre for International Economics, </w:t>
      </w:r>
      <w:r w:rsidRPr="002D4943">
        <w:rPr>
          <w:rFonts w:cs="Open Sans"/>
          <w:i/>
          <w:sz w:val="18"/>
          <w:szCs w:val="18"/>
        </w:rPr>
        <w:t>The economic cost of violence, abuse, neglect and exploitation for people with disability</w:t>
      </w:r>
      <w:r w:rsidRPr="002D4943">
        <w:rPr>
          <w:rFonts w:cs="Open Sans"/>
          <w:sz w:val="18"/>
          <w:szCs w:val="18"/>
        </w:rPr>
        <w:t>, Report prepared for the Royal Commission into Violence, Abuse, Neglect and Exploitation of People with Disability, February 2023, 73</w:t>
      </w:r>
      <w:r w:rsidR="00AE504B" w:rsidRPr="002D4943">
        <w:rPr>
          <w:rFonts w:cs="Open Sans"/>
          <w:sz w:val="18"/>
          <w:szCs w:val="18"/>
        </w:rPr>
        <w:t>.</w:t>
      </w:r>
      <w:r w:rsidRPr="002D4943">
        <w:rPr>
          <w:rFonts w:cs="Open Sans"/>
          <w:sz w:val="18"/>
          <w:szCs w:val="18"/>
        </w:rPr>
        <w:t xml:space="preserve"> </w:t>
      </w:r>
    </w:p>
  </w:endnote>
  <w:endnote w:id="178">
    <w:p w14:paraId="6A4FA572" w14:textId="31BFDED7" w:rsidR="00780BE6" w:rsidRPr="00825777" w:rsidRDefault="00780BE6">
      <w:pPr>
        <w:pStyle w:val="EndnoteText"/>
        <w:rPr>
          <w:rFonts w:cs="Open Sans"/>
        </w:rPr>
      </w:pPr>
      <w:r w:rsidRPr="00825777">
        <w:rPr>
          <w:rStyle w:val="EndnoteReference"/>
          <w:rFonts w:cs="Open Sans"/>
        </w:rPr>
        <w:endnoteRef/>
      </w:r>
      <w:r w:rsidRPr="00825777">
        <w:rPr>
          <w:rFonts w:cs="Open Sans"/>
        </w:rPr>
        <w:t xml:space="preserve"> </w:t>
      </w:r>
      <w:r w:rsidR="0017361B" w:rsidRPr="002D4943">
        <w:rPr>
          <w:rFonts w:cs="Open Sans"/>
          <w:sz w:val="18"/>
          <w:szCs w:val="18"/>
        </w:rPr>
        <w:t>Ibid</w:t>
      </w:r>
      <w:r w:rsidRPr="002D4943">
        <w:rPr>
          <w:rFonts w:cs="Open Sans"/>
          <w:sz w:val="18"/>
          <w:szCs w:val="18"/>
        </w:rPr>
        <w:t>, 73</w:t>
      </w:r>
      <w:r w:rsidR="00AE504B" w:rsidRPr="002D4943">
        <w:rPr>
          <w:rFonts w:cs="Open Sans"/>
          <w:sz w:val="18"/>
          <w:szCs w:val="18"/>
        </w:rPr>
        <w:t>.</w:t>
      </w:r>
      <w:r w:rsidRPr="002D4943">
        <w:rPr>
          <w:rFonts w:cs="Open Sans"/>
          <w:sz w:val="18"/>
          <w:szCs w:val="18"/>
          <w:highlight w:val="yellow"/>
        </w:rPr>
        <w:t xml:space="preserve"> </w:t>
      </w:r>
    </w:p>
  </w:endnote>
  <w:endnote w:id="179">
    <w:p w14:paraId="791DD8AB" w14:textId="28946512" w:rsidR="00C04945" w:rsidRPr="002D4943" w:rsidRDefault="00C04945" w:rsidP="00C04945">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Pr="002D4943">
        <w:rPr>
          <w:rFonts w:cs="Open Sans"/>
          <w:sz w:val="18"/>
          <w:szCs w:val="18"/>
        </w:rPr>
        <w:t>78</w:t>
      </w:r>
      <w:r w:rsidRPr="002D4943">
        <w:rPr>
          <w:rFonts w:cs="Open Sans"/>
          <w:i/>
          <w:sz w:val="18"/>
          <w:szCs w:val="18"/>
        </w:rPr>
        <w:t>.</w:t>
      </w:r>
    </w:p>
  </w:endnote>
  <w:endnote w:id="180">
    <w:p w14:paraId="090E0273" w14:textId="77777777" w:rsidR="00C04945" w:rsidRPr="002D4943" w:rsidRDefault="00C04945" w:rsidP="00C0494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Productivity Commission, </w:t>
      </w:r>
      <w:r w:rsidRPr="002D4943">
        <w:rPr>
          <w:rFonts w:cs="Open Sans"/>
          <w:i/>
          <w:sz w:val="18"/>
          <w:szCs w:val="18"/>
        </w:rPr>
        <w:t xml:space="preserve">Review of the Disability Discrimination Act 1992 </w:t>
      </w:r>
      <w:r w:rsidRPr="002D4943">
        <w:rPr>
          <w:rFonts w:cs="Open Sans"/>
          <w:sz w:val="18"/>
          <w:szCs w:val="18"/>
        </w:rPr>
        <w:t>(Report No 30, 2004) Overview, XXXVII.</w:t>
      </w:r>
    </w:p>
  </w:endnote>
  <w:endnote w:id="181">
    <w:p w14:paraId="79809FA9" w14:textId="77777777" w:rsidR="00C04945" w:rsidRPr="002D4943" w:rsidRDefault="00C04945" w:rsidP="00C0494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Productivity Commission, </w:t>
      </w:r>
      <w:r w:rsidRPr="002D4943">
        <w:rPr>
          <w:rFonts w:cs="Open Sans"/>
          <w:i/>
          <w:sz w:val="18"/>
          <w:szCs w:val="18"/>
        </w:rPr>
        <w:t xml:space="preserve">Review of the Disability Discrimination Act 1992 </w:t>
      </w:r>
      <w:r w:rsidRPr="002D4943">
        <w:rPr>
          <w:rFonts w:cs="Open Sans"/>
          <w:sz w:val="18"/>
          <w:szCs w:val="18"/>
        </w:rPr>
        <w:t>(Report No 30, 2004) 134.</w:t>
      </w:r>
    </w:p>
  </w:endnote>
  <w:endnote w:id="182">
    <w:p w14:paraId="567A04D6" w14:textId="77777777" w:rsidR="00C04945" w:rsidRPr="002D4943" w:rsidRDefault="00C04945" w:rsidP="00C04945">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Dr Andrew Leigh MP, </w:t>
      </w:r>
      <w:hyperlink r:id="rId11" w:history="1">
        <w:r w:rsidRPr="002D4943">
          <w:rPr>
            <w:rStyle w:val="Hyperlink"/>
            <w:rFonts w:cs="Open Sans"/>
            <w:i/>
            <w:sz w:val="18"/>
            <w:szCs w:val="18"/>
          </w:rPr>
          <w:t>Opinion piece: A productivity agenda that puts people first</w:t>
        </w:r>
      </w:hyperlink>
      <w:r w:rsidRPr="002D4943">
        <w:rPr>
          <w:rFonts w:cs="Open Sans"/>
          <w:sz w:val="18"/>
          <w:szCs w:val="18"/>
        </w:rPr>
        <w:t xml:space="preserve">, Australian Ministers Treasury portfolio [Article] 25 July 2025, accessed September 2025, &lt;https://ministers.treasury.gov.au/ministers/andrew-leigh-2025/articles/opinion-piece-productivity-agenda-puts-people-first&gt;. ACT Human Rights Commission, </w:t>
      </w:r>
      <w:hyperlink r:id="rId12" w:history="1">
        <w:r w:rsidRPr="002D4943">
          <w:rPr>
            <w:rStyle w:val="Hyperlink"/>
            <w:rFonts w:cs="Open Sans"/>
            <w:i/>
            <w:sz w:val="18"/>
            <w:szCs w:val="18"/>
          </w:rPr>
          <w:t>ACT Discrimination Act Positive Duty</w:t>
        </w:r>
      </w:hyperlink>
      <w:r w:rsidRPr="002D4943">
        <w:rPr>
          <w:rFonts w:cs="Open Sans"/>
          <w:i/>
          <w:sz w:val="18"/>
          <w:szCs w:val="18"/>
        </w:rPr>
        <w:t xml:space="preserve">, </w:t>
      </w:r>
      <w:r w:rsidRPr="002D4943">
        <w:rPr>
          <w:rFonts w:cs="Open Sans"/>
          <w:sz w:val="18"/>
          <w:szCs w:val="18"/>
        </w:rPr>
        <w:t>[website], n.d., accessed 9 September 2025.</w:t>
      </w:r>
    </w:p>
  </w:endnote>
  <w:endnote w:id="183">
    <w:p w14:paraId="1A75A90F" w14:textId="28D4A92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B5A79" w:rsidRPr="002D4943">
        <w:rPr>
          <w:rFonts w:cs="Open Sans"/>
          <w:sz w:val="18"/>
          <w:szCs w:val="18"/>
        </w:rPr>
        <w:t>Australian Government Attorney-General</w:t>
      </w:r>
      <w:r w:rsidR="00027D5F" w:rsidRPr="002D4943">
        <w:rPr>
          <w:rFonts w:cs="Open Sans"/>
          <w:sz w:val="18"/>
          <w:szCs w:val="18"/>
        </w:rPr>
        <w:t>’</w:t>
      </w:r>
      <w:r w:rsidR="00CB5A79" w:rsidRPr="002D4943">
        <w:rPr>
          <w:rFonts w:cs="Open Sans"/>
          <w:sz w:val="18"/>
          <w:szCs w:val="18"/>
        </w:rPr>
        <w:t xml:space="preserve">s Department, </w:t>
      </w:r>
      <w:r w:rsidR="00CB5A79" w:rsidRPr="002D4943">
        <w:rPr>
          <w:rFonts w:cs="Open Sans"/>
          <w:i/>
          <w:sz w:val="18"/>
          <w:szCs w:val="18"/>
        </w:rPr>
        <w:t xml:space="preserve">Disability Discrimination Act 1992 Review </w:t>
      </w:r>
      <w:r w:rsidR="00CB5A79" w:rsidRPr="002D4943">
        <w:rPr>
          <w:rFonts w:cs="Open Sans"/>
          <w:sz w:val="18"/>
          <w:szCs w:val="18"/>
        </w:rPr>
        <w:t>(Issues Paper, 1 August 2025) 41.</w:t>
      </w:r>
    </w:p>
  </w:endnote>
  <w:endnote w:id="184">
    <w:p w14:paraId="2EE35ED2" w14:textId="0C05276D"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C315DA" w:rsidRPr="002D4943">
        <w:rPr>
          <w:rFonts w:cs="Open Sans"/>
          <w:sz w:val="18"/>
          <w:szCs w:val="18"/>
        </w:rPr>
        <w:t xml:space="preserve"> </w:t>
      </w:r>
      <w:r w:rsidR="0017361B" w:rsidRPr="002D4943">
        <w:rPr>
          <w:rFonts w:cs="Open Sans"/>
          <w:iCs/>
          <w:sz w:val="18"/>
          <w:szCs w:val="18"/>
        </w:rPr>
        <w:t>Disability Royal Commission Final Report</w:t>
      </w:r>
      <w:r w:rsidR="0017361B" w:rsidRPr="002D4943">
        <w:rPr>
          <w:rFonts w:cs="Open Sans"/>
          <w:sz w:val="18"/>
          <w:szCs w:val="18"/>
        </w:rPr>
        <w:t xml:space="preserve"> </w:t>
      </w:r>
      <w:r w:rsidR="00C315DA" w:rsidRPr="002D4943">
        <w:rPr>
          <w:rFonts w:cs="Open Sans"/>
          <w:sz w:val="18"/>
          <w:szCs w:val="18"/>
        </w:rPr>
        <w:t>Executive Summary</w:t>
      </w:r>
      <w:r w:rsidR="00CB3182" w:rsidRPr="002D4943">
        <w:rPr>
          <w:rFonts w:cs="Open Sans"/>
          <w:sz w:val="18"/>
          <w:szCs w:val="18"/>
        </w:rPr>
        <w:t>, 53, 62.</w:t>
      </w:r>
      <w:r w:rsidRPr="002D4943">
        <w:rPr>
          <w:rFonts w:cs="Open Sans"/>
          <w:sz w:val="18"/>
          <w:szCs w:val="18"/>
        </w:rPr>
        <w:t xml:space="preserve"> </w:t>
      </w:r>
    </w:p>
  </w:endnote>
  <w:endnote w:id="185">
    <w:p w14:paraId="63B964DF" w14:textId="794F0360"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B5A79" w:rsidRPr="002D4943">
        <w:rPr>
          <w:rFonts w:cs="Open Sans"/>
          <w:sz w:val="18"/>
          <w:szCs w:val="18"/>
        </w:rPr>
        <w:t xml:space="preserve">Australian Government Attorney-General’s Department, </w:t>
      </w:r>
      <w:r w:rsidR="00CB5A79" w:rsidRPr="002D4943">
        <w:rPr>
          <w:rFonts w:cs="Open Sans"/>
          <w:i/>
          <w:sz w:val="18"/>
          <w:szCs w:val="18"/>
        </w:rPr>
        <w:t xml:space="preserve">Disability Discrimination Act 1992 Review </w:t>
      </w:r>
      <w:r w:rsidR="00CB5A79" w:rsidRPr="002D4943">
        <w:rPr>
          <w:rFonts w:cs="Open Sans"/>
          <w:sz w:val="18"/>
          <w:szCs w:val="18"/>
        </w:rPr>
        <w:t>(Issues Paper, 1 August 2025) 41.</w:t>
      </w:r>
    </w:p>
  </w:endnote>
  <w:endnote w:id="186">
    <w:p w14:paraId="5A5F9CE5" w14:textId="37F742FD"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485408" w:rsidRPr="002D4943">
        <w:rPr>
          <w:rFonts w:cs="Open Sans"/>
          <w:sz w:val="18"/>
          <w:szCs w:val="18"/>
        </w:rPr>
        <w:t xml:space="preserve">Reforms to the </w:t>
      </w:r>
      <w:r w:rsidR="00485408" w:rsidRPr="002D4943">
        <w:rPr>
          <w:rFonts w:cs="Open Sans"/>
          <w:i/>
          <w:sz w:val="18"/>
          <w:szCs w:val="18"/>
        </w:rPr>
        <w:t>Anti-Discrimination Act 1991</w:t>
      </w:r>
      <w:r w:rsidR="00570399" w:rsidRPr="002D4943">
        <w:rPr>
          <w:rFonts w:cs="Open Sans"/>
          <w:i/>
          <w:sz w:val="18"/>
          <w:szCs w:val="18"/>
        </w:rPr>
        <w:t xml:space="preserve"> </w:t>
      </w:r>
      <w:r w:rsidR="00570399" w:rsidRPr="002D4943">
        <w:rPr>
          <w:rFonts w:cs="Open Sans"/>
          <w:sz w:val="18"/>
          <w:szCs w:val="18"/>
        </w:rPr>
        <w:t>(Qld) were due to commence on 1 July 2025, however on 14 March 2025</w:t>
      </w:r>
      <w:r w:rsidR="00065392" w:rsidRPr="002D4943">
        <w:rPr>
          <w:rFonts w:cs="Open Sans"/>
          <w:sz w:val="18"/>
          <w:szCs w:val="18"/>
        </w:rPr>
        <w:t>,</w:t>
      </w:r>
      <w:r w:rsidR="00570399" w:rsidRPr="002D4943">
        <w:rPr>
          <w:rFonts w:cs="Open Sans"/>
          <w:sz w:val="18"/>
          <w:szCs w:val="18"/>
        </w:rPr>
        <w:t xml:space="preserve"> the Queensland government announced</w:t>
      </w:r>
      <w:r w:rsidR="00964097" w:rsidRPr="002D4943">
        <w:rPr>
          <w:rFonts w:cs="Open Sans"/>
          <w:sz w:val="18"/>
          <w:szCs w:val="18"/>
        </w:rPr>
        <w:t xml:space="preserve"> that the amendments</w:t>
      </w:r>
      <w:r w:rsidR="00BA241E" w:rsidRPr="002D4943">
        <w:rPr>
          <w:rFonts w:cs="Open Sans"/>
          <w:sz w:val="18"/>
          <w:szCs w:val="18"/>
        </w:rPr>
        <w:t xml:space="preserve"> to the </w:t>
      </w:r>
      <w:r w:rsidR="00BA241E" w:rsidRPr="002D4943">
        <w:rPr>
          <w:rFonts w:cs="Open Sans"/>
          <w:i/>
          <w:sz w:val="18"/>
          <w:szCs w:val="18"/>
        </w:rPr>
        <w:t>Anti-Discrimination Act 1991</w:t>
      </w:r>
      <w:r w:rsidR="00964097" w:rsidRPr="002D4943">
        <w:rPr>
          <w:rFonts w:cs="Open Sans"/>
          <w:sz w:val="18"/>
          <w:szCs w:val="18"/>
        </w:rPr>
        <w:t xml:space="preserve"> </w:t>
      </w:r>
      <w:r w:rsidR="00065392" w:rsidRPr="002D4943">
        <w:rPr>
          <w:rFonts w:cs="Open Sans"/>
          <w:sz w:val="18"/>
          <w:szCs w:val="18"/>
        </w:rPr>
        <w:t xml:space="preserve">(Qld) </w:t>
      </w:r>
      <w:r w:rsidR="00964097" w:rsidRPr="002D4943">
        <w:rPr>
          <w:rFonts w:cs="Open Sans"/>
          <w:sz w:val="18"/>
          <w:szCs w:val="18"/>
        </w:rPr>
        <w:t xml:space="preserve">will </w:t>
      </w:r>
      <w:r w:rsidR="00C42115" w:rsidRPr="002D4943">
        <w:rPr>
          <w:rFonts w:cs="Open Sans"/>
          <w:sz w:val="18"/>
          <w:szCs w:val="18"/>
        </w:rPr>
        <w:t xml:space="preserve">be </w:t>
      </w:r>
      <w:r w:rsidR="00964097" w:rsidRPr="002D4943">
        <w:rPr>
          <w:rFonts w:cs="Open Sans"/>
          <w:sz w:val="18"/>
          <w:szCs w:val="18"/>
        </w:rPr>
        <w:t>paused</w:t>
      </w:r>
      <w:r w:rsidR="00C42115" w:rsidRPr="002D4943">
        <w:rPr>
          <w:rFonts w:cs="Open Sans"/>
          <w:sz w:val="18"/>
          <w:szCs w:val="18"/>
        </w:rPr>
        <w:t xml:space="preserve"> to allow for further consultation</w:t>
      </w:r>
      <w:r w:rsidR="00BA241E" w:rsidRPr="002D4943">
        <w:rPr>
          <w:rFonts w:cs="Open Sans"/>
          <w:sz w:val="18"/>
          <w:szCs w:val="18"/>
        </w:rPr>
        <w:t xml:space="preserve"> by the Queensland Government</w:t>
      </w:r>
      <w:r w:rsidR="00964097" w:rsidRPr="002D4943">
        <w:rPr>
          <w:rFonts w:cs="Open Sans"/>
          <w:sz w:val="18"/>
          <w:szCs w:val="18"/>
        </w:rPr>
        <w:t xml:space="preserve">. See: Queensland </w:t>
      </w:r>
      <w:r w:rsidR="00FF0F1A" w:rsidRPr="002D4943">
        <w:rPr>
          <w:rFonts w:cs="Open Sans"/>
          <w:sz w:val="18"/>
          <w:szCs w:val="18"/>
        </w:rPr>
        <w:t xml:space="preserve">Government Attorney General and Minister for Justice and Minister for Integrity, </w:t>
      </w:r>
      <w:hyperlink r:id="rId13" w:history="1">
        <w:r w:rsidR="00FF0F1A" w:rsidRPr="002D4943">
          <w:rPr>
            <w:rStyle w:val="Hyperlink"/>
            <w:rFonts w:cs="Open Sans"/>
            <w:sz w:val="18"/>
            <w:szCs w:val="18"/>
          </w:rPr>
          <w:t>Crisafulli Government to consult on anti-discrimination laws</w:t>
        </w:r>
      </w:hyperlink>
      <w:r w:rsidR="00FD6504" w:rsidRPr="002D4943">
        <w:rPr>
          <w:rFonts w:cs="Open Sans"/>
          <w:i/>
          <w:sz w:val="18"/>
          <w:szCs w:val="18"/>
        </w:rPr>
        <w:t xml:space="preserve"> </w:t>
      </w:r>
      <w:r w:rsidR="00FD6504" w:rsidRPr="002D4943">
        <w:rPr>
          <w:rFonts w:cs="Open Sans"/>
          <w:sz w:val="18"/>
          <w:szCs w:val="18"/>
        </w:rPr>
        <w:t>[media release</w:t>
      </w:r>
      <w:r w:rsidR="00BD376E" w:rsidRPr="002D4943">
        <w:rPr>
          <w:rFonts w:cs="Open Sans"/>
          <w:sz w:val="18"/>
          <w:szCs w:val="18"/>
        </w:rPr>
        <w:t>] 14 March 2025, access</w:t>
      </w:r>
      <w:r w:rsidR="00065392" w:rsidRPr="002D4943">
        <w:rPr>
          <w:rFonts w:cs="Open Sans"/>
          <w:sz w:val="18"/>
          <w:szCs w:val="18"/>
        </w:rPr>
        <w:t>ed</w:t>
      </w:r>
      <w:r w:rsidR="00BD376E" w:rsidRPr="002D4943">
        <w:rPr>
          <w:rFonts w:cs="Open Sans"/>
          <w:sz w:val="18"/>
          <w:szCs w:val="18"/>
        </w:rPr>
        <w:t xml:space="preserve"> 30 September 2025</w:t>
      </w:r>
      <w:r w:rsidR="00C86CE8" w:rsidRPr="002D4943">
        <w:rPr>
          <w:rFonts w:cs="Open Sans"/>
          <w:sz w:val="18"/>
          <w:szCs w:val="18"/>
        </w:rPr>
        <w:t>.</w:t>
      </w:r>
      <w:r w:rsidR="00D86D5F" w:rsidRPr="002D4943">
        <w:rPr>
          <w:rFonts w:cs="Open Sans"/>
          <w:sz w:val="18"/>
          <w:szCs w:val="18"/>
        </w:rPr>
        <w:t xml:space="preserve"> The Law Reform Commission of Western Australia </w:t>
      </w:r>
      <w:r w:rsidR="00BA241E" w:rsidRPr="002D4943">
        <w:rPr>
          <w:rFonts w:cs="Open Sans"/>
          <w:sz w:val="18"/>
          <w:szCs w:val="18"/>
        </w:rPr>
        <w:t xml:space="preserve">provided </w:t>
      </w:r>
      <w:r w:rsidR="00877403" w:rsidRPr="002D4943">
        <w:rPr>
          <w:rFonts w:cs="Open Sans"/>
          <w:sz w:val="18"/>
          <w:szCs w:val="18"/>
        </w:rPr>
        <w:t>it</w:t>
      </w:r>
      <w:r w:rsidR="00FD402E" w:rsidRPr="002D4943">
        <w:rPr>
          <w:rFonts w:cs="Open Sans"/>
          <w:sz w:val="18"/>
          <w:szCs w:val="18"/>
        </w:rPr>
        <w:t xml:space="preserve">s final report </w:t>
      </w:r>
      <w:r w:rsidR="00384F96" w:rsidRPr="002D4943">
        <w:rPr>
          <w:rFonts w:cs="Open Sans"/>
          <w:sz w:val="18"/>
          <w:szCs w:val="18"/>
        </w:rPr>
        <w:t xml:space="preserve">on </w:t>
      </w:r>
      <w:r w:rsidR="00EE771E" w:rsidRPr="002D4943">
        <w:rPr>
          <w:rFonts w:cs="Open Sans"/>
          <w:sz w:val="18"/>
          <w:szCs w:val="18"/>
        </w:rPr>
        <w:t>proposed</w:t>
      </w:r>
      <w:r w:rsidR="00BF0CF1" w:rsidRPr="002D4943">
        <w:rPr>
          <w:rFonts w:cs="Open Sans"/>
          <w:sz w:val="18"/>
          <w:szCs w:val="18"/>
        </w:rPr>
        <w:t xml:space="preserve"> </w:t>
      </w:r>
      <w:r w:rsidR="00384F96" w:rsidRPr="002D4943">
        <w:rPr>
          <w:rFonts w:cs="Open Sans"/>
          <w:sz w:val="18"/>
          <w:szCs w:val="18"/>
        </w:rPr>
        <w:t xml:space="preserve">amendments to the </w:t>
      </w:r>
      <w:r w:rsidR="00384F96" w:rsidRPr="002D4943">
        <w:rPr>
          <w:rFonts w:cs="Open Sans"/>
          <w:i/>
          <w:sz w:val="18"/>
          <w:szCs w:val="18"/>
        </w:rPr>
        <w:t>Equal Opportunity Act 1984</w:t>
      </w:r>
      <w:r w:rsidR="00EE771E" w:rsidRPr="002D4943">
        <w:rPr>
          <w:rFonts w:cs="Open Sans"/>
          <w:i/>
          <w:sz w:val="18"/>
          <w:szCs w:val="18"/>
        </w:rPr>
        <w:t xml:space="preserve"> </w:t>
      </w:r>
      <w:r w:rsidR="00EE771E" w:rsidRPr="002D4943">
        <w:rPr>
          <w:rFonts w:cs="Open Sans"/>
          <w:sz w:val="18"/>
          <w:szCs w:val="18"/>
        </w:rPr>
        <w:t>(WA)</w:t>
      </w:r>
      <w:r w:rsidR="00384F96" w:rsidRPr="002D4943">
        <w:rPr>
          <w:rFonts w:cs="Open Sans"/>
          <w:sz w:val="18"/>
          <w:szCs w:val="18"/>
        </w:rPr>
        <w:t xml:space="preserve"> </w:t>
      </w:r>
      <w:r w:rsidR="00BA241E" w:rsidRPr="002D4943">
        <w:rPr>
          <w:rFonts w:cs="Open Sans"/>
          <w:sz w:val="18"/>
          <w:szCs w:val="18"/>
        </w:rPr>
        <w:t xml:space="preserve">to the Western Australian government </w:t>
      </w:r>
      <w:r w:rsidR="00384F96" w:rsidRPr="002D4943">
        <w:rPr>
          <w:rFonts w:cs="Open Sans"/>
          <w:sz w:val="18"/>
          <w:szCs w:val="18"/>
        </w:rPr>
        <w:t xml:space="preserve">in </w:t>
      </w:r>
      <w:r w:rsidR="00CF5ED8" w:rsidRPr="002D4943">
        <w:rPr>
          <w:rFonts w:cs="Open Sans"/>
          <w:sz w:val="18"/>
          <w:szCs w:val="18"/>
        </w:rPr>
        <w:t xml:space="preserve">May 2022. The Final Report was tabled in </w:t>
      </w:r>
      <w:r w:rsidR="00BF0CF1" w:rsidRPr="002D4943">
        <w:rPr>
          <w:rFonts w:cs="Open Sans"/>
          <w:sz w:val="18"/>
          <w:szCs w:val="18"/>
        </w:rPr>
        <w:t xml:space="preserve">Western Australian </w:t>
      </w:r>
      <w:r w:rsidR="00CF5ED8" w:rsidRPr="002D4943">
        <w:rPr>
          <w:rFonts w:cs="Open Sans"/>
          <w:sz w:val="18"/>
          <w:szCs w:val="18"/>
        </w:rPr>
        <w:t>parliament on 16 August 2022</w:t>
      </w:r>
      <w:r w:rsidR="00BF0CF1" w:rsidRPr="002D4943">
        <w:rPr>
          <w:rFonts w:cs="Open Sans"/>
          <w:sz w:val="18"/>
          <w:szCs w:val="18"/>
        </w:rPr>
        <w:t>,</w:t>
      </w:r>
      <w:r w:rsidR="00CF5ED8" w:rsidRPr="002D4943">
        <w:rPr>
          <w:rFonts w:cs="Open Sans"/>
          <w:sz w:val="18"/>
          <w:szCs w:val="18"/>
        </w:rPr>
        <w:t xml:space="preserve"> but</w:t>
      </w:r>
      <w:r w:rsidR="00CD0EB5" w:rsidRPr="002D4943">
        <w:rPr>
          <w:rFonts w:cs="Open Sans"/>
          <w:sz w:val="18"/>
          <w:szCs w:val="18"/>
        </w:rPr>
        <w:t xml:space="preserve"> as </w:t>
      </w:r>
      <w:r w:rsidR="00BF0CF1" w:rsidRPr="002D4943">
        <w:rPr>
          <w:rFonts w:cs="Open Sans"/>
          <w:sz w:val="18"/>
          <w:szCs w:val="18"/>
        </w:rPr>
        <w:t>at the writing of this submission,</w:t>
      </w:r>
      <w:r w:rsidR="00CF5ED8" w:rsidRPr="002D4943">
        <w:rPr>
          <w:rFonts w:cs="Open Sans"/>
          <w:sz w:val="18"/>
          <w:szCs w:val="18"/>
        </w:rPr>
        <w:t xml:space="preserve"> there have been no further updates </w:t>
      </w:r>
      <w:r w:rsidR="00CD0EB5" w:rsidRPr="002D4943">
        <w:rPr>
          <w:rFonts w:cs="Open Sans"/>
          <w:sz w:val="18"/>
          <w:szCs w:val="18"/>
        </w:rPr>
        <w:t>on the proposed amendments at this time</w:t>
      </w:r>
      <w:r w:rsidR="00CF5ED8" w:rsidRPr="002D4943">
        <w:rPr>
          <w:rFonts w:cs="Open Sans"/>
          <w:sz w:val="18"/>
          <w:szCs w:val="18"/>
        </w:rPr>
        <w:t>.</w:t>
      </w:r>
      <w:r w:rsidR="00D56E5B" w:rsidRPr="002D4943">
        <w:rPr>
          <w:rFonts w:cs="Open Sans"/>
          <w:sz w:val="18"/>
          <w:szCs w:val="18"/>
        </w:rPr>
        <w:t xml:space="preserve"> </w:t>
      </w:r>
      <w:r w:rsidR="00234F82" w:rsidRPr="002D4943">
        <w:rPr>
          <w:rFonts w:cs="Open Sans"/>
          <w:sz w:val="18"/>
          <w:szCs w:val="18"/>
        </w:rPr>
        <w:t>See</w:t>
      </w:r>
      <w:r w:rsidR="00DF2AD6" w:rsidRPr="002D4943">
        <w:rPr>
          <w:rFonts w:cs="Open Sans"/>
          <w:sz w:val="18"/>
          <w:szCs w:val="18"/>
        </w:rPr>
        <w:t>:</w:t>
      </w:r>
      <w:r w:rsidR="00B16C73" w:rsidRPr="002D4943">
        <w:rPr>
          <w:rFonts w:cs="Open Sans"/>
          <w:sz w:val="18"/>
          <w:szCs w:val="18"/>
        </w:rPr>
        <w:t xml:space="preserve"> Government of Western Australia</w:t>
      </w:r>
      <w:r w:rsidR="00DF2AD6" w:rsidRPr="002D4943">
        <w:rPr>
          <w:rFonts w:cs="Open Sans"/>
          <w:sz w:val="18"/>
          <w:szCs w:val="18"/>
        </w:rPr>
        <w:t>,</w:t>
      </w:r>
      <w:r w:rsidR="00B16C73" w:rsidRPr="002D4943">
        <w:rPr>
          <w:rFonts w:cs="Open Sans"/>
          <w:sz w:val="18"/>
          <w:szCs w:val="18"/>
        </w:rPr>
        <w:t xml:space="preserve"> </w:t>
      </w:r>
      <w:hyperlink r:id="rId14" w:history="1">
        <w:r w:rsidR="00B16C73" w:rsidRPr="002D4943">
          <w:rPr>
            <w:rStyle w:val="Hyperlink"/>
            <w:rFonts w:cs="Open Sans"/>
            <w:i/>
            <w:sz w:val="18"/>
            <w:szCs w:val="18"/>
          </w:rPr>
          <w:t>Project 111 – Review of the Equal Opportunity Act 1984</w:t>
        </w:r>
      </w:hyperlink>
      <w:r w:rsidR="00230BED" w:rsidRPr="002D4943">
        <w:rPr>
          <w:rFonts w:cs="Open Sans"/>
          <w:sz w:val="18"/>
          <w:szCs w:val="18"/>
        </w:rPr>
        <w:t>, [</w:t>
      </w:r>
      <w:r w:rsidR="00B16C73" w:rsidRPr="002D4943">
        <w:rPr>
          <w:rFonts w:cs="Open Sans"/>
          <w:sz w:val="18"/>
          <w:szCs w:val="18"/>
        </w:rPr>
        <w:t>Website</w:t>
      </w:r>
      <w:r w:rsidR="00230BED" w:rsidRPr="002D4943">
        <w:rPr>
          <w:rFonts w:cs="Open Sans"/>
          <w:sz w:val="18"/>
          <w:szCs w:val="18"/>
        </w:rPr>
        <w:t>]</w:t>
      </w:r>
      <w:r w:rsidR="00B16C73" w:rsidRPr="002D4943">
        <w:rPr>
          <w:rFonts w:cs="Open Sans"/>
          <w:sz w:val="18"/>
          <w:szCs w:val="18"/>
        </w:rPr>
        <w:t>,</w:t>
      </w:r>
      <w:r w:rsidR="00FA111A" w:rsidRPr="002D4943">
        <w:rPr>
          <w:rFonts w:cs="Open Sans"/>
          <w:sz w:val="18"/>
          <w:szCs w:val="18"/>
        </w:rPr>
        <w:t xml:space="preserve"> 30 April 2024, accessed on 30 September 2025.</w:t>
      </w:r>
      <w:r w:rsidR="007903AF" w:rsidRPr="002D4943">
        <w:rPr>
          <w:rFonts w:cs="Open Sans"/>
          <w:sz w:val="18"/>
          <w:szCs w:val="18"/>
        </w:rPr>
        <w:t xml:space="preserve"> </w:t>
      </w:r>
    </w:p>
  </w:endnote>
  <w:endnote w:id="187">
    <w:p w14:paraId="2112EDE3" w14:textId="197B2915"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The following are not considered to be a </w:t>
      </w:r>
      <w:r w:rsidR="0017361B" w:rsidRPr="002D4943">
        <w:rPr>
          <w:rFonts w:cs="Open Sans"/>
          <w:sz w:val="18"/>
          <w:szCs w:val="18"/>
          <w:lang w:val="en-US"/>
        </w:rPr>
        <w:t>‘</w:t>
      </w:r>
      <w:r w:rsidRPr="002D4943">
        <w:rPr>
          <w:rFonts w:cs="Open Sans"/>
          <w:sz w:val="18"/>
          <w:szCs w:val="18"/>
        </w:rPr>
        <w:t>person conducting a business or undertaking</w:t>
      </w:r>
      <w:r w:rsidR="0017361B" w:rsidRPr="002D4943">
        <w:rPr>
          <w:rFonts w:cs="Open Sans"/>
          <w:sz w:val="18"/>
          <w:szCs w:val="18"/>
          <w:lang w:val="en-US"/>
        </w:rPr>
        <w:t>’</w:t>
      </w:r>
      <w:r w:rsidRPr="002D4943">
        <w:rPr>
          <w:rFonts w:cs="Open Sans"/>
          <w:sz w:val="18"/>
          <w:szCs w:val="18"/>
        </w:rPr>
        <w:t xml:space="preserve">: an individual engaged solely as a worker (such as an employee) or officer (such as an executive manager), where they are acting in that capacity alone; volunteer associations, unless they (or members on behalf of the association) employ one or more people; elected members of a local authority (who are acting in that capacity); strata title companies (bodies corporate) that are responsible for common areas used only for residential purposes, unless the strata company engages one or more workers as an employee. </w:t>
      </w:r>
    </w:p>
  </w:endnote>
  <w:endnote w:id="188">
    <w:p w14:paraId="6E3CD822"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ACT Human Rights Commission, </w:t>
      </w:r>
      <w:hyperlink r:id="rId15" w:history="1">
        <w:r w:rsidRPr="002D4943">
          <w:rPr>
            <w:rStyle w:val="Hyperlink"/>
            <w:rFonts w:cs="Open Sans"/>
            <w:i/>
            <w:sz w:val="18"/>
            <w:szCs w:val="18"/>
          </w:rPr>
          <w:t>ACT Discrimination Act Positive Duty</w:t>
        </w:r>
      </w:hyperlink>
      <w:r w:rsidRPr="002D4943">
        <w:rPr>
          <w:rFonts w:cs="Open Sans"/>
          <w:i/>
          <w:sz w:val="18"/>
          <w:szCs w:val="18"/>
        </w:rPr>
        <w:t xml:space="preserve">, </w:t>
      </w:r>
      <w:r w:rsidRPr="002D4943">
        <w:rPr>
          <w:rFonts w:cs="Open Sans"/>
          <w:sz w:val="18"/>
          <w:szCs w:val="18"/>
        </w:rPr>
        <w:t>[website], n.d., accessed 9 September 2025.</w:t>
      </w:r>
    </w:p>
  </w:endnote>
  <w:endnote w:id="189">
    <w:p w14:paraId="2F3C72CF"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ACT Human Rights Commission, </w:t>
      </w:r>
      <w:hyperlink r:id="rId16" w:history="1">
        <w:r w:rsidRPr="002D4943">
          <w:rPr>
            <w:rStyle w:val="Hyperlink"/>
            <w:rFonts w:cs="Open Sans"/>
            <w:i/>
            <w:sz w:val="18"/>
            <w:szCs w:val="18"/>
          </w:rPr>
          <w:t>ACT Discrimination Act Positive Duty</w:t>
        </w:r>
      </w:hyperlink>
      <w:r w:rsidRPr="002D4943">
        <w:rPr>
          <w:rFonts w:cs="Open Sans"/>
          <w:i/>
          <w:sz w:val="18"/>
          <w:szCs w:val="18"/>
        </w:rPr>
        <w:t xml:space="preserve">, </w:t>
      </w:r>
      <w:r w:rsidRPr="002D4943">
        <w:rPr>
          <w:rFonts w:cs="Open Sans"/>
          <w:sz w:val="18"/>
          <w:szCs w:val="18"/>
        </w:rPr>
        <w:t>[website], n.d., accessed 9 September 2025.</w:t>
      </w:r>
    </w:p>
  </w:endnote>
  <w:endnote w:id="190">
    <w:p w14:paraId="3D0D3CC0" w14:textId="37E7BD5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00976495" w:rsidRPr="002D4943">
        <w:rPr>
          <w:rFonts w:cs="Open Sans"/>
          <w:sz w:val="18"/>
          <w:szCs w:val="18"/>
        </w:rPr>
        <w:t>333.</w:t>
      </w:r>
    </w:p>
  </w:endnote>
  <w:endnote w:id="191">
    <w:p w14:paraId="3DB06D76" w14:textId="400BEF41" w:rsidR="00B670A0" w:rsidRPr="002D4943" w:rsidRDefault="00B670A0" w:rsidP="005D31AF">
      <w:pPr>
        <w:pStyle w:val="EndnoteText"/>
        <w:ind w:left="0" w:firstLine="0"/>
        <w:rPr>
          <w:rFonts w:cs="Open Sans"/>
          <w:sz w:val="18"/>
          <w:szCs w:val="18"/>
          <w:lang w:val="en-US"/>
        </w:rPr>
      </w:pPr>
      <w:r w:rsidRPr="002D4943">
        <w:rPr>
          <w:rStyle w:val="EndnoteReference"/>
          <w:rFonts w:cs="Open Sans"/>
          <w:sz w:val="18"/>
          <w:szCs w:val="18"/>
        </w:rPr>
        <w:endnoteRef/>
      </w:r>
      <w:r w:rsidRPr="002D4943">
        <w:rPr>
          <w:rFonts w:cs="Open Sans"/>
          <w:sz w:val="18"/>
          <w:szCs w:val="18"/>
        </w:rPr>
        <w:t xml:space="preserve"> </w:t>
      </w:r>
      <w:r w:rsidR="00C13414" w:rsidRPr="002D4943">
        <w:rPr>
          <w:rFonts w:cs="Open Sans"/>
          <w:sz w:val="18"/>
          <w:szCs w:val="18"/>
        </w:rPr>
        <w:t>Department of Finance (Cth)</w:t>
      </w:r>
      <w:r w:rsidR="00D72A5B" w:rsidRPr="002D4943">
        <w:rPr>
          <w:rFonts w:cs="Open Sans"/>
          <w:sz w:val="18"/>
          <w:szCs w:val="18"/>
        </w:rPr>
        <w:t xml:space="preserve">, </w:t>
      </w:r>
      <w:r w:rsidR="00E31B57" w:rsidRPr="002D4943">
        <w:rPr>
          <w:rFonts w:cs="Open Sans"/>
          <w:i/>
          <w:sz w:val="18"/>
          <w:szCs w:val="18"/>
        </w:rPr>
        <w:t>Regulatory Policy, Practice &amp; Performance Framework</w:t>
      </w:r>
      <w:r w:rsidR="00896687" w:rsidRPr="002D4943">
        <w:rPr>
          <w:rFonts w:cs="Open Sans"/>
          <w:i/>
          <w:sz w:val="18"/>
          <w:szCs w:val="18"/>
        </w:rPr>
        <w:t xml:space="preserve"> </w:t>
      </w:r>
      <w:r w:rsidR="00344BFB" w:rsidRPr="002D4943">
        <w:rPr>
          <w:rFonts w:cs="Open Sans"/>
          <w:sz w:val="18"/>
          <w:szCs w:val="18"/>
        </w:rPr>
        <w:t>(</w:t>
      </w:r>
      <w:r w:rsidR="002579C7" w:rsidRPr="002D4943">
        <w:rPr>
          <w:rFonts w:cs="Open Sans"/>
          <w:sz w:val="18"/>
          <w:szCs w:val="18"/>
        </w:rPr>
        <w:t>August 2024)</w:t>
      </w:r>
      <w:r w:rsidR="00BB4A49" w:rsidRPr="002D4943">
        <w:rPr>
          <w:rFonts w:cs="Open Sans"/>
          <w:sz w:val="18"/>
          <w:szCs w:val="18"/>
        </w:rPr>
        <w:t xml:space="preserve">, 7. </w:t>
      </w:r>
      <w:r w:rsidR="00896687" w:rsidRPr="002D4943">
        <w:rPr>
          <w:rFonts w:cs="Open Sans"/>
          <w:sz w:val="18"/>
          <w:szCs w:val="18"/>
        </w:rPr>
        <w:t xml:space="preserve"> </w:t>
      </w:r>
      <w:r w:rsidR="00BB4A49" w:rsidRPr="002D4943">
        <w:rPr>
          <w:rFonts w:cs="Open Sans"/>
          <w:sz w:val="18"/>
          <w:szCs w:val="18"/>
        </w:rPr>
        <w:t>&lt;</w:t>
      </w:r>
      <w:r w:rsidR="00F9567F" w:rsidRPr="002D4943">
        <w:rPr>
          <w:rFonts w:cs="Open Sans"/>
          <w:sz w:val="18"/>
          <w:szCs w:val="18"/>
        </w:rPr>
        <w:t>https://www.regulatoryreform.gov.au/sites/default/files/Regulatory-Policy-Practice-and-Performance-Framework.pdf</w:t>
      </w:r>
      <w:r w:rsidR="00BB4A49" w:rsidRPr="002D4943">
        <w:rPr>
          <w:rFonts w:cs="Open Sans"/>
          <w:sz w:val="18"/>
          <w:szCs w:val="18"/>
        </w:rPr>
        <w:t>&gt;</w:t>
      </w:r>
    </w:p>
  </w:endnote>
  <w:endnote w:id="192">
    <w:p w14:paraId="242BFF82" w14:textId="77777777" w:rsidR="00793C80" w:rsidRPr="002D4943" w:rsidRDefault="00793C80" w:rsidP="00793C80">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 3.</w:t>
      </w:r>
    </w:p>
  </w:endnote>
  <w:endnote w:id="193">
    <w:p w14:paraId="4599144C" w14:textId="1B270DA2" w:rsidR="009022D0" w:rsidRPr="002D4943" w:rsidRDefault="009022D0">
      <w:pPr>
        <w:pStyle w:val="EndnoteText"/>
        <w:rPr>
          <w:rFonts w:cs="Open Sans"/>
          <w:sz w:val="18"/>
          <w:szCs w:val="18"/>
          <w:lang w:val="en-US"/>
        </w:rPr>
      </w:pPr>
      <w:r w:rsidRPr="002D4943">
        <w:rPr>
          <w:rStyle w:val="EndnoteReference"/>
          <w:rFonts w:cs="Open Sans"/>
          <w:sz w:val="18"/>
          <w:szCs w:val="18"/>
        </w:rPr>
        <w:endnoteRef/>
      </w:r>
      <w:r w:rsidRPr="002D4943">
        <w:rPr>
          <w:rFonts w:cs="Open Sans"/>
          <w:sz w:val="18"/>
          <w:szCs w:val="18"/>
        </w:rPr>
        <w:t xml:space="preserve"> </w:t>
      </w:r>
      <w:r w:rsidRPr="002D4943">
        <w:rPr>
          <w:rFonts w:cs="Open Sans"/>
          <w:sz w:val="18"/>
          <w:szCs w:val="18"/>
          <w:lang w:val="en-US"/>
        </w:rPr>
        <w:t xml:space="preserve"> </w:t>
      </w:r>
      <w:r w:rsidR="0017361B" w:rsidRPr="002D4943">
        <w:rPr>
          <w:rFonts w:cs="Open Sans"/>
          <w:sz w:val="18"/>
          <w:szCs w:val="18"/>
        </w:rPr>
        <w:t xml:space="preserve">Free &amp; Equal 2021 Position Paper </w:t>
      </w:r>
      <w:r w:rsidR="00FF3B7D" w:rsidRPr="002D4943">
        <w:rPr>
          <w:rFonts w:cs="Open Sans"/>
          <w:sz w:val="18"/>
          <w:szCs w:val="18"/>
        </w:rPr>
        <w:t xml:space="preserve">39. </w:t>
      </w:r>
    </w:p>
  </w:endnote>
  <w:endnote w:id="194">
    <w:p w14:paraId="77937423" w14:textId="4442B457" w:rsidR="00E13157" w:rsidRPr="002D4943" w:rsidRDefault="00E13157" w:rsidP="00E13157">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Law Reform Commission, ‘Safe, Informed, Supported: Reforming justice responses to sexual violence’ (January 2025), 465 &lt;</w:t>
      </w:r>
      <w:hyperlink r:id="rId17" w:anchor="page=470&amp;zoom=100,108,219" w:history="1">
        <w:r w:rsidRPr="002D4943">
          <w:rPr>
            <w:rStyle w:val="Hyperlink"/>
            <w:rFonts w:cs="Open Sans"/>
            <w:sz w:val="18"/>
            <w:szCs w:val="18"/>
          </w:rPr>
          <w:t>https://www.alrc.gov.au/wp-content/uploads/2025/02/JRSV-Final-Report-Book-for-Web-final-20250211.pdf#page=470&amp;zoom=100,108,219</w:t>
        </w:r>
      </w:hyperlink>
      <w:r w:rsidRPr="002D4943">
        <w:rPr>
          <w:rFonts w:cs="Open Sans"/>
          <w:sz w:val="18"/>
          <w:szCs w:val="18"/>
        </w:rPr>
        <w:t>&gt;.</w:t>
      </w:r>
    </w:p>
  </w:endnote>
  <w:endnote w:id="195">
    <w:p w14:paraId="6E7510C5" w14:textId="6CFAF350" w:rsidR="007262D2" w:rsidRPr="002D4943" w:rsidRDefault="007262D2" w:rsidP="007262D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hyperlink r:id="rId18" w:history="1">
        <w:r w:rsidRPr="002D4943">
          <w:rPr>
            <w:rStyle w:val="Hyperlink"/>
            <w:rFonts w:cs="Open Sans"/>
            <w:i/>
            <w:sz w:val="18"/>
            <w:szCs w:val="18"/>
          </w:rPr>
          <w:t>Speaking from Experience: What needs to change to address workplace sexual harassment</w:t>
        </w:r>
      </w:hyperlink>
      <w:r w:rsidR="00265E82" w:rsidRPr="002D4943">
        <w:rPr>
          <w:rFonts w:cs="Open Sans"/>
          <w:sz w:val="18"/>
          <w:szCs w:val="18"/>
        </w:rPr>
        <w:t>(</w:t>
      </w:r>
      <w:r w:rsidRPr="002D4943">
        <w:rPr>
          <w:rFonts w:cs="Open Sans"/>
          <w:sz w:val="18"/>
          <w:szCs w:val="18"/>
        </w:rPr>
        <w:t>June 2025</w:t>
      </w:r>
      <w:r w:rsidR="005D779C" w:rsidRPr="002D4943">
        <w:rPr>
          <w:rFonts w:cs="Open Sans"/>
          <w:sz w:val="18"/>
          <w:szCs w:val="18"/>
        </w:rPr>
        <w:t>)</w:t>
      </w:r>
      <w:r w:rsidRPr="002D4943">
        <w:rPr>
          <w:rFonts w:cs="Open Sans"/>
          <w:sz w:val="18"/>
          <w:szCs w:val="18"/>
        </w:rPr>
        <w:t>, 68, 71.</w:t>
      </w:r>
    </w:p>
  </w:endnote>
  <w:endnote w:id="196">
    <w:p w14:paraId="24B033C7" w14:textId="6B3E9483"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Pr="002D4943">
        <w:rPr>
          <w:rFonts w:cs="Open Sans"/>
          <w:sz w:val="18"/>
          <w:szCs w:val="18"/>
        </w:rPr>
        <w:t>79</w:t>
      </w:r>
      <w:r w:rsidR="00A77889" w:rsidRPr="002D4943">
        <w:rPr>
          <w:rFonts w:cs="Open Sans"/>
          <w:i/>
          <w:sz w:val="18"/>
          <w:szCs w:val="18"/>
        </w:rPr>
        <w:t>.</w:t>
      </w:r>
    </w:p>
  </w:endnote>
  <w:endnote w:id="197">
    <w:p w14:paraId="3DDECBA3" w14:textId="0B3FCB9D" w:rsidR="00DB1B68" w:rsidRPr="002D4943" w:rsidRDefault="00DB1B68" w:rsidP="00DB1B6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825777">
        <w:rPr>
          <w:rFonts w:cs="Open Sans"/>
          <w:sz w:val="18"/>
          <w:szCs w:val="18"/>
        </w:rPr>
        <w:t>See</w:t>
      </w:r>
      <w:r w:rsidR="001319FC" w:rsidRPr="002D4943">
        <w:rPr>
          <w:rFonts w:cs="Open Sans"/>
          <w:sz w:val="18"/>
          <w:szCs w:val="18"/>
        </w:rPr>
        <w:t xml:space="preserve">: </w:t>
      </w:r>
      <w:r w:rsidR="00564C21" w:rsidRPr="002D4943">
        <w:rPr>
          <w:rFonts w:cs="Open Sans"/>
          <w:sz w:val="18"/>
          <w:szCs w:val="18"/>
        </w:rPr>
        <w:t xml:space="preserve">Department of Home Affairs, </w:t>
      </w:r>
      <w:r w:rsidR="00564C21" w:rsidRPr="002D4943">
        <w:rPr>
          <w:rFonts w:cs="Open Sans"/>
          <w:i/>
          <w:sz w:val="18"/>
          <w:szCs w:val="18"/>
        </w:rPr>
        <w:t xml:space="preserve">Review into Migration Health Requirement and Australia’s Visa Significant Cost Threshold </w:t>
      </w:r>
      <w:r w:rsidR="00564C21" w:rsidRPr="002D4943">
        <w:rPr>
          <w:rFonts w:cs="Open Sans"/>
          <w:sz w:val="18"/>
          <w:szCs w:val="18"/>
        </w:rPr>
        <w:t>(Report, April 2024)</w:t>
      </w:r>
      <w:r w:rsidR="00902278" w:rsidRPr="00825777">
        <w:rPr>
          <w:rFonts w:cs="Open Sans"/>
          <w:sz w:val="18"/>
          <w:szCs w:val="18"/>
        </w:rPr>
        <w:t xml:space="preserve"> available at &lt;https://www.homeaffairs.gov.au/reports-and-pubs/PDFs/migration-health-requirement-review-australias-visa-sct.pdf</w:t>
      </w:r>
      <w:r w:rsidR="00025502" w:rsidRPr="00825777">
        <w:rPr>
          <w:rFonts w:cs="Open Sans"/>
          <w:sz w:val="18"/>
          <w:szCs w:val="18"/>
        </w:rPr>
        <w:t>&gt;</w:t>
      </w:r>
      <w:r w:rsidR="00564C21" w:rsidRPr="002D4943">
        <w:rPr>
          <w:rFonts w:cs="Open Sans"/>
          <w:sz w:val="18"/>
          <w:szCs w:val="18"/>
        </w:rPr>
        <w:t>.</w:t>
      </w:r>
    </w:p>
  </w:endnote>
  <w:endnote w:id="198">
    <w:p w14:paraId="02ADDC61" w14:textId="7A995608" w:rsidR="00DB1B68" w:rsidRPr="00825777" w:rsidRDefault="00DB1B68">
      <w:pPr>
        <w:pStyle w:val="EndnoteText"/>
        <w:rPr>
          <w:rFonts w:cs="Open Sans"/>
        </w:rPr>
      </w:pPr>
      <w:r w:rsidRPr="00825777">
        <w:rPr>
          <w:rStyle w:val="EndnoteReference"/>
          <w:rFonts w:cs="Open Sans"/>
        </w:rPr>
        <w:endnoteRef/>
      </w:r>
      <w:r w:rsidRPr="00825777">
        <w:rPr>
          <w:rFonts w:cs="Open Sans"/>
        </w:rPr>
        <w:t xml:space="preserve"> </w:t>
      </w:r>
      <w:r w:rsidR="00825777" w:rsidRPr="002D4943">
        <w:rPr>
          <w:rFonts w:cs="Open Sans"/>
          <w:sz w:val="18"/>
          <w:szCs w:val="18"/>
        </w:rPr>
        <w:t>See &lt; https://ministers.treasury.gov.au/ministers/daniel-mulino-2025/media-releases/draft-legislation-banning-use-adverse-genetic-testing&gt;</w:t>
      </w:r>
      <w:r w:rsidR="00D46F89" w:rsidRPr="002D4943">
        <w:rPr>
          <w:rFonts w:cs="Open Sans"/>
          <w:sz w:val="18"/>
          <w:szCs w:val="18"/>
        </w:rPr>
        <w:t>.</w:t>
      </w:r>
      <w:r w:rsidR="00D46F89" w:rsidRPr="00825777">
        <w:rPr>
          <w:rFonts w:cs="Open Sans"/>
        </w:rPr>
        <w:t xml:space="preserve"> </w:t>
      </w:r>
    </w:p>
  </w:endnote>
  <w:endnote w:id="199">
    <w:p w14:paraId="01434304" w14:textId="59CAD079" w:rsidR="00A51674" w:rsidRPr="00825777" w:rsidRDefault="00A51674">
      <w:pPr>
        <w:pStyle w:val="EndnoteText"/>
        <w:rPr>
          <w:rFonts w:cs="Open Sans"/>
          <w:lang w:val="en-US"/>
        </w:rPr>
      </w:pPr>
      <w:r w:rsidRPr="002D4943">
        <w:rPr>
          <w:rStyle w:val="EndnoteReference"/>
          <w:rFonts w:cs="Open Sans"/>
          <w:sz w:val="18"/>
          <w:szCs w:val="18"/>
        </w:rPr>
        <w:endnoteRef/>
      </w:r>
      <w:r w:rsidRPr="002D4943">
        <w:rPr>
          <w:rFonts w:cs="Open Sans"/>
          <w:sz w:val="18"/>
          <w:szCs w:val="18"/>
        </w:rPr>
        <w:t xml:space="preserve"> </w:t>
      </w:r>
      <w:r w:rsidR="00D4623C" w:rsidRPr="002D4943">
        <w:rPr>
          <w:rFonts w:cs="Open Sans"/>
          <w:sz w:val="18"/>
          <w:szCs w:val="18"/>
        </w:rPr>
        <w:t xml:space="preserve">Australian Human Rights Commission, Submission to Department of Home Affairs, </w:t>
      </w:r>
      <w:r w:rsidR="00D4623C" w:rsidRPr="002D4943">
        <w:rPr>
          <w:rFonts w:cs="Open Sans"/>
          <w:i/>
          <w:sz w:val="18"/>
          <w:szCs w:val="18"/>
        </w:rPr>
        <w:t xml:space="preserve">Review of the Migration Health Requirement Significant Cost Threshold </w:t>
      </w:r>
      <w:r w:rsidR="00D4623C" w:rsidRPr="002D4943">
        <w:rPr>
          <w:rFonts w:cs="Open Sans"/>
          <w:sz w:val="18"/>
          <w:szCs w:val="18"/>
        </w:rPr>
        <w:t xml:space="preserve">(24 November 2023); </w:t>
      </w:r>
      <w:r w:rsidR="001D3B5B" w:rsidRPr="002D4943">
        <w:rPr>
          <w:rFonts w:cs="Open Sans"/>
          <w:sz w:val="18"/>
          <w:szCs w:val="18"/>
        </w:rPr>
        <w:t xml:space="preserve">Australian Human Rights Commission, Submission to </w:t>
      </w:r>
      <w:r w:rsidR="004159D2" w:rsidRPr="002D4943">
        <w:rPr>
          <w:rFonts w:cs="Open Sans"/>
          <w:sz w:val="18"/>
          <w:szCs w:val="18"/>
        </w:rPr>
        <w:t>the Australian Treasury</w:t>
      </w:r>
      <w:r w:rsidR="002530FF" w:rsidRPr="002D4943">
        <w:rPr>
          <w:rFonts w:cs="Open Sans"/>
          <w:sz w:val="18"/>
          <w:szCs w:val="18"/>
        </w:rPr>
        <w:t xml:space="preserve">, </w:t>
      </w:r>
      <w:r w:rsidR="002530FF" w:rsidRPr="002D4943">
        <w:rPr>
          <w:rFonts w:cs="Open Sans"/>
          <w:i/>
          <w:sz w:val="18"/>
          <w:szCs w:val="18"/>
        </w:rPr>
        <w:t xml:space="preserve">Use of genetic testing results in life insurance underwriting </w:t>
      </w:r>
      <w:r w:rsidR="002530FF" w:rsidRPr="002D4943">
        <w:rPr>
          <w:rFonts w:cs="Open Sans"/>
          <w:sz w:val="18"/>
          <w:szCs w:val="18"/>
        </w:rPr>
        <w:t xml:space="preserve">(16 February 2024). </w:t>
      </w:r>
    </w:p>
  </w:endnote>
  <w:endnote w:id="200">
    <w:p w14:paraId="3CCC345F"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55.</w:t>
      </w:r>
    </w:p>
  </w:endnote>
  <w:endnote w:id="201">
    <w:p w14:paraId="0101F350"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55(3).</w:t>
      </w:r>
    </w:p>
  </w:endnote>
  <w:endnote w:id="202">
    <w:p w14:paraId="2A744FDF" w14:textId="3411FC40" w:rsidR="00452982" w:rsidRPr="002D4943" w:rsidRDefault="00452982" w:rsidP="0045298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Pr="002D4943">
        <w:rPr>
          <w:rFonts w:cs="Open Sans"/>
          <w:sz w:val="18"/>
          <w:szCs w:val="18"/>
        </w:rPr>
        <w:t>218.</w:t>
      </w:r>
    </w:p>
  </w:endnote>
  <w:endnote w:id="203">
    <w:p w14:paraId="4B28EC03" w14:textId="77777777" w:rsidR="00452982" w:rsidRPr="002D4943" w:rsidRDefault="00452982" w:rsidP="00452982">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Human Rights and Anti-Discrimination Bill 2012 </w:t>
      </w:r>
      <w:r w:rsidRPr="002D4943">
        <w:rPr>
          <w:rFonts w:cs="Open Sans"/>
          <w:sz w:val="18"/>
          <w:szCs w:val="18"/>
        </w:rPr>
        <w:t xml:space="preserve">(Cth), clause 83, a copy of the exposure draft of the bill can be found here: </w:t>
      </w:r>
      <w:hyperlink r:id="rId19" w:history="1">
        <w:r w:rsidRPr="002D4943">
          <w:rPr>
            <w:rStyle w:val="Hyperlink"/>
            <w:rFonts w:cs="Open Sans"/>
            <w:sz w:val="18"/>
            <w:szCs w:val="18"/>
          </w:rPr>
          <w:t>https://www.aph.gov.au/Parliamentary_Business/Committees/Senate/Legal_and_Constitutional_Affairs/Completed_inquiries/2010-13/antidiscrimination2012/info/~/media/wopapub/senate/committee/legcon_ctte/completed_inquiries/2010-13/anti_discrimination_2012/info/exposure_draft.ashx</w:t>
        </w:r>
      </w:hyperlink>
    </w:p>
  </w:endnote>
  <w:endnote w:id="204">
    <w:p w14:paraId="7BF30C4C" w14:textId="0B6AF30D" w:rsidR="00452982" w:rsidRPr="002D4943" w:rsidRDefault="00452982" w:rsidP="00452982">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Pr="002D4943">
        <w:rPr>
          <w:rFonts w:cs="Open Sans"/>
          <w:sz w:val="18"/>
          <w:szCs w:val="18"/>
        </w:rPr>
        <w:t>272.</w:t>
      </w:r>
    </w:p>
  </w:endnote>
  <w:endnote w:id="205">
    <w:p w14:paraId="15BF8A65" w14:textId="0B015CC7"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00153BEA" w:rsidRPr="002D4943">
        <w:rPr>
          <w:rFonts w:cs="Open Sans"/>
          <w:sz w:val="18"/>
          <w:szCs w:val="18"/>
        </w:rPr>
        <w:t>119.</w:t>
      </w:r>
    </w:p>
  </w:endnote>
  <w:endnote w:id="206">
    <w:p w14:paraId="08BAB57A" w14:textId="4957A80A"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F4444" w:rsidRPr="002D4943">
        <w:rPr>
          <w:rFonts w:cs="Open Sans"/>
          <w:i/>
          <w:sz w:val="18"/>
          <w:szCs w:val="18"/>
        </w:rPr>
        <w:t xml:space="preserve">Disability Discrimination Act 1992 </w:t>
      </w:r>
      <w:r w:rsidR="006F4444" w:rsidRPr="002D4943">
        <w:rPr>
          <w:rFonts w:cs="Open Sans"/>
          <w:sz w:val="18"/>
          <w:szCs w:val="18"/>
        </w:rPr>
        <w:t>(Cth) s 45(1)(a)</w:t>
      </w:r>
      <w:r w:rsidR="003A765C" w:rsidRPr="002D4943">
        <w:rPr>
          <w:rFonts w:cs="Open Sans"/>
          <w:sz w:val="18"/>
          <w:szCs w:val="18"/>
        </w:rPr>
        <w:t>.</w:t>
      </w:r>
    </w:p>
  </w:endnote>
  <w:endnote w:id="207">
    <w:p w14:paraId="7DD0C2C9" w14:textId="34D0B75B"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880315" w:rsidRPr="002D4943">
        <w:rPr>
          <w:rFonts w:cs="Open Sans"/>
          <w:i/>
          <w:sz w:val="18"/>
          <w:szCs w:val="18"/>
        </w:rPr>
        <w:t xml:space="preserve">Disability Discrimination Act 1992 </w:t>
      </w:r>
      <w:r w:rsidR="00880315" w:rsidRPr="002D4943">
        <w:rPr>
          <w:rFonts w:cs="Open Sans"/>
          <w:sz w:val="18"/>
          <w:szCs w:val="18"/>
        </w:rPr>
        <w:t xml:space="preserve">(Cth) s </w:t>
      </w:r>
      <w:r w:rsidRPr="002D4943">
        <w:rPr>
          <w:rFonts w:cs="Open Sans"/>
          <w:sz w:val="18"/>
          <w:szCs w:val="18"/>
        </w:rPr>
        <w:t>45(1)(b) and (c)</w:t>
      </w:r>
      <w:r w:rsidR="003A765C" w:rsidRPr="002D4943">
        <w:rPr>
          <w:rFonts w:cs="Open Sans"/>
          <w:sz w:val="18"/>
          <w:szCs w:val="18"/>
        </w:rPr>
        <w:t>.</w:t>
      </w:r>
    </w:p>
  </w:endnote>
  <w:endnote w:id="208">
    <w:p w14:paraId="2831F5F3" w14:textId="4616E790" w:rsidR="00942174" w:rsidRPr="002D4943" w:rsidRDefault="00942174">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880315" w:rsidRPr="002D4943">
        <w:rPr>
          <w:rFonts w:cs="Open Sans"/>
          <w:i/>
          <w:sz w:val="18"/>
          <w:szCs w:val="18"/>
        </w:rPr>
        <w:t xml:space="preserve">Disability Discrimination Act 1992 </w:t>
      </w:r>
      <w:r w:rsidR="00880315" w:rsidRPr="002D4943">
        <w:rPr>
          <w:rFonts w:cs="Open Sans"/>
          <w:sz w:val="18"/>
          <w:szCs w:val="18"/>
        </w:rPr>
        <w:t>(Cth) s 45.</w:t>
      </w:r>
    </w:p>
  </w:endnote>
  <w:endnote w:id="209">
    <w:p w14:paraId="4CCDA56F" w14:textId="77BE606B"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73AFC" w:rsidRPr="002D4943">
        <w:rPr>
          <w:rFonts w:cs="Open Sans"/>
          <w:i/>
          <w:sz w:val="18"/>
          <w:szCs w:val="18"/>
        </w:rPr>
        <w:t xml:space="preserve">Age Discrimination Act 2004 </w:t>
      </w:r>
      <w:r w:rsidR="00F73AFC" w:rsidRPr="002D4943">
        <w:rPr>
          <w:rFonts w:cs="Open Sans"/>
          <w:sz w:val="18"/>
          <w:szCs w:val="18"/>
        </w:rPr>
        <w:t xml:space="preserve">(Cth) </w:t>
      </w:r>
      <w:r w:rsidRPr="002D4943">
        <w:rPr>
          <w:rFonts w:cs="Open Sans"/>
          <w:sz w:val="18"/>
          <w:szCs w:val="18"/>
        </w:rPr>
        <w:t>s</w:t>
      </w:r>
      <w:r w:rsidR="00995957" w:rsidRPr="002D4943">
        <w:rPr>
          <w:rFonts w:cs="Open Sans"/>
          <w:sz w:val="18"/>
          <w:szCs w:val="18"/>
        </w:rPr>
        <w:t xml:space="preserve"> </w:t>
      </w:r>
      <w:r w:rsidRPr="002D4943">
        <w:rPr>
          <w:rFonts w:cs="Open Sans"/>
          <w:sz w:val="18"/>
          <w:szCs w:val="18"/>
        </w:rPr>
        <w:t>33(a)</w:t>
      </w:r>
      <w:r w:rsidR="00F73AFC" w:rsidRPr="002D4943">
        <w:rPr>
          <w:rFonts w:cs="Open Sans"/>
          <w:sz w:val="18"/>
          <w:szCs w:val="18"/>
        </w:rPr>
        <w:t>.</w:t>
      </w:r>
    </w:p>
  </w:endnote>
  <w:endnote w:id="210">
    <w:p w14:paraId="08507C74" w14:textId="5D85D24B"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94C03" w:rsidRPr="002D4943">
        <w:rPr>
          <w:rFonts w:cs="Open Sans"/>
          <w:i/>
          <w:sz w:val="18"/>
          <w:szCs w:val="18"/>
        </w:rPr>
        <w:t xml:space="preserve">Racial Discrimination Act 1975 </w:t>
      </w:r>
      <w:r w:rsidR="00A94C03" w:rsidRPr="002D4943">
        <w:rPr>
          <w:rFonts w:cs="Open Sans"/>
          <w:sz w:val="18"/>
          <w:szCs w:val="18"/>
        </w:rPr>
        <w:t xml:space="preserve">(Cth) </w:t>
      </w:r>
      <w:r w:rsidRPr="002D4943">
        <w:rPr>
          <w:rFonts w:cs="Open Sans"/>
          <w:sz w:val="18"/>
          <w:szCs w:val="18"/>
        </w:rPr>
        <w:t>s</w:t>
      </w:r>
      <w:r w:rsidR="00995957" w:rsidRPr="002D4943">
        <w:rPr>
          <w:rFonts w:cs="Open Sans"/>
          <w:sz w:val="18"/>
          <w:szCs w:val="18"/>
        </w:rPr>
        <w:t xml:space="preserve"> </w:t>
      </w:r>
      <w:r w:rsidRPr="002D4943">
        <w:rPr>
          <w:rFonts w:cs="Open Sans"/>
          <w:sz w:val="18"/>
          <w:szCs w:val="18"/>
        </w:rPr>
        <w:t>8.</w:t>
      </w:r>
    </w:p>
  </w:endnote>
  <w:endnote w:id="211">
    <w:p w14:paraId="12C31B8D" w14:textId="71E176F6"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9140B" w:rsidRPr="002D4943">
        <w:rPr>
          <w:rFonts w:cs="Open Sans"/>
          <w:i/>
          <w:sz w:val="18"/>
          <w:szCs w:val="18"/>
        </w:rPr>
        <w:t xml:space="preserve">Sex Discrimination Act 1984, </w:t>
      </w:r>
      <w:r w:rsidRPr="002D4943">
        <w:rPr>
          <w:rFonts w:cs="Open Sans"/>
          <w:sz w:val="18"/>
          <w:szCs w:val="18"/>
        </w:rPr>
        <w:t>s</w:t>
      </w:r>
      <w:r w:rsidR="00995957" w:rsidRPr="002D4943">
        <w:rPr>
          <w:rFonts w:cs="Open Sans"/>
          <w:sz w:val="18"/>
          <w:szCs w:val="18"/>
        </w:rPr>
        <w:t xml:space="preserve"> </w:t>
      </w:r>
      <w:r w:rsidRPr="002D4943">
        <w:rPr>
          <w:rFonts w:cs="Open Sans"/>
          <w:sz w:val="18"/>
          <w:szCs w:val="18"/>
        </w:rPr>
        <w:t>7D(1)</w:t>
      </w:r>
      <w:r w:rsidR="0069140B" w:rsidRPr="002D4943">
        <w:rPr>
          <w:rFonts w:cs="Open Sans"/>
          <w:sz w:val="18"/>
          <w:szCs w:val="18"/>
        </w:rPr>
        <w:t>.</w:t>
      </w:r>
    </w:p>
  </w:endnote>
  <w:endnote w:id="212">
    <w:p w14:paraId="3854F343" w14:textId="4161C03A"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263DB" w:rsidRPr="002D4943">
        <w:rPr>
          <w:rFonts w:cs="Open Sans"/>
          <w:sz w:val="18"/>
          <w:szCs w:val="18"/>
        </w:rPr>
        <w:t xml:space="preserve">Free &amp; Equal 2021 Position Paper </w:t>
      </w:r>
      <w:r w:rsidR="002522FE" w:rsidRPr="002D4943">
        <w:rPr>
          <w:rFonts w:cs="Open Sans"/>
          <w:sz w:val="18"/>
          <w:szCs w:val="18"/>
        </w:rPr>
        <w:t>129.</w:t>
      </w:r>
    </w:p>
  </w:endnote>
  <w:endnote w:id="213">
    <w:p w14:paraId="07DDD0C4" w14:textId="77777777" w:rsidR="00835068" w:rsidRPr="002D4943" w:rsidRDefault="00835068" w:rsidP="0083506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ss 60 – 63.</w:t>
      </w:r>
    </w:p>
  </w:endnote>
  <w:endnote w:id="214">
    <w:p w14:paraId="52A1BE2B" w14:textId="77777777" w:rsidR="002A3554" w:rsidRPr="002D4943" w:rsidRDefault="002A3554" w:rsidP="002A3554">
      <w:pPr>
        <w:pStyle w:val="EndnoteText"/>
        <w:rPr>
          <w:rFonts w:cs="Open Sans"/>
          <w:sz w:val="18"/>
          <w:szCs w:val="18"/>
        </w:rPr>
      </w:pPr>
      <w:r w:rsidRPr="002D4943">
        <w:rPr>
          <w:rStyle w:val="EndnoteReference"/>
          <w:rFonts w:cs="Open Sans"/>
          <w:sz w:val="18"/>
          <w:szCs w:val="18"/>
        </w:rPr>
        <w:endnoteRef/>
      </w:r>
      <w:r w:rsidRPr="002D4943">
        <w:rPr>
          <w:rFonts w:cs="Open Sans"/>
          <w:i/>
          <w:sz w:val="18"/>
          <w:szCs w:val="18"/>
        </w:rPr>
        <w:t xml:space="preserve"> Disability Discrimination Act 1992 </w:t>
      </w:r>
      <w:r w:rsidRPr="002D4943">
        <w:rPr>
          <w:rFonts w:cs="Open Sans"/>
          <w:sz w:val="18"/>
          <w:szCs w:val="18"/>
        </w:rPr>
        <w:t>(Cth) s 67.</w:t>
      </w:r>
    </w:p>
  </w:endnote>
  <w:endnote w:id="215">
    <w:p w14:paraId="22096458" w14:textId="77777777" w:rsidR="002A3554" w:rsidRPr="002D4943" w:rsidRDefault="002A3554" w:rsidP="002A3554">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64.</w:t>
      </w:r>
    </w:p>
  </w:endnote>
  <w:endnote w:id="216">
    <w:p w14:paraId="17BAF0DC" w14:textId="6AC6597F"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880315" w:rsidRPr="002D4943">
        <w:rPr>
          <w:rFonts w:cs="Open Sans"/>
          <w:i/>
          <w:sz w:val="18"/>
          <w:szCs w:val="18"/>
        </w:rPr>
        <w:t xml:space="preserve">Disability Discrimination Act 1992 </w:t>
      </w:r>
      <w:r w:rsidR="00880315" w:rsidRPr="002D4943">
        <w:rPr>
          <w:rFonts w:cs="Open Sans"/>
          <w:sz w:val="18"/>
          <w:szCs w:val="18"/>
        </w:rPr>
        <w:t xml:space="preserve">(Cth) s 61. </w:t>
      </w:r>
    </w:p>
  </w:endnote>
  <w:endnote w:id="217">
    <w:p w14:paraId="7BA9833D" w14:textId="56644F40"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D5180C" w:rsidRPr="002D4943">
        <w:rPr>
          <w:rFonts w:cs="Open Sans"/>
          <w:i/>
          <w:sz w:val="18"/>
          <w:szCs w:val="18"/>
        </w:rPr>
        <w:t xml:space="preserve">Disability Discrimination Act 1992 </w:t>
      </w:r>
      <w:r w:rsidR="00D5180C" w:rsidRPr="002D4943">
        <w:rPr>
          <w:rFonts w:cs="Open Sans"/>
          <w:sz w:val="18"/>
          <w:szCs w:val="18"/>
        </w:rPr>
        <w:t>(Cth) s 11(1)(e).</w:t>
      </w:r>
    </w:p>
  </w:endnote>
  <w:endnote w:id="218">
    <w:p w14:paraId="626A2873"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r w:rsidRPr="002D4943">
        <w:rPr>
          <w:rFonts w:cs="Open Sans"/>
          <w:i/>
          <w:sz w:val="18"/>
          <w:szCs w:val="18"/>
        </w:rPr>
        <w:t>Register of Disability Discrimination Act Action Plans</w:t>
      </w:r>
      <w:r w:rsidRPr="002D4943">
        <w:rPr>
          <w:rFonts w:cs="Open Sans"/>
          <w:sz w:val="18"/>
          <w:szCs w:val="18"/>
        </w:rPr>
        <w:t>, (Web Page) &lt;</w:t>
      </w:r>
      <w:hyperlink r:id="rId20" w:history="1">
        <w:r w:rsidRPr="002D4943">
          <w:rPr>
            <w:rStyle w:val="Hyperlink"/>
            <w:rFonts w:cs="Open Sans"/>
            <w:sz w:val="18"/>
            <w:szCs w:val="18"/>
          </w:rPr>
          <w:t>https://humanrights.gov.au/our-work/disability-rights/register-disability-discrimination-act-action-plans</w:t>
        </w:r>
      </w:hyperlink>
      <w:r w:rsidRPr="002D4943">
        <w:rPr>
          <w:rFonts w:cs="Open Sans"/>
          <w:sz w:val="18"/>
          <w:szCs w:val="18"/>
        </w:rPr>
        <w:t>&gt;</w:t>
      </w:r>
    </w:p>
  </w:endnote>
  <w:endnote w:id="219">
    <w:p w14:paraId="1D9EB8BE" w14:textId="2F1A67B3"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9C5873" w:rsidRPr="002D4943">
        <w:rPr>
          <w:rFonts w:cs="Open Sans"/>
          <w:sz w:val="18"/>
          <w:szCs w:val="18"/>
        </w:rPr>
        <w:t>Free &amp; Equal 2021 Position Paper</w:t>
      </w:r>
      <w:r w:rsidRPr="002D4943">
        <w:rPr>
          <w:rFonts w:cs="Open Sans"/>
          <w:sz w:val="18"/>
          <w:szCs w:val="18"/>
        </w:rPr>
        <w:t xml:space="preserve"> 121.</w:t>
      </w:r>
    </w:p>
  </w:endnote>
  <w:endnote w:id="220">
    <w:p w14:paraId="26AB1600" w14:textId="232CBC99" w:rsidR="002434A6" w:rsidRPr="002D4943" w:rsidRDefault="002434A6" w:rsidP="00331AC1">
      <w:pPr>
        <w:pStyle w:val="EndnoteText"/>
        <w:rPr>
          <w:rFonts w:cs="Open Sans"/>
          <w:sz w:val="18"/>
          <w:szCs w:val="18"/>
        </w:rPr>
      </w:pPr>
      <w:r w:rsidRPr="00825777">
        <w:rPr>
          <w:rStyle w:val="EndnoteReference"/>
          <w:rFonts w:cs="Open Sans"/>
        </w:rPr>
        <w:endnoteRef/>
      </w:r>
      <w:r w:rsidRPr="00825777">
        <w:rPr>
          <w:rFonts w:cs="Open Sans"/>
        </w:rPr>
        <w:t xml:space="preserve"> </w:t>
      </w:r>
      <w:r w:rsidR="00361080" w:rsidRPr="00825777">
        <w:rPr>
          <w:rFonts w:cs="Open Sans"/>
          <w:sz w:val="18"/>
          <w:szCs w:val="18"/>
        </w:rPr>
        <w:t xml:space="preserve">Australian Human Rights Commission, </w:t>
      </w:r>
      <w:r w:rsidR="00361080" w:rsidRPr="00825777">
        <w:rPr>
          <w:rFonts w:cs="Open Sans"/>
          <w:i/>
          <w:sz w:val="18"/>
          <w:szCs w:val="18"/>
        </w:rPr>
        <w:t>Disability Action Plan Guide</w:t>
      </w:r>
      <w:r w:rsidR="00361080" w:rsidRPr="00825777">
        <w:rPr>
          <w:rFonts w:cs="Open Sans"/>
          <w:sz w:val="18"/>
          <w:szCs w:val="18"/>
        </w:rPr>
        <w:t xml:space="preserve"> (2021) </w:t>
      </w:r>
      <w:hyperlink r:id="rId21" w:history="1">
        <w:r w:rsidR="00361080" w:rsidRPr="00825777">
          <w:rPr>
            <w:rStyle w:val="Hyperlink"/>
            <w:rFonts w:cs="Open Sans"/>
            <w:sz w:val="18"/>
            <w:szCs w:val="18"/>
          </w:rPr>
          <w:t>https://humanrights.gov.au/our-work/disability-rights/publications/disability-action-plan-guide-2021</w:t>
        </w:r>
      </w:hyperlink>
      <w:r w:rsidR="00361080" w:rsidRPr="00825777">
        <w:rPr>
          <w:rFonts w:cs="Open Sans"/>
          <w:sz w:val="18"/>
          <w:szCs w:val="18"/>
        </w:rPr>
        <w:t xml:space="preserve"> </w:t>
      </w:r>
      <w:r w:rsidR="00331AC1" w:rsidRPr="002D4943">
        <w:rPr>
          <w:rFonts w:cs="Open Sans"/>
          <w:i/>
          <w:sz w:val="18"/>
          <w:szCs w:val="18"/>
        </w:rPr>
        <w:t xml:space="preserve"> </w:t>
      </w:r>
      <w:r w:rsidR="00331AC1" w:rsidRPr="002D4943">
        <w:rPr>
          <w:rFonts w:cs="Open Sans"/>
          <w:sz w:val="18"/>
          <w:szCs w:val="18"/>
        </w:rPr>
        <w:t>[website], n.d., accessed 27 October 2025.</w:t>
      </w:r>
    </w:p>
  </w:endnote>
  <w:endnote w:id="221">
    <w:p w14:paraId="6D221940" w14:textId="7AD39855"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9C5873" w:rsidRPr="002D4943">
        <w:rPr>
          <w:rFonts w:cs="Open Sans"/>
          <w:sz w:val="18"/>
          <w:szCs w:val="18"/>
        </w:rPr>
        <w:t>Free &amp; Equal 2021 Position Paper</w:t>
      </w:r>
      <w:r w:rsidRPr="002D4943">
        <w:rPr>
          <w:rFonts w:cs="Open Sans"/>
          <w:sz w:val="18"/>
          <w:szCs w:val="18"/>
        </w:rPr>
        <w:t xml:space="preserve"> 141</w:t>
      </w:r>
      <w:r w:rsidR="00A77889" w:rsidRPr="002D4943">
        <w:rPr>
          <w:rFonts w:cs="Open Sans"/>
          <w:i/>
          <w:sz w:val="18"/>
          <w:szCs w:val="18"/>
        </w:rPr>
        <w:t>.</w:t>
      </w:r>
    </w:p>
  </w:endnote>
  <w:endnote w:id="222">
    <w:p w14:paraId="502FB059"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32.</w:t>
      </w:r>
    </w:p>
  </w:endnote>
  <w:endnote w:id="223">
    <w:p w14:paraId="508D2929"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34.</w:t>
      </w:r>
    </w:p>
  </w:endnote>
  <w:endnote w:id="224">
    <w:p w14:paraId="5270FA23" w14:textId="24E741A0"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9C5873" w:rsidRPr="002D4943">
        <w:rPr>
          <w:rFonts w:cs="Open Sans"/>
          <w:sz w:val="18"/>
          <w:szCs w:val="18"/>
        </w:rPr>
        <w:t>Free &amp; Equal 2021 Position Paper</w:t>
      </w:r>
      <w:r w:rsidRPr="002D4943">
        <w:rPr>
          <w:rFonts w:cs="Open Sans"/>
          <w:sz w:val="18"/>
          <w:szCs w:val="18"/>
        </w:rPr>
        <w:t xml:space="preserve"> 134</w:t>
      </w:r>
      <w:r w:rsidR="00A77889" w:rsidRPr="002D4943">
        <w:rPr>
          <w:rFonts w:cs="Open Sans"/>
          <w:i/>
          <w:sz w:val="18"/>
          <w:szCs w:val="18"/>
        </w:rPr>
        <w:t>.</w:t>
      </w:r>
    </w:p>
  </w:endnote>
  <w:endnote w:id="225">
    <w:p w14:paraId="5338EE4D" w14:textId="607A9035"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 xml:space="preserve">(Cth) s 67(1)(d) </w:t>
      </w:r>
      <w:r w:rsidR="00B121F7" w:rsidRPr="002D4943">
        <w:rPr>
          <w:rFonts w:cs="Open Sans"/>
          <w:sz w:val="18"/>
          <w:szCs w:val="18"/>
        </w:rPr>
        <w:t>-</w:t>
      </w:r>
      <w:r w:rsidR="00D8494E" w:rsidRPr="002D4943">
        <w:rPr>
          <w:rFonts w:cs="Open Sans"/>
          <w:sz w:val="18"/>
          <w:szCs w:val="18"/>
        </w:rPr>
        <w:t xml:space="preserve"> </w:t>
      </w:r>
      <w:r w:rsidRPr="002D4943">
        <w:rPr>
          <w:rFonts w:cs="Open Sans"/>
          <w:sz w:val="18"/>
          <w:szCs w:val="18"/>
        </w:rPr>
        <w:t>(</w:t>
      </w:r>
      <w:r w:rsidR="00B121F7" w:rsidRPr="002D4943">
        <w:rPr>
          <w:rFonts w:cs="Open Sans"/>
          <w:sz w:val="18"/>
          <w:szCs w:val="18"/>
        </w:rPr>
        <w:t>1)</w:t>
      </w:r>
      <w:r w:rsidRPr="002D4943">
        <w:rPr>
          <w:rFonts w:cs="Open Sans"/>
          <w:sz w:val="18"/>
          <w:szCs w:val="18"/>
        </w:rPr>
        <w:t>(e).</w:t>
      </w:r>
    </w:p>
  </w:endnote>
  <w:endnote w:id="226">
    <w:p w14:paraId="4A1AD4CB" w14:textId="20B5F89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Australian Human Rights Commission Act 1986</w:t>
      </w:r>
      <w:r w:rsidRPr="002D4943">
        <w:rPr>
          <w:rFonts w:cs="Open Sans"/>
          <w:sz w:val="18"/>
          <w:szCs w:val="18"/>
        </w:rPr>
        <w:t xml:space="preserve"> (Cth), ss 35L</w:t>
      </w:r>
      <w:r w:rsidR="00B121F7" w:rsidRPr="002D4943">
        <w:rPr>
          <w:rFonts w:cs="Open Sans"/>
          <w:sz w:val="18"/>
          <w:szCs w:val="18"/>
        </w:rPr>
        <w:t>,</w:t>
      </w:r>
      <w:r w:rsidR="00D8494E" w:rsidRPr="002D4943">
        <w:rPr>
          <w:rFonts w:cs="Open Sans"/>
          <w:sz w:val="18"/>
          <w:szCs w:val="18"/>
        </w:rPr>
        <w:t xml:space="preserve"> </w:t>
      </w:r>
      <w:r w:rsidRPr="002D4943">
        <w:rPr>
          <w:rFonts w:cs="Open Sans"/>
          <w:sz w:val="18"/>
          <w:szCs w:val="18"/>
        </w:rPr>
        <w:t>35Q.</w:t>
      </w:r>
    </w:p>
  </w:endnote>
  <w:endnote w:id="227">
    <w:p w14:paraId="0DB390B3" w14:textId="56CD4BE0" w:rsidR="0031056E" w:rsidRPr="002D4943" w:rsidRDefault="0031056E">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AE6A08" w:rsidRPr="002D4943">
        <w:rPr>
          <w:rFonts w:cs="Open Sans"/>
          <w:i/>
          <w:sz w:val="18"/>
          <w:szCs w:val="18"/>
        </w:rPr>
        <w:t>Royal Commission into Violence, Abuse, Neglect and Exploitation of People with Disability</w:t>
      </w:r>
      <w:r w:rsidR="00AE6A08" w:rsidRPr="002D4943">
        <w:rPr>
          <w:rFonts w:cs="Open Sans"/>
          <w:sz w:val="18"/>
          <w:szCs w:val="18"/>
        </w:rPr>
        <w:t xml:space="preserve">, (Final Report, 2023) Vol 7A, 246. </w:t>
      </w:r>
    </w:p>
  </w:endnote>
  <w:endnote w:id="228">
    <w:p w14:paraId="0D7A6A84" w14:textId="723F8616"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DB7739" w:rsidRPr="002D4943">
        <w:rPr>
          <w:rFonts w:cs="Open Sans"/>
          <w:sz w:val="18"/>
          <w:szCs w:val="18"/>
        </w:rPr>
        <w:t xml:space="preserve">Australian Government, </w:t>
      </w:r>
      <w:r w:rsidR="00DB7739" w:rsidRPr="002D4943">
        <w:rPr>
          <w:rFonts w:cs="Open Sans"/>
          <w:i/>
          <w:sz w:val="18"/>
          <w:szCs w:val="18"/>
        </w:rPr>
        <w:t xml:space="preserve">Australian Government Response to the Disability Royal Commission </w:t>
      </w:r>
      <w:r w:rsidR="00DB7739" w:rsidRPr="002D4943">
        <w:rPr>
          <w:rFonts w:cs="Open Sans"/>
          <w:sz w:val="18"/>
          <w:szCs w:val="18"/>
        </w:rPr>
        <w:t>(Final Report, July 2024) 120.</w:t>
      </w:r>
      <w:r w:rsidR="00DB7739" w:rsidRPr="002D4943" w:rsidDel="00DB7739">
        <w:rPr>
          <w:rFonts w:cs="Open Sans"/>
          <w:sz w:val="18"/>
          <w:szCs w:val="18"/>
        </w:rPr>
        <w:t xml:space="preserve"> </w:t>
      </w:r>
    </w:p>
  </w:endnote>
  <w:endnote w:id="229">
    <w:p w14:paraId="2C54FF15" w14:textId="0A07F51A"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CD30D3" w:rsidRPr="002D4943">
        <w:rPr>
          <w:rFonts w:cs="Open Sans"/>
          <w:sz w:val="18"/>
          <w:szCs w:val="18"/>
        </w:rPr>
        <w:t>Australian Building Codes Board</w:t>
      </w:r>
      <w:r w:rsidR="00DC336F" w:rsidRPr="002D4943">
        <w:rPr>
          <w:rFonts w:cs="Open Sans"/>
          <w:sz w:val="18"/>
          <w:szCs w:val="18"/>
        </w:rPr>
        <w:t xml:space="preserve">, </w:t>
      </w:r>
      <w:r w:rsidR="004D2DD1" w:rsidRPr="002D4943">
        <w:rPr>
          <w:rFonts w:cs="Open Sans"/>
          <w:i/>
          <w:sz w:val="18"/>
          <w:szCs w:val="18"/>
        </w:rPr>
        <w:t>National Construction Code Volume 1</w:t>
      </w:r>
      <w:r w:rsidR="004D2DD1" w:rsidRPr="002D4943">
        <w:rPr>
          <w:rFonts w:cs="Open Sans"/>
          <w:sz w:val="18"/>
          <w:szCs w:val="18"/>
        </w:rPr>
        <w:t xml:space="preserve"> (2022), 52.</w:t>
      </w:r>
      <w:r w:rsidRPr="002D4943">
        <w:rPr>
          <w:rFonts w:cs="Open Sans"/>
          <w:sz w:val="18"/>
          <w:szCs w:val="18"/>
        </w:rPr>
        <w:t xml:space="preserve"> </w:t>
      </w:r>
    </w:p>
  </w:endnote>
  <w:endnote w:id="230">
    <w:p w14:paraId="0CB54453" w14:textId="5777540E"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156D7B" w:rsidRPr="002D4943">
        <w:rPr>
          <w:rFonts w:cs="Open Sans"/>
          <w:sz w:val="18"/>
          <w:szCs w:val="18"/>
        </w:rPr>
        <w:t xml:space="preserve"> Australian Government Treasury, </w:t>
      </w:r>
      <w:hyperlink r:id="rId22" w:history="1">
        <w:r w:rsidR="00156D7B" w:rsidRPr="002D4943">
          <w:rPr>
            <w:rStyle w:val="Hyperlink"/>
            <w:rFonts w:cs="Open Sans"/>
            <w:i/>
            <w:sz w:val="18"/>
            <w:szCs w:val="18"/>
          </w:rPr>
          <w:t>Premises Standards Review 2021 – Opportunities for action</w:t>
        </w:r>
      </w:hyperlink>
      <w:r w:rsidR="0013156C" w:rsidRPr="002D4943">
        <w:rPr>
          <w:rFonts w:cs="Open Sans"/>
          <w:sz w:val="18"/>
          <w:szCs w:val="18"/>
        </w:rPr>
        <w:t>, [Website], 2021, accessed September 2025.</w:t>
      </w:r>
    </w:p>
  </w:endnote>
  <w:endnote w:id="231">
    <w:p w14:paraId="1C3B5023" w14:textId="43475B1E" w:rsidR="008E13B9" w:rsidRPr="002D4943" w:rsidRDefault="008E13B9" w:rsidP="0017361B">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The policy functions related to the administration of the Premises Standards within the federal Government were transferred to Treasury in May 2025, by way of administrative order. </w:t>
      </w:r>
      <w:r w:rsidR="00AD5D92" w:rsidRPr="002D4943">
        <w:rPr>
          <w:rFonts w:cs="Open Sans"/>
          <w:sz w:val="18"/>
          <w:szCs w:val="18"/>
        </w:rPr>
        <w:t>D</w:t>
      </w:r>
      <w:r w:rsidR="00D85C19" w:rsidRPr="002D4943">
        <w:rPr>
          <w:rFonts w:cs="Open Sans"/>
          <w:sz w:val="18"/>
          <w:szCs w:val="18"/>
        </w:rPr>
        <w:t>epartment of the Premier and Cabinet</w:t>
      </w:r>
      <w:r w:rsidR="00106C26" w:rsidRPr="002D4943">
        <w:rPr>
          <w:rFonts w:cs="Open Sans"/>
          <w:sz w:val="18"/>
          <w:szCs w:val="18"/>
        </w:rPr>
        <w:t xml:space="preserve">, </w:t>
      </w:r>
      <w:r w:rsidR="00106C26" w:rsidRPr="002D4943">
        <w:rPr>
          <w:rFonts w:cs="Open Sans"/>
          <w:i/>
          <w:sz w:val="18"/>
          <w:szCs w:val="18"/>
        </w:rPr>
        <w:t>Administrative Arrangements Order</w:t>
      </w:r>
      <w:r w:rsidR="00106C26" w:rsidRPr="002D4943">
        <w:rPr>
          <w:rFonts w:cs="Open Sans"/>
          <w:sz w:val="18"/>
          <w:szCs w:val="18"/>
        </w:rPr>
        <w:t xml:space="preserve"> (13 May 2025)</w:t>
      </w:r>
      <w:r w:rsidR="00106C26" w:rsidRPr="002D4943" w:rsidDel="00106C26">
        <w:rPr>
          <w:rFonts w:cs="Open Sans"/>
          <w:sz w:val="18"/>
          <w:szCs w:val="18"/>
        </w:rPr>
        <w:t xml:space="preserve"> </w:t>
      </w:r>
      <w:r w:rsidR="00AF4541" w:rsidRPr="002D4943">
        <w:rPr>
          <w:rFonts w:cs="Open Sans"/>
          <w:sz w:val="18"/>
          <w:szCs w:val="18"/>
        </w:rPr>
        <w:t>37</w:t>
      </w:r>
      <w:r w:rsidR="0017361B" w:rsidRPr="002D4943">
        <w:rPr>
          <w:rFonts w:cs="Open Sans"/>
          <w:sz w:val="18"/>
          <w:szCs w:val="18"/>
        </w:rPr>
        <w:t>.</w:t>
      </w:r>
      <w:r w:rsidR="00CB366A" w:rsidRPr="002D4943">
        <w:rPr>
          <w:rFonts w:cs="Open Sans"/>
          <w:sz w:val="18"/>
          <w:szCs w:val="18"/>
        </w:rPr>
        <w:t xml:space="preserve"> </w:t>
      </w:r>
    </w:p>
  </w:endnote>
  <w:endnote w:id="232">
    <w:p w14:paraId="2A7DFFA5" w14:textId="5945F1D5"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7192F" w:rsidRPr="002D4943">
        <w:rPr>
          <w:rFonts w:cs="Open Sans"/>
          <w:sz w:val="18"/>
          <w:szCs w:val="18"/>
        </w:rPr>
        <w:t xml:space="preserve">Australian Government Treasury, </w:t>
      </w:r>
      <w:hyperlink r:id="rId23" w:history="1">
        <w:r w:rsidR="0067192F" w:rsidRPr="002D4943">
          <w:rPr>
            <w:rStyle w:val="Hyperlink"/>
            <w:rFonts w:cs="Open Sans"/>
            <w:i/>
            <w:sz w:val="18"/>
            <w:szCs w:val="18"/>
          </w:rPr>
          <w:t>Premises Standards Review 2021 – Opportunities for action</w:t>
        </w:r>
      </w:hyperlink>
      <w:r w:rsidR="0067192F" w:rsidRPr="002D4943">
        <w:rPr>
          <w:rFonts w:cs="Open Sans"/>
          <w:sz w:val="18"/>
          <w:szCs w:val="18"/>
        </w:rPr>
        <w:t>, [Website], 2021, accessed September 2025.</w:t>
      </w:r>
    </w:p>
  </w:endnote>
  <w:endnote w:id="233">
    <w:p w14:paraId="2C976211" w14:textId="253A6DB1"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0087150B" w:rsidRPr="002D4943">
        <w:rPr>
          <w:rFonts w:cs="Open Sans"/>
          <w:sz w:val="18"/>
          <w:szCs w:val="18"/>
        </w:rPr>
        <w:t xml:space="preserve">See: </w:t>
      </w:r>
      <w:r w:rsidR="00044C6D" w:rsidRPr="002D4943">
        <w:rPr>
          <w:rFonts w:cs="Open Sans"/>
          <w:sz w:val="18"/>
          <w:szCs w:val="18"/>
        </w:rPr>
        <w:t xml:space="preserve">Finding 3 in </w:t>
      </w:r>
      <w:r w:rsidR="00583064" w:rsidRPr="002D4943">
        <w:rPr>
          <w:rFonts w:cs="Open Sans"/>
          <w:sz w:val="18"/>
          <w:szCs w:val="18"/>
        </w:rPr>
        <w:t xml:space="preserve">Department of </w:t>
      </w:r>
      <w:r w:rsidR="00960B8D" w:rsidRPr="002D4943">
        <w:rPr>
          <w:rFonts w:cs="Open Sans"/>
          <w:sz w:val="18"/>
          <w:szCs w:val="18"/>
        </w:rPr>
        <w:t>Infrastructure</w:t>
      </w:r>
      <w:r w:rsidR="00583064" w:rsidRPr="002D4943">
        <w:rPr>
          <w:rFonts w:cs="Open Sans"/>
          <w:sz w:val="18"/>
          <w:szCs w:val="18"/>
        </w:rPr>
        <w:t xml:space="preserve">, Transport, Regional Development, Communications, </w:t>
      </w:r>
      <w:r w:rsidR="006824C6" w:rsidRPr="002D4943">
        <w:rPr>
          <w:rFonts w:cs="Open Sans"/>
          <w:i/>
          <w:sz w:val="18"/>
          <w:szCs w:val="18"/>
        </w:rPr>
        <w:t>Third Review of the Disability Standards for Accessible Public Transport 2002 (Transport Standards)</w:t>
      </w:r>
      <w:r w:rsidR="00E433BB" w:rsidRPr="002D4943">
        <w:rPr>
          <w:rFonts w:cs="Open Sans"/>
          <w:sz w:val="18"/>
          <w:szCs w:val="18"/>
        </w:rPr>
        <w:t>,</w:t>
      </w:r>
      <w:r w:rsidR="006824C6" w:rsidRPr="002D4943">
        <w:rPr>
          <w:rFonts w:cs="Open Sans"/>
          <w:sz w:val="18"/>
          <w:szCs w:val="18"/>
        </w:rPr>
        <w:t xml:space="preserve"> </w:t>
      </w:r>
      <w:r w:rsidR="00F278B3" w:rsidRPr="002D4943">
        <w:rPr>
          <w:rFonts w:cs="Open Sans"/>
          <w:sz w:val="18"/>
          <w:szCs w:val="18"/>
        </w:rPr>
        <w:t>(</w:t>
      </w:r>
      <w:r w:rsidR="00E433BB" w:rsidRPr="002D4943">
        <w:rPr>
          <w:rFonts w:cs="Open Sans"/>
          <w:sz w:val="18"/>
          <w:szCs w:val="18"/>
        </w:rPr>
        <w:t xml:space="preserve">Final Report, 2 December 2021) </w:t>
      </w:r>
      <w:r w:rsidR="00264EA2" w:rsidRPr="002D4943">
        <w:rPr>
          <w:rFonts w:cs="Open Sans"/>
          <w:sz w:val="18"/>
          <w:szCs w:val="18"/>
        </w:rPr>
        <w:t>pp</w:t>
      </w:r>
      <w:r w:rsidR="00F278B3" w:rsidRPr="002D4943">
        <w:rPr>
          <w:rFonts w:cs="Open Sans"/>
          <w:sz w:val="18"/>
          <w:szCs w:val="18"/>
        </w:rPr>
        <w:t xml:space="preserve"> </w:t>
      </w:r>
      <w:r w:rsidR="00960B8D" w:rsidRPr="002D4943">
        <w:rPr>
          <w:rFonts w:cs="Open Sans"/>
          <w:sz w:val="18"/>
          <w:szCs w:val="18"/>
        </w:rPr>
        <w:t>12</w:t>
      </w:r>
      <w:r w:rsidR="00762B8D" w:rsidRPr="002D4943">
        <w:rPr>
          <w:rFonts w:cs="Open Sans"/>
          <w:sz w:val="18"/>
          <w:szCs w:val="18"/>
        </w:rPr>
        <w:t>,</w:t>
      </w:r>
      <w:r w:rsidR="00264EA2" w:rsidRPr="002D4943">
        <w:rPr>
          <w:rFonts w:cs="Open Sans"/>
          <w:sz w:val="18"/>
          <w:szCs w:val="18"/>
        </w:rPr>
        <w:t xml:space="preserve"> 93-94. </w:t>
      </w:r>
      <w:r w:rsidR="00762B8D" w:rsidRPr="002D4943">
        <w:rPr>
          <w:rFonts w:cs="Open Sans"/>
          <w:sz w:val="18"/>
          <w:szCs w:val="18"/>
        </w:rPr>
        <w:t xml:space="preserve"> </w:t>
      </w:r>
      <w:r w:rsidR="00044C6D" w:rsidRPr="002D4943">
        <w:rPr>
          <w:rFonts w:cs="Open Sans"/>
          <w:sz w:val="18"/>
          <w:szCs w:val="18"/>
        </w:rPr>
        <w:t xml:space="preserve">Recommendation 2 in </w:t>
      </w:r>
      <w:r w:rsidR="00E433BB" w:rsidRPr="002D4943">
        <w:rPr>
          <w:rFonts w:cs="Open Sans"/>
          <w:sz w:val="18"/>
          <w:szCs w:val="18"/>
        </w:rPr>
        <w:t>Department of Infrastructure</w:t>
      </w:r>
      <w:r w:rsidR="00510CA4" w:rsidRPr="002D4943">
        <w:rPr>
          <w:rFonts w:cs="Open Sans"/>
          <w:sz w:val="18"/>
          <w:szCs w:val="18"/>
        </w:rPr>
        <w:t xml:space="preserve"> and </w:t>
      </w:r>
      <w:r w:rsidR="00E433BB" w:rsidRPr="002D4943">
        <w:rPr>
          <w:rFonts w:cs="Open Sans"/>
          <w:sz w:val="18"/>
          <w:szCs w:val="18"/>
        </w:rPr>
        <w:t xml:space="preserve">Regional Development, </w:t>
      </w:r>
      <w:r w:rsidR="00E433BB" w:rsidRPr="002D4943">
        <w:rPr>
          <w:rFonts w:cs="Open Sans"/>
          <w:i/>
          <w:sz w:val="18"/>
          <w:szCs w:val="18"/>
        </w:rPr>
        <w:t>Review of the Disability Standards for Accessible Public Transport 2002</w:t>
      </w:r>
      <w:r w:rsidR="006113DF" w:rsidRPr="002D4943">
        <w:rPr>
          <w:rFonts w:cs="Open Sans"/>
          <w:i/>
          <w:sz w:val="18"/>
          <w:szCs w:val="18"/>
        </w:rPr>
        <w:t>,</w:t>
      </w:r>
      <w:r w:rsidR="00E433BB" w:rsidRPr="002D4943">
        <w:rPr>
          <w:rFonts w:cs="Open Sans"/>
          <w:sz w:val="18"/>
          <w:szCs w:val="18"/>
        </w:rPr>
        <w:t xml:space="preserve"> (Final Report, </w:t>
      </w:r>
      <w:r w:rsidR="00510CA4" w:rsidRPr="002D4943">
        <w:rPr>
          <w:rFonts w:cs="Open Sans"/>
          <w:sz w:val="18"/>
          <w:szCs w:val="18"/>
        </w:rPr>
        <w:t>July 2015</w:t>
      </w:r>
      <w:r w:rsidR="00A335DB" w:rsidRPr="002D4943">
        <w:rPr>
          <w:rFonts w:cs="Open Sans"/>
          <w:sz w:val="18"/>
          <w:szCs w:val="18"/>
        </w:rPr>
        <w:t>)</w:t>
      </w:r>
      <w:r w:rsidR="00E433BB" w:rsidRPr="002D4943">
        <w:rPr>
          <w:rFonts w:cs="Open Sans"/>
          <w:sz w:val="18"/>
          <w:szCs w:val="18"/>
        </w:rPr>
        <w:t xml:space="preserve"> pp 12,</w:t>
      </w:r>
      <w:r w:rsidR="008C2216" w:rsidRPr="002D4943">
        <w:rPr>
          <w:rFonts w:cs="Open Sans"/>
          <w:sz w:val="18"/>
          <w:szCs w:val="18"/>
        </w:rPr>
        <w:t xml:space="preserve"> </w:t>
      </w:r>
      <w:r w:rsidR="00855C2A" w:rsidRPr="002D4943">
        <w:rPr>
          <w:rFonts w:cs="Open Sans"/>
          <w:sz w:val="18"/>
          <w:szCs w:val="18"/>
        </w:rPr>
        <w:t>130 – 132.</w:t>
      </w:r>
      <w:r w:rsidRPr="002D4943">
        <w:rPr>
          <w:rFonts w:cs="Open Sans"/>
          <w:sz w:val="18"/>
          <w:szCs w:val="18"/>
        </w:rPr>
        <w:t xml:space="preserve"> </w:t>
      </w:r>
      <w:r w:rsidR="006B435E" w:rsidRPr="002D4943">
        <w:rPr>
          <w:rFonts w:cs="Open Sans"/>
          <w:sz w:val="18"/>
          <w:szCs w:val="18"/>
        </w:rPr>
        <w:t xml:space="preserve">Department of </w:t>
      </w:r>
      <w:r w:rsidR="00A335DB" w:rsidRPr="002D4943">
        <w:rPr>
          <w:rFonts w:cs="Open Sans"/>
          <w:sz w:val="18"/>
          <w:szCs w:val="18"/>
        </w:rPr>
        <w:t>Infrastructure</w:t>
      </w:r>
      <w:r w:rsidR="006B435E" w:rsidRPr="002D4943">
        <w:rPr>
          <w:rFonts w:cs="Open Sans"/>
          <w:sz w:val="18"/>
          <w:szCs w:val="18"/>
        </w:rPr>
        <w:t xml:space="preserve">, </w:t>
      </w:r>
      <w:r w:rsidR="00CF769C" w:rsidRPr="002D4943">
        <w:rPr>
          <w:rFonts w:cs="Open Sans"/>
          <w:sz w:val="18"/>
          <w:szCs w:val="18"/>
        </w:rPr>
        <w:t xml:space="preserve">Transport, Regional Development, Communications, Sports and the Arts, </w:t>
      </w:r>
      <w:r w:rsidR="00CC3452" w:rsidRPr="002D4943">
        <w:rPr>
          <w:rFonts w:cs="Open Sans"/>
          <w:i/>
          <w:sz w:val="18"/>
          <w:szCs w:val="18"/>
        </w:rPr>
        <w:t>Reform of the Disability Standards for Accessible Public Transport 2002 – Summary of decision</w:t>
      </w:r>
      <w:r w:rsidR="00A335DB" w:rsidRPr="002D4943">
        <w:rPr>
          <w:rFonts w:cs="Open Sans"/>
          <w:sz w:val="18"/>
          <w:szCs w:val="18"/>
        </w:rPr>
        <w:t>,</w:t>
      </w:r>
      <w:r w:rsidR="00CF769C" w:rsidRPr="002D4943">
        <w:rPr>
          <w:rFonts w:cs="Open Sans"/>
          <w:sz w:val="18"/>
          <w:szCs w:val="18"/>
        </w:rPr>
        <w:t xml:space="preserve"> (</w:t>
      </w:r>
      <w:r w:rsidR="001E1E14" w:rsidRPr="002D4943">
        <w:rPr>
          <w:rFonts w:cs="Open Sans"/>
          <w:sz w:val="18"/>
          <w:szCs w:val="18"/>
        </w:rPr>
        <w:t xml:space="preserve">Summary paper, </w:t>
      </w:r>
      <w:r w:rsidR="00CF769C" w:rsidRPr="002D4943">
        <w:rPr>
          <w:rFonts w:cs="Open Sans"/>
          <w:sz w:val="18"/>
          <w:szCs w:val="18"/>
        </w:rPr>
        <w:t>20 March 2024</w:t>
      </w:r>
      <w:r w:rsidR="001E1E14" w:rsidRPr="002D4943">
        <w:rPr>
          <w:rFonts w:cs="Open Sans"/>
          <w:sz w:val="18"/>
          <w:szCs w:val="18"/>
        </w:rPr>
        <w:t>)</w:t>
      </w:r>
      <w:r w:rsidR="00F90C9E" w:rsidRPr="002D4943">
        <w:rPr>
          <w:rFonts w:cs="Open Sans"/>
          <w:sz w:val="18"/>
          <w:szCs w:val="18"/>
        </w:rPr>
        <w:t xml:space="preserve"> 5</w:t>
      </w:r>
      <w:r w:rsidR="001E1E14" w:rsidRPr="002D4943">
        <w:rPr>
          <w:rFonts w:cs="Open Sans"/>
          <w:sz w:val="18"/>
          <w:szCs w:val="18"/>
        </w:rPr>
        <w:t>.</w:t>
      </w:r>
    </w:p>
  </w:endnote>
  <w:endnote w:id="234">
    <w:p w14:paraId="0253EDC1" w14:textId="77777777" w:rsidR="00F03B86" w:rsidRPr="002D4943" w:rsidRDefault="00F03B86" w:rsidP="00F03B86">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Commonwealth Department of Social Services, </w:t>
      </w:r>
      <w:hyperlink r:id="rId24" w:history="1">
        <w:r w:rsidRPr="002D4943">
          <w:rPr>
            <w:rStyle w:val="Hyperlink"/>
            <w:rFonts w:cs="Open Sans"/>
            <w:sz w:val="18"/>
            <w:szCs w:val="18"/>
          </w:rPr>
          <w:t>Data Improvement Plan 2024 Australia’s Disability Strategy 2021 – 2031: Data Improvement Plan 2024</w:t>
        </w:r>
      </w:hyperlink>
      <w:r w:rsidRPr="002D4943">
        <w:rPr>
          <w:rFonts w:cs="Open Sans"/>
          <w:sz w:val="18"/>
          <w:szCs w:val="18"/>
        </w:rPr>
        <w:t xml:space="preserve"> (Report 2024) 11.</w:t>
      </w:r>
    </w:p>
  </w:endnote>
  <w:endnote w:id="235">
    <w:p w14:paraId="19593529" w14:textId="6CCD8C1E"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See</w:t>
      </w:r>
      <w:r w:rsidR="0056486D" w:rsidRPr="002D4943">
        <w:rPr>
          <w:rFonts w:cs="Open Sans"/>
          <w:sz w:val="18"/>
          <w:szCs w:val="18"/>
        </w:rPr>
        <w:t>:</w:t>
      </w:r>
      <w:r w:rsidRPr="002D4943">
        <w:rPr>
          <w:rFonts w:cs="Open Sans"/>
          <w:sz w:val="18"/>
          <w:szCs w:val="18"/>
        </w:rPr>
        <w:t xml:space="preserve"> The Allen Consulting Group, </w:t>
      </w:r>
      <w:r w:rsidRPr="002D4943">
        <w:rPr>
          <w:rFonts w:cs="Open Sans"/>
          <w:i/>
          <w:sz w:val="18"/>
          <w:szCs w:val="18"/>
        </w:rPr>
        <w:t>Review of the Disability Standards for Accessible Public Transport</w:t>
      </w:r>
      <w:r w:rsidRPr="002D4943">
        <w:rPr>
          <w:rFonts w:cs="Open Sans"/>
          <w:sz w:val="18"/>
          <w:szCs w:val="18"/>
        </w:rPr>
        <w:t xml:space="preserve"> (Final Report</w:t>
      </w:r>
      <w:r w:rsidR="00EF6CEB" w:rsidRPr="002D4943">
        <w:rPr>
          <w:rFonts w:cs="Open Sans"/>
          <w:sz w:val="18"/>
          <w:szCs w:val="18"/>
        </w:rPr>
        <w:t xml:space="preserve"> to the </w:t>
      </w:r>
      <w:r w:rsidR="004A4FE8" w:rsidRPr="002D4943">
        <w:rPr>
          <w:rFonts w:cs="Open Sans"/>
          <w:sz w:val="18"/>
          <w:szCs w:val="18"/>
        </w:rPr>
        <w:t>Commonwealth</w:t>
      </w:r>
      <w:r w:rsidRPr="002D4943">
        <w:rPr>
          <w:rFonts w:cs="Open Sans"/>
          <w:sz w:val="18"/>
          <w:szCs w:val="18"/>
        </w:rPr>
        <w:t xml:space="preserve"> Minister for Infrastructure, Transport, Regional Development and Local Government and the Attorney General (Cth), October 2009); </w:t>
      </w:r>
      <w:r w:rsidR="0056486D" w:rsidRPr="002D4943">
        <w:rPr>
          <w:rFonts w:cs="Open Sans"/>
          <w:sz w:val="18"/>
          <w:szCs w:val="18"/>
        </w:rPr>
        <w:t xml:space="preserve">Commonwealth </w:t>
      </w:r>
      <w:r w:rsidRPr="002D4943">
        <w:rPr>
          <w:rFonts w:cs="Open Sans"/>
          <w:sz w:val="18"/>
          <w:szCs w:val="18"/>
        </w:rPr>
        <w:t xml:space="preserve">Department of Infrastructure and Regional Development, </w:t>
      </w:r>
      <w:r w:rsidRPr="002D4943">
        <w:rPr>
          <w:rFonts w:cs="Open Sans"/>
          <w:i/>
          <w:sz w:val="18"/>
          <w:szCs w:val="18"/>
        </w:rPr>
        <w:t>Review of the Disability Standards for Accessible Public Transport 2002</w:t>
      </w:r>
      <w:r w:rsidRPr="002D4943">
        <w:rPr>
          <w:rFonts w:cs="Open Sans"/>
          <w:sz w:val="18"/>
          <w:szCs w:val="18"/>
        </w:rPr>
        <w:t xml:space="preserve"> (Final Report, July 2015); </w:t>
      </w:r>
      <w:r w:rsidR="004A4FE8" w:rsidRPr="002D4943">
        <w:rPr>
          <w:rFonts w:cs="Open Sans"/>
          <w:sz w:val="18"/>
          <w:szCs w:val="18"/>
        </w:rPr>
        <w:t xml:space="preserve">Commonwealth </w:t>
      </w:r>
      <w:r w:rsidR="00CD577D" w:rsidRPr="002D4943">
        <w:rPr>
          <w:rFonts w:cs="Open Sans"/>
          <w:sz w:val="18"/>
          <w:szCs w:val="18"/>
        </w:rPr>
        <w:t xml:space="preserve">Department of Infrastructure, Transport, Regional Development and Communications, </w:t>
      </w:r>
      <w:r w:rsidR="00CD577D" w:rsidRPr="002D4943">
        <w:rPr>
          <w:rFonts w:cs="Open Sans"/>
          <w:i/>
          <w:sz w:val="18"/>
          <w:szCs w:val="18"/>
        </w:rPr>
        <w:t>Third Review of the Disability Standards for Accessible Public Transport 2002 (Transport Standards)</w:t>
      </w:r>
      <w:r w:rsidR="00CD577D" w:rsidRPr="002D4943">
        <w:rPr>
          <w:rFonts w:cs="Open Sans"/>
          <w:sz w:val="18"/>
          <w:szCs w:val="18"/>
        </w:rPr>
        <w:t xml:space="preserve"> (Report, November 2021)</w:t>
      </w:r>
      <w:r w:rsidR="004808AA" w:rsidRPr="002D4943">
        <w:rPr>
          <w:rFonts w:cs="Open Sans"/>
          <w:sz w:val="18"/>
          <w:szCs w:val="18"/>
        </w:rPr>
        <w:t>.</w:t>
      </w:r>
    </w:p>
  </w:endnote>
  <w:endnote w:id="236">
    <w:p w14:paraId="0E59158D" w14:textId="22BA390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695B3D" w:rsidRPr="002D4943">
        <w:rPr>
          <w:rFonts w:cs="Open Sans"/>
          <w:sz w:val="18"/>
          <w:szCs w:val="18"/>
        </w:rPr>
        <w:t xml:space="preserve">Department of Infrastructure, Transport, Regional Development, Communications and the Arts, </w:t>
      </w:r>
      <w:r w:rsidR="00695B3D" w:rsidRPr="002D4943">
        <w:rPr>
          <w:rFonts w:cs="Open Sans"/>
          <w:i/>
          <w:sz w:val="18"/>
          <w:szCs w:val="18"/>
        </w:rPr>
        <w:t xml:space="preserve">Aviation White Paper: Towards 2050 </w:t>
      </w:r>
      <w:r w:rsidR="00695B3D" w:rsidRPr="002D4943">
        <w:rPr>
          <w:rFonts w:cs="Open Sans"/>
          <w:sz w:val="18"/>
          <w:szCs w:val="18"/>
        </w:rPr>
        <w:t xml:space="preserve">(August 2024), p </w:t>
      </w:r>
      <w:r w:rsidR="00183937" w:rsidRPr="002D4943">
        <w:rPr>
          <w:rFonts w:cs="Open Sans"/>
          <w:sz w:val="18"/>
          <w:szCs w:val="18"/>
        </w:rPr>
        <w:t>61.</w:t>
      </w:r>
    </w:p>
  </w:endnote>
  <w:endnote w:id="237">
    <w:p w14:paraId="0A9C89C8"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Standards for Education 2005</w:t>
      </w:r>
      <w:r w:rsidRPr="002D4943">
        <w:rPr>
          <w:rFonts w:cs="Open Sans"/>
          <w:sz w:val="18"/>
          <w:szCs w:val="18"/>
        </w:rPr>
        <w:t xml:space="preserve"> (Cth) s 11.1, </w:t>
      </w:r>
      <w:r w:rsidRPr="002D4943">
        <w:rPr>
          <w:rFonts w:cs="Open Sans"/>
          <w:i/>
          <w:sz w:val="18"/>
          <w:szCs w:val="18"/>
        </w:rPr>
        <w:t>Disability Standards for Accessible Public Transport 2002</w:t>
      </w:r>
      <w:r w:rsidRPr="002D4943">
        <w:rPr>
          <w:rFonts w:cs="Open Sans"/>
          <w:sz w:val="18"/>
          <w:szCs w:val="18"/>
        </w:rPr>
        <w:t xml:space="preserve"> (Cth) s 34.1, </w:t>
      </w:r>
      <w:r w:rsidRPr="002D4943">
        <w:rPr>
          <w:rFonts w:cs="Open Sans"/>
          <w:i/>
          <w:sz w:val="18"/>
          <w:szCs w:val="18"/>
        </w:rPr>
        <w:t>Disability (Access to Premises — Buildings) Standards 2010</w:t>
      </w:r>
      <w:r w:rsidRPr="002D4943">
        <w:rPr>
          <w:rFonts w:cs="Open Sans"/>
          <w:sz w:val="18"/>
          <w:szCs w:val="18"/>
        </w:rPr>
        <w:t xml:space="preserve"> (Cth) s 6.1.</w:t>
      </w:r>
    </w:p>
  </w:endnote>
  <w:endnote w:id="238">
    <w:p w14:paraId="6ED5F81D" w14:textId="45D74DBB" w:rsidR="008E13B9" w:rsidRPr="002D4943" w:rsidRDefault="008E13B9" w:rsidP="00F7669E">
      <w:pPr>
        <w:pStyle w:val="EndnoteText"/>
        <w:tabs>
          <w:tab w:val="left" w:pos="4536"/>
        </w:tabs>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0531D" w:rsidRPr="002D4943">
        <w:rPr>
          <w:rStyle w:val="EndnoteReference"/>
          <w:rFonts w:cs="Open Sans"/>
          <w:sz w:val="18"/>
          <w:szCs w:val="18"/>
        </w:rPr>
        <w:endnoteRef/>
      </w:r>
      <w:r w:rsidR="00F0531D" w:rsidRPr="002D4943">
        <w:rPr>
          <w:rFonts w:cs="Open Sans"/>
          <w:sz w:val="18"/>
          <w:szCs w:val="18"/>
        </w:rPr>
        <w:t xml:space="preserve"> Free &amp; Equal 2021 Position Paper, </w:t>
      </w:r>
      <w:r w:rsidR="00F7669E" w:rsidRPr="002D4943">
        <w:rPr>
          <w:rFonts w:cs="Open Sans"/>
          <w:sz w:val="18"/>
          <w:szCs w:val="18"/>
        </w:rPr>
        <w:t xml:space="preserve">166, </w:t>
      </w:r>
      <w:r w:rsidR="00EE1FC7" w:rsidRPr="002D4943">
        <w:rPr>
          <w:rFonts w:cs="Open Sans"/>
          <w:sz w:val="18"/>
          <w:szCs w:val="18"/>
        </w:rPr>
        <w:t>335.</w:t>
      </w:r>
    </w:p>
  </w:endnote>
  <w:endnote w:id="239">
    <w:p w14:paraId="219C5671" w14:textId="0275C89A"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730C4C" w:rsidRPr="002D4943">
        <w:rPr>
          <w:rFonts w:cs="Open Sans"/>
          <w:sz w:val="18"/>
          <w:szCs w:val="18"/>
        </w:rPr>
        <w:t xml:space="preserve">Department of Infrastructure, Transport, Regional Development, Communications and the Arts, </w:t>
      </w:r>
      <w:r w:rsidR="00730C4C" w:rsidRPr="002D4943">
        <w:rPr>
          <w:rFonts w:cs="Open Sans"/>
          <w:i/>
          <w:sz w:val="18"/>
          <w:szCs w:val="18"/>
        </w:rPr>
        <w:t>Aviation White Paper: Towards 2050</w:t>
      </w:r>
      <w:r w:rsidR="0017361B" w:rsidRPr="002D4943">
        <w:rPr>
          <w:rFonts w:cs="Open Sans"/>
          <w:i/>
          <w:iCs/>
          <w:sz w:val="18"/>
          <w:szCs w:val="18"/>
        </w:rPr>
        <w:t xml:space="preserve"> </w:t>
      </w:r>
      <w:r w:rsidR="00730C4C" w:rsidRPr="002D4943">
        <w:rPr>
          <w:rFonts w:cs="Open Sans"/>
          <w:sz w:val="18"/>
          <w:szCs w:val="18"/>
        </w:rPr>
        <w:t xml:space="preserve">(August 2024), </w:t>
      </w:r>
      <w:r w:rsidR="00AB68B6" w:rsidRPr="002D4943">
        <w:rPr>
          <w:rFonts w:cs="Open Sans"/>
          <w:sz w:val="18"/>
          <w:szCs w:val="18"/>
        </w:rPr>
        <w:t>59</w:t>
      </w:r>
      <w:r w:rsidR="00730C4C" w:rsidRPr="002D4943">
        <w:rPr>
          <w:rFonts w:cs="Open Sans"/>
          <w:sz w:val="18"/>
          <w:szCs w:val="18"/>
        </w:rPr>
        <w:t xml:space="preserve"> – 63.</w:t>
      </w:r>
    </w:p>
  </w:endnote>
  <w:endnote w:id="240">
    <w:p w14:paraId="05ACE1BB" w14:textId="58D3EFD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0531D" w:rsidRPr="002D4943">
        <w:rPr>
          <w:rFonts w:cs="Open Sans"/>
          <w:sz w:val="18"/>
          <w:szCs w:val="18"/>
        </w:rPr>
        <w:t>Free &amp; Equal 2021 Position Paper,</w:t>
      </w:r>
      <w:r w:rsidR="00F235BF" w:rsidRPr="002D4943">
        <w:rPr>
          <w:rFonts w:cs="Open Sans"/>
          <w:sz w:val="18"/>
          <w:szCs w:val="18"/>
        </w:rPr>
        <w:t xml:space="preserve"> </w:t>
      </w:r>
      <w:r w:rsidRPr="002D4943">
        <w:rPr>
          <w:rFonts w:cs="Open Sans"/>
          <w:sz w:val="18"/>
          <w:szCs w:val="18"/>
        </w:rPr>
        <w:t>142</w:t>
      </w:r>
      <w:r w:rsidR="00A77889" w:rsidRPr="002D4943">
        <w:rPr>
          <w:rFonts w:cs="Open Sans"/>
          <w:i/>
          <w:sz w:val="18"/>
          <w:szCs w:val="18"/>
        </w:rPr>
        <w:t>.</w:t>
      </w:r>
    </w:p>
  </w:endnote>
  <w:endnote w:id="241">
    <w:p w14:paraId="545C6AA5" w14:textId="3E9F963D"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hyperlink r:id="rId25" w:history="1">
        <w:r w:rsidRPr="002D4943">
          <w:rPr>
            <w:rStyle w:val="Hyperlink"/>
            <w:rFonts w:cs="Open Sans"/>
            <w:i/>
            <w:sz w:val="18"/>
            <w:szCs w:val="18"/>
          </w:rPr>
          <w:t>Human Rights and Technology</w:t>
        </w:r>
      </w:hyperlink>
      <w:r w:rsidRPr="002D4943">
        <w:rPr>
          <w:rFonts w:cs="Open Sans"/>
          <w:i/>
          <w:sz w:val="18"/>
          <w:szCs w:val="18"/>
        </w:rPr>
        <w:t xml:space="preserve"> </w:t>
      </w:r>
      <w:r w:rsidRPr="002D4943">
        <w:rPr>
          <w:rFonts w:cs="Open Sans"/>
          <w:sz w:val="18"/>
          <w:szCs w:val="18"/>
        </w:rPr>
        <w:t>(Final Report, 2021)</w:t>
      </w:r>
      <w:r w:rsidR="00F0531D" w:rsidRPr="002D4943">
        <w:rPr>
          <w:rFonts w:cs="Open Sans"/>
          <w:sz w:val="18"/>
          <w:szCs w:val="18"/>
        </w:rPr>
        <w:t>.</w:t>
      </w:r>
    </w:p>
  </w:endnote>
  <w:endnote w:id="242">
    <w:p w14:paraId="51651604"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Submission to Department of Home Affairs, </w:t>
      </w:r>
      <w:r w:rsidRPr="002D4943">
        <w:rPr>
          <w:rFonts w:cs="Open Sans"/>
          <w:i/>
          <w:sz w:val="18"/>
          <w:szCs w:val="18"/>
        </w:rPr>
        <w:t xml:space="preserve">Review of the Migration Health Requirement Significant Cost Threshold </w:t>
      </w:r>
      <w:r w:rsidRPr="002D4943">
        <w:rPr>
          <w:rFonts w:cs="Open Sans"/>
          <w:sz w:val="18"/>
          <w:szCs w:val="18"/>
        </w:rPr>
        <w:t>(24 November 2023) 36.</w:t>
      </w:r>
    </w:p>
  </w:endnote>
  <w:endnote w:id="243">
    <w:p w14:paraId="2E0A69A7" w14:textId="1CC8DDAD"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F0531D" w:rsidRPr="002D4943">
        <w:rPr>
          <w:rFonts w:cs="Open Sans"/>
          <w:sz w:val="18"/>
          <w:szCs w:val="18"/>
        </w:rPr>
        <w:t>CRPD</w:t>
      </w:r>
      <w:r w:rsidR="00CE738E" w:rsidRPr="002D4943">
        <w:rPr>
          <w:rFonts w:cs="Open Sans"/>
          <w:sz w:val="18"/>
          <w:szCs w:val="18"/>
        </w:rPr>
        <w:t xml:space="preserve"> art 1.</w:t>
      </w:r>
    </w:p>
  </w:endnote>
  <w:endnote w:id="244">
    <w:p w14:paraId="6083E91C"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Rosemary Kayess &amp; Therese Sands (2020). </w:t>
      </w:r>
      <w:r w:rsidRPr="002D4943">
        <w:rPr>
          <w:rFonts w:cs="Open Sans"/>
          <w:i/>
          <w:sz w:val="18"/>
          <w:szCs w:val="18"/>
        </w:rPr>
        <w:t>Convention on the Rights of Persons with Disabilities: Shining a light on Social Transformation</w:t>
      </w:r>
      <w:r w:rsidRPr="002D4943">
        <w:rPr>
          <w:rFonts w:cs="Open Sans"/>
          <w:sz w:val="18"/>
          <w:szCs w:val="18"/>
        </w:rPr>
        <w:t>. Sydney: UNSW Social Policy Research Centre, 32.</w:t>
      </w:r>
    </w:p>
  </w:endnote>
  <w:endnote w:id="245">
    <w:p w14:paraId="3F92AEEA"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Disability Discrimination Act 1992 </w:t>
      </w:r>
      <w:r w:rsidRPr="002D4943">
        <w:rPr>
          <w:rFonts w:cs="Open Sans"/>
          <w:sz w:val="18"/>
          <w:szCs w:val="18"/>
        </w:rPr>
        <w:t>(Cth) s 4.</w:t>
      </w:r>
    </w:p>
  </w:endnote>
  <w:endnote w:id="246">
    <w:p w14:paraId="78A5250D" w14:textId="77777777" w:rsidR="00EC4C55" w:rsidRPr="002D4943" w:rsidRDefault="00EC4C55" w:rsidP="00EC4C55">
      <w:pPr>
        <w:pStyle w:val="EndnoteText"/>
        <w:rPr>
          <w:rFonts w:cs="Open Sans"/>
          <w:sz w:val="18"/>
          <w:szCs w:val="18"/>
        </w:rPr>
      </w:pPr>
      <w:r w:rsidRPr="002D4943">
        <w:rPr>
          <w:rStyle w:val="EndnoteReference"/>
          <w:rFonts w:cs="Open Sans"/>
          <w:sz w:val="18"/>
          <w:szCs w:val="18"/>
        </w:rPr>
        <w:endnoteRef/>
      </w:r>
      <w:r w:rsidRPr="002D4943">
        <w:rPr>
          <w:rStyle w:val="EndnoteReference"/>
          <w:rFonts w:cs="Open Sans"/>
          <w:sz w:val="18"/>
          <w:szCs w:val="18"/>
        </w:rPr>
        <w:t xml:space="preserve"> </w:t>
      </w:r>
      <w:r w:rsidRPr="002D4943">
        <w:rPr>
          <w:rFonts w:cs="Open Sans"/>
          <w:i/>
          <w:iCs/>
          <w:sz w:val="18"/>
          <w:szCs w:val="18"/>
        </w:rPr>
        <w:t>See Americans with</w:t>
      </w:r>
      <w:r w:rsidRPr="002D4943">
        <w:rPr>
          <w:rFonts w:cs="Open Sans"/>
          <w:sz w:val="18"/>
          <w:szCs w:val="18"/>
        </w:rPr>
        <w:t xml:space="preserve"> </w:t>
      </w:r>
      <w:r w:rsidRPr="002D4943">
        <w:rPr>
          <w:rFonts w:cs="Open Sans"/>
          <w:i/>
          <w:iCs/>
          <w:sz w:val="18"/>
          <w:szCs w:val="18"/>
        </w:rPr>
        <w:t>Disabilities Act 1990</w:t>
      </w:r>
      <w:r w:rsidRPr="002D4943">
        <w:rPr>
          <w:rFonts w:cs="Open Sans"/>
          <w:sz w:val="18"/>
          <w:szCs w:val="18"/>
        </w:rPr>
        <w:t>, 42 USC § 12101.</w:t>
      </w:r>
    </w:p>
  </w:endnote>
  <w:endnote w:id="247">
    <w:p w14:paraId="4A569FE0" w14:textId="541C0A91" w:rsidR="0017361B" w:rsidRPr="002D4943" w:rsidRDefault="000226A6" w:rsidP="0000563D">
      <w:pPr>
        <w:pStyle w:val="EndnoteText"/>
        <w:rPr>
          <w:rFonts w:cs="Open Sans"/>
          <w:i/>
          <w:sz w:val="18"/>
          <w:szCs w:val="18"/>
        </w:rPr>
      </w:pPr>
      <w:r w:rsidRPr="002D4943">
        <w:rPr>
          <w:rStyle w:val="EndnoteReference"/>
          <w:rFonts w:cs="Open Sans"/>
          <w:sz w:val="18"/>
          <w:szCs w:val="18"/>
        </w:rPr>
        <w:endnoteRef/>
      </w:r>
      <w:r w:rsidRPr="002D4943">
        <w:rPr>
          <w:rFonts w:cs="Open Sans"/>
          <w:sz w:val="18"/>
          <w:szCs w:val="18"/>
        </w:rPr>
        <w:t xml:space="preserve"> </w:t>
      </w:r>
      <w:r w:rsidR="00FE4042" w:rsidRPr="002D4943">
        <w:rPr>
          <w:rFonts w:cs="Open Sans"/>
          <w:sz w:val="18"/>
          <w:szCs w:val="18"/>
        </w:rPr>
        <w:t xml:space="preserve">See Peter Blanck </w:t>
      </w:r>
      <w:r w:rsidR="00FE4042" w:rsidRPr="002D4943">
        <w:rPr>
          <w:rFonts w:cs="Open Sans"/>
          <w:i/>
          <w:iCs/>
          <w:sz w:val="18"/>
          <w:szCs w:val="18"/>
        </w:rPr>
        <w:t>On the Importance of the Americans With Disabilities Act at 30</w:t>
      </w:r>
      <w:r w:rsidR="0017361B" w:rsidRPr="002D4943">
        <w:rPr>
          <w:rFonts w:cs="Open Sans"/>
          <w:i/>
          <w:iCs/>
          <w:sz w:val="18"/>
          <w:szCs w:val="18"/>
        </w:rPr>
        <w:t>’</w:t>
      </w:r>
      <w:r w:rsidR="00FE4042" w:rsidRPr="002D4943">
        <w:rPr>
          <w:rFonts w:cs="Open Sans"/>
          <w:i/>
          <w:iCs/>
          <w:sz w:val="18"/>
          <w:szCs w:val="18"/>
        </w:rPr>
        <w:t xml:space="preserve"> (2021) Journal of Disability Policy Studies, 1 – 23, 5</w:t>
      </w:r>
      <w:r w:rsidR="00442CBD" w:rsidRPr="002D4943">
        <w:rPr>
          <w:rFonts w:cs="Open Sans"/>
          <w:i/>
          <w:iCs/>
          <w:sz w:val="18"/>
          <w:szCs w:val="18"/>
        </w:rPr>
        <w:t>.</w:t>
      </w:r>
    </w:p>
  </w:endnote>
  <w:endnote w:id="248">
    <w:p w14:paraId="03613BC4" w14:textId="4D9805E8"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F0531D" w:rsidRPr="002D4943">
        <w:rPr>
          <w:rFonts w:cs="Open Sans"/>
          <w:sz w:val="18"/>
          <w:szCs w:val="18"/>
        </w:rPr>
        <w:t xml:space="preserve"> </w:t>
      </w:r>
      <w:r w:rsidR="0017361B" w:rsidRPr="002D4943">
        <w:rPr>
          <w:rFonts w:cs="Open Sans"/>
          <w:sz w:val="18"/>
          <w:szCs w:val="18"/>
        </w:rPr>
        <w:t>Disability Royal Commission Final Report</w:t>
      </w:r>
      <w:r w:rsidR="00442CBD" w:rsidRPr="002D4943">
        <w:rPr>
          <w:rFonts w:cs="Open Sans"/>
          <w:sz w:val="18"/>
          <w:szCs w:val="18"/>
        </w:rPr>
        <w:t xml:space="preserve"> Vol 7A, 166.</w:t>
      </w:r>
    </w:p>
  </w:endnote>
  <w:endnote w:id="249">
    <w:p w14:paraId="443E9024" w14:textId="07BD0432"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Committee on the Rights of Persons with Disabilities, </w:t>
      </w:r>
      <w:r w:rsidRPr="002D4943">
        <w:rPr>
          <w:rFonts w:cs="Open Sans"/>
          <w:i/>
          <w:sz w:val="18"/>
          <w:szCs w:val="18"/>
        </w:rPr>
        <w:t>Concluding Observations on the combined second and third period reports of Australia,</w:t>
      </w:r>
      <w:r w:rsidRPr="002D4943">
        <w:rPr>
          <w:rFonts w:cs="Open Sans"/>
          <w:sz w:val="18"/>
          <w:szCs w:val="18"/>
        </w:rPr>
        <w:t xml:space="preserve"> UN Doc C/AUS/CO/2-3 (15 October 2019)</w:t>
      </w:r>
      <w:r w:rsidRPr="002D4943">
        <w:rPr>
          <w:rFonts w:cs="Open Sans"/>
          <w:i/>
          <w:sz w:val="18"/>
          <w:szCs w:val="18"/>
        </w:rPr>
        <w:t xml:space="preserve"> </w:t>
      </w:r>
      <w:r w:rsidR="00F0531D" w:rsidRPr="002D4943">
        <w:rPr>
          <w:rFonts w:cs="Open Sans"/>
          <w:sz w:val="18"/>
          <w:szCs w:val="18"/>
        </w:rPr>
        <w:t>[</w:t>
      </w:r>
      <w:r w:rsidRPr="002D4943">
        <w:rPr>
          <w:rFonts w:cs="Open Sans"/>
          <w:sz w:val="18"/>
          <w:szCs w:val="18"/>
        </w:rPr>
        <w:t>45</w:t>
      </w:r>
      <w:r w:rsidR="00F0531D" w:rsidRPr="002D4943">
        <w:rPr>
          <w:rFonts w:cs="Open Sans"/>
          <w:sz w:val="18"/>
          <w:szCs w:val="18"/>
        </w:rPr>
        <w:t>-</w:t>
      </w:r>
      <w:r w:rsidRPr="002D4943">
        <w:rPr>
          <w:rFonts w:cs="Open Sans"/>
          <w:sz w:val="18"/>
          <w:szCs w:val="18"/>
        </w:rPr>
        <w:t>46</w:t>
      </w:r>
      <w:r w:rsidR="00F0531D" w:rsidRPr="002D4943">
        <w:rPr>
          <w:rFonts w:cs="Open Sans"/>
          <w:sz w:val="18"/>
          <w:szCs w:val="18"/>
        </w:rPr>
        <w:t>]</w:t>
      </w:r>
      <w:r w:rsidRPr="002D4943">
        <w:rPr>
          <w:rFonts w:cs="Open Sans"/>
          <w:sz w:val="18"/>
          <w:szCs w:val="18"/>
        </w:rPr>
        <w:t>.</w:t>
      </w:r>
    </w:p>
  </w:endnote>
  <w:endnote w:id="250">
    <w:p w14:paraId="2F2C88ED" w14:textId="31312E04"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 xml:space="preserve">Disability Royal Commission Final Report </w:t>
      </w:r>
      <w:r w:rsidR="004474AB" w:rsidRPr="002D4943">
        <w:rPr>
          <w:rFonts w:cs="Open Sans"/>
          <w:sz w:val="18"/>
          <w:szCs w:val="18"/>
        </w:rPr>
        <w:t>Vol 7A, 166.</w:t>
      </w:r>
    </w:p>
  </w:endnote>
  <w:endnote w:id="251">
    <w:p w14:paraId="5A8DA963" w14:textId="155C6CB6"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4C662A" w:rsidRPr="002D4943">
        <w:rPr>
          <w:rFonts w:cs="Open Sans"/>
          <w:i/>
          <w:sz w:val="18"/>
          <w:szCs w:val="18"/>
        </w:rPr>
        <w:t xml:space="preserve">Disability Discrimination Act 1992 </w:t>
      </w:r>
      <w:r w:rsidR="004C662A" w:rsidRPr="002D4943">
        <w:rPr>
          <w:rFonts w:cs="Open Sans"/>
          <w:sz w:val="18"/>
          <w:szCs w:val="18"/>
        </w:rPr>
        <w:t xml:space="preserve">(Cth) s 22(2). </w:t>
      </w:r>
    </w:p>
  </w:endnote>
  <w:endnote w:id="252">
    <w:p w14:paraId="07A82B23" w14:textId="569AE668" w:rsidR="008E13B9" w:rsidRPr="002D4943" w:rsidRDefault="008E13B9" w:rsidP="008E13B9">
      <w:pPr>
        <w:pStyle w:val="EndnoteText"/>
        <w:rPr>
          <w:rFonts w:cs="Open Sans"/>
          <w:sz w:val="18"/>
          <w:szCs w:val="18"/>
          <w:highlight w:val="yellow"/>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Age Discrimination Act 2004 </w:t>
      </w:r>
      <w:r w:rsidRPr="002D4943">
        <w:rPr>
          <w:rFonts w:cs="Open Sans"/>
          <w:sz w:val="18"/>
          <w:szCs w:val="18"/>
        </w:rPr>
        <w:t>(Cth) s</w:t>
      </w:r>
      <w:r w:rsidR="00DC1608" w:rsidRPr="002D4943">
        <w:rPr>
          <w:rFonts w:cs="Open Sans"/>
          <w:sz w:val="18"/>
          <w:szCs w:val="18"/>
        </w:rPr>
        <w:t xml:space="preserve"> </w:t>
      </w:r>
      <w:r w:rsidRPr="002D4943">
        <w:rPr>
          <w:rFonts w:cs="Open Sans"/>
          <w:sz w:val="18"/>
          <w:szCs w:val="18"/>
        </w:rPr>
        <w:t xml:space="preserve">26(2)(b), </w:t>
      </w:r>
      <w:r w:rsidRPr="002D4943">
        <w:rPr>
          <w:rFonts w:cs="Open Sans"/>
          <w:i/>
          <w:sz w:val="18"/>
          <w:szCs w:val="18"/>
        </w:rPr>
        <w:t xml:space="preserve">Sex Discrimination Act 1984 </w:t>
      </w:r>
      <w:r w:rsidRPr="002D4943">
        <w:rPr>
          <w:rFonts w:cs="Open Sans"/>
          <w:sz w:val="18"/>
          <w:szCs w:val="18"/>
        </w:rPr>
        <w:t>(Cth) s</w:t>
      </w:r>
      <w:r w:rsidR="00DC1608" w:rsidRPr="002D4943">
        <w:rPr>
          <w:rFonts w:cs="Open Sans"/>
          <w:sz w:val="18"/>
          <w:szCs w:val="18"/>
        </w:rPr>
        <w:t xml:space="preserve"> </w:t>
      </w:r>
      <w:r w:rsidRPr="002D4943">
        <w:rPr>
          <w:rFonts w:cs="Open Sans"/>
          <w:sz w:val="18"/>
          <w:szCs w:val="18"/>
        </w:rPr>
        <w:t>21(2)(b).</w:t>
      </w:r>
    </w:p>
  </w:endnote>
  <w:endnote w:id="253">
    <w:p w14:paraId="598B8DF8" w14:textId="7956A33D"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4474AB" w:rsidRPr="002D4943">
        <w:rPr>
          <w:rFonts w:cs="Open Sans"/>
          <w:i/>
          <w:sz w:val="18"/>
          <w:szCs w:val="18"/>
        </w:rPr>
        <w:t>Royal Commission into Violence, Abuse, Neglect and Exploitation of People with Disability</w:t>
      </w:r>
      <w:r w:rsidR="004474AB" w:rsidRPr="002D4943">
        <w:rPr>
          <w:rFonts w:cs="Open Sans"/>
          <w:sz w:val="18"/>
          <w:szCs w:val="18"/>
        </w:rPr>
        <w:t>, (Final Report, 2023) Vol 7A, 170.</w:t>
      </w:r>
    </w:p>
  </w:endnote>
  <w:endnote w:id="254">
    <w:p w14:paraId="59D23C08" w14:textId="0BC15A64"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4474AB" w:rsidRPr="002D4943">
        <w:rPr>
          <w:rFonts w:cs="Open Sans"/>
          <w:i/>
          <w:sz w:val="18"/>
          <w:szCs w:val="18"/>
        </w:rPr>
        <w:t>Royal Commission into Violence, Abuse, Neglect and Exploitation of People with Disability</w:t>
      </w:r>
      <w:r w:rsidR="004474AB" w:rsidRPr="002D4943">
        <w:rPr>
          <w:rFonts w:cs="Open Sans"/>
          <w:sz w:val="18"/>
          <w:szCs w:val="18"/>
        </w:rPr>
        <w:t>, (Final Report, 2023) Vol 7A, 168.</w:t>
      </w:r>
    </w:p>
  </w:endnote>
  <w:endnote w:id="255">
    <w:p w14:paraId="56921206" w14:textId="7E58E976"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BC4CA2" w:rsidRPr="002D4943">
        <w:rPr>
          <w:rFonts w:cs="Open Sans"/>
          <w:sz w:val="18"/>
          <w:szCs w:val="18"/>
        </w:rPr>
        <w:t>Human Rights and Equal Opportunity Commission (now the Australian Human Rights Commission)</w:t>
      </w:r>
      <w:r w:rsidR="00701B52" w:rsidRPr="002D4943">
        <w:rPr>
          <w:rFonts w:cs="Open Sans"/>
          <w:sz w:val="18"/>
          <w:szCs w:val="18"/>
        </w:rPr>
        <w:t xml:space="preserve">, </w:t>
      </w:r>
      <w:hyperlink r:id="rId26" w:history="1">
        <w:r w:rsidR="005D574F" w:rsidRPr="002D4943">
          <w:rPr>
            <w:rStyle w:val="Hyperlink"/>
            <w:rFonts w:cs="Open Sans"/>
            <w:i/>
            <w:sz w:val="18"/>
            <w:szCs w:val="18"/>
          </w:rPr>
          <w:t>Report Following Consultations on Section 9(1)(f) of the Disability Discrimination Act 1992 Dealing with Assistance Animals Other than Guide Dogs and Hearing Dogs</w:t>
        </w:r>
      </w:hyperlink>
      <w:r w:rsidR="00701B52" w:rsidRPr="002D4943">
        <w:rPr>
          <w:rFonts w:cs="Open Sans"/>
          <w:i/>
          <w:sz w:val="18"/>
          <w:szCs w:val="18"/>
        </w:rPr>
        <w:t xml:space="preserve"> </w:t>
      </w:r>
      <w:r w:rsidR="00701B52" w:rsidRPr="002D4943">
        <w:rPr>
          <w:rFonts w:cs="Open Sans"/>
          <w:sz w:val="18"/>
          <w:szCs w:val="18"/>
        </w:rPr>
        <w:t xml:space="preserve">(Report, </w:t>
      </w:r>
      <w:r w:rsidR="005D574F" w:rsidRPr="002D4943">
        <w:rPr>
          <w:rFonts w:cs="Open Sans"/>
          <w:sz w:val="18"/>
          <w:szCs w:val="18"/>
        </w:rPr>
        <w:t>18 November 2003</w:t>
      </w:r>
      <w:r w:rsidR="00701B52" w:rsidRPr="002D4943">
        <w:rPr>
          <w:rFonts w:cs="Open Sans"/>
          <w:sz w:val="18"/>
          <w:szCs w:val="18"/>
        </w:rPr>
        <w:t>).</w:t>
      </w:r>
      <w:r w:rsidR="00701B52" w:rsidRPr="002D4943" w:rsidDel="005D574F">
        <w:rPr>
          <w:rFonts w:cs="Open Sans"/>
          <w:sz w:val="18"/>
          <w:szCs w:val="18"/>
        </w:rPr>
        <w:t xml:space="preserve"> </w:t>
      </w:r>
    </w:p>
  </w:endnote>
  <w:endnote w:id="256">
    <w:p w14:paraId="3CCA4FCA"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Disability Discrimination and Other Human Rights Legislation Amendment Act 2009</w:t>
      </w:r>
      <w:r w:rsidRPr="002D4943">
        <w:rPr>
          <w:rFonts w:cs="Open Sans"/>
          <w:sz w:val="18"/>
          <w:szCs w:val="18"/>
        </w:rPr>
        <w:t xml:space="preserve"> (Cth).</w:t>
      </w:r>
    </w:p>
  </w:endnote>
  <w:endnote w:id="257">
    <w:p w14:paraId="3863C988" w14:textId="77777777" w:rsidR="008E13B9" w:rsidRPr="002D4943" w:rsidRDefault="008E13B9" w:rsidP="008E13B9">
      <w:pPr>
        <w:pStyle w:val="EndnoteText"/>
        <w:rPr>
          <w:rFonts w:cs="Open Sans"/>
          <w:i/>
          <w:sz w:val="18"/>
          <w:szCs w:val="18"/>
        </w:rPr>
      </w:pPr>
      <w:r w:rsidRPr="002D4943">
        <w:rPr>
          <w:rStyle w:val="EndnoteReference"/>
          <w:rFonts w:cs="Open Sans"/>
          <w:sz w:val="18"/>
          <w:szCs w:val="18"/>
        </w:rPr>
        <w:endnoteRef/>
      </w:r>
      <w:r w:rsidRPr="002D4943">
        <w:rPr>
          <w:rFonts w:cs="Open Sans"/>
          <w:sz w:val="18"/>
          <w:szCs w:val="18"/>
        </w:rPr>
        <w:t xml:space="preserve"> Explanatory Memorandum, </w:t>
      </w:r>
      <w:r w:rsidRPr="002D4943">
        <w:rPr>
          <w:rFonts w:cs="Open Sans"/>
          <w:i/>
          <w:sz w:val="18"/>
          <w:szCs w:val="18"/>
        </w:rPr>
        <w:t>Disability Discrimination and Other Human Rights Legislation Amendment Bill 2008</w:t>
      </w:r>
      <w:r w:rsidRPr="002D4943">
        <w:rPr>
          <w:rFonts w:cs="Open Sans"/>
          <w:sz w:val="18"/>
          <w:szCs w:val="18"/>
        </w:rPr>
        <w:t xml:space="preserve"> (Cth) 50.</w:t>
      </w:r>
    </w:p>
  </w:endnote>
  <w:endnote w:id="258">
    <w:p w14:paraId="367098F7" w14:textId="5910ECB3" w:rsidR="00ED55C4" w:rsidRPr="002D4943" w:rsidRDefault="00ED55C4" w:rsidP="00ED55C4">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w:t>
      </w:r>
    </w:p>
  </w:endnote>
  <w:endnote w:id="259">
    <w:p w14:paraId="4C07B54F" w14:textId="32EE510F"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00477B6C" w:rsidRPr="002D4943">
        <w:rPr>
          <w:rFonts w:cs="Open Sans"/>
          <w:sz w:val="18"/>
          <w:szCs w:val="18"/>
        </w:rPr>
        <w:t xml:space="preserve">Australian Human Rights Commission, Submission to the Department of Infrastructure, Transport, Regional Development, Communications and the Arts, </w:t>
      </w:r>
      <w:r w:rsidR="00477B6C" w:rsidRPr="002D4943">
        <w:rPr>
          <w:rFonts w:cs="Open Sans"/>
          <w:i/>
          <w:sz w:val="18"/>
          <w:szCs w:val="18"/>
        </w:rPr>
        <w:t xml:space="preserve">Review of the Disability Standards for Accessible Public Transport 2002 </w:t>
      </w:r>
      <w:r w:rsidR="00477B6C" w:rsidRPr="002D4943">
        <w:rPr>
          <w:rFonts w:cs="Open Sans"/>
          <w:sz w:val="18"/>
          <w:szCs w:val="18"/>
        </w:rPr>
        <w:t>(11 July 2023).</w:t>
      </w:r>
      <w:r w:rsidR="00477B6C" w:rsidRPr="002D4943" w:rsidDel="00477B6C">
        <w:rPr>
          <w:rFonts w:cs="Open Sans"/>
          <w:sz w:val="18"/>
          <w:szCs w:val="18"/>
        </w:rPr>
        <w:t xml:space="preserve"> </w:t>
      </w:r>
    </w:p>
  </w:endnote>
  <w:endnote w:id="260">
    <w:p w14:paraId="5EC38731" w14:textId="5C79C042"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Daphne Federing and David Lewis, </w:t>
      </w:r>
      <w:r w:rsidRPr="002D4943">
        <w:rPr>
          <w:rFonts w:cs="Open Sans"/>
          <w:i/>
          <w:sz w:val="18"/>
          <w:szCs w:val="18"/>
        </w:rPr>
        <w:t>Towards a Framework for Identifying and Measuring the Benefits of Accessibility</w:t>
      </w:r>
      <w:r w:rsidRPr="002D4943">
        <w:rPr>
          <w:rFonts w:cs="Open Sans"/>
          <w:sz w:val="18"/>
          <w:szCs w:val="18"/>
        </w:rPr>
        <w:t xml:space="preserve"> (Discussion Paper No 2017-03, International Transport Forum, February 2017).</w:t>
      </w:r>
    </w:p>
  </w:endnote>
  <w:endnote w:id="261">
    <w:p w14:paraId="0E26476F" w14:textId="77777777" w:rsidR="008E13B9" w:rsidRPr="002D4943" w:rsidRDefault="008E13B9" w:rsidP="008E13B9">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Department of Social Services, </w:t>
      </w:r>
      <w:r w:rsidRPr="002D4943">
        <w:rPr>
          <w:rFonts w:cs="Open Sans"/>
          <w:i/>
          <w:sz w:val="18"/>
          <w:szCs w:val="18"/>
        </w:rPr>
        <w:t xml:space="preserve">National Principles for the regulation of Assistance Animals: Consultation Paper </w:t>
      </w:r>
      <w:r w:rsidRPr="002D4943">
        <w:rPr>
          <w:rFonts w:cs="Open Sans"/>
          <w:sz w:val="18"/>
          <w:szCs w:val="18"/>
        </w:rPr>
        <w:t xml:space="preserve">(2025) available at </w:t>
      </w:r>
      <w:hyperlink r:id="rId27" w:history="1">
        <w:r w:rsidRPr="002D4943">
          <w:rPr>
            <w:rStyle w:val="Hyperlink"/>
            <w:rFonts w:cs="Open Sans"/>
            <w:sz w:val="18"/>
            <w:szCs w:val="18"/>
          </w:rPr>
          <w:t>https://engage.dss.gov.au/wp-content/uploads/2025/03/assistance-animal-principles-consultation-paper.pdf</w:t>
        </w:r>
      </w:hyperlink>
      <w:r w:rsidRPr="002D4943">
        <w:rPr>
          <w:rFonts w:cs="Open Sans"/>
          <w:sz w:val="18"/>
          <w:szCs w:val="18"/>
        </w:rPr>
        <w:t xml:space="preserve"> </w:t>
      </w:r>
    </w:p>
  </w:endnote>
  <w:endnote w:id="262">
    <w:p w14:paraId="3CF7A039"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47C(1), 47C(2)(a)(i)–(iv).</w:t>
      </w:r>
    </w:p>
  </w:endnote>
  <w:endnote w:id="263">
    <w:p w14:paraId="02CA71D1"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47C(1), 47C(2)(b).</w:t>
      </w:r>
    </w:p>
  </w:endnote>
  <w:endnote w:id="264">
    <w:p w14:paraId="2B7D20DD"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47C(1), 47C(2)(b).</w:t>
      </w:r>
    </w:p>
  </w:endnote>
  <w:endnote w:id="265">
    <w:p w14:paraId="7A629221"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47C(1), 47C(2)(c).</w:t>
      </w:r>
    </w:p>
  </w:endnote>
  <w:endnote w:id="266">
    <w:p w14:paraId="328CF6A6"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Sex Discrimination Act 1984 </w:t>
      </w:r>
      <w:r w:rsidRPr="002D4943">
        <w:rPr>
          <w:rFonts w:cs="Open Sans"/>
          <w:sz w:val="18"/>
          <w:szCs w:val="18"/>
        </w:rPr>
        <w:t>(Cth) ss 47C(1), 47C(2)(d).</w:t>
      </w:r>
    </w:p>
  </w:endnote>
  <w:endnote w:id="267">
    <w:p w14:paraId="64DEFF1E"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ss 35A - 35K.</w:t>
      </w:r>
    </w:p>
  </w:endnote>
  <w:endnote w:id="268">
    <w:p w14:paraId="59EE004F"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35B.</w:t>
      </w:r>
    </w:p>
  </w:endnote>
  <w:endnote w:id="269">
    <w:p w14:paraId="1A8EAB72"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35F.</w:t>
      </w:r>
    </w:p>
  </w:endnote>
  <w:endnote w:id="270">
    <w:p w14:paraId="6E53F899"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35K.</w:t>
      </w:r>
    </w:p>
  </w:endnote>
  <w:endnote w:id="271">
    <w:p w14:paraId="2674EAAA"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35J</w:t>
      </w:r>
    </w:p>
  </w:endnote>
  <w:endnote w:id="272">
    <w:p w14:paraId="6E5B3094" w14:textId="3E10E723"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Institute of Company Directors, Australian Council of Superannuation Investors, Australian Human Rights Commission, </w:t>
      </w:r>
      <w:r w:rsidRPr="002D4943">
        <w:rPr>
          <w:rFonts w:cs="Open Sans"/>
          <w:i/>
          <w:sz w:val="18"/>
          <w:szCs w:val="18"/>
        </w:rPr>
        <w:t>Positive Duty: preventing and responding to workplace sexual harassment: Insights from Australian directors</w:t>
      </w:r>
      <w:r w:rsidRPr="002D4943">
        <w:rPr>
          <w:rFonts w:cs="Open Sans"/>
          <w:sz w:val="18"/>
          <w:szCs w:val="18"/>
        </w:rPr>
        <w:t xml:space="preserve"> (Report, 2023) 5</w:t>
      </w:r>
      <w:r w:rsidR="00582DCC" w:rsidRPr="002D4943">
        <w:rPr>
          <w:rFonts w:cs="Open Sans"/>
          <w:sz w:val="18"/>
          <w:szCs w:val="18"/>
        </w:rPr>
        <w:t>.</w:t>
      </w:r>
    </w:p>
  </w:endnote>
  <w:endnote w:id="273">
    <w:p w14:paraId="3B63A024"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The Australian HR Institute, </w:t>
      </w:r>
      <w:hyperlink r:id="rId28" w:history="1">
        <w:r w:rsidRPr="002D4943">
          <w:rPr>
            <w:rStyle w:val="Hyperlink"/>
            <w:rFonts w:cs="Open Sans"/>
            <w:i/>
            <w:sz w:val="18"/>
            <w:szCs w:val="18"/>
          </w:rPr>
          <w:t>Quarterly Australian work Outlook: a forward view of the Australian Labor Market</w:t>
        </w:r>
      </w:hyperlink>
      <w:r w:rsidRPr="002D4943">
        <w:rPr>
          <w:rFonts w:cs="Open Sans"/>
          <w:i/>
          <w:sz w:val="18"/>
          <w:szCs w:val="18"/>
        </w:rPr>
        <w:t xml:space="preserve">, </w:t>
      </w:r>
      <w:r w:rsidRPr="002D4943">
        <w:rPr>
          <w:rFonts w:cs="Open Sans"/>
          <w:sz w:val="18"/>
          <w:szCs w:val="18"/>
        </w:rPr>
        <w:t>June 2025, p 40.</w:t>
      </w:r>
    </w:p>
  </w:endnote>
  <w:endnote w:id="274">
    <w:p w14:paraId="78036103" w14:textId="45D194E5" w:rsidR="00BF6338" w:rsidRPr="002D4943" w:rsidDel="00326F28"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The summary of the key legislative changes discussed in the report, demonstrate that </w:t>
      </w:r>
      <w:r w:rsidR="0017361B" w:rsidRPr="002D4943">
        <w:rPr>
          <w:rFonts w:cs="Open Sans"/>
          <w:sz w:val="18"/>
          <w:szCs w:val="18"/>
          <w:lang w:val="en-US"/>
        </w:rPr>
        <w:t>‘</w:t>
      </w:r>
      <w:r w:rsidRPr="002D4943">
        <w:rPr>
          <w:rFonts w:cs="Open Sans"/>
          <w:sz w:val="18"/>
          <w:szCs w:val="18"/>
        </w:rPr>
        <w:t>Respect@Work’ is a reference to the positive duty, and expanded definitions under the Commission Act.</w:t>
      </w:r>
    </w:p>
  </w:endnote>
  <w:endnote w:id="275">
    <w:p w14:paraId="34ADAB6C" w14:textId="30BE9D1E"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The Australian </w:t>
      </w:r>
      <w:r w:rsidR="00582DCC" w:rsidRPr="002D4943">
        <w:rPr>
          <w:rFonts w:cs="Open Sans"/>
          <w:sz w:val="18"/>
          <w:szCs w:val="18"/>
        </w:rPr>
        <w:t>Human Rights</w:t>
      </w:r>
      <w:r w:rsidRPr="002D4943">
        <w:rPr>
          <w:rFonts w:cs="Open Sans"/>
          <w:sz w:val="18"/>
          <w:szCs w:val="18"/>
        </w:rPr>
        <w:t xml:space="preserve"> Institute, </w:t>
      </w:r>
      <w:hyperlink r:id="rId29" w:history="1">
        <w:r w:rsidRPr="002D4943">
          <w:rPr>
            <w:rStyle w:val="Hyperlink"/>
            <w:rFonts w:cs="Open Sans"/>
            <w:i/>
            <w:sz w:val="18"/>
            <w:szCs w:val="18"/>
          </w:rPr>
          <w:t>Quarterly Australian work Outlook: a forward view of the Australian Labor Market</w:t>
        </w:r>
      </w:hyperlink>
      <w:r w:rsidRPr="002D4943">
        <w:rPr>
          <w:rFonts w:cs="Open Sans"/>
          <w:i/>
          <w:sz w:val="18"/>
          <w:szCs w:val="18"/>
        </w:rPr>
        <w:t xml:space="preserve">, </w:t>
      </w:r>
      <w:r w:rsidRPr="002D4943">
        <w:rPr>
          <w:rFonts w:cs="Open Sans"/>
          <w:sz w:val="18"/>
          <w:szCs w:val="18"/>
        </w:rPr>
        <w:t>June 2025, pp 20-2.</w:t>
      </w:r>
    </w:p>
  </w:endnote>
  <w:endnote w:id="276">
    <w:p w14:paraId="2B93E94F" w14:textId="54A37722" w:rsidR="006A4191" w:rsidRPr="00825777" w:rsidRDefault="006A4191" w:rsidP="002D4943">
      <w:pPr>
        <w:rPr>
          <w:lang w:val="en-US"/>
        </w:rPr>
      </w:pPr>
      <w:r w:rsidRPr="00825777">
        <w:rPr>
          <w:rStyle w:val="EndnoteReference"/>
        </w:rPr>
        <w:endnoteRef/>
      </w:r>
      <w:r w:rsidRPr="00825777">
        <w:t xml:space="preserve"> </w:t>
      </w:r>
      <w:r w:rsidRPr="002D4943">
        <w:rPr>
          <w:sz w:val="18"/>
          <w:szCs w:val="18"/>
        </w:rPr>
        <w:t>Australian HR Institute (2025) Quarterly Australian Work Outlook – June Quarter 2025. Melbourne Australia: The Australian HR Institute (AHRI).</w:t>
      </w:r>
    </w:p>
  </w:endnote>
  <w:endnote w:id="277">
    <w:p w14:paraId="0596277A"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Workplace Gender Equality Agency, </w:t>
      </w:r>
      <w:r w:rsidRPr="002D4943">
        <w:rPr>
          <w:rFonts w:cs="Open Sans"/>
          <w:i/>
          <w:sz w:val="18"/>
          <w:szCs w:val="18"/>
        </w:rPr>
        <w:t xml:space="preserve">Progress Report 2022-24 </w:t>
      </w:r>
      <w:r w:rsidRPr="002D4943">
        <w:rPr>
          <w:rFonts w:cs="Open Sans"/>
          <w:sz w:val="18"/>
          <w:szCs w:val="18"/>
        </w:rPr>
        <w:t>(2024) p 3 &lt;</w:t>
      </w:r>
      <w:hyperlink r:id="rId30" w:history="1">
        <w:r w:rsidRPr="002D4943">
          <w:rPr>
            <w:rStyle w:val="Hyperlink"/>
            <w:rFonts w:cs="Open Sans"/>
            <w:i/>
            <w:sz w:val="18"/>
            <w:szCs w:val="18"/>
          </w:rPr>
          <w:t>https://apo.org.au/sites/default/files/resource-files/2025-08/apo-nid331993.pdf</w:t>
        </w:r>
      </w:hyperlink>
      <w:r w:rsidRPr="002D4943">
        <w:rPr>
          <w:rFonts w:cs="Open Sans"/>
          <w:sz w:val="18"/>
          <w:szCs w:val="18"/>
        </w:rPr>
        <w:t>&gt;</w:t>
      </w:r>
      <w:r w:rsidRPr="002D4943">
        <w:rPr>
          <w:rFonts w:cs="Open Sans"/>
          <w:i/>
          <w:sz w:val="18"/>
          <w:szCs w:val="18"/>
        </w:rPr>
        <w:t>.</w:t>
      </w:r>
    </w:p>
  </w:endnote>
  <w:endnote w:id="278">
    <w:p w14:paraId="6C75339B"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Calibri" w:cs="Open Sans"/>
          <w:i/>
          <w:kern w:val="2"/>
          <w:sz w:val="18"/>
          <w:szCs w:val="18"/>
          <w:lang w:eastAsia="en-US"/>
          <w14:ligatures w14:val="standardContextual"/>
        </w:rPr>
        <w:t>Workplace Gender Equality (Gender Equality Targets) Instrument 2025</w:t>
      </w:r>
      <w:r w:rsidRPr="002D4943">
        <w:rPr>
          <w:rFonts w:eastAsia="Calibri" w:cs="Open Sans"/>
          <w:kern w:val="2"/>
          <w:sz w:val="18"/>
          <w:szCs w:val="18"/>
          <w:lang w:eastAsia="en-US"/>
          <w14:ligatures w14:val="standardContextual"/>
        </w:rPr>
        <w:t xml:space="preserve">. </w:t>
      </w:r>
    </w:p>
  </w:endnote>
  <w:endnote w:id="279">
    <w:p w14:paraId="6749BBAA"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Institute of Company Directors, </w:t>
      </w:r>
      <w:hyperlink r:id="rId31" w:history="1">
        <w:r w:rsidRPr="002D4943">
          <w:rPr>
            <w:rStyle w:val="Hyperlink"/>
            <w:rFonts w:cs="Open Sans"/>
            <w:i/>
            <w:sz w:val="18"/>
            <w:szCs w:val="18"/>
          </w:rPr>
          <w:t>Positive Duty to prevent workplace sexual harassment: A director’s guide</w:t>
        </w:r>
      </w:hyperlink>
      <w:r w:rsidRPr="002D4943">
        <w:rPr>
          <w:rFonts w:cs="Open Sans"/>
          <w:i/>
          <w:sz w:val="18"/>
          <w:szCs w:val="18"/>
        </w:rPr>
        <w:t>,</w:t>
      </w:r>
      <w:r w:rsidRPr="002D4943">
        <w:rPr>
          <w:rFonts w:cs="Open Sans"/>
          <w:sz w:val="18"/>
          <w:szCs w:val="18"/>
        </w:rPr>
        <w:t xml:space="preserve"> 2023, accessed 9 September 2025.</w:t>
      </w:r>
    </w:p>
  </w:endnote>
  <w:endnote w:id="280">
    <w:p w14:paraId="12B15A6D"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Ai Group, </w:t>
      </w:r>
      <w:hyperlink r:id="rId32" w:history="1">
        <w:r w:rsidRPr="002D4943">
          <w:rPr>
            <w:rStyle w:val="Hyperlink"/>
            <w:rFonts w:cs="Open Sans"/>
            <w:i/>
            <w:sz w:val="18"/>
            <w:szCs w:val="18"/>
          </w:rPr>
          <w:t>Example Prevention and Response Plan for the Positive Duty under the Sex Discrimination Act 1984</w:t>
        </w:r>
      </w:hyperlink>
      <w:r w:rsidRPr="002D4943">
        <w:rPr>
          <w:rFonts w:cs="Open Sans"/>
          <w:i/>
          <w:sz w:val="18"/>
          <w:szCs w:val="18"/>
        </w:rPr>
        <w:t xml:space="preserve">, </w:t>
      </w:r>
      <w:r w:rsidRPr="002D4943">
        <w:rPr>
          <w:rFonts w:cs="Open Sans"/>
          <w:sz w:val="18"/>
          <w:szCs w:val="18"/>
        </w:rPr>
        <w:t>[website], 2025, accessed 9 September 2025.</w:t>
      </w:r>
    </w:p>
  </w:endnote>
  <w:endnote w:id="281">
    <w:p w14:paraId="38E6D021" w14:textId="6101DA3D"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8399C" w:rsidRPr="002D4943">
        <w:rPr>
          <w:rFonts w:cs="Open Sans"/>
          <w:sz w:val="18"/>
          <w:szCs w:val="18"/>
        </w:rPr>
        <w:t>Free &amp; Equal 2021 Position Paper</w:t>
      </w:r>
      <w:r w:rsidRPr="002D4943">
        <w:rPr>
          <w:rFonts w:cs="Open Sans"/>
          <w:sz w:val="18"/>
          <w:szCs w:val="18"/>
        </w:rPr>
        <w:t xml:space="preserve"> 96-101, 158-159. See also Arie Freiberg, The Tools of Regulation (Federation Press, 2010) 97 &amp; John Braithwaite, ‘Rewards and Regulation’ (2002) 29 Journal of Law and Society 12, 20.</w:t>
      </w:r>
    </w:p>
  </w:endnote>
  <w:endnote w:id="282">
    <w:p w14:paraId="09CB553D" w14:textId="2C9942AD"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38399C" w:rsidRPr="002D4943">
        <w:rPr>
          <w:rFonts w:cs="Open Sans"/>
          <w:sz w:val="18"/>
          <w:szCs w:val="18"/>
        </w:rPr>
        <w:t>Free &amp; Equal 2021 Position Paper</w:t>
      </w:r>
      <w:r w:rsidRPr="002D4943">
        <w:rPr>
          <w:rFonts w:cs="Open Sans"/>
          <w:sz w:val="18"/>
          <w:szCs w:val="18"/>
        </w:rPr>
        <w:t xml:space="preserve"> 93, 96-101.</w:t>
      </w:r>
    </w:p>
  </w:endnote>
  <w:endnote w:id="283">
    <w:p w14:paraId="7226934D" w14:textId="7560B698" w:rsidR="00DC1046" w:rsidRPr="002D4943" w:rsidRDefault="00DC1046">
      <w:pPr>
        <w:pStyle w:val="EndnoteText"/>
        <w:rPr>
          <w:rFonts w:cs="Open Sans"/>
          <w:sz w:val="18"/>
          <w:szCs w:val="18"/>
          <w:lang w:val="en-US"/>
        </w:rPr>
      </w:pPr>
      <w:r w:rsidRPr="002D4943">
        <w:rPr>
          <w:rStyle w:val="EndnoteReference"/>
          <w:rFonts w:cs="Open Sans"/>
          <w:sz w:val="18"/>
          <w:szCs w:val="18"/>
        </w:rPr>
        <w:endnoteRef/>
      </w:r>
      <w:r w:rsidRPr="002D4943">
        <w:rPr>
          <w:rFonts w:cs="Open Sans"/>
          <w:sz w:val="18"/>
          <w:szCs w:val="18"/>
        </w:rPr>
        <w:t xml:space="preserve"> Australian Law Reform Commission</w:t>
      </w:r>
      <w:r w:rsidR="00180054" w:rsidRPr="002D4943">
        <w:rPr>
          <w:rFonts w:cs="Open Sans"/>
          <w:sz w:val="18"/>
          <w:szCs w:val="18"/>
        </w:rPr>
        <w:t xml:space="preserve">, </w:t>
      </w:r>
      <w:r w:rsidRPr="002D4943">
        <w:rPr>
          <w:rFonts w:cs="Open Sans"/>
          <w:i/>
          <w:sz w:val="18"/>
          <w:szCs w:val="18"/>
        </w:rPr>
        <w:t xml:space="preserve">Principled Regulation, </w:t>
      </w:r>
      <w:r w:rsidR="00D96016" w:rsidRPr="002D4943">
        <w:rPr>
          <w:rFonts w:cs="Open Sans"/>
          <w:sz w:val="18"/>
          <w:szCs w:val="18"/>
        </w:rPr>
        <w:t xml:space="preserve">(2003) </w:t>
      </w:r>
      <w:r w:rsidRPr="002D4943">
        <w:rPr>
          <w:rFonts w:cs="Open Sans"/>
          <w:sz w:val="18"/>
          <w:szCs w:val="18"/>
        </w:rPr>
        <w:t>112</w:t>
      </w:r>
      <w:r w:rsidRPr="002D4943">
        <w:rPr>
          <w:rFonts w:cs="Open Sans"/>
          <w:i/>
          <w:sz w:val="18"/>
          <w:szCs w:val="18"/>
        </w:rPr>
        <w:t>.</w:t>
      </w:r>
    </w:p>
  </w:endnote>
  <w:endnote w:id="284">
    <w:p w14:paraId="5891B111" w14:textId="722AFECD"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Law Reform Commission, </w:t>
      </w:r>
      <w:r w:rsidRPr="002D4943">
        <w:rPr>
          <w:rFonts w:cs="Open Sans"/>
          <w:i/>
          <w:sz w:val="18"/>
          <w:szCs w:val="18"/>
        </w:rPr>
        <w:t xml:space="preserve">Safe, Informed, Supported: Reforming justice responses to sexual violence </w:t>
      </w:r>
      <w:r w:rsidRPr="002D4943">
        <w:rPr>
          <w:rFonts w:cs="Open Sans"/>
          <w:sz w:val="18"/>
          <w:szCs w:val="18"/>
        </w:rPr>
        <w:t>(January 2025), 465-467</w:t>
      </w:r>
      <w:r w:rsidR="0017361B" w:rsidRPr="002D4943">
        <w:rPr>
          <w:rFonts w:cs="Open Sans"/>
          <w:sz w:val="18"/>
          <w:szCs w:val="18"/>
        </w:rPr>
        <w:t>.</w:t>
      </w:r>
    </w:p>
  </w:endnote>
  <w:endnote w:id="285">
    <w:p w14:paraId="6842C3F2" w14:textId="54107F8B"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 xml:space="preserve"> 465</w:t>
      </w:r>
      <w:r w:rsidR="0017361B" w:rsidRPr="002D4943">
        <w:rPr>
          <w:rFonts w:cs="Open Sans"/>
          <w:sz w:val="18"/>
          <w:szCs w:val="18"/>
        </w:rPr>
        <w:t>.</w:t>
      </w:r>
    </w:p>
  </w:endnote>
  <w:endnote w:id="286">
    <w:p w14:paraId="646414E5" w14:textId="075AACC6"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 xml:space="preserve"> 467</w:t>
      </w:r>
      <w:r w:rsidR="0017361B" w:rsidRPr="002D4943">
        <w:rPr>
          <w:rFonts w:cs="Open Sans"/>
          <w:sz w:val="18"/>
          <w:szCs w:val="18"/>
        </w:rPr>
        <w:t>.</w:t>
      </w:r>
    </w:p>
  </w:endnote>
  <w:endnote w:id="287">
    <w:p w14:paraId="6E828A4D" w14:textId="2BCCC8A2"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0017361B" w:rsidRPr="002D4943">
        <w:rPr>
          <w:rFonts w:cs="Open Sans"/>
          <w:sz w:val="18"/>
          <w:szCs w:val="18"/>
        </w:rPr>
        <w:t>Ibid</w:t>
      </w:r>
      <w:r w:rsidRPr="002D4943">
        <w:rPr>
          <w:rFonts w:cs="Open Sans"/>
          <w:sz w:val="18"/>
          <w:szCs w:val="18"/>
        </w:rPr>
        <w:t xml:space="preserve"> 467</w:t>
      </w:r>
      <w:r w:rsidR="0017361B" w:rsidRPr="002D4943">
        <w:rPr>
          <w:rFonts w:cs="Open Sans"/>
          <w:sz w:val="18"/>
          <w:szCs w:val="18"/>
        </w:rPr>
        <w:t>.</w:t>
      </w:r>
    </w:p>
  </w:endnote>
  <w:endnote w:id="288">
    <w:p w14:paraId="2100A881" w14:textId="6A39B79B"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Human Rights Commission, </w:t>
      </w:r>
      <w:hyperlink r:id="rId33" w:history="1">
        <w:r w:rsidRPr="002D4943">
          <w:rPr>
            <w:rStyle w:val="Hyperlink"/>
            <w:rFonts w:cs="Open Sans"/>
            <w:i/>
            <w:sz w:val="18"/>
            <w:szCs w:val="18"/>
          </w:rPr>
          <w:t>Speaking from Experience: What needs to change to address workplace sexual harassment</w:t>
        </w:r>
      </w:hyperlink>
      <w:r w:rsidRPr="002D4943">
        <w:rPr>
          <w:rFonts w:cs="Open Sans"/>
          <w:i/>
          <w:sz w:val="18"/>
          <w:szCs w:val="18"/>
        </w:rPr>
        <w:t xml:space="preserve">, </w:t>
      </w:r>
      <w:r w:rsidRPr="002D4943">
        <w:rPr>
          <w:rFonts w:cs="Open Sans"/>
          <w:sz w:val="18"/>
          <w:szCs w:val="18"/>
        </w:rPr>
        <w:t>June 2025, 68, 71.</w:t>
      </w:r>
    </w:p>
  </w:endnote>
  <w:endnote w:id="289">
    <w:p w14:paraId="51C3BCAB" w14:textId="60B67DC6" w:rsidR="004F775B" w:rsidRPr="002D4943" w:rsidRDefault="004F775B">
      <w:pPr>
        <w:pStyle w:val="EndnoteText"/>
        <w:rPr>
          <w:rFonts w:cs="Open Sans"/>
          <w:sz w:val="18"/>
          <w:szCs w:val="18"/>
          <w:lang w:val="en-US"/>
        </w:rPr>
      </w:pPr>
      <w:r w:rsidRPr="002D4943">
        <w:rPr>
          <w:rStyle w:val="EndnoteReference"/>
          <w:rFonts w:cs="Open Sans"/>
          <w:sz w:val="18"/>
          <w:szCs w:val="18"/>
        </w:rPr>
        <w:endnoteRef/>
      </w:r>
      <w:r w:rsidR="00DA53B9" w:rsidRPr="002D4943">
        <w:rPr>
          <w:rFonts w:cs="Open Sans"/>
          <w:sz w:val="18"/>
          <w:szCs w:val="18"/>
        </w:rPr>
        <w:t xml:space="preserve"> See &lt;</w:t>
      </w:r>
      <w:r w:rsidR="00DA53B9" w:rsidRPr="002D4943">
        <w:rPr>
          <w:sz w:val="18"/>
          <w:szCs w:val="18"/>
        </w:rPr>
        <w:t xml:space="preserve"> </w:t>
      </w:r>
      <w:r w:rsidR="00DA53B9" w:rsidRPr="002D4943">
        <w:rPr>
          <w:rFonts w:cs="Open Sans"/>
          <w:sz w:val="18"/>
          <w:szCs w:val="18"/>
        </w:rPr>
        <w:t>https://www.ag.gov.au/legal-system/administrative-law/regulatory-powers&gt;.</w:t>
      </w:r>
    </w:p>
  </w:endnote>
  <w:endnote w:id="290">
    <w:p w14:paraId="314D3282"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 xml:space="preserve">Australian Human Rights Commission Act 1986 </w:t>
      </w:r>
      <w:r w:rsidRPr="002D4943">
        <w:rPr>
          <w:rFonts w:cs="Open Sans"/>
          <w:sz w:val="18"/>
          <w:szCs w:val="18"/>
        </w:rPr>
        <w:t>(Cth) s 21 as applied by s 35D.</w:t>
      </w:r>
    </w:p>
  </w:endnote>
  <w:endnote w:id="291">
    <w:p w14:paraId="7997704D"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See </w:t>
      </w:r>
      <w:r w:rsidRPr="002D4943">
        <w:rPr>
          <w:rFonts w:cs="Open Sans"/>
          <w:i/>
          <w:sz w:val="18"/>
          <w:szCs w:val="18"/>
        </w:rPr>
        <w:t>Model Work Health and Safety Act,</w:t>
      </w:r>
      <w:r w:rsidRPr="002D4943">
        <w:rPr>
          <w:rFonts w:cs="Open Sans"/>
          <w:sz w:val="18"/>
          <w:szCs w:val="18"/>
        </w:rPr>
        <w:t xml:space="preserve"> s 155 and </w:t>
      </w:r>
      <w:r w:rsidRPr="002D4943">
        <w:rPr>
          <w:rFonts w:cs="Open Sans"/>
          <w:i/>
          <w:sz w:val="18"/>
          <w:szCs w:val="18"/>
        </w:rPr>
        <w:t>Occupational Health and Safety Act 2004</w:t>
      </w:r>
      <w:r w:rsidRPr="002D4943">
        <w:rPr>
          <w:rFonts w:cs="Open Sans"/>
          <w:sz w:val="18"/>
          <w:szCs w:val="18"/>
        </w:rPr>
        <w:t xml:space="preserve"> (Vic) ss 9-11.</w:t>
      </w:r>
    </w:p>
  </w:endnote>
  <w:endnote w:id="292">
    <w:p w14:paraId="41BC3A53"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On 7 November 2024, the value of a criminal penalty unit increased from $313 to $330: section 4AA of the </w:t>
      </w:r>
      <w:r w:rsidRPr="002D4943">
        <w:rPr>
          <w:rFonts w:cs="Open Sans"/>
          <w:i/>
          <w:sz w:val="18"/>
          <w:szCs w:val="18"/>
        </w:rPr>
        <w:t xml:space="preserve">Crimes Act 1914 </w:t>
      </w:r>
      <w:r w:rsidRPr="002D4943">
        <w:rPr>
          <w:rFonts w:cs="Open Sans"/>
          <w:sz w:val="18"/>
          <w:szCs w:val="18"/>
        </w:rPr>
        <w:t xml:space="preserve">(Cth). </w:t>
      </w:r>
    </w:p>
  </w:endnote>
  <w:endnote w:id="293">
    <w:p w14:paraId="6D1661D5"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Work Health and Safety Act 2011</w:t>
      </w:r>
      <w:r w:rsidRPr="002D4943">
        <w:rPr>
          <w:rFonts w:cs="Open Sans"/>
          <w:sz w:val="18"/>
          <w:szCs w:val="18"/>
        </w:rPr>
        <w:t xml:space="preserve"> (Cth) ss 155, Schedule 4.</w:t>
      </w:r>
    </w:p>
  </w:endnote>
  <w:endnote w:id="294">
    <w:p w14:paraId="0EB426DC"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Competition and Consumer Act 2010</w:t>
      </w:r>
      <w:r w:rsidRPr="002D4943">
        <w:rPr>
          <w:rFonts w:cs="Open Sans"/>
          <w:sz w:val="18"/>
          <w:szCs w:val="18"/>
        </w:rPr>
        <w:t xml:space="preserve"> (Cth) s 155(6A), </w:t>
      </w:r>
      <w:r w:rsidRPr="002D4943">
        <w:rPr>
          <w:rFonts w:cs="Open Sans"/>
          <w:i/>
          <w:sz w:val="18"/>
          <w:szCs w:val="18"/>
        </w:rPr>
        <w:t xml:space="preserve">Crimes Act 1914 </w:t>
      </w:r>
      <w:r w:rsidRPr="002D4943">
        <w:rPr>
          <w:rFonts w:cs="Open Sans"/>
          <w:sz w:val="18"/>
          <w:szCs w:val="18"/>
        </w:rPr>
        <w:t>(Cth) s 4B(3).</w:t>
      </w:r>
    </w:p>
  </w:endnote>
  <w:endnote w:id="295">
    <w:p w14:paraId="304390C7"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Privacy Act</w:t>
      </w:r>
      <w:r w:rsidRPr="002D4943">
        <w:rPr>
          <w:rFonts w:cs="Open Sans"/>
          <w:sz w:val="18"/>
          <w:szCs w:val="18"/>
        </w:rPr>
        <w:t xml:space="preserve"> </w:t>
      </w:r>
      <w:r w:rsidRPr="002D4943">
        <w:rPr>
          <w:rFonts w:cs="Open Sans"/>
          <w:i/>
          <w:sz w:val="18"/>
          <w:szCs w:val="18"/>
        </w:rPr>
        <w:t xml:space="preserve">1988 </w:t>
      </w:r>
      <w:r w:rsidRPr="002D4943">
        <w:rPr>
          <w:rFonts w:cs="Open Sans"/>
          <w:sz w:val="18"/>
          <w:szCs w:val="18"/>
        </w:rPr>
        <w:t>(Cth) ss 44, 66(1), 66(1AA).</w:t>
      </w:r>
    </w:p>
  </w:endnote>
  <w:endnote w:id="296">
    <w:p w14:paraId="2B15E761"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cs="Open Sans"/>
          <w:i/>
          <w:sz w:val="18"/>
          <w:szCs w:val="18"/>
        </w:rPr>
        <w:t>Fair Work Act</w:t>
      </w:r>
      <w:r w:rsidRPr="002D4943">
        <w:rPr>
          <w:rFonts w:cs="Open Sans"/>
          <w:sz w:val="18"/>
          <w:szCs w:val="18"/>
        </w:rPr>
        <w:t xml:space="preserve"> </w:t>
      </w:r>
      <w:r w:rsidRPr="002D4943">
        <w:rPr>
          <w:rFonts w:cs="Open Sans"/>
          <w:i/>
          <w:sz w:val="18"/>
          <w:szCs w:val="18"/>
        </w:rPr>
        <w:t xml:space="preserve">2009 </w:t>
      </w:r>
      <w:r w:rsidRPr="002D4943">
        <w:rPr>
          <w:rFonts w:cs="Open Sans"/>
          <w:sz w:val="18"/>
          <w:szCs w:val="18"/>
        </w:rPr>
        <w:t>(Cth) s 712, 539, 546(2), 546(2AA).</w:t>
      </w:r>
    </w:p>
  </w:endnote>
  <w:endnote w:id="297">
    <w:p w14:paraId="289482D0" w14:textId="544DB747" w:rsidR="004A6F4A" w:rsidRPr="00825777" w:rsidRDefault="004A6F4A">
      <w:pPr>
        <w:pStyle w:val="EndnoteText"/>
        <w:rPr>
          <w:rFonts w:cs="Open Sans"/>
        </w:rPr>
      </w:pPr>
      <w:r w:rsidRPr="00825777">
        <w:rPr>
          <w:rStyle w:val="EndnoteReference"/>
          <w:rFonts w:cs="Open Sans"/>
        </w:rPr>
        <w:endnoteRef/>
      </w:r>
      <w:r w:rsidRPr="00825777">
        <w:rPr>
          <w:rFonts w:cs="Open Sans"/>
        </w:rPr>
        <w:t xml:space="preserve"> </w:t>
      </w:r>
      <w:r w:rsidRPr="002D4943">
        <w:rPr>
          <w:rFonts w:cs="Open Sans"/>
          <w:sz w:val="18"/>
          <w:szCs w:val="18"/>
        </w:rPr>
        <w:t xml:space="preserve">Australian Human Rights Commission, </w:t>
      </w:r>
      <w:hyperlink r:id="rId34" w:history="1">
        <w:r w:rsidRPr="002D4943">
          <w:rPr>
            <w:rStyle w:val="Hyperlink"/>
            <w:rFonts w:cs="Open Sans"/>
            <w:i/>
            <w:sz w:val="18"/>
            <w:szCs w:val="18"/>
          </w:rPr>
          <w:t>Speaking from Experience: What needs to change to address workplace sexual harassment</w:t>
        </w:r>
      </w:hyperlink>
      <w:r w:rsidRPr="002D4943">
        <w:rPr>
          <w:rFonts w:cs="Open Sans"/>
          <w:i/>
          <w:sz w:val="18"/>
          <w:szCs w:val="18"/>
        </w:rPr>
        <w:t xml:space="preserve">, </w:t>
      </w:r>
      <w:r w:rsidRPr="002D4943">
        <w:rPr>
          <w:rFonts w:cs="Open Sans"/>
          <w:sz w:val="18"/>
          <w:szCs w:val="18"/>
        </w:rPr>
        <w:t xml:space="preserve">June 2025, p 66. </w:t>
      </w:r>
    </w:p>
  </w:endnote>
  <w:endnote w:id="298">
    <w:p w14:paraId="4CB0589C" w14:textId="5CBFC8DB" w:rsidR="00E60811" w:rsidRPr="00825777" w:rsidRDefault="00E60811">
      <w:pPr>
        <w:pStyle w:val="EndnoteText"/>
        <w:rPr>
          <w:rFonts w:cs="Open Sans"/>
        </w:rPr>
      </w:pPr>
      <w:r w:rsidRPr="00825777">
        <w:rPr>
          <w:rStyle w:val="EndnoteReference"/>
          <w:rFonts w:cs="Open Sans"/>
        </w:rPr>
        <w:endnoteRef/>
      </w:r>
      <w:r w:rsidRPr="00825777">
        <w:rPr>
          <w:rFonts w:cs="Open Sans"/>
        </w:rPr>
        <w:t xml:space="preserve"> </w:t>
      </w:r>
      <w:r w:rsidR="000F7A47" w:rsidRPr="002D4943">
        <w:rPr>
          <w:rFonts w:cs="Open Sans"/>
          <w:sz w:val="18"/>
          <w:szCs w:val="18"/>
        </w:rPr>
        <w:t xml:space="preserve">Australian Human Rights Commission, </w:t>
      </w:r>
      <w:hyperlink r:id="rId35" w:history="1">
        <w:r w:rsidR="000F7A47" w:rsidRPr="002D4943">
          <w:rPr>
            <w:rStyle w:val="Hyperlink"/>
            <w:rFonts w:cs="Open Sans"/>
            <w:i/>
            <w:sz w:val="18"/>
            <w:szCs w:val="18"/>
          </w:rPr>
          <w:t>Speaking from Experience: What needs to change to address workplace sexual harassment</w:t>
        </w:r>
      </w:hyperlink>
      <w:r w:rsidR="000F7A47" w:rsidRPr="002D4943">
        <w:rPr>
          <w:rFonts w:cs="Open Sans"/>
          <w:i/>
          <w:sz w:val="18"/>
          <w:szCs w:val="18"/>
        </w:rPr>
        <w:t xml:space="preserve">, </w:t>
      </w:r>
      <w:r w:rsidR="000F7A47" w:rsidRPr="002D4943">
        <w:rPr>
          <w:rFonts w:cs="Open Sans"/>
          <w:sz w:val="18"/>
          <w:szCs w:val="18"/>
        </w:rPr>
        <w:t>June 2025, p</w:t>
      </w:r>
      <w:r w:rsidR="006F2C5C" w:rsidRPr="002D4943">
        <w:rPr>
          <w:rFonts w:cs="Open Sans"/>
          <w:sz w:val="18"/>
          <w:szCs w:val="18"/>
        </w:rPr>
        <w:t xml:space="preserve"> 60-61</w:t>
      </w:r>
    </w:p>
  </w:endnote>
  <w:endnote w:id="299">
    <w:p w14:paraId="025A39DA"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Aptos" w:cs="Open Sans"/>
          <w:sz w:val="18"/>
          <w:szCs w:val="18"/>
          <w:lang w:val="en-US"/>
        </w:rPr>
        <w:t>See section 4 of the A</w:t>
      </w:r>
      <w:r w:rsidRPr="002D4943">
        <w:rPr>
          <w:rFonts w:eastAsia="Aptos" w:cs="Open Sans"/>
          <w:i/>
          <w:sz w:val="18"/>
          <w:szCs w:val="18"/>
          <w:lang w:val="en-US"/>
        </w:rPr>
        <w:t xml:space="preserve">nti-Discrimination and Human Rights Legislation Amendment (Respect at Work) Act 2022 </w:t>
      </w:r>
      <w:r w:rsidRPr="002D4943">
        <w:rPr>
          <w:rFonts w:eastAsia="Aptos" w:cs="Open Sans"/>
          <w:sz w:val="18"/>
          <w:szCs w:val="18"/>
          <w:lang w:val="en-US"/>
        </w:rPr>
        <w:t>(Cth).</w:t>
      </w:r>
    </w:p>
  </w:endnote>
  <w:endnote w:id="300">
    <w:p w14:paraId="5A6A09DB"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w:t>
      </w:r>
      <w:r w:rsidRPr="002D4943">
        <w:rPr>
          <w:rFonts w:eastAsia="Aptos" w:cs="Open Sans"/>
          <w:sz w:val="18"/>
          <w:szCs w:val="18"/>
          <w:lang w:val="en-US"/>
        </w:rPr>
        <w:t>A</w:t>
      </w:r>
      <w:r w:rsidRPr="002D4943">
        <w:rPr>
          <w:rFonts w:eastAsia="Aptos" w:cs="Open Sans"/>
          <w:i/>
          <w:sz w:val="18"/>
          <w:szCs w:val="18"/>
          <w:lang w:val="en-US"/>
        </w:rPr>
        <w:t xml:space="preserve">nti-Discrimination and Human Rights Legislation Amendment (Respect at Work) Act 2022 </w:t>
      </w:r>
      <w:r w:rsidRPr="002D4943">
        <w:rPr>
          <w:rFonts w:eastAsia="Aptos" w:cs="Open Sans"/>
          <w:sz w:val="18"/>
          <w:szCs w:val="18"/>
          <w:lang w:val="en-US"/>
        </w:rPr>
        <w:t>(Cth), s 4(2).</w:t>
      </w:r>
    </w:p>
  </w:endnote>
  <w:endnote w:id="301">
    <w:p w14:paraId="3108F01A"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Retailers Association, </w:t>
      </w:r>
      <w:hyperlink r:id="rId36" w:history="1">
        <w:r w:rsidRPr="002D4943">
          <w:rPr>
            <w:rStyle w:val="Hyperlink"/>
            <w:rFonts w:cs="Open Sans"/>
            <w:i/>
            <w:sz w:val="18"/>
            <w:szCs w:val="18"/>
          </w:rPr>
          <w:t>ARA/NRA Submission, Economic Reform Roundtable</w:t>
        </w:r>
      </w:hyperlink>
      <w:r w:rsidRPr="002D4943">
        <w:rPr>
          <w:rFonts w:cs="Open Sans"/>
          <w:i/>
          <w:sz w:val="18"/>
          <w:szCs w:val="18"/>
        </w:rPr>
        <w:t xml:space="preserve">, </w:t>
      </w:r>
      <w:r w:rsidRPr="002D4943">
        <w:rPr>
          <w:rFonts w:cs="Open Sans"/>
          <w:sz w:val="18"/>
          <w:szCs w:val="18"/>
        </w:rPr>
        <w:t xml:space="preserve">[submission], July 2025, Accessed 9 September 2025; Business Council of Australia, </w:t>
      </w:r>
      <w:hyperlink r:id="rId37" w:history="1">
        <w:r w:rsidRPr="002D4943">
          <w:rPr>
            <w:rStyle w:val="Hyperlink"/>
            <w:rFonts w:cs="Open Sans"/>
            <w:i/>
            <w:sz w:val="18"/>
            <w:szCs w:val="18"/>
          </w:rPr>
          <w:t>Joint Group of Industry Associations Submission to the Economic Reform Roundtable</w:t>
        </w:r>
      </w:hyperlink>
      <w:r w:rsidRPr="002D4943">
        <w:rPr>
          <w:rFonts w:cs="Open Sans"/>
          <w:i/>
          <w:sz w:val="18"/>
          <w:szCs w:val="18"/>
        </w:rPr>
        <w:t xml:space="preserve">, </w:t>
      </w:r>
      <w:r w:rsidRPr="002D4943">
        <w:rPr>
          <w:rFonts w:cs="Open Sans"/>
          <w:sz w:val="18"/>
          <w:szCs w:val="18"/>
        </w:rPr>
        <w:t>[submission], 25 July 2025, Accessed 9 September 2025.</w:t>
      </w:r>
    </w:p>
  </w:endnote>
  <w:endnote w:id="302">
    <w:p w14:paraId="3EEFE23F" w14:textId="77777777" w:rsidR="00BF6338" w:rsidRPr="002D4943" w:rsidRDefault="00BF6338" w:rsidP="00BF6338">
      <w:pPr>
        <w:pStyle w:val="EndnoteText"/>
        <w:rPr>
          <w:rFonts w:cs="Open Sans"/>
          <w:sz w:val="18"/>
          <w:szCs w:val="18"/>
        </w:rPr>
      </w:pPr>
      <w:r w:rsidRPr="002D4943">
        <w:rPr>
          <w:rStyle w:val="EndnoteReference"/>
          <w:rFonts w:cs="Open Sans"/>
          <w:sz w:val="18"/>
          <w:szCs w:val="18"/>
        </w:rPr>
        <w:endnoteRef/>
      </w:r>
      <w:r w:rsidRPr="002D4943">
        <w:rPr>
          <w:rFonts w:cs="Open Sans"/>
          <w:sz w:val="18"/>
          <w:szCs w:val="18"/>
        </w:rPr>
        <w:t xml:space="preserve"> Australian Retailers Association, </w:t>
      </w:r>
      <w:hyperlink r:id="rId38" w:history="1">
        <w:r w:rsidRPr="002D4943">
          <w:rPr>
            <w:rStyle w:val="Hyperlink"/>
            <w:rFonts w:cs="Open Sans"/>
            <w:i/>
            <w:sz w:val="18"/>
            <w:szCs w:val="18"/>
          </w:rPr>
          <w:t>ARA/NRA Submission, Economic Reform Roundtable</w:t>
        </w:r>
      </w:hyperlink>
      <w:r w:rsidRPr="002D4943">
        <w:rPr>
          <w:rFonts w:cs="Open Sans"/>
          <w:i/>
          <w:sz w:val="18"/>
          <w:szCs w:val="18"/>
        </w:rPr>
        <w:t xml:space="preserve">, </w:t>
      </w:r>
      <w:r w:rsidRPr="002D4943">
        <w:rPr>
          <w:rFonts w:cs="Open Sans"/>
          <w:sz w:val="18"/>
          <w:szCs w:val="18"/>
        </w:rPr>
        <w:t>[submission], July 2025, Accessed 9 September 2025, p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Gotham Medium">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fia Pr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61636"/>
      <w:docPartObj>
        <w:docPartGallery w:val="Page Numbers (Bottom of Page)"/>
        <w:docPartUnique/>
      </w:docPartObj>
    </w:sdtPr>
    <w:sdtEndPr>
      <w:rPr>
        <w:noProof/>
      </w:rPr>
    </w:sdtEndPr>
    <w:sdtContent>
      <w:p w14:paraId="1DB4501F" w14:textId="77777777" w:rsidR="00810A64" w:rsidRPr="00A418E2" w:rsidRDefault="00810A64" w:rsidP="00861142">
        <w:pPr>
          <w:pStyle w:val="Footer"/>
        </w:pPr>
        <w:r w:rsidRPr="004024FD">
          <w:t>Australian Human Rights Commission</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102" w14:textId="77777777" w:rsidR="00810A64" w:rsidRPr="00FD2D8A" w:rsidRDefault="00810A64" w:rsidP="00861142">
    <w:pPr>
      <w:pStyle w:val="Footer"/>
    </w:pPr>
    <w:r>
      <w:t>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279E" w14:textId="77777777" w:rsidR="00B432C9" w:rsidRDefault="00B432C9" w:rsidP="008911EA">
      <w:r>
        <w:separator/>
      </w:r>
    </w:p>
  </w:footnote>
  <w:footnote w:type="continuationSeparator" w:id="0">
    <w:p w14:paraId="4053F7D5" w14:textId="77777777" w:rsidR="00B432C9" w:rsidRDefault="00B432C9" w:rsidP="008911EA">
      <w:r>
        <w:continuationSeparator/>
      </w:r>
    </w:p>
  </w:footnote>
  <w:footnote w:type="continuationNotice" w:id="1">
    <w:p w14:paraId="6501B6FE" w14:textId="77777777" w:rsidR="00B432C9" w:rsidRDefault="00B432C9" w:rsidP="00891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349D" w14:textId="38EECB96" w:rsidR="00810A64" w:rsidRPr="0015672E" w:rsidRDefault="005C4770" w:rsidP="00965614">
    <w:pPr>
      <w:pStyle w:val="Header"/>
    </w:pPr>
    <w:fldSimple w:instr="STYLEREF  &quot;Heading 1 unnumbered&quot;  \* MERGEFORMAT">
      <w:r w:rsidR="00EF6C83">
        <w:rPr>
          <w:noProof/>
        </w:rPr>
        <w:t>Overview</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2582" w14:textId="5BD310BE" w:rsidR="0015672E" w:rsidRPr="0015672E" w:rsidRDefault="0015672E" w:rsidP="0015672E">
    <w:pPr>
      <w:pStyle w:val="Header"/>
    </w:pPr>
    <w:fldSimple w:instr="STYLEREF  &quot;Heading 1&quot;  \* MERGEFORMAT">
      <w:r w:rsidR="00EF6C83">
        <w:rPr>
          <w:noProof/>
        </w:rPr>
        <w:t>Appendix A: Learnings from the implementation of the positive duty in the Sex Discrimination Act 1984 (Cth)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B159" w14:textId="631844F5" w:rsidR="0015672E" w:rsidRPr="0015672E" w:rsidRDefault="005C4770" w:rsidP="0015672E">
    <w:pPr>
      <w:pStyle w:val="Header"/>
    </w:pPr>
    <w:fldSimple w:instr="STYLEREF  &quot;Heading 1 unnumbered&quot;  \* MERGEFORMAT">
      <w:r w:rsidR="00EF6C83">
        <w:rPr>
          <w:noProof/>
        </w:rPr>
        <w:t>Endnotes</w:t>
      </w:r>
    </w:fldSimple>
  </w:p>
</w:hdr>
</file>

<file path=word/intelligence2.xml><?xml version="1.0" encoding="utf-8"?>
<int2:intelligence xmlns:int2="http://schemas.microsoft.com/office/intelligence/2020/intelligence" xmlns:oel="http://schemas.microsoft.com/office/2019/extlst">
  <int2:observations>
    <int2:bookmark int2:bookmarkName="_Int_XodOfquH" int2:invalidationBookmarkName="" int2:hashCode="whG1zv5hRyPSe6" int2:id="XdeLkJb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EFCD82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F586A9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11286B3E"/>
    <w:lvl w:ilvl="0">
      <w:start w:val="1"/>
      <w:numFmt w:val="decimal"/>
      <w:pStyle w:val="ListNumber"/>
      <w:lvlText w:val="%1."/>
      <w:lvlJc w:val="left"/>
      <w:pPr>
        <w:tabs>
          <w:tab w:val="num" w:pos="360"/>
        </w:tabs>
        <w:ind w:left="360" w:hanging="360"/>
      </w:pPr>
    </w:lvl>
  </w:abstractNum>
  <w:abstractNum w:abstractNumId="3" w15:restartNumberingAfterBreak="0">
    <w:nsid w:val="05BA5B1F"/>
    <w:multiLevelType w:val="hybridMultilevel"/>
    <w:tmpl w:val="CB5E6A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1825B4"/>
    <w:multiLevelType w:val="hybridMultilevel"/>
    <w:tmpl w:val="5B928B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0DB5A42"/>
    <w:multiLevelType w:val="multilevel"/>
    <w:tmpl w:val="B82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A6DAF"/>
    <w:multiLevelType w:val="multilevel"/>
    <w:tmpl w:val="1C8A2038"/>
    <w:lvl w:ilvl="0">
      <w:start w:val="1"/>
      <w:numFmt w:val="decimal"/>
      <w:pStyle w:val="Heading1"/>
      <w:lvlText w:val="%1"/>
      <w:lvlJc w:val="left"/>
      <w:pPr>
        <w:ind w:left="432" w:hanging="432"/>
      </w:pPr>
      <w:rPr>
        <w:rFonts w:hint="default"/>
      </w:rPr>
    </w:lvl>
    <w:lvl w:ilvl="1">
      <w:start w:val="1"/>
      <w:numFmt w:val="decimal"/>
      <w:pStyle w:val="AHRC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47A373D"/>
    <w:multiLevelType w:val="hybridMultilevel"/>
    <w:tmpl w:val="C67E7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930905"/>
    <w:multiLevelType w:val="hybridMultilevel"/>
    <w:tmpl w:val="8D0A57B6"/>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B7313F"/>
    <w:multiLevelType w:val="multilevel"/>
    <w:tmpl w:val="D3A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33BA"/>
    <w:multiLevelType w:val="multilevel"/>
    <w:tmpl w:val="64B881A6"/>
    <w:lvl w:ilvl="0">
      <w:start w:val="1"/>
      <w:numFmt w:val="bullet"/>
      <w:lvlText w:val=""/>
      <w:lvlJc w:val="left"/>
      <w:pPr>
        <w:tabs>
          <w:tab w:val="num" w:pos="720"/>
        </w:tabs>
        <w:ind w:left="720" w:hanging="360"/>
      </w:pPr>
      <w:rPr>
        <w:rFonts w:ascii="Symbol" w:hAnsi="Symbol" w:hint="default"/>
      </w:rPr>
    </w:lvl>
    <w:lvl w:ilvl="1">
      <w:start w:val="15"/>
      <w:numFmt w:val="bullet"/>
      <w:lvlText w:val="-"/>
      <w:lvlJc w:val="left"/>
      <w:pPr>
        <w:ind w:left="1440" w:hanging="360"/>
      </w:pPr>
      <w:rPr>
        <w:rFonts w:ascii="Open Sans" w:eastAsia="MS Mincho" w:hAnsi="Open Sans" w:cs="Open San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2C44B4"/>
    <w:multiLevelType w:val="hybridMultilevel"/>
    <w:tmpl w:val="3252EE40"/>
    <w:lvl w:ilvl="0" w:tplc="B12C6C46">
      <w:start w:val="1"/>
      <w:numFmt w:val="bullet"/>
      <w:pStyle w:val="List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1AB5986"/>
    <w:multiLevelType w:val="hybridMultilevel"/>
    <w:tmpl w:val="2FF6427A"/>
    <w:lvl w:ilvl="0" w:tplc="5EB0F582">
      <w:start w:val="8"/>
      <w:numFmt w:val="bullet"/>
      <w:lvlText w:val="-"/>
      <w:lvlJc w:val="left"/>
      <w:pPr>
        <w:ind w:left="720" w:hanging="36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A6C2A"/>
    <w:multiLevelType w:val="hybridMultilevel"/>
    <w:tmpl w:val="B378A7EC"/>
    <w:lvl w:ilvl="0" w:tplc="BB4CD106">
      <w:start w:val="1"/>
      <w:numFmt w:val="decimal"/>
      <w:lvlText w:val="(%1)"/>
      <w:lvlJc w:val="left"/>
      <w:pPr>
        <w:ind w:left="1080" w:hanging="360"/>
      </w:pPr>
      <w:rPr>
        <w:rFonts w:hint="default"/>
        <w:sz w:val="22"/>
        <w:szCs w:val="22"/>
      </w:rPr>
    </w:lvl>
    <w:lvl w:ilvl="1" w:tplc="210C5260">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176A04"/>
    <w:multiLevelType w:val="hybridMultilevel"/>
    <w:tmpl w:val="12F8F78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5D42E2"/>
    <w:multiLevelType w:val="hybridMultilevel"/>
    <w:tmpl w:val="CAB06BA4"/>
    <w:lvl w:ilvl="0" w:tplc="0C090001">
      <w:start w:val="1"/>
      <w:numFmt w:val="bullet"/>
      <w:lvlText w:val=""/>
      <w:lvlJc w:val="left"/>
      <w:pPr>
        <w:ind w:left="360" w:hanging="360"/>
      </w:pPr>
      <w:rPr>
        <w:rFonts w:ascii="Symbol" w:hAnsi="Symbol" w:hint="default"/>
        <w:color w:val="404041"/>
        <w:sz w:val="24"/>
        <w:szCs w:val="24"/>
        <w:vertAlign w:val="baseline"/>
      </w:rPr>
    </w:lvl>
    <w:lvl w:ilvl="1" w:tplc="FFFFFFFF">
      <w:start w:val="1"/>
      <w:numFmt w:val="bullet"/>
      <w:lvlText w:val=""/>
      <w:lvlJc w:val="left"/>
      <w:pPr>
        <w:ind w:left="873" w:hanging="360"/>
      </w:pPr>
      <w:rPr>
        <w:rFonts w:ascii="Symbol" w:hAnsi="Symbol" w:hint="default"/>
      </w:rPr>
    </w:lvl>
    <w:lvl w:ilvl="2" w:tplc="FFFFFFFF">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6" w15:restartNumberingAfterBreak="0">
    <w:nsid w:val="33256015"/>
    <w:multiLevelType w:val="hybridMultilevel"/>
    <w:tmpl w:val="9408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1F3973"/>
    <w:multiLevelType w:val="hybridMultilevel"/>
    <w:tmpl w:val="6D12C5A0"/>
    <w:lvl w:ilvl="0" w:tplc="FFFFFFFF">
      <w:start w:val="1"/>
      <w:numFmt w:val="decimal"/>
      <w:lvlText w:val="%1."/>
      <w:lvlJc w:val="left"/>
      <w:pPr>
        <w:ind w:left="720" w:hanging="360"/>
      </w:pPr>
      <w:rPr>
        <w:rFonts w:hint="default"/>
      </w:rPr>
    </w:lvl>
    <w:lvl w:ilvl="1" w:tplc="5EB0F582">
      <w:start w:val="8"/>
      <w:numFmt w:val="bullet"/>
      <w:lvlText w:val="-"/>
      <w:lvlJc w:val="left"/>
      <w:pPr>
        <w:ind w:left="1440" w:hanging="360"/>
      </w:pPr>
      <w:rPr>
        <w:rFonts w:ascii="Open Sans" w:eastAsiaTheme="minorEastAsia" w:hAnsi="Open Sans" w:cs="Open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12B70"/>
    <w:multiLevelType w:val="hybridMultilevel"/>
    <w:tmpl w:val="48D0E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61178B"/>
    <w:multiLevelType w:val="hybridMultilevel"/>
    <w:tmpl w:val="B9F0D32A"/>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2E1DE8"/>
    <w:multiLevelType w:val="multilevel"/>
    <w:tmpl w:val="E64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A67F8"/>
    <w:multiLevelType w:val="hybridMultilevel"/>
    <w:tmpl w:val="A218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D461B"/>
    <w:multiLevelType w:val="hybridMultilevel"/>
    <w:tmpl w:val="AD46D552"/>
    <w:lvl w:ilvl="0" w:tplc="0C090001">
      <w:start w:val="1"/>
      <w:numFmt w:val="bullet"/>
      <w:lvlText w:val=""/>
      <w:lvlJc w:val="left"/>
      <w:pPr>
        <w:ind w:left="927" w:hanging="360"/>
      </w:pPr>
      <w:rPr>
        <w:rFonts w:ascii="Symbol" w:hAnsi="Symbol" w:hint="default"/>
        <w:color w:val="404041"/>
        <w:sz w:val="24"/>
        <w:szCs w:val="24"/>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12258"/>
    <w:multiLevelType w:val="hybridMultilevel"/>
    <w:tmpl w:val="91A8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9905A9"/>
    <w:multiLevelType w:val="hybridMultilevel"/>
    <w:tmpl w:val="EB90917A"/>
    <w:lvl w:ilvl="0" w:tplc="539E3A14">
      <w:start w:val="1"/>
      <w:numFmt w:val="decimal"/>
      <w:lvlText w:val="%1."/>
      <w:lvlJc w:val="left"/>
      <w:pPr>
        <w:ind w:left="454" w:hanging="454"/>
      </w:pPr>
      <w:rPr>
        <w:rFonts w:hint="default"/>
        <w:b/>
        <w:bCs/>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2C5CBF"/>
    <w:multiLevelType w:val="hybridMultilevel"/>
    <w:tmpl w:val="7FC65376"/>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26" w15:restartNumberingAfterBreak="0">
    <w:nsid w:val="659C639F"/>
    <w:multiLevelType w:val="hybridMultilevel"/>
    <w:tmpl w:val="7E76FD9A"/>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1507B9"/>
    <w:multiLevelType w:val="hybridMultilevel"/>
    <w:tmpl w:val="AFD40E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C82C6C"/>
    <w:multiLevelType w:val="hybridMultilevel"/>
    <w:tmpl w:val="34D42636"/>
    <w:lvl w:ilvl="0" w:tplc="BDECA6B6">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9" w15:restartNumberingAfterBreak="0">
    <w:nsid w:val="76131320"/>
    <w:multiLevelType w:val="hybridMultilevel"/>
    <w:tmpl w:val="F3464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934317"/>
    <w:multiLevelType w:val="multilevel"/>
    <w:tmpl w:val="3992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885F58"/>
    <w:multiLevelType w:val="hybridMultilevel"/>
    <w:tmpl w:val="D73C9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FF334C"/>
    <w:multiLevelType w:val="multilevel"/>
    <w:tmpl w:val="4920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208228">
    <w:abstractNumId w:val="25"/>
  </w:num>
  <w:num w:numId="2" w16cid:durableId="1266304166">
    <w:abstractNumId w:val="28"/>
  </w:num>
  <w:num w:numId="3" w16cid:durableId="1248878576">
    <w:abstractNumId w:val="6"/>
  </w:num>
  <w:num w:numId="4" w16cid:durableId="1294823578">
    <w:abstractNumId w:val="8"/>
  </w:num>
  <w:num w:numId="5" w16cid:durableId="888802780">
    <w:abstractNumId w:val="2"/>
  </w:num>
  <w:num w:numId="6" w16cid:durableId="1008168489">
    <w:abstractNumId w:val="30"/>
  </w:num>
  <w:num w:numId="7" w16cid:durableId="859439420">
    <w:abstractNumId w:val="32"/>
  </w:num>
  <w:num w:numId="8" w16cid:durableId="177549318">
    <w:abstractNumId w:val="5"/>
  </w:num>
  <w:num w:numId="9" w16cid:durableId="1806004623">
    <w:abstractNumId w:val="9"/>
  </w:num>
  <w:num w:numId="10" w16cid:durableId="909852123">
    <w:abstractNumId w:val="20"/>
  </w:num>
  <w:num w:numId="11" w16cid:durableId="1690834051">
    <w:abstractNumId w:val="14"/>
  </w:num>
  <w:num w:numId="12" w16cid:durableId="582109099">
    <w:abstractNumId w:val="16"/>
  </w:num>
  <w:num w:numId="13" w16cid:durableId="1181241004">
    <w:abstractNumId w:val="22"/>
  </w:num>
  <w:num w:numId="14" w16cid:durableId="763453892">
    <w:abstractNumId w:val="15"/>
  </w:num>
  <w:num w:numId="15" w16cid:durableId="1806190462">
    <w:abstractNumId w:val="29"/>
  </w:num>
  <w:num w:numId="16" w16cid:durableId="427311533">
    <w:abstractNumId w:val="23"/>
  </w:num>
  <w:num w:numId="17" w16cid:durableId="1612391691">
    <w:abstractNumId w:val="21"/>
  </w:num>
  <w:num w:numId="18" w16cid:durableId="939065618">
    <w:abstractNumId w:val="19"/>
  </w:num>
  <w:num w:numId="19" w16cid:durableId="752238540">
    <w:abstractNumId w:val="10"/>
  </w:num>
  <w:num w:numId="20" w16cid:durableId="1784693201">
    <w:abstractNumId w:val="1"/>
  </w:num>
  <w:num w:numId="21" w16cid:durableId="184828958">
    <w:abstractNumId w:val="13"/>
  </w:num>
  <w:num w:numId="22" w16cid:durableId="1115976662">
    <w:abstractNumId w:val="11"/>
  </w:num>
  <w:num w:numId="23" w16cid:durableId="796291076">
    <w:abstractNumId w:val="0"/>
  </w:num>
  <w:num w:numId="24" w16cid:durableId="313920433">
    <w:abstractNumId w:val="18"/>
  </w:num>
  <w:num w:numId="25" w16cid:durableId="1927104201">
    <w:abstractNumId w:val="27"/>
  </w:num>
  <w:num w:numId="26" w16cid:durableId="3939809">
    <w:abstractNumId w:val="31"/>
  </w:num>
  <w:num w:numId="27" w16cid:durableId="334840629">
    <w:abstractNumId w:val="7"/>
  </w:num>
  <w:num w:numId="28" w16cid:durableId="1053390933">
    <w:abstractNumId w:val="12"/>
  </w:num>
  <w:num w:numId="29" w16cid:durableId="223373888">
    <w:abstractNumId w:val="3"/>
  </w:num>
  <w:num w:numId="30" w16cid:durableId="207188523">
    <w:abstractNumId w:val="24"/>
  </w:num>
  <w:num w:numId="31" w16cid:durableId="517475126">
    <w:abstractNumId w:val="17"/>
  </w:num>
  <w:num w:numId="32" w16cid:durableId="126048570">
    <w:abstractNumId w:val="26"/>
  </w:num>
  <w:num w:numId="33" w16cid:durableId="105488909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2D"/>
    <w:rsid w:val="000000B8"/>
    <w:rsid w:val="0000038C"/>
    <w:rsid w:val="000004A7"/>
    <w:rsid w:val="000004FB"/>
    <w:rsid w:val="00000662"/>
    <w:rsid w:val="0000068E"/>
    <w:rsid w:val="00000707"/>
    <w:rsid w:val="000007AF"/>
    <w:rsid w:val="0000097C"/>
    <w:rsid w:val="00000D8E"/>
    <w:rsid w:val="0000194F"/>
    <w:rsid w:val="000019B7"/>
    <w:rsid w:val="00001A79"/>
    <w:rsid w:val="00001A7E"/>
    <w:rsid w:val="00001C00"/>
    <w:rsid w:val="00001DF7"/>
    <w:rsid w:val="00001E92"/>
    <w:rsid w:val="00001F3E"/>
    <w:rsid w:val="0000203C"/>
    <w:rsid w:val="00002699"/>
    <w:rsid w:val="000026B9"/>
    <w:rsid w:val="0000278B"/>
    <w:rsid w:val="00002830"/>
    <w:rsid w:val="00002883"/>
    <w:rsid w:val="00002A18"/>
    <w:rsid w:val="00002B1F"/>
    <w:rsid w:val="00002C55"/>
    <w:rsid w:val="00002FEA"/>
    <w:rsid w:val="0000302C"/>
    <w:rsid w:val="0000304A"/>
    <w:rsid w:val="0000316B"/>
    <w:rsid w:val="00003231"/>
    <w:rsid w:val="00003264"/>
    <w:rsid w:val="00003476"/>
    <w:rsid w:val="00003497"/>
    <w:rsid w:val="00003538"/>
    <w:rsid w:val="000035DD"/>
    <w:rsid w:val="0000367E"/>
    <w:rsid w:val="0000373B"/>
    <w:rsid w:val="00003935"/>
    <w:rsid w:val="00003A14"/>
    <w:rsid w:val="00003B3B"/>
    <w:rsid w:val="00003C48"/>
    <w:rsid w:val="00003DA8"/>
    <w:rsid w:val="00003DD6"/>
    <w:rsid w:val="00003E39"/>
    <w:rsid w:val="00003ED5"/>
    <w:rsid w:val="00003FC2"/>
    <w:rsid w:val="00003FC4"/>
    <w:rsid w:val="00004061"/>
    <w:rsid w:val="00004092"/>
    <w:rsid w:val="000040E6"/>
    <w:rsid w:val="00004396"/>
    <w:rsid w:val="00004823"/>
    <w:rsid w:val="00004AF9"/>
    <w:rsid w:val="00004B84"/>
    <w:rsid w:val="0000501C"/>
    <w:rsid w:val="000053E6"/>
    <w:rsid w:val="00005578"/>
    <w:rsid w:val="0000563D"/>
    <w:rsid w:val="000056EE"/>
    <w:rsid w:val="00005E93"/>
    <w:rsid w:val="0000600A"/>
    <w:rsid w:val="0000612F"/>
    <w:rsid w:val="000061F4"/>
    <w:rsid w:val="00006415"/>
    <w:rsid w:val="0000642A"/>
    <w:rsid w:val="000064BB"/>
    <w:rsid w:val="0000651C"/>
    <w:rsid w:val="000065FC"/>
    <w:rsid w:val="000066D2"/>
    <w:rsid w:val="00006853"/>
    <w:rsid w:val="00006A0D"/>
    <w:rsid w:val="00006B0D"/>
    <w:rsid w:val="00006B42"/>
    <w:rsid w:val="00006C23"/>
    <w:rsid w:val="00006F77"/>
    <w:rsid w:val="00006FAB"/>
    <w:rsid w:val="000070B8"/>
    <w:rsid w:val="00007226"/>
    <w:rsid w:val="000072AF"/>
    <w:rsid w:val="0000736A"/>
    <w:rsid w:val="000074C0"/>
    <w:rsid w:val="000075B2"/>
    <w:rsid w:val="00007838"/>
    <w:rsid w:val="00007ACF"/>
    <w:rsid w:val="00007B0E"/>
    <w:rsid w:val="00007C35"/>
    <w:rsid w:val="00007CC2"/>
    <w:rsid w:val="00007E83"/>
    <w:rsid w:val="00007EEA"/>
    <w:rsid w:val="00010038"/>
    <w:rsid w:val="000100B5"/>
    <w:rsid w:val="00010A1B"/>
    <w:rsid w:val="00010A22"/>
    <w:rsid w:val="00010A44"/>
    <w:rsid w:val="00010BF1"/>
    <w:rsid w:val="00011164"/>
    <w:rsid w:val="000113F5"/>
    <w:rsid w:val="000114AB"/>
    <w:rsid w:val="00011537"/>
    <w:rsid w:val="0001155E"/>
    <w:rsid w:val="00011621"/>
    <w:rsid w:val="00011632"/>
    <w:rsid w:val="000116F9"/>
    <w:rsid w:val="0001170B"/>
    <w:rsid w:val="0001188A"/>
    <w:rsid w:val="000118DF"/>
    <w:rsid w:val="00011954"/>
    <w:rsid w:val="0001198C"/>
    <w:rsid w:val="00011A41"/>
    <w:rsid w:val="00011B97"/>
    <w:rsid w:val="00012131"/>
    <w:rsid w:val="00012472"/>
    <w:rsid w:val="000126FC"/>
    <w:rsid w:val="00012938"/>
    <w:rsid w:val="00012C25"/>
    <w:rsid w:val="00012C6F"/>
    <w:rsid w:val="00012D16"/>
    <w:rsid w:val="00012D3A"/>
    <w:rsid w:val="00012DE4"/>
    <w:rsid w:val="000132C4"/>
    <w:rsid w:val="000135AB"/>
    <w:rsid w:val="00013796"/>
    <w:rsid w:val="000137FC"/>
    <w:rsid w:val="00013925"/>
    <w:rsid w:val="00013C04"/>
    <w:rsid w:val="00013CF7"/>
    <w:rsid w:val="0001407F"/>
    <w:rsid w:val="000142B6"/>
    <w:rsid w:val="000142C8"/>
    <w:rsid w:val="000143E9"/>
    <w:rsid w:val="00014453"/>
    <w:rsid w:val="0001468B"/>
    <w:rsid w:val="000146AE"/>
    <w:rsid w:val="000148EC"/>
    <w:rsid w:val="0001493B"/>
    <w:rsid w:val="00014A0C"/>
    <w:rsid w:val="00014EE1"/>
    <w:rsid w:val="0001502A"/>
    <w:rsid w:val="0001514A"/>
    <w:rsid w:val="000153D1"/>
    <w:rsid w:val="000156E1"/>
    <w:rsid w:val="00015820"/>
    <w:rsid w:val="00015BBF"/>
    <w:rsid w:val="00015D62"/>
    <w:rsid w:val="00015E1F"/>
    <w:rsid w:val="00015E71"/>
    <w:rsid w:val="00015E81"/>
    <w:rsid w:val="000160F9"/>
    <w:rsid w:val="0001620A"/>
    <w:rsid w:val="0001644C"/>
    <w:rsid w:val="0001658C"/>
    <w:rsid w:val="0001665A"/>
    <w:rsid w:val="00016728"/>
    <w:rsid w:val="000167A0"/>
    <w:rsid w:val="00016A42"/>
    <w:rsid w:val="00016A4C"/>
    <w:rsid w:val="00016B4E"/>
    <w:rsid w:val="00016BE7"/>
    <w:rsid w:val="00016D0A"/>
    <w:rsid w:val="00016D30"/>
    <w:rsid w:val="00016D8F"/>
    <w:rsid w:val="00016DBE"/>
    <w:rsid w:val="00016F68"/>
    <w:rsid w:val="0001710E"/>
    <w:rsid w:val="0001741B"/>
    <w:rsid w:val="0001756D"/>
    <w:rsid w:val="00017880"/>
    <w:rsid w:val="0001799B"/>
    <w:rsid w:val="000179D2"/>
    <w:rsid w:val="00017AF2"/>
    <w:rsid w:val="00017B6F"/>
    <w:rsid w:val="00017C2E"/>
    <w:rsid w:val="00017D42"/>
    <w:rsid w:val="0002009F"/>
    <w:rsid w:val="00020204"/>
    <w:rsid w:val="00020413"/>
    <w:rsid w:val="000207E1"/>
    <w:rsid w:val="00020AE1"/>
    <w:rsid w:val="00020BAA"/>
    <w:rsid w:val="00020CAC"/>
    <w:rsid w:val="00020D1B"/>
    <w:rsid w:val="00020D5F"/>
    <w:rsid w:val="00020EA3"/>
    <w:rsid w:val="00020ECA"/>
    <w:rsid w:val="00021228"/>
    <w:rsid w:val="0002124C"/>
    <w:rsid w:val="00021305"/>
    <w:rsid w:val="00021477"/>
    <w:rsid w:val="000214B4"/>
    <w:rsid w:val="000216A0"/>
    <w:rsid w:val="00021706"/>
    <w:rsid w:val="000217C7"/>
    <w:rsid w:val="000218FB"/>
    <w:rsid w:val="00021CA9"/>
    <w:rsid w:val="00021CE4"/>
    <w:rsid w:val="00021FF0"/>
    <w:rsid w:val="0002203B"/>
    <w:rsid w:val="0002237C"/>
    <w:rsid w:val="0002241D"/>
    <w:rsid w:val="0002251C"/>
    <w:rsid w:val="000225CB"/>
    <w:rsid w:val="000226A6"/>
    <w:rsid w:val="000227D9"/>
    <w:rsid w:val="0002296C"/>
    <w:rsid w:val="00022B0B"/>
    <w:rsid w:val="00022B59"/>
    <w:rsid w:val="00022DB9"/>
    <w:rsid w:val="0002322A"/>
    <w:rsid w:val="0002359F"/>
    <w:rsid w:val="0002371F"/>
    <w:rsid w:val="000237AF"/>
    <w:rsid w:val="000238DC"/>
    <w:rsid w:val="000238F6"/>
    <w:rsid w:val="00023908"/>
    <w:rsid w:val="0002397A"/>
    <w:rsid w:val="000239D2"/>
    <w:rsid w:val="00023A51"/>
    <w:rsid w:val="00023AC7"/>
    <w:rsid w:val="00023AD0"/>
    <w:rsid w:val="00023AF9"/>
    <w:rsid w:val="00023B28"/>
    <w:rsid w:val="00023D6A"/>
    <w:rsid w:val="00023E93"/>
    <w:rsid w:val="00023ED3"/>
    <w:rsid w:val="00024084"/>
    <w:rsid w:val="00024105"/>
    <w:rsid w:val="0002411E"/>
    <w:rsid w:val="000245F1"/>
    <w:rsid w:val="0002465C"/>
    <w:rsid w:val="00024748"/>
    <w:rsid w:val="0002479F"/>
    <w:rsid w:val="0002483F"/>
    <w:rsid w:val="00024893"/>
    <w:rsid w:val="00024AD6"/>
    <w:rsid w:val="00024AE3"/>
    <w:rsid w:val="00024C34"/>
    <w:rsid w:val="00024CA6"/>
    <w:rsid w:val="00024D25"/>
    <w:rsid w:val="00024E31"/>
    <w:rsid w:val="00024E81"/>
    <w:rsid w:val="000251FE"/>
    <w:rsid w:val="00025502"/>
    <w:rsid w:val="00025562"/>
    <w:rsid w:val="00025EF1"/>
    <w:rsid w:val="00025F8A"/>
    <w:rsid w:val="000260E4"/>
    <w:rsid w:val="000260E9"/>
    <w:rsid w:val="000262A5"/>
    <w:rsid w:val="000262EE"/>
    <w:rsid w:val="0002630D"/>
    <w:rsid w:val="00026359"/>
    <w:rsid w:val="0002642B"/>
    <w:rsid w:val="00026791"/>
    <w:rsid w:val="00026D89"/>
    <w:rsid w:val="00026D94"/>
    <w:rsid w:val="00026FA9"/>
    <w:rsid w:val="00027064"/>
    <w:rsid w:val="00027117"/>
    <w:rsid w:val="000271A7"/>
    <w:rsid w:val="00027287"/>
    <w:rsid w:val="00027327"/>
    <w:rsid w:val="000273FA"/>
    <w:rsid w:val="00027502"/>
    <w:rsid w:val="0002756F"/>
    <w:rsid w:val="000278C7"/>
    <w:rsid w:val="00027D42"/>
    <w:rsid w:val="00027D43"/>
    <w:rsid w:val="00027D5F"/>
    <w:rsid w:val="00027DFB"/>
    <w:rsid w:val="00027EBC"/>
    <w:rsid w:val="00030094"/>
    <w:rsid w:val="00030176"/>
    <w:rsid w:val="00030312"/>
    <w:rsid w:val="0003042D"/>
    <w:rsid w:val="0003043E"/>
    <w:rsid w:val="000304E5"/>
    <w:rsid w:val="00030AB0"/>
    <w:rsid w:val="00030B49"/>
    <w:rsid w:val="00030BCF"/>
    <w:rsid w:val="00030C79"/>
    <w:rsid w:val="00030CB2"/>
    <w:rsid w:val="00030D4B"/>
    <w:rsid w:val="00030DE2"/>
    <w:rsid w:val="00030E26"/>
    <w:rsid w:val="00031602"/>
    <w:rsid w:val="0003179B"/>
    <w:rsid w:val="00031915"/>
    <w:rsid w:val="00031A0F"/>
    <w:rsid w:val="00031E40"/>
    <w:rsid w:val="00031E8E"/>
    <w:rsid w:val="0003202A"/>
    <w:rsid w:val="00032166"/>
    <w:rsid w:val="000321E4"/>
    <w:rsid w:val="0003222E"/>
    <w:rsid w:val="00032760"/>
    <w:rsid w:val="00032930"/>
    <w:rsid w:val="00032A47"/>
    <w:rsid w:val="00032AE0"/>
    <w:rsid w:val="000332CC"/>
    <w:rsid w:val="00033444"/>
    <w:rsid w:val="000339B6"/>
    <w:rsid w:val="00033CE7"/>
    <w:rsid w:val="00033D95"/>
    <w:rsid w:val="00033DC1"/>
    <w:rsid w:val="00033F45"/>
    <w:rsid w:val="00034026"/>
    <w:rsid w:val="000340C9"/>
    <w:rsid w:val="000341A9"/>
    <w:rsid w:val="000344EE"/>
    <w:rsid w:val="00034A16"/>
    <w:rsid w:val="00034A17"/>
    <w:rsid w:val="00034AC3"/>
    <w:rsid w:val="00034B30"/>
    <w:rsid w:val="00034E78"/>
    <w:rsid w:val="00034F2D"/>
    <w:rsid w:val="00034F45"/>
    <w:rsid w:val="000354FF"/>
    <w:rsid w:val="0003560C"/>
    <w:rsid w:val="0003572C"/>
    <w:rsid w:val="00035734"/>
    <w:rsid w:val="00035851"/>
    <w:rsid w:val="00035FB3"/>
    <w:rsid w:val="00036033"/>
    <w:rsid w:val="00036138"/>
    <w:rsid w:val="000361C8"/>
    <w:rsid w:val="00036278"/>
    <w:rsid w:val="000362C6"/>
    <w:rsid w:val="00036443"/>
    <w:rsid w:val="0003648C"/>
    <w:rsid w:val="00036909"/>
    <w:rsid w:val="000369C2"/>
    <w:rsid w:val="00036BB6"/>
    <w:rsid w:val="00036CD8"/>
    <w:rsid w:val="00036F72"/>
    <w:rsid w:val="00036F85"/>
    <w:rsid w:val="00036FD4"/>
    <w:rsid w:val="00037062"/>
    <w:rsid w:val="000370AB"/>
    <w:rsid w:val="00037302"/>
    <w:rsid w:val="0003739F"/>
    <w:rsid w:val="000377CD"/>
    <w:rsid w:val="000377F2"/>
    <w:rsid w:val="0003784D"/>
    <w:rsid w:val="00037B99"/>
    <w:rsid w:val="00037DD1"/>
    <w:rsid w:val="00037E85"/>
    <w:rsid w:val="00040181"/>
    <w:rsid w:val="00040211"/>
    <w:rsid w:val="000402A4"/>
    <w:rsid w:val="000403CD"/>
    <w:rsid w:val="000409C6"/>
    <w:rsid w:val="00040D82"/>
    <w:rsid w:val="00040DA0"/>
    <w:rsid w:val="00040EC9"/>
    <w:rsid w:val="00040F2A"/>
    <w:rsid w:val="000411ED"/>
    <w:rsid w:val="000414C2"/>
    <w:rsid w:val="00041690"/>
    <w:rsid w:val="00041A90"/>
    <w:rsid w:val="00041BA5"/>
    <w:rsid w:val="00041DF2"/>
    <w:rsid w:val="0004219F"/>
    <w:rsid w:val="0004225E"/>
    <w:rsid w:val="0004228A"/>
    <w:rsid w:val="00042369"/>
    <w:rsid w:val="000423B7"/>
    <w:rsid w:val="000423D2"/>
    <w:rsid w:val="00042419"/>
    <w:rsid w:val="000425DD"/>
    <w:rsid w:val="000428AC"/>
    <w:rsid w:val="00042986"/>
    <w:rsid w:val="00042AE0"/>
    <w:rsid w:val="00042B81"/>
    <w:rsid w:val="00042BA1"/>
    <w:rsid w:val="00042C09"/>
    <w:rsid w:val="00042DE2"/>
    <w:rsid w:val="00042F77"/>
    <w:rsid w:val="0004323D"/>
    <w:rsid w:val="00043376"/>
    <w:rsid w:val="000433EE"/>
    <w:rsid w:val="000438F8"/>
    <w:rsid w:val="00043901"/>
    <w:rsid w:val="0004394D"/>
    <w:rsid w:val="00043B7B"/>
    <w:rsid w:val="00043E05"/>
    <w:rsid w:val="00044091"/>
    <w:rsid w:val="00044688"/>
    <w:rsid w:val="000447FC"/>
    <w:rsid w:val="00044807"/>
    <w:rsid w:val="00044C25"/>
    <w:rsid w:val="00044C6D"/>
    <w:rsid w:val="00045009"/>
    <w:rsid w:val="0004552E"/>
    <w:rsid w:val="0004561F"/>
    <w:rsid w:val="0004569D"/>
    <w:rsid w:val="00045A9E"/>
    <w:rsid w:val="00045CC7"/>
    <w:rsid w:val="00045FCC"/>
    <w:rsid w:val="00045FD6"/>
    <w:rsid w:val="000460C4"/>
    <w:rsid w:val="0004627A"/>
    <w:rsid w:val="0004648C"/>
    <w:rsid w:val="0004670C"/>
    <w:rsid w:val="00046862"/>
    <w:rsid w:val="00046954"/>
    <w:rsid w:val="00046B19"/>
    <w:rsid w:val="00046B3F"/>
    <w:rsid w:val="00046F32"/>
    <w:rsid w:val="000473E5"/>
    <w:rsid w:val="000475CE"/>
    <w:rsid w:val="0004780D"/>
    <w:rsid w:val="0004796A"/>
    <w:rsid w:val="00047970"/>
    <w:rsid w:val="00047A8C"/>
    <w:rsid w:val="00047C18"/>
    <w:rsid w:val="00047DBF"/>
    <w:rsid w:val="00047EA6"/>
    <w:rsid w:val="00047F66"/>
    <w:rsid w:val="0005006C"/>
    <w:rsid w:val="00050103"/>
    <w:rsid w:val="000506AE"/>
    <w:rsid w:val="000508C5"/>
    <w:rsid w:val="000509BB"/>
    <w:rsid w:val="0005107A"/>
    <w:rsid w:val="000510EA"/>
    <w:rsid w:val="00051177"/>
    <w:rsid w:val="00051288"/>
    <w:rsid w:val="0005130F"/>
    <w:rsid w:val="0005137F"/>
    <w:rsid w:val="000514E8"/>
    <w:rsid w:val="00051614"/>
    <w:rsid w:val="0005176B"/>
    <w:rsid w:val="0005194A"/>
    <w:rsid w:val="00051A1E"/>
    <w:rsid w:val="00051DE2"/>
    <w:rsid w:val="00051E38"/>
    <w:rsid w:val="00051E78"/>
    <w:rsid w:val="00052080"/>
    <w:rsid w:val="00052256"/>
    <w:rsid w:val="00052343"/>
    <w:rsid w:val="000523C9"/>
    <w:rsid w:val="00052436"/>
    <w:rsid w:val="0005247F"/>
    <w:rsid w:val="00052694"/>
    <w:rsid w:val="00052698"/>
    <w:rsid w:val="00052726"/>
    <w:rsid w:val="0005277E"/>
    <w:rsid w:val="00052936"/>
    <w:rsid w:val="0005301B"/>
    <w:rsid w:val="000531B4"/>
    <w:rsid w:val="00053675"/>
    <w:rsid w:val="00053885"/>
    <w:rsid w:val="00053A4D"/>
    <w:rsid w:val="00053A72"/>
    <w:rsid w:val="00053AF1"/>
    <w:rsid w:val="00053C1E"/>
    <w:rsid w:val="00053CB3"/>
    <w:rsid w:val="00053CD4"/>
    <w:rsid w:val="00053F52"/>
    <w:rsid w:val="000540A8"/>
    <w:rsid w:val="000541DA"/>
    <w:rsid w:val="000541FC"/>
    <w:rsid w:val="00054466"/>
    <w:rsid w:val="00054693"/>
    <w:rsid w:val="00054782"/>
    <w:rsid w:val="000549C3"/>
    <w:rsid w:val="00054BF3"/>
    <w:rsid w:val="00054C03"/>
    <w:rsid w:val="00054C12"/>
    <w:rsid w:val="00054CA0"/>
    <w:rsid w:val="00054E52"/>
    <w:rsid w:val="00055252"/>
    <w:rsid w:val="000553F1"/>
    <w:rsid w:val="0005543A"/>
    <w:rsid w:val="00055984"/>
    <w:rsid w:val="00055A50"/>
    <w:rsid w:val="00055C2A"/>
    <w:rsid w:val="00055C2B"/>
    <w:rsid w:val="00055DD8"/>
    <w:rsid w:val="000561CF"/>
    <w:rsid w:val="0005626E"/>
    <w:rsid w:val="00056C63"/>
    <w:rsid w:val="00056FA4"/>
    <w:rsid w:val="00056FB4"/>
    <w:rsid w:val="00057086"/>
    <w:rsid w:val="0005716E"/>
    <w:rsid w:val="00057319"/>
    <w:rsid w:val="0005731A"/>
    <w:rsid w:val="00057457"/>
    <w:rsid w:val="00057460"/>
    <w:rsid w:val="00057531"/>
    <w:rsid w:val="000575FF"/>
    <w:rsid w:val="00057666"/>
    <w:rsid w:val="00057742"/>
    <w:rsid w:val="000577BB"/>
    <w:rsid w:val="00057A55"/>
    <w:rsid w:val="00057AF5"/>
    <w:rsid w:val="00057F30"/>
    <w:rsid w:val="000600AB"/>
    <w:rsid w:val="00060103"/>
    <w:rsid w:val="0006034C"/>
    <w:rsid w:val="000604E5"/>
    <w:rsid w:val="000604EA"/>
    <w:rsid w:val="000606C3"/>
    <w:rsid w:val="00060733"/>
    <w:rsid w:val="000607CD"/>
    <w:rsid w:val="000607CE"/>
    <w:rsid w:val="00060ABA"/>
    <w:rsid w:val="00060BEF"/>
    <w:rsid w:val="00060FF8"/>
    <w:rsid w:val="00061039"/>
    <w:rsid w:val="0006104C"/>
    <w:rsid w:val="0006122B"/>
    <w:rsid w:val="000612EA"/>
    <w:rsid w:val="00061321"/>
    <w:rsid w:val="00061326"/>
    <w:rsid w:val="00061478"/>
    <w:rsid w:val="00061627"/>
    <w:rsid w:val="00061897"/>
    <w:rsid w:val="00061BA1"/>
    <w:rsid w:val="00061C71"/>
    <w:rsid w:val="00061DD0"/>
    <w:rsid w:val="00061DEF"/>
    <w:rsid w:val="00061F46"/>
    <w:rsid w:val="00061F5B"/>
    <w:rsid w:val="00062229"/>
    <w:rsid w:val="00062260"/>
    <w:rsid w:val="0006229B"/>
    <w:rsid w:val="000622B9"/>
    <w:rsid w:val="000624AB"/>
    <w:rsid w:val="00062737"/>
    <w:rsid w:val="00062E94"/>
    <w:rsid w:val="00062F22"/>
    <w:rsid w:val="000631B6"/>
    <w:rsid w:val="000632A8"/>
    <w:rsid w:val="00063424"/>
    <w:rsid w:val="00063525"/>
    <w:rsid w:val="000636D8"/>
    <w:rsid w:val="0006382F"/>
    <w:rsid w:val="000638B4"/>
    <w:rsid w:val="000638B9"/>
    <w:rsid w:val="000638E9"/>
    <w:rsid w:val="00063B3B"/>
    <w:rsid w:val="00063B8B"/>
    <w:rsid w:val="00063C47"/>
    <w:rsid w:val="00063D67"/>
    <w:rsid w:val="00063FD9"/>
    <w:rsid w:val="00064112"/>
    <w:rsid w:val="00064759"/>
    <w:rsid w:val="00064AB8"/>
    <w:rsid w:val="00064BFD"/>
    <w:rsid w:val="00064C11"/>
    <w:rsid w:val="00064D06"/>
    <w:rsid w:val="00064D92"/>
    <w:rsid w:val="00064DE0"/>
    <w:rsid w:val="00065191"/>
    <w:rsid w:val="00065392"/>
    <w:rsid w:val="000654F8"/>
    <w:rsid w:val="000655B5"/>
    <w:rsid w:val="00065696"/>
    <w:rsid w:val="000657DA"/>
    <w:rsid w:val="00065A44"/>
    <w:rsid w:val="00065A9E"/>
    <w:rsid w:val="00065B65"/>
    <w:rsid w:val="00065BCB"/>
    <w:rsid w:val="00065C2A"/>
    <w:rsid w:val="00065DA0"/>
    <w:rsid w:val="000663E1"/>
    <w:rsid w:val="0006647C"/>
    <w:rsid w:val="000664B2"/>
    <w:rsid w:val="00066566"/>
    <w:rsid w:val="00066648"/>
    <w:rsid w:val="00066910"/>
    <w:rsid w:val="00066A2B"/>
    <w:rsid w:val="00066A45"/>
    <w:rsid w:val="00066CBE"/>
    <w:rsid w:val="00066D2B"/>
    <w:rsid w:val="00066F71"/>
    <w:rsid w:val="0006700C"/>
    <w:rsid w:val="000670D8"/>
    <w:rsid w:val="000672FE"/>
    <w:rsid w:val="000674FD"/>
    <w:rsid w:val="0006765C"/>
    <w:rsid w:val="0006787A"/>
    <w:rsid w:val="000679D2"/>
    <w:rsid w:val="00067AC0"/>
    <w:rsid w:val="00067C7A"/>
    <w:rsid w:val="00067CA1"/>
    <w:rsid w:val="00070047"/>
    <w:rsid w:val="000700BA"/>
    <w:rsid w:val="000703AA"/>
    <w:rsid w:val="00070432"/>
    <w:rsid w:val="00070673"/>
    <w:rsid w:val="00070959"/>
    <w:rsid w:val="00070A13"/>
    <w:rsid w:val="00070A29"/>
    <w:rsid w:val="00070B74"/>
    <w:rsid w:val="00070F13"/>
    <w:rsid w:val="00070F80"/>
    <w:rsid w:val="00071042"/>
    <w:rsid w:val="000712B4"/>
    <w:rsid w:val="00071836"/>
    <w:rsid w:val="0007191E"/>
    <w:rsid w:val="00071AA7"/>
    <w:rsid w:val="00071AB5"/>
    <w:rsid w:val="00071D94"/>
    <w:rsid w:val="00071EF2"/>
    <w:rsid w:val="00071F23"/>
    <w:rsid w:val="00071FB4"/>
    <w:rsid w:val="00072008"/>
    <w:rsid w:val="00072046"/>
    <w:rsid w:val="00072430"/>
    <w:rsid w:val="0007244A"/>
    <w:rsid w:val="000724F3"/>
    <w:rsid w:val="000726C8"/>
    <w:rsid w:val="00072738"/>
    <w:rsid w:val="0007282E"/>
    <w:rsid w:val="00072E31"/>
    <w:rsid w:val="000730A6"/>
    <w:rsid w:val="000730E6"/>
    <w:rsid w:val="000733D5"/>
    <w:rsid w:val="0007362E"/>
    <w:rsid w:val="00073649"/>
    <w:rsid w:val="000737E1"/>
    <w:rsid w:val="00073838"/>
    <w:rsid w:val="0007389A"/>
    <w:rsid w:val="00073D2A"/>
    <w:rsid w:val="00073F94"/>
    <w:rsid w:val="0007407E"/>
    <w:rsid w:val="0007414B"/>
    <w:rsid w:val="0007453A"/>
    <w:rsid w:val="000747FA"/>
    <w:rsid w:val="0007481B"/>
    <w:rsid w:val="0007498F"/>
    <w:rsid w:val="000749C1"/>
    <w:rsid w:val="000749E2"/>
    <w:rsid w:val="00074A35"/>
    <w:rsid w:val="00074B49"/>
    <w:rsid w:val="00074D2B"/>
    <w:rsid w:val="00074FA7"/>
    <w:rsid w:val="00075159"/>
    <w:rsid w:val="000751B0"/>
    <w:rsid w:val="00075492"/>
    <w:rsid w:val="00075507"/>
    <w:rsid w:val="00075773"/>
    <w:rsid w:val="00075B2A"/>
    <w:rsid w:val="00075D70"/>
    <w:rsid w:val="00075F29"/>
    <w:rsid w:val="000762E0"/>
    <w:rsid w:val="000764BC"/>
    <w:rsid w:val="0007658D"/>
    <w:rsid w:val="00076804"/>
    <w:rsid w:val="00076C6C"/>
    <w:rsid w:val="00076EA3"/>
    <w:rsid w:val="00076F5F"/>
    <w:rsid w:val="00077145"/>
    <w:rsid w:val="000772ED"/>
    <w:rsid w:val="000773E0"/>
    <w:rsid w:val="00077447"/>
    <w:rsid w:val="00077492"/>
    <w:rsid w:val="00077576"/>
    <w:rsid w:val="000778FA"/>
    <w:rsid w:val="00077C50"/>
    <w:rsid w:val="00077CEF"/>
    <w:rsid w:val="00077EEC"/>
    <w:rsid w:val="0008027E"/>
    <w:rsid w:val="0008032E"/>
    <w:rsid w:val="00080607"/>
    <w:rsid w:val="000807A2"/>
    <w:rsid w:val="00080831"/>
    <w:rsid w:val="00080A9C"/>
    <w:rsid w:val="00080AB2"/>
    <w:rsid w:val="00080B20"/>
    <w:rsid w:val="00080B5D"/>
    <w:rsid w:val="00080BB4"/>
    <w:rsid w:val="00080C22"/>
    <w:rsid w:val="00081053"/>
    <w:rsid w:val="000811A1"/>
    <w:rsid w:val="0008121E"/>
    <w:rsid w:val="000812B0"/>
    <w:rsid w:val="000812D7"/>
    <w:rsid w:val="00081308"/>
    <w:rsid w:val="000813F5"/>
    <w:rsid w:val="00081471"/>
    <w:rsid w:val="000814EA"/>
    <w:rsid w:val="000816BA"/>
    <w:rsid w:val="00081778"/>
    <w:rsid w:val="000817D9"/>
    <w:rsid w:val="000819E2"/>
    <w:rsid w:val="00082642"/>
    <w:rsid w:val="0008290E"/>
    <w:rsid w:val="00082951"/>
    <w:rsid w:val="00082A09"/>
    <w:rsid w:val="00082A7B"/>
    <w:rsid w:val="00082AB6"/>
    <w:rsid w:val="00082BD2"/>
    <w:rsid w:val="00082F09"/>
    <w:rsid w:val="00082F33"/>
    <w:rsid w:val="000830B2"/>
    <w:rsid w:val="000833F3"/>
    <w:rsid w:val="000834B5"/>
    <w:rsid w:val="00083567"/>
    <w:rsid w:val="000838F8"/>
    <w:rsid w:val="00083914"/>
    <w:rsid w:val="000839EE"/>
    <w:rsid w:val="00083B31"/>
    <w:rsid w:val="00083DB8"/>
    <w:rsid w:val="00083E84"/>
    <w:rsid w:val="00083FDC"/>
    <w:rsid w:val="00083FEF"/>
    <w:rsid w:val="00084006"/>
    <w:rsid w:val="0008425D"/>
    <w:rsid w:val="00084379"/>
    <w:rsid w:val="0008441B"/>
    <w:rsid w:val="00084540"/>
    <w:rsid w:val="000845CB"/>
    <w:rsid w:val="0008461E"/>
    <w:rsid w:val="00084823"/>
    <w:rsid w:val="000848F3"/>
    <w:rsid w:val="00084AB2"/>
    <w:rsid w:val="00084ACD"/>
    <w:rsid w:val="00084B20"/>
    <w:rsid w:val="00084D28"/>
    <w:rsid w:val="00084F6D"/>
    <w:rsid w:val="00084F8C"/>
    <w:rsid w:val="00085406"/>
    <w:rsid w:val="00085531"/>
    <w:rsid w:val="0008570F"/>
    <w:rsid w:val="0008599D"/>
    <w:rsid w:val="00085A3C"/>
    <w:rsid w:val="00085F11"/>
    <w:rsid w:val="00085F68"/>
    <w:rsid w:val="00086185"/>
    <w:rsid w:val="00086250"/>
    <w:rsid w:val="000862C4"/>
    <w:rsid w:val="000865B0"/>
    <w:rsid w:val="000865DD"/>
    <w:rsid w:val="00086605"/>
    <w:rsid w:val="0008692A"/>
    <w:rsid w:val="00086B06"/>
    <w:rsid w:val="00086D6D"/>
    <w:rsid w:val="00087184"/>
    <w:rsid w:val="00087281"/>
    <w:rsid w:val="0008732D"/>
    <w:rsid w:val="000873C3"/>
    <w:rsid w:val="000875BC"/>
    <w:rsid w:val="00087645"/>
    <w:rsid w:val="00087868"/>
    <w:rsid w:val="000878A0"/>
    <w:rsid w:val="000879E7"/>
    <w:rsid w:val="0009015B"/>
    <w:rsid w:val="00090160"/>
    <w:rsid w:val="0009037C"/>
    <w:rsid w:val="00090546"/>
    <w:rsid w:val="000905C0"/>
    <w:rsid w:val="00090780"/>
    <w:rsid w:val="00090951"/>
    <w:rsid w:val="00090A5D"/>
    <w:rsid w:val="00090AC7"/>
    <w:rsid w:val="00090BB9"/>
    <w:rsid w:val="00090DB7"/>
    <w:rsid w:val="00090E12"/>
    <w:rsid w:val="0009118B"/>
    <w:rsid w:val="000912A3"/>
    <w:rsid w:val="0009144A"/>
    <w:rsid w:val="00091458"/>
    <w:rsid w:val="0009146F"/>
    <w:rsid w:val="000914C5"/>
    <w:rsid w:val="000915F5"/>
    <w:rsid w:val="000917AD"/>
    <w:rsid w:val="00091AE5"/>
    <w:rsid w:val="00091BBC"/>
    <w:rsid w:val="00091BD7"/>
    <w:rsid w:val="00091F0C"/>
    <w:rsid w:val="000920EA"/>
    <w:rsid w:val="00092264"/>
    <w:rsid w:val="000923C3"/>
    <w:rsid w:val="00092888"/>
    <w:rsid w:val="0009292A"/>
    <w:rsid w:val="00092E3A"/>
    <w:rsid w:val="000933BC"/>
    <w:rsid w:val="0009351A"/>
    <w:rsid w:val="000935B1"/>
    <w:rsid w:val="00093615"/>
    <w:rsid w:val="0009363A"/>
    <w:rsid w:val="00093692"/>
    <w:rsid w:val="0009371C"/>
    <w:rsid w:val="00093784"/>
    <w:rsid w:val="0009378F"/>
    <w:rsid w:val="0009383B"/>
    <w:rsid w:val="0009399C"/>
    <w:rsid w:val="00093A34"/>
    <w:rsid w:val="00093A9D"/>
    <w:rsid w:val="00093C38"/>
    <w:rsid w:val="00094079"/>
    <w:rsid w:val="000941A9"/>
    <w:rsid w:val="000946E3"/>
    <w:rsid w:val="0009471A"/>
    <w:rsid w:val="00094ECE"/>
    <w:rsid w:val="00094FB6"/>
    <w:rsid w:val="0009506C"/>
    <w:rsid w:val="0009528F"/>
    <w:rsid w:val="000952FB"/>
    <w:rsid w:val="000954DF"/>
    <w:rsid w:val="0009551C"/>
    <w:rsid w:val="00095670"/>
    <w:rsid w:val="00095CBF"/>
    <w:rsid w:val="00096010"/>
    <w:rsid w:val="000961EE"/>
    <w:rsid w:val="0009635E"/>
    <w:rsid w:val="00096473"/>
    <w:rsid w:val="0009651E"/>
    <w:rsid w:val="000965DF"/>
    <w:rsid w:val="00096608"/>
    <w:rsid w:val="00096680"/>
    <w:rsid w:val="00096689"/>
    <w:rsid w:val="000968C1"/>
    <w:rsid w:val="00096D09"/>
    <w:rsid w:val="00096F5C"/>
    <w:rsid w:val="0009703B"/>
    <w:rsid w:val="0009723E"/>
    <w:rsid w:val="0009729B"/>
    <w:rsid w:val="00097348"/>
    <w:rsid w:val="000974FB"/>
    <w:rsid w:val="000975FC"/>
    <w:rsid w:val="0009774A"/>
    <w:rsid w:val="0009798C"/>
    <w:rsid w:val="00097BB5"/>
    <w:rsid w:val="00097E49"/>
    <w:rsid w:val="00097EB1"/>
    <w:rsid w:val="000A0367"/>
    <w:rsid w:val="000A0474"/>
    <w:rsid w:val="000A056F"/>
    <w:rsid w:val="000A0786"/>
    <w:rsid w:val="000A08D9"/>
    <w:rsid w:val="000A0949"/>
    <w:rsid w:val="000A0A74"/>
    <w:rsid w:val="000A0B23"/>
    <w:rsid w:val="000A0B52"/>
    <w:rsid w:val="000A0BB2"/>
    <w:rsid w:val="000A0CEB"/>
    <w:rsid w:val="000A0F14"/>
    <w:rsid w:val="000A121F"/>
    <w:rsid w:val="000A1346"/>
    <w:rsid w:val="000A13B8"/>
    <w:rsid w:val="000A13FE"/>
    <w:rsid w:val="000A1600"/>
    <w:rsid w:val="000A1A92"/>
    <w:rsid w:val="000A1B72"/>
    <w:rsid w:val="000A1D1A"/>
    <w:rsid w:val="000A1E9A"/>
    <w:rsid w:val="000A1FFA"/>
    <w:rsid w:val="000A20F4"/>
    <w:rsid w:val="000A2256"/>
    <w:rsid w:val="000A22DE"/>
    <w:rsid w:val="000A24A8"/>
    <w:rsid w:val="000A252B"/>
    <w:rsid w:val="000A26F0"/>
    <w:rsid w:val="000A2722"/>
    <w:rsid w:val="000A2977"/>
    <w:rsid w:val="000A321D"/>
    <w:rsid w:val="000A3364"/>
    <w:rsid w:val="000A34D0"/>
    <w:rsid w:val="000A369D"/>
    <w:rsid w:val="000A3C6D"/>
    <w:rsid w:val="000A3D5D"/>
    <w:rsid w:val="000A3F9E"/>
    <w:rsid w:val="000A4076"/>
    <w:rsid w:val="000A4122"/>
    <w:rsid w:val="000A4159"/>
    <w:rsid w:val="000A4169"/>
    <w:rsid w:val="000A4266"/>
    <w:rsid w:val="000A431D"/>
    <w:rsid w:val="000A4774"/>
    <w:rsid w:val="000A47D2"/>
    <w:rsid w:val="000A4898"/>
    <w:rsid w:val="000A4A07"/>
    <w:rsid w:val="000A4C6F"/>
    <w:rsid w:val="000A4DA8"/>
    <w:rsid w:val="000A4DFD"/>
    <w:rsid w:val="000A4E62"/>
    <w:rsid w:val="000A4EB6"/>
    <w:rsid w:val="000A5116"/>
    <w:rsid w:val="000A5478"/>
    <w:rsid w:val="000A556F"/>
    <w:rsid w:val="000A57CD"/>
    <w:rsid w:val="000A5A21"/>
    <w:rsid w:val="000A5AF5"/>
    <w:rsid w:val="000A5B14"/>
    <w:rsid w:val="000A5D86"/>
    <w:rsid w:val="000A5DE2"/>
    <w:rsid w:val="000A6066"/>
    <w:rsid w:val="000A6157"/>
    <w:rsid w:val="000A623A"/>
    <w:rsid w:val="000A64CF"/>
    <w:rsid w:val="000A65D0"/>
    <w:rsid w:val="000A6785"/>
    <w:rsid w:val="000A67FB"/>
    <w:rsid w:val="000A6974"/>
    <w:rsid w:val="000A6A45"/>
    <w:rsid w:val="000A6B4F"/>
    <w:rsid w:val="000A6B5A"/>
    <w:rsid w:val="000A6BED"/>
    <w:rsid w:val="000A6C33"/>
    <w:rsid w:val="000A70FE"/>
    <w:rsid w:val="000A7201"/>
    <w:rsid w:val="000A751A"/>
    <w:rsid w:val="000A753E"/>
    <w:rsid w:val="000A7706"/>
    <w:rsid w:val="000A7707"/>
    <w:rsid w:val="000A7808"/>
    <w:rsid w:val="000A7857"/>
    <w:rsid w:val="000A7865"/>
    <w:rsid w:val="000A7B94"/>
    <w:rsid w:val="000A7E29"/>
    <w:rsid w:val="000A7E39"/>
    <w:rsid w:val="000A7E61"/>
    <w:rsid w:val="000A7E95"/>
    <w:rsid w:val="000B0077"/>
    <w:rsid w:val="000B0154"/>
    <w:rsid w:val="000B0347"/>
    <w:rsid w:val="000B0696"/>
    <w:rsid w:val="000B09C7"/>
    <w:rsid w:val="000B0B6B"/>
    <w:rsid w:val="000B0E13"/>
    <w:rsid w:val="000B0FB0"/>
    <w:rsid w:val="000B12FA"/>
    <w:rsid w:val="000B142C"/>
    <w:rsid w:val="000B1628"/>
    <w:rsid w:val="000B1691"/>
    <w:rsid w:val="000B193F"/>
    <w:rsid w:val="000B1967"/>
    <w:rsid w:val="000B1B17"/>
    <w:rsid w:val="000B1B48"/>
    <w:rsid w:val="000B1C55"/>
    <w:rsid w:val="000B20AD"/>
    <w:rsid w:val="000B2160"/>
    <w:rsid w:val="000B233B"/>
    <w:rsid w:val="000B2346"/>
    <w:rsid w:val="000B2358"/>
    <w:rsid w:val="000B2375"/>
    <w:rsid w:val="000B28B6"/>
    <w:rsid w:val="000B2CD2"/>
    <w:rsid w:val="000B2CD8"/>
    <w:rsid w:val="000B2F8B"/>
    <w:rsid w:val="000B30FC"/>
    <w:rsid w:val="000B3352"/>
    <w:rsid w:val="000B361C"/>
    <w:rsid w:val="000B376D"/>
    <w:rsid w:val="000B380B"/>
    <w:rsid w:val="000B3893"/>
    <w:rsid w:val="000B3BA6"/>
    <w:rsid w:val="000B3E2A"/>
    <w:rsid w:val="000B4241"/>
    <w:rsid w:val="000B4265"/>
    <w:rsid w:val="000B437A"/>
    <w:rsid w:val="000B4413"/>
    <w:rsid w:val="000B4A9A"/>
    <w:rsid w:val="000B4C28"/>
    <w:rsid w:val="000B4CBE"/>
    <w:rsid w:val="000B4CFC"/>
    <w:rsid w:val="000B4E0C"/>
    <w:rsid w:val="000B5051"/>
    <w:rsid w:val="000B5202"/>
    <w:rsid w:val="000B52F2"/>
    <w:rsid w:val="000B5525"/>
    <w:rsid w:val="000B55E3"/>
    <w:rsid w:val="000B574A"/>
    <w:rsid w:val="000B5815"/>
    <w:rsid w:val="000B58F9"/>
    <w:rsid w:val="000B5924"/>
    <w:rsid w:val="000B5B0D"/>
    <w:rsid w:val="000B5BAA"/>
    <w:rsid w:val="000B5BC5"/>
    <w:rsid w:val="000B5D07"/>
    <w:rsid w:val="000B5E94"/>
    <w:rsid w:val="000B606A"/>
    <w:rsid w:val="000B60D8"/>
    <w:rsid w:val="000B6148"/>
    <w:rsid w:val="000B61E4"/>
    <w:rsid w:val="000B6232"/>
    <w:rsid w:val="000B641C"/>
    <w:rsid w:val="000B66F5"/>
    <w:rsid w:val="000B6A78"/>
    <w:rsid w:val="000B6CC2"/>
    <w:rsid w:val="000B6FC2"/>
    <w:rsid w:val="000B7059"/>
    <w:rsid w:val="000B7074"/>
    <w:rsid w:val="000B758A"/>
    <w:rsid w:val="000B75AA"/>
    <w:rsid w:val="000B7735"/>
    <w:rsid w:val="000B7915"/>
    <w:rsid w:val="000B7917"/>
    <w:rsid w:val="000B7BF7"/>
    <w:rsid w:val="000B7C67"/>
    <w:rsid w:val="000B7E6C"/>
    <w:rsid w:val="000C009A"/>
    <w:rsid w:val="000C0101"/>
    <w:rsid w:val="000C010E"/>
    <w:rsid w:val="000C0192"/>
    <w:rsid w:val="000C01C8"/>
    <w:rsid w:val="000C04A1"/>
    <w:rsid w:val="000C04F2"/>
    <w:rsid w:val="000C0513"/>
    <w:rsid w:val="000C05BF"/>
    <w:rsid w:val="000C05CD"/>
    <w:rsid w:val="000C05E7"/>
    <w:rsid w:val="000C082F"/>
    <w:rsid w:val="000C096C"/>
    <w:rsid w:val="000C09E3"/>
    <w:rsid w:val="000C0AF8"/>
    <w:rsid w:val="000C0B33"/>
    <w:rsid w:val="000C0E5F"/>
    <w:rsid w:val="000C0FF0"/>
    <w:rsid w:val="000C10DD"/>
    <w:rsid w:val="000C13FF"/>
    <w:rsid w:val="000C1657"/>
    <w:rsid w:val="000C18C7"/>
    <w:rsid w:val="000C1FD4"/>
    <w:rsid w:val="000C2233"/>
    <w:rsid w:val="000C22C6"/>
    <w:rsid w:val="000C237F"/>
    <w:rsid w:val="000C2528"/>
    <w:rsid w:val="000C268B"/>
    <w:rsid w:val="000C2788"/>
    <w:rsid w:val="000C2979"/>
    <w:rsid w:val="000C29F1"/>
    <w:rsid w:val="000C2A00"/>
    <w:rsid w:val="000C2C60"/>
    <w:rsid w:val="000C2E99"/>
    <w:rsid w:val="000C3047"/>
    <w:rsid w:val="000C31D4"/>
    <w:rsid w:val="000C3205"/>
    <w:rsid w:val="000C3221"/>
    <w:rsid w:val="000C340F"/>
    <w:rsid w:val="000C39E2"/>
    <w:rsid w:val="000C3A77"/>
    <w:rsid w:val="000C3BBC"/>
    <w:rsid w:val="000C3CAB"/>
    <w:rsid w:val="000C3DF4"/>
    <w:rsid w:val="000C3DF7"/>
    <w:rsid w:val="000C3F6B"/>
    <w:rsid w:val="000C3F76"/>
    <w:rsid w:val="000C3FA3"/>
    <w:rsid w:val="000C414B"/>
    <w:rsid w:val="000C428B"/>
    <w:rsid w:val="000C438E"/>
    <w:rsid w:val="000C46D7"/>
    <w:rsid w:val="000C48D4"/>
    <w:rsid w:val="000C49D3"/>
    <w:rsid w:val="000C4A58"/>
    <w:rsid w:val="000C4B21"/>
    <w:rsid w:val="000C4C82"/>
    <w:rsid w:val="000C4C87"/>
    <w:rsid w:val="000C5159"/>
    <w:rsid w:val="000C52FD"/>
    <w:rsid w:val="000C5490"/>
    <w:rsid w:val="000C5592"/>
    <w:rsid w:val="000C5703"/>
    <w:rsid w:val="000C5727"/>
    <w:rsid w:val="000C5916"/>
    <w:rsid w:val="000C5926"/>
    <w:rsid w:val="000C5BDF"/>
    <w:rsid w:val="000C5C0A"/>
    <w:rsid w:val="000C5E83"/>
    <w:rsid w:val="000C6211"/>
    <w:rsid w:val="000C623C"/>
    <w:rsid w:val="000C63C9"/>
    <w:rsid w:val="000C68C2"/>
    <w:rsid w:val="000C6AFA"/>
    <w:rsid w:val="000C6ECE"/>
    <w:rsid w:val="000C6F5D"/>
    <w:rsid w:val="000C6F76"/>
    <w:rsid w:val="000C747D"/>
    <w:rsid w:val="000C7593"/>
    <w:rsid w:val="000C7628"/>
    <w:rsid w:val="000C7A0C"/>
    <w:rsid w:val="000C7B11"/>
    <w:rsid w:val="000C7BE9"/>
    <w:rsid w:val="000C7CCF"/>
    <w:rsid w:val="000C7E08"/>
    <w:rsid w:val="000C7F1B"/>
    <w:rsid w:val="000D028B"/>
    <w:rsid w:val="000D0305"/>
    <w:rsid w:val="000D0313"/>
    <w:rsid w:val="000D04B7"/>
    <w:rsid w:val="000D05BB"/>
    <w:rsid w:val="000D07FA"/>
    <w:rsid w:val="000D0A2A"/>
    <w:rsid w:val="000D0ADE"/>
    <w:rsid w:val="000D0C4D"/>
    <w:rsid w:val="000D0E80"/>
    <w:rsid w:val="000D0F4E"/>
    <w:rsid w:val="000D109D"/>
    <w:rsid w:val="000D1538"/>
    <w:rsid w:val="000D15A4"/>
    <w:rsid w:val="000D160E"/>
    <w:rsid w:val="000D1828"/>
    <w:rsid w:val="000D1832"/>
    <w:rsid w:val="000D1B6B"/>
    <w:rsid w:val="000D1CB7"/>
    <w:rsid w:val="000D1D43"/>
    <w:rsid w:val="000D1E87"/>
    <w:rsid w:val="000D1FC5"/>
    <w:rsid w:val="000D238A"/>
    <w:rsid w:val="000D26B9"/>
    <w:rsid w:val="000D28DD"/>
    <w:rsid w:val="000D28F9"/>
    <w:rsid w:val="000D2A15"/>
    <w:rsid w:val="000D2B90"/>
    <w:rsid w:val="000D30AA"/>
    <w:rsid w:val="000D3160"/>
    <w:rsid w:val="000D31C9"/>
    <w:rsid w:val="000D3203"/>
    <w:rsid w:val="000D32AB"/>
    <w:rsid w:val="000D32C6"/>
    <w:rsid w:val="000D344F"/>
    <w:rsid w:val="000D373B"/>
    <w:rsid w:val="000D3A11"/>
    <w:rsid w:val="000D3CA9"/>
    <w:rsid w:val="000D3D31"/>
    <w:rsid w:val="000D3E3C"/>
    <w:rsid w:val="000D412E"/>
    <w:rsid w:val="000D414C"/>
    <w:rsid w:val="000D41CE"/>
    <w:rsid w:val="000D41F2"/>
    <w:rsid w:val="000D4286"/>
    <w:rsid w:val="000D45D2"/>
    <w:rsid w:val="000D466C"/>
    <w:rsid w:val="000D4D0C"/>
    <w:rsid w:val="000D4DA1"/>
    <w:rsid w:val="000D4FFE"/>
    <w:rsid w:val="000D54E2"/>
    <w:rsid w:val="000D5614"/>
    <w:rsid w:val="000D5635"/>
    <w:rsid w:val="000D569F"/>
    <w:rsid w:val="000D5B70"/>
    <w:rsid w:val="000D5C80"/>
    <w:rsid w:val="000D5F83"/>
    <w:rsid w:val="000D6055"/>
    <w:rsid w:val="000D60CF"/>
    <w:rsid w:val="000D61B7"/>
    <w:rsid w:val="000D61B9"/>
    <w:rsid w:val="000D625A"/>
    <w:rsid w:val="000D62CF"/>
    <w:rsid w:val="000D6323"/>
    <w:rsid w:val="000D6549"/>
    <w:rsid w:val="000D6569"/>
    <w:rsid w:val="000D676B"/>
    <w:rsid w:val="000D6832"/>
    <w:rsid w:val="000D689C"/>
    <w:rsid w:val="000D6992"/>
    <w:rsid w:val="000D69E2"/>
    <w:rsid w:val="000D6AA6"/>
    <w:rsid w:val="000D6B71"/>
    <w:rsid w:val="000D6D14"/>
    <w:rsid w:val="000D6F33"/>
    <w:rsid w:val="000D7132"/>
    <w:rsid w:val="000D71FA"/>
    <w:rsid w:val="000D731A"/>
    <w:rsid w:val="000D73D3"/>
    <w:rsid w:val="000D7463"/>
    <w:rsid w:val="000D74B6"/>
    <w:rsid w:val="000D7599"/>
    <w:rsid w:val="000D75B1"/>
    <w:rsid w:val="000D75BD"/>
    <w:rsid w:val="000D76BB"/>
    <w:rsid w:val="000D79D1"/>
    <w:rsid w:val="000D7CB9"/>
    <w:rsid w:val="000E009C"/>
    <w:rsid w:val="000E0157"/>
    <w:rsid w:val="000E0227"/>
    <w:rsid w:val="000E0251"/>
    <w:rsid w:val="000E038F"/>
    <w:rsid w:val="000E0839"/>
    <w:rsid w:val="000E08BE"/>
    <w:rsid w:val="000E099A"/>
    <w:rsid w:val="000E0AE4"/>
    <w:rsid w:val="000E0B51"/>
    <w:rsid w:val="000E0B61"/>
    <w:rsid w:val="000E0ECD"/>
    <w:rsid w:val="000E0F35"/>
    <w:rsid w:val="000E10D3"/>
    <w:rsid w:val="000E10E6"/>
    <w:rsid w:val="000E127F"/>
    <w:rsid w:val="000E1412"/>
    <w:rsid w:val="000E14F0"/>
    <w:rsid w:val="000E17D3"/>
    <w:rsid w:val="000E1951"/>
    <w:rsid w:val="000E1B17"/>
    <w:rsid w:val="000E1B22"/>
    <w:rsid w:val="000E1B6F"/>
    <w:rsid w:val="000E1CA6"/>
    <w:rsid w:val="000E1D79"/>
    <w:rsid w:val="000E1E0B"/>
    <w:rsid w:val="000E218A"/>
    <w:rsid w:val="000E2232"/>
    <w:rsid w:val="000E2408"/>
    <w:rsid w:val="000E24E9"/>
    <w:rsid w:val="000E25F3"/>
    <w:rsid w:val="000E287A"/>
    <w:rsid w:val="000E2C6D"/>
    <w:rsid w:val="000E2D10"/>
    <w:rsid w:val="000E31CA"/>
    <w:rsid w:val="000E326C"/>
    <w:rsid w:val="000E3301"/>
    <w:rsid w:val="000E3325"/>
    <w:rsid w:val="000E33A2"/>
    <w:rsid w:val="000E341B"/>
    <w:rsid w:val="000E3475"/>
    <w:rsid w:val="000E3541"/>
    <w:rsid w:val="000E3599"/>
    <w:rsid w:val="000E3B03"/>
    <w:rsid w:val="000E3B80"/>
    <w:rsid w:val="000E3BA3"/>
    <w:rsid w:val="000E3E85"/>
    <w:rsid w:val="000E3E9C"/>
    <w:rsid w:val="000E3F18"/>
    <w:rsid w:val="000E3F27"/>
    <w:rsid w:val="000E438C"/>
    <w:rsid w:val="000E4492"/>
    <w:rsid w:val="000E4495"/>
    <w:rsid w:val="000E4679"/>
    <w:rsid w:val="000E47B0"/>
    <w:rsid w:val="000E4878"/>
    <w:rsid w:val="000E4DB9"/>
    <w:rsid w:val="000E5004"/>
    <w:rsid w:val="000E5026"/>
    <w:rsid w:val="000E50E0"/>
    <w:rsid w:val="000E5183"/>
    <w:rsid w:val="000E53A1"/>
    <w:rsid w:val="000E5482"/>
    <w:rsid w:val="000E5526"/>
    <w:rsid w:val="000E5551"/>
    <w:rsid w:val="000E5583"/>
    <w:rsid w:val="000E5672"/>
    <w:rsid w:val="000E5736"/>
    <w:rsid w:val="000E57ED"/>
    <w:rsid w:val="000E5C41"/>
    <w:rsid w:val="000E5C5F"/>
    <w:rsid w:val="000E5CD2"/>
    <w:rsid w:val="000E5D9A"/>
    <w:rsid w:val="000E5E04"/>
    <w:rsid w:val="000E5FBB"/>
    <w:rsid w:val="000E600F"/>
    <w:rsid w:val="000E6096"/>
    <w:rsid w:val="000E617D"/>
    <w:rsid w:val="000E631D"/>
    <w:rsid w:val="000E639F"/>
    <w:rsid w:val="000E63A0"/>
    <w:rsid w:val="000E640C"/>
    <w:rsid w:val="000E6514"/>
    <w:rsid w:val="000E6598"/>
    <w:rsid w:val="000E6A49"/>
    <w:rsid w:val="000E6ABD"/>
    <w:rsid w:val="000E6BED"/>
    <w:rsid w:val="000E6D3B"/>
    <w:rsid w:val="000E6EA8"/>
    <w:rsid w:val="000E716A"/>
    <w:rsid w:val="000E7223"/>
    <w:rsid w:val="000E7280"/>
    <w:rsid w:val="000E742F"/>
    <w:rsid w:val="000E767B"/>
    <w:rsid w:val="000E76CB"/>
    <w:rsid w:val="000E779B"/>
    <w:rsid w:val="000E78E4"/>
    <w:rsid w:val="000E79D1"/>
    <w:rsid w:val="000E7BF4"/>
    <w:rsid w:val="000E7CA2"/>
    <w:rsid w:val="000E7E54"/>
    <w:rsid w:val="000F02B3"/>
    <w:rsid w:val="000F0503"/>
    <w:rsid w:val="000F0537"/>
    <w:rsid w:val="000F059C"/>
    <w:rsid w:val="000F0661"/>
    <w:rsid w:val="000F0743"/>
    <w:rsid w:val="000F0788"/>
    <w:rsid w:val="000F09B4"/>
    <w:rsid w:val="000F0A5D"/>
    <w:rsid w:val="000F0B09"/>
    <w:rsid w:val="000F0C2C"/>
    <w:rsid w:val="000F0CB6"/>
    <w:rsid w:val="000F0E50"/>
    <w:rsid w:val="000F0F9D"/>
    <w:rsid w:val="000F0FF6"/>
    <w:rsid w:val="000F105A"/>
    <w:rsid w:val="000F11B4"/>
    <w:rsid w:val="000F12BA"/>
    <w:rsid w:val="000F1407"/>
    <w:rsid w:val="000F1527"/>
    <w:rsid w:val="000F1624"/>
    <w:rsid w:val="000F171B"/>
    <w:rsid w:val="000F19E5"/>
    <w:rsid w:val="000F1C96"/>
    <w:rsid w:val="000F1E90"/>
    <w:rsid w:val="000F1F3D"/>
    <w:rsid w:val="000F2382"/>
    <w:rsid w:val="000F25A6"/>
    <w:rsid w:val="000F263C"/>
    <w:rsid w:val="000F277C"/>
    <w:rsid w:val="000F27AA"/>
    <w:rsid w:val="000F2881"/>
    <w:rsid w:val="000F2911"/>
    <w:rsid w:val="000F29DA"/>
    <w:rsid w:val="000F2A3C"/>
    <w:rsid w:val="000F2B46"/>
    <w:rsid w:val="000F2D17"/>
    <w:rsid w:val="000F2D27"/>
    <w:rsid w:val="000F2D63"/>
    <w:rsid w:val="000F3444"/>
    <w:rsid w:val="000F3571"/>
    <w:rsid w:val="000F3762"/>
    <w:rsid w:val="000F3834"/>
    <w:rsid w:val="000F3994"/>
    <w:rsid w:val="000F3A3C"/>
    <w:rsid w:val="000F3A95"/>
    <w:rsid w:val="000F3EBB"/>
    <w:rsid w:val="000F3FDB"/>
    <w:rsid w:val="000F41BD"/>
    <w:rsid w:val="000F424E"/>
    <w:rsid w:val="000F4268"/>
    <w:rsid w:val="000F4359"/>
    <w:rsid w:val="000F4474"/>
    <w:rsid w:val="000F47CA"/>
    <w:rsid w:val="000F4882"/>
    <w:rsid w:val="000F494F"/>
    <w:rsid w:val="000F4C89"/>
    <w:rsid w:val="000F4D19"/>
    <w:rsid w:val="000F4E20"/>
    <w:rsid w:val="000F4E2C"/>
    <w:rsid w:val="000F4E72"/>
    <w:rsid w:val="000F4F7D"/>
    <w:rsid w:val="000F54DF"/>
    <w:rsid w:val="000F558A"/>
    <w:rsid w:val="000F5722"/>
    <w:rsid w:val="000F5990"/>
    <w:rsid w:val="000F5D85"/>
    <w:rsid w:val="000F5F15"/>
    <w:rsid w:val="000F63C7"/>
    <w:rsid w:val="000F652E"/>
    <w:rsid w:val="000F6898"/>
    <w:rsid w:val="000F6B09"/>
    <w:rsid w:val="000F6BC1"/>
    <w:rsid w:val="000F6D6E"/>
    <w:rsid w:val="000F6FC1"/>
    <w:rsid w:val="000F7077"/>
    <w:rsid w:val="000F7203"/>
    <w:rsid w:val="000F724E"/>
    <w:rsid w:val="000F77A3"/>
    <w:rsid w:val="000F77FD"/>
    <w:rsid w:val="000F79E2"/>
    <w:rsid w:val="000F7A47"/>
    <w:rsid w:val="000F7A84"/>
    <w:rsid w:val="000F7C47"/>
    <w:rsid w:val="000F7E1A"/>
    <w:rsid w:val="000F7E21"/>
    <w:rsid w:val="000F7F17"/>
    <w:rsid w:val="00100574"/>
    <w:rsid w:val="001006D6"/>
    <w:rsid w:val="00100708"/>
    <w:rsid w:val="0010080E"/>
    <w:rsid w:val="00100848"/>
    <w:rsid w:val="0010096C"/>
    <w:rsid w:val="00100ABE"/>
    <w:rsid w:val="00100B9D"/>
    <w:rsid w:val="00100CB0"/>
    <w:rsid w:val="00100D9A"/>
    <w:rsid w:val="00100E0E"/>
    <w:rsid w:val="00100E7A"/>
    <w:rsid w:val="0010127E"/>
    <w:rsid w:val="00101384"/>
    <w:rsid w:val="001013BA"/>
    <w:rsid w:val="001015CE"/>
    <w:rsid w:val="001015E1"/>
    <w:rsid w:val="00101631"/>
    <w:rsid w:val="00101767"/>
    <w:rsid w:val="001017A5"/>
    <w:rsid w:val="001017FD"/>
    <w:rsid w:val="001018C6"/>
    <w:rsid w:val="00101BA8"/>
    <w:rsid w:val="00101F66"/>
    <w:rsid w:val="00101FC3"/>
    <w:rsid w:val="001020A3"/>
    <w:rsid w:val="00102139"/>
    <w:rsid w:val="00102447"/>
    <w:rsid w:val="00102858"/>
    <w:rsid w:val="00102878"/>
    <w:rsid w:val="00102AA0"/>
    <w:rsid w:val="0010305F"/>
    <w:rsid w:val="00103197"/>
    <w:rsid w:val="00103342"/>
    <w:rsid w:val="0010357D"/>
    <w:rsid w:val="0010364E"/>
    <w:rsid w:val="0010389B"/>
    <w:rsid w:val="00103920"/>
    <w:rsid w:val="001039AF"/>
    <w:rsid w:val="00103AD0"/>
    <w:rsid w:val="00103B39"/>
    <w:rsid w:val="00103BE3"/>
    <w:rsid w:val="00103D1C"/>
    <w:rsid w:val="0010446A"/>
    <w:rsid w:val="00104472"/>
    <w:rsid w:val="00104772"/>
    <w:rsid w:val="00104A24"/>
    <w:rsid w:val="00104A33"/>
    <w:rsid w:val="00104C1A"/>
    <w:rsid w:val="00104C3B"/>
    <w:rsid w:val="00104C50"/>
    <w:rsid w:val="00104EDD"/>
    <w:rsid w:val="00104F29"/>
    <w:rsid w:val="00105185"/>
    <w:rsid w:val="001054C2"/>
    <w:rsid w:val="0010566F"/>
    <w:rsid w:val="001056BA"/>
    <w:rsid w:val="001056D1"/>
    <w:rsid w:val="0010588E"/>
    <w:rsid w:val="00105906"/>
    <w:rsid w:val="0010595D"/>
    <w:rsid w:val="00105A8C"/>
    <w:rsid w:val="00105EC2"/>
    <w:rsid w:val="00106189"/>
    <w:rsid w:val="00106354"/>
    <w:rsid w:val="001063E5"/>
    <w:rsid w:val="001064F8"/>
    <w:rsid w:val="0010650D"/>
    <w:rsid w:val="001069EA"/>
    <w:rsid w:val="00106C26"/>
    <w:rsid w:val="00106CA5"/>
    <w:rsid w:val="00106CF9"/>
    <w:rsid w:val="00106F8B"/>
    <w:rsid w:val="00107A34"/>
    <w:rsid w:val="00107C2C"/>
    <w:rsid w:val="00107FE3"/>
    <w:rsid w:val="0011038E"/>
    <w:rsid w:val="00110532"/>
    <w:rsid w:val="0011071A"/>
    <w:rsid w:val="00110A2D"/>
    <w:rsid w:val="00110A5B"/>
    <w:rsid w:val="001110AB"/>
    <w:rsid w:val="001110EF"/>
    <w:rsid w:val="001111B4"/>
    <w:rsid w:val="0011127A"/>
    <w:rsid w:val="001113A3"/>
    <w:rsid w:val="00111408"/>
    <w:rsid w:val="00111435"/>
    <w:rsid w:val="00111478"/>
    <w:rsid w:val="001114AD"/>
    <w:rsid w:val="00111859"/>
    <w:rsid w:val="00111B41"/>
    <w:rsid w:val="00111C10"/>
    <w:rsid w:val="00111C8E"/>
    <w:rsid w:val="00111DB3"/>
    <w:rsid w:val="00111F1B"/>
    <w:rsid w:val="001121D7"/>
    <w:rsid w:val="001122E1"/>
    <w:rsid w:val="001125B6"/>
    <w:rsid w:val="00112688"/>
    <w:rsid w:val="0011268E"/>
    <w:rsid w:val="00112755"/>
    <w:rsid w:val="001127D5"/>
    <w:rsid w:val="001129B6"/>
    <w:rsid w:val="00112C4F"/>
    <w:rsid w:val="00112CDB"/>
    <w:rsid w:val="00112E02"/>
    <w:rsid w:val="00112E6C"/>
    <w:rsid w:val="00112EE7"/>
    <w:rsid w:val="00112FDC"/>
    <w:rsid w:val="0011333E"/>
    <w:rsid w:val="00113399"/>
    <w:rsid w:val="00113467"/>
    <w:rsid w:val="0011348F"/>
    <w:rsid w:val="00113575"/>
    <w:rsid w:val="0011382F"/>
    <w:rsid w:val="001138E6"/>
    <w:rsid w:val="001139BF"/>
    <w:rsid w:val="001139E2"/>
    <w:rsid w:val="00113B8A"/>
    <w:rsid w:val="00113CF1"/>
    <w:rsid w:val="00113D80"/>
    <w:rsid w:val="00113F17"/>
    <w:rsid w:val="00114340"/>
    <w:rsid w:val="00114377"/>
    <w:rsid w:val="00114428"/>
    <w:rsid w:val="001144BC"/>
    <w:rsid w:val="001144F6"/>
    <w:rsid w:val="0011471C"/>
    <w:rsid w:val="00114881"/>
    <w:rsid w:val="00114BA6"/>
    <w:rsid w:val="00114FCB"/>
    <w:rsid w:val="00115033"/>
    <w:rsid w:val="001151ED"/>
    <w:rsid w:val="00115387"/>
    <w:rsid w:val="00115896"/>
    <w:rsid w:val="00115ACF"/>
    <w:rsid w:val="00115B47"/>
    <w:rsid w:val="00115BA5"/>
    <w:rsid w:val="00115C65"/>
    <w:rsid w:val="00115C6D"/>
    <w:rsid w:val="00115E9B"/>
    <w:rsid w:val="00115F72"/>
    <w:rsid w:val="0011624B"/>
    <w:rsid w:val="00116272"/>
    <w:rsid w:val="001162AD"/>
    <w:rsid w:val="00116313"/>
    <w:rsid w:val="001163F4"/>
    <w:rsid w:val="00116481"/>
    <w:rsid w:val="001164DF"/>
    <w:rsid w:val="001167F9"/>
    <w:rsid w:val="001169E5"/>
    <w:rsid w:val="00116B68"/>
    <w:rsid w:val="00116B92"/>
    <w:rsid w:val="00116C31"/>
    <w:rsid w:val="00116DDB"/>
    <w:rsid w:val="00116E3F"/>
    <w:rsid w:val="00116EFD"/>
    <w:rsid w:val="001173A0"/>
    <w:rsid w:val="0011742C"/>
    <w:rsid w:val="00117616"/>
    <w:rsid w:val="001176DA"/>
    <w:rsid w:val="00117771"/>
    <w:rsid w:val="001179E5"/>
    <w:rsid w:val="00117EE1"/>
    <w:rsid w:val="00117EF5"/>
    <w:rsid w:val="001200EC"/>
    <w:rsid w:val="0012012D"/>
    <w:rsid w:val="0012020C"/>
    <w:rsid w:val="00120281"/>
    <w:rsid w:val="0012039C"/>
    <w:rsid w:val="00120467"/>
    <w:rsid w:val="0012056C"/>
    <w:rsid w:val="0012058B"/>
    <w:rsid w:val="00120883"/>
    <w:rsid w:val="00120941"/>
    <w:rsid w:val="0012098B"/>
    <w:rsid w:val="00120B4A"/>
    <w:rsid w:val="00120C11"/>
    <w:rsid w:val="00120C17"/>
    <w:rsid w:val="00120F27"/>
    <w:rsid w:val="00120F3A"/>
    <w:rsid w:val="0012114E"/>
    <w:rsid w:val="001211DB"/>
    <w:rsid w:val="001212EE"/>
    <w:rsid w:val="001216B0"/>
    <w:rsid w:val="001216D0"/>
    <w:rsid w:val="00121865"/>
    <w:rsid w:val="00121967"/>
    <w:rsid w:val="00121A2E"/>
    <w:rsid w:val="00121B96"/>
    <w:rsid w:val="00121C14"/>
    <w:rsid w:val="001227DB"/>
    <w:rsid w:val="001229E4"/>
    <w:rsid w:val="00122B0A"/>
    <w:rsid w:val="00122C75"/>
    <w:rsid w:val="00122C9D"/>
    <w:rsid w:val="00122CE5"/>
    <w:rsid w:val="00122DF4"/>
    <w:rsid w:val="001230CD"/>
    <w:rsid w:val="001231DC"/>
    <w:rsid w:val="00123682"/>
    <w:rsid w:val="0012391C"/>
    <w:rsid w:val="00123999"/>
    <w:rsid w:val="00123B2C"/>
    <w:rsid w:val="00123B52"/>
    <w:rsid w:val="00123B93"/>
    <w:rsid w:val="00123F09"/>
    <w:rsid w:val="00123FD9"/>
    <w:rsid w:val="001240CB"/>
    <w:rsid w:val="00124181"/>
    <w:rsid w:val="00124405"/>
    <w:rsid w:val="00124539"/>
    <w:rsid w:val="001248BC"/>
    <w:rsid w:val="00124A53"/>
    <w:rsid w:val="00124DE7"/>
    <w:rsid w:val="00124E12"/>
    <w:rsid w:val="00125196"/>
    <w:rsid w:val="001254D7"/>
    <w:rsid w:val="001257FB"/>
    <w:rsid w:val="001259FE"/>
    <w:rsid w:val="00125B8A"/>
    <w:rsid w:val="00125D04"/>
    <w:rsid w:val="00126303"/>
    <w:rsid w:val="001263B4"/>
    <w:rsid w:val="00126422"/>
    <w:rsid w:val="001264BC"/>
    <w:rsid w:val="00126926"/>
    <w:rsid w:val="00126C27"/>
    <w:rsid w:val="00126C97"/>
    <w:rsid w:val="00126F11"/>
    <w:rsid w:val="00126F4B"/>
    <w:rsid w:val="001272EE"/>
    <w:rsid w:val="001274AB"/>
    <w:rsid w:val="0012768D"/>
    <w:rsid w:val="001276ED"/>
    <w:rsid w:val="00127DD5"/>
    <w:rsid w:val="00127E50"/>
    <w:rsid w:val="00127EE8"/>
    <w:rsid w:val="001301C2"/>
    <w:rsid w:val="001301D1"/>
    <w:rsid w:val="00130567"/>
    <w:rsid w:val="001305CB"/>
    <w:rsid w:val="00130696"/>
    <w:rsid w:val="0013093C"/>
    <w:rsid w:val="00130B74"/>
    <w:rsid w:val="00130B8F"/>
    <w:rsid w:val="00130CC4"/>
    <w:rsid w:val="00130CD9"/>
    <w:rsid w:val="00130F8A"/>
    <w:rsid w:val="001310EC"/>
    <w:rsid w:val="00131542"/>
    <w:rsid w:val="0013156C"/>
    <w:rsid w:val="001315D9"/>
    <w:rsid w:val="001317AA"/>
    <w:rsid w:val="001319D3"/>
    <w:rsid w:val="001319FC"/>
    <w:rsid w:val="00131AC6"/>
    <w:rsid w:val="00131BAD"/>
    <w:rsid w:val="00131D7B"/>
    <w:rsid w:val="00131F62"/>
    <w:rsid w:val="001322D8"/>
    <w:rsid w:val="00132696"/>
    <w:rsid w:val="00132D12"/>
    <w:rsid w:val="00132DD2"/>
    <w:rsid w:val="00132E1D"/>
    <w:rsid w:val="00133358"/>
    <w:rsid w:val="001339F5"/>
    <w:rsid w:val="00133A78"/>
    <w:rsid w:val="00133B5B"/>
    <w:rsid w:val="00133ED4"/>
    <w:rsid w:val="001343B0"/>
    <w:rsid w:val="0013468A"/>
    <w:rsid w:val="001348C4"/>
    <w:rsid w:val="00134901"/>
    <w:rsid w:val="001349F8"/>
    <w:rsid w:val="00134AB3"/>
    <w:rsid w:val="00134AED"/>
    <w:rsid w:val="00134B0B"/>
    <w:rsid w:val="00134B42"/>
    <w:rsid w:val="00134C01"/>
    <w:rsid w:val="00134E13"/>
    <w:rsid w:val="00134F21"/>
    <w:rsid w:val="00134F80"/>
    <w:rsid w:val="00135323"/>
    <w:rsid w:val="0013543A"/>
    <w:rsid w:val="0013567B"/>
    <w:rsid w:val="001356DF"/>
    <w:rsid w:val="00135734"/>
    <w:rsid w:val="001357CD"/>
    <w:rsid w:val="00135AFD"/>
    <w:rsid w:val="00135D41"/>
    <w:rsid w:val="00135E73"/>
    <w:rsid w:val="00135E99"/>
    <w:rsid w:val="00135EAA"/>
    <w:rsid w:val="0013606F"/>
    <w:rsid w:val="0013651D"/>
    <w:rsid w:val="0013653B"/>
    <w:rsid w:val="00136714"/>
    <w:rsid w:val="00136730"/>
    <w:rsid w:val="0013676D"/>
    <w:rsid w:val="001369ED"/>
    <w:rsid w:val="00136CB1"/>
    <w:rsid w:val="00136E33"/>
    <w:rsid w:val="00136F50"/>
    <w:rsid w:val="0013732A"/>
    <w:rsid w:val="0013741D"/>
    <w:rsid w:val="0013743C"/>
    <w:rsid w:val="00137580"/>
    <w:rsid w:val="0013778F"/>
    <w:rsid w:val="0013781E"/>
    <w:rsid w:val="0013784A"/>
    <w:rsid w:val="00137853"/>
    <w:rsid w:val="001378A9"/>
    <w:rsid w:val="00137995"/>
    <w:rsid w:val="001379DD"/>
    <w:rsid w:val="00137B30"/>
    <w:rsid w:val="00137B63"/>
    <w:rsid w:val="00137BCA"/>
    <w:rsid w:val="00137C10"/>
    <w:rsid w:val="00137C1E"/>
    <w:rsid w:val="00137DFF"/>
    <w:rsid w:val="00140333"/>
    <w:rsid w:val="001405A6"/>
    <w:rsid w:val="00140729"/>
    <w:rsid w:val="001409BB"/>
    <w:rsid w:val="00140A1B"/>
    <w:rsid w:val="00140A2E"/>
    <w:rsid w:val="00140A94"/>
    <w:rsid w:val="00140CE7"/>
    <w:rsid w:val="00140DAE"/>
    <w:rsid w:val="00140E3B"/>
    <w:rsid w:val="00140EE3"/>
    <w:rsid w:val="00140F48"/>
    <w:rsid w:val="00141233"/>
    <w:rsid w:val="00141539"/>
    <w:rsid w:val="001415D0"/>
    <w:rsid w:val="0014161A"/>
    <w:rsid w:val="0014175D"/>
    <w:rsid w:val="001418D6"/>
    <w:rsid w:val="001418DA"/>
    <w:rsid w:val="00141AA5"/>
    <w:rsid w:val="00141D74"/>
    <w:rsid w:val="00141F85"/>
    <w:rsid w:val="001423CD"/>
    <w:rsid w:val="00142465"/>
    <w:rsid w:val="0014262B"/>
    <w:rsid w:val="00142712"/>
    <w:rsid w:val="0014275E"/>
    <w:rsid w:val="00142902"/>
    <w:rsid w:val="0014299B"/>
    <w:rsid w:val="00142C05"/>
    <w:rsid w:val="00142EC6"/>
    <w:rsid w:val="001435F5"/>
    <w:rsid w:val="001435F8"/>
    <w:rsid w:val="001436B5"/>
    <w:rsid w:val="001436E3"/>
    <w:rsid w:val="0014394D"/>
    <w:rsid w:val="00143C01"/>
    <w:rsid w:val="00143E31"/>
    <w:rsid w:val="0014401B"/>
    <w:rsid w:val="001441EB"/>
    <w:rsid w:val="001442D3"/>
    <w:rsid w:val="00144376"/>
    <w:rsid w:val="001444C4"/>
    <w:rsid w:val="0014451F"/>
    <w:rsid w:val="00144587"/>
    <w:rsid w:val="001448CD"/>
    <w:rsid w:val="00144AB7"/>
    <w:rsid w:val="00144C18"/>
    <w:rsid w:val="00144C34"/>
    <w:rsid w:val="00144D3D"/>
    <w:rsid w:val="00144E0D"/>
    <w:rsid w:val="00144F87"/>
    <w:rsid w:val="00144FD3"/>
    <w:rsid w:val="00144FF9"/>
    <w:rsid w:val="00145075"/>
    <w:rsid w:val="001452FA"/>
    <w:rsid w:val="0014547D"/>
    <w:rsid w:val="00145587"/>
    <w:rsid w:val="001455E3"/>
    <w:rsid w:val="0014578F"/>
    <w:rsid w:val="00145826"/>
    <w:rsid w:val="001458B6"/>
    <w:rsid w:val="00145A42"/>
    <w:rsid w:val="00145CCE"/>
    <w:rsid w:val="00145D06"/>
    <w:rsid w:val="00145D46"/>
    <w:rsid w:val="00145D9C"/>
    <w:rsid w:val="00145F0C"/>
    <w:rsid w:val="00145F7C"/>
    <w:rsid w:val="001461D5"/>
    <w:rsid w:val="00146523"/>
    <w:rsid w:val="00146685"/>
    <w:rsid w:val="00146BEE"/>
    <w:rsid w:val="00146C51"/>
    <w:rsid w:val="00146D6A"/>
    <w:rsid w:val="00146F03"/>
    <w:rsid w:val="00147051"/>
    <w:rsid w:val="0014725C"/>
    <w:rsid w:val="00147499"/>
    <w:rsid w:val="001475E8"/>
    <w:rsid w:val="001476BB"/>
    <w:rsid w:val="001476C5"/>
    <w:rsid w:val="0015022A"/>
    <w:rsid w:val="0015027B"/>
    <w:rsid w:val="0015035F"/>
    <w:rsid w:val="00150572"/>
    <w:rsid w:val="00150B20"/>
    <w:rsid w:val="00151042"/>
    <w:rsid w:val="00151150"/>
    <w:rsid w:val="001513AB"/>
    <w:rsid w:val="001513FA"/>
    <w:rsid w:val="00151857"/>
    <w:rsid w:val="00151E6A"/>
    <w:rsid w:val="00152114"/>
    <w:rsid w:val="001521CC"/>
    <w:rsid w:val="0015229F"/>
    <w:rsid w:val="0015235D"/>
    <w:rsid w:val="00152587"/>
    <w:rsid w:val="001525FA"/>
    <w:rsid w:val="001525FB"/>
    <w:rsid w:val="00152758"/>
    <w:rsid w:val="00152779"/>
    <w:rsid w:val="001529BB"/>
    <w:rsid w:val="00152AEF"/>
    <w:rsid w:val="00152C03"/>
    <w:rsid w:val="00152C15"/>
    <w:rsid w:val="00152C65"/>
    <w:rsid w:val="00152CEF"/>
    <w:rsid w:val="00152EB9"/>
    <w:rsid w:val="00152EC8"/>
    <w:rsid w:val="00152EFB"/>
    <w:rsid w:val="001532B1"/>
    <w:rsid w:val="001533E9"/>
    <w:rsid w:val="001535E9"/>
    <w:rsid w:val="00153943"/>
    <w:rsid w:val="001539CE"/>
    <w:rsid w:val="00153BEA"/>
    <w:rsid w:val="00153D5A"/>
    <w:rsid w:val="00153D6F"/>
    <w:rsid w:val="00153DA8"/>
    <w:rsid w:val="00153DB2"/>
    <w:rsid w:val="00153E6A"/>
    <w:rsid w:val="00153EDF"/>
    <w:rsid w:val="00153FC0"/>
    <w:rsid w:val="0015426C"/>
    <w:rsid w:val="001544A6"/>
    <w:rsid w:val="001544E2"/>
    <w:rsid w:val="00154644"/>
    <w:rsid w:val="00154758"/>
    <w:rsid w:val="001548C3"/>
    <w:rsid w:val="00154912"/>
    <w:rsid w:val="00154A0A"/>
    <w:rsid w:val="00154D4E"/>
    <w:rsid w:val="00154F9D"/>
    <w:rsid w:val="001551D7"/>
    <w:rsid w:val="00155353"/>
    <w:rsid w:val="00155367"/>
    <w:rsid w:val="00155575"/>
    <w:rsid w:val="001555A9"/>
    <w:rsid w:val="00155615"/>
    <w:rsid w:val="001557FF"/>
    <w:rsid w:val="00155B54"/>
    <w:rsid w:val="00155B5A"/>
    <w:rsid w:val="00155E3F"/>
    <w:rsid w:val="00155E7F"/>
    <w:rsid w:val="001560ED"/>
    <w:rsid w:val="0015614E"/>
    <w:rsid w:val="001561E8"/>
    <w:rsid w:val="0015626C"/>
    <w:rsid w:val="0015634E"/>
    <w:rsid w:val="00156384"/>
    <w:rsid w:val="00156460"/>
    <w:rsid w:val="0015672E"/>
    <w:rsid w:val="00156983"/>
    <w:rsid w:val="00156C23"/>
    <w:rsid w:val="00156D7B"/>
    <w:rsid w:val="00156F14"/>
    <w:rsid w:val="00157024"/>
    <w:rsid w:val="0015781D"/>
    <w:rsid w:val="0015791C"/>
    <w:rsid w:val="00157A2A"/>
    <w:rsid w:val="00157BF4"/>
    <w:rsid w:val="00157D42"/>
    <w:rsid w:val="00157ED7"/>
    <w:rsid w:val="00157F27"/>
    <w:rsid w:val="001600F4"/>
    <w:rsid w:val="00160168"/>
    <w:rsid w:val="00160330"/>
    <w:rsid w:val="00160411"/>
    <w:rsid w:val="001605E6"/>
    <w:rsid w:val="00160943"/>
    <w:rsid w:val="001609D3"/>
    <w:rsid w:val="00160B94"/>
    <w:rsid w:val="00160C0D"/>
    <w:rsid w:val="00160C1F"/>
    <w:rsid w:val="00160D2F"/>
    <w:rsid w:val="00160DC5"/>
    <w:rsid w:val="00160E0C"/>
    <w:rsid w:val="00161070"/>
    <w:rsid w:val="00161108"/>
    <w:rsid w:val="00161183"/>
    <w:rsid w:val="001611BB"/>
    <w:rsid w:val="00161515"/>
    <w:rsid w:val="0016156A"/>
    <w:rsid w:val="00161770"/>
    <w:rsid w:val="00161987"/>
    <w:rsid w:val="001619D1"/>
    <w:rsid w:val="00161EF2"/>
    <w:rsid w:val="00162131"/>
    <w:rsid w:val="001624DE"/>
    <w:rsid w:val="00162782"/>
    <w:rsid w:val="0016296A"/>
    <w:rsid w:val="00162D67"/>
    <w:rsid w:val="00162F74"/>
    <w:rsid w:val="001630D6"/>
    <w:rsid w:val="001636CB"/>
    <w:rsid w:val="0016378F"/>
    <w:rsid w:val="00163B06"/>
    <w:rsid w:val="00163CE7"/>
    <w:rsid w:val="001644F9"/>
    <w:rsid w:val="00164644"/>
    <w:rsid w:val="00164757"/>
    <w:rsid w:val="00164995"/>
    <w:rsid w:val="001649BA"/>
    <w:rsid w:val="00164A11"/>
    <w:rsid w:val="00164B5D"/>
    <w:rsid w:val="00164B6D"/>
    <w:rsid w:val="00164C40"/>
    <w:rsid w:val="00164CFE"/>
    <w:rsid w:val="00164D14"/>
    <w:rsid w:val="00164EC3"/>
    <w:rsid w:val="00164F60"/>
    <w:rsid w:val="001650CB"/>
    <w:rsid w:val="00165464"/>
    <w:rsid w:val="00165549"/>
    <w:rsid w:val="00165573"/>
    <w:rsid w:val="001656B0"/>
    <w:rsid w:val="00165736"/>
    <w:rsid w:val="001659F4"/>
    <w:rsid w:val="00165A21"/>
    <w:rsid w:val="00165A5F"/>
    <w:rsid w:val="00165A70"/>
    <w:rsid w:val="00165D8B"/>
    <w:rsid w:val="00165EF9"/>
    <w:rsid w:val="00166095"/>
    <w:rsid w:val="00166707"/>
    <w:rsid w:val="00166782"/>
    <w:rsid w:val="0016695A"/>
    <w:rsid w:val="00166A11"/>
    <w:rsid w:val="00166B83"/>
    <w:rsid w:val="00166C39"/>
    <w:rsid w:val="00166CD7"/>
    <w:rsid w:val="00166F48"/>
    <w:rsid w:val="00167222"/>
    <w:rsid w:val="00167346"/>
    <w:rsid w:val="0016737D"/>
    <w:rsid w:val="00167394"/>
    <w:rsid w:val="001673A8"/>
    <w:rsid w:val="001673D0"/>
    <w:rsid w:val="00167459"/>
    <w:rsid w:val="001675DB"/>
    <w:rsid w:val="0016770B"/>
    <w:rsid w:val="00167765"/>
    <w:rsid w:val="00167885"/>
    <w:rsid w:val="001679B5"/>
    <w:rsid w:val="00167AF0"/>
    <w:rsid w:val="00167B51"/>
    <w:rsid w:val="00167B5D"/>
    <w:rsid w:val="00167BF7"/>
    <w:rsid w:val="00167FA1"/>
    <w:rsid w:val="001701B5"/>
    <w:rsid w:val="00170212"/>
    <w:rsid w:val="001702D7"/>
    <w:rsid w:val="00170704"/>
    <w:rsid w:val="001708D6"/>
    <w:rsid w:val="0017097B"/>
    <w:rsid w:val="00170C1B"/>
    <w:rsid w:val="00170F2A"/>
    <w:rsid w:val="0017107E"/>
    <w:rsid w:val="001710BC"/>
    <w:rsid w:val="001711C6"/>
    <w:rsid w:val="00171240"/>
    <w:rsid w:val="001715AC"/>
    <w:rsid w:val="001716BA"/>
    <w:rsid w:val="0017186F"/>
    <w:rsid w:val="0017187D"/>
    <w:rsid w:val="001718E3"/>
    <w:rsid w:val="0017198B"/>
    <w:rsid w:val="00171A16"/>
    <w:rsid w:val="00171CAA"/>
    <w:rsid w:val="00171F77"/>
    <w:rsid w:val="00171F8F"/>
    <w:rsid w:val="001721CE"/>
    <w:rsid w:val="0017244A"/>
    <w:rsid w:val="001726CB"/>
    <w:rsid w:val="0017272A"/>
    <w:rsid w:val="00172767"/>
    <w:rsid w:val="00172842"/>
    <w:rsid w:val="00172855"/>
    <w:rsid w:val="00172B35"/>
    <w:rsid w:val="00172C50"/>
    <w:rsid w:val="00172DD6"/>
    <w:rsid w:val="00172FE1"/>
    <w:rsid w:val="00173012"/>
    <w:rsid w:val="00173196"/>
    <w:rsid w:val="001732B5"/>
    <w:rsid w:val="001735A7"/>
    <w:rsid w:val="0017361B"/>
    <w:rsid w:val="001737F7"/>
    <w:rsid w:val="00173A76"/>
    <w:rsid w:val="00173D71"/>
    <w:rsid w:val="00173EC1"/>
    <w:rsid w:val="00173F70"/>
    <w:rsid w:val="00174550"/>
    <w:rsid w:val="00174926"/>
    <w:rsid w:val="00174B2F"/>
    <w:rsid w:val="00174C83"/>
    <w:rsid w:val="00174E73"/>
    <w:rsid w:val="00174F8D"/>
    <w:rsid w:val="00175145"/>
    <w:rsid w:val="00175301"/>
    <w:rsid w:val="00175356"/>
    <w:rsid w:val="001755E7"/>
    <w:rsid w:val="0017564A"/>
    <w:rsid w:val="00175A70"/>
    <w:rsid w:val="00175D16"/>
    <w:rsid w:val="0017609D"/>
    <w:rsid w:val="0017621D"/>
    <w:rsid w:val="001762BC"/>
    <w:rsid w:val="001765AE"/>
    <w:rsid w:val="0017690F"/>
    <w:rsid w:val="00176A0E"/>
    <w:rsid w:val="00176BE5"/>
    <w:rsid w:val="00176BF6"/>
    <w:rsid w:val="00176C42"/>
    <w:rsid w:val="00176D71"/>
    <w:rsid w:val="00176EAC"/>
    <w:rsid w:val="00176FD4"/>
    <w:rsid w:val="001770D6"/>
    <w:rsid w:val="001771A4"/>
    <w:rsid w:val="00177298"/>
    <w:rsid w:val="001773D5"/>
    <w:rsid w:val="0017743C"/>
    <w:rsid w:val="0017745B"/>
    <w:rsid w:val="0017761B"/>
    <w:rsid w:val="001778A3"/>
    <w:rsid w:val="00177974"/>
    <w:rsid w:val="0017799F"/>
    <w:rsid w:val="00177AE8"/>
    <w:rsid w:val="00177B17"/>
    <w:rsid w:val="00177BA6"/>
    <w:rsid w:val="00177BE0"/>
    <w:rsid w:val="00177DC0"/>
    <w:rsid w:val="00180054"/>
    <w:rsid w:val="001802F2"/>
    <w:rsid w:val="001805E8"/>
    <w:rsid w:val="0018069C"/>
    <w:rsid w:val="001807B0"/>
    <w:rsid w:val="001808FD"/>
    <w:rsid w:val="00180C60"/>
    <w:rsid w:val="001812CE"/>
    <w:rsid w:val="001815CD"/>
    <w:rsid w:val="001816CD"/>
    <w:rsid w:val="00181A46"/>
    <w:rsid w:val="00181B69"/>
    <w:rsid w:val="00181C04"/>
    <w:rsid w:val="00182027"/>
    <w:rsid w:val="00182068"/>
    <w:rsid w:val="00182089"/>
    <w:rsid w:val="001822B0"/>
    <w:rsid w:val="0018232C"/>
    <w:rsid w:val="00182501"/>
    <w:rsid w:val="00182522"/>
    <w:rsid w:val="0018270E"/>
    <w:rsid w:val="001829B5"/>
    <w:rsid w:val="001829B7"/>
    <w:rsid w:val="00182CB4"/>
    <w:rsid w:val="001830BD"/>
    <w:rsid w:val="00183101"/>
    <w:rsid w:val="00183132"/>
    <w:rsid w:val="001831F8"/>
    <w:rsid w:val="0018388E"/>
    <w:rsid w:val="0018391A"/>
    <w:rsid w:val="00183937"/>
    <w:rsid w:val="00183C40"/>
    <w:rsid w:val="00183C60"/>
    <w:rsid w:val="00183DA7"/>
    <w:rsid w:val="00183F3A"/>
    <w:rsid w:val="001841AC"/>
    <w:rsid w:val="001844B4"/>
    <w:rsid w:val="001845C2"/>
    <w:rsid w:val="00184666"/>
    <w:rsid w:val="00184857"/>
    <w:rsid w:val="00184CDB"/>
    <w:rsid w:val="00184D8E"/>
    <w:rsid w:val="00184DFA"/>
    <w:rsid w:val="00184F8F"/>
    <w:rsid w:val="0018541D"/>
    <w:rsid w:val="0018564E"/>
    <w:rsid w:val="001857C0"/>
    <w:rsid w:val="001858F2"/>
    <w:rsid w:val="0018591D"/>
    <w:rsid w:val="00185BEB"/>
    <w:rsid w:val="00185D15"/>
    <w:rsid w:val="00185D57"/>
    <w:rsid w:val="00185DF6"/>
    <w:rsid w:val="00185F3A"/>
    <w:rsid w:val="001860FB"/>
    <w:rsid w:val="0018610A"/>
    <w:rsid w:val="001861D1"/>
    <w:rsid w:val="0018625B"/>
    <w:rsid w:val="0018636E"/>
    <w:rsid w:val="00186399"/>
    <w:rsid w:val="001863AA"/>
    <w:rsid w:val="001864B0"/>
    <w:rsid w:val="001866E1"/>
    <w:rsid w:val="00186A4C"/>
    <w:rsid w:val="00186BCA"/>
    <w:rsid w:val="00186CB1"/>
    <w:rsid w:val="00186D45"/>
    <w:rsid w:val="00186E1E"/>
    <w:rsid w:val="00186EED"/>
    <w:rsid w:val="00187016"/>
    <w:rsid w:val="00187177"/>
    <w:rsid w:val="001874D6"/>
    <w:rsid w:val="001876C8"/>
    <w:rsid w:val="00187748"/>
    <w:rsid w:val="00187875"/>
    <w:rsid w:val="00187C72"/>
    <w:rsid w:val="00187CCD"/>
    <w:rsid w:val="00187F78"/>
    <w:rsid w:val="0019010C"/>
    <w:rsid w:val="0019011B"/>
    <w:rsid w:val="00190281"/>
    <w:rsid w:val="001905C0"/>
    <w:rsid w:val="0019096D"/>
    <w:rsid w:val="00190D0C"/>
    <w:rsid w:val="00190E29"/>
    <w:rsid w:val="00191146"/>
    <w:rsid w:val="00191322"/>
    <w:rsid w:val="001915D7"/>
    <w:rsid w:val="001916BE"/>
    <w:rsid w:val="001916DB"/>
    <w:rsid w:val="00191C37"/>
    <w:rsid w:val="00191C6D"/>
    <w:rsid w:val="00191E85"/>
    <w:rsid w:val="00191EC7"/>
    <w:rsid w:val="00191EC8"/>
    <w:rsid w:val="00191F48"/>
    <w:rsid w:val="00192042"/>
    <w:rsid w:val="0019222C"/>
    <w:rsid w:val="00192230"/>
    <w:rsid w:val="001925DD"/>
    <w:rsid w:val="0019264E"/>
    <w:rsid w:val="00192705"/>
    <w:rsid w:val="00192974"/>
    <w:rsid w:val="00192978"/>
    <w:rsid w:val="001929D5"/>
    <w:rsid w:val="00192A04"/>
    <w:rsid w:val="00192C02"/>
    <w:rsid w:val="00192F59"/>
    <w:rsid w:val="00192F91"/>
    <w:rsid w:val="00193046"/>
    <w:rsid w:val="0019309C"/>
    <w:rsid w:val="001930BE"/>
    <w:rsid w:val="00193175"/>
    <w:rsid w:val="00193212"/>
    <w:rsid w:val="001932BC"/>
    <w:rsid w:val="001932D4"/>
    <w:rsid w:val="001933DE"/>
    <w:rsid w:val="0019359F"/>
    <w:rsid w:val="001935E9"/>
    <w:rsid w:val="001937BA"/>
    <w:rsid w:val="00193847"/>
    <w:rsid w:val="0019385E"/>
    <w:rsid w:val="00193A66"/>
    <w:rsid w:val="00193C46"/>
    <w:rsid w:val="00193D7B"/>
    <w:rsid w:val="00193D8D"/>
    <w:rsid w:val="00193D9C"/>
    <w:rsid w:val="00193F69"/>
    <w:rsid w:val="00193FC4"/>
    <w:rsid w:val="00194060"/>
    <w:rsid w:val="001942A0"/>
    <w:rsid w:val="0019483F"/>
    <w:rsid w:val="00194C09"/>
    <w:rsid w:val="00194D5D"/>
    <w:rsid w:val="00194E85"/>
    <w:rsid w:val="00195289"/>
    <w:rsid w:val="001954A6"/>
    <w:rsid w:val="001956A5"/>
    <w:rsid w:val="00195765"/>
    <w:rsid w:val="001957E1"/>
    <w:rsid w:val="0019590E"/>
    <w:rsid w:val="00195981"/>
    <w:rsid w:val="00195B0B"/>
    <w:rsid w:val="00195CAD"/>
    <w:rsid w:val="00195E23"/>
    <w:rsid w:val="0019609B"/>
    <w:rsid w:val="00196217"/>
    <w:rsid w:val="0019628B"/>
    <w:rsid w:val="0019653B"/>
    <w:rsid w:val="00196648"/>
    <w:rsid w:val="0019679C"/>
    <w:rsid w:val="001968E7"/>
    <w:rsid w:val="00196C78"/>
    <w:rsid w:val="00196C92"/>
    <w:rsid w:val="00196FBA"/>
    <w:rsid w:val="0019706A"/>
    <w:rsid w:val="00197175"/>
    <w:rsid w:val="00197316"/>
    <w:rsid w:val="001974FE"/>
    <w:rsid w:val="001975E7"/>
    <w:rsid w:val="00197603"/>
    <w:rsid w:val="0019781F"/>
    <w:rsid w:val="0019799A"/>
    <w:rsid w:val="00197A02"/>
    <w:rsid w:val="00197AF4"/>
    <w:rsid w:val="00197B13"/>
    <w:rsid w:val="00197C82"/>
    <w:rsid w:val="00197D67"/>
    <w:rsid w:val="00197E57"/>
    <w:rsid w:val="001A0002"/>
    <w:rsid w:val="001A003A"/>
    <w:rsid w:val="001A0380"/>
    <w:rsid w:val="001A0580"/>
    <w:rsid w:val="001A05F9"/>
    <w:rsid w:val="001A0631"/>
    <w:rsid w:val="001A0858"/>
    <w:rsid w:val="001A0903"/>
    <w:rsid w:val="001A0A10"/>
    <w:rsid w:val="001A0DC3"/>
    <w:rsid w:val="001A10DD"/>
    <w:rsid w:val="001A12E0"/>
    <w:rsid w:val="001A132D"/>
    <w:rsid w:val="001A1483"/>
    <w:rsid w:val="001A17EC"/>
    <w:rsid w:val="001A1851"/>
    <w:rsid w:val="001A1879"/>
    <w:rsid w:val="001A18CB"/>
    <w:rsid w:val="001A1961"/>
    <w:rsid w:val="001A1BAB"/>
    <w:rsid w:val="001A1BB5"/>
    <w:rsid w:val="001A1E52"/>
    <w:rsid w:val="001A1FA0"/>
    <w:rsid w:val="001A205D"/>
    <w:rsid w:val="001A25F8"/>
    <w:rsid w:val="001A269B"/>
    <w:rsid w:val="001A2A68"/>
    <w:rsid w:val="001A2E2B"/>
    <w:rsid w:val="001A30F8"/>
    <w:rsid w:val="001A31F3"/>
    <w:rsid w:val="001A33EE"/>
    <w:rsid w:val="001A350F"/>
    <w:rsid w:val="001A35BF"/>
    <w:rsid w:val="001A3773"/>
    <w:rsid w:val="001A3857"/>
    <w:rsid w:val="001A3D71"/>
    <w:rsid w:val="001A3E98"/>
    <w:rsid w:val="001A41DF"/>
    <w:rsid w:val="001A43C4"/>
    <w:rsid w:val="001A4460"/>
    <w:rsid w:val="001A447E"/>
    <w:rsid w:val="001A453F"/>
    <w:rsid w:val="001A46CC"/>
    <w:rsid w:val="001A48C1"/>
    <w:rsid w:val="001A4EF7"/>
    <w:rsid w:val="001A506A"/>
    <w:rsid w:val="001A507E"/>
    <w:rsid w:val="001A5414"/>
    <w:rsid w:val="001A5578"/>
    <w:rsid w:val="001A55DE"/>
    <w:rsid w:val="001A55F7"/>
    <w:rsid w:val="001A572D"/>
    <w:rsid w:val="001A575C"/>
    <w:rsid w:val="001A5A8F"/>
    <w:rsid w:val="001A5D8D"/>
    <w:rsid w:val="001A5DDF"/>
    <w:rsid w:val="001A6115"/>
    <w:rsid w:val="001A6444"/>
    <w:rsid w:val="001A672A"/>
    <w:rsid w:val="001A6741"/>
    <w:rsid w:val="001A6789"/>
    <w:rsid w:val="001A6E86"/>
    <w:rsid w:val="001A70B2"/>
    <w:rsid w:val="001A711A"/>
    <w:rsid w:val="001A726B"/>
    <w:rsid w:val="001A758F"/>
    <w:rsid w:val="001A786F"/>
    <w:rsid w:val="001A78A3"/>
    <w:rsid w:val="001A79EE"/>
    <w:rsid w:val="001A7CE1"/>
    <w:rsid w:val="001A7F5F"/>
    <w:rsid w:val="001B0006"/>
    <w:rsid w:val="001B0007"/>
    <w:rsid w:val="001B00B1"/>
    <w:rsid w:val="001B0142"/>
    <w:rsid w:val="001B01CD"/>
    <w:rsid w:val="001B027C"/>
    <w:rsid w:val="001B02BC"/>
    <w:rsid w:val="001B07E7"/>
    <w:rsid w:val="001B0A05"/>
    <w:rsid w:val="001B0AF3"/>
    <w:rsid w:val="001B0C98"/>
    <w:rsid w:val="001B0D84"/>
    <w:rsid w:val="001B1015"/>
    <w:rsid w:val="001B12E4"/>
    <w:rsid w:val="001B12FB"/>
    <w:rsid w:val="001B135F"/>
    <w:rsid w:val="001B13B6"/>
    <w:rsid w:val="001B1446"/>
    <w:rsid w:val="001B14E5"/>
    <w:rsid w:val="001B15D1"/>
    <w:rsid w:val="001B166C"/>
    <w:rsid w:val="001B18C5"/>
    <w:rsid w:val="001B18E1"/>
    <w:rsid w:val="001B1C26"/>
    <w:rsid w:val="001B1E94"/>
    <w:rsid w:val="001B1EF9"/>
    <w:rsid w:val="001B1F28"/>
    <w:rsid w:val="001B2036"/>
    <w:rsid w:val="001B2591"/>
    <w:rsid w:val="001B25B0"/>
    <w:rsid w:val="001B273C"/>
    <w:rsid w:val="001B2AB1"/>
    <w:rsid w:val="001B2AC2"/>
    <w:rsid w:val="001B2ADB"/>
    <w:rsid w:val="001B3096"/>
    <w:rsid w:val="001B38CD"/>
    <w:rsid w:val="001B3ADE"/>
    <w:rsid w:val="001B3B10"/>
    <w:rsid w:val="001B3E78"/>
    <w:rsid w:val="001B425F"/>
    <w:rsid w:val="001B432A"/>
    <w:rsid w:val="001B4361"/>
    <w:rsid w:val="001B43F6"/>
    <w:rsid w:val="001B43FD"/>
    <w:rsid w:val="001B4597"/>
    <w:rsid w:val="001B45B7"/>
    <w:rsid w:val="001B4767"/>
    <w:rsid w:val="001B4856"/>
    <w:rsid w:val="001B4878"/>
    <w:rsid w:val="001B4C1D"/>
    <w:rsid w:val="001B4D49"/>
    <w:rsid w:val="001B5242"/>
    <w:rsid w:val="001B5402"/>
    <w:rsid w:val="001B54F5"/>
    <w:rsid w:val="001B57AD"/>
    <w:rsid w:val="001B59C8"/>
    <w:rsid w:val="001B5A06"/>
    <w:rsid w:val="001B5A32"/>
    <w:rsid w:val="001B5BC2"/>
    <w:rsid w:val="001B5CE9"/>
    <w:rsid w:val="001B5D4C"/>
    <w:rsid w:val="001B5EE7"/>
    <w:rsid w:val="001B603B"/>
    <w:rsid w:val="001B611E"/>
    <w:rsid w:val="001B62E3"/>
    <w:rsid w:val="001B644E"/>
    <w:rsid w:val="001B6539"/>
    <w:rsid w:val="001B656F"/>
    <w:rsid w:val="001B67B8"/>
    <w:rsid w:val="001B6814"/>
    <w:rsid w:val="001B6B03"/>
    <w:rsid w:val="001B6CFE"/>
    <w:rsid w:val="001B7560"/>
    <w:rsid w:val="001B7681"/>
    <w:rsid w:val="001B7746"/>
    <w:rsid w:val="001B78F2"/>
    <w:rsid w:val="001B7B50"/>
    <w:rsid w:val="001B7BAA"/>
    <w:rsid w:val="001B7EA6"/>
    <w:rsid w:val="001C053C"/>
    <w:rsid w:val="001C05DC"/>
    <w:rsid w:val="001C0B07"/>
    <w:rsid w:val="001C0BCE"/>
    <w:rsid w:val="001C0C0D"/>
    <w:rsid w:val="001C0F44"/>
    <w:rsid w:val="001C0FBA"/>
    <w:rsid w:val="001C12F0"/>
    <w:rsid w:val="001C15C2"/>
    <w:rsid w:val="001C16BE"/>
    <w:rsid w:val="001C16C5"/>
    <w:rsid w:val="001C1729"/>
    <w:rsid w:val="001C1A0E"/>
    <w:rsid w:val="001C1A42"/>
    <w:rsid w:val="001C1B2E"/>
    <w:rsid w:val="001C1D10"/>
    <w:rsid w:val="001C1E3E"/>
    <w:rsid w:val="001C1FED"/>
    <w:rsid w:val="001C20C3"/>
    <w:rsid w:val="001C20C8"/>
    <w:rsid w:val="001C20EF"/>
    <w:rsid w:val="001C21B3"/>
    <w:rsid w:val="001C23E5"/>
    <w:rsid w:val="001C24F6"/>
    <w:rsid w:val="001C2691"/>
    <w:rsid w:val="001C26DA"/>
    <w:rsid w:val="001C2A59"/>
    <w:rsid w:val="001C2DB8"/>
    <w:rsid w:val="001C2EC3"/>
    <w:rsid w:val="001C2F80"/>
    <w:rsid w:val="001C3081"/>
    <w:rsid w:val="001C309E"/>
    <w:rsid w:val="001C3472"/>
    <w:rsid w:val="001C366C"/>
    <w:rsid w:val="001C36F2"/>
    <w:rsid w:val="001C373D"/>
    <w:rsid w:val="001C3FD6"/>
    <w:rsid w:val="001C4026"/>
    <w:rsid w:val="001C4235"/>
    <w:rsid w:val="001C4285"/>
    <w:rsid w:val="001C4321"/>
    <w:rsid w:val="001C439B"/>
    <w:rsid w:val="001C444D"/>
    <w:rsid w:val="001C45CF"/>
    <w:rsid w:val="001C46CF"/>
    <w:rsid w:val="001C47FE"/>
    <w:rsid w:val="001C48D5"/>
    <w:rsid w:val="001C499F"/>
    <w:rsid w:val="001C4C01"/>
    <w:rsid w:val="001C4D2D"/>
    <w:rsid w:val="001C4E14"/>
    <w:rsid w:val="001C509C"/>
    <w:rsid w:val="001C5262"/>
    <w:rsid w:val="001C5395"/>
    <w:rsid w:val="001C5BF8"/>
    <w:rsid w:val="001C5D31"/>
    <w:rsid w:val="001C5E27"/>
    <w:rsid w:val="001C6099"/>
    <w:rsid w:val="001C61B4"/>
    <w:rsid w:val="001C624C"/>
    <w:rsid w:val="001C6300"/>
    <w:rsid w:val="001C638D"/>
    <w:rsid w:val="001C63C7"/>
    <w:rsid w:val="001C64D6"/>
    <w:rsid w:val="001C650A"/>
    <w:rsid w:val="001C6649"/>
    <w:rsid w:val="001C6696"/>
    <w:rsid w:val="001C672C"/>
    <w:rsid w:val="001C684E"/>
    <w:rsid w:val="001C692B"/>
    <w:rsid w:val="001C69F0"/>
    <w:rsid w:val="001C6A5A"/>
    <w:rsid w:val="001C6A6A"/>
    <w:rsid w:val="001C6DF6"/>
    <w:rsid w:val="001C6E9D"/>
    <w:rsid w:val="001C7060"/>
    <w:rsid w:val="001C7280"/>
    <w:rsid w:val="001C75D8"/>
    <w:rsid w:val="001C7611"/>
    <w:rsid w:val="001C7691"/>
    <w:rsid w:val="001C776B"/>
    <w:rsid w:val="001C780D"/>
    <w:rsid w:val="001C7987"/>
    <w:rsid w:val="001C7A9E"/>
    <w:rsid w:val="001C7B07"/>
    <w:rsid w:val="001C7D28"/>
    <w:rsid w:val="001D00D8"/>
    <w:rsid w:val="001D01F2"/>
    <w:rsid w:val="001D02A1"/>
    <w:rsid w:val="001D035B"/>
    <w:rsid w:val="001D0476"/>
    <w:rsid w:val="001D07E7"/>
    <w:rsid w:val="001D0A36"/>
    <w:rsid w:val="001D0B99"/>
    <w:rsid w:val="001D1448"/>
    <w:rsid w:val="001D188F"/>
    <w:rsid w:val="001D1D03"/>
    <w:rsid w:val="001D1DEC"/>
    <w:rsid w:val="001D1EED"/>
    <w:rsid w:val="001D206A"/>
    <w:rsid w:val="001D21F9"/>
    <w:rsid w:val="001D22E6"/>
    <w:rsid w:val="001D28A8"/>
    <w:rsid w:val="001D2A58"/>
    <w:rsid w:val="001D2B40"/>
    <w:rsid w:val="001D2E0F"/>
    <w:rsid w:val="001D2E74"/>
    <w:rsid w:val="001D2EBD"/>
    <w:rsid w:val="001D3564"/>
    <w:rsid w:val="001D367A"/>
    <w:rsid w:val="001D369A"/>
    <w:rsid w:val="001D3A54"/>
    <w:rsid w:val="001D3B5B"/>
    <w:rsid w:val="001D3C3A"/>
    <w:rsid w:val="001D40EE"/>
    <w:rsid w:val="001D4256"/>
    <w:rsid w:val="001D426B"/>
    <w:rsid w:val="001D4372"/>
    <w:rsid w:val="001D441B"/>
    <w:rsid w:val="001D46C4"/>
    <w:rsid w:val="001D47C1"/>
    <w:rsid w:val="001D483E"/>
    <w:rsid w:val="001D4CAC"/>
    <w:rsid w:val="001D4D83"/>
    <w:rsid w:val="001D4D86"/>
    <w:rsid w:val="001D5143"/>
    <w:rsid w:val="001D532C"/>
    <w:rsid w:val="001D53CB"/>
    <w:rsid w:val="001D542A"/>
    <w:rsid w:val="001D5454"/>
    <w:rsid w:val="001D5771"/>
    <w:rsid w:val="001D57C8"/>
    <w:rsid w:val="001D5888"/>
    <w:rsid w:val="001D58AF"/>
    <w:rsid w:val="001D598F"/>
    <w:rsid w:val="001D5A5E"/>
    <w:rsid w:val="001D5C4B"/>
    <w:rsid w:val="001D5FED"/>
    <w:rsid w:val="001D6115"/>
    <w:rsid w:val="001D6480"/>
    <w:rsid w:val="001D6619"/>
    <w:rsid w:val="001D663B"/>
    <w:rsid w:val="001D681D"/>
    <w:rsid w:val="001D68ED"/>
    <w:rsid w:val="001D6A0B"/>
    <w:rsid w:val="001D6B93"/>
    <w:rsid w:val="001D6B9B"/>
    <w:rsid w:val="001D6E80"/>
    <w:rsid w:val="001D71AE"/>
    <w:rsid w:val="001D769B"/>
    <w:rsid w:val="001D7765"/>
    <w:rsid w:val="001D7935"/>
    <w:rsid w:val="001D7A08"/>
    <w:rsid w:val="001D7C2D"/>
    <w:rsid w:val="001D7F49"/>
    <w:rsid w:val="001E00A7"/>
    <w:rsid w:val="001E0170"/>
    <w:rsid w:val="001E01AE"/>
    <w:rsid w:val="001E051D"/>
    <w:rsid w:val="001E059A"/>
    <w:rsid w:val="001E05EF"/>
    <w:rsid w:val="001E0650"/>
    <w:rsid w:val="001E074D"/>
    <w:rsid w:val="001E085A"/>
    <w:rsid w:val="001E089B"/>
    <w:rsid w:val="001E0BF2"/>
    <w:rsid w:val="001E0CAD"/>
    <w:rsid w:val="001E0FF3"/>
    <w:rsid w:val="001E103B"/>
    <w:rsid w:val="001E136B"/>
    <w:rsid w:val="001E140C"/>
    <w:rsid w:val="001E1524"/>
    <w:rsid w:val="001E15CC"/>
    <w:rsid w:val="001E1779"/>
    <w:rsid w:val="001E1E14"/>
    <w:rsid w:val="001E1E16"/>
    <w:rsid w:val="001E1E37"/>
    <w:rsid w:val="001E1E8F"/>
    <w:rsid w:val="001E241B"/>
    <w:rsid w:val="001E26A2"/>
    <w:rsid w:val="001E26C3"/>
    <w:rsid w:val="001E27E5"/>
    <w:rsid w:val="001E29C9"/>
    <w:rsid w:val="001E2D06"/>
    <w:rsid w:val="001E2D53"/>
    <w:rsid w:val="001E3016"/>
    <w:rsid w:val="001E3101"/>
    <w:rsid w:val="001E3190"/>
    <w:rsid w:val="001E3318"/>
    <w:rsid w:val="001E3371"/>
    <w:rsid w:val="001E35D1"/>
    <w:rsid w:val="001E37BA"/>
    <w:rsid w:val="001E37CB"/>
    <w:rsid w:val="001E3864"/>
    <w:rsid w:val="001E3925"/>
    <w:rsid w:val="001E395A"/>
    <w:rsid w:val="001E3C07"/>
    <w:rsid w:val="001E3D6F"/>
    <w:rsid w:val="001E3DA9"/>
    <w:rsid w:val="001E3E49"/>
    <w:rsid w:val="001E3E8A"/>
    <w:rsid w:val="001E4110"/>
    <w:rsid w:val="001E4178"/>
    <w:rsid w:val="001E43C5"/>
    <w:rsid w:val="001E440E"/>
    <w:rsid w:val="001E4A94"/>
    <w:rsid w:val="001E4AB3"/>
    <w:rsid w:val="001E4C23"/>
    <w:rsid w:val="001E4C82"/>
    <w:rsid w:val="001E4F51"/>
    <w:rsid w:val="001E503A"/>
    <w:rsid w:val="001E50B4"/>
    <w:rsid w:val="001E54DD"/>
    <w:rsid w:val="001E550C"/>
    <w:rsid w:val="001E5641"/>
    <w:rsid w:val="001E5BD5"/>
    <w:rsid w:val="001E5D66"/>
    <w:rsid w:val="001E6134"/>
    <w:rsid w:val="001E63A2"/>
    <w:rsid w:val="001E63B1"/>
    <w:rsid w:val="001E641F"/>
    <w:rsid w:val="001E686A"/>
    <w:rsid w:val="001E68EE"/>
    <w:rsid w:val="001E6948"/>
    <w:rsid w:val="001E69D4"/>
    <w:rsid w:val="001E6B07"/>
    <w:rsid w:val="001E6B0C"/>
    <w:rsid w:val="001E6CA2"/>
    <w:rsid w:val="001E6CE0"/>
    <w:rsid w:val="001E7227"/>
    <w:rsid w:val="001E725B"/>
    <w:rsid w:val="001E730C"/>
    <w:rsid w:val="001E7331"/>
    <w:rsid w:val="001E736F"/>
    <w:rsid w:val="001E74A4"/>
    <w:rsid w:val="001E75F6"/>
    <w:rsid w:val="001E784E"/>
    <w:rsid w:val="001E79D1"/>
    <w:rsid w:val="001E7C9C"/>
    <w:rsid w:val="001E7E12"/>
    <w:rsid w:val="001E7E2B"/>
    <w:rsid w:val="001F013B"/>
    <w:rsid w:val="001F03F8"/>
    <w:rsid w:val="001F042D"/>
    <w:rsid w:val="001F0592"/>
    <w:rsid w:val="001F05A9"/>
    <w:rsid w:val="001F08D4"/>
    <w:rsid w:val="001F0A5C"/>
    <w:rsid w:val="001F0AFF"/>
    <w:rsid w:val="001F0CC1"/>
    <w:rsid w:val="001F0DC4"/>
    <w:rsid w:val="001F0E51"/>
    <w:rsid w:val="001F1269"/>
    <w:rsid w:val="001F1372"/>
    <w:rsid w:val="001F13D1"/>
    <w:rsid w:val="001F13F3"/>
    <w:rsid w:val="001F153B"/>
    <w:rsid w:val="001F18B5"/>
    <w:rsid w:val="001F18E2"/>
    <w:rsid w:val="001F1BC8"/>
    <w:rsid w:val="001F1C40"/>
    <w:rsid w:val="001F1CAF"/>
    <w:rsid w:val="001F1D9F"/>
    <w:rsid w:val="001F1DA1"/>
    <w:rsid w:val="001F1E69"/>
    <w:rsid w:val="001F1F02"/>
    <w:rsid w:val="001F228C"/>
    <w:rsid w:val="001F22F8"/>
    <w:rsid w:val="001F23A0"/>
    <w:rsid w:val="001F2690"/>
    <w:rsid w:val="001F279D"/>
    <w:rsid w:val="001F29CF"/>
    <w:rsid w:val="001F2A23"/>
    <w:rsid w:val="001F2A80"/>
    <w:rsid w:val="001F2FD4"/>
    <w:rsid w:val="001F32B3"/>
    <w:rsid w:val="001F358C"/>
    <w:rsid w:val="001F35DF"/>
    <w:rsid w:val="001F36A7"/>
    <w:rsid w:val="001F3738"/>
    <w:rsid w:val="001F377B"/>
    <w:rsid w:val="001F385C"/>
    <w:rsid w:val="001F389A"/>
    <w:rsid w:val="001F38B5"/>
    <w:rsid w:val="001F39F2"/>
    <w:rsid w:val="001F3AE5"/>
    <w:rsid w:val="001F3ECA"/>
    <w:rsid w:val="001F4064"/>
    <w:rsid w:val="001F4218"/>
    <w:rsid w:val="001F426D"/>
    <w:rsid w:val="001F4310"/>
    <w:rsid w:val="001F45C1"/>
    <w:rsid w:val="001F4A61"/>
    <w:rsid w:val="001F4E3C"/>
    <w:rsid w:val="001F4F6C"/>
    <w:rsid w:val="001F50CB"/>
    <w:rsid w:val="001F5113"/>
    <w:rsid w:val="001F52C8"/>
    <w:rsid w:val="001F534D"/>
    <w:rsid w:val="001F55A6"/>
    <w:rsid w:val="001F5606"/>
    <w:rsid w:val="001F5638"/>
    <w:rsid w:val="001F5863"/>
    <w:rsid w:val="001F5CA1"/>
    <w:rsid w:val="001F5CD8"/>
    <w:rsid w:val="001F5D1E"/>
    <w:rsid w:val="001F5DB0"/>
    <w:rsid w:val="001F64BC"/>
    <w:rsid w:val="001F6923"/>
    <w:rsid w:val="001F6BE9"/>
    <w:rsid w:val="001F6C7E"/>
    <w:rsid w:val="001F6DD7"/>
    <w:rsid w:val="001F6F6A"/>
    <w:rsid w:val="001F74EF"/>
    <w:rsid w:val="001F7959"/>
    <w:rsid w:val="001F7AB6"/>
    <w:rsid w:val="001F7B14"/>
    <w:rsid w:val="001F7B90"/>
    <w:rsid w:val="001F7CF7"/>
    <w:rsid w:val="0020008D"/>
    <w:rsid w:val="002001EE"/>
    <w:rsid w:val="002003D6"/>
    <w:rsid w:val="0020051A"/>
    <w:rsid w:val="0020052F"/>
    <w:rsid w:val="00200541"/>
    <w:rsid w:val="002006AF"/>
    <w:rsid w:val="002008FF"/>
    <w:rsid w:val="00200A43"/>
    <w:rsid w:val="00200AA7"/>
    <w:rsid w:val="00200ACF"/>
    <w:rsid w:val="00200E7A"/>
    <w:rsid w:val="0020112C"/>
    <w:rsid w:val="00201140"/>
    <w:rsid w:val="002011AF"/>
    <w:rsid w:val="0020120C"/>
    <w:rsid w:val="002013CB"/>
    <w:rsid w:val="00201498"/>
    <w:rsid w:val="00201590"/>
    <w:rsid w:val="002017F6"/>
    <w:rsid w:val="0020183F"/>
    <w:rsid w:val="002018BF"/>
    <w:rsid w:val="00201A65"/>
    <w:rsid w:val="00201AA0"/>
    <w:rsid w:val="00201D68"/>
    <w:rsid w:val="0020201B"/>
    <w:rsid w:val="002020F2"/>
    <w:rsid w:val="0020210B"/>
    <w:rsid w:val="00202248"/>
    <w:rsid w:val="00202405"/>
    <w:rsid w:val="00202721"/>
    <w:rsid w:val="0020291F"/>
    <w:rsid w:val="002029B7"/>
    <w:rsid w:val="00202BF7"/>
    <w:rsid w:val="0020304F"/>
    <w:rsid w:val="00203197"/>
    <w:rsid w:val="0020321A"/>
    <w:rsid w:val="0020339D"/>
    <w:rsid w:val="00203558"/>
    <w:rsid w:val="002036C2"/>
    <w:rsid w:val="00203844"/>
    <w:rsid w:val="00203872"/>
    <w:rsid w:val="00203A51"/>
    <w:rsid w:val="00203C8C"/>
    <w:rsid w:val="00203D9D"/>
    <w:rsid w:val="002040CA"/>
    <w:rsid w:val="00204392"/>
    <w:rsid w:val="0020455A"/>
    <w:rsid w:val="0020455E"/>
    <w:rsid w:val="002045F9"/>
    <w:rsid w:val="00205063"/>
    <w:rsid w:val="0020511B"/>
    <w:rsid w:val="002051C2"/>
    <w:rsid w:val="002057FB"/>
    <w:rsid w:val="00205968"/>
    <w:rsid w:val="00205AD2"/>
    <w:rsid w:val="00205C82"/>
    <w:rsid w:val="00205CB1"/>
    <w:rsid w:val="00205D9E"/>
    <w:rsid w:val="00205E25"/>
    <w:rsid w:val="00205E99"/>
    <w:rsid w:val="0020608B"/>
    <w:rsid w:val="002060C0"/>
    <w:rsid w:val="0020615F"/>
    <w:rsid w:val="0020616C"/>
    <w:rsid w:val="002061D6"/>
    <w:rsid w:val="00206254"/>
    <w:rsid w:val="0020635B"/>
    <w:rsid w:val="00206446"/>
    <w:rsid w:val="002065AB"/>
    <w:rsid w:val="002065C4"/>
    <w:rsid w:val="002067AC"/>
    <w:rsid w:val="0020692E"/>
    <w:rsid w:val="002069EB"/>
    <w:rsid w:val="00206A26"/>
    <w:rsid w:val="00206A43"/>
    <w:rsid w:val="00206B37"/>
    <w:rsid w:val="00206C1E"/>
    <w:rsid w:val="00206CCD"/>
    <w:rsid w:val="00206DE4"/>
    <w:rsid w:val="00206ECC"/>
    <w:rsid w:val="00206F5B"/>
    <w:rsid w:val="00207020"/>
    <w:rsid w:val="0020705C"/>
    <w:rsid w:val="002072FE"/>
    <w:rsid w:val="0020732A"/>
    <w:rsid w:val="0020734C"/>
    <w:rsid w:val="002075A8"/>
    <w:rsid w:val="00207A52"/>
    <w:rsid w:val="00207CEE"/>
    <w:rsid w:val="00207D01"/>
    <w:rsid w:val="00207D4A"/>
    <w:rsid w:val="00207FA4"/>
    <w:rsid w:val="00210135"/>
    <w:rsid w:val="002101C8"/>
    <w:rsid w:val="00210544"/>
    <w:rsid w:val="0021077D"/>
    <w:rsid w:val="0021099D"/>
    <w:rsid w:val="00210A41"/>
    <w:rsid w:val="00210CB2"/>
    <w:rsid w:val="0021155B"/>
    <w:rsid w:val="00211597"/>
    <w:rsid w:val="002116FC"/>
    <w:rsid w:val="00211881"/>
    <w:rsid w:val="00211923"/>
    <w:rsid w:val="00211ADD"/>
    <w:rsid w:val="00211B16"/>
    <w:rsid w:val="00211B1E"/>
    <w:rsid w:val="00211BF1"/>
    <w:rsid w:val="00211C5D"/>
    <w:rsid w:val="00211CC0"/>
    <w:rsid w:val="00211D79"/>
    <w:rsid w:val="00211E3F"/>
    <w:rsid w:val="00211EEF"/>
    <w:rsid w:val="00212054"/>
    <w:rsid w:val="00212166"/>
    <w:rsid w:val="00212181"/>
    <w:rsid w:val="00212486"/>
    <w:rsid w:val="0021251B"/>
    <w:rsid w:val="00212883"/>
    <w:rsid w:val="00212910"/>
    <w:rsid w:val="00212968"/>
    <w:rsid w:val="0021298D"/>
    <w:rsid w:val="00212991"/>
    <w:rsid w:val="002129D9"/>
    <w:rsid w:val="00212A7B"/>
    <w:rsid w:val="00212B36"/>
    <w:rsid w:val="00212B6A"/>
    <w:rsid w:val="00212BBB"/>
    <w:rsid w:val="00212CAD"/>
    <w:rsid w:val="00212D28"/>
    <w:rsid w:val="00213171"/>
    <w:rsid w:val="002131D6"/>
    <w:rsid w:val="002132D4"/>
    <w:rsid w:val="0021336D"/>
    <w:rsid w:val="0021340A"/>
    <w:rsid w:val="00213568"/>
    <w:rsid w:val="0021379F"/>
    <w:rsid w:val="002139D8"/>
    <w:rsid w:val="002139EA"/>
    <w:rsid w:val="00213A12"/>
    <w:rsid w:val="00213A44"/>
    <w:rsid w:val="002141FD"/>
    <w:rsid w:val="002143AF"/>
    <w:rsid w:val="002144E6"/>
    <w:rsid w:val="002145AE"/>
    <w:rsid w:val="00214670"/>
    <w:rsid w:val="00214B3B"/>
    <w:rsid w:val="00214ECC"/>
    <w:rsid w:val="00214EE6"/>
    <w:rsid w:val="002150D3"/>
    <w:rsid w:val="00215160"/>
    <w:rsid w:val="00215357"/>
    <w:rsid w:val="00215833"/>
    <w:rsid w:val="00215BB2"/>
    <w:rsid w:val="00215BE7"/>
    <w:rsid w:val="00215C90"/>
    <w:rsid w:val="00215D38"/>
    <w:rsid w:val="00215DA5"/>
    <w:rsid w:val="00215DBC"/>
    <w:rsid w:val="00215E35"/>
    <w:rsid w:val="00215EBD"/>
    <w:rsid w:val="00215FCF"/>
    <w:rsid w:val="002161F5"/>
    <w:rsid w:val="002163BE"/>
    <w:rsid w:val="00216951"/>
    <w:rsid w:val="00216B7A"/>
    <w:rsid w:val="00216DE5"/>
    <w:rsid w:val="002171A4"/>
    <w:rsid w:val="00217275"/>
    <w:rsid w:val="00217325"/>
    <w:rsid w:val="0021744E"/>
    <w:rsid w:val="002176B7"/>
    <w:rsid w:val="00217A53"/>
    <w:rsid w:val="00217B07"/>
    <w:rsid w:val="00217B3A"/>
    <w:rsid w:val="00217B95"/>
    <w:rsid w:val="00217D6C"/>
    <w:rsid w:val="00217E7F"/>
    <w:rsid w:val="0022000C"/>
    <w:rsid w:val="0022004C"/>
    <w:rsid w:val="0022005C"/>
    <w:rsid w:val="00220157"/>
    <w:rsid w:val="0022030D"/>
    <w:rsid w:val="00220520"/>
    <w:rsid w:val="00220728"/>
    <w:rsid w:val="0022127E"/>
    <w:rsid w:val="0022137B"/>
    <w:rsid w:val="0022137D"/>
    <w:rsid w:val="002213E2"/>
    <w:rsid w:val="002214A6"/>
    <w:rsid w:val="0022162F"/>
    <w:rsid w:val="0022165C"/>
    <w:rsid w:val="0022182F"/>
    <w:rsid w:val="0022186F"/>
    <w:rsid w:val="00221879"/>
    <w:rsid w:val="00221B30"/>
    <w:rsid w:val="00221B75"/>
    <w:rsid w:val="00221B99"/>
    <w:rsid w:val="00221CD1"/>
    <w:rsid w:val="00221FD5"/>
    <w:rsid w:val="00222303"/>
    <w:rsid w:val="00222382"/>
    <w:rsid w:val="002223B8"/>
    <w:rsid w:val="002224A7"/>
    <w:rsid w:val="00222660"/>
    <w:rsid w:val="00222703"/>
    <w:rsid w:val="00222944"/>
    <w:rsid w:val="00222B13"/>
    <w:rsid w:val="00222DA7"/>
    <w:rsid w:val="00222DD5"/>
    <w:rsid w:val="0022309D"/>
    <w:rsid w:val="00223448"/>
    <w:rsid w:val="00223532"/>
    <w:rsid w:val="00223678"/>
    <w:rsid w:val="00223737"/>
    <w:rsid w:val="00223977"/>
    <w:rsid w:val="00223CBD"/>
    <w:rsid w:val="00223FC0"/>
    <w:rsid w:val="00224164"/>
    <w:rsid w:val="002245A2"/>
    <w:rsid w:val="0022463B"/>
    <w:rsid w:val="00224681"/>
    <w:rsid w:val="002247F3"/>
    <w:rsid w:val="00224B8A"/>
    <w:rsid w:val="00224B97"/>
    <w:rsid w:val="00224D6E"/>
    <w:rsid w:val="00224F37"/>
    <w:rsid w:val="00225154"/>
    <w:rsid w:val="002252FA"/>
    <w:rsid w:val="00225339"/>
    <w:rsid w:val="0022536B"/>
    <w:rsid w:val="0022564E"/>
    <w:rsid w:val="00225802"/>
    <w:rsid w:val="00225949"/>
    <w:rsid w:val="002259E1"/>
    <w:rsid w:val="00225B52"/>
    <w:rsid w:val="00225BA8"/>
    <w:rsid w:val="00225CEB"/>
    <w:rsid w:val="00225DA1"/>
    <w:rsid w:val="00225EAC"/>
    <w:rsid w:val="0022603D"/>
    <w:rsid w:val="0022609A"/>
    <w:rsid w:val="00226101"/>
    <w:rsid w:val="0022638E"/>
    <w:rsid w:val="0022668A"/>
    <w:rsid w:val="00226709"/>
    <w:rsid w:val="00226780"/>
    <w:rsid w:val="00226944"/>
    <w:rsid w:val="00226B4E"/>
    <w:rsid w:val="00226C41"/>
    <w:rsid w:val="00226C58"/>
    <w:rsid w:val="00226D57"/>
    <w:rsid w:val="00226F12"/>
    <w:rsid w:val="002270EB"/>
    <w:rsid w:val="00227131"/>
    <w:rsid w:val="0022726C"/>
    <w:rsid w:val="00227395"/>
    <w:rsid w:val="0022769C"/>
    <w:rsid w:val="00227793"/>
    <w:rsid w:val="00227E0D"/>
    <w:rsid w:val="00227E53"/>
    <w:rsid w:val="00227E7D"/>
    <w:rsid w:val="00227FE7"/>
    <w:rsid w:val="0023018B"/>
    <w:rsid w:val="002306A1"/>
    <w:rsid w:val="002307D0"/>
    <w:rsid w:val="00230837"/>
    <w:rsid w:val="00230970"/>
    <w:rsid w:val="00230972"/>
    <w:rsid w:val="00230A12"/>
    <w:rsid w:val="00230BED"/>
    <w:rsid w:val="00230C1D"/>
    <w:rsid w:val="00230C82"/>
    <w:rsid w:val="00230D9D"/>
    <w:rsid w:val="00231119"/>
    <w:rsid w:val="00231214"/>
    <w:rsid w:val="00231226"/>
    <w:rsid w:val="0023123D"/>
    <w:rsid w:val="0023125A"/>
    <w:rsid w:val="0023155F"/>
    <w:rsid w:val="002318EA"/>
    <w:rsid w:val="00231C0A"/>
    <w:rsid w:val="00231E36"/>
    <w:rsid w:val="00231EB9"/>
    <w:rsid w:val="0023211F"/>
    <w:rsid w:val="002321FC"/>
    <w:rsid w:val="00232339"/>
    <w:rsid w:val="0023244D"/>
    <w:rsid w:val="00232699"/>
    <w:rsid w:val="002329DA"/>
    <w:rsid w:val="00232CC1"/>
    <w:rsid w:val="00232E32"/>
    <w:rsid w:val="00232E75"/>
    <w:rsid w:val="00233107"/>
    <w:rsid w:val="00233659"/>
    <w:rsid w:val="0023386B"/>
    <w:rsid w:val="00233899"/>
    <w:rsid w:val="002338BA"/>
    <w:rsid w:val="0023394F"/>
    <w:rsid w:val="00233971"/>
    <w:rsid w:val="00233B20"/>
    <w:rsid w:val="00233CBB"/>
    <w:rsid w:val="00233DAC"/>
    <w:rsid w:val="00233F96"/>
    <w:rsid w:val="002340CC"/>
    <w:rsid w:val="002340D8"/>
    <w:rsid w:val="00234274"/>
    <w:rsid w:val="002344C0"/>
    <w:rsid w:val="00234684"/>
    <w:rsid w:val="00234748"/>
    <w:rsid w:val="002349C6"/>
    <w:rsid w:val="00234AED"/>
    <w:rsid w:val="00234D40"/>
    <w:rsid w:val="00234EAC"/>
    <w:rsid w:val="00234F82"/>
    <w:rsid w:val="00234FE5"/>
    <w:rsid w:val="002350DB"/>
    <w:rsid w:val="002351B0"/>
    <w:rsid w:val="002351FB"/>
    <w:rsid w:val="0023524C"/>
    <w:rsid w:val="00235335"/>
    <w:rsid w:val="0023540C"/>
    <w:rsid w:val="00235489"/>
    <w:rsid w:val="002355B2"/>
    <w:rsid w:val="00235C11"/>
    <w:rsid w:val="00235C27"/>
    <w:rsid w:val="00235C3B"/>
    <w:rsid w:val="00235D67"/>
    <w:rsid w:val="00235E3C"/>
    <w:rsid w:val="00235EEE"/>
    <w:rsid w:val="00235F55"/>
    <w:rsid w:val="002361AC"/>
    <w:rsid w:val="0023625D"/>
    <w:rsid w:val="002363DC"/>
    <w:rsid w:val="00236473"/>
    <w:rsid w:val="002365EB"/>
    <w:rsid w:val="00236739"/>
    <w:rsid w:val="0023674D"/>
    <w:rsid w:val="00236751"/>
    <w:rsid w:val="00236BB4"/>
    <w:rsid w:val="00236C4F"/>
    <w:rsid w:val="00236E90"/>
    <w:rsid w:val="0023704C"/>
    <w:rsid w:val="00237232"/>
    <w:rsid w:val="002374FB"/>
    <w:rsid w:val="002376D4"/>
    <w:rsid w:val="002377CB"/>
    <w:rsid w:val="002379C2"/>
    <w:rsid w:val="00237CD2"/>
    <w:rsid w:val="00237D04"/>
    <w:rsid w:val="00237DE7"/>
    <w:rsid w:val="00237EE9"/>
    <w:rsid w:val="00237F4A"/>
    <w:rsid w:val="0024018F"/>
    <w:rsid w:val="002402F7"/>
    <w:rsid w:val="00240473"/>
    <w:rsid w:val="00240603"/>
    <w:rsid w:val="00240653"/>
    <w:rsid w:val="00240715"/>
    <w:rsid w:val="0024079B"/>
    <w:rsid w:val="002409D2"/>
    <w:rsid w:val="00240A28"/>
    <w:rsid w:val="00240B09"/>
    <w:rsid w:val="00240BDA"/>
    <w:rsid w:val="00240EE7"/>
    <w:rsid w:val="00240F65"/>
    <w:rsid w:val="002417D1"/>
    <w:rsid w:val="002418B1"/>
    <w:rsid w:val="00241B3F"/>
    <w:rsid w:val="00241BCF"/>
    <w:rsid w:val="00241E08"/>
    <w:rsid w:val="00241F96"/>
    <w:rsid w:val="00242013"/>
    <w:rsid w:val="00242021"/>
    <w:rsid w:val="00242076"/>
    <w:rsid w:val="00242124"/>
    <w:rsid w:val="00242551"/>
    <w:rsid w:val="002425B8"/>
    <w:rsid w:val="002425BA"/>
    <w:rsid w:val="002426C3"/>
    <w:rsid w:val="002426E6"/>
    <w:rsid w:val="00242774"/>
    <w:rsid w:val="00242854"/>
    <w:rsid w:val="0024285E"/>
    <w:rsid w:val="002428F9"/>
    <w:rsid w:val="00242BA8"/>
    <w:rsid w:val="00242F1D"/>
    <w:rsid w:val="00242F5C"/>
    <w:rsid w:val="00242F98"/>
    <w:rsid w:val="002432B6"/>
    <w:rsid w:val="002434A6"/>
    <w:rsid w:val="0024388D"/>
    <w:rsid w:val="002439A5"/>
    <w:rsid w:val="00243AFA"/>
    <w:rsid w:val="00243D10"/>
    <w:rsid w:val="00243ED4"/>
    <w:rsid w:val="002440D3"/>
    <w:rsid w:val="00244346"/>
    <w:rsid w:val="002443BD"/>
    <w:rsid w:val="002443F1"/>
    <w:rsid w:val="002445F7"/>
    <w:rsid w:val="0024471B"/>
    <w:rsid w:val="0024489D"/>
    <w:rsid w:val="00244DDB"/>
    <w:rsid w:val="002450CF"/>
    <w:rsid w:val="00245214"/>
    <w:rsid w:val="00245359"/>
    <w:rsid w:val="002454F3"/>
    <w:rsid w:val="002455ED"/>
    <w:rsid w:val="00245800"/>
    <w:rsid w:val="00245804"/>
    <w:rsid w:val="002458AC"/>
    <w:rsid w:val="002459A4"/>
    <w:rsid w:val="00245A74"/>
    <w:rsid w:val="00245AEB"/>
    <w:rsid w:val="00245C8F"/>
    <w:rsid w:val="00245F34"/>
    <w:rsid w:val="00246058"/>
    <w:rsid w:val="002460AC"/>
    <w:rsid w:val="0024623C"/>
    <w:rsid w:val="0024643E"/>
    <w:rsid w:val="0024645F"/>
    <w:rsid w:val="0024648B"/>
    <w:rsid w:val="0024652A"/>
    <w:rsid w:val="0024666D"/>
    <w:rsid w:val="002466A3"/>
    <w:rsid w:val="00246815"/>
    <w:rsid w:val="00246E0D"/>
    <w:rsid w:val="002470A2"/>
    <w:rsid w:val="002470D0"/>
    <w:rsid w:val="0024716B"/>
    <w:rsid w:val="00247352"/>
    <w:rsid w:val="00247401"/>
    <w:rsid w:val="002477E3"/>
    <w:rsid w:val="00247950"/>
    <w:rsid w:val="002479C0"/>
    <w:rsid w:val="002479F0"/>
    <w:rsid w:val="00247AE8"/>
    <w:rsid w:val="00247D5A"/>
    <w:rsid w:val="00247F5A"/>
    <w:rsid w:val="002501EC"/>
    <w:rsid w:val="0025024E"/>
    <w:rsid w:val="00250261"/>
    <w:rsid w:val="002503C3"/>
    <w:rsid w:val="002504F2"/>
    <w:rsid w:val="00250542"/>
    <w:rsid w:val="00250558"/>
    <w:rsid w:val="00250625"/>
    <w:rsid w:val="002507D3"/>
    <w:rsid w:val="00250E67"/>
    <w:rsid w:val="00250EB6"/>
    <w:rsid w:val="00250ED5"/>
    <w:rsid w:val="00250FBE"/>
    <w:rsid w:val="002511D5"/>
    <w:rsid w:val="002513BE"/>
    <w:rsid w:val="0025149E"/>
    <w:rsid w:val="002514ED"/>
    <w:rsid w:val="0025154D"/>
    <w:rsid w:val="002515ED"/>
    <w:rsid w:val="002517A5"/>
    <w:rsid w:val="002517BD"/>
    <w:rsid w:val="0025197B"/>
    <w:rsid w:val="002519AF"/>
    <w:rsid w:val="00251BC6"/>
    <w:rsid w:val="00251DE8"/>
    <w:rsid w:val="00251FA4"/>
    <w:rsid w:val="002521C7"/>
    <w:rsid w:val="002522FE"/>
    <w:rsid w:val="0025278A"/>
    <w:rsid w:val="002527E8"/>
    <w:rsid w:val="002528E2"/>
    <w:rsid w:val="00252CD7"/>
    <w:rsid w:val="00252DD2"/>
    <w:rsid w:val="00252E5F"/>
    <w:rsid w:val="00252EC5"/>
    <w:rsid w:val="00253009"/>
    <w:rsid w:val="002530C7"/>
    <w:rsid w:val="002530FF"/>
    <w:rsid w:val="00253104"/>
    <w:rsid w:val="002532AC"/>
    <w:rsid w:val="00253353"/>
    <w:rsid w:val="0025358A"/>
    <w:rsid w:val="0025382B"/>
    <w:rsid w:val="00253893"/>
    <w:rsid w:val="00253A7D"/>
    <w:rsid w:val="00253E7D"/>
    <w:rsid w:val="00253EF4"/>
    <w:rsid w:val="002542AF"/>
    <w:rsid w:val="002542BF"/>
    <w:rsid w:val="00254420"/>
    <w:rsid w:val="002549AE"/>
    <w:rsid w:val="00254C91"/>
    <w:rsid w:val="00254D72"/>
    <w:rsid w:val="00254EB3"/>
    <w:rsid w:val="00254F10"/>
    <w:rsid w:val="002550D5"/>
    <w:rsid w:val="00255128"/>
    <w:rsid w:val="002552F6"/>
    <w:rsid w:val="00255456"/>
    <w:rsid w:val="00255BAE"/>
    <w:rsid w:val="00255D16"/>
    <w:rsid w:val="002560D6"/>
    <w:rsid w:val="00256677"/>
    <w:rsid w:val="002568B2"/>
    <w:rsid w:val="00256A1B"/>
    <w:rsid w:val="00256A89"/>
    <w:rsid w:val="00256D42"/>
    <w:rsid w:val="00256D54"/>
    <w:rsid w:val="00256DC5"/>
    <w:rsid w:val="00256F99"/>
    <w:rsid w:val="002570B6"/>
    <w:rsid w:val="00257142"/>
    <w:rsid w:val="00257232"/>
    <w:rsid w:val="0025723F"/>
    <w:rsid w:val="00257241"/>
    <w:rsid w:val="002575AC"/>
    <w:rsid w:val="00257894"/>
    <w:rsid w:val="002579C7"/>
    <w:rsid w:val="00257A66"/>
    <w:rsid w:val="00257B8D"/>
    <w:rsid w:val="00257BA8"/>
    <w:rsid w:val="00257BBE"/>
    <w:rsid w:val="00257BBF"/>
    <w:rsid w:val="00257BD1"/>
    <w:rsid w:val="00257C2A"/>
    <w:rsid w:val="0026002D"/>
    <w:rsid w:val="00260175"/>
    <w:rsid w:val="0026018B"/>
    <w:rsid w:val="00260196"/>
    <w:rsid w:val="002601C5"/>
    <w:rsid w:val="002602CE"/>
    <w:rsid w:val="002602CF"/>
    <w:rsid w:val="00260747"/>
    <w:rsid w:val="00260796"/>
    <w:rsid w:val="002608ED"/>
    <w:rsid w:val="0026096D"/>
    <w:rsid w:val="00260CE1"/>
    <w:rsid w:val="00260F6C"/>
    <w:rsid w:val="0026119A"/>
    <w:rsid w:val="002612E5"/>
    <w:rsid w:val="002613A4"/>
    <w:rsid w:val="00261776"/>
    <w:rsid w:val="00261950"/>
    <w:rsid w:val="0026197D"/>
    <w:rsid w:val="002619BC"/>
    <w:rsid w:val="00261B68"/>
    <w:rsid w:val="00261C3D"/>
    <w:rsid w:val="00261C78"/>
    <w:rsid w:val="00261CC4"/>
    <w:rsid w:val="00262183"/>
    <w:rsid w:val="00262360"/>
    <w:rsid w:val="002623EA"/>
    <w:rsid w:val="00262519"/>
    <w:rsid w:val="0026253E"/>
    <w:rsid w:val="0026274A"/>
    <w:rsid w:val="00262769"/>
    <w:rsid w:val="00262790"/>
    <w:rsid w:val="002628A4"/>
    <w:rsid w:val="00262B91"/>
    <w:rsid w:val="00262CC4"/>
    <w:rsid w:val="00262D1E"/>
    <w:rsid w:val="00262EAB"/>
    <w:rsid w:val="0026304D"/>
    <w:rsid w:val="00263174"/>
    <w:rsid w:val="002632A4"/>
    <w:rsid w:val="00263331"/>
    <w:rsid w:val="00263349"/>
    <w:rsid w:val="002633E4"/>
    <w:rsid w:val="002635CD"/>
    <w:rsid w:val="00263645"/>
    <w:rsid w:val="0026364E"/>
    <w:rsid w:val="00263670"/>
    <w:rsid w:val="002636D9"/>
    <w:rsid w:val="00263A3C"/>
    <w:rsid w:val="00263A65"/>
    <w:rsid w:val="00263D2F"/>
    <w:rsid w:val="00263EEE"/>
    <w:rsid w:val="00263F1D"/>
    <w:rsid w:val="00263F60"/>
    <w:rsid w:val="00263F98"/>
    <w:rsid w:val="0026420F"/>
    <w:rsid w:val="00264486"/>
    <w:rsid w:val="00264752"/>
    <w:rsid w:val="00264776"/>
    <w:rsid w:val="002648FA"/>
    <w:rsid w:val="00264C4C"/>
    <w:rsid w:val="00264C4E"/>
    <w:rsid w:val="00264CC6"/>
    <w:rsid w:val="00264D2A"/>
    <w:rsid w:val="00264D40"/>
    <w:rsid w:val="00264DD6"/>
    <w:rsid w:val="00264E62"/>
    <w:rsid w:val="00264EA2"/>
    <w:rsid w:val="002651DE"/>
    <w:rsid w:val="0026537D"/>
    <w:rsid w:val="002654A5"/>
    <w:rsid w:val="0026580B"/>
    <w:rsid w:val="00265923"/>
    <w:rsid w:val="002659F2"/>
    <w:rsid w:val="00265A1B"/>
    <w:rsid w:val="00265A34"/>
    <w:rsid w:val="00265C2F"/>
    <w:rsid w:val="00265D34"/>
    <w:rsid w:val="00265E05"/>
    <w:rsid w:val="00265E82"/>
    <w:rsid w:val="0026606E"/>
    <w:rsid w:val="002662D8"/>
    <w:rsid w:val="0026638C"/>
    <w:rsid w:val="002663FF"/>
    <w:rsid w:val="00266508"/>
    <w:rsid w:val="00266625"/>
    <w:rsid w:val="00266685"/>
    <w:rsid w:val="0026673C"/>
    <w:rsid w:val="0026685E"/>
    <w:rsid w:val="00266960"/>
    <w:rsid w:val="002669AA"/>
    <w:rsid w:val="00266A41"/>
    <w:rsid w:val="00266BBB"/>
    <w:rsid w:val="00266BD3"/>
    <w:rsid w:val="00266F2F"/>
    <w:rsid w:val="002670C9"/>
    <w:rsid w:val="0026727A"/>
    <w:rsid w:val="0026727C"/>
    <w:rsid w:val="0026749C"/>
    <w:rsid w:val="0026795A"/>
    <w:rsid w:val="00267BA1"/>
    <w:rsid w:val="00267DB6"/>
    <w:rsid w:val="00267E2E"/>
    <w:rsid w:val="00270047"/>
    <w:rsid w:val="002700E4"/>
    <w:rsid w:val="0027013C"/>
    <w:rsid w:val="00270413"/>
    <w:rsid w:val="00270448"/>
    <w:rsid w:val="0027056F"/>
    <w:rsid w:val="00270D96"/>
    <w:rsid w:val="00270E07"/>
    <w:rsid w:val="00270E55"/>
    <w:rsid w:val="00271290"/>
    <w:rsid w:val="002713DE"/>
    <w:rsid w:val="002713E0"/>
    <w:rsid w:val="0027150A"/>
    <w:rsid w:val="0027167E"/>
    <w:rsid w:val="002716D7"/>
    <w:rsid w:val="002716FE"/>
    <w:rsid w:val="00271899"/>
    <w:rsid w:val="00271C2A"/>
    <w:rsid w:val="00271C9F"/>
    <w:rsid w:val="00271D55"/>
    <w:rsid w:val="00271D84"/>
    <w:rsid w:val="00272052"/>
    <w:rsid w:val="00272566"/>
    <w:rsid w:val="002725B6"/>
    <w:rsid w:val="00272636"/>
    <w:rsid w:val="00272A52"/>
    <w:rsid w:val="00272C47"/>
    <w:rsid w:val="00272DD5"/>
    <w:rsid w:val="00272ECB"/>
    <w:rsid w:val="00272ED1"/>
    <w:rsid w:val="0027318C"/>
    <w:rsid w:val="002732D4"/>
    <w:rsid w:val="002732EC"/>
    <w:rsid w:val="0027343A"/>
    <w:rsid w:val="002736D1"/>
    <w:rsid w:val="0027383D"/>
    <w:rsid w:val="00273B45"/>
    <w:rsid w:val="002741A0"/>
    <w:rsid w:val="00274354"/>
    <w:rsid w:val="0027460F"/>
    <w:rsid w:val="00274696"/>
    <w:rsid w:val="002746CA"/>
    <w:rsid w:val="00274700"/>
    <w:rsid w:val="00274878"/>
    <w:rsid w:val="002749FB"/>
    <w:rsid w:val="002750C8"/>
    <w:rsid w:val="00275116"/>
    <w:rsid w:val="0027528D"/>
    <w:rsid w:val="002752A5"/>
    <w:rsid w:val="002752C6"/>
    <w:rsid w:val="002753FE"/>
    <w:rsid w:val="00275461"/>
    <w:rsid w:val="0027575E"/>
    <w:rsid w:val="002757EA"/>
    <w:rsid w:val="00275980"/>
    <w:rsid w:val="00275ADA"/>
    <w:rsid w:val="00275B20"/>
    <w:rsid w:val="00275D07"/>
    <w:rsid w:val="00275D7D"/>
    <w:rsid w:val="00275F7E"/>
    <w:rsid w:val="00275F90"/>
    <w:rsid w:val="00276392"/>
    <w:rsid w:val="0027639A"/>
    <w:rsid w:val="002763E2"/>
    <w:rsid w:val="0027699E"/>
    <w:rsid w:val="00276A0C"/>
    <w:rsid w:val="00276BB2"/>
    <w:rsid w:val="00276C05"/>
    <w:rsid w:val="00276DDB"/>
    <w:rsid w:val="00276DE1"/>
    <w:rsid w:val="00276DFE"/>
    <w:rsid w:val="00276E34"/>
    <w:rsid w:val="00276F08"/>
    <w:rsid w:val="00277094"/>
    <w:rsid w:val="002771A0"/>
    <w:rsid w:val="00277357"/>
    <w:rsid w:val="0027745F"/>
    <w:rsid w:val="002775A2"/>
    <w:rsid w:val="00277629"/>
    <w:rsid w:val="00277644"/>
    <w:rsid w:val="002776A9"/>
    <w:rsid w:val="00277AEC"/>
    <w:rsid w:val="00277E24"/>
    <w:rsid w:val="00280657"/>
    <w:rsid w:val="002807A4"/>
    <w:rsid w:val="002807CE"/>
    <w:rsid w:val="002808AC"/>
    <w:rsid w:val="00280A24"/>
    <w:rsid w:val="00280B34"/>
    <w:rsid w:val="00280C20"/>
    <w:rsid w:val="00280CF7"/>
    <w:rsid w:val="00280F24"/>
    <w:rsid w:val="002810A8"/>
    <w:rsid w:val="0028129C"/>
    <w:rsid w:val="002812E4"/>
    <w:rsid w:val="00281311"/>
    <w:rsid w:val="002813C1"/>
    <w:rsid w:val="002813DD"/>
    <w:rsid w:val="002815F8"/>
    <w:rsid w:val="002816C1"/>
    <w:rsid w:val="002817C9"/>
    <w:rsid w:val="00281855"/>
    <w:rsid w:val="00281949"/>
    <w:rsid w:val="002820F0"/>
    <w:rsid w:val="002822A0"/>
    <w:rsid w:val="00282311"/>
    <w:rsid w:val="002823FC"/>
    <w:rsid w:val="00282547"/>
    <w:rsid w:val="002827BB"/>
    <w:rsid w:val="00282848"/>
    <w:rsid w:val="002828C2"/>
    <w:rsid w:val="00282901"/>
    <w:rsid w:val="00282965"/>
    <w:rsid w:val="00282BA5"/>
    <w:rsid w:val="00282BEA"/>
    <w:rsid w:val="00282D12"/>
    <w:rsid w:val="00282F27"/>
    <w:rsid w:val="00283182"/>
    <w:rsid w:val="002832E9"/>
    <w:rsid w:val="002833DA"/>
    <w:rsid w:val="002833E0"/>
    <w:rsid w:val="00283417"/>
    <w:rsid w:val="0028354C"/>
    <w:rsid w:val="00283567"/>
    <w:rsid w:val="0028377A"/>
    <w:rsid w:val="00283885"/>
    <w:rsid w:val="002838B3"/>
    <w:rsid w:val="00283BCA"/>
    <w:rsid w:val="00283BF1"/>
    <w:rsid w:val="00283D6C"/>
    <w:rsid w:val="00283D84"/>
    <w:rsid w:val="00284048"/>
    <w:rsid w:val="00284265"/>
    <w:rsid w:val="002842B9"/>
    <w:rsid w:val="002842C2"/>
    <w:rsid w:val="0028436B"/>
    <w:rsid w:val="00284619"/>
    <w:rsid w:val="002846BA"/>
    <w:rsid w:val="0028491A"/>
    <w:rsid w:val="0028497B"/>
    <w:rsid w:val="00284A39"/>
    <w:rsid w:val="00284C0E"/>
    <w:rsid w:val="00284DCF"/>
    <w:rsid w:val="00284E15"/>
    <w:rsid w:val="00284E98"/>
    <w:rsid w:val="0028548F"/>
    <w:rsid w:val="002854B3"/>
    <w:rsid w:val="002854FD"/>
    <w:rsid w:val="00285531"/>
    <w:rsid w:val="00285532"/>
    <w:rsid w:val="00285718"/>
    <w:rsid w:val="00285816"/>
    <w:rsid w:val="00285B65"/>
    <w:rsid w:val="00285C6C"/>
    <w:rsid w:val="00285D64"/>
    <w:rsid w:val="00285DA7"/>
    <w:rsid w:val="00285F8D"/>
    <w:rsid w:val="0028610E"/>
    <w:rsid w:val="0028620B"/>
    <w:rsid w:val="002865D9"/>
    <w:rsid w:val="00286612"/>
    <w:rsid w:val="002866C5"/>
    <w:rsid w:val="0028676E"/>
    <w:rsid w:val="002867F0"/>
    <w:rsid w:val="00286991"/>
    <w:rsid w:val="00286B46"/>
    <w:rsid w:val="00286BC5"/>
    <w:rsid w:val="00286BD1"/>
    <w:rsid w:val="00286BD5"/>
    <w:rsid w:val="00286FB0"/>
    <w:rsid w:val="0028724F"/>
    <w:rsid w:val="0028726B"/>
    <w:rsid w:val="002873ED"/>
    <w:rsid w:val="002873F3"/>
    <w:rsid w:val="0028764D"/>
    <w:rsid w:val="002876D9"/>
    <w:rsid w:val="00287A2C"/>
    <w:rsid w:val="00287C9D"/>
    <w:rsid w:val="00287CBD"/>
    <w:rsid w:val="00287EB1"/>
    <w:rsid w:val="00287EE1"/>
    <w:rsid w:val="00287F36"/>
    <w:rsid w:val="0029017F"/>
    <w:rsid w:val="002902B9"/>
    <w:rsid w:val="00290554"/>
    <w:rsid w:val="0029059E"/>
    <w:rsid w:val="00290A8E"/>
    <w:rsid w:val="00291184"/>
    <w:rsid w:val="00291438"/>
    <w:rsid w:val="00291637"/>
    <w:rsid w:val="0029168F"/>
    <w:rsid w:val="00291A05"/>
    <w:rsid w:val="00291B0E"/>
    <w:rsid w:val="00291BB7"/>
    <w:rsid w:val="00291CD4"/>
    <w:rsid w:val="00291D30"/>
    <w:rsid w:val="00291E0E"/>
    <w:rsid w:val="00291FC1"/>
    <w:rsid w:val="002922BF"/>
    <w:rsid w:val="002922C7"/>
    <w:rsid w:val="0029235E"/>
    <w:rsid w:val="002924CD"/>
    <w:rsid w:val="0029255D"/>
    <w:rsid w:val="002926D4"/>
    <w:rsid w:val="00292845"/>
    <w:rsid w:val="00292909"/>
    <w:rsid w:val="0029292D"/>
    <w:rsid w:val="00292BC2"/>
    <w:rsid w:val="00292DFA"/>
    <w:rsid w:val="00292E1D"/>
    <w:rsid w:val="00293044"/>
    <w:rsid w:val="002934E0"/>
    <w:rsid w:val="002934FE"/>
    <w:rsid w:val="00293699"/>
    <w:rsid w:val="00293751"/>
    <w:rsid w:val="00293BB0"/>
    <w:rsid w:val="00293C9E"/>
    <w:rsid w:val="00293D57"/>
    <w:rsid w:val="00293E30"/>
    <w:rsid w:val="00293E8C"/>
    <w:rsid w:val="00294035"/>
    <w:rsid w:val="002944BC"/>
    <w:rsid w:val="00294666"/>
    <w:rsid w:val="002948B6"/>
    <w:rsid w:val="00294B05"/>
    <w:rsid w:val="00294C44"/>
    <w:rsid w:val="00295076"/>
    <w:rsid w:val="00295247"/>
    <w:rsid w:val="00295318"/>
    <w:rsid w:val="0029534C"/>
    <w:rsid w:val="002953D0"/>
    <w:rsid w:val="0029557B"/>
    <w:rsid w:val="002956E2"/>
    <w:rsid w:val="00295723"/>
    <w:rsid w:val="00295942"/>
    <w:rsid w:val="00295BE5"/>
    <w:rsid w:val="00295E27"/>
    <w:rsid w:val="00295EB9"/>
    <w:rsid w:val="00295F49"/>
    <w:rsid w:val="00296134"/>
    <w:rsid w:val="0029664B"/>
    <w:rsid w:val="0029687F"/>
    <w:rsid w:val="00296B86"/>
    <w:rsid w:val="00296D9C"/>
    <w:rsid w:val="00296DA4"/>
    <w:rsid w:val="00296EE7"/>
    <w:rsid w:val="00296F2E"/>
    <w:rsid w:val="00297021"/>
    <w:rsid w:val="002970B8"/>
    <w:rsid w:val="00297259"/>
    <w:rsid w:val="002972CA"/>
    <w:rsid w:val="00297344"/>
    <w:rsid w:val="002973B0"/>
    <w:rsid w:val="002976B0"/>
    <w:rsid w:val="0029776F"/>
    <w:rsid w:val="002977FA"/>
    <w:rsid w:val="0029797C"/>
    <w:rsid w:val="00297C79"/>
    <w:rsid w:val="00297CD6"/>
    <w:rsid w:val="00297E13"/>
    <w:rsid w:val="00297F57"/>
    <w:rsid w:val="00297F71"/>
    <w:rsid w:val="002A00C4"/>
    <w:rsid w:val="002A0355"/>
    <w:rsid w:val="002A0BF8"/>
    <w:rsid w:val="002A0E46"/>
    <w:rsid w:val="002A115D"/>
    <w:rsid w:val="002A119A"/>
    <w:rsid w:val="002A1280"/>
    <w:rsid w:val="002A1362"/>
    <w:rsid w:val="002A13FC"/>
    <w:rsid w:val="002A14F8"/>
    <w:rsid w:val="002A15EE"/>
    <w:rsid w:val="002A17AC"/>
    <w:rsid w:val="002A19CA"/>
    <w:rsid w:val="002A1A1A"/>
    <w:rsid w:val="002A1B13"/>
    <w:rsid w:val="002A1B3D"/>
    <w:rsid w:val="002A1D00"/>
    <w:rsid w:val="002A1EDF"/>
    <w:rsid w:val="002A1FD0"/>
    <w:rsid w:val="002A200A"/>
    <w:rsid w:val="002A2ABC"/>
    <w:rsid w:val="002A2E7C"/>
    <w:rsid w:val="002A329F"/>
    <w:rsid w:val="002A3554"/>
    <w:rsid w:val="002A3599"/>
    <w:rsid w:val="002A3786"/>
    <w:rsid w:val="002A390E"/>
    <w:rsid w:val="002A3A36"/>
    <w:rsid w:val="002A3B15"/>
    <w:rsid w:val="002A3CFB"/>
    <w:rsid w:val="002A3DCE"/>
    <w:rsid w:val="002A3E05"/>
    <w:rsid w:val="002A410A"/>
    <w:rsid w:val="002A4139"/>
    <w:rsid w:val="002A419D"/>
    <w:rsid w:val="002A41EA"/>
    <w:rsid w:val="002A4234"/>
    <w:rsid w:val="002A4996"/>
    <w:rsid w:val="002A4AA1"/>
    <w:rsid w:val="002A4CEE"/>
    <w:rsid w:val="002A4E43"/>
    <w:rsid w:val="002A4EFD"/>
    <w:rsid w:val="002A4F40"/>
    <w:rsid w:val="002A5145"/>
    <w:rsid w:val="002A51D3"/>
    <w:rsid w:val="002A553F"/>
    <w:rsid w:val="002A561D"/>
    <w:rsid w:val="002A5659"/>
    <w:rsid w:val="002A56CB"/>
    <w:rsid w:val="002A5731"/>
    <w:rsid w:val="002A5B79"/>
    <w:rsid w:val="002A5DB6"/>
    <w:rsid w:val="002A5DC1"/>
    <w:rsid w:val="002A5FDE"/>
    <w:rsid w:val="002A61F1"/>
    <w:rsid w:val="002A6493"/>
    <w:rsid w:val="002A6894"/>
    <w:rsid w:val="002A6AF5"/>
    <w:rsid w:val="002A70FF"/>
    <w:rsid w:val="002A7244"/>
    <w:rsid w:val="002A751E"/>
    <w:rsid w:val="002A789D"/>
    <w:rsid w:val="002A7973"/>
    <w:rsid w:val="002A7C39"/>
    <w:rsid w:val="002A7C44"/>
    <w:rsid w:val="002A7C52"/>
    <w:rsid w:val="002B0202"/>
    <w:rsid w:val="002B0278"/>
    <w:rsid w:val="002B02E5"/>
    <w:rsid w:val="002B035E"/>
    <w:rsid w:val="002B0427"/>
    <w:rsid w:val="002B063A"/>
    <w:rsid w:val="002B0A41"/>
    <w:rsid w:val="002B0B5A"/>
    <w:rsid w:val="002B0FBF"/>
    <w:rsid w:val="002B1267"/>
    <w:rsid w:val="002B16A5"/>
    <w:rsid w:val="002B18A2"/>
    <w:rsid w:val="002B1D34"/>
    <w:rsid w:val="002B1E20"/>
    <w:rsid w:val="002B1E61"/>
    <w:rsid w:val="002B1EC7"/>
    <w:rsid w:val="002B1F15"/>
    <w:rsid w:val="002B2131"/>
    <w:rsid w:val="002B2278"/>
    <w:rsid w:val="002B2312"/>
    <w:rsid w:val="002B2343"/>
    <w:rsid w:val="002B235B"/>
    <w:rsid w:val="002B25C2"/>
    <w:rsid w:val="002B28EA"/>
    <w:rsid w:val="002B2A28"/>
    <w:rsid w:val="002B2AD9"/>
    <w:rsid w:val="002B2B18"/>
    <w:rsid w:val="002B2B45"/>
    <w:rsid w:val="002B2D23"/>
    <w:rsid w:val="002B2D2A"/>
    <w:rsid w:val="002B320A"/>
    <w:rsid w:val="002B33D1"/>
    <w:rsid w:val="002B33D2"/>
    <w:rsid w:val="002B3471"/>
    <w:rsid w:val="002B3489"/>
    <w:rsid w:val="002B3752"/>
    <w:rsid w:val="002B38E2"/>
    <w:rsid w:val="002B3A3E"/>
    <w:rsid w:val="002B3A63"/>
    <w:rsid w:val="002B3CC5"/>
    <w:rsid w:val="002B3F29"/>
    <w:rsid w:val="002B41AF"/>
    <w:rsid w:val="002B433C"/>
    <w:rsid w:val="002B4395"/>
    <w:rsid w:val="002B4653"/>
    <w:rsid w:val="002B4676"/>
    <w:rsid w:val="002B4980"/>
    <w:rsid w:val="002B4A19"/>
    <w:rsid w:val="002B4BB2"/>
    <w:rsid w:val="002B4C93"/>
    <w:rsid w:val="002B4CAA"/>
    <w:rsid w:val="002B4D35"/>
    <w:rsid w:val="002B4D48"/>
    <w:rsid w:val="002B4D84"/>
    <w:rsid w:val="002B4DC1"/>
    <w:rsid w:val="002B4EF6"/>
    <w:rsid w:val="002B506F"/>
    <w:rsid w:val="002B53F2"/>
    <w:rsid w:val="002B5729"/>
    <w:rsid w:val="002B5900"/>
    <w:rsid w:val="002B59D7"/>
    <w:rsid w:val="002B5C0A"/>
    <w:rsid w:val="002B5D1E"/>
    <w:rsid w:val="002B5F98"/>
    <w:rsid w:val="002B5FC9"/>
    <w:rsid w:val="002B60E9"/>
    <w:rsid w:val="002B619D"/>
    <w:rsid w:val="002B626B"/>
    <w:rsid w:val="002B6343"/>
    <w:rsid w:val="002B638C"/>
    <w:rsid w:val="002B63BF"/>
    <w:rsid w:val="002B643F"/>
    <w:rsid w:val="002B655F"/>
    <w:rsid w:val="002B65E9"/>
    <w:rsid w:val="002B6765"/>
    <w:rsid w:val="002B6767"/>
    <w:rsid w:val="002B67E8"/>
    <w:rsid w:val="002B68D7"/>
    <w:rsid w:val="002B6A6F"/>
    <w:rsid w:val="002B6C12"/>
    <w:rsid w:val="002B6CE1"/>
    <w:rsid w:val="002B6D33"/>
    <w:rsid w:val="002B6F38"/>
    <w:rsid w:val="002B7188"/>
    <w:rsid w:val="002B71B8"/>
    <w:rsid w:val="002B74F8"/>
    <w:rsid w:val="002B7536"/>
    <w:rsid w:val="002B7543"/>
    <w:rsid w:val="002B757B"/>
    <w:rsid w:val="002B75B4"/>
    <w:rsid w:val="002B7AF5"/>
    <w:rsid w:val="002B7B06"/>
    <w:rsid w:val="002B7DEB"/>
    <w:rsid w:val="002B7E8B"/>
    <w:rsid w:val="002B7EDF"/>
    <w:rsid w:val="002B7EFE"/>
    <w:rsid w:val="002B7F73"/>
    <w:rsid w:val="002C005D"/>
    <w:rsid w:val="002C00D6"/>
    <w:rsid w:val="002C0251"/>
    <w:rsid w:val="002C035D"/>
    <w:rsid w:val="002C0385"/>
    <w:rsid w:val="002C07F3"/>
    <w:rsid w:val="002C088B"/>
    <w:rsid w:val="002C09FA"/>
    <w:rsid w:val="002C0B87"/>
    <w:rsid w:val="002C0D29"/>
    <w:rsid w:val="002C0DCB"/>
    <w:rsid w:val="002C119B"/>
    <w:rsid w:val="002C12A9"/>
    <w:rsid w:val="002C14AB"/>
    <w:rsid w:val="002C153A"/>
    <w:rsid w:val="002C1DB9"/>
    <w:rsid w:val="002C1E53"/>
    <w:rsid w:val="002C2140"/>
    <w:rsid w:val="002C2206"/>
    <w:rsid w:val="002C224C"/>
    <w:rsid w:val="002C2407"/>
    <w:rsid w:val="002C2804"/>
    <w:rsid w:val="002C2945"/>
    <w:rsid w:val="002C2AC4"/>
    <w:rsid w:val="002C2AEB"/>
    <w:rsid w:val="002C2E40"/>
    <w:rsid w:val="002C2E5A"/>
    <w:rsid w:val="002C31CD"/>
    <w:rsid w:val="002C327E"/>
    <w:rsid w:val="002C32D5"/>
    <w:rsid w:val="002C3910"/>
    <w:rsid w:val="002C3A8D"/>
    <w:rsid w:val="002C3ACB"/>
    <w:rsid w:val="002C3C4C"/>
    <w:rsid w:val="002C3CC8"/>
    <w:rsid w:val="002C3D00"/>
    <w:rsid w:val="002C4275"/>
    <w:rsid w:val="002C4294"/>
    <w:rsid w:val="002C42D6"/>
    <w:rsid w:val="002C4785"/>
    <w:rsid w:val="002C4808"/>
    <w:rsid w:val="002C4896"/>
    <w:rsid w:val="002C489E"/>
    <w:rsid w:val="002C48A3"/>
    <w:rsid w:val="002C48D7"/>
    <w:rsid w:val="002C48E7"/>
    <w:rsid w:val="002C4A38"/>
    <w:rsid w:val="002C4A7D"/>
    <w:rsid w:val="002C4CD1"/>
    <w:rsid w:val="002C4D11"/>
    <w:rsid w:val="002C4E6D"/>
    <w:rsid w:val="002C4E9A"/>
    <w:rsid w:val="002C50CA"/>
    <w:rsid w:val="002C5165"/>
    <w:rsid w:val="002C5297"/>
    <w:rsid w:val="002C549F"/>
    <w:rsid w:val="002C56D9"/>
    <w:rsid w:val="002C581E"/>
    <w:rsid w:val="002C59C9"/>
    <w:rsid w:val="002C59F4"/>
    <w:rsid w:val="002C5B91"/>
    <w:rsid w:val="002C5BE0"/>
    <w:rsid w:val="002C5DFF"/>
    <w:rsid w:val="002C5FF0"/>
    <w:rsid w:val="002C6015"/>
    <w:rsid w:val="002C605E"/>
    <w:rsid w:val="002C60B5"/>
    <w:rsid w:val="002C6243"/>
    <w:rsid w:val="002C6305"/>
    <w:rsid w:val="002C647A"/>
    <w:rsid w:val="002C64D4"/>
    <w:rsid w:val="002C6547"/>
    <w:rsid w:val="002C6666"/>
    <w:rsid w:val="002C678D"/>
    <w:rsid w:val="002C69BB"/>
    <w:rsid w:val="002C6CA8"/>
    <w:rsid w:val="002C6D17"/>
    <w:rsid w:val="002C7561"/>
    <w:rsid w:val="002C7B1E"/>
    <w:rsid w:val="002C7BAD"/>
    <w:rsid w:val="002C7D22"/>
    <w:rsid w:val="002C7ED3"/>
    <w:rsid w:val="002C7FFA"/>
    <w:rsid w:val="002D0039"/>
    <w:rsid w:val="002D00C3"/>
    <w:rsid w:val="002D018D"/>
    <w:rsid w:val="002D067F"/>
    <w:rsid w:val="002D094D"/>
    <w:rsid w:val="002D0A02"/>
    <w:rsid w:val="002D0CF3"/>
    <w:rsid w:val="002D0E1D"/>
    <w:rsid w:val="002D0FB9"/>
    <w:rsid w:val="002D1221"/>
    <w:rsid w:val="002D1260"/>
    <w:rsid w:val="002D143E"/>
    <w:rsid w:val="002D153D"/>
    <w:rsid w:val="002D1616"/>
    <w:rsid w:val="002D16C0"/>
    <w:rsid w:val="002D1880"/>
    <w:rsid w:val="002D1D90"/>
    <w:rsid w:val="002D1DC4"/>
    <w:rsid w:val="002D1E1A"/>
    <w:rsid w:val="002D1F71"/>
    <w:rsid w:val="002D20B9"/>
    <w:rsid w:val="002D2140"/>
    <w:rsid w:val="002D26B0"/>
    <w:rsid w:val="002D29BE"/>
    <w:rsid w:val="002D2DCA"/>
    <w:rsid w:val="002D2F9F"/>
    <w:rsid w:val="002D3116"/>
    <w:rsid w:val="002D33E0"/>
    <w:rsid w:val="002D34A9"/>
    <w:rsid w:val="002D3707"/>
    <w:rsid w:val="002D38C3"/>
    <w:rsid w:val="002D3A07"/>
    <w:rsid w:val="002D3B0C"/>
    <w:rsid w:val="002D3E61"/>
    <w:rsid w:val="002D3FE4"/>
    <w:rsid w:val="002D4006"/>
    <w:rsid w:val="002D430B"/>
    <w:rsid w:val="002D441D"/>
    <w:rsid w:val="002D448F"/>
    <w:rsid w:val="002D44CE"/>
    <w:rsid w:val="002D4545"/>
    <w:rsid w:val="002D4570"/>
    <w:rsid w:val="002D45DC"/>
    <w:rsid w:val="002D48E3"/>
    <w:rsid w:val="002D4943"/>
    <w:rsid w:val="002D4964"/>
    <w:rsid w:val="002D4AAB"/>
    <w:rsid w:val="002D4BF5"/>
    <w:rsid w:val="002D4C42"/>
    <w:rsid w:val="002D4C93"/>
    <w:rsid w:val="002D4E47"/>
    <w:rsid w:val="002D5224"/>
    <w:rsid w:val="002D54DB"/>
    <w:rsid w:val="002D5518"/>
    <w:rsid w:val="002D552D"/>
    <w:rsid w:val="002D5651"/>
    <w:rsid w:val="002D5733"/>
    <w:rsid w:val="002D5A0E"/>
    <w:rsid w:val="002D5AAD"/>
    <w:rsid w:val="002D5CD3"/>
    <w:rsid w:val="002D5D06"/>
    <w:rsid w:val="002D6182"/>
    <w:rsid w:val="002D6472"/>
    <w:rsid w:val="002D65E3"/>
    <w:rsid w:val="002D67BB"/>
    <w:rsid w:val="002D6A01"/>
    <w:rsid w:val="002D6E2F"/>
    <w:rsid w:val="002D6EA3"/>
    <w:rsid w:val="002D6EF3"/>
    <w:rsid w:val="002D6FC9"/>
    <w:rsid w:val="002D7031"/>
    <w:rsid w:val="002D7041"/>
    <w:rsid w:val="002D7328"/>
    <w:rsid w:val="002D734F"/>
    <w:rsid w:val="002D735B"/>
    <w:rsid w:val="002D73E4"/>
    <w:rsid w:val="002D77EB"/>
    <w:rsid w:val="002D7872"/>
    <w:rsid w:val="002D788B"/>
    <w:rsid w:val="002D7A8B"/>
    <w:rsid w:val="002D7AB0"/>
    <w:rsid w:val="002D7B1A"/>
    <w:rsid w:val="002D7D11"/>
    <w:rsid w:val="002D7DA0"/>
    <w:rsid w:val="002D7DB5"/>
    <w:rsid w:val="002E00E2"/>
    <w:rsid w:val="002E04A3"/>
    <w:rsid w:val="002E0601"/>
    <w:rsid w:val="002E097B"/>
    <w:rsid w:val="002E0A51"/>
    <w:rsid w:val="002E0A75"/>
    <w:rsid w:val="002E0A7B"/>
    <w:rsid w:val="002E0B20"/>
    <w:rsid w:val="002E0CCD"/>
    <w:rsid w:val="002E0E2E"/>
    <w:rsid w:val="002E112E"/>
    <w:rsid w:val="002E11BE"/>
    <w:rsid w:val="002E1484"/>
    <w:rsid w:val="002E153C"/>
    <w:rsid w:val="002E169D"/>
    <w:rsid w:val="002E1AD4"/>
    <w:rsid w:val="002E1B12"/>
    <w:rsid w:val="002E1BF8"/>
    <w:rsid w:val="002E1CB6"/>
    <w:rsid w:val="002E1D4E"/>
    <w:rsid w:val="002E2315"/>
    <w:rsid w:val="002E2571"/>
    <w:rsid w:val="002E259A"/>
    <w:rsid w:val="002E26E2"/>
    <w:rsid w:val="002E289B"/>
    <w:rsid w:val="002E2949"/>
    <w:rsid w:val="002E296B"/>
    <w:rsid w:val="002E2BAB"/>
    <w:rsid w:val="002E2D52"/>
    <w:rsid w:val="002E2E05"/>
    <w:rsid w:val="002E2E4D"/>
    <w:rsid w:val="002E2E55"/>
    <w:rsid w:val="002E2FF7"/>
    <w:rsid w:val="002E30E7"/>
    <w:rsid w:val="002E31B2"/>
    <w:rsid w:val="002E31E3"/>
    <w:rsid w:val="002E3304"/>
    <w:rsid w:val="002E33D4"/>
    <w:rsid w:val="002E353F"/>
    <w:rsid w:val="002E368A"/>
    <w:rsid w:val="002E39A1"/>
    <w:rsid w:val="002E3A27"/>
    <w:rsid w:val="002E3D27"/>
    <w:rsid w:val="002E3DCB"/>
    <w:rsid w:val="002E3E50"/>
    <w:rsid w:val="002E3E8C"/>
    <w:rsid w:val="002E4069"/>
    <w:rsid w:val="002E40E6"/>
    <w:rsid w:val="002E4156"/>
    <w:rsid w:val="002E4258"/>
    <w:rsid w:val="002E460A"/>
    <w:rsid w:val="002E460F"/>
    <w:rsid w:val="002E4610"/>
    <w:rsid w:val="002E4929"/>
    <w:rsid w:val="002E49F0"/>
    <w:rsid w:val="002E4B85"/>
    <w:rsid w:val="002E4D84"/>
    <w:rsid w:val="002E4DFF"/>
    <w:rsid w:val="002E5065"/>
    <w:rsid w:val="002E511C"/>
    <w:rsid w:val="002E5193"/>
    <w:rsid w:val="002E5471"/>
    <w:rsid w:val="002E54B6"/>
    <w:rsid w:val="002E5765"/>
    <w:rsid w:val="002E592D"/>
    <w:rsid w:val="002E5A9B"/>
    <w:rsid w:val="002E5B3A"/>
    <w:rsid w:val="002E5E0F"/>
    <w:rsid w:val="002E5F16"/>
    <w:rsid w:val="002E62FE"/>
    <w:rsid w:val="002E6394"/>
    <w:rsid w:val="002E647F"/>
    <w:rsid w:val="002E65F0"/>
    <w:rsid w:val="002E6610"/>
    <w:rsid w:val="002E66E1"/>
    <w:rsid w:val="002E6735"/>
    <w:rsid w:val="002E6799"/>
    <w:rsid w:val="002E6925"/>
    <w:rsid w:val="002E6A62"/>
    <w:rsid w:val="002E6DE4"/>
    <w:rsid w:val="002E6FF3"/>
    <w:rsid w:val="002E7100"/>
    <w:rsid w:val="002E72B9"/>
    <w:rsid w:val="002E7370"/>
    <w:rsid w:val="002E7465"/>
    <w:rsid w:val="002E7598"/>
    <w:rsid w:val="002E761D"/>
    <w:rsid w:val="002E76A5"/>
    <w:rsid w:val="002E7777"/>
    <w:rsid w:val="002E77EF"/>
    <w:rsid w:val="002E789C"/>
    <w:rsid w:val="002E7A15"/>
    <w:rsid w:val="002E7CBD"/>
    <w:rsid w:val="002E7F22"/>
    <w:rsid w:val="002F008F"/>
    <w:rsid w:val="002F00C8"/>
    <w:rsid w:val="002F046F"/>
    <w:rsid w:val="002F0542"/>
    <w:rsid w:val="002F059C"/>
    <w:rsid w:val="002F06B1"/>
    <w:rsid w:val="002F070D"/>
    <w:rsid w:val="002F0A91"/>
    <w:rsid w:val="002F0F8C"/>
    <w:rsid w:val="002F10B6"/>
    <w:rsid w:val="002F1214"/>
    <w:rsid w:val="002F1289"/>
    <w:rsid w:val="002F12A7"/>
    <w:rsid w:val="002F15F1"/>
    <w:rsid w:val="002F16B6"/>
    <w:rsid w:val="002F1DC5"/>
    <w:rsid w:val="002F1F8F"/>
    <w:rsid w:val="002F208B"/>
    <w:rsid w:val="002F22FB"/>
    <w:rsid w:val="002F254F"/>
    <w:rsid w:val="002F28F6"/>
    <w:rsid w:val="002F293A"/>
    <w:rsid w:val="002F2962"/>
    <w:rsid w:val="002F2E1B"/>
    <w:rsid w:val="002F2F23"/>
    <w:rsid w:val="002F2F55"/>
    <w:rsid w:val="002F319E"/>
    <w:rsid w:val="002F33B3"/>
    <w:rsid w:val="002F3508"/>
    <w:rsid w:val="002F3791"/>
    <w:rsid w:val="002F37D5"/>
    <w:rsid w:val="002F3828"/>
    <w:rsid w:val="002F3A3E"/>
    <w:rsid w:val="002F3C4A"/>
    <w:rsid w:val="002F3D77"/>
    <w:rsid w:val="002F4020"/>
    <w:rsid w:val="002F4058"/>
    <w:rsid w:val="002F4067"/>
    <w:rsid w:val="002F419A"/>
    <w:rsid w:val="002F445B"/>
    <w:rsid w:val="002F4624"/>
    <w:rsid w:val="002F47CC"/>
    <w:rsid w:val="002F47FC"/>
    <w:rsid w:val="002F499F"/>
    <w:rsid w:val="002F49B8"/>
    <w:rsid w:val="002F4CAF"/>
    <w:rsid w:val="002F5012"/>
    <w:rsid w:val="002F50C5"/>
    <w:rsid w:val="002F59BC"/>
    <w:rsid w:val="002F5AD5"/>
    <w:rsid w:val="002F5B3B"/>
    <w:rsid w:val="002F5C31"/>
    <w:rsid w:val="002F5C84"/>
    <w:rsid w:val="002F612D"/>
    <w:rsid w:val="002F618E"/>
    <w:rsid w:val="002F62A5"/>
    <w:rsid w:val="002F645C"/>
    <w:rsid w:val="002F6508"/>
    <w:rsid w:val="002F6757"/>
    <w:rsid w:val="002F67F9"/>
    <w:rsid w:val="002F6947"/>
    <w:rsid w:val="002F6999"/>
    <w:rsid w:val="002F69D6"/>
    <w:rsid w:val="002F6BC1"/>
    <w:rsid w:val="002F6CC5"/>
    <w:rsid w:val="002F6CFE"/>
    <w:rsid w:val="002F6D37"/>
    <w:rsid w:val="002F6FDD"/>
    <w:rsid w:val="002F7055"/>
    <w:rsid w:val="002F74CB"/>
    <w:rsid w:val="002F7988"/>
    <w:rsid w:val="002F7B8B"/>
    <w:rsid w:val="002F7CD5"/>
    <w:rsid w:val="002F7E16"/>
    <w:rsid w:val="002F7F0E"/>
    <w:rsid w:val="00300021"/>
    <w:rsid w:val="00300084"/>
    <w:rsid w:val="00300160"/>
    <w:rsid w:val="00300270"/>
    <w:rsid w:val="003002C4"/>
    <w:rsid w:val="003003E6"/>
    <w:rsid w:val="0030041C"/>
    <w:rsid w:val="003004E8"/>
    <w:rsid w:val="003005F0"/>
    <w:rsid w:val="0030065C"/>
    <w:rsid w:val="003006BC"/>
    <w:rsid w:val="003006F0"/>
    <w:rsid w:val="00300B2A"/>
    <w:rsid w:val="00300DB0"/>
    <w:rsid w:val="00300EC9"/>
    <w:rsid w:val="00300F97"/>
    <w:rsid w:val="00300FD4"/>
    <w:rsid w:val="0030120C"/>
    <w:rsid w:val="00301272"/>
    <w:rsid w:val="00301391"/>
    <w:rsid w:val="00301465"/>
    <w:rsid w:val="0030158E"/>
    <w:rsid w:val="0030179B"/>
    <w:rsid w:val="00301867"/>
    <w:rsid w:val="00301D79"/>
    <w:rsid w:val="00301DA6"/>
    <w:rsid w:val="003020EE"/>
    <w:rsid w:val="003021D8"/>
    <w:rsid w:val="003022DB"/>
    <w:rsid w:val="00302304"/>
    <w:rsid w:val="003024C5"/>
    <w:rsid w:val="003028CD"/>
    <w:rsid w:val="00302BC3"/>
    <w:rsid w:val="00302BEF"/>
    <w:rsid w:val="00302CE4"/>
    <w:rsid w:val="00302D2C"/>
    <w:rsid w:val="00302D4A"/>
    <w:rsid w:val="00302DF6"/>
    <w:rsid w:val="00302F52"/>
    <w:rsid w:val="00302F68"/>
    <w:rsid w:val="00302FA7"/>
    <w:rsid w:val="00303187"/>
    <w:rsid w:val="003031AE"/>
    <w:rsid w:val="003031F5"/>
    <w:rsid w:val="00303262"/>
    <w:rsid w:val="00303339"/>
    <w:rsid w:val="00303572"/>
    <w:rsid w:val="00303583"/>
    <w:rsid w:val="003035D7"/>
    <w:rsid w:val="003036C3"/>
    <w:rsid w:val="00303890"/>
    <w:rsid w:val="00303A0A"/>
    <w:rsid w:val="00303AB5"/>
    <w:rsid w:val="00303BB3"/>
    <w:rsid w:val="00303CB1"/>
    <w:rsid w:val="00303DCA"/>
    <w:rsid w:val="00303E60"/>
    <w:rsid w:val="0030409B"/>
    <w:rsid w:val="0030468D"/>
    <w:rsid w:val="003049E1"/>
    <w:rsid w:val="00304A11"/>
    <w:rsid w:val="00304AB6"/>
    <w:rsid w:val="00304AF2"/>
    <w:rsid w:val="00304C75"/>
    <w:rsid w:val="00304DFA"/>
    <w:rsid w:val="003050B8"/>
    <w:rsid w:val="0030514B"/>
    <w:rsid w:val="003051C2"/>
    <w:rsid w:val="003059CE"/>
    <w:rsid w:val="003062CC"/>
    <w:rsid w:val="0030659C"/>
    <w:rsid w:val="0030661F"/>
    <w:rsid w:val="003068A0"/>
    <w:rsid w:val="003069D3"/>
    <w:rsid w:val="00306E00"/>
    <w:rsid w:val="00306E8D"/>
    <w:rsid w:val="0030706C"/>
    <w:rsid w:val="0030710E"/>
    <w:rsid w:val="00307354"/>
    <w:rsid w:val="003073FE"/>
    <w:rsid w:val="00307757"/>
    <w:rsid w:val="003077C2"/>
    <w:rsid w:val="00307986"/>
    <w:rsid w:val="003079BB"/>
    <w:rsid w:val="00307A3A"/>
    <w:rsid w:val="00307AE2"/>
    <w:rsid w:val="00307C19"/>
    <w:rsid w:val="00307C98"/>
    <w:rsid w:val="00307D38"/>
    <w:rsid w:val="00307F31"/>
    <w:rsid w:val="0031005E"/>
    <w:rsid w:val="00310063"/>
    <w:rsid w:val="00310281"/>
    <w:rsid w:val="003102AA"/>
    <w:rsid w:val="003102C7"/>
    <w:rsid w:val="0031056E"/>
    <w:rsid w:val="0031094B"/>
    <w:rsid w:val="00310A1E"/>
    <w:rsid w:val="00310AC7"/>
    <w:rsid w:val="00310B25"/>
    <w:rsid w:val="00310C0A"/>
    <w:rsid w:val="00310D22"/>
    <w:rsid w:val="00310DD5"/>
    <w:rsid w:val="0031105A"/>
    <w:rsid w:val="00311099"/>
    <w:rsid w:val="003112AF"/>
    <w:rsid w:val="0031137D"/>
    <w:rsid w:val="003114A3"/>
    <w:rsid w:val="003115A1"/>
    <w:rsid w:val="003115C5"/>
    <w:rsid w:val="0031160C"/>
    <w:rsid w:val="00311785"/>
    <w:rsid w:val="003117F7"/>
    <w:rsid w:val="00311923"/>
    <w:rsid w:val="00311A98"/>
    <w:rsid w:val="00311D21"/>
    <w:rsid w:val="00312174"/>
    <w:rsid w:val="0031222A"/>
    <w:rsid w:val="00312377"/>
    <w:rsid w:val="00312617"/>
    <w:rsid w:val="003126BD"/>
    <w:rsid w:val="003127E4"/>
    <w:rsid w:val="003128AD"/>
    <w:rsid w:val="00312924"/>
    <w:rsid w:val="00312AC5"/>
    <w:rsid w:val="00312C19"/>
    <w:rsid w:val="00312EE8"/>
    <w:rsid w:val="00312F2B"/>
    <w:rsid w:val="003130D0"/>
    <w:rsid w:val="003130D7"/>
    <w:rsid w:val="003134DB"/>
    <w:rsid w:val="00313634"/>
    <w:rsid w:val="003136BE"/>
    <w:rsid w:val="00313724"/>
    <w:rsid w:val="0031378A"/>
    <w:rsid w:val="003137A9"/>
    <w:rsid w:val="003138B2"/>
    <w:rsid w:val="003139B8"/>
    <w:rsid w:val="00313A9B"/>
    <w:rsid w:val="003141D3"/>
    <w:rsid w:val="003142F9"/>
    <w:rsid w:val="00314405"/>
    <w:rsid w:val="00314491"/>
    <w:rsid w:val="0031450E"/>
    <w:rsid w:val="0031456D"/>
    <w:rsid w:val="00314816"/>
    <w:rsid w:val="003149A3"/>
    <w:rsid w:val="00314B29"/>
    <w:rsid w:val="00314C49"/>
    <w:rsid w:val="00314EE4"/>
    <w:rsid w:val="0031508B"/>
    <w:rsid w:val="003150FC"/>
    <w:rsid w:val="00315523"/>
    <w:rsid w:val="00315729"/>
    <w:rsid w:val="003159CE"/>
    <w:rsid w:val="00315B1A"/>
    <w:rsid w:val="00315C44"/>
    <w:rsid w:val="00315E66"/>
    <w:rsid w:val="00315F64"/>
    <w:rsid w:val="00316239"/>
    <w:rsid w:val="00316532"/>
    <w:rsid w:val="003166AD"/>
    <w:rsid w:val="00316727"/>
    <w:rsid w:val="00316752"/>
    <w:rsid w:val="003169EE"/>
    <w:rsid w:val="00316B9F"/>
    <w:rsid w:val="00316C1C"/>
    <w:rsid w:val="00316E8E"/>
    <w:rsid w:val="00317054"/>
    <w:rsid w:val="003171A5"/>
    <w:rsid w:val="003179E1"/>
    <w:rsid w:val="003179E8"/>
    <w:rsid w:val="00317A79"/>
    <w:rsid w:val="00317B89"/>
    <w:rsid w:val="00317C8E"/>
    <w:rsid w:val="00317E4A"/>
    <w:rsid w:val="00317F12"/>
    <w:rsid w:val="00317F45"/>
    <w:rsid w:val="003201C8"/>
    <w:rsid w:val="003201CB"/>
    <w:rsid w:val="003208D4"/>
    <w:rsid w:val="00320923"/>
    <w:rsid w:val="00320B72"/>
    <w:rsid w:val="00320BFC"/>
    <w:rsid w:val="00320C05"/>
    <w:rsid w:val="00320CB7"/>
    <w:rsid w:val="00320DD8"/>
    <w:rsid w:val="003210F7"/>
    <w:rsid w:val="0032112E"/>
    <w:rsid w:val="00321148"/>
    <w:rsid w:val="00321180"/>
    <w:rsid w:val="0032151F"/>
    <w:rsid w:val="003215C0"/>
    <w:rsid w:val="0032163F"/>
    <w:rsid w:val="0032164C"/>
    <w:rsid w:val="003217E1"/>
    <w:rsid w:val="00321927"/>
    <w:rsid w:val="003219A6"/>
    <w:rsid w:val="00321A36"/>
    <w:rsid w:val="00321B5D"/>
    <w:rsid w:val="0032237F"/>
    <w:rsid w:val="00322404"/>
    <w:rsid w:val="003224EE"/>
    <w:rsid w:val="00322508"/>
    <w:rsid w:val="003229C1"/>
    <w:rsid w:val="00322C4D"/>
    <w:rsid w:val="00322CCD"/>
    <w:rsid w:val="00322EC6"/>
    <w:rsid w:val="003230B9"/>
    <w:rsid w:val="0032311C"/>
    <w:rsid w:val="003231AF"/>
    <w:rsid w:val="00323204"/>
    <w:rsid w:val="003232FE"/>
    <w:rsid w:val="003234C8"/>
    <w:rsid w:val="0032359A"/>
    <w:rsid w:val="00323621"/>
    <w:rsid w:val="003236F5"/>
    <w:rsid w:val="00323A01"/>
    <w:rsid w:val="00323B3D"/>
    <w:rsid w:val="00323B63"/>
    <w:rsid w:val="00323DBA"/>
    <w:rsid w:val="00323E1C"/>
    <w:rsid w:val="00323F05"/>
    <w:rsid w:val="00324021"/>
    <w:rsid w:val="003241D5"/>
    <w:rsid w:val="0032443C"/>
    <w:rsid w:val="00324475"/>
    <w:rsid w:val="0032460A"/>
    <w:rsid w:val="003246BC"/>
    <w:rsid w:val="00324948"/>
    <w:rsid w:val="003249C4"/>
    <w:rsid w:val="00324B25"/>
    <w:rsid w:val="00324CB2"/>
    <w:rsid w:val="00324D0E"/>
    <w:rsid w:val="00324E35"/>
    <w:rsid w:val="00324FD3"/>
    <w:rsid w:val="00325435"/>
    <w:rsid w:val="003256FD"/>
    <w:rsid w:val="00325783"/>
    <w:rsid w:val="00325786"/>
    <w:rsid w:val="0032587A"/>
    <w:rsid w:val="00325900"/>
    <w:rsid w:val="00325925"/>
    <w:rsid w:val="00325B27"/>
    <w:rsid w:val="00325B48"/>
    <w:rsid w:val="00325C0B"/>
    <w:rsid w:val="00325E2F"/>
    <w:rsid w:val="00326303"/>
    <w:rsid w:val="0032639B"/>
    <w:rsid w:val="003263DB"/>
    <w:rsid w:val="0032663F"/>
    <w:rsid w:val="00326A71"/>
    <w:rsid w:val="00326BCA"/>
    <w:rsid w:val="00326C0D"/>
    <w:rsid w:val="00326D5C"/>
    <w:rsid w:val="00326EB5"/>
    <w:rsid w:val="00326FA1"/>
    <w:rsid w:val="00327089"/>
    <w:rsid w:val="0032708B"/>
    <w:rsid w:val="00327091"/>
    <w:rsid w:val="003270C9"/>
    <w:rsid w:val="00327407"/>
    <w:rsid w:val="00327525"/>
    <w:rsid w:val="003279D0"/>
    <w:rsid w:val="00327AB0"/>
    <w:rsid w:val="00327B08"/>
    <w:rsid w:val="00327D59"/>
    <w:rsid w:val="0033027B"/>
    <w:rsid w:val="00330353"/>
    <w:rsid w:val="003308DF"/>
    <w:rsid w:val="00330A2F"/>
    <w:rsid w:val="00330BF5"/>
    <w:rsid w:val="00330D6E"/>
    <w:rsid w:val="00330DCE"/>
    <w:rsid w:val="00330E77"/>
    <w:rsid w:val="00330FD2"/>
    <w:rsid w:val="0033138A"/>
    <w:rsid w:val="003315FE"/>
    <w:rsid w:val="00331753"/>
    <w:rsid w:val="00331875"/>
    <w:rsid w:val="00331899"/>
    <w:rsid w:val="003318A2"/>
    <w:rsid w:val="00331AC1"/>
    <w:rsid w:val="00331B93"/>
    <w:rsid w:val="00331C73"/>
    <w:rsid w:val="00331CAE"/>
    <w:rsid w:val="00331CD5"/>
    <w:rsid w:val="00331F00"/>
    <w:rsid w:val="00331F33"/>
    <w:rsid w:val="00331FF0"/>
    <w:rsid w:val="00332444"/>
    <w:rsid w:val="00332609"/>
    <w:rsid w:val="003326C9"/>
    <w:rsid w:val="003326D8"/>
    <w:rsid w:val="00332816"/>
    <w:rsid w:val="00332A07"/>
    <w:rsid w:val="00332B2D"/>
    <w:rsid w:val="00332B41"/>
    <w:rsid w:val="00332BE4"/>
    <w:rsid w:val="00332C9C"/>
    <w:rsid w:val="00332DA8"/>
    <w:rsid w:val="00332F9B"/>
    <w:rsid w:val="0033326C"/>
    <w:rsid w:val="0033369E"/>
    <w:rsid w:val="00333762"/>
    <w:rsid w:val="00333834"/>
    <w:rsid w:val="00333837"/>
    <w:rsid w:val="003338A6"/>
    <w:rsid w:val="00333A4B"/>
    <w:rsid w:val="00333A4E"/>
    <w:rsid w:val="00333B91"/>
    <w:rsid w:val="00333BC0"/>
    <w:rsid w:val="00333CD4"/>
    <w:rsid w:val="00333D5C"/>
    <w:rsid w:val="00333F32"/>
    <w:rsid w:val="0033408E"/>
    <w:rsid w:val="003343EC"/>
    <w:rsid w:val="003344DB"/>
    <w:rsid w:val="003344F6"/>
    <w:rsid w:val="0033451E"/>
    <w:rsid w:val="00334631"/>
    <w:rsid w:val="0033463C"/>
    <w:rsid w:val="00334656"/>
    <w:rsid w:val="00334677"/>
    <w:rsid w:val="0033475A"/>
    <w:rsid w:val="00334801"/>
    <w:rsid w:val="00334982"/>
    <w:rsid w:val="00334B8E"/>
    <w:rsid w:val="00334E9F"/>
    <w:rsid w:val="00335079"/>
    <w:rsid w:val="003351D3"/>
    <w:rsid w:val="003352D7"/>
    <w:rsid w:val="0033541E"/>
    <w:rsid w:val="003355D4"/>
    <w:rsid w:val="0033560F"/>
    <w:rsid w:val="003356EA"/>
    <w:rsid w:val="00335761"/>
    <w:rsid w:val="0033576F"/>
    <w:rsid w:val="003359E2"/>
    <w:rsid w:val="003359F3"/>
    <w:rsid w:val="00335A41"/>
    <w:rsid w:val="00335C07"/>
    <w:rsid w:val="00335C3D"/>
    <w:rsid w:val="00335EC0"/>
    <w:rsid w:val="00335ECB"/>
    <w:rsid w:val="00335F1E"/>
    <w:rsid w:val="0033608F"/>
    <w:rsid w:val="0033613E"/>
    <w:rsid w:val="0033633D"/>
    <w:rsid w:val="0033634D"/>
    <w:rsid w:val="003368D0"/>
    <w:rsid w:val="003368D2"/>
    <w:rsid w:val="00336A60"/>
    <w:rsid w:val="00336B8B"/>
    <w:rsid w:val="00336BE4"/>
    <w:rsid w:val="00336D2D"/>
    <w:rsid w:val="00336F48"/>
    <w:rsid w:val="003370B6"/>
    <w:rsid w:val="003370FE"/>
    <w:rsid w:val="00337189"/>
    <w:rsid w:val="003375D6"/>
    <w:rsid w:val="003377C0"/>
    <w:rsid w:val="0033796D"/>
    <w:rsid w:val="0033798F"/>
    <w:rsid w:val="00337B8E"/>
    <w:rsid w:val="00337CD0"/>
    <w:rsid w:val="00337D04"/>
    <w:rsid w:val="0034015F"/>
    <w:rsid w:val="00340344"/>
    <w:rsid w:val="003403DE"/>
    <w:rsid w:val="00340478"/>
    <w:rsid w:val="003404C0"/>
    <w:rsid w:val="003406B1"/>
    <w:rsid w:val="0034078A"/>
    <w:rsid w:val="0034090F"/>
    <w:rsid w:val="00340921"/>
    <w:rsid w:val="0034093B"/>
    <w:rsid w:val="00340955"/>
    <w:rsid w:val="00340986"/>
    <w:rsid w:val="00340D11"/>
    <w:rsid w:val="00340D4D"/>
    <w:rsid w:val="00340FE0"/>
    <w:rsid w:val="00341132"/>
    <w:rsid w:val="00341190"/>
    <w:rsid w:val="00341259"/>
    <w:rsid w:val="003412E2"/>
    <w:rsid w:val="00341670"/>
    <w:rsid w:val="00341954"/>
    <w:rsid w:val="00341A85"/>
    <w:rsid w:val="00341DEB"/>
    <w:rsid w:val="003421A1"/>
    <w:rsid w:val="003422E6"/>
    <w:rsid w:val="00342359"/>
    <w:rsid w:val="003424DA"/>
    <w:rsid w:val="0034252C"/>
    <w:rsid w:val="00342616"/>
    <w:rsid w:val="003427AB"/>
    <w:rsid w:val="00342AA7"/>
    <w:rsid w:val="00342ACC"/>
    <w:rsid w:val="00342C96"/>
    <w:rsid w:val="00342E4B"/>
    <w:rsid w:val="00343117"/>
    <w:rsid w:val="0034311B"/>
    <w:rsid w:val="0034323A"/>
    <w:rsid w:val="00343253"/>
    <w:rsid w:val="003432BD"/>
    <w:rsid w:val="003435FB"/>
    <w:rsid w:val="00343733"/>
    <w:rsid w:val="0034378B"/>
    <w:rsid w:val="003437E8"/>
    <w:rsid w:val="003439FC"/>
    <w:rsid w:val="00343C6D"/>
    <w:rsid w:val="00343DCF"/>
    <w:rsid w:val="003441CD"/>
    <w:rsid w:val="0034424B"/>
    <w:rsid w:val="003442F2"/>
    <w:rsid w:val="00344314"/>
    <w:rsid w:val="00344473"/>
    <w:rsid w:val="00344601"/>
    <w:rsid w:val="00344771"/>
    <w:rsid w:val="0034481E"/>
    <w:rsid w:val="003448D7"/>
    <w:rsid w:val="00344998"/>
    <w:rsid w:val="003449BA"/>
    <w:rsid w:val="00344BFB"/>
    <w:rsid w:val="00344C52"/>
    <w:rsid w:val="00344DFB"/>
    <w:rsid w:val="00344E6F"/>
    <w:rsid w:val="00344EFF"/>
    <w:rsid w:val="0034503F"/>
    <w:rsid w:val="00345289"/>
    <w:rsid w:val="003452A6"/>
    <w:rsid w:val="003453F9"/>
    <w:rsid w:val="0034542C"/>
    <w:rsid w:val="00345481"/>
    <w:rsid w:val="00345639"/>
    <w:rsid w:val="0034587D"/>
    <w:rsid w:val="00345931"/>
    <w:rsid w:val="00345B0A"/>
    <w:rsid w:val="00345B36"/>
    <w:rsid w:val="00346172"/>
    <w:rsid w:val="0034646B"/>
    <w:rsid w:val="003465E8"/>
    <w:rsid w:val="003465F3"/>
    <w:rsid w:val="0034667A"/>
    <w:rsid w:val="0034697F"/>
    <w:rsid w:val="00346A8F"/>
    <w:rsid w:val="00346C06"/>
    <w:rsid w:val="00346CD7"/>
    <w:rsid w:val="00346DA9"/>
    <w:rsid w:val="00346FC2"/>
    <w:rsid w:val="00347381"/>
    <w:rsid w:val="003475A4"/>
    <w:rsid w:val="003476A0"/>
    <w:rsid w:val="0034771E"/>
    <w:rsid w:val="003478BD"/>
    <w:rsid w:val="00347925"/>
    <w:rsid w:val="00347A59"/>
    <w:rsid w:val="00347B25"/>
    <w:rsid w:val="00347B30"/>
    <w:rsid w:val="003502B8"/>
    <w:rsid w:val="00350A47"/>
    <w:rsid w:val="00350CC1"/>
    <w:rsid w:val="00350F86"/>
    <w:rsid w:val="00351208"/>
    <w:rsid w:val="00351647"/>
    <w:rsid w:val="00351799"/>
    <w:rsid w:val="003517A6"/>
    <w:rsid w:val="003518E2"/>
    <w:rsid w:val="003519CE"/>
    <w:rsid w:val="00351AC8"/>
    <w:rsid w:val="00351E20"/>
    <w:rsid w:val="00351F58"/>
    <w:rsid w:val="003520F9"/>
    <w:rsid w:val="003521AE"/>
    <w:rsid w:val="003523B7"/>
    <w:rsid w:val="003526EB"/>
    <w:rsid w:val="003527B7"/>
    <w:rsid w:val="00352BB4"/>
    <w:rsid w:val="00352CFF"/>
    <w:rsid w:val="00352EEB"/>
    <w:rsid w:val="00353008"/>
    <w:rsid w:val="003537B3"/>
    <w:rsid w:val="003537EE"/>
    <w:rsid w:val="00353D3F"/>
    <w:rsid w:val="00353EB0"/>
    <w:rsid w:val="00353ECF"/>
    <w:rsid w:val="00354306"/>
    <w:rsid w:val="0035441E"/>
    <w:rsid w:val="003545D2"/>
    <w:rsid w:val="003546FC"/>
    <w:rsid w:val="00354837"/>
    <w:rsid w:val="00354B10"/>
    <w:rsid w:val="00354B53"/>
    <w:rsid w:val="00354C86"/>
    <w:rsid w:val="00354DED"/>
    <w:rsid w:val="00354E33"/>
    <w:rsid w:val="00355150"/>
    <w:rsid w:val="00355193"/>
    <w:rsid w:val="003551DF"/>
    <w:rsid w:val="00355568"/>
    <w:rsid w:val="003555E2"/>
    <w:rsid w:val="0035561B"/>
    <w:rsid w:val="00355689"/>
    <w:rsid w:val="003557FA"/>
    <w:rsid w:val="003558AA"/>
    <w:rsid w:val="003559FD"/>
    <w:rsid w:val="00355B89"/>
    <w:rsid w:val="00355D33"/>
    <w:rsid w:val="00355DEA"/>
    <w:rsid w:val="00356094"/>
    <w:rsid w:val="003560FB"/>
    <w:rsid w:val="003562E9"/>
    <w:rsid w:val="00356516"/>
    <w:rsid w:val="00356525"/>
    <w:rsid w:val="00356858"/>
    <w:rsid w:val="00356964"/>
    <w:rsid w:val="00356A53"/>
    <w:rsid w:val="00356A9F"/>
    <w:rsid w:val="00356B3A"/>
    <w:rsid w:val="00356BE0"/>
    <w:rsid w:val="00356DFD"/>
    <w:rsid w:val="00357047"/>
    <w:rsid w:val="00357547"/>
    <w:rsid w:val="00357A53"/>
    <w:rsid w:val="00357C82"/>
    <w:rsid w:val="00357EBD"/>
    <w:rsid w:val="00357F1F"/>
    <w:rsid w:val="00360009"/>
    <w:rsid w:val="003602A6"/>
    <w:rsid w:val="0036031A"/>
    <w:rsid w:val="0036062E"/>
    <w:rsid w:val="0036065F"/>
    <w:rsid w:val="00360710"/>
    <w:rsid w:val="003609EE"/>
    <w:rsid w:val="00360A55"/>
    <w:rsid w:val="00360AE8"/>
    <w:rsid w:val="00360C62"/>
    <w:rsid w:val="00360DD5"/>
    <w:rsid w:val="00361080"/>
    <w:rsid w:val="00361365"/>
    <w:rsid w:val="0036145D"/>
    <w:rsid w:val="003616A5"/>
    <w:rsid w:val="0036212F"/>
    <w:rsid w:val="00362229"/>
    <w:rsid w:val="00362283"/>
    <w:rsid w:val="0036253B"/>
    <w:rsid w:val="00362546"/>
    <w:rsid w:val="00362886"/>
    <w:rsid w:val="00362AFF"/>
    <w:rsid w:val="00362BA1"/>
    <w:rsid w:val="00362C16"/>
    <w:rsid w:val="00362DF3"/>
    <w:rsid w:val="003631A3"/>
    <w:rsid w:val="00363325"/>
    <w:rsid w:val="00363398"/>
    <w:rsid w:val="003633CE"/>
    <w:rsid w:val="0036361F"/>
    <w:rsid w:val="00363745"/>
    <w:rsid w:val="00363894"/>
    <w:rsid w:val="003639F9"/>
    <w:rsid w:val="00363D56"/>
    <w:rsid w:val="00363F8C"/>
    <w:rsid w:val="00363F9D"/>
    <w:rsid w:val="003640E8"/>
    <w:rsid w:val="0036412D"/>
    <w:rsid w:val="00364298"/>
    <w:rsid w:val="003643A0"/>
    <w:rsid w:val="0036451C"/>
    <w:rsid w:val="003645A9"/>
    <w:rsid w:val="00364614"/>
    <w:rsid w:val="003647EA"/>
    <w:rsid w:val="00364C0F"/>
    <w:rsid w:val="00364C5F"/>
    <w:rsid w:val="00364DE0"/>
    <w:rsid w:val="00364DE3"/>
    <w:rsid w:val="00364ED7"/>
    <w:rsid w:val="003650F2"/>
    <w:rsid w:val="003651B8"/>
    <w:rsid w:val="003653E0"/>
    <w:rsid w:val="00365536"/>
    <w:rsid w:val="0036560B"/>
    <w:rsid w:val="0036574E"/>
    <w:rsid w:val="003657B2"/>
    <w:rsid w:val="00365D00"/>
    <w:rsid w:val="00365D30"/>
    <w:rsid w:val="00365F37"/>
    <w:rsid w:val="00365FFF"/>
    <w:rsid w:val="0036605A"/>
    <w:rsid w:val="0036607C"/>
    <w:rsid w:val="00366605"/>
    <w:rsid w:val="00366660"/>
    <w:rsid w:val="00366877"/>
    <w:rsid w:val="00366A4A"/>
    <w:rsid w:val="00366AAE"/>
    <w:rsid w:val="00366C80"/>
    <w:rsid w:val="00367093"/>
    <w:rsid w:val="003672EC"/>
    <w:rsid w:val="0036748B"/>
    <w:rsid w:val="00367592"/>
    <w:rsid w:val="00367682"/>
    <w:rsid w:val="0036786D"/>
    <w:rsid w:val="0036799E"/>
    <w:rsid w:val="00367A4A"/>
    <w:rsid w:val="00367DA6"/>
    <w:rsid w:val="00367FE0"/>
    <w:rsid w:val="00370016"/>
    <w:rsid w:val="00370274"/>
    <w:rsid w:val="003702DB"/>
    <w:rsid w:val="003704C5"/>
    <w:rsid w:val="003706DD"/>
    <w:rsid w:val="003707F8"/>
    <w:rsid w:val="00370959"/>
    <w:rsid w:val="00370A2D"/>
    <w:rsid w:val="0037147C"/>
    <w:rsid w:val="003716E7"/>
    <w:rsid w:val="00371729"/>
    <w:rsid w:val="00371738"/>
    <w:rsid w:val="003717CB"/>
    <w:rsid w:val="003718A7"/>
    <w:rsid w:val="0037192C"/>
    <w:rsid w:val="003719B9"/>
    <w:rsid w:val="003719C8"/>
    <w:rsid w:val="00371AAF"/>
    <w:rsid w:val="00371BDE"/>
    <w:rsid w:val="00371DA4"/>
    <w:rsid w:val="00371E3B"/>
    <w:rsid w:val="00371F15"/>
    <w:rsid w:val="003720D5"/>
    <w:rsid w:val="00372364"/>
    <w:rsid w:val="00372686"/>
    <w:rsid w:val="003726EB"/>
    <w:rsid w:val="00372BCA"/>
    <w:rsid w:val="00372BF8"/>
    <w:rsid w:val="00372C13"/>
    <w:rsid w:val="00372DAD"/>
    <w:rsid w:val="00373084"/>
    <w:rsid w:val="003732E6"/>
    <w:rsid w:val="003732EC"/>
    <w:rsid w:val="00373306"/>
    <w:rsid w:val="0037348D"/>
    <w:rsid w:val="003737EB"/>
    <w:rsid w:val="00373830"/>
    <w:rsid w:val="00373873"/>
    <w:rsid w:val="003738AE"/>
    <w:rsid w:val="00373B95"/>
    <w:rsid w:val="00373E17"/>
    <w:rsid w:val="00373EE6"/>
    <w:rsid w:val="00373FED"/>
    <w:rsid w:val="0037405E"/>
    <w:rsid w:val="00374134"/>
    <w:rsid w:val="00374160"/>
    <w:rsid w:val="003741D3"/>
    <w:rsid w:val="0037428E"/>
    <w:rsid w:val="0037437C"/>
    <w:rsid w:val="003743BE"/>
    <w:rsid w:val="003744B6"/>
    <w:rsid w:val="0037453B"/>
    <w:rsid w:val="003746B1"/>
    <w:rsid w:val="00374844"/>
    <w:rsid w:val="0037496F"/>
    <w:rsid w:val="00374A41"/>
    <w:rsid w:val="00374AE0"/>
    <w:rsid w:val="00374C29"/>
    <w:rsid w:val="00374D4C"/>
    <w:rsid w:val="00374DF1"/>
    <w:rsid w:val="00374E35"/>
    <w:rsid w:val="00374EF0"/>
    <w:rsid w:val="003750CA"/>
    <w:rsid w:val="0037510B"/>
    <w:rsid w:val="00375260"/>
    <w:rsid w:val="00375530"/>
    <w:rsid w:val="003756A6"/>
    <w:rsid w:val="0037578E"/>
    <w:rsid w:val="003757C8"/>
    <w:rsid w:val="003757DE"/>
    <w:rsid w:val="00375804"/>
    <w:rsid w:val="00375820"/>
    <w:rsid w:val="0037586A"/>
    <w:rsid w:val="00375890"/>
    <w:rsid w:val="00375A8A"/>
    <w:rsid w:val="00375B0E"/>
    <w:rsid w:val="00375B31"/>
    <w:rsid w:val="00375C0B"/>
    <w:rsid w:val="00375C18"/>
    <w:rsid w:val="00375C3E"/>
    <w:rsid w:val="00375D1C"/>
    <w:rsid w:val="00375D68"/>
    <w:rsid w:val="00375F84"/>
    <w:rsid w:val="00376826"/>
    <w:rsid w:val="0037696A"/>
    <w:rsid w:val="00376982"/>
    <w:rsid w:val="0037699B"/>
    <w:rsid w:val="00376C51"/>
    <w:rsid w:val="00376E7E"/>
    <w:rsid w:val="00377133"/>
    <w:rsid w:val="00377381"/>
    <w:rsid w:val="003773BE"/>
    <w:rsid w:val="00377539"/>
    <w:rsid w:val="00377731"/>
    <w:rsid w:val="003779C1"/>
    <w:rsid w:val="00377BBB"/>
    <w:rsid w:val="00377BE6"/>
    <w:rsid w:val="00377C5D"/>
    <w:rsid w:val="00377C8C"/>
    <w:rsid w:val="00377D83"/>
    <w:rsid w:val="00377E5D"/>
    <w:rsid w:val="0038006C"/>
    <w:rsid w:val="00380094"/>
    <w:rsid w:val="003800FF"/>
    <w:rsid w:val="0038045F"/>
    <w:rsid w:val="003804A8"/>
    <w:rsid w:val="003805AC"/>
    <w:rsid w:val="003805DC"/>
    <w:rsid w:val="00380AB6"/>
    <w:rsid w:val="00380B42"/>
    <w:rsid w:val="00380C7F"/>
    <w:rsid w:val="00380CB0"/>
    <w:rsid w:val="00380EB4"/>
    <w:rsid w:val="00381071"/>
    <w:rsid w:val="00381210"/>
    <w:rsid w:val="00381349"/>
    <w:rsid w:val="00381493"/>
    <w:rsid w:val="00381538"/>
    <w:rsid w:val="003815B9"/>
    <w:rsid w:val="00381852"/>
    <w:rsid w:val="003818C1"/>
    <w:rsid w:val="00381C29"/>
    <w:rsid w:val="00381C5A"/>
    <w:rsid w:val="00381D5F"/>
    <w:rsid w:val="00381E55"/>
    <w:rsid w:val="003820BB"/>
    <w:rsid w:val="00382200"/>
    <w:rsid w:val="00382256"/>
    <w:rsid w:val="00382536"/>
    <w:rsid w:val="00382643"/>
    <w:rsid w:val="0038281D"/>
    <w:rsid w:val="00382855"/>
    <w:rsid w:val="00382910"/>
    <w:rsid w:val="0038296F"/>
    <w:rsid w:val="00382AA4"/>
    <w:rsid w:val="00382BA9"/>
    <w:rsid w:val="00382DEE"/>
    <w:rsid w:val="00382DEF"/>
    <w:rsid w:val="00382FCC"/>
    <w:rsid w:val="003830A3"/>
    <w:rsid w:val="00383153"/>
    <w:rsid w:val="00383182"/>
    <w:rsid w:val="0038345B"/>
    <w:rsid w:val="00383561"/>
    <w:rsid w:val="0038399C"/>
    <w:rsid w:val="00383A92"/>
    <w:rsid w:val="00383AD0"/>
    <w:rsid w:val="00383CFC"/>
    <w:rsid w:val="0038409F"/>
    <w:rsid w:val="003841A3"/>
    <w:rsid w:val="00384331"/>
    <w:rsid w:val="00384A5A"/>
    <w:rsid w:val="00384A96"/>
    <w:rsid w:val="00384AFA"/>
    <w:rsid w:val="00384BC7"/>
    <w:rsid w:val="00384E01"/>
    <w:rsid w:val="00384F96"/>
    <w:rsid w:val="00384FDA"/>
    <w:rsid w:val="00385374"/>
    <w:rsid w:val="003854D0"/>
    <w:rsid w:val="0038554C"/>
    <w:rsid w:val="0038567B"/>
    <w:rsid w:val="003859C9"/>
    <w:rsid w:val="00385F73"/>
    <w:rsid w:val="00385FB5"/>
    <w:rsid w:val="00385FC6"/>
    <w:rsid w:val="00386017"/>
    <w:rsid w:val="00386018"/>
    <w:rsid w:val="00386054"/>
    <w:rsid w:val="0038632A"/>
    <w:rsid w:val="00386369"/>
    <w:rsid w:val="003867D5"/>
    <w:rsid w:val="00386B66"/>
    <w:rsid w:val="00386BD3"/>
    <w:rsid w:val="00386E9B"/>
    <w:rsid w:val="003872DC"/>
    <w:rsid w:val="003872F4"/>
    <w:rsid w:val="0038753B"/>
    <w:rsid w:val="0038765E"/>
    <w:rsid w:val="00387747"/>
    <w:rsid w:val="0038787C"/>
    <w:rsid w:val="00387952"/>
    <w:rsid w:val="00387AD0"/>
    <w:rsid w:val="00387C43"/>
    <w:rsid w:val="00387D56"/>
    <w:rsid w:val="00387E3F"/>
    <w:rsid w:val="00387F2E"/>
    <w:rsid w:val="00387F42"/>
    <w:rsid w:val="00387F7D"/>
    <w:rsid w:val="00387FB4"/>
    <w:rsid w:val="00390309"/>
    <w:rsid w:val="00390334"/>
    <w:rsid w:val="00390365"/>
    <w:rsid w:val="0039041D"/>
    <w:rsid w:val="0039057E"/>
    <w:rsid w:val="003905D0"/>
    <w:rsid w:val="003905D9"/>
    <w:rsid w:val="003905EE"/>
    <w:rsid w:val="003905F9"/>
    <w:rsid w:val="0039066D"/>
    <w:rsid w:val="00390825"/>
    <w:rsid w:val="0039086B"/>
    <w:rsid w:val="00390925"/>
    <w:rsid w:val="00390C58"/>
    <w:rsid w:val="00390D65"/>
    <w:rsid w:val="00391167"/>
    <w:rsid w:val="003914A5"/>
    <w:rsid w:val="003915E8"/>
    <w:rsid w:val="0039180F"/>
    <w:rsid w:val="00391839"/>
    <w:rsid w:val="0039184B"/>
    <w:rsid w:val="00391BC9"/>
    <w:rsid w:val="00391D96"/>
    <w:rsid w:val="00391E42"/>
    <w:rsid w:val="00391F06"/>
    <w:rsid w:val="00391F38"/>
    <w:rsid w:val="00391FF5"/>
    <w:rsid w:val="0039200E"/>
    <w:rsid w:val="00392226"/>
    <w:rsid w:val="0039238D"/>
    <w:rsid w:val="003926A0"/>
    <w:rsid w:val="00392962"/>
    <w:rsid w:val="00392A26"/>
    <w:rsid w:val="00392AFA"/>
    <w:rsid w:val="00392CF1"/>
    <w:rsid w:val="00392DA2"/>
    <w:rsid w:val="00392E00"/>
    <w:rsid w:val="00392E1E"/>
    <w:rsid w:val="00392FC6"/>
    <w:rsid w:val="00393282"/>
    <w:rsid w:val="00393324"/>
    <w:rsid w:val="003934C4"/>
    <w:rsid w:val="0039359D"/>
    <w:rsid w:val="003935F5"/>
    <w:rsid w:val="00393992"/>
    <w:rsid w:val="003939FB"/>
    <w:rsid w:val="00393BC8"/>
    <w:rsid w:val="00393DD8"/>
    <w:rsid w:val="00393FC2"/>
    <w:rsid w:val="003941EF"/>
    <w:rsid w:val="00394ABA"/>
    <w:rsid w:val="00394C02"/>
    <w:rsid w:val="00394E1A"/>
    <w:rsid w:val="00394E6A"/>
    <w:rsid w:val="00394EFC"/>
    <w:rsid w:val="00394FCE"/>
    <w:rsid w:val="00395002"/>
    <w:rsid w:val="00395480"/>
    <w:rsid w:val="00395640"/>
    <w:rsid w:val="0039569A"/>
    <w:rsid w:val="00395737"/>
    <w:rsid w:val="00395842"/>
    <w:rsid w:val="003959C8"/>
    <w:rsid w:val="00395BA2"/>
    <w:rsid w:val="00395D21"/>
    <w:rsid w:val="0039627D"/>
    <w:rsid w:val="00396821"/>
    <w:rsid w:val="003969A8"/>
    <w:rsid w:val="00396A34"/>
    <w:rsid w:val="00396A82"/>
    <w:rsid w:val="00396AA7"/>
    <w:rsid w:val="00396B58"/>
    <w:rsid w:val="00396E6A"/>
    <w:rsid w:val="00396F03"/>
    <w:rsid w:val="003971B2"/>
    <w:rsid w:val="00397258"/>
    <w:rsid w:val="00397311"/>
    <w:rsid w:val="0039743D"/>
    <w:rsid w:val="003974B6"/>
    <w:rsid w:val="0039790B"/>
    <w:rsid w:val="00397955"/>
    <w:rsid w:val="00397A08"/>
    <w:rsid w:val="00397FEE"/>
    <w:rsid w:val="003A0799"/>
    <w:rsid w:val="003A07E5"/>
    <w:rsid w:val="003A0BFC"/>
    <w:rsid w:val="003A124E"/>
    <w:rsid w:val="003A12FE"/>
    <w:rsid w:val="003A16E3"/>
    <w:rsid w:val="003A1891"/>
    <w:rsid w:val="003A1940"/>
    <w:rsid w:val="003A1ADD"/>
    <w:rsid w:val="003A1D1A"/>
    <w:rsid w:val="003A1E37"/>
    <w:rsid w:val="003A200C"/>
    <w:rsid w:val="003A209A"/>
    <w:rsid w:val="003A20EA"/>
    <w:rsid w:val="003A2255"/>
    <w:rsid w:val="003A233E"/>
    <w:rsid w:val="003A234C"/>
    <w:rsid w:val="003A2490"/>
    <w:rsid w:val="003A2736"/>
    <w:rsid w:val="003A285C"/>
    <w:rsid w:val="003A28A4"/>
    <w:rsid w:val="003A29F8"/>
    <w:rsid w:val="003A2B21"/>
    <w:rsid w:val="003A2B5D"/>
    <w:rsid w:val="003A2C48"/>
    <w:rsid w:val="003A2F3D"/>
    <w:rsid w:val="003A2F65"/>
    <w:rsid w:val="003A3237"/>
    <w:rsid w:val="003A3455"/>
    <w:rsid w:val="003A3524"/>
    <w:rsid w:val="003A360A"/>
    <w:rsid w:val="003A366B"/>
    <w:rsid w:val="003A392C"/>
    <w:rsid w:val="003A39A0"/>
    <w:rsid w:val="003A3B50"/>
    <w:rsid w:val="003A3CBF"/>
    <w:rsid w:val="003A3FA6"/>
    <w:rsid w:val="003A4595"/>
    <w:rsid w:val="003A4B33"/>
    <w:rsid w:val="003A5488"/>
    <w:rsid w:val="003A56C9"/>
    <w:rsid w:val="003A57F6"/>
    <w:rsid w:val="003A5893"/>
    <w:rsid w:val="003A58C5"/>
    <w:rsid w:val="003A5B89"/>
    <w:rsid w:val="003A5BDB"/>
    <w:rsid w:val="003A5C90"/>
    <w:rsid w:val="003A5E86"/>
    <w:rsid w:val="003A5F97"/>
    <w:rsid w:val="003A63C1"/>
    <w:rsid w:val="003A6461"/>
    <w:rsid w:val="003A6577"/>
    <w:rsid w:val="003A660D"/>
    <w:rsid w:val="003A67EB"/>
    <w:rsid w:val="003A68FF"/>
    <w:rsid w:val="003A6A40"/>
    <w:rsid w:val="003A6AC2"/>
    <w:rsid w:val="003A6AE7"/>
    <w:rsid w:val="003A6C20"/>
    <w:rsid w:val="003A6C61"/>
    <w:rsid w:val="003A6DC9"/>
    <w:rsid w:val="003A6F61"/>
    <w:rsid w:val="003A6F90"/>
    <w:rsid w:val="003A713A"/>
    <w:rsid w:val="003A71A7"/>
    <w:rsid w:val="003A7426"/>
    <w:rsid w:val="003A765C"/>
    <w:rsid w:val="003A772A"/>
    <w:rsid w:val="003A773E"/>
    <w:rsid w:val="003A79FD"/>
    <w:rsid w:val="003A7CFB"/>
    <w:rsid w:val="003A7D52"/>
    <w:rsid w:val="003A7DE8"/>
    <w:rsid w:val="003A7DF4"/>
    <w:rsid w:val="003A7EC5"/>
    <w:rsid w:val="003A7EFD"/>
    <w:rsid w:val="003B00DF"/>
    <w:rsid w:val="003B0137"/>
    <w:rsid w:val="003B02CD"/>
    <w:rsid w:val="003B0356"/>
    <w:rsid w:val="003B03EA"/>
    <w:rsid w:val="003B042D"/>
    <w:rsid w:val="003B0496"/>
    <w:rsid w:val="003B0513"/>
    <w:rsid w:val="003B0566"/>
    <w:rsid w:val="003B08CF"/>
    <w:rsid w:val="003B0A2F"/>
    <w:rsid w:val="003B0D82"/>
    <w:rsid w:val="003B0F99"/>
    <w:rsid w:val="003B12E6"/>
    <w:rsid w:val="003B1341"/>
    <w:rsid w:val="003B169A"/>
    <w:rsid w:val="003B187D"/>
    <w:rsid w:val="003B18E4"/>
    <w:rsid w:val="003B197F"/>
    <w:rsid w:val="003B1DA3"/>
    <w:rsid w:val="003B1DB8"/>
    <w:rsid w:val="003B1F06"/>
    <w:rsid w:val="003B213A"/>
    <w:rsid w:val="003B2316"/>
    <w:rsid w:val="003B2353"/>
    <w:rsid w:val="003B23FB"/>
    <w:rsid w:val="003B2517"/>
    <w:rsid w:val="003B2944"/>
    <w:rsid w:val="003B2BEE"/>
    <w:rsid w:val="003B2C97"/>
    <w:rsid w:val="003B2CC8"/>
    <w:rsid w:val="003B2E6A"/>
    <w:rsid w:val="003B2FEB"/>
    <w:rsid w:val="003B32AC"/>
    <w:rsid w:val="003B35A7"/>
    <w:rsid w:val="003B3653"/>
    <w:rsid w:val="003B369B"/>
    <w:rsid w:val="003B376C"/>
    <w:rsid w:val="003B379C"/>
    <w:rsid w:val="003B3986"/>
    <w:rsid w:val="003B3A6F"/>
    <w:rsid w:val="003B3DD7"/>
    <w:rsid w:val="003B3E55"/>
    <w:rsid w:val="003B3FE9"/>
    <w:rsid w:val="003B40C5"/>
    <w:rsid w:val="003B40D0"/>
    <w:rsid w:val="003B4105"/>
    <w:rsid w:val="003B4131"/>
    <w:rsid w:val="003B42B5"/>
    <w:rsid w:val="003B4610"/>
    <w:rsid w:val="003B46F8"/>
    <w:rsid w:val="003B4AC7"/>
    <w:rsid w:val="003B4B8E"/>
    <w:rsid w:val="003B4E1B"/>
    <w:rsid w:val="003B4F97"/>
    <w:rsid w:val="003B5287"/>
    <w:rsid w:val="003B54E0"/>
    <w:rsid w:val="003B5599"/>
    <w:rsid w:val="003B566F"/>
    <w:rsid w:val="003B56E1"/>
    <w:rsid w:val="003B5762"/>
    <w:rsid w:val="003B5F3B"/>
    <w:rsid w:val="003B60F9"/>
    <w:rsid w:val="003B61EC"/>
    <w:rsid w:val="003B6660"/>
    <w:rsid w:val="003B68B1"/>
    <w:rsid w:val="003B6A3E"/>
    <w:rsid w:val="003B6CC3"/>
    <w:rsid w:val="003B6E01"/>
    <w:rsid w:val="003B6F45"/>
    <w:rsid w:val="003B6F57"/>
    <w:rsid w:val="003B72CE"/>
    <w:rsid w:val="003B72DB"/>
    <w:rsid w:val="003B72DE"/>
    <w:rsid w:val="003B7349"/>
    <w:rsid w:val="003B7751"/>
    <w:rsid w:val="003B7830"/>
    <w:rsid w:val="003B7885"/>
    <w:rsid w:val="003B78B5"/>
    <w:rsid w:val="003B793B"/>
    <w:rsid w:val="003B796F"/>
    <w:rsid w:val="003B7BDD"/>
    <w:rsid w:val="003B7EF9"/>
    <w:rsid w:val="003C0099"/>
    <w:rsid w:val="003C009E"/>
    <w:rsid w:val="003C0358"/>
    <w:rsid w:val="003C038D"/>
    <w:rsid w:val="003C04C9"/>
    <w:rsid w:val="003C05F0"/>
    <w:rsid w:val="003C077A"/>
    <w:rsid w:val="003C07B5"/>
    <w:rsid w:val="003C07C8"/>
    <w:rsid w:val="003C08E6"/>
    <w:rsid w:val="003C09FA"/>
    <w:rsid w:val="003C0B6B"/>
    <w:rsid w:val="003C0B8B"/>
    <w:rsid w:val="003C0C96"/>
    <w:rsid w:val="003C112B"/>
    <w:rsid w:val="003C11DD"/>
    <w:rsid w:val="003C14C5"/>
    <w:rsid w:val="003C1548"/>
    <w:rsid w:val="003C1573"/>
    <w:rsid w:val="003C173C"/>
    <w:rsid w:val="003C1938"/>
    <w:rsid w:val="003C1B33"/>
    <w:rsid w:val="003C1F44"/>
    <w:rsid w:val="003C1FB6"/>
    <w:rsid w:val="003C2026"/>
    <w:rsid w:val="003C21B6"/>
    <w:rsid w:val="003C22C9"/>
    <w:rsid w:val="003C289C"/>
    <w:rsid w:val="003C2A11"/>
    <w:rsid w:val="003C2B97"/>
    <w:rsid w:val="003C2BA3"/>
    <w:rsid w:val="003C2E04"/>
    <w:rsid w:val="003C2EE5"/>
    <w:rsid w:val="003C2F24"/>
    <w:rsid w:val="003C2F8D"/>
    <w:rsid w:val="003C2F97"/>
    <w:rsid w:val="003C31CA"/>
    <w:rsid w:val="003C33A6"/>
    <w:rsid w:val="003C359C"/>
    <w:rsid w:val="003C3838"/>
    <w:rsid w:val="003C39A1"/>
    <w:rsid w:val="003C3A73"/>
    <w:rsid w:val="003C3C2C"/>
    <w:rsid w:val="003C3CD3"/>
    <w:rsid w:val="003C4188"/>
    <w:rsid w:val="003C4244"/>
    <w:rsid w:val="003C46B4"/>
    <w:rsid w:val="003C46CE"/>
    <w:rsid w:val="003C47AF"/>
    <w:rsid w:val="003C4A94"/>
    <w:rsid w:val="003C4BD8"/>
    <w:rsid w:val="003C4CAA"/>
    <w:rsid w:val="003C4CCF"/>
    <w:rsid w:val="003C5209"/>
    <w:rsid w:val="003C5786"/>
    <w:rsid w:val="003C5852"/>
    <w:rsid w:val="003C59A3"/>
    <w:rsid w:val="003C5C0E"/>
    <w:rsid w:val="003C5DC5"/>
    <w:rsid w:val="003C5F55"/>
    <w:rsid w:val="003C5F7B"/>
    <w:rsid w:val="003C6056"/>
    <w:rsid w:val="003C6129"/>
    <w:rsid w:val="003C617A"/>
    <w:rsid w:val="003C62EE"/>
    <w:rsid w:val="003C6643"/>
    <w:rsid w:val="003C6708"/>
    <w:rsid w:val="003C672B"/>
    <w:rsid w:val="003C683F"/>
    <w:rsid w:val="003C6971"/>
    <w:rsid w:val="003C69B4"/>
    <w:rsid w:val="003C6B6A"/>
    <w:rsid w:val="003C6CA5"/>
    <w:rsid w:val="003C6D4F"/>
    <w:rsid w:val="003C6D5C"/>
    <w:rsid w:val="003C6D75"/>
    <w:rsid w:val="003C6FCB"/>
    <w:rsid w:val="003C7301"/>
    <w:rsid w:val="003C74CE"/>
    <w:rsid w:val="003C76BB"/>
    <w:rsid w:val="003C79CB"/>
    <w:rsid w:val="003C7B17"/>
    <w:rsid w:val="003C7B4E"/>
    <w:rsid w:val="003C7BA2"/>
    <w:rsid w:val="003C7C79"/>
    <w:rsid w:val="003C7CCD"/>
    <w:rsid w:val="003C7CF5"/>
    <w:rsid w:val="003C7FCB"/>
    <w:rsid w:val="003D0076"/>
    <w:rsid w:val="003D048C"/>
    <w:rsid w:val="003D0834"/>
    <w:rsid w:val="003D084A"/>
    <w:rsid w:val="003D0905"/>
    <w:rsid w:val="003D0992"/>
    <w:rsid w:val="003D0A2A"/>
    <w:rsid w:val="003D0A34"/>
    <w:rsid w:val="003D0B0B"/>
    <w:rsid w:val="003D0BA3"/>
    <w:rsid w:val="003D0D01"/>
    <w:rsid w:val="003D0E9F"/>
    <w:rsid w:val="003D0F8E"/>
    <w:rsid w:val="003D0FAA"/>
    <w:rsid w:val="003D13FC"/>
    <w:rsid w:val="003D159A"/>
    <w:rsid w:val="003D175E"/>
    <w:rsid w:val="003D19FC"/>
    <w:rsid w:val="003D1E21"/>
    <w:rsid w:val="003D24D5"/>
    <w:rsid w:val="003D2574"/>
    <w:rsid w:val="003D26BA"/>
    <w:rsid w:val="003D27AE"/>
    <w:rsid w:val="003D2858"/>
    <w:rsid w:val="003D2A6E"/>
    <w:rsid w:val="003D2B44"/>
    <w:rsid w:val="003D2D51"/>
    <w:rsid w:val="003D2D5C"/>
    <w:rsid w:val="003D2ECC"/>
    <w:rsid w:val="003D324E"/>
    <w:rsid w:val="003D378B"/>
    <w:rsid w:val="003D3B2F"/>
    <w:rsid w:val="003D3BFE"/>
    <w:rsid w:val="003D3D63"/>
    <w:rsid w:val="003D3EEC"/>
    <w:rsid w:val="003D3F44"/>
    <w:rsid w:val="003D3F48"/>
    <w:rsid w:val="003D405F"/>
    <w:rsid w:val="003D4079"/>
    <w:rsid w:val="003D412E"/>
    <w:rsid w:val="003D4236"/>
    <w:rsid w:val="003D4667"/>
    <w:rsid w:val="003D48CF"/>
    <w:rsid w:val="003D4C39"/>
    <w:rsid w:val="003D4CF6"/>
    <w:rsid w:val="003D4DD6"/>
    <w:rsid w:val="003D4E6F"/>
    <w:rsid w:val="003D4F67"/>
    <w:rsid w:val="003D4F69"/>
    <w:rsid w:val="003D51B6"/>
    <w:rsid w:val="003D526D"/>
    <w:rsid w:val="003D528A"/>
    <w:rsid w:val="003D577B"/>
    <w:rsid w:val="003D5908"/>
    <w:rsid w:val="003D5B03"/>
    <w:rsid w:val="003D5B8A"/>
    <w:rsid w:val="003D5BB5"/>
    <w:rsid w:val="003D5F87"/>
    <w:rsid w:val="003D6230"/>
    <w:rsid w:val="003D6437"/>
    <w:rsid w:val="003D6510"/>
    <w:rsid w:val="003D6511"/>
    <w:rsid w:val="003D65E5"/>
    <w:rsid w:val="003D668A"/>
    <w:rsid w:val="003D6796"/>
    <w:rsid w:val="003D68FF"/>
    <w:rsid w:val="003D6A94"/>
    <w:rsid w:val="003D6AD2"/>
    <w:rsid w:val="003D6CC5"/>
    <w:rsid w:val="003D70CE"/>
    <w:rsid w:val="003D713D"/>
    <w:rsid w:val="003D73AE"/>
    <w:rsid w:val="003D75C3"/>
    <w:rsid w:val="003D75C4"/>
    <w:rsid w:val="003D7900"/>
    <w:rsid w:val="003D7A60"/>
    <w:rsid w:val="003D7B06"/>
    <w:rsid w:val="003D7C25"/>
    <w:rsid w:val="003D7C6F"/>
    <w:rsid w:val="003E0237"/>
    <w:rsid w:val="003E044E"/>
    <w:rsid w:val="003E068C"/>
    <w:rsid w:val="003E07ED"/>
    <w:rsid w:val="003E0882"/>
    <w:rsid w:val="003E095A"/>
    <w:rsid w:val="003E09F4"/>
    <w:rsid w:val="003E0AE8"/>
    <w:rsid w:val="003E0B10"/>
    <w:rsid w:val="003E0C68"/>
    <w:rsid w:val="003E0D2C"/>
    <w:rsid w:val="003E0EC3"/>
    <w:rsid w:val="003E0FE4"/>
    <w:rsid w:val="003E137F"/>
    <w:rsid w:val="003E13AE"/>
    <w:rsid w:val="003E14C5"/>
    <w:rsid w:val="003E156E"/>
    <w:rsid w:val="003E1623"/>
    <w:rsid w:val="003E1AA6"/>
    <w:rsid w:val="003E1ACC"/>
    <w:rsid w:val="003E1C53"/>
    <w:rsid w:val="003E213F"/>
    <w:rsid w:val="003E221A"/>
    <w:rsid w:val="003E2256"/>
    <w:rsid w:val="003E2438"/>
    <w:rsid w:val="003E24DF"/>
    <w:rsid w:val="003E2660"/>
    <w:rsid w:val="003E2753"/>
    <w:rsid w:val="003E29C2"/>
    <w:rsid w:val="003E2A47"/>
    <w:rsid w:val="003E2A72"/>
    <w:rsid w:val="003E2CA6"/>
    <w:rsid w:val="003E2E81"/>
    <w:rsid w:val="003E2F03"/>
    <w:rsid w:val="003E33F9"/>
    <w:rsid w:val="003E361B"/>
    <w:rsid w:val="003E3659"/>
    <w:rsid w:val="003E3A4E"/>
    <w:rsid w:val="003E3A62"/>
    <w:rsid w:val="003E3A9C"/>
    <w:rsid w:val="003E3CE5"/>
    <w:rsid w:val="003E403E"/>
    <w:rsid w:val="003E40D3"/>
    <w:rsid w:val="003E40E4"/>
    <w:rsid w:val="003E42C8"/>
    <w:rsid w:val="003E444F"/>
    <w:rsid w:val="003E4487"/>
    <w:rsid w:val="003E45B6"/>
    <w:rsid w:val="003E46A0"/>
    <w:rsid w:val="003E481A"/>
    <w:rsid w:val="003E484A"/>
    <w:rsid w:val="003E497A"/>
    <w:rsid w:val="003E4A3E"/>
    <w:rsid w:val="003E4B6D"/>
    <w:rsid w:val="003E4CC5"/>
    <w:rsid w:val="003E4EBB"/>
    <w:rsid w:val="003E518B"/>
    <w:rsid w:val="003E52CB"/>
    <w:rsid w:val="003E54C7"/>
    <w:rsid w:val="003E55CF"/>
    <w:rsid w:val="003E59F8"/>
    <w:rsid w:val="003E5BDC"/>
    <w:rsid w:val="003E5E2B"/>
    <w:rsid w:val="003E5F25"/>
    <w:rsid w:val="003E6295"/>
    <w:rsid w:val="003E62D9"/>
    <w:rsid w:val="003E63B6"/>
    <w:rsid w:val="003E646B"/>
    <w:rsid w:val="003E6529"/>
    <w:rsid w:val="003E65CA"/>
    <w:rsid w:val="003E66EC"/>
    <w:rsid w:val="003E67A1"/>
    <w:rsid w:val="003E68B5"/>
    <w:rsid w:val="003E6958"/>
    <w:rsid w:val="003E6A39"/>
    <w:rsid w:val="003E6D8C"/>
    <w:rsid w:val="003E6D9D"/>
    <w:rsid w:val="003E6FAE"/>
    <w:rsid w:val="003E703D"/>
    <w:rsid w:val="003E70BB"/>
    <w:rsid w:val="003E74A5"/>
    <w:rsid w:val="003E7552"/>
    <w:rsid w:val="003E763D"/>
    <w:rsid w:val="003E764A"/>
    <w:rsid w:val="003E7891"/>
    <w:rsid w:val="003E78F7"/>
    <w:rsid w:val="003E79B7"/>
    <w:rsid w:val="003E7C98"/>
    <w:rsid w:val="003E7CC0"/>
    <w:rsid w:val="003E7D24"/>
    <w:rsid w:val="003E7D27"/>
    <w:rsid w:val="003E7E62"/>
    <w:rsid w:val="003E7F1E"/>
    <w:rsid w:val="003F0204"/>
    <w:rsid w:val="003F02F4"/>
    <w:rsid w:val="003F03E5"/>
    <w:rsid w:val="003F04C4"/>
    <w:rsid w:val="003F0577"/>
    <w:rsid w:val="003F06FC"/>
    <w:rsid w:val="003F0945"/>
    <w:rsid w:val="003F0BD0"/>
    <w:rsid w:val="003F0C8A"/>
    <w:rsid w:val="003F0D92"/>
    <w:rsid w:val="003F0F69"/>
    <w:rsid w:val="003F0F80"/>
    <w:rsid w:val="003F148B"/>
    <w:rsid w:val="003F150B"/>
    <w:rsid w:val="003F16EF"/>
    <w:rsid w:val="003F1A16"/>
    <w:rsid w:val="003F1CE0"/>
    <w:rsid w:val="003F1DEB"/>
    <w:rsid w:val="003F1E97"/>
    <w:rsid w:val="003F1FAA"/>
    <w:rsid w:val="003F2032"/>
    <w:rsid w:val="003F203D"/>
    <w:rsid w:val="003F226C"/>
    <w:rsid w:val="003F240C"/>
    <w:rsid w:val="003F2421"/>
    <w:rsid w:val="003F2667"/>
    <w:rsid w:val="003F26CB"/>
    <w:rsid w:val="003F28CB"/>
    <w:rsid w:val="003F28DC"/>
    <w:rsid w:val="003F2953"/>
    <w:rsid w:val="003F2C66"/>
    <w:rsid w:val="003F2D27"/>
    <w:rsid w:val="003F2D58"/>
    <w:rsid w:val="003F30E6"/>
    <w:rsid w:val="003F32E2"/>
    <w:rsid w:val="003F32F8"/>
    <w:rsid w:val="003F362B"/>
    <w:rsid w:val="003F3789"/>
    <w:rsid w:val="003F38E5"/>
    <w:rsid w:val="003F38F2"/>
    <w:rsid w:val="003F39CB"/>
    <w:rsid w:val="003F3C30"/>
    <w:rsid w:val="003F401A"/>
    <w:rsid w:val="003F422E"/>
    <w:rsid w:val="003F467E"/>
    <w:rsid w:val="003F4707"/>
    <w:rsid w:val="003F477E"/>
    <w:rsid w:val="003F488D"/>
    <w:rsid w:val="003F4B4B"/>
    <w:rsid w:val="003F4C03"/>
    <w:rsid w:val="003F4C87"/>
    <w:rsid w:val="003F4EF2"/>
    <w:rsid w:val="003F52E8"/>
    <w:rsid w:val="003F55CE"/>
    <w:rsid w:val="003F55D8"/>
    <w:rsid w:val="003F56AD"/>
    <w:rsid w:val="003F56BF"/>
    <w:rsid w:val="003F5A62"/>
    <w:rsid w:val="003F5DA7"/>
    <w:rsid w:val="003F5DBA"/>
    <w:rsid w:val="003F5E2E"/>
    <w:rsid w:val="003F5FBC"/>
    <w:rsid w:val="003F60CB"/>
    <w:rsid w:val="003F65BB"/>
    <w:rsid w:val="003F6959"/>
    <w:rsid w:val="003F6A67"/>
    <w:rsid w:val="003F6AB2"/>
    <w:rsid w:val="003F6BBF"/>
    <w:rsid w:val="003F6C2E"/>
    <w:rsid w:val="003F6CA2"/>
    <w:rsid w:val="003F6CDE"/>
    <w:rsid w:val="003F6D97"/>
    <w:rsid w:val="003F6F10"/>
    <w:rsid w:val="003F6FB7"/>
    <w:rsid w:val="003F755D"/>
    <w:rsid w:val="003F780D"/>
    <w:rsid w:val="003F78C3"/>
    <w:rsid w:val="003F7BBF"/>
    <w:rsid w:val="003F7FB2"/>
    <w:rsid w:val="00400041"/>
    <w:rsid w:val="00400091"/>
    <w:rsid w:val="00400167"/>
    <w:rsid w:val="004004F3"/>
    <w:rsid w:val="004008CA"/>
    <w:rsid w:val="00400A08"/>
    <w:rsid w:val="00400A6C"/>
    <w:rsid w:val="00400C05"/>
    <w:rsid w:val="00400CB7"/>
    <w:rsid w:val="00400FBA"/>
    <w:rsid w:val="00401033"/>
    <w:rsid w:val="0040129B"/>
    <w:rsid w:val="0040132A"/>
    <w:rsid w:val="00401596"/>
    <w:rsid w:val="004016DF"/>
    <w:rsid w:val="004017B5"/>
    <w:rsid w:val="00401818"/>
    <w:rsid w:val="00401B52"/>
    <w:rsid w:val="00401BA5"/>
    <w:rsid w:val="00401C29"/>
    <w:rsid w:val="00401D18"/>
    <w:rsid w:val="004024FD"/>
    <w:rsid w:val="004025F3"/>
    <w:rsid w:val="00402669"/>
    <w:rsid w:val="00402701"/>
    <w:rsid w:val="004027A9"/>
    <w:rsid w:val="004027D7"/>
    <w:rsid w:val="0040287F"/>
    <w:rsid w:val="004028EF"/>
    <w:rsid w:val="00402B36"/>
    <w:rsid w:val="00402B5E"/>
    <w:rsid w:val="00402FB0"/>
    <w:rsid w:val="0040316E"/>
    <w:rsid w:val="004034CF"/>
    <w:rsid w:val="004036AF"/>
    <w:rsid w:val="004036DD"/>
    <w:rsid w:val="00403B22"/>
    <w:rsid w:val="00403C73"/>
    <w:rsid w:val="00403E2D"/>
    <w:rsid w:val="00404018"/>
    <w:rsid w:val="004042BB"/>
    <w:rsid w:val="004043BC"/>
    <w:rsid w:val="004043D3"/>
    <w:rsid w:val="00404618"/>
    <w:rsid w:val="0040462A"/>
    <w:rsid w:val="004049FF"/>
    <w:rsid w:val="00404ADD"/>
    <w:rsid w:val="00404BEF"/>
    <w:rsid w:val="00404CFA"/>
    <w:rsid w:val="00404CFE"/>
    <w:rsid w:val="00404D5C"/>
    <w:rsid w:val="00404D7D"/>
    <w:rsid w:val="00404F18"/>
    <w:rsid w:val="0040514D"/>
    <w:rsid w:val="00405162"/>
    <w:rsid w:val="0040525C"/>
    <w:rsid w:val="00405324"/>
    <w:rsid w:val="0040536C"/>
    <w:rsid w:val="00405464"/>
    <w:rsid w:val="004055B1"/>
    <w:rsid w:val="00405686"/>
    <w:rsid w:val="00405695"/>
    <w:rsid w:val="0040585F"/>
    <w:rsid w:val="00405920"/>
    <w:rsid w:val="00405C46"/>
    <w:rsid w:val="00405DA1"/>
    <w:rsid w:val="00405ED5"/>
    <w:rsid w:val="00406030"/>
    <w:rsid w:val="004061D6"/>
    <w:rsid w:val="004062B3"/>
    <w:rsid w:val="004064F9"/>
    <w:rsid w:val="004066A0"/>
    <w:rsid w:val="00406E74"/>
    <w:rsid w:val="00407090"/>
    <w:rsid w:val="0040712B"/>
    <w:rsid w:val="00407209"/>
    <w:rsid w:val="00407823"/>
    <w:rsid w:val="00407B8A"/>
    <w:rsid w:val="00407C3E"/>
    <w:rsid w:val="00407CF3"/>
    <w:rsid w:val="00407DB4"/>
    <w:rsid w:val="0041022C"/>
    <w:rsid w:val="00410507"/>
    <w:rsid w:val="00410805"/>
    <w:rsid w:val="00410CDE"/>
    <w:rsid w:val="00410DC1"/>
    <w:rsid w:val="004110DE"/>
    <w:rsid w:val="004113B6"/>
    <w:rsid w:val="00411454"/>
    <w:rsid w:val="004115A1"/>
    <w:rsid w:val="0041165A"/>
    <w:rsid w:val="004116DD"/>
    <w:rsid w:val="00411D12"/>
    <w:rsid w:val="00412403"/>
    <w:rsid w:val="004126B2"/>
    <w:rsid w:val="004126E6"/>
    <w:rsid w:val="00412D21"/>
    <w:rsid w:val="00412EE2"/>
    <w:rsid w:val="0041309F"/>
    <w:rsid w:val="004131B5"/>
    <w:rsid w:val="004134C4"/>
    <w:rsid w:val="004134DF"/>
    <w:rsid w:val="0041353C"/>
    <w:rsid w:val="004136D8"/>
    <w:rsid w:val="004136E8"/>
    <w:rsid w:val="0041379C"/>
    <w:rsid w:val="00413AF7"/>
    <w:rsid w:val="00413B35"/>
    <w:rsid w:val="00413B87"/>
    <w:rsid w:val="00413DCE"/>
    <w:rsid w:val="00413E77"/>
    <w:rsid w:val="00413ECA"/>
    <w:rsid w:val="00413F2A"/>
    <w:rsid w:val="00413FDA"/>
    <w:rsid w:val="00414726"/>
    <w:rsid w:val="0041475B"/>
    <w:rsid w:val="00414F5F"/>
    <w:rsid w:val="00414F64"/>
    <w:rsid w:val="00415068"/>
    <w:rsid w:val="00415647"/>
    <w:rsid w:val="00415861"/>
    <w:rsid w:val="00415989"/>
    <w:rsid w:val="0041598A"/>
    <w:rsid w:val="004159D2"/>
    <w:rsid w:val="00415BCB"/>
    <w:rsid w:val="00415EE6"/>
    <w:rsid w:val="00415F10"/>
    <w:rsid w:val="004162E4"/>
    <w:rsid w:val="0041643B"/>
    <w:rsid w:val="00416773"/>
    <w:rsid w:val="00416A3D"/>
    <w:rsid w:val="00416AC5"/>
    <w:rsid w:val="00416C0F"/>
    <w:rsid w:val="00416D96"/>
    <w:rsid w:val="00416F8D"/>
    <w:rsid w:val="00417147"/>
    <w:rsid w:val="0041748E"/>
    <w:rsid w:val="004174BC"/>
    <w:rsid w:val="004175C1"/>
    <w:rsid w:val="004175E2"/>
    <w:rsid w:val="004176A4"/>
    <w:rsid w:val="00417724"/>
    <w:rsid w:val="0041772C"/>
    <w:rsid w:val="0041776E"/>
    <w:rsid w:val="004178AD"/>
    <w:rsid w:val="0041799D"/>
    <w:rsid w:val="00417A96"/>
    <w:rsid w:val="00417C55"/>
    <w:rsid w:val="00417C86"/>
    <w:rsid w:val="00417CCC"/>
    <w:rsid w:val="00417E55"/>
    <w:rsid w:val="00417F12"/>
    <w:rsid w:val="00417F96"/>
    <w:rsid w:val="0042009A"/>
    <w:rsid w:val="0042012D"/>
    <w:rsid w:val="004201FE"/>
    <w:rsid w:val="00420241"/>
    <w:rsid w:val="004202AD"/>
    <w:rsid w:val="004203AC"/>
    <w:rsid w:val="00420450"/>
    <w:rsid w:val="004204BA"/>
    <w:rsid w:val="004205A4"/>
    <w:rsid w:val="004205C4"/>
    <w:rsid w:val="004205F8"/>
    <w:rsid w:val="00420828"/>
    <w:rsid w:val="0042090F"/>
    <w:rsid w:val="00420929"/>
    <w:rsid w:val="004209FA"/>
    <w:rsid w:val="00420A58"/>
    <w:rsid w:val="00420C4A"/>
    <w:rsid w:val="00420C5E"/>
    <w:rsid w:val="00420CB7"/>
    <w:rsid w:val="00420E93"/>
    <w:rsid w:val="004212C7"/>
    <w:rsid w:val="004213AD"/>
    <w:rsid w:val="00421833"/>
    <w:rsid w:val="00421937"/>
    <w:rsid w:val="00421AE7"/>
    <w:rsid w:val="00421C89"/>
    <w:rsid w:val="00421FDB"/>
    <w:rsid w:val="00422025"/>
    <w:rsid w:val="004220E6"/>
    <w:rsid w:val="004220FC"/>
    <w:rsid w:val="0042226F"/>
    <w:rsid w:val="004223B9"/>
    <w:rsid w:val="004225B6"/>
    <w:rsid w:val="0042265D"/>
    <w:rsid w:val="004228F5"/>
    <w:rsid w:val="0042290D"/>
    <w:rsid w:val="0042291D"/>
    <w:rsid w:val="00422957"/>
    <w:rsid w:val="00422A92"/>
    <w:rsid w:val="00422ADF"/>
    <w:rsid w:val="00422CC0"/>
    <w:rsid w:val="00422D94"/>
    <w:rsid w:val="00422F1F"/>
    <w:rsid w:val="00423193"/>
    <w:rsid w:val="004233A5"/>
    <w:rsid w:val="00423458"/>
    <w:rsid w:val="00423777"/>
    <w:rsid w:val="00423A08"/>
    <w:rsid w:val="00423B4A"/>
    <w:rsid w:val="00423BA2"/>
    <w:rsid w:val="00423BDC"/>
    <w:rsid w:val="00423DB5"/>
    <w:rsid w:val="00423DE6"/>
    <w:rsid w:val="00423EBF"/>
    <w:rsid w:val="00423F5A"/>
    <w:rsid w:val="004240EE"/>
    <w:rsid w:val="00424453"/>
    <w:rsid w:val="00424AF0"/>
    <w:rsid w:val="00424C35"/>
    <w:rsid w:val="00424D1F"/>
    <w:rsid w:val="00424F9A"/>
    <w:rsid w:val="00424FDE"/>
    <w:rsid w:val="00425020"/>
    <w:rsid w:val="00425021"/>
    <w:rsid w:val="004251D3"/>
    <w:rsid w:val="00425212"/>
    <w:rsid w:val="0042521D"/>
    <w:rsid w:val="00425307"/>
    <w:rsid w:val="004253CD"/>
    <w:rsid w:val="00425476"/>
    <w:rsid w:val="0042576B"/>
    <w:rsid w:val="004258F7"/>
    <w:rsid w:val="00425AA9"/>
    <w:rsid w:val="00425B5E"/>
    <w:rsid w:val="00425DDE"/>
    <w:rsid w:val="00425E70"/>
    <w:rsid w:val="004260D5"/>
    <w:rsid w:val="0042614F"/>
    <w:rsid w:val="0042641D"/>
    <w:rsid w:val="00426597"/>
    <w:rsid w:val="004265D8"/>
    <w:rsid w:val="004265E5"/>
    <w:rsid w:val="00426820"/>
    <w:rsid w:val="00426961"/>
    <w:rsid w:val="00426B0F"/>
    <w:rsid w:val="00426C6D"/>
    <w:rsid w:val="00426D71"/>
    <w:rsid w:val="00426D9A"/>
    <w:rsid w:val="00426F2B"/>
    <w:rsid w:val="0042705F"/>
    <w:rsid w:val="004272ED"/>
    <w:rsid w:val="00427380"/>
    <w:rsid w:val="00427721"/>
    <w:rsid w:val="00427A17"/>
    <w:rsid w:val="00427BA4"/>
    <w:rsid w:val="00427F8D"/>
    <w:rsid w:val="00427F92"/>
    <w:rsid w:val="00430006"/>
    <w:rsid w:val="0043006B"/>
    <w:rsid w:val="0043026A"/>
    <w:rsid w:val="00430333"/>
    <w:rsid w:val="00430598"/>
    <w:rsid w:val="004305A8"/>
    <w:rsid w:val="0043082B"/>
    <w:rsid w:val="004308A9"/>
    <w:rsid w:val="00430CCC"/>
    <w:rsid w:val="00430D16"/>
    <w:rsid w:val="00430D89"/>
    <w:rsid w:val="00430E6A"/>
    <w:rsid w:val="00430F7A"/>
    <w:rsid w:val="0043109E"/>
    <w:rsid w:val="00431259"/>
    <w:rsid w:val="004315DA"/>
    <w:rsid w:val="004318D4"/>
    <w:rsid w:val="00431BA4"/>
    <w:rsid w:val="00431C65"/>
    <w:rsid w:val="00431D45"/>
    <w:rsid w:val="00431E4F"/>
    <w:rsid w:val="00431F71"/>
    <w:rsid w:val="00431FE5"/>
    <w:rsid w:val="00432116"/>
    <w:rsid w:val="004322C5"/>
    <w:rsid w:val="00432306"/>
    <w:rsid w:val="00432490"/>
    <w:rsid w:val="004324F6"/>
    <w:rsid w:val="004325CD"/>
    <w:rsid w:val="004326B9"/>
    <w:rsid w:val="0043274B"/>
    <w:rsid w:val="00432763"/>
    <w:rsid w:val="00432A44"/>
    <w:rsid w:val="00432DE5"/>
    <w:rsid w:val="00432E2C"/>
    <w:rsid w:val="00432F83"/>
    <w:rsid w:val="00432FF1"/>
    <w:rsid w:val="004333CB"/>
    <w:rsid w:val="0043345E"/>
    <w:rsid w:val="004336EF"/>
    <w:rsid w:val="00433846"/>
    <w:rsid w:val="00433B10"/>
    <w:rsid w:val="00433CAD"/>
    <w:rsid w:val="00433E68"/>
    <w:rsid w:val="004342A9"/>
    <w:rsid w:val="00434633"/>
    <w:rsid w:val="00434922"/>
    <w:rsid w:val="00434AF4"/>
    <w:rsid w:val="00434AF6"/>
    <w:rsid w:val="00434B25"/>
    <w:rsid w:val="00434B34"/>
    <w:rsid w:val="00434CFD"/>
    <w:rsid w:val="00434E30"/>
    <w:rsid w:val="00434E97"/>
    <w:rsid w:val="0043528B"/>
    <w:rsid w:val="00435628"/>
    <w:rsid w:val="004356CB"/>
    <w:rsid w:val="0043583A"/>
    <w:rsid w:val="00435970"/>
    <w:rsid w:val="00435A2C"/>
    <w:rsid w:val="00435A7A"/>
    <w:rsid w:val="00435C2B"/>
    <w:rsid w:val="00435C67"/>
    <w:rsid w:val="00435D71"/>
    <w:rsid w:val="00435F09"/>
    <w:rsid w:val="00435F72"/>
    <w:rsid w:val="0043611D"/>
    <w:rsid w:val="00436312"/>
    <w:rsid w:val="0043634E"/>
    <w:rsid w:val="004363A8"/>
    <w:rsid w:val="00436441"/>
    <w:rsid w:val="004364D3"/>
    <w:rsid w:val="004365BB"/>
    <w:rsid w:val="0043684F"/>
    <w:rsid w:val="004368C0"/>
    <w:rsid w:val="004368DA"/>
    <w:rsid w:val="0043697D"/>
    <w:rsid w:val="00436A05"/>
    <w:rsid w:val="00436AE3"/>
    <w:rsid w:val="00437204"/>
    <w:rsid w:val="004373F9"/>
    <w:rsid w:val="00437753"/>
    <w:rsid w:val="0043780F"/>
    <w:rsid w:val="00437A26"/>
    <w:rsid w:val="00437C4F"/>
    <w:rsid w:val="00437C74"/>
    <w:rsid w:val="00437CB3"/>
    <w:rsid w:val="00437EF8"/>
    <w:rsid w:val="004402C9"/>
    <w:rsid w:val="004403A5"/>
    <w:rsid w:val="004403DB"/>
    <w:rsid w:val="00440423"/>
    <w:rsid w:val="004404DA"/>
    <w:rsid w:val="00440743"/>
    <w:rsid w:val="004407E0"/>
    <w:rsid w:val="00440807"/>
    <w:rsid w:val="00440AD2"/>
    <w:rsid w:val="00440B93"/>
    <w:rsid w:val="00440C3D"/>
    <w:rsid w:val="00440D2E"/>
    <w:rsid w:val="00440FA3"/>
    <w:rsid w:val="004410EF"/>
    <w:rsid w:val="00441163"/>
    <w:rsid w:val="004411B2"/>
    <w:rsid w:val="004412A3"/>
    <w:rsid w:val="0044136F"/>
    <w:rsid w:val="004413F7"/>
    <w:rsid w:val="00441798"/>
    <w:rsid w:val="004418FE"/>
    <w:rsid w:val="004419D1"/>
    <w:rsid w:val="00441C84"/>
    <w:rsid w:val="00441C8A"/>
    <w:rsid w:val="00441DC6"/>
    <w:rsid w:val="00441DEB"/>
    <w:rsid w:val="00441F8F"/>
    <w:rsid w:val="00441FB8"/>
    <w:rsid w:val="004420A4"/>
    <w:rsid w:val="00442343"/>
    <w:rsid w:val="004423DF"/>
    <w:rsid w:val="00442536"/>
    <w:rsid w:val="00442830"/>
    <w:rsid w:val="004429A5"/>
    <w:rsid w:val="00442B29"/>
    <w:rsid w:val="00442CBD"/>
    <w:rsid w:val="00442DAA"/>
    <w:rsid w:val="00442EAF"/>
    <w:rsid w:val="00443079"/>
    <w:rsid w:val="004430CC"/>
    <w:rsid w:val="00443586"/>
    <w:rsid w:val="00443610"/>
    <w:rsid w:val="0044366D"/>
    <w:rsid w:val="004436DA"/>
    <w:rsid w:val="004439F4"/>
    <w:rsid w:val="00443BD6"/>
    <w:rsid w:val="00443C16"/>
    <w:rsid w:val="00443FA8"/>
    <w:rsid w:val="00444185"/>
    <w:rsid w:val="004442F1"/>
    <w:rsid w:val="004443D8"/>
    <w:rsid w:val="0044457D"/>
    <w:rsid w:val="0044464C"/>
    <w:rsid w:val="0044476E"/>
    <w:rsid w:val="004448E1"/>
    <w:rsid w:val="00444902"/>
    <w:rsid w:val="00444B3B"/>
    <w:rsid w:val="00444B6E"/>
    <w:rsid w:val="00444BC8"/>
    <w:rsid w:val="00444C6A"/>
    <w:rsid w:val="00444D0F"/>
    <w:rsid w:val="00444EE4"/>
    <w:rsid w:val="00444F59"/>
    <w:rsid w:val="0044509C"/>
    <w:rsid w:val="004451C9"/>
    <w:rsid w:val="004454F2"/>
    <w:rsid w:val="004455FC"/>
    <w:rsid w:val="00445682"/>
    <w:rsid w:val="00445696"/>
    <w:rsid w:val="00445823"/>
    <w:rsid w:val="00445825"/>
    <w:rsid w:val="00445871"/>
    <w:rsid w:val="00445A5F"/>
    <w:rsid w:val="00445C83"/>
    <w:rsid w:val="00445D62"/>
    <w:rsid w:val="00445E9E"/>
    <w:rsid w:val="0044605A"/>
    <w:rsid w:val="00446166"/>
    <w:rsid w:val="004461AB"/>
    <w:rsid w:val="004461E5"/>
    <w:rsid w:val="00446207"/>
    <w:rsid w:val="0044636B"/>
    <w:rsid w:val="004463EE"/>
    <w:rsid w:val="004463F9"/>
    <w:rsid w:val="0044650F"/>
    <w:rsid w:val="004465C2"/>
    <w:rsid w:val="0044689B"/>
    <w:rsid w:val="00446D33"/>
    <w:rsid w:val="00446F13"/>
    <w:rsid w:val="00447000"/>
    <w:rsid w:val="0044704F"/>
    <w:rsid w:val="004470FC"/>
    <w:rsid w:val="0044722E"/>
    <w:rsid w:val="004473FE"/>
    <w:rsid w:val="004474AB"/>
    <w:rsid w:val="004475DC"/>
    <w:rsid w:val="004479CF"/>
    <w:rsid w:val="00447A93"/>
    <w:rsid w:val="00447BFC"/>
    <w:rsid w:val="00447E5C"/>
    <w:rsid w:val="00447FE5"/>
    <w:rsid w:val="004500D6"/>
    <w:rsid w:val="004500E2"/>
    <w:rsid w:val="0045017C"/>
    <w:rsid w:val="004501B7"/>
    <w:rsid w:val="004501FB"/>
    <w:rsid w:val="004502B2"/>
    <w:rsid w:val="00450309"/>
    <w:rsid w:val="0045033F"/>
    <w:rsid w:val="00450416"/>
    <w:rsid w:val="00450446"/>
    <w:rsid w:val="0045047E"/>
    <w:rsid w:val="004504A9"/>
    <w:rsid w:val="00450856"/>
    <w:rsid w:val="0045096B"/>
    <w:rsid w:val="00450A72"/>
    <w:rsid w:val="00450B1B"/>
    <w:rsid w:val="00450B41"/>
    <w:rsid w:val="00450C6A"/>
    <w:rsid w:val="0045115A"/>
    <w:rsid w:val="004512C9"/>
    <w:rsid w:val="00451418"/>
    <w:rsid w:val="0045166E"/>
    <w:rsid w:val="00451741"/>
    <w:rsid w:val="00451751"/>
    <w:rsid w:val="00451903"/>
    <w:rsid w:val="00451AB8"/>
    <w:rsid w:val="00451CD8"/>
    <w:rsid w:val="00451D02"/>
    <w:rsid w:val="00451DAC"/>
    <w:rsid w:val="00451EBC"/>
    <w:rsid w:val="00452162"/>
    <w:rsid w:val="00452282"/>
    <w:rsid w:val="00452372"/>
    <w:rsid w:val="0045252D"/>
    <w:rsid w:val="00452982"/>
    <w:rsid w:val="00452A4A"/>
    <w:rsid w:val="00452B6D"/>
    <w:rsid w:val="00452F45"/>
    <w:rsid w:val="00452FF7"/>
    <w:rsid w:val="0045334C"/>
    <w:rsid w:val="004534AF"/>
    <w:rsid w:val="0045373E"/>
    <w:rsid w:val="004538CC"/>
    <w:rsid w:val="00453A72"/>
    <w:rsid w:val="00453D57"/>
    <w:rsid w:val="0045400C"/>
    <w:rsid w:val="00454088"/>
    <w:rsid w:val="00454102"/>
    <w:rsid w:val="0045416D"/>
    <w:rsid w:val="004541DB"/>
    <w:rsid w:val="004548FB"/>
    <w:rsid w:val="004549FC"/>
    <w:rsid w:val="00454A76"/>
    <w:rsid w:val="00454A89"/>
    <w:rsid w:val="00454B2E"/>
    <w:rsid w:val="00454B6A"/>
    <w:rsid w:val="00454D01"/>
    <w:rsid w:val="00454E1F"/>
    <w:rsid w:val="00454FBE"/>
    <w:rsid w:val="0045505F"/>
    <w:rsid w:val="004552C6"/>
    <w:rsid w:val="00455302"/>
    <w:rsid w:val="00455320"/>
    <w:rsid w:val="00455415"/>
    <w:rsid w:val="004555F7"/>
    <w:rsid w:val="004557E9"/>
    <w:rsid w:val="00455ADD"/>
    <w:rsid w:val="00455AEB"/>
    <w:rsid w:val="00455BD5"/>
    <w:rsid w:val="00455C04"/>
    <w:rsid w:val="00455DF5"/>
    <w:rsid w:val="00455FBE"/>
    <w:rsid w:val="004560A5"/>
    <w:rsid w:val="0045629A"/>
    <w:rsid w:val="0045632C"/>
    <w:rsid w:val="004563B3"/>
    <w:rsid w:val="0045646A"/>
    <w:rsid w:val="00456562"/>
    <w:rsid w:val="00456608"/>
    <w:rsid w:val="0045673D"/>
    <w:rsid w:val="00456A47"/>
    <w:rsid w:val="00456A80"/>
    <w:rsid w:val="00456B8A"/>
    <w:rsid w:val="00456E9A"/>
    <w:rsid w:val="00456F7E"/>
    <w:rsid w:val="00457059"/>
    <w:rsid w:val="004570FC"/>
    <w:rsid w:val="004571CF"/>
    <w:rsid w:val="004571F0"/>
    <w:rsid w:val="00457245"/>
    <w:rsid w:val="004573D4"/>
    <w:rsid w:val="0045752C"/>
    <w:rsid w:val="00457646"/>
    <w:rsid w:val="00457831"/>
    <w:rsid w:val="0045785F"/>
    <w:rsid w:val="0045798C"/>
    <w:rsid w:val="00457A12"/>
    <w:rsid w:val="00457DC9"/>
    <w:rsid w:val="004601C7"/>
    <w:rsid w:val="00460272"/>
    <w:rsid w:val="0046037E"/>
    <w:rsid w:val="00460475"/>
    <w:rsid w:val="0046047B"/>
    <w:rsid w:val="004605B1"/>
    <w:rsid w:val="00460B2A"/>
    <w:rsid w:val="00460BDC"/>
    <w:rsid w:val="00460D9B"/>
    <w:rsid w:val="00460E27"/>
    <w:rsid w:val="00460F29"/>
    <w:rsid w:val="00460FAC"/>
    <w:rsid w:val="00461164"/>
    <w:rsid w:val="004615DF"/>
    <w:rsid w:val="004619CB"/>
    <w:rsid w:val="00461B0E"/>
    <w:rsid w:val="00461B44"/>
    <w:rsid w:val="00461BEC"/>
    <w:rsid w:val="00461D61"/>
    <w:rsid w:val="00462341"/>
    <w:rsid w:val="00462B6C"/>
    <w:rsid w:val="00463369"/>
    <w:rsid w:val="00463474"/>
    <w:rsid w:val="004636BB"/>
    <w:rsid w:val="004637A2"/>
    <w:rsid w:val="004638E6"/>
    <w:rsid w:val="00463942"/>
    <w:rsid w:val="00463A19"/>
    <w:rsid w:val="00463A53"/>
    <w:rsid w:val="00463AD3"/>
    <w:rsid w:val="00463C52"/>
    <w:rsid w:val="00463FEE"/>
    <w:rsid w:val="0046416F"/>
    <w:rsid w:val="004641F7"/>
    <w:rsid w:val="0046449F"/>
    <w:rsid w:val="004645D8"/>
    <w:rsid w:val="00464913"/>
    <w:rsid w:val="00464B70"/>
    <w:rsid w:val="00464C58"/>
    <w:rsid w:val="00464FC8"/>
    <w:rsid w:val="00465249"/>
    <w:rsid w:val="00465388"/>
    <w:rsid w:val="00465400"/>
    <w:rsid w:val="00465448"/>
    <w:rsid w:val="0046544B"/>
    <w:rsid w:val="00465460"/>
    <w:rsid w:val="00465747"/>
    <w:rsid w:val="004659AA"/>
    <w:rsid w:val="00465A4B"/>
    <w:rsid w:val="00465B74"/>
    <w:rsid w:val="004660DF"/>
    <w:rsid w:val="004661C4"/>
    <w:rsid w:val="00466695"/>
    <w:rsid w:val="004666A0"/>
    <w:rsid w:val="00466989"/>
    <w:rsid w:val="004669C6"/>
    <w:rsid w:val="00466C4E"/>
    <w:rsid w:val="00466C9E"/>
    <w:rsid w:val="00466E7D"/>
    <w:rsid w:val="0046727E"/>
    <w:rsid w:val="00467370"/>
    <w:rsid w:val="004676CA"/>
    <w:rsid w:val="004676CF"/>
    <w:rsid w:val="00467969"/>
    <w:rsid w:val="00467B09"/>
    <w:rsid w:val="00470140"/>
    <w:rsid w:val="00470327"/>
    <w:rsid w:val="004704B7"/>
    <w:rsid w:val="0047052C"/>
    <w:rsid w:val="00470C12"/>
    <w:rsid w:val="00470C66"/>
    <w:rsid w:val="00470E19"/>
    <w:rsid w:val="004711B2"/>
    <w:rsid w:val="004711E0"/>
    <w:rsid w:val="004712AC"/>
    <w:rsid w:val="004714D9"/>
    <w:rsid w:val="004715B0"/>
    <w:rsid w:val="0047165C"/>
    <w:rsid w:val="0047169A"/>
    <w:rsid w:val="004717C3"/>
    <w:rsid w:val="00471AD0"/>
    <w:rsid w:val="00471B69"/>
    <w:rsid w:val="00471BF7"/>
    <w:rsid w:val="00471E0D"/>
    <w:rsid w:val="00471F2A"/>
    <w:rsid w:val="00472643"/>
    <w:rsid w:val="0047281D"/>
    <w:rsid w:val="00472854"/>
    <w:rsid w:val="00472B0E"/>
    <w:rsid w:val="00472B46"/>
    <w:rsid w:val="00472C9B"/>
    <w:rsid w:val="0047305A"/>
    <w:rsid w:val="00473189"/>
    <w:rsid w:val="004735DC"/>
    <w:rsid w:val="00473677"/>
    <w:rsid w:val="004736B6"/>
    <w:rsid w:val="00473B5D"/>
    <w:rsid w:val="0047428B"/>
    <w:rsid w:val="00474334"/>
    <w:rsid w:val="004746AB"/>
    <w:rsid w:val="0047501F"/>
    <w:rsid w:val="00475027"/>
    <w:rsid w:val="00475136"/>
    <w:rsid w:val="004753AD"/>
    <w:rsid w:val="0047546E"/>
    <w:rsid w:val="0047547D"/>
    <w:rsid w:val="00475C5A"/>
    <w:rsid w:val="00475D62"/>
    <w:rsid w:val="004760E6"/>
    <w:rsid w:val="00476318"/>
    <w:rsid w:val="004763E4"/>
    <w:rsid w:val="0047685F"/>
    <w:rsid w:val="00476BE9"/>
    <w:rsid w:val="0047701C"/>
    <w:rsid w:val="00477066"/>
    <w:rsid w:val="00477297"/>
    <w:rsid w:val="004774D0"/>
    <w:rsid w:val="004775AD"/>
    <w:rsid w:val="0047762D"/>
    <w:rsid w:val="004776D0"/>
    <w:rsid w:val="00477A10"/>
    <w:rsid w:val="00477AF3"/>
    <w:rsid w:val="00477B5A"/>
    <w:rsid w:val="00477B6C"/>
    <w:rsid w:val="00477E01"/>
    <w:rsid w:val="00477EE9"/>
    <w:rsid w:val="004800D0"/>
    <w:rsid w:val="00480104"/>
    <w:rsid w:val="0048019D"/>
    <w:rsid w:val="00480210"/>
    <w:rsid w:val="004803F1"/>
    <w:rsid w:val="00480417"/>
    <w:rsid w:val="00480492"/>
    <w:rsid w:val="004804FF"/>
    <w:rsid w:val="004808AA"/>
    <w:rsid w:val="0048097A"/>
    <w:rsid w:val="00480ACB"/>
    <w:rsid w:val="00480BB7"/>
    <w:rsid w:val="004813E9"/>
    <w:rsid w:val="004816E7"/>
    <w:rsid w:val="004818DB"/>
    <w:rsid w:val="00481D14"/>
    <w:rsid w:val="00481DCC"/>
    <w:rsid w:val="00481F08"/>
    <w:rsid w:val="00482028"/>
    <w:rsid w:val="004821DF"/>
    <w:rsid w:val="004822D7"/>
    <w:rsid w:val="0048284A"/>
    <w:rsid w:val="00482FF0"/>
    <w:rsid w:val="00483252"/>
    <w:rsid w:val="00483357"/>
    <w:rsid w:val="00483394"/>
    <w:rsid w:val="00483438"/>
    <w:rsid w:val="00483542"/>
    <w:rsid w:val="0048361A"/>
    <w:rsid w:val="00483632"/>
    <w:rsid w:val="00483E74"/>
    <w:rsid w:val="00483E96"/>
    <w:rsid w:val="00483ED7"/>
    <w:rsid w:val="00483F9D"/>
    <w:rsid w:val="00484120"/>
    <w:rsid w:val="004841F4"/>
    <w:rsid w:val="0048420C"/>
    <w:rsid w:val="0048426E"/>
    <w:rsid w:val="004843A9"/>
    <w:rsid w:val="00484458"/>
    <w:rsid w:val="0048445F"/>
    <w:rsid w:val="0048457D"/>
    <w:rsid w:val="0048463E"/>
    <w:rsid w:val="004846A5"/>
    <w:rsid w:val="004846B5"/>
    <w:rsid w:val="0048485F"/>
    <w:rsid w:val="0048487A"/>
    <w:rsid w:val="00484899"/>
    <w:rsid w:val="00484C75"/>
    <w:rsid w:val="00484D50"/>
    <w:rsid w:val="00484E5E"/>
    <w:rsid w:val="00484F2C"/>
    <w:rsid w:val="00485144"/>
    <w:rsid w:val="004851EC"/>
    <w:rsid w:val="004853D5"/>
    <w:rsid w:val="00485401"/>
    <w:rsid w:val="00485408"/>
    <w:rsid w:val="004857D5"/>
    <w:rsid w:val="004859C2"/>
    <w:rsid w:val="004859C9"/>
    <w:rsid w:val="00485B10"/>
    <w:rsid w:val="00485EBF"/>
    <w:rsid w:val="00485F90"/>
    <w:rsid w:val="00486164"/>
    <w:rsid w:val="00486271"/>
    <w:rsid w:val="004862CA"/>
    <w:rsid w:val="00486310"/>
    <w:rsid w:val="0048679B"/>
    <w:rsid w:val="00486D70"/>
    <w:rsid w:val="0048735C"/>
    <w:rsid w:val="00487381"/>
    <w:rsid w:val="0048740D"/>
    <w:rsid w:val="00487613"/>
    <w:rsid w:val="004877C6"/>
    <w:rsid w:val="004878A1"/>
    <w:rsid w:val="004878A3"/>
    <w:rsid w:val="004879D7"/>
    <w:rsid w:val="00487A38"/>
    <w:rsid w:val="00487AD9"/>
    <w:rsid w:val="00487B80"/>
    <w:rsid w:val="00487C95"/>
    <w:rsid w:val="00487CD1"/>
    <w:rsid w:val="00487E27"/>
    <w:rsid w:val="00487E4E"/>
    <w:rsid w:val="00487F5A"/>
    <w:rsid w:val="0049003F"/>
    <w:rsid w:val="0049020C"/>
    <w:rsid w:val="004903C1"/>
    <w:rsid w:val="004904A3"/>
    <w:rsid w:val="0049066F"/>
    <w:rsid w:val="004907BF"/>
    <w:rsid w:val="0049099D"/>
    <w:rsid w:val="004909D4"/>
    <w:rsid w:val="00490A59"/>
    <w:rsid w:val="00490B63"/>
    <w:rsid w:val="00490C22"/>
    <w:rsid w:val="0049119C"/>
    <w:rsid w:val="004911F7"/>
    <w:rsid w:val="0049133D"/>
    <w:rsid w:val="004914EB"/>
    <w:rsid w:val="0049154F"/>
    <w:rsid w:val="004915A3"/>
    <w:rsid w:val="0049177D"/>
    <w:rsid w:val="00491860"/>
    <w:rsid w:val="004918DE"/>
    <w:rsid w:val="00491BE9"/>
    <w:rsid w:val="00491D07"/>
    <w:rsid w:val="00492058"/>
    <w:rsid w:val="004920C5"/>
    <w:rsid w:val="004922B2"/>
    <w:rsid w:val="0049257B"/>
    <w:rsid w:val="0049259F"/>
    <w:rsid w:val="0049269D"/>
    <w:rsid w:val="00492860"/>
    <w:rsid w:val="004929B8"/>
    <w:rsid w:val="00492B24"/>
    <w:rsid w:val="00492C76"/>
    <w:rsid w:val="00492C8A"/>
    <w:rsid w:val="00492DB0"/>
    <w:rsid w:val="0049308F"/>
    <w:rsid w:val="0049336B"/>
    <w:rsid w:val="00493472"/>
    <w:rsid w:val="004937B8"/>
    <w:rsid w:val="004939D3"/>
    <w:rsid w:val="004939FD"/>
    <w:rsid w:val="00493A50"/>
    <w:rsid w:val="00493C93"/>
    <w:rsid w:val="00493FBE"/>
    <w:rsid w:val="00494401"/>
    <w:rsid w:val="0049441F"/>
    <w:rsid w:val="00494440"/>
    <w:rsid w:val="00494A46"/>
    <w:rsid w:val="00494CB7"/>
    <w:rsid w:val="00495079"/>
    <w:rsid w:val="004951A7"/>
    <w:rsid w:val="0049526E"/>
    <w:rsid w:val="0049560F"/>
    <w:rsid w:val="004956CA"/>
    <w:rsid w:val="00495834"/>
    <w:rsid w:val="00495952"/>
    <w:rsid w:val="00495A0C"/>
    <w:rsid w:val="00495CF3"/>
    <w:rsid w:val="00495D57"/>
    <w:rsid w:val="00495D69"/>
    <w:rsid w:val="00496167"/>
    <w:rsid w:val="00496246"/>
    <w:rsid w:val="00496418"/>
    <w:rsid w:val="00496771"/>
    <w:rsid w:val="004968B6"/>
    <w:rsid w:val="00496BC6"/>
    <w:rsid w:val="00496C46"/>
    <w:rsid w:val="00496CBC"/>
    <w:rsid w:val="00496E26"/>
    <w:rsid w:val="004970CE"/>
    <w:rsid w:val="004971EE"/>
    <w:rsid w:val="00497420"/>
    <w:rsid w:val="004975D9"/>
    <w:rsid w:val="004975E3"/>
    <w:rsid w:val="00497667"/>
    <w:rsid w:val="004977D1"/>
    <w:rsid w:val="004978E7"/>
    <w:rsid w:val="00497902"/>
    <w:rsid w:val="00497F5F"/>
    <w:rsid w:val="004A02F2"/>
    <w:rsid w:val="004A04FB"/>
    <w:rsid w:val="004A079A"/>
    <w:rsid w:val="004A0857"/>
    <w:rsid w:val="004A0A49"/>
    <w:rsid w:val="004A0B5C"/>
    <w:rsid w:val="004A0BAB"/>
    <w:rsid w:val="004A0C24"/>
    <w:rsid w:val="004A0DA7"/>
    <w:rsid w:val="004A0FAE"/>
    <w:rsid w:val="004A10EC"/>
    <w:rsid w:val="004A119A"/>
    <w:rsid w:val="004A13C4"/>
    <w:rsid w:val="004A13D9"/>
    <w:rsid w:val="004A1629"/>
    <w:rsid w:val="004A1EE7"/>
    <w:rsid w:val="004A1FC2"/>
    <w:rsid w:val="004A1FC9"/>
    <w:rsid w:val="004A2097"/>
    <w:rsid w:val="004A223F"/>
    <w:rsid w:val="004A2327"/>
    <w:rsid w:val="004A2665"/>
    <w:rsid w:val="004A2925"/>
    <w:rsid w:val="004A2A2C"/>
    <w:rsid w:val="004A2BB1"/>
    <w:rsid w:val="004A2D73"/>
    <w:rsid w:val="004A2D95"/>
    <w:rsid w:val="004A2DBF"/>
    <w:rsid w:val="004A2E8A"/>
    <w:rsid w:val="004A35FA"/>
    <w:rsid w:val="004A3660"/>
    <w:rsid w:val="004A370C"/>
    <w:rsid w:val="004A38A2"/>
    <w:rsid w:val="004A3992"/>
    <w:rsid w:val="004A39B5"/>
    <w:rsid w:val="004A3B12"/>
    <w:rsid w:val="004A3B7C"/>
    <w:rsid w:val="004A3B85"/>
    <w:rsid w:val="004A3E57"/>
    <w:rsid w:val="004A4055"/>
    <w:rsid w:val="004A43F9"/>
    <w:rsid w:val="004A440B"/>
    <w:rsid w:val="004A452F"/>
    <w:rsid w:val="004A4585"/>
    <w:rsid w:val="004A4869"/>
    <w:rsid w:val="004A48F8"/>
    <w:rsid w:val="004A4964"/>
    <w:rsid w:val="004A4F2F"/>
    <w:rsid w:val="004A4FE8"/>
    <w:rsid w:val="004A5057"/>
    <w:rsid w:val="004A511B"/>
    <w:rsid w:val="004A5939"/>
    <w:rsid w:val="004A5985"/>
    <w:rsid w:val="004A5A79"/>
    <w:rsid w:val="004A5C39"/>
    <w:rsid w:val="004A5C91"/>
    <w:rsid w:val="004A641A"/>
    <w:rsid w:val="004A6571"/>
    <w:rsid w:val="004A6788"/>
    <w:rsid w:val="004A67A2"/>
    <w:rsid w:val="004A6826"/>
    <w:rsid w:val="004A6F4A"/>
    <w:rsid w:val="004A7043"/>
    <w:rsid w:val="004A719A"/>
    <w:rsid w:val="004A7356"/>
    <w:rsid w:val="004A758C"/>
    <w:rsid w:val="004A76FD"/>
    <w:rsid w:val="004A776C"/>
    <w:rsid w:val="004A79EA"/>
    <w:rsid w:val="004A7A15"/>
    <w:rsid w:val="004A7A1E"/>
    <w:rsid w:val="004A7B48"/>
    <w:rsid w:val="004A7C17"/>
    <w:rsid w:val="004A7E1A"/>
    <w:rsid w:val="004A7E66"/>
    <w:rsid w:val="004A7EF1"/>
    <w:rsid w:val="004A7F5F"/>
    <w:rsid w:val="004B002C"/>
    <w:rsid w:val="004B020A"/>
    <w:rsid w:val="004B0274"/>
    <w:rsid w:val="004B0545"/>
    <w:rsid w:val="004B059C"/>
    <w:rsid w:val="004B05B8"/>
    <w:rsid w:val="004B06A7"/>
    <w:rsid w:val="004B0803"/>
    <w:rsid w:val="004B09AC"/>
    <w:rsid w:val="004B0A10"/>
    <w:rsid w:val="004B0B69"/>
    <w:rsid w:val="004B0E20"/>
    <w:rsid w:val="004B139C"/>
    <w:rsid w:val="004B13F3"/>
    <w:rsid w:val="004B163B"/>
    <w:rsid w:val="004B16F5"/>
    <w:rsid w:val="004B19B3"/>
    <w:rsid w:val="004B1B6A"/>
    <w:rsid w:val="004B1C93"/>
    <w:rsid w:val="004B1E23"/>
    <w:rsid w:val="004B1F44"/>
    <w:rsid w:val="004B1F92"/>
    <w:rsid w:val="004B1FFC"/>
    <w:rsid w:val="004B20C4"/>
    <w:rsid w:val="004B20EE"/>
    <w:rsid w:val="004B2309"/>
    <w:rsid w:val="004B231F"/>
    <w:rsid w:val="004B23B0"/>
    <w:rsid w:val="004B25F4"/>
    <w:rsid w:val="004B275C"/>
    <w:rsid w:val="004B280D"/>
    <w:rsid w:val="004B288E"/>
    <w:rsid w:val="004B2A76"/>
    <w:rsid w:val="004B2D4B"/>
    <w:rsid w:val="004B2DBD"/>
    <w:rsid w:val="004B2E9E"/>
    <w:rsid w:val="004B2F3C"/>
    <w:rsid w:val="004B3193"/>
    <w:rsid w:val="004B31AC"/>
    <w:rsid w:val="004B31DC"/>
    <w:rsid w:val="004B33C5"/>
    <w:rsid w:val="004B3527"/>
    <w:rsid w:val="004B368E"/>
    <w:rsid w:val="004B3746"/>
    <w:rsid w:val="004B3759"/>
    <w:rsid w:val="004B3999"/>
    <w:rsid w:val="004B3EB4"/>
    <w:rsid w:val="004B4016"/>
    <w:rsid w:val="004B40C5"/>
    <w:rsid w:val="004B429B"/>
    <w:rsid w:val="004B437C"/>
    <w:rsid w:val="004B444E"/>
    <w:rsid w:val="004B45CE"/>
    <w:rsid w:val="004B4602"/>
    <w:rsid w:val="004B476D"/>
    <w:rsid w:val="004B4825"/>
    <w:rsid w:val="004B49B0"/>
    <w:rsid w:val="004B4F85"/>
    <w:rsid w:val="004B5035"/>
    <w:rsid w:val="004B50CA"/>
    <w:rsid w:val="004B532E"/>
    <w:rsid w:val="004B54C3"/>
    <w:rsid w:val="004B5546"/>
    <w:rsid w:val="004B55E8"/>
    <w:rsid w:val="004B5729"/>
    <w:rsid w:val="004B5839"/>
    <w:rsid w:val="004B5BD8"/>
    <w:rsid w:val="004B5C1A"/>
    <w:rsid w:val="004B5D3D"/>
    <w:rsid w:val="004B5E62"/>
    <w:rsid w:val="004B5EBD"/>
    <w:rsid w:val="004B6317"/>
    <w:rsid w:val="004B641F"/>
    <w:rsid w:val="004B6487"/>
    <w:rsid w:val="004B6515"/>
    <w:rsid w:val="004B6536"/>
    <w:rsid w:val="004B6702"/>
    <w:rsid w:val="004B6881"/>
    <w:rsid w:val="004B6A68"/>
    <w:rsid w:val="004B6A84"/>
    <w:rsid w:val="004B6AC8"/>
    <w:rsid w:val="004B6DFD"/>
    <w:rsid w:val="004B7005"/>
    <w:rsid w:val="004B700A"/>
    <w:rsid w:val="004B71B7"/>
    <w:rsid w:val="004B72E7"/>
    <w:rsid w:val="004B73AE"/>
    <w:rsid w:val="004B74E7"/>
    <w:rsid w:val="004B7516"/>
    <w:rsid w:val="004B754F"/>
    <w:rsid w:val="004B7800"/>
    <w:rsid w:val="004B79BA"/>
    <w:rsid w:val="004B7AEC"/>
    <w:rsid w:val="004B7CE9"/>
    <w:rsid w:val="004B7FCB"/>
    <w:rsid w:val="004C0257"/>
    <w:rsid w:val="004C02E0"/>
    <w:rsid w:val="004C036A"/>
    <w:rsid w:val="004C0400"/>
    <w:rsid w:val="004C0414"/>
    <w:rsid w:val="004C05CA"/>
    <w:rsid w:val="004C07F2"/>
    <w:rsid w:val="004C0808"/>
    <w:rsid w:val="004C090F"/>
    <w:rsid w:val="004C09BF"/>
    <w:rsid w:val="004C0A29"/>
    <w:rsid w:val="004C0A6B"/>
    <w:rsid w:val="004C0B7E"/>
    <w:rsid w:val="004C0C61"/>
    <w:rsid w:val="004C0CDA"/>
    <w:rsid w:val="004C0EFA"/>
    <w:rsid w:val="004C11D4"/>
    <w:rsid w:val="004C120D"/>
    <w:rsid w:val="004C121F"/>
    <w:rsid w:val="004C129A"/>
    <w:rsid w:val="004C1613"/>
    <w:rsid w:val="004C1C61"/>
    <w:rsid w:val="004C1D80"/>
    <w:rsid w:val="004C2138"/>
    <w:rsid w:val="004C215C"/>
    <w:rsid w:val="004C221B"/>
    <w:rsid w:val="004C2311"/>
    <w:rsid w:val="004C2329"/>
    <w:rsid w:val="004C2341"/>
    <w:rsid w:val="004C2394"/>
    <w:rsid w:val="004C241E"/>
    <w:rsid w:val="004C242F"/>
    <w:rsid w:val="004C24C5"/>
    <w:rsid w:val="004C251D"/>
    <w:rsid w:val="004C2568"/>
    <w:rsid w:val="004C25E2"/>
    <w:rsid w:val="004C27AF"/>
    <w:rsid w:val="004C2BC3"/>
    <w:rsid w:val="004C2C67"/>
    <w:rsid w:val="004C2D0A"/>
    <w:rsid w:val="004C2D27"/>
    <w:rsid w:val="004C2EE5"/>
    <w:rsid w:val="004C3174"/>
    <w:rsid w:val="004C3235"/>
    <w:rsid w:val="004C33AE"/>
    <w:rsid w:val="004C345C"/>
    <w:rsid w:val="004C346D"/>
    <w:rsid w:val="004C34CE"/>
    <w:rsid w:val="004C3560"/>
    <w:rsid w:val="004C361C"/>
    <w:rsid w:val="004C3716"/>
    <w:rsid w:val="004C374D"/>
    <w:rsid w:val="004C38A9"/>
    <w:rsid w:val="004C38FD"/>
    <w:rsid w:val="004C39CE"/>
    <w:rsid w:val="004C39D9"/>
    <w:rsid w:val="004C3A03"/>
    <w:rsid w:val="004C3FB6"/>
    <w:rsid w:val="004C4001"/>
    <w:rsid w:val="004C4014"/>
    <w:rsid w:val="004C4436"/>
    <w:rsid w:val="004C4554"/>
    <w:rsid w:val="004C45E7"/>
    <w:rsid w:val="004C461B"/>
    <w:rsid w:val="004C469F"/>
    <w:rsid w:val="004C475F"/>
    <w:rsid w:val="004C47D4"/>
    <w:rsid w:val="004C48AF"/>
    <w:rsid w:val="004C48B3"/>
    <w:rsid w:val="004C4A7F"/>
    <w:rsid w:val="004C4AAC"/>
    <w:rsid w:val="004C4B1C"/>
    <w:rsid w:val="004C4D0E"/>
    <w:rsid w:val="004C4D68"/>
    <w:rsid w:val="004C4E7D"/>
    <w:rsid w:val="004C5244"/>
    <w:rsid w:val="004C52A6"/>
    <w:rsid w:val="004C52FE"/>
    <w:rsid w:val="004C54C5"/>
    <w:rsid w:val="004C563A"/>
    <w:rsid w:val="004C58C2"/>
    <w:rsid w:val="004C59BA"/>
    <w:rsid w:val="004C59C9"/>
    <w:rsid w:val="004C5B13"/>
    <w:rsid w:val="004C5C1B"/>
    <w:rsid w:val="004C5CB4"/>
    <w:rsid w:val="004C5D68"/>
    <w:rsid w:val="004C5E5B"/>
    <w:rsid w:val="004C5FBF"/>
    <w:rsid w:val="004C601F"/>
    <w:rsid w:val="004C61B7"/>
    <w:rsid w:val="004C61C3"/>
    <w:rsid w:val="004C6367"/>
    <w:rsid w:val="004C63E6"/>
    <w:rsid w:val="004C64BD"/>
    <w:rsid w:val="004C662A"/>
    <w:rsid w:val="004C662C"/>
    <w:rsid w:val="004C66A3"/>
    <w:rsid w:val="004C66FC"/>
    <w:rsid w:val="004C6738"/>
    <w:rsid w:val="004C6766"/>
    <w:rsid w:val="004C6921"/>
    <w:rsid w:val="004C693B"/>
    <w:rsid w:val="004C6D4D"/>
    <w:rsid w:val="004C73F3"/>
    <w:rsid w:val="004C791B"/>
    <w:rsid w:val="004C7CD2"/>
    <w:rsid w:val="004C7D62"/>
    <w:rsid w:val="004C7E4A"/>
    <w:rsid w:val="004C7EE6"/>
    <w:rsid w:val="004D01A0"/>
    <w:rsid w:val="004D02E3"/>
    <w:rsid w:val="004D0318"/>
    <w:rsid w:val="004D031E"/>
    <w:rsid w:val="004D0448"/>
    <w:rsid w:val="004D0471"/>
    <w:rsid w:val="004D065D"/>
    <w:rsid w:val="004D06EE"/>
    <w:rsid w:val="004D0730"/>
    <w:rsid w:val="004D08A8"/>
    <w:rsid w:val="004D08F2"/>
    <w:rsid w:val="004D0A15"/>
    <w:rsid w:val="004D0A2E"/>
    <w:rsid w:val="004D0A63"/>
    <w:rsid w:val="004D0BAE"/>
    <w:rsid w:val="004D0C94"/>
    <w:rsid w:val="004D0CD7"/>
    <w:rsid w:val="004D0CF0"/>
    <w:rsid w:val="004D0E68"/>
    <w:rsid w:val="004D0FF8"/>
    <w:rsid w:val="004D10A3"/>
    <w:rsid w:val="004D11B7"/>
    <w:rsid w:val="004D1258"/>
    <w:rsid w:val="004D1891"/>
    <w:rsid w:val="004D1925"/>
    <w:rsid w:val="004D1944"/>
    <w:rsid w:val="004D19DC"/>
    <w:rsid w:val="004D1B54"/>
    <w:rsid w:val="004D1BCC"/>
    <w:rsid w:val="004D1C26"/>
    <w:rsid w:val="004D1CF8"/>
    <w:rsid w:val="004D1D25"/>
    <w:rsid w:val="004D1FB1"/>
    <w:rsid w:val="004D207B"/>
    <w:rsid w:val="004D20E3"/>
    <w:rsid w:val="004D253C"/>
    <w:rsid w:val="004D26A8"/>
    <w:rsid w:val="004D2876"/>
    <w:rsid w:val="004D291D"/>
    <w:rsid w:val="004D2DD1"/>
    <w:rsid w:val="004D3359"/>
    <w:rsid w:val="004D36AC"/>
    <w:rsid w:val="004D3722"/>
    <w:rsid w:val="004D377F"/>
    <w:rsid w:val="004D385C"/>
    <w:rsid w:val="004D3BE0"/>
    <w:rsid w:val="004D3F6B"/>
    <w:rsid w:val="004D3F7C"/>
    <w:rsid w:val="004D401E"/>
    <w:rsid w:val="004D4062"/>
    <w:rsid w:val="004D40A9"/>
    <w:rsid w:val="004D41D7"/>
    <w:rsid w:val="004D41D9"/>
    <w:rsid w:val="004D4589"/>
    <w:rsid w:val="004D472C"/>
    <w:rsid w:val="004D4839"/>
    <w:rsid w:val="004D4940"/>
    <w:rsid w:val="004D4997"/>
    <w:rsid w:val="004D4A4E"/>
    <w:rsid w:val="004D513F"/>
    <w:rsid w:val="004D51A3"/>
    <w:rsid w:val="004D5311"/>
    <w:rsid w:val="004D5437"/>
    <w:rsid w:val="004D55A3"/>
    <w:rsid w:val="004D5684"/>
    <w:rsid w:val="004D57B7"/>
    <w:rsid w:val="004D59B6"/>
    <w:rsid w:val="004D5C72"/>
    <w:rsid w:val="004D5DA5"/>
    <w:rsid w:val="004D5F8B"/>
    <w:rsid w:val="004D6027"/>
    <w:rsid w:val="004D6263"/>
    <w:rsid w:val="004D689A"/>
    <w:rsid w:val="004D6A94"/>
    <w:rsid w:val="004D6B34"/>
    <w:rsid w:val="004D6F31"/>
    <w:rsid w:val="004D6FB2"/>
    <w:rsid w:val="004D73C7"/>
    <w:rsid w:val="004D7708"/>
    <w:rsid w:val="004D77A7"/>
    <w:rsid w:val="004D789D"/>
    <w:rsid w:val="004D78F3"/>
    <w:rsid w:val="004D79AB"/>
    <w:rsid w:val="004D7A92"/>
    <w:rsid w:val="004D7F78"/>
    <w:rsid w:val="004E03A9"/>
    <w:rsid w:val="004E04AF"/>
    <w:rsid w:val="004E0593"/>
    <w:rsid w:val="004E0AE7"/>
    <w:rsid w:val="004E0AF3"/>
    <w:rsid w:val="004E0F9F"/>
    <w:rsid w:val="004E1082"/>
    <w:rsid w:val="004E1172"/>
    <w:rsid w:val="004E13CD"/>
    <w:rsid w:val="004E14E5"/>
    <w:rsid w:val="004E159C"/>
    <w:rsid w:val="004E168A"/>
    <w:rsid w:val="004E16D3"/>
    <w:rsid w:val="004E1743"/>
    <w:rsid w:val="004E1757"/>
    <w:rsid w:val="004E176A"/>
    <w:rsid w:val="004E17EC"/>
    <w:rsid w:val="004E18E6"/>
    <w:rsid w:val="004E1922"/>
    <w:rsid w:val="004E1B5B"/>
    <w:rsid w:val="004E20CE"/>
    <w:rsid w:val="004E211D"/>
    <w:rsid w:val="004E21A2"/>
    <w:rsid w:val="004E2322"/>
    <w:rsid w:val="004E25B2"/>
    <w:rsid w:val="004E261D"/>
    <w:rsid w:val="004E26EF"/>
    <w:rsid w:val="004E2A1D"/>
    <w:rsid w:val="004E2C73"/>
    <w:rsid w:val="004E2D7F"/>
    <w:rsid w:val="004E2F42"/>
    <w:rsid w:val="004E2F7C"/>
    <w:rsid w:val="004E302C"/>
    <w:rsid w:val="004E346A"/>
    <w:rsid w:val="004E3520"/>
    <w:rsid w:val="004E36F7"/>
    <w:rsid w:val="004E3A45"/>
    <w:rsid w:val="004E3B54"/>
    <w:rsid w:val="004E3F05"/>
    <w:rsid w:val="004E3F25"/>
    <w:rsid w:val="004E4096"/>
    <w:rsid w:val="004E40C8"/>
    <w:rsid w:val="004E415E"/>
    <w:rsid w:val="004E4167"/>
    <w:rsid w:val="004E45A2"/>
    <w:rsid w:val="004E46E9"/>
    <w:rsid w:val="004E4725"/>
    <w:rsid w:val="004E48AD"/>
    <w:rsid w:val="004E490B"/>
    <w:rsid w:val="004E4BA4"/>
    <w:rsid w:val="004E4BBC"/>
    <w:rsid w:val="004E4C56"/>
    <w:rsid w:val="004E4CDD"/>
    <w:rsid w:val="004E4D67"/>
    <w:rsid w:val="004E4E36"/>
    <w:rsid w:val="004E4EC6"/>
    <w:rsid w:val="004E5283"/>
    <w:rsid w:val="004E529A"/>
    <w:rsid w:val="004E52EE"/>
    <w:rsid w:val="004E533D"/>
    <w:rsid w:val="004E55C6"/>
    <w:rsid w:val="004E5870"/>
    <w:rsid w:val="004E58DC"/>
    <w:rsid w:val="004E59A0"/>
    <w:rsid w:val="004E5B33"/>
    <w:rsid w:val="004E5B92"/>
    <w:rsid w:val="004E5D1E"/>
    <w:rsid w:val="004E5EC1"/>
    <w:rsid w:val="004E5F93"/>
    <w:rsid w:val="004E5FC9"/>
    <w:rsid w:val="004E63E2"/>
    <w:rsid w:val="004E64BF"/>
    <w:rsid w:val="004E655D"/>
    <w:rsid w:val="004E66E2"/>
    <w:rsid w:val="004E68CC"/>
    <w:rsid w:val="004E68F9"/>
    <w:rsid w:val="004E6B16"/>
    <w:rsid w:val="004E6CE5"/>
    <w:rsid w:val="004E6FC5"/>
    <w:rsid w:val="004E704D"/>
    <w:rsid w:val="004E7650"/>
    <w:rsid w:val="004E767B"/>
    <w:rsid w:val="004E76FC"/>
    <w:rsid w:val="004E7BC2"/>
    <w:rsid w:val="004E7DB1"/>
    <w:rsid w:val="004F02AD"/>
    <w:rsid w:val="004F06D4"/>
    <w:rsid w:val="004F075F"/>
    <w:rsid w:val="004F0868"/>
    <w:rsid w:val="004F1030"/>
    <w:rsid w:val="004F10DA"/>
    <w:rsid w:val="004F1428"/>
    <w:rsid w:val="004F155C"/>
    <w:rsid w:val="004F1687"/>
    <w:rsid w:val="004F170D"/>
    <w:rsid w:val="004F181D"/>
    <w:rsid w:val="004F18E1"/>
    <w:rsid w:val="004F1C33"/>
    <w:rsid w:val="004F1C93"/>
    <w:rsid w:val="004F1DD5"/>
    <w:rsid w:val="004F1E4E"/>
    <w:rsid w:val="004F1EB6"/>
    <w:rsid w:val="004F1F0E"/>
    <w:rsid w:val="004F2377"/>
    <w:rsid w:val="004F28C5"/>
    <w:rsid w:val="004F2E95"/>
    <w:rsid w:val="004F3066"/>
    <w:rsid w:val="004F30F8"/>
    <w:rsid w:val="004F3133"/>
    <w:rsid w:val="004F387E"/>
    <w:rsid w:val="004F393A"/>
    <w:rsid w:val="004F3A40"/>
    <w:rsid w:val="004F3E8D"/>
    <w:rsid w:val="004F4226"/>
    <w:rsid w:val="004F4435"/>
    <w:rsid w:val="004F44E4"/>
    <w:rsid w:val="004F460B"/>
    <w:rsid w:val="004F46AA"/>
    <w:rsid w:val="004F498B"/>
    <w:rsid w:val="004F4C95"/>
    <w:rsid w:val="004F4EEE"/>
    <w:rsid w:val="004F4F35"/>
    <w:rsid w:val="004F4F65"/>
    <w:rsid w:val="004F505A"/>
    <w:rsid w:val="004F50D2"/>
    <w:rsid w:val="004F50E0"/>
    <w:rsid w:val="004F5374"/>
    <w:rsid w:val="004F5490"/>
    <w:rsid w:val="004F55C9"/>
    <w:rsid w:val="004F55E0"/>
    <w:rsid w:val="004F5A9C"/>
    <w:rsid w:val="004F5C44"/>
    <w:rsid w:val="004F6041"/>
    <w:rsid w:val="004F616D"/>
    <w:rsid w:val="004F62C7"/>
    <w:rsid w:val="004F62F4"/>
    <w:rsid w:val="004F693D"/>
    <w:rsid w:val="004F6A83"/>
    <w:rsid w:val="004F6B40"/>
    <w:rsid w:val="004F6DDE"/>
    <w:rsid w:val="004F6F76"/>
    <w:rsid w:val="004F726D"/>
    <w:rsid w:val="004F72C7"/>
    <w:rsid w:val="004F7472"/>
    <w:rsid w:val="004F75F7"/>
    <w:rsid w:val="004F76A4"/>
    <w:rsid w:val="004F775B"/>
    <w:rsid w:val="004F78AC"/>
    <w:rsid w:val="004F78EB"/>
    <w:rsid w:val="004F7AFF"/>
    <w:rsid w:val="004F7C7D"/>
    <w:rsid w:val="004F7DBF"/>
    <w:rsid w:val="004F7DD4"/>
    <w:rsid w:val="004F7EB5"/>
    <w:rsid w:val="004F7EBB"/>
    <w:rsid w:val="0050003E"/>
    <w:rsid w:val="00500062"/>
    <w:rsid w:val="0050009F"/>
    <w:rsid w:val="00500217"/>
    <w:rsid w:val="0050072D"/>
    <w:rsid w:val="00500864"/>
    <w:rsid w:val="005008AE"/>
    <w:rsid w:val="005008CB"/>
    <w:rsid w:val="0050096D"/>
    <w:rsid w:val="00500CA6"/>
    <w:rsid w:val="00500CFF"/>
    <w:rsid w:val="00500D3A"/>
    <w:rsid w:val="00500DC8"/>
    <w:rsid w:val="0050102E"/>
    <w:rsid w:val="0050105E"/>
    <w:rsid w:val="0050105F"/>
    <w:rsid w:val="00501513"/>
    <w:rsid w:val="0050169E"/>
    <w:rsid w:val="00501831"/>
    <w:rsid w:val="00501BD9"/>
    <w:rsid w:val="00501CBC"/>
    <w:rsid w:val="005022B8"/>
    <w:rsid w:val="0050238D"/>
    <w:rsid w:val="00502540"/>
    <w:rsid w:val="0050254F"/>
    <w:rsid w:val="005027E0"/>
    <w:rsid w:val="005029D9"/>
    <w:rsid w:val="00502B99"/>
    <w:rsid w:val="00502C0C"/>
    <w:rsid w:val="00502E2C"/>
    <w:rsid w:val="00502F55"/>
    <w:rsid w:val="0050322A"/>
    <w:rsid w:val="005033EE"/>
    <w:rsid w:val="00503451"/>
    <w:rsid w:val="0050361D"/>
    <w:rsid w:val="00503820"/>
    <w:rsid w:val="00503A54"/>
    <w:rsid w:val="00503BC5"/>
    <w:rsid w:val="00503BDD"/>
    <w:rsid w:val="00503C9D"/>
    <w:rsid w:val="00503CE9"/>
    <w:rsid w:val="00503EC0"/>
    <w:rsid w:val="00504104"/>
    <w:rsid w:val="00504213"/>
    <w:rsid w:val="00504309"/>
    <w:rsid w:val="00504378"/>
    <w:rsid w:val="00504433"/>
    <w:rsid w:val="005047A7"/>
    <w:rsid w:val="00504B2E"/>
    <w:rsid w:val="00504BBB"/>
    <w:rsid w:val="00504F2B"/>
    <w:rsid w:val="0050511F"/>
    <w:rsid w:val="0050516A"/>
    <w:rsid w:val="00505179"/>
    <w:rsid w:val="0050572A"/>
    <w:rsid w:val="00505841"/>
    <w:rsid w:val="00505A78"/>
    <w:rsid w:val="00505C36"/>
    <w:rsid w:val="00505D2D"/>
    <w:rsid w:val="00506114"/>
    <w:rsid w:val="0050613C"/>
    <w:rsid w:val="0050624C"/>
    <w:rsid w:val="0050625D"/>
    <w:rsid w:val="005062AC"/>
    <w:rsid w:val="00506957"/>
    <w:rsid w:val="005069A9"/>
    <w:rsid w:val="00506A22"/>
    <w:rsid w:val="00506A6C"/>
    <w:rsid w:val="00506A6D"/>
    <w:rsid w:val="00506B1D"/>
    <w:rsid w:val="00506B1E"/>
    <w:rsid w:val="00506BB5"/>
    <w:rsid w:val="00506CDF"/>
    <w:rsid w:val="00506F86"/>
    <w:rsid w:val="0050748D"/>
    <w:rsid w:val="00507857"/>
    <w:rsid w:val="005078D2"/>
    <w:rsid w:val="005078FC"/>
    <w:rsid w:val="00507AA6"/>
    <w:rsid w:val="00507AFE"/>
    <w:rsid w:val="00507B0A"/>
    <w:rsid w:val="00507B3A"/>
    <w:rsid w:val="00507B6F"/>
    <w:rsid w:val="00507BFF"/>
    <w:rsid w:val="005100C3"/>
    <w:rsid w:val="00510283"/>
    <w:rsid w:val="005103AC"/>
    <w:rsid w:val="00510456"/>
    <w:rsid w:val="00510614"/>
    <w:rsid w:val="005107C0"/>
    <w:rsid w:val="00510832"/>
    <w:rsid w:val="005108A4"/>
    <w:rsid w:val="005108C3"/>
    <w:rsid w:val="00510AEF"/>
    <w:rsid w:val="00510BD9"/>
    <w:rsid w:val="00510BDA"/>
    <w:rsid w:val="00510CA4"/>
    <w:rsid w:val="00510D56"/>
    <w:rsid w:val="00510E0C"/>
    <w:rsid w:val="00510F07"/>
    <w:rsid w:val="005110C8"/>
    <w:rsid w:val="005110DA"/>
    <w:rsid w:val="005111CF"/>
    <w:rsid w:val="00511228"/>
    <w:rsid w:val="005112C3"/>
    <w:rsid w:val="0051138E"/>
    <w:rsid w:val="00511B39"/>
    <w:rsid w:val="00511BDD"/>
    <w:rsid w:val="00511D34"/>
    <w:rsid w:val="00511D7A"/>
    <w:rsid w:val="00511E4E"/>
    <w:rsid w:val="00511E67"/>
    <w:rsid w:val="0051205D"/>
    <w:rsid w:val="005121DC"/>
    <w:rsid w:val="005121F0"/>
    <w:rsid w:val="005122F6"/>
    <w:rsid w:val="00512393"/>
    <w:rsid w:val="0051246A"/>
    <w:rsid w:val="00512496"/>
    <w:rsid w:val="00512581"/>
    <w:rsid w:val="005125B4"/>
    <w:rsid w:val="005125FD"/>
    <w:rsid w:val="00512901"/>
    <w:rsid w:val="0051292E"/>
    <w:rsid w:val="00512AF5"/>
    <w:rsid w:val="00512EA3"/>
    <w:rsid w:val="00512EBC"/>
    <w:rsid w:val="00512FE2"/>
    <w:rsid w:val="0051341F"/>
    <w:rsid w:val="00513944"/>
    <w:rsid w:val="005139AC"/>
    <w:rsid w:val="00513CFC"/>
    <w:rsid w:val="00513DFB"/>
    <w:rsid w:val="0051406B"/>
    <w:rsid w:val="005140BF"/>
    <w:rsid w:val="005141BA"/>
    <w:rsid w:val="005142B3"/>
    <w:rsid w:val="00514626"/>
    <w:rsid w:val="00514662"/>
    <w:rsid w:val="0051487A"/>
    <w:rsid w:val="00514906"/>
    <w:rsid w:val="00514A31"/>
    <w:rsid w:val="00514A3B"/>
    <w:rsid w:val="00514FF5"/>
    <w:rsid w:val="00515108"/>
    <w:rsid w:val="0051519D"/>
    <w:rsid w:val="0051546B"/>
    <w:rsid w:val="0051557A"/>
    <w:rsid w:val="00515703"/>
    <w:rsid w:val="005157A3"/>
    <w:rsid w:val="005159F1"/>
    <w:rsid w:val="00515A00"/>
    <w:rsid w:val="00515B69"/>
    <w:rsid w:val="00515E96"/>
    <w:rsid w:val="00516009"/>
    <w:rsid w:val="00516247"/>
    <w:rsid w:val="00516294"/>
    <w:rsid w:val="005162DF"/>
    <w:rsid w:val="00516416"/>
    <w:rsid w:val="005165DC"/>
    <w:rsid w:val="00516995"/>
    <w:rsid w:val="00516AEA"/>
    <w:rsid w:val="00516B24"/>
    <w:rsid w:val="00516B7D"/>
    <w:rsid w:val="00516BDF"/>
    <w:rsid w:val="00517065"/>
    <w:rsid w:val="0051728A"/>
    <w:rsid w:val="0051736F"/>
    <w:rsid w:val="0051739B"/>
    <w:rsid w:val="00517427"/>
    <w:rsid w:val="005174F0"/>
    <w:rsid w:val="005175D3"/>
    <w:rsid w:val="005176F6"/>
    <w:rsid w:val="0051781D"/>
    <w:rsid w:val="0051787D"/>
    <w:rsid w:val="00517890"/>
    <w:rsid w:val="005178A8"/>
    <w:rsid w:val="00517971"/>
    <w:rsid w:val="00517D34"/>
    <w:rsid w:val="00517E7A"/>
    <w:rsid w:val="00517E8C"/>
    <w:rsid w:val="00517EB4"/>
    <w:rsid w:val="00517FBA"/>
    <w:rsid w:val="005202E1"/>
    <w:rsid w:val="0052032C"/>
    <w:rsid w:val="005206C1"/>
    <w:rsid w:val="00520CD0"/>
    <w:rsid w:val="00520DC6"/>
    <w:rsid w:val="00520F40"/>
    <w:rsid w:val="0052103D"/>
    <w:rsid w:val="0052119F"/>
    <w:rsid w:val="005211BE"/>
    <w:rsid w:val="005212A9"/>
    <w:rsid w:val="005212C8"/>
    <w:rsid w:val="005212D4"/>
    <w:rsid w:val="00521310"/>
    <w:rsid w:val="0052151A"/>
    <w:rsid w:val="005216ED"/>
    <w:rsid w:val="00521A02"/>
    <w:rsid w:val="00521A11"/>
    <w:rsid w:val="00521CC2"/>
    <w:rsid w:val="00521F0C"/>
    <w:rsid w:val="00522193"/>
    <w:rsid w:val="0052225E"/>
    <w:rsid w:val="005223B3"/>
    <w:rsid w:val="00522B43"/>
    <w:rsid w:val="00522C2F"/>
    <w:rsid w:val="00522C5C"/>
    <w:rsid w:val="00522C83"/>
    <w:rsid w:val="00522CA7"/>
    <w:rsid w:val="00522DDE"/>
    <w:rsid w:val="00522F20"/>
    <w:rsid w:val="00522F2F"/>
    <w:rsid w:val="00522F66"/>
    <w:rsid w:val="0052302F"/>
    <w:rsid w:val="00523859"/>
    <w:rsid w:val="00523A8B"/>
    <w:rsid w:val="00523BAD"/>
    <w:rsid w:val="00523CEA"/>
    <w:rsid w:val="00523E06"/>
    <w:rsid w:val="00523E0C"/>
    <w:rsid w:val="00523EB4"/>
    <w:rsid w:val="00524012"/>
    <w:rsid w:val="00524025"/>
    <w:rsid w:val="00524177"/>
    <w:rsid w:val="00524270"/>
    <w:rsid w:val="00524677"/>
    <w:rsid w:val="0052484A"/>
    <w:rsid w:val="00524AC9"/>
    <w:rsid w:val="00524C3E"/>
    <w:rsid w:val="00524C9C"/>
    <w:rsid w:val="00524D96"/>
    <w:rsid w:val="00524F40"/>
    <w:rsid w:val="00525004"/>
    <w:rsid w:val="005250AA"/>
    <w:rsid w:val="005250C5"/>
    <w:rsid w:val="005250EC"/>
    <w:rsid w:val="0052534F"/>
    <w:rsid w:val="0052549F"/>
    <w:rsid w:val="0052557C"/>
    <w:rsid w:val="0052575C"/>
    <w:rsid w:val="00525BF7"/>
    <w:rsid w:val="00525D25"/>
    <w:rsid w:val="00525F12"/>
    <w:rsid w:val="00526225"/>
    <w:rsid w:val="00526329"/>
    <w:rsid w:val="0052644C"/>
    <w:rsid w:val="00526591"/>
    <w:rsid w:val="005268AC"/>
    <w:rsid w:val="00526C41"/>
    <w:rsid w:val="00526D9C"/>
    <w:rsid w:val="00526F5F"/>
    <w:rsid w:val="005272B7"/>
    <w:rsid w:val="005273AE"/>
    <w:rsid w:val="005277D5"/>
    <w:rsid w:val="0052793A"/>
    <w:rsid w:val="00527E18"/>
    <w:rsid w:val="00527EC7"/>
    <w:rsid w:val="00527FBF"/>
    <w:rsid w:val="00527FE6"/>
    <w:rsid w:val="00530005"/>
    <w:rsid w:val="00530455"/>
    <w:rsid w:val="00530650"/>
    <w:rsid w:val="005306D7"/>
    <w:rsid w:val="005309D5"/>
    <w:rsid w:val="00530B0F"/>
    <w:rsid w:val="00530BCC"/>
    <w:rsid w:val="00530C25"/>
    <w:rsid w:val="00530DC3"/>
    <w:rsid w:val="00530DD7"/>
    <w:rsid w:val="00530FD3"/>
    <w:rsid w:val="00530FD4"/>
    <w:rsid w:val="00531108"/>
    <w:rsid w:val="005312C5"/>
    <w:rsid w:val="00531357"/>
    <w:rsid w:val="0053137D"/>
    <w:rsid w:val="00531800"/>
    <w:rsid w:val="00531A45"/>
    <w:rsid w:val="00531A63"/>
    <w:rsid w:val="00531B81"/>
    <w:rsid w:val="00531C00"/>
    <w:rsid w:val="00531D90"/>
    <w:rsid w:val="005320A4"/>
    <w:rsid w:val="005321D8"/>
    <w:rsid w:val="005321EA"/>
    <w:rsid w:val="005323ED"/>
    <w:rsid w:val="00532457"/>
    <w:rsid w:val="005328B1"/>
    <w:rsid w:val="005328C1"/>
    <w:rsid w:val="00532ADB"/>
    <w:rsid w:val="00532AE5"/>
    <w:rsid w:val="00532D1C"/>
    <w:rsid w:val="00533093"/>
    <w:rsid w:val="005332EE"/>
    <w:rsid w:val="00533333"/>
    <w:rsid w:val="00533B4F"/>
    <w:rsid w:val="00533D59"/>
    <w:rsid w:val="00533EC0"/>
    <w:rsid w:val="00534052"/>
    <w:rsid w:val="0053420E"/>
    <w:rsid w:val="005342BC"/>
    <w:rsid w:val="0053443D"/>
    <w:rsid w:val="00534504"/>
    <w:rsid w:val="00534761"/>
    <w:rsid w:val="0053490B"/>
    <w:rsid w:val="00534BFD"/>
    <w:rsid w:val="00534DB8"/>
    <w:rsid w:val="00534DD5"/>
    <w:rsid w:val="00534E3C"/>
    <w:rsid w:val="005353B8"/>
    <w:rsid w:val="005354A5"/>
    <w:rsid w:val="005356B5"/>
    <w:rsid w:val="00535C75"/>
    <w:rsid w:val="00535C7A"/>
    <w:rsid w:val="00535C93"/>
    <w:rsid w:val="00535EB7"/>
    <w:rsid w:val="005360DF"/>
    <w:rsid w:val="00536342"/>
    <w:rsid w:val="0053654F"/>
    <w:rsid w:val="00536685"/>
    <w:rsid w:val="00536762"/>
    <w:rsid w:val="00536B5A"/>
    <w:rsid w:val="00536C21"/>
    <w:rsid w:val="00536CC2"/>
    <w:rsid w:val="00536DA0"/>
    <w:rsid w:val="00536EFF"/>
    <w:rsid w:val="00536FB5"/>
    <w:rsid w:val="00537078"/>
    <w:rsid w:val="00537179"/>
    <w:rsid w:val="005372CD"/>
    <w:rsid w:val="00537382"/>
    <w:rsid w:val="00537728"/>
    <w:rsid w:val="00537732"/>
    <w:rsid w:val="005378AF"/>
    <w:rsid w:val="005378DE"/>
    <w:rsid w:val="00537BB1"/>
    <w:rsid w:val="00537BF1"/>
    <w:rsid w:val="00537D8E"/>
    <w:rsid w:val="00537E33"/>
    <w:rsid w:val="00537F1C"/>
    <w:rsid w:val="0054009A"/>
    <w:rsid w:val="005400BE"/>
    <w:rsid w:val="00540231"/>
    <w:rsid w:val="005402DB"/>
    <w:rsid w:val="005405B3"/>
    <w:rsid w:val="005407D4"/>
    <w:rsid w:val="0054088F"/>
    <w:rsid w:val="005408D6"/>
    <w:rsid w:val="005409D9"/>
    <w:rsid w:val="00540AD7"/>
    <w:rsid w:val="00540AE8"/>
    <w:rsid w:val="00540BE4"/>
    <w:rsid w:val="00540C75"/>
    <w:rsid w:val="00540CC5"/>
    <w:rsid w:val="00540D02"/>
    <w:rsid w:val="00540D0A"/>
    <w:rsid w:val="0054108E"/>
    <w:rsid w:val="00541148"/>
    <w:rsid w:val="0054121E"/>
    <w:rsid w:val="005412BC"/>
    <w:rsid w:val="0054130E"/>
    <w:rsid w:val="00541A86"/>
    <w:rsid w:val="00541B36"/>
    <w:rsid w:val="00541C73"/>
    <w:rsid w:val="00541F4E"/>
    <w:rsid w:val="005420E5"/>
    <w:rsid w:val="00542196"/>
    <w:rsid w:val="005422C9"/>
    <w:rsid w:val="00542635"/>
    <w:rsid w:val="00542A42"/>
    <w:rsid w:val="00542AF0"/>
    <w:rsid w:val="00542B94"/>
    <w:rsid w:val="00542B96"/>
    <w:rsid w:val="00542BBA"/>
    <w:rsid w:val="00542D9F"/>
    <w:rsid w:val="00542DFD"/>
    <w:rsid w:val="00542EF6"/>
    <w:rsid w:val="00542FEF"/>
    <w:rsid w:val="005431C4"/>
    <w:rsid w:val="005431D3"/>
    <w:rsid w:val="00543227"/>
    <w:rsid w:val="00543350"/>
    <w:rsid w:val="005433D3"/>
    <w:rsid w:val="0054342E"/>
    <w:rsid w:val="005434A2"/>
    <w:rsid w:val="0054357E"/>
    <w:rsid w:val="005435D8"/>
    <w:rsid w:val="00543833"/>
    <w:rsid w:val="00543910"/>
    <w:rsid w:val="005439B0"/>
    <w:rsid w:val="00543A9E"/>
    <w:rsid w:val="00543C94"/>
    <w:rsid w:val="00543CAA"/>
    <w:rsid w:val="00543F93"/>
    <w:rsid w:val="005441A3"/>
    <w:rsid w:val="00544207"/>
    <w:rsid w:val="0054425F"/>
    <w:rsid w:val="0054440C"/>
    <w:rsid w:val="0054469E"/>
    <w:rsid w:val="00544865"/>
    <w:rsid w:val="00544B7B"/>
    <w:rsid w:val="00544C34"/>
    <w:rsid w:val="00544C81"/>
    <w:rsid w:val="00544C9E"/>
    <w:rsid w:val="00544FCB"/>
    <w:rsid w:val="00544FD7"/>
    <w:rsid w:val="00544FFB"/>
    <w:rsid w:val="00545042"/>
    <w:rsid w:val="005450CB"/>
    <w:rsid w:val="00545237"/>
    <w:rsid w:val="005455E3"/>
    <w:rsid w:val="00545602"/>
    <w:rsid w:val="00545635"/>
    <w:rsid w:val="0054564B"/>
    <w:rsid w:val="005457AC"/>
    <w:rsid w:val="005458FC"/>
    <w:rsid w:val="00545A4B"/>
    <w:rsid w:val="00545AD4"/>
    <w:rsid w:val="00545D84"/>
    <w:rsid w:val="00546000"/>
    <w:rsid w:val="00546374"/>
    <w:rsid w:val="00546617"/>
    <w:rsid w:val="005469E5"/>
    <w:rsid w:val="00546A9D"/>
    <w:rsid w:val="00546F99"/>
    <w:rsid w:val="00546FF0"/>
    <w:rsid w:val="0054718B"/>
    <w:rsid w:val="0054748F"/>
    <w:rsid w:val="00547662"/>
    <w:rsid w:val="0054780A"/>
    <w:rsid w:val="005478F2"/>
    <w:rsid w:val="005479C3"/>
    <w:rsid w:val="00547AA7"/>
    <w:rsid w:val="00547D7A"/>
    <w:rsid w:val="005505BB"/>
    <w:rsid w:val="005506DA"/>
    <w:rsid w:val="005508B9"/>
    <w:rsid w:val="00550A23"/>
    <w:rsid w:val="00550BB2"/>
    <w:rsid w:val="00550CF8"/>
    <w:rsid w:val="00550D62"/>
    <w:rsid w:val="00550F6B"/>
    <w:rsid w:val="00550FF1"/>
    <w:rsid w:val="005512FE"/>
    <w:rsid w:val="005516C9"/>
    <w:rsid w:val="00551B3D"/>
    <w:rsid w:val="00551CD6"/>
    <w:rsid w:val="0055200F"/>
    <w:rsid w:val="005522A4"/>
    <w:rsid w:val="00552319"/>
    <w:rsid w:val="00552383"/>
    <w:rsid w:val="0055248D"/>
    <w:rsid w:val="005525E0"/>
    <w:rsid w:val="0055293B"/>
    <w:rsid w:val="00552BDD"/>
    <w:rsid w:val="00552CB7"/>
    <w:rsid w:val="00552D23"/>
    <w:rsid w:val="00552E4E"/>
    <w:rsid w:val="00553452"/>
    <w:rsid w:val="00553564"/>
    <w:rsid w:val="005535BE"/>
    <w:rsid w:val="0055373F"/>
    <w:rsid w:val="00553852"/>
    <w:rsid w:val="00553918"/>
    <w:rsid w:val="00553B83"/>
    <w:rsid w:val="00553E0D"/>
    <w:rsid w:val="00553F5F"/>
    <w:rsid w:val="00553F7A"/>
    <w:rsid w:val="00554077"/>
    <w:rsid w:val="005540AA"/>
    <w:rsid w:val="00554552"/>
    <w:rsid w:val="00554668"/>
    <w:rsid w:val="005546C8"/>
    <w:rsid w:val="0055475D"/>
    <w:rsid w:val="005548A8"/>
    <w:rsid w:val="00554B30"/>
    <w:rsid w:val="00554B93"/>
    <w:rsid w:val="00555120"/>
    <w:rsid w:val="00555179"/>
    <w:rsid w:val="0055524A"/>
    <w:rsid w:val="0055526A"/>
    <w:rsid w:val="005553B7"/>
    <w:rsid w:val="005553D4"/>
    <w:rsid w:val="005556FA"/>
    <w:rsid w:val="005557D6"/>
    <w:rsid w:val="00555C73"/>
    <w:rsid w:val="00555DC5"/>
    <w:rsid w:val="00555EDE"/>
    <w:rsid w:val="00555F3B"/>
    <w:rsid w:val="0055626B"/>
    <w:rsid w:val="0055629E"/>
    <w:rsid w:val="0055645E"/>
    <w:rsid w:val="005569EE"/>
    <w:rsid w:val="00556A64"/>
    <w:rsid w:val="00556CBE"/>
    <w:rsid w:val="00557200"/>
    <w:rsid w:val="00557281"/>
    <w:rsid w:val="00557283"/>
    <w:rsid w:val="005574F0"/>
    <w:rsid w:val="00557546"/>
    <w:rsid w:val="0055771B"/>
    <w:rsid w:val="005577AC"/>
    <w:rsid w:val="005578BB"/>
    <w:rsid w:val="00557AC8"/>
    <w:rsid w:val="00557AE6"/>
    <w:rsid w:val="00557B94"/>
    <w:rsid w:val="00557FB3"/>
    <w:rsid w:val="00560212"/>
    <w:rsid w:val="0056029C"/>
    <w:rsid w:val="005603D8"/>
    <w:rsid w:val="0056046D"/>
    <w:rsid w:val="00560607"/>
    <w:rsid w:val="00560725"/>
    <w:rsid w:val="00560811"/>
    <w:rsid w:val="0056094A"/>
    <w:rsid w:val="00560950"/>
    <w:rsid w:val="00560A37"/>
    <w:rsid w:val="0056107F"/>
    <w:rsid w:val="00561277"/>
    <w:rsid w:val="005617E5"/>
    <w:rsid w:val="0056180D"/>
    <w:rsid w:val="0056182D"/>
    <w:rsid w:val="0056185E"/>
    <w:rsid w:val="00561930"/>
    <w:rsid w:val="00561D0F"/>
    <w:rsid w:val="00561D5E"/>
    <w:rsid w:val="00561FA6"/>
    <w:rsid w:val="00562410"/>
    <w:rsid w:val="0056245C"/>
    <w:rsid w:val="0056251B"/>
    <w:rsid w:val="005625B7"/>
    <w:rsid w:val="0056280C"/>
    <w:rsid w:val="00562836"/>
    <w:rsid w:val="00562988"/>
    <w:rsid w:val="005629C0"/>
    <w:rsid w:val="00562B43"/>
    <w:rsid w:val="00562E51"/>
    <w:rsid w:val="0056315E"/>
    <w:rsid w:val="0056328A"/>
    <w:rsid w:val="0056345D"/>
    <w:rsid w:val="005638C0"/>
    <w:rsid w:val="005639BA"/>
    <w:rsid w:val="00563C7F"/>
    <w:rsid w:val="00563D22"/>
    <w:rsid w:val="00563D53"/>
    <w:rsid w:val="00564120"/>
    <w:rsid w:val="005641F3"/>
    <w:rsid w:val="0056439E"/>
    <w:rsid w:val="005645D5"/>
    <w:rsid w:val="00564654"/>
    <w:rsid w:val="005646A7"/>
    <w:rsid w:val="005646EB"/>
    <w:rsid w:val="0056486D"/>
    <w:rsid w:val="00564A31"/>
    <w:rsid w:val="00564B42"/>
    <w:rsid w:val="00564BBB"/>
    <w:rsid w:val="00564C21"/>
    <w:rsid w:val="00564C71"/>
    <w:rsid w:val="00564D24"/>
    <w:rsid w:val="00564E36"/>
    <w:rsid w:val="00564E70"/>
    <w:rsid w:val="00564FD5"/>
    <w:rsid w:val="00565295"/>
    <w:rsid w:val="00565523"/>
    <w:rsid w:val="0056560E"/>
    <w:rsid w:val="00565A45"/>
    <w:rsid w:val="00565E39"/>
    <w:rsid w:val="00566266"/>
    <w:rsid w:val="00566923"/>
    <w:rsid w:val="005669F6"/>
    <w:rsid w:val="00566ABA"/>
    <w:rsid w:val="00566C3E"/>
    <w:rsid w:val="00566D4F"/>
    <w:rsid w:val="00567122"/>
    <w:rsid w:val="00567193"/>
    <w:rsid w:val="00567382"/>
    <w:rsid w:val="00567BB3"/>
    <w:rsid w:val="00567DA0"/>
    <w:rsid w:val="00567E3D"/>
    <w:rsid w:val="00567E97"/>
    <w:rsid w:val="0057010A"/>
    <w:rsid w:val="005701ED"/>
    <w:rsid w:val="0057036B"/>
    <w:rsid w:val="00570399"/>
    <w:rsid w:val="005705B6"/>
    <w:rsid w:val="005707C0"/>
    <w:rsid w:val="00570A13"/>
    <w:rsid w:val="00570D9D"/>
    <w:rsid w:val="00570DF2"/>
    <w:rsid w:val="00570EEF"/>
    <w:rsid w:val="0057106E"/>
    <w:rsid w:val="00571162"/>
    <w:rsid w:val="005712A6"/>
    <w:rsid w:val="005713AD"/>
    <w:rsid w:val="005716A1"/>
    <w:rsid w:val="00571704"/>
    <w:rsid w:val="00571A3F"/>
    <w:rsid w:val="00571C37"/>
    <w:rsid w:val="00571CF3"/>
    <w:rsid w:val="00571DFC"/>
    <w:rsid w:val="005720EB"/>
    <w:rsid w:val="005721B8"/>
    <w:rsid w:val="005721E5"/>
    <w:rsid w:val="005724D3"/>
    <w:rsid w:val="0057266C"/>
    <w:rsid w:val="00572788"/>
    <w:rsid w:val="00572893"/>
    <w:rsid w:val="00572897"/>
    <w:rsid w:val="00572A03"/>
    <w:rsid w:val="00572A6C"/>
    <w:rsid w:val="00572AD9"/>
    <w:rsid w:val="00572D9F"/>
    <w:rsid w:val="00572EFB"/>
    <w:rsid w:val="005733CD"/>
    <w:rsid w:val="0057365A"/>
    <w:rsid w:val="00573755"/>
    <w:rsid w:val="00573800"/>
    <w:rsid w:val="005738E9"/>
    <w:rsid w:val="005739D1"/>
    <w:rsid w:val="00573C58"/>
    <w:rsid w:val="00573D5D"/>
    <w:rsid w:val="00573FDC"/>
    <w:rsid w:val="00574059"/>
    <w:rsid w:val="005740FC"/>
    <w:rsid w:val="005741B5"/>
    <w:rsid w:val="005742A9"/>
    <w:rsid w:val="00574309"/>
    <w:rsid w:val="00574491"/>
    <w:rsid w:val="0057492E"/>
    <w:rsid w:val="00574A5F"/>
    <w:rsid w:val="00574F6D"/>
    <w:rsid w:val="005750BA"/>
    <w:rsid w:val="005751CA"/>
    <w:rsid w:val="00575220"/>
    <w:rsid w:val="005754E1"/>
    <w:rsid w:val="00575593"/>
    <w:rsid w:val="00575658"/>
    <w:rsid w:val="00575785"/>
    <w:rsid w:val="00575976"/>
    <w:rsid w:val="00575A1E"/>
    <w:rsid w:val="00575CAD"/>
    <w:rsid w:val="00575DC5"/>
    <w:rsid w:val="00575EB7"/>
    <w:rsid w:val="005760A5"/>
    <w:rsid w:val="005760D3"/>
    <w:rsid w:val="00576211"/>
    <w:rsid w:val="00576979"/>
    <w:rsid w:val="00576A77"/>
    <w:rsid w:val="00576C80"/>
    <w:rsid w:val="00576CBF"/>
    <w:rsid w:val="00576E3D"/>
    <w:rsid w:val="00576EBD"/>
    <w:rsid w:val="005773A5"/>
    <w:rsid w:val="00577413"/>
    <w:rsid w:val="0057749C"/>
    <w:rsid w:val="0057774D"/>
    <w:rsid w:val="00577850"/>
    <w:rsid w:val="00577A2B"/>
    <w:rsid w:val="00577A92"/>
    <w:rsid w:val="00577B6A"/>
    <w:rsid w:val="00577C58"/>
    <w:rsid w:val="00577E18"/>
    <w:rsid w:val="00580282"/>
    <w:rsid w:val="0058028D"/>
    <w:rsid w:val="005803EC"/>
    <w:rsid w:val="00580449"/>
    <w:rsid w:val="00580487"/>
    <w:rsid w:val="00580607"/>
    <w:rsid w:val="0058068F"/>
    <w:rsid w:val="005806A4"/>
    <w:rsid w:val="005807D8"/>
    <w:rsid w:val="00580885"/>
    <w:rsid w:val="00580A32"/>
    <w:rsid w:val="00580A8C"/>
    <w:rsid w:val="00580C7B"/>
    <w:rsid w:val="00580E03"/>
    <w:rsid w:val="00580EDE"/>
    <w:rsid w:val="00581090"/>
    <w:rsid w:val="005814C9"/>
    <w:rsid w:val="0058164E"/>
    <w:rsid w:val="00581851"/>
    <w:rsid w:val="00581888"/>
    <w:rsid w:val="005818B6"/>
    <w:rsid w:val="0058198B"/>
    <w:rsid w:val="00581ABA"/>
    <w:rsid w:val="00581D4E"/>
    <w:rsid w:val="00581D7A"/>
    <w:rsid w:val="00582083"/>
    <w:rsid w:val="00582092"/>
    <w:rsid w:val="005820F5"/>
    <w:rsid w:val="00582341"/>
    <w:rsid w:val="0058261B"/>
    <w:rsid w:val="005827D8"/>
    <w:rsid w:val="00582AA2"/>
    <w:rsid w:val="00582AF0"/>
    <w:rsid w:val="00582C53"/>
    <w:rsid w:val="00582DB8"/>
    <w:rsid w:val="00582DCC"/>
    <w:rsid w:val="00583064"/>
    <w:rsid w:val="00583189"/>
    <w:rsid w:val="00583267"/>
    <w:rsid w:val="00583295"/>
    <w:rsid w:val="005833D3"/>
    <w:rsid w:val="00583521"/>
    <w:rsid w:val="00583810"/>
    <w:rsid w:val="0058394D"/>
    <w:rsid w:val="00583ACC"/>
    <w:rsid w:val="00583DA0"/>
    <w:rsid w:val="00583DE4"/>
    <w:rsid w:val="0058418C"/>
    <w:rsid w:val="00584226"/>
    <w:rsid w:val="00584395"/>
    <w:rsid w:val="005844A3"/>
    <w:rsid w:val="00584687"/>
    <w:rsid w:val="00584698"/>
    <w:rsid w:val="005846F4"/>
    <w:rsid w:val="00584733"/>
    <w:rsid w:val="005847C3"/>
    <w:rsid w:val="0058487C"/>
    <w:rsid w:val="005848A6"/>
    <w:rsid w:val="005848B0"/>
    <w:rsid w:val="005849D8"/>
    <w:rsid w:val="005849F9"/>
    <w:rsid w:val="00584C54"/>
    <w:rsid w:val="00584C7E"/>
    <w:rsid w:val="00584D08"/>
    <w:rsid w:val="00584D7F"/>
    <w:rsid w:val="00584EA6"/>
    <w:rsid w:val="00585027"/>
    <w:rsid w:val="00585128"/>
    <w:rsid w:val="00585161"/>
    <w:rsid w:val="0058526F"/>
    <w:rsid w:val="005854D9"/>
    <w:rsid w:val="00585589"/>
    <w:rsid w:val="005856F6"/>
    <w:rsid w:val="0058581F"/>
    <w:rsid w:val="00585A8E"/>
    <w:rsid w:val="00585C37"/>
    <w:rsid w:val="00585CFA"/>
    <w:rsid w:val="00585D2B"/>
    <w:rsid w:val="00585D7D"/>
    <w:rsid w:val="00585D9A"/>
    <w:rsid w:val="00585E6D"/>
    <w:rsid w:val="005861B9"/>
    <w:rsid w:val="00586402"/>
    <w:rsid w:val="005865DA"/>
    <w:rsid w:val="00586712"/>
    <w:rsid w:val="00586AAC"/>
    <w:rsid w:val="00586B8A"/>
    <w:rsid w:val="00586C5C"/>
    <w:rsid w:val="00586CEF"/>
    <w:rsid w:val="00586E63"/>
    <w:rsid w:val="00586F0E"/>
    <w:rsid w:val="0058707A"/>
    <w:rsid w:val="00587200"/>
    <w:rsid w:val="00587303"/>
    <w:rsid w:val="00587322"/>
    <w:rsid w:val="005873C6"/>
    <w:rsid w:val="00587473"/>
    <w:rsid w:val="00587486"/>
    <w:rsid w:val="005874A8"/>
    <w:rsid w:val="00587639"/>
    <w:rsid w:val="005878CC"/>
    <w:rsid w:val="00590002"/>
    <w:rsid w:val="00590003"/>
    <w:rsid w:val="00590519"/>
    <w:rsid w:val="005905B1"/>
    <w:rsid w:val="005906C4"/>
    <w:rsid w:val="005907D0"/>
    <w:rsid w:val="00590C47"/>
    <w:rsid w:val="00590D77"/>
    <w:rsid w:val="00590E22"/>
    <w:rsid w:val="0059131B"/>
    <w:rsid w:val="00591416"/>
    <w:rsid w:val="00591E15"/>
    <w:rsid w:val="00591ECF"/>
    <w:rsid w:val="00591F89"/>
    <w:rsid w:val="00592398"/>
    <w:rsid w:val="005923C2"/>
    <w:rsid w:val="005924FB"/>
    <w:rsid w:val="005925B2"/>
    <w:rsid w:val="005925BA"/>
    <w:rsid w:val="00592BC5"/>
    <w:rsid w:val="00592BF5"/>
    <w:rsid w:val="00592C1B"/>
    <w:rsid w:val="00592DE0"/>
    <w:rsid w:val="00592E89"/>
    <w:rsid w:val="00592F2A"/>
    <w:rsid w:val="0059305B"/>
    <w:rsid w:val="00593187"/>
    <w:rsid w:val="00593199"/>
    <w:rsid w:val="00593283"/>
    <w:rsid w:val="005933E7"/>
    <w:rsid w:val="005937AB"/>
    <w:rsid w:val="00593962"/>
    <w:rsid w:val="00593A91"/>
    <w:rsid w:val="00593BCA"/>
    <w:rsid w:val="00593C6C"/>
    <w:rsid w:val="00593DD8"/>
    <w:rsid w:val="00593E19"/>
    <w:rsid w:val="00593E33"/>
    <w:rsid w:val="00593E86"/>
    <w:rsid w:val="00594078"/>
    <w:rsid w:val="0059416B"/>
    <w:rsid w:val="005941BB"/>
    <w:rsid w:val="005943C3"/>
    <w:rsid w:val="00594541"/>
    <w:rsid w:val="005947C0"/>
    <w:rsid w:val="0059486E"/>
    <w:rsid w:val="00594872"/>
    <w:rsid w:val="00594B60"/>
    <w:rsid w:val="00594E87"/>
    <w:rsid w:val="00594F26"/>
    <w:rsid w:val="00594F60"/>
    <w:rsid w:val="00595108"/>
    <w:rsid w:val="00595147"/>
    <w:rsid w:val="005951DF"/>
    <w:rsid w:val="00595277"/>
    <w:rsid w:val="00595377"/>
    <w:rsid w:val="00595486"/>
    <w:rsid w:val="0059558D"/>
    <w:rsid w:val="005956D7"/>
    <w:rsid w:val="00595A8A"/>
    <w:rsid w:val="00595AB9"/>
    <w:rsid w:val="0059611C"/>
    <w:rsid w:val="0059646D"/>
    <w:rsid w:val="00596723"/>
    <w:rsid w:val="00596991"/>
    <w:rsid w:val="00596BC2"/>
    <w:rsid w:val="00596CE0"/>
    <w:rsid w:val="00596DBE"/>
    <w:rsid w:val="00596E6D"/>
    <w:rsid w:val="00596EF3"/>
    <w:rsid w:val="005971B4"/>
    <w:rsid w:val="00597325"/>
    <w:rsid w:val="005973A9"/>
    <w:rsid w:val="005973C1"/>
    <w:rsid w:val="0059764F"/>
    <w:rsid w:val="0059782B"/>
    <w:rsid w:val="0059798C"/>
    <w:rsid w:val="00597D20"/>
    <w:rsid w:val="00597DA1"/>
    <w:rsid w:val="00597E94"/>
    <w:rsid w:val="00597F36"/>
    <w:rsid w:val="00597FEE"/>
    <w:rsid w:val="005A005A"/>
    <w:rsid w:val="005A08D6"/>
    <w:rsid w:val="005A0BDA"/>
    <w:rsid w:val="005A0CFC"/>
    <w:rsid w:val="005A0DC9"/>
    <w:rsid w:val="005A0E73"/>
    <w:rsid w:val="005A0F22"/>
    <w:rsid w:val="005A1021"/>
    <w:rsid w:val="005A10C6"/>
    <w:rsid w:val="005A11F3"/>
    <w:rsid w:val="005A1213"/>
    <w:rsid w:val="005A1251"/>
    <w:rsid w:val="005A1407"/>
    <w:rsid w:val="005A1706"/>
    <w:rsid w:val="005A175E"/>
    <w:rsid w:val="005A1776"/>
    <w:rsid w:val="005A17F5"/>
    <w:rsid w:val="005A19CF"/>
    <w:rsid w:val="005A1D74"/>
    <w:rsid w:val="005A1E05"/>
    <w:rsid w:val="005A1ECE"/>
    <w:rsid w:val="005A1FA3"/>
    <w:rsid w:val="005A1FFB"/>
    <w:rsid w:val="005A2011"/>
    <w:rsid w:val="005A2277"/>
    <w:rsid w:val="005A2324"/>
    <w:rsid w:val="005A236B"/>
    <w:rsid w:val="005A23D5"/>
    <w:rsid w:val="005A23F9"/>
    <w:rsid w:val="005A2582"/>
    <w:rsid w:val="005A26A1"/>
    <w:rsid w:val="005A2809"/>
    <w:rsid w:val="005A2913"/>
    <w:rsid w:val="005A293C"/>
    <w:rsid w:val="005A294A"/>
    <w:rsid w:val="005A29F5"/>
    <w:rsid w:val="005A2D6D"/>
    <w:rsid w:val="005A2EE3"/>
    <w:rsid w:val="005A2EF5"/>
    <w:rsid w:val="005A3031"/>
    <w:rsid w:val="005A3186"/>
    <w:rsid w:val="005A36C7"/>
    <w:rsid w:val="005A3749"/>
    <w:rsid w:val="005A377C"/>
    <w:rsid w:val="005A3900"/>
    <w:rsid w:val="005A3BF6"/>
    <w:rsid w:val="005A3D4E"/>
    <w:rsid w:val="005A4231"/>
    <w:rsid w:val="005A4428"/>
    <w:rsid w:val="005A455F"/>
    <w:rsid w:val="005A4722"/>
    <w:rsid w:val="005A47F6"/>
    <w:rsid w:val="005A4D5E"/>
    <w:rsid w:val="005A4F40"/>
    <w:rsid w:val="005A50EA"/>
    <w:rsid w:val="005A5177"/>
    <w:rsid w:val="005A53A9"/>
    <w:rsid w:val="005A54B2"/>
    <w:rsid w:val="005A590E"/>
    <w:rsid w:val="005A5988"/>
    <w:rsid w:val="005A604D"/>
    <w:rsid w:val="005A6181"/>
    <w:rsid w:val="005A636C"/>
    <w:rsid w:val="005A651B"/>
    <w:rsid w:val="005A663A"/>
    <w:rsid w:val="005A66AB"/>
    <w:rsid w:val="005A66B4"/>
    <w:rsid w:val="005A6771"/>
    <w:rsid w:val="005A6905"/>
    <w:rsid w:val="005A6B73"/>
    <w:rsid w:val="005A6BE9"/>
    <w:rsid w:val="005A6D24"/>
    <w:rsid w:val="005A6E35"/>
    <w:rsid w:val="005A6EC5"/>
    <w:rsid w:val="005A6F1A"/>
    <w:rsid w:val="005A70D2"/>
    <w:rsid w:val="005A710B"/>
    <w:rsid w:val="005A7217"/>
    <w:rsid w:val="005A73EF"/>
    <w:rsid w:val="005A76AC"/>
    <w:rsid w:val="005A7711"/>
    <w:rsid w:val="005A78E2"/>
    <w:rsid w:val="005A7A0B"/>
    <w:rsid w:val="005A7A14"/>
    <w:rsid w:val="005A7E4F"/>
    <w:rsid w:val="005A7EDB"/>
    <w:rsid w:val="005B01D0"/>
    <w:rsid w:val="005B028A"/>
    <w:rsid w:val="005B045C"/>
    <w:rsid w:val="005B0664"/>
    <w:rsid w:val="005B0B99"/>
    <w:rsid w:val="005B0C5D"/>
    <w:rsid w:val="005B0D01"/>
    <w:rsid w:val="005B0D76"/>
    <w:rsid w:val="005B0E1B"/>
    <w:rsid w:val="005B0F6D"/>
    <w:rsid w:val="005B0FD5"/>
    <w:rsid w:val="005B1447"/>
    <w:rsid w:val="005B1487"/>
    <w:rsid w:val="005B19E2"/>
    <w:rsid w:val="005B1A3B"/>
    <w:rsid w:val="005B208E"/>
    <w:rsid w:val="005B21B1"/>
    <w:rsid w:val="005B21B2"/>
    <w:rsid w:val="005B2254"/>
    <w:rsid w:val="005B234B"/>
    <w:rsid w:val="005B235D"/>
    <w:rsid w:val="005B2442"/>
    <w:rsid w:val="005B256A"/>
    <w:rsid w:val="005B25EE"/>
    <w:rsid w:val="005B260F"/>
    <w:rsid w:val="005B2772"/>
    <w:rsid w:val="005B29E0"/>
    <w:rsid w:val="005B2B80"/>
    <w:rsid w:val="005B2BB8"/>
    <w:rsid w:val="005B2CF6"/>
    <w:rsid w:val="005B2E35"/>
    <w:rsid w:val="005B2EBD"/>
    <w:rsid w:val="005B2F40"/>
    <w:rsid w:val="005B2F7B"/>
    <w:rsid w:val="005B3089"/>
    <w:rsid w:val="005B30CF"/>
    <w:rsid w:val="005B34F8"/>
    <w:rsid w:val="005B38D9"/>
    <w:rsid w:val="005B3A46"/>
    <w:rsid w:val="005B3B4B"/>
    <w:rsid w:val="005B3BCB"/>
    <w:rsid w:val="005B3E4A"/>
    <w:rsid w:val="005B3E4B"/>
    <w:rsid w:val="005B40AB"/>
    <w:rsid w:val="005B40EC"/>
    <w:rsid w:val="005B422F"/>
    <w:rsid w:val="005B4280"/>
    <w:rsid w:val="005B42BD"/>
    <w:rsid w:val="005B46AD"/>
    <w:rsid w:val="005B4DF6"/>
    <w:rsid w:val="005B4FA3"/>
    <w:rsid w:val="005B5016"/>
    <w:rsid w:val="005B50DC"/>
    <w:rsid w:val="005B5189"/>
    <w:rsid w:val="005B52D4"/>
    <w:rsid w:val="005B541F"/>
    <w:rsid w:val="005B5581"/>
    <w:rsid w:val="005B57ED"/>
    <w:rsid w:val="005B5A70"/>
    <w:rsid w:val="005B5D62"/>
    <w:rsid w:val="005B5F2D"/>
    <w:rsid w:val="005B5F3C"/>
    <w:rsid w:val="005B6014"/>
    <w:rsid w:val="005B62A0"/>
    <w:rsid w:val="005B64DD"/>
    <w:rsid w:val="005B6705"/>
    <w:rsid w:val="005B691E"/>
    <w:rsid w:val="005B6953"/>
    <w:rsid w:val="005B6AA1"/>
    <w:rsid w:val="005B6B8F"/>
    <w:rsid w:val="005B6C74"/>
    <w:rsid w:val="005B6C92"/>
    <w:rsid w:val="005B6D05"/>
    <w:rsid w:val="005B6E15"/>
    <w:rsid w:val="005B72F8"/>
    <w:rsid w:val="005B7432"/>
    <w:rsid w:val="005B75D9"/>
    <w:rsid w:val="005B799A"/>
    <w:rsid w:val="005B7F59"/>
    <w:rsid w:val="005C0021"/>
    <w:rsid w:val="005C066F"/>
    <w:rsid w:val="005C07E8"/>
    <w:rsid w:val="005C088A"/>
    <w:rsid w:val="005C0962"/>
    <w:rsid w:val="005C0A94"/>
    <w:rsid w:val="005C0CF2"/>
    <w:rsid w:val="005C0E99"/>
    <w:rsid w:val="005C0ECE"/>
    <w:rsid w:val="005C0F11"/>
    <w:rsid w:val="005C0FC0"/>
    <w:rsid w:val="005C1148"/>
    <w:rsid w:val="005C17D3"/>
    <w:rsid w:val="005C18A1"/>
    <w:rsid w:val="005C19F4"/>
    <w:rsid w:val="005C1A0C"/>
    <w:rsid w:val="005C1B9B"/>
    <w:rsid w:val="005C2051"/>
    <w:rsid w:val="005C2701"/>
    <w:rsid w:val="005C2796"/>
    <w:rsid w:val="005C2876"/>
    <w:rsid w:val="005C2C22"/>
    <w:rsid w:val="005C2E94"/>
    <w:rsid w:val="005C30BA"/>
    <w:rsid w:val="005C313B"/>
    <w:rsid w:val="005C31DA"/>
    <w:rsid w:val="005C32E7"/>
    <w:rsid w:val="005C3545"/>
    <w:rsid w:val="005C3594"/>
    <w:rsid w:val="005C362C"/>
    <w:rsid w:val="005C3768"/>
    <w:rsid w:val="005C37D1"/>
    <w:rsid w:val="005C3876"/>
    <w:rsid w:val="005C38E3"/>
    <w:rsid w:val="005C3B42"/>
    <w:rsid w:val="005C3B74"/>
    <w:rsid w:val="005C3B8E"/>
    <w:rsid w:val="005C3BE3"/>
    <w:rsid w:val="005C3C55"/>
    <w:rsid w:val="005C3C93"/>
    <w:rsid w:val="005C3D73"/>
    <w:rsid w:val="005C3D96"/>
    <w:rsid w:val="005C40EE"/>
    <w:rsid w:val="005C448A"/>
    <w:rsid w:val="005C455D"/>
    <w:rsid w:val="005C4563"/>
    <w:rsid w:val="005C473D"/>
    <w:rsid w:val="005C4770"/>
    <w:rsid w:val="005C47FC"/>
    <w:rsid w:val="005C481E"/>
    <w:rsid w:val="005C496A"/>
    <w:rsid w:val="005C4AD2"/>
    <w:rsid w:val="005C4BC8"/>
    <w:rsid w:val="005C4D13"/>
    <w:rsid w:val="005C4E55"/>
    <w:rsid w:val="005C4EA6"/>
    <w:rsid w:val="005C4FCA"/>
    <w:rsid w:val="005C522B"/>
    <w:rsid w:val="005C53AD"/>
    <w:rsid w:val="005C54B4"/>
    <w:rsid w:val="005C5835"/>
    <w:rsid w:val="005C597F"/>
    <w:rsid w:val="005C5E61"/>
    <w:rsid w:val="005C5FBD"/>
    <w:rsid w:val="005C60BF"/>
    <w:rsid w:val="005C611E"/>
    <w:rsid w:val="005C6264"/>
    <w:rsid w:val="005C6338"/>
    <w:rsid w:val="005C66A0"/>
    <w:rsid w:val="005C66C1"/>
    <w:rsid w:val="005C6743"/>
    <w:rsid w:val="005C68AA"/>
    <w:rsid w:val="005C6D4A"/>
    <w:rsid w:val="005C6F8B"/>
    <w:rsid w:val="005C6F9E"/>
    <w:rsid w:val="005C7176"/>
    <w:rsid w:val="005C7338"/>
    <w:rsid w:val="005C7355"/>
    <w:rsid w:val="005C75DB"/>
    <w:rsid w:val="005C7635"/>
    <w:rsid w:val="005C780C"/>
    <w:rsid w:val="005C7CFA"/>
    <w:rsid w:val="005C7E0B"/>
    <w:rsid w:val="005D05DC"/>
    <w:rsid w:val="005D07FF"/>
    <w:rsid w:val="005D084A"/>
    <w:rsid w:val="005D0AA7"/>
    <w:rsid w:val="005D0B0C"/>
    <w:rsid w:val="005D0C46"/>
    <w:rsid w:val="005D0C8D"/>
    <w:rsid w:val="005D0CFA"/>
    <w:rsid w:val="005D0EA8"/>
    <w:rsid w:val="005D100D"/>
    <w:rsid w:val="005D1091"/>
    <w:rsid w:val="005D1490"/>
    <w:rsid w:val="005D1744"/>
    <w:rsid w:val="005D186B"/>
    <w:rsid w:val="005D193D"/>
    <w:rsid w:val="005D1BC1"/>
    <w:rsid w:val="005D1C13"/>
    <w:rsid w:val="005D1C21"/>
    <w:rsid w:val="005D20A5"/>
    <w:rsid w:val="005D22A7"/>
    <w:rsid w:val="005D22BB"/>
    <w:rsid w:val="005D2D4D"/>
    <w:rsid w:val="005D3111"/>
    <w:rsid w:val="005D3140"/>
    <w:rsid w:val="005D3153"/>
    <w:rsid w:val="005D31AF"/>
    <w:rsid w:val="005D3295"/>
    <w:rsid w:val="005D3329"/>
    <w:rsid w:val="005D3440"/>
    <w:rsid w:val="005D3554"/>
    <w:rsid w:val="005D362B"/>
    <w:rsid w:val="005D395A"/>
    <w:rsid w:val="005D3967"/>
    <w:rsid w:val="005D3B0F"/>
    <w:rsid w:val="005D3C87"/>
    <w:rsid w:val="005D3CDC"/>
    <w:rsid w:val="005D3CE8"/>
    <w:rsid w:val="005D3D66"/>
    <w:rsid w:val="005D3DB8"/>
    <w:rsid w:val="005D3E7C"/>
    <w:rsid w:val="005D4509"/>
    <w:rsid w:val="005D459E"/>
    <w:rsid w:val="005D478A"/>
    <w:rsid w:val="005D487E"/>
    <w:rsid w:val="005D493B"/>
    <w:rsid w:val="005D49EF"/>
    <w:rsid w:val="005D4A2E"/>
    <w:rsid w:val="005D4A7B"/>
    <w:rsid w:val="005D4D35"/>
    <w:rsid w:val="005D4F21"/>
    <w:rsid w:val="005D4FB0"/>
    <w:rsid w:val="005D4FB6"/>
    <w:rsid w:val="005D505E"/>
    <w:rsid w:val="005D50A7"/>
    <w:rsid w:val="005D525E"/>
    <w:rsid w:val="005D5667"/>
    <w:rsid w:val="005D574F"/>
    <w:rsid w:val="005D5777"/>
    <w:rsid w:val="005D59DA"/>
    <w:rsid w:val="005D5DFB"/>
    <w:rsid w:val="005D60D3"/>
    <w:rsid w:val="005D6235"/>
    <w:rsid w:val="005D6293"/>
    <w:rsid w:val="005D63E8"/>
    <w:rsid w:val="005D64D9"/>
    <w:rsid w:val="005D64EC"/>
    <w:rsid w:val="005D6AAD"/>
    <w:rsid w:val="005D6CCC"/>
    <w:rsid w:val="005D6E16"/>
    <w:rsid w:val="005D6F24"/>
    <w:rsid w:val="005D706F"/>
    <w:rsid w:val="005D7136"/>
    <w:rsid w:val="005D718C"/>
    <w:rsid w:val="005D7224"/>
    <w:rsid w:val="005D7728"/>
    <w:rsid w:val="005D779C"/>
    <w:rsid w:val="005D77B6"/>
    <w:rsid w:val="005D7880"/>
    <w:rsid w:val="005D788A"/>
    <w:rsid w:val="005D7931"/>
    <w:rsid w:val="005D79E7"/>
    <w:rsid w:val="005D7A98"/>
    <w:rsid w:val="005D7B4E"/>
    <w:rsid w:val="005D7C06"/>
    <w:rsid w:val="005D7C23"/>
    <w:rsid w:val="005D7CB1"/>
    <w:rsid w:val="005D7D69"/>
    <w:rsid w:val="005D7DBA"/>
    <w:rsid w:val="005E01CC"/>
    <w:rsid w:val="005E02F8"/>
    <w:rsid w:val="005E0355"/>
    <w:rsid w:val="005E057F"/>
    <w:rsid w:val="005E059A"/>
    <w:rsid w:val="005E06D3"/>
    <w:rsid w:val="005E0760"/>
    <w:rsid w:val="005E0A1C"/>
    <w:rsid w:val="005E0D39"/>
    <w:rsid w:val="005E0E50"/>
    <w:rsid w:val="005E109B"/>
    <w:rsid w:val="005E123C"/>
    <w:rsid w:val="005E12D6"/>
    <w:rsid w:val="005E1332"/>
    <w:rsid w:val="005E1460"/>
    <w:rsid w:val="005E14DE"/>
    <w:rsid w:val="005E1554"/>
    <w:rsid w:val="005E17DC"/>
    <w:rsid w:val="005E1E70"/>
    <w:rsid w:val="005E201E"/>
    <w:rsid w:val="005E2037"/>
    <w:rsid w:val="005E2836"/>
    <w:rsid w:val="005E2960"/>
    <w:rsid w:val="005E298D"/>
    <w:rsid w:val="005E2B04"/>
    <w:rsid w:val="005E2B18"/>
    <w:rsid w:val="005E2BB0"/>
    <w:rsid w:val="005E2D20"/>
    <w:rsid w:val="005E2E35"/>
    <w:rsid w:val="005E2F47"/>
    <w:rsid w:val="005E2FA4"/>
    <w:rsid w:val="005E3106"/>
    <w:rsid w:val="005E31F0"/>
    <w:rsid w:val="005E32BF"/>
    <w:rsid w:val="005E35C1"/>
    <w:rsid w:val="005E35ED"/>
    <w:rsid w:val="005E362E"/>
    <w:rsid w:val="005E363B"/>
    <w:rsid w:val="005E37C3"/>
    <w:rsid w:val="005E3CEE"/>
    <w:rsid w:val="005E3D17"/>
    <w:rsid w:val="005E3E56"/>
    <w:rsid w:val="005E4028"/>
    <w:rsid w:val="005E4359"/>
    <w:rsid w:val="005E43F5"/>
    <w:rsid w:val="005E4480"/>
    <w:rsid w:val="005E4568"/>
    <w:rsid w:val="005E4782"/>
    <w:rsid w:val="005E4B2F"/>
    <w:rsid w:val="005E4B60"/>
    <w:rsid w:val="005E4D1D"/>
    <w:rsid w:val="005E4DB3"/>
    <w:rsid w:val="005E4ECB"/>
    <w:rsid w:val="005E51E6"/>
    <w:rsid w:val="005E51F3"/>
    <w:rsid w:val="005E5260"/>
    <w:rsid w:val="005E52BC"/>
    <w:rsid w:val="005E5616"/>
    <w:rsid w:val="005E56FE"/>
    <w:rsid w:val="005E5D0A"/>
    <w:rsid w:val="005E5FF8"/>
    <w:rsid w:val="005E60E0"/>
    <w:rsid w:val="005E6183"/>
    <w:rsid w:val="005E6392"/>
    <w:rsid w:val="005E63D2"/>
    <w:rsid w:val="005E64F0"/>
    <w:rsid w:val="005E653B"/>
    <w:rsid w:val="005E679C"/>
    <w:rsid w:val="005E6A66"/>
    <w:rsid w:val="005E6DDF"/>
    <w:rsid w:val="005E70A1"/>
    <w:rsid w:val="005E7138"/>
    <w:rsid w:val="005E7173"/>
    <w:rsid w:val="005E71B3"/>
    <w:rsid w:val="005E7208"/>
    <w:rsid w:val="005E7443"/>
    <w:rsid w:val="005E767F"/>
    <w:rsid w:val="005E769E"/>
    <w:rsid w:val="005E7952"/>
    <w:rsid w:val="005E7B13"/>
    <w:rsid w:val="005E7C80"/>
    <w:rsid w:val="005E7E4B"/>
    <w:rsid w:val="005E7EE8"/>
    <w:rsid w:val="005E7F7B"/>
    <w:rsid w:val="005F0098"/>
    <w:rsid w:val="005F0610"/>
    <w:rsid w:val="005F07D1"/>
    <w:rsid w:val="005F07F8"/>
    <w:rsid w:val="005F0864"/>
    <w:rsid w:val="005F0BFC"/>
    <w:rsid w:val="005F0D22"/>
    <w:rsid w:val="005F0E92"/>
    <w:rsid w:val="005F0F4F"/>
    <w:rsid w:val="005F1050"/>
    <w:rsid w:val="005F11CB"/>
    <w:rsid w:val="005F13AF"/>
    <w:rsid w:val="005F147E"/>
    <w:rsid w:val="005F1678"/>
    <w:rsid w:val="005F1BA4"/>
    <w:rsid w:val="005F1CDE"/>
    <w:rsid w:val="005F1FAE"/>
    <w:rsid w:val="005F20C6"/>
    <w:rsid w:val="005F277A"/>
    <w:rsid w:val="005F2919"/>
    <w:rsid w:val="005F2C03"/>
    <w:rsid w:val="005F2D16"/>
    <w:rsid w:val="005F2DD7"/>
    <w:rsid w:val="005F3164"/>
    <w:rsid w:val="005F319D"/>
    <w:rsid w:val="005F327C"/>
    <w:rsid w:val="005F339B"/>
    <w:rsid w:val="005F3782"/>
    <w:rsid w:val="005F38CC"/>
    <w:rsid w:val="005F38ED"/>
    <w:rsid w:val="005F39E3"/>
    <w:rsid w:val="005F3C4E"/>
    <w:rsid w:val="005F400D"/>
    <w:rsid w:val="005F41B3"/>
    <w:rsid w:val="005F428C"/>
    <w:rsid w:val="005F42DC"/>
    <w:rsid w:val="005F4305"/>
    <w:rsid w:val="005F449A"/>
    <w:rsid w:val="005F454A"/>
    <w:rsid w:val="005F45A3"/>
    <w:rsid w:val="005F463C"/>
    <w:rsid w:val="005F4751"/>
    <w:rsid w:val="005F47F9"/>
    <w:rsid w:val="005F4857"/>
    <w:rsid w:val="005F49B2"/>
    <w:rsid w:val="005F4B19"/>
    <w:rsid w:val="005F4B25"/>
    <w:rsid w:val="005F4BFF"/>
    <w:rsid w:val="005F4D3D"/>
    <w:rsid w:val="005F51D1"/>
    <w:rsid w:val="005F5307"/>
    <w:rsid w:val="005F5308"/>
    <w:rsid w:val="005F532E"/>
    <w:rsid w:val="005F54E0"/>
    <w:rsid w:val="005F551C"/>
    <w:rsid w:val="005F58AE"/>
    <w:rsid w:val="005F58EF"/>
    <w:rsid w:val="005F5AE9"/>
    <w:rsid w:val="005F5BAD"/>
    <w:rsid w:val="005F5E53"/>
    <w:rsid w:val="005F612D"/>
    <w:rsid w:val="005F615B"/>
    <w:rsid w:val="005F6467"/>
    <w:rsid w:val="005F6562"/>
    <w:rsid w:val="005F6694"/>
    <w:rsid w:val="005F6893"/>
    <w:rsid w:val="005F6C4F"/>
    <w:rsid w:val="005F6DDF"/>
    <w:rsid w:val="005F6F92"/>
    <w:rsid w:val="005F6FA2"/>
    <w:rsid w:val="005F6FF2"/>
    <w:rsid w:val="005F71C4"/>
    <w:rsid w:val="005F7283"/>
    <w:rsid w:val="005F7438"/>
    <w:rsid w:val="005F75DB"/>
    <w:rsid w:val="005F7602"/>
    <w:rsid w:val="005F777A"/>
    <w:rsid w:val="005F77C5"/>
    <w:rsid w:val="005F78A1"/>
    <w:rsid w:val="005F79D8"/>
    <w:rsid w:val="005F7ACC"/>
    <w:rsid w:val="005F7CC6"/>
    <w:rsid w:val="005F7E04"/>
    <w:rsid w:val="005F7F09"/>
    <w:rsid w:val="005F7F55"/>
    <w:rsid w:val="00600082"/>
    <w:rsid w:val="006005EF"/>
    <w:rsid w:val="006006D6"/>
    <w:rsid w:val="0060088F"/>
    <w:rsid w:val="00600CE8"/>
    <w:rsid w:val="0060120F"/>
    <w:rsid w:val="006012E8"/>
    <w:rsid w:val="00601365"/>
    <w:rsid w:val="006013BC"/>
    <w:rsid w:val="00601406"/>
    <w:rsid w:val="00601558"/>
    <w:rsid w:val="00601842"/>
    <w:rsid w:val="00601897"/>
    <w:rsid w:val="00601A41"/>
    <w:rsid w:val="00601ECB"/>
    <w:rsid w:val="00601FE8"/>
    <w:rsid w:val="00602069"/>
    <w:rsid w:val="00602304"/>
    <w:rsid w:val="0060230A"/>
    <w:rsid w:val="00602664"/>
    <w:rsid w:val="006028BD"/>
    <w:rsid w:val="006029C8"/>
    <w:rsid w:val="00602AA3"/>
    <w:rsid w:val="00602B69"/>
    <w:rsid w:val="00602CD4"/>
    <w:rsid w:val="00602E84"/>
    <w:rsid w:val="00602EC7"/>
    <w:rsid w:val="006030EF"/>
    <w:rsid w:val="00603368"/>
    <w:rsid w:val="00603AEC"/>
    <w:rsid w:val="00603B47"/>
    <w:rsid w:val="00603E2C"/>
    <w:rsid w:val="00603EC2"/>
    <w:rsid w:val="00604091"/>
    <w:rsid w:val="006044A6"/>
    <w:rsid w:val="00604595"/>
    <w:rsid w:val="00604737"/>
    <w:rsid w:val="0060494B"/>
    <w:rsid w:val="00604C42"/>
    <w:rsid w:val="00604DC4"/>
    <w:rsid w:val="00604EA9"/>
    <w:rsid w:val="00604EF5"/>
    <w:rsid w:val="00604FB8"/>
    <w:rsid w:val="00605078"/>
    <w:rsid w:val="006052B7"/>
    <w:rsid w:val="006054CE"/>
    <w:rsid w:val="006057F0"/>
    <w:rsid w:val="00605815"/>
    <w:rsid w:val="00605AE3"/>
    <w:rsid w:val="00606108"/>
    <w:rsid w:val="00606147"/>
    <w:rsid w:val="0060624D"/>
    <w:rsid w:val="006063AF"/>
    <w:rsid w:val="00606511"/>
    <w:rsid w:val="006065C1"/>
    <w:rsid w:val="006068EE"/>
    <w:rsid w:val="006069B1"/>
    <w:rsid w:val="00606A3C"/>
    <w:rsid w:val="00606A6A"/>
    <w:rsid w:val="00606B55"/>
    <w:rsid w:val="00606BC9"/>
    <w:rsid w:val="00606D32"/>
    <w:rsid w:val="00606DE9"/>
    <w:rsid w:val="00606E00"/>
    <w:rsid w:val="00606E4A"/>
    <w:rsid w:val="00606E90"/>
    <w:rsid w:val="00606EB2"/>
    <w:rsid w:val="006070F7"/>
    <w:rsid w:val="006071BE"/>
    <w:rsid w:val="00607375"/>
    <w:rsid w:val="00607446"/>
    <w:rsid w:val="0060744B"/>
    <w:rsid w:val="00607752"/>
    <w:rsid w:val="006079CB"/>
    <w:rsid w:val="006079DE"/>
    <w:rsid w:val="00607A04"/>
    <w:rsid w:val="00607A8B"/>
    <w:rsid w:val="00607BC1"/>
    <w:rsid w:val="00607C6F"/>
    <w:rsid w:val="00607DE7"/>
    <w:rsid w:val="00607E37"/>
    <w:rsid w:val="00607EB4"/>
    <w:rsid w:val="00610164"/>
    <w:rsid w:val="006103A4"/>
    <w:rsid w:val="006105B9"/>
    <w:rsid w:val="00610684"/>
    <w:rsid w:val="006109B6"/>
    <w:rsid w:val="006109DB"/>
    <w:rsid w:val="006110AC"/>
    <w:rsid w:val="00611114"/>
    <w:rsid w:val="00611127"/>
    <w:rsid w:val="0061113D"/>
    <w:rsid w:val="0061132C"/>
    <w:rsid w:val="006113DF"/>
    <w:rsid w:val="00611A1D"/>
    <w:rsid w:val="00611B0D"/>
    <w:rsid w:val="00612195"/>
    <w:rsid w:val="0061222B"/>
    <w:rsid w:val="006122AD"/>
    <w:rsid w:val="006122BD"/>
    <w:rsid w:val="0061240F"/>
    <w:rsid w:val="00612671"/>
    <w:rsid w:val="0061273C"/>
    <w:rsid w:val="00612760"/>
    <w:rsid w:val="006128BB"/>
    <w:rsid w:val="006128F9"/>
    <w:rsid w:val="006129A2"/>
    <w:rsid w:val="006129A6"/>
    <w:rsid w:val="00612B47"/>
    <w:rsid w:val="00612B4F"/>
    <w:rsid w:val="00612D2B"/>
    <w:rsid w:val="00612D76"/>
    <w:rsid w:val="00612E4E"/>
    <w:rsid w:val="0061315E"/>
    <w:rsid w:val="00613211"/>
    <w:rsid w:val="00613497"/>
    <w:rsid w:val="0061367B"/>
    <w:rsid w:val="006139AB"/>
    <w:rsid w:val="00613C35"/>
    <w:rsid w:val="00613CDC"/>
    <w:rsid w:val="00613ED5"/>
    <w:rsid w:val="00613F31"/>
    <w:rsid w:val="00613F86"/>
    <w:rsid w:val="0061423E"/>
    <w:rsid w:val="006144CA"/>
    <w:rsid w:val="006146E7"/>
    <w:rsid w:val="00614881"/>
    <w:rsid w:val="00614A36"/>
    <w:rsid w:val="00614FDB"/>
    <w:rsid w:val="006150B7"/>
    <w:rsid w:val="006150C7"/>
    <w:rsid w:val="006151A9"/>
    <w:rsid w:val="006151B0"/>
    <w:rsid w:val="00615A61"/>
    <w:rsid w:val="00615D52"/>
    <w:rsid w:val="00615D5E"/>
    <w:rsid w:val="00615FDD"/>
    <w:rsid w:val="00616012"/>
    <w:rsid w:val="006161A8"/>
    <w:rsid w:val="00616224"/>
    <w:rsid w:val="0061627C"/>
    <w:rsid w:val="00616293"/>
    <w:rsid w:val="006164E0"/>
    <w:rsid w:val="00616579"/>
    <w:rsid w:val="0061677C"/>
    <w:rsid w:val="006169A7"/>
    <w:rsid w:val="00616CCE"/>
    <w:rsid w:val="00616D28"/>
    <w:rsid w:val="00616EE1"/>
    <w:rsid w:val="00616EF8"/>
    <w:rsid w:val="00616FC4"/>
    <w:rsid w:val="0061704D"/>
    <w:rsid w:val="006173FE"/>
    <w:rsid w:val="00617446"/>
    <w:rsid w:val="00617599"/>
    <w:rsid w:val="006175AE"/>
    <w:rsid w:val="00617701"/>
    <w:rsid w:val="00617738"/>
    <w:rsid w:val="006177E0"/>
    <w:rsid w:val="00617821"/>
    <w:rsid w:val="0061792E"/>
    <w:rsid w:val="006200CC"/>
    <w:rsid w:val="006200CE"/>
    <w:rsid w:val="00620178"/>
    <w:rsid w:val="0062022E"/>
    <w:rsid w:val="006202C4"/>
    <w:rsid w:val="0062037F"/>
    <w:rsid w:val="0062041C"/>
    <w:rsid w:val="00620575"/>
    <w:rsid w:val="006206D4"/>
    <w:rsid w:val="0062074D"/>
    <w:rsid w:val="0062079B"/>
    <w:rsid w:val="006207C7"/>
    <w:rsid w:val="0062087B"/>
    <w:rsid w:val="00620889"/>
    <w:rsid w:val="00620C5D"/>
    <w:rsid w:val="00620C89"/>
    <w:rsid w:val="00620DCE"/>
    <w:rsid w:val="00620DD3"/>
    <w:rsid w:val="006210FA"/>
    <w:rsid w:val="00621114"/>
    <w:rsid w:val="0062128C"/>
    <w:rsid w:val="006214DE"/>
    <w:rsid w:val="006215CB"/>
    <w:rsid w:val="006219C8"/>
    <w:rsid w:val="00621E04"/>
    <w:rsid w:val="00621E2F"/>
    <w:rsid w:val="00622047"/>
    <w:rsid w:val="006220EB"/>
    <w:rsid w:val="0062216C"/>
    <w:rsid w:val="00622192"/>
    <w:rsid w:val="00622455"/>
    <w:rsid w:val="0062254F"/>
    <w:rsid w:val="006225C1"/>
    <w:rsid w:val="00623025"/>
    <w:rsid w:val="0062305E"/>
    <w:rsid w:val="006230CD"/>
    <w:rsid w:val="00623144"/>
    <w:rsid w:val="00623336"/>
    <w:rsid w:val="0062334F"/>
    <w:rsid w:val="00623541"/>
    <w:rsid w:val="0062358F"/>
    <w:rsid w:val="006236E5"/>
    <w:rsid w:val="006237A0"/>
    <w:rsid w:val="00623A97"/>
    <w:rsid w:val="00623AC4"/>
    <w:rsid w:val="00623D30"/>
    <w:rsid w:val="00623F16"/>
    <w:rsid w:val="006241B7"/>
    <w:rsid w:val="0062425A"/>
    <w:rsid w:val="0062462E"/>
    <w:rsid w:val="00624632"/>
    <w:rsid w:val="006248FA"/>
    <w:rsid w:val="00624956"/>
    <w:rsid w:val="00624962"/>
    <w:rsid w:val="0062496B"/>
    <w:rsid w:val="00624BFA"/>
    <w:rsid w:val="00624FDE"/>
    <w:rsid w:val="0062508E"/>
    <w:rsid w:val="0062519E"/>
    <w:rsid w:val="006251F2"/>
    <w:rsid w:val="0062527F"/>
    <w:rsid w:val="0062573F"/>
    <w:rsid w:val="006258D8"/>
    <w:rsid w:val="0062596F"/>
    <w:rsid w:val="006259D1"/>
    <w:rsid w:val="00625A6B"/>
    <w:rsid w:val="00625B15"/>
    <w:rsid w:val="00625C2B"/>
    <w:rsid w:val="00625CEF"/>
    <w:rsid w:val="00625FB3"/>
    <w:rsid w:val="006260B0"/>
    <w:rsid w:val="006263C8"/>
    <w:rsid w:val="00626862"/>
    <w:rsid w:val="006268DC"/>
    <w:rsid w:val="00626AE7"/>
    <w:rsid w:val="00626C55"/>
    <w:rsid w:val="00626CC0"/>
    <w:rsid w:val="00626D1C"/>
    <w:rsid w:val="00626ED0"/>
    <w:rsid w:val="0062727E"/>
    <w:rsid w:val="00627291"/>
    <w:rsid w:val="006277DC"/>
    <w:rsid w:val="00627864"/>
    <w:rsid w:val="00627B3C"/>
    <w:rsid w:val="00627B76"/>
    <w:rsid w:val="00627C84"/>
    <w:rsid w:val="00627E9B"/>
    <w:rsid w:val="00627EEA"/>
    <w:rsid w:val="00627FAF"/>
    <w:rsid w:val="006300A7"/>
    <w:rsid w:val="00630203"/>
    <w:rsid w:val="00630247"/>
    <w:rsid w:val="00630421"/>
    <w:rsid w:val="00630431"/>
    <w:rsid w:val="006307C1"/>
    <w:rsid w:val="006307FD"/>
    <w:rsid w:val="006309D6"/>
    <w:rsid w:val="00630A28"/>
    <w:rsid w:val="00630B00"/>
    <w:rsid w:val="00630BBC"/>
    <w:rsid w:val="00630C4E"/>
    <w:rsid w:val="00630E14"/>
    <w:rsid w:val="00631138"/>
    <w:rsid w:val="006312D5"/>
    <w:rsid w:val="006313AF"/>
    <w:rsid w:val="006313C7"/>
    <w:rsid w:val="00631599"/>
    <w:rsid w:val="00631711"/>
    <w:rsid w:val="00631761"/>
    <w:rsid w:val="00631A09"/>
    <w:rsid w:val="00631A99"/>
    <w:rsid w:val="00631A9E"/>
    <w:rsid w:val="00631B3A"/>
    <w:rsid w:val="00631BBB"/>
    <w:rsid w:val="00631CFF"/>
    <w:rsid w:val="00631DB1"/>
    <w:rsid w:val="00631DD5"/>
    <w:rsid w:val="006326A3"/>
    <w:rsid w:val="00632758"/>
    <w:rsid w:val="006327A0"/>
    <w:rsid w:val="00632996"/>
    <w:rsid w:val="00632B99"/>
    <w:rsid w:val="00632C10"/>
    <w:rsid w:val="00632D7E"/>
    <w:rsid w:val="00632E35"/>
    <w:rsid w:val="00632FB7"/>
    <w:rsid w:val="006331E2"/>
    <w:rsid w:val="0063326D"/>
    <w:rsid w:val="006333B0"/>
    <w:rsid w:val="00633421"/>
    <w:rsid w:val="006335C0"/>
    <w:rsid w:val="0063361F"/>
    <w:rsid w:val="0063396E"/>
    <w:rsid w:val="00633A74"/>
    <w:rsid w:val="00633B20"/>
    <w:rsid w:val="00633B8A"/>
    <w:rsid w:val="00633D17"/>
    <w:rsid w:val="00633D19"/>
    <w:rsid w:val="00633E2A"/>
    <w:rsid w:val="00633ED5"/>
    <w:rsid w:val="00634083"/>
    <w:rsid w:val="0063431E"/>
    <w:rsid w:val="0063471B"/>
    <w:rsid w:val="0063478A"/>
    <w:rsid w:val="00634889"/>
    <w:rsid w:val="00634918"/>
    <w:rsid w:val="00634A0F"/>
    <w:rsid w:val="00634A69"/>
    <w:rsid w:val="00634BB2"/>
    <w:rsid w:val="00634CE1"/>
    <w:rsid w:val="00634D56"/>
    <w:rsid w:val="00634D5C"/>
    <w:rsid w:val="00634F2B"/>
    <w:rsid w:val="006351A4"/>
    <w:rsid w:val="0063547C"/>
    <w:rsid w:val="006355ED"/>
    <w:rsid w:val="00635685"/>
    <w:rsid w:val="00635774"/>
    <w:rsid w:val="0063583A"/>
    <w:rsid w:val="00635969"/>
    <w:rsid w:val="00635DA7"/>
    <w:rsid w:val="00635F3F"/>
    <w:rsid w:val="00635F7C"/>
    <w:rsid w:val="00635FC9"/>
    <w:rsid w:val="00636148"/>
    <w:rsid w:val="00636184"/>
    <w:rsid w:val="0063621C"/>
    <w:rsid w:val="0063625F"/>
    <w:rsid w:val="006363F7"/>
    <w:rsid w:val="0063644F"/>
    <w:rsid w:val="006365DB"/>
    <w:rsid w:val="00636667"/>
    <w:rsid w:val="006366FE"/>
    <w:rsid w:val="00636965"/>
    <w:rsid w:val="00636F9D"/>
    <w:rsid w:val="006371D9"/>
    <w:rsid w:val="006371F8"/>
    <w:rsid w:val="00637319"/>
    <w:rsid w:val="0063741F"/>
    <w:rsid w:val="00637470"/>
    <w:rsid w:val="00637478"/>
    <w:rsid w:val="006376D5"/>
    <w:rsid w:val="0063775A"/>
    <w:rsid w:val="006377CC"/>
    <w:rsid w:val="00637832"/>
    <w:rsid w:val="006378AD"/>
    <w:rsid w:val="006379C2"/>
    <w:rsid w:val="00637B9C"/>
    <w:rsid w:val="00637CAD"/>
    <w:rsid w:val="00637E6A"/>
    <w:rsid w:val="00637ED2"/>
    <w:rsid w:val="00640114"/>
    <w:rsid w:val="00640139"/>
    <w:rsid w:val="0064042D"/>
    <w:rsid w:val="00640463"/>
    <w:rsid w:val="0064046B"/>
    <w:rsid w:val="00640511"/>
    <w:rsid w:val="00640664"/>
    <w:rsid w:val="006406A8"/>
    <w:rsid w:val="0064071B"/>
    <w:rsid w:val="0064076F"/>
    <w:rsid w:val="00640796"/>
    <w:rsid w:val="006408BA"/>
    <w:rsid w:val="006409D5"/>
    <w:rsid w:val="00640C0A"/>
    <w:rsid w:val="00640E5E"/>
    <w:rsid w:val="00640F0B"/>
    <w:rsid w:val="00640F1E"/>
    <w:rsid w:val="00640F3E"/>
    <w:rsid w:val="00640F68"/>
    <w:rsid w:val="00640F7A"/>
    <w:rsid w:val="00640FC0"/>
    <w:rsid w:val="00641199"/>
    <w:rsid w:val="00641464"/>
    <w:rsid w:val="00641598"/>
    <w:rsid w:val="00641780"/>
    <w:rsid w:val="00641891"/>
    <w:rsid w:val="0064194C"/>
    <w:rsid w:val="00641957"/>
    <w:rsid w:val="006419B8"/>
    <w:rsid w:val="00641AC9"/>
    <w:rsid w:val="00641BC8"/>
    <w:rsid w:val="00641C0A"/>
    <w:rsid w:val="00641D55"/>
    <w:rsid w:val="006420B1"/>
    <w:rsid w:val="006420D4"/>
    <w:rsid w:val="00642112"/>
    <w:rsid w:val="0064233A"/>
    <w:rsid w:val="006423FB"/>
    <w:rsid w:val="00642468"/>
    <w:rsid w:val="006426A2"/>
    <w:rsid w:val="006426FB"/>
    <w:rsid w:val="0064290A"/>
    <w:rsid w:val="00642AB9"/>
    <w:rsid w:val="00642B34"/>
    <w:rsid w:val="00643001"/>
    <w:rsid w:val="00643354"/>
    <w:rsid w:val="0064354D"/>
    <w:rsid w:val="0064393A"/>
    <w:rsid w:val="00643973"/>
    <w:rsid w:val="006439F0"/>
    <w:rsid w:val="00643B72"/>
    <w:rsid w:val="00643C2A"/>
    <w:rsid w:val="00643C90"/>
    <w:rsid w:val="00643FD5"/>
    <w:rsid w:val="00644257"/>
    <w:rsid w:val="006443F0"/>
    <w:rsid w:val="006445C4"/>
    <w:rsid w:val="0064485B"/>
    <w:rsid w:val="006448B7"/>
    <w:rsid w:val="00644987"/>
    <w:rsid w:val="00644CA1"/>
    <w:rsid w:val="00644CAD"/>
    <w:rsid w:val="00644FD3"/>
    <w:rsid w:val="00645183"/>
    <w:rsid w:val="0064521A"/>
    <w:rsid w:val="00645504"/>
    <w:rsid w:val="00645625"/>
    <w:rsid w:val="00645699"/>
    <w:rsid w:val="00645725"/>
    <w:rsid w:val="006457D2"/>
    <w:rsid w:val="00645A1C"/>
    <w:rsid w:val="00645A49"/>
    <w:rsid w:val="00645BF9"/>
    <w:rsid w:val="00645D0B"/>
    <w:rsid w:val="00645F7F"/>
    <w:rsid w:val="006462FD"/>
    <w:rsid w:val="00646425"/>
    <w:rsid w:val="00646534"/>
    <w:rsid w:val="00646546"/>
    <w:rsid w:val="006466D1"/>
    <w:rsid w:val="0064677F"/>
    <w:rsid w:val="006468A6"/>
    <w:rsid w:val="00646A8C"/>
    <w:rsid w:val="00646A9C"/>
    <w:rsid w:val="00646C0C"/>
    <w:rsid w:val="00646E1C"/>
    <w:rsid w:val="006472AD"/>
    <w:rsid w:val="0064745A"/>
    <w:rsid w:val="006474FC"/>
    <w:rsid w:val="006477A8"/>
    <w:rsid w:val="00647C4B"/>
    <w:rsid w:val="00647CAD"/>
    <w:rsid w:val="00647CE7"/>
    <w:rsid w:val="00647CFC"/>
    <w:rsid w:val="00647E3F"/>
    <w:rsid w:val="006503E1"/>
    <w:rsid w:val="00650468"/>
    <w:rsid w:val="00650671"/>
    <w:rsid w:val="0065076B"/>
    <w:rsid w:val="006507BF"/>
    <w:rsid w:val="00650A0A"/>
    <w:rsid w:val="00650C1F"/>
    <w:rsid w:val="00650ED0"/>
    <w:rsid w:val="0065119C"/>
    <w:rsid w:val="006511A6"/>
    <w:rsid w:val="00651213"/>
    <w:rsid w:val="00651306"/>
    <w:rsid w:val="006513CE"/>
    <w:rsid w:val="006513F4"/>
    <w:rsid w:val="00651894"/>
    <w:rsid w:val="00651E1F"/>
    <w:rsid w:val="00651E46"/>
    <w:rsid w:val="00652131"/>
    <w:rsid w:val="006521C1"/>
    <w:rsid w:val="00652456"/>
    <w:rsid w:val="00652574"/>
    <w:rsid w:val="00652BA8"/>
    <w:rsid w:val="00653259"/>
    <w:rsid w:val="00653270"/>
    <w:rsid w:val="006533CC"/>
    <w:rsid w:val="006535DA"/>
    <w:rsid w:val="00653691"/>
    <w:rsid w:val="006538A9"/>
    <w:rsid w:val="00653AC1"/>
    <w:rsid w:val="00653BC6"/>
    <w:rsid w:val="00653C65"/>
    <w:rsid w:val="00653D60"/>
    <w:rsid w:val="00653FDB"/>
    <w:rsid w:val="0065424A"/>
    <w:rsid w:val="00654417"/>
    <w:rsid w:val="006545C0"/>
    <w:rsid w:val="00654744"/>
    <w:rsid w:val="00654C79"/>
    <w:rsid w:val="00654F24"/>
    <w:rsid w:val="00654F53"/>
    <w:rsid w:val="0065521B"/>
    <w:rsid w:val="00655265"/>
    <w:rsid w:val="00655C57"/>
    <w:rsid w:val="00655C81"/>
    <w:rsid w:val="00655D34"/>
    <w:rsid w:val="00655DE9"/>
    <w:rsid w:val="00655E5D"/>
    <w:rsid w:val="00655F7D"/>
    <w:rsid w:val="00656052"/>
    <w:rsid w:val="006560AE"/>
    <w:rsid w:val="00656378"/>
    <w:rsid w:val="006563DC"/>
    <w:rsid w:val="00656460"/>
    <w:rsid w:val="006566A8"/>
    <w:rsid w:val="00656731"/>
    <w:rsid w:val="006567F4"/>
    <w:rsid w:val="00656A7A"/>
    <w:rsid w:val="00656AE9"/>
    <w:rsid w:val="00656B7B"/>
    <w:rsid w:val="00656EB2"/>
    <w:rsid w:val="00656FD8"/>
    <w:rsid w:val="0065711B"/>
    <w:rsid w:val="006576EA"/>
    <w:rsid w:val="006578AC"/>
    <w:rsid w:val="006578FD"/>
    <w:rsid w:val="00657C16"/>
    <w:rsid w:val="00657EC6"/>
    <w:rsid w:val="00660307"/>
    <w:rsid w:val="0066030A"/>
    <w:rsid w:val="0066030B"/>
    <w:rsid w:val="00660367"/>
    <w:rsid w:val="00660877"/>
    <w:rsid w:val="00660A19"/>
    <w:rsid w:val="00660A42"/>
    <w:rsid w:val="00660B00"/>
    <w:rsid w:val="00660C0B"/>
    <w:rsid w:val="00660CAF"/>
    <w:rsid w:val="00660EBA"/>
    <w:rsid w:val="00660ECD"/>
    <w:rsid w:val="00660F0A"/>
    <w:rsid w:val="00660F6E"/>
    <w:rsid w:val="00660F9A"/>
    <w:rsid w:val="00661343"/>
    <w:rsid w:val="00661381"/>
    <w:rsid w:val="00661463"/>
    <w:rsid w:val="006616C5"/>
    <w:rsid w:val="006617E3"/>
    <w:rsid w:val="00661941"/>
    <w:rsid w:val="0066195A"/>
    <w:rsid w:val="00661DD9"/>
    <w:rsid w:val="00661E33"/>
    <w:rsid w:val="00662180"/>
    <w:rsid w:val="00662226"/>
    <w:rsid w:val="0066224F"/>
    <w:rsid w:val="006622E3"/>
    <w:rsid w:val="00662492"/>
    <w:rsid w:val="006626E6"/>
    <w:rsid w:val="00662A16"/>
    <w:rsid w:val="00662D2E"/>
    <w:rsid w:val="00662EBD"/>
    <w:rsid w:val="00662F44"/>
    <w:rsid w:val="00662F6E"/>
    <w:rsid w:val="00663513"/>
    <w:rsid w:val="006638C9"/>
    <w:rsid w:val="00663F8F"/>
    <w:rsid w:val="00663FBD"/>
    <w:rsid w:val="00664119"/>
    <w:rsid w:val="006645C8"/>
    <w:rsid w:val="0066464D"/>
    <w:rsid w:val="00664751"/>
    <w:rsid w:val="00664839"/>
    <w:rsid w:val="0066496A"/>
    <w:rsid w:val="006649B4"/>
    <w:rsid w:val="006649DD"/>
    <w:rsid w:val="00664B8F"/>
    <w:rsid w:val="00664BC7"/>
    <w:rsid w:val="00664D37"/>
    <w:rsid w:val="00664E88"/>
    <w:rsid w:val="00664F57"/>
    <w:rsid w:val="00665065"/>
    <w:rsid w:val="006650AE"/>
    <w:rsid w:val="006650D4"/>
    <w:rsid w:val="00665151"/>
    <w:rsid w:val="0066524D"/>
    <w:rsid w:val="0066526E"/>
    <w:rsid w:val="0066567D"/>
    <w:rsid w:val="006657F8"/>
    <w:rsid w:val="006658F8"/>
    <w:rsid w:val="0066591A"/>
    <w:rsid w:val="00665A77"/>
    <w:rsid w:val="00665ABB"/>
    <w:rsid w:val="00665BC8"/>
    <w:rsid w:val="00665D28"/>
    <w:rsid w:val="00665D61"/>
    <w:rsid w:val="00665F1E"/>
    <w:rsid w:val="0066610C"/>
    <w:rsid w:val="00666173"/>
    <w:rsid w:val="006661C4"/>
    <w:rsid w:val="00666294"/>
    <w:rsid w:val="00666383"/>
    <w:rsid w:val="00666477"/>
    <w:rsid w:val="00666523"/>
    <w:rsid w:val="00666660"/>
    <w:rsid w:val="00666784"/>
    <w:rsid w:val="006668C0"/>
    <w:rsid w:val="006668CB"/>
    <w:rsid w:val="006668F3"/>
    <w:rsid w:val="00666A36"/>
    <w:rsid w:val="00666A5B"/>
    <w:rsid w:val="00666A8F"/>
    <w:rsid w:val="00666B0A"/>
    <w:rsid w:val="00666BB4"/>
    <w:rsid w:val="00666CD1"/>
    <w:rsid w:val="00666DA8"/>
    <w:rsid w:val="00666F62"/>
    <w:rsid w:val="00667119"/>
    <w:rsid w:val="006672CA"/>
    <w:rsid w:val="0066748E"/>
    <w:rsid w:val="006674D3"/>
    <w:rsid w:val="006679E7"/>
    <w:rsid w:val="00667C5A"/>
    <w:rsid w:val="00667E5A"/>
    <w:rsid w:val="006701DD"/>
    <w:rsid w:val="00670455"/>
    <w:rsid w:val="00670B6D"/>
    <w:rsid w:val="00670C32"/>
    <w:rsid w:val="00670E47"/>
    <w:rsid w:val="00670F30"/>
    <w:rsid w:val="00671048"/>
    <w:rsid w:val="006712CD"/>
    <w:rsid w:val="006717F2"/>
    <w:rsid w:val="0067192F"/>
    <w:rsid w:val="00671949"/>
    <w:rsid w:val="0067198A"/>
    <w:rsid w:val="00671D33"/>
    <w:rsid w:val="00671E65"/>
    <w:rsid w:val="006721CD"/>
    <w:rsid w:val="00672220"/>
    <w:rsid w:val="0067241E"/>
    <w:rsid w:val="0067247E"/>
    <w:rsid w:val="006725F5"/>
    <w:rsid w:val="00672637"/>
    <w:rsid w:val="006726DA"/>
    <w:rsid w:val="0067270B"/>
    <w:rsid w:val="00672779"/>
    <w:rsid w:val="006728A0"/>
    <w:rsid w:val="00672A26"/>
    <w:rsid w:val="00672A70"/>
    <w:rsid w:val="00672CAB"/>
    <w:rsid w:val="00672D59"/>
    <w:rsid w:val="00672F85"/>
    <w:rsid w:val="006731A9"/>
    <w:rsid w:val="006735EC"/>
    <w:rsid w:val="00673610"/>
    <w:rsid w:val="006736F9"/>
    <w:rsid w:val="00673E74"/>
    <w:rsid w:val="0067411F"/>
    <w:rsid w:val="00674126"/>
    <w:rsid w:val="006741AD"/>
    <w:rsid w:val="00674253"/>
    <w:rsid w:val="00674969"/>
    <w:rsid w:val="00674A56"/>
    <w:rsid w:val="00674B15"/>
    <w:rsid w:val="00674C9E"/>
    <w:rsid w:val="00674CC5"/>
    <w:rsid w:val="0067505E"/>
    <w:rsid w:val="00675382"/>
    <w:rsid w:val="00675584"/>
    <w:rsid w:val="006755C1"/>
    <w:rsid w:val="00675654"/>
    <w:rsid w:val="0067570B"/>
    <w:rsid w:val="00675977"/>
    <w:rsid w:val="00675991"/>
    <w:rsid w:val="00675AEC"/>
    <w:rsid w:val="00675BF5"/>
    <w:rsid w:val="00675C3B"/>
    <w:rsid w:val="00675EDF"/>
    <w:rsid w:val="00676010"/>
    <w:rsid w:val="006763BB"/>
    <w:rsid w:val="006763E5"/>
    <w:rsid w:val="0067648A"/>
    <w:rsid w:val="0067658A"/>
    <w:rsid w:val="006765F8"/>
    <w:rsid w:val="0067660A"/>
    <w:rsid w:val="00676722"/>
    <w:rsid w:val="00676955"/>
    <w:rsid w:val="006769D8"/>
    <w:rsid w:val="00676BCC"/>
    <w:rsid w:val="00676D8B"/>
    <w:rsid w:val="00676DA9"/>
    <w:rsid w:val="00676DF6"/>
    <w:rsid w:val="00676E94"/>
    <w:rsid w:val="00676F5F"/>
    <w:rsid w:val="00676FE5"/>
    <w:rsid w:val="00677003"/>
    <w:rsid w:val="006770EC"/>
    <w:rsid w:val="006772A9"/>
    <w:rsid w:val="006772F7"/>
    <w:rsid w:val="00677573"/>
    <w:rsid w:val="00677738"/>
    <w:rsid w:val="00677744"/>
    <w:rsid w:val="00677843"/>
    <w:rsid w:val="006779E0"/>
    <w:rsid w:val="006779FB"/>
    <w:rsid w:val="00677B2A"/>
    <w:rsid w:val="00677C26"/>
    <w:rsid w:val="00677C49"/>
    <w:rsid w:val="00677E22"/>
    <w:rsid w:val="00677E39"/>
    <w:rsid w:val="00677E79"/>
    <w:rsid w:val="00680016"/>
    <w:rsid w:val="0068012F"/>
    <w:rsid w:val="00680294"/>
    <w:rsid w:val="0068071B"/>
    <w:rsid w:val="006807A1"/>
    <w:rsid w:val="00680867"/>
    <w:rsid w:val="006808A0"/>
    <w:rsid w:val="006808EA"/>
    <w:rsid w:val="0068092B"/>
    <w:rsid w:val="006809D2"/>
    <w:rsid w:val="00680B19"/>
    <w:rsid w:val="00681241"/>
    <w:rsid w:val="00681555"/>
    <w:rsid w:val="0068192B"/>
    <w:rsid w:val="00681C4E"/>
    <w:rsid w:val="00681C4F"/>
    <w:rsid w:val="00681CE6"/>
    <w:rsid w:val="00681EF1"/>
    <w:rsid w:val="00681F1B"/>
    <w:rsid w:val="0068203C"/>
    <w:rsid w:val="0068220D"/>
    <w:rsid w:val="006822BC"/>
    <w:rsid w:val="006822E4"/>
    <w:rsid w:val="00682343"/>
    <w:rsid w:val="00682345"/>
    <w:rsid w:val="00682477"/>
    <w:rsid w:val="006824C6"/>
    <w:rsid w:val="006824FB"/>
    <w:rsid w:val="006825E9"/>
    <w:rsid w:val="006826F8"/>
    <w:rsid w:val="006827A5"/>
    <w:rsid w:val="00682839"/>
    <w:rsid w:val="00682A06"/>
    <w:rsid w:val="00682A17"/>
    <w:rsid w:val="00682B7D"/>
    <w:rsid w:val="00682DEF"/>
    <w:rsid w:val="00682F7E"/>
    <w:rsid w:val="00683058"/>
    <w:rsid w:val="006834CE"/>
    <w:rsid w:val="006836BD"/>
    <w:rsid w:val="006838CB"/>
    <w:rsid w:val="00683ADC"/>
    <w:rsid w:val="00683B19"/>
    <w:rsid w:val="00683B24"/>
    <w:rsid w:val="00683C1E"/>
    <w:rsid w:val="00683DC9"/>
    <w:rsid w:val="00683E20"/>
    <w:rsid w:val="00683E40"/>
    <w:rsid w:val="00683E72"/>
    <w:rsid w:val="006841BB"/>
    <w:rsid w:val="00684326"/>
    <w:rsid w:val="006843C4"/>
    <w:rsid w:val="0068445A"/>
    <w:rsid w:val="006845C5"/>
    <w:rsid w:val="00684673"/>
    <w:rsid w:val="0068472D"/>
    <w:rsid w:val="00684821"/>
    <w:rsid w:val="006848F7"/>
    <w:rsid w:val="00684973"/>
    <w:rsid w:val="00684986"/>
    <w:rsid w:val="00684BF3"/>
    <w:rsid w:val="00685178"/>
    <w:rsid w:val="0068569E"/>
    <w:rsid w:val="0068594A"/>
    <w:rsid w:val="00685B75"/>
    <w:rsid w:val="00685D24"/>
    <w:rsid w:val="00685EE1"/>
    <w:rsid w:val="0068620A"/>
    <w:rsid w:val="0068623C"/>
    <w:rsid w:val="00686395"/>
    <w:rsid w:val="0068643F"/>
    <w:rsid w:val="0068646D"/>
    <w:rsid w:val="00686493"/>
    <w:rsid w:val="0068660B"/>
    <w:rsid w:val="00686881"/>
    <w:rsid w:val="00686A4D"/>
    <w:rsid w:val="00686F5B"/>
    <w:rsid w:val="00687163"/>
    <w:rsid w:val="0068739C"/>
    <w:rsid w:val="00687410"/>
    <w:rsid w:val="006879FA"/>
    <w:rsid w:val="006902AC"/>
    <w:rsid w:val="006904FD"/>
    <w:rsid w:val="00690785"/>
    <w:rsid w:val="006909FA"/>
    <w:rsid w:val="00690B53"/>
    <w:rsid w:val="00690CD9"/>
    <w:rsid w:val="00690D78"/>
    <w:rsid w:val="00690D83"/>
    <w:rsid w:val="00690DE0"/>
    <w:rsid w:val="00690EC2"/>
    <w:rsid w:val="00690F7F"/>
    <w:rsid w:val="00690FBF"/>
    <w:rsid w:val="00690FC3"/>
    <w:rsid w:val="006912CF"/>
    <w:rsid w:val="00691324"/>
    <w:rsid w:val="00691404"/>
    <w:rsid w:val="0069140B"/>
    <w:rsid w:val="00691420"/>
    <w:rsid w:val="0069148D"/>
    <w:rsid w:val="0069178F"/>
    <w:rsid w:val="00691793"/>
    <w:rsid w:val="006917A2"/>
    <w:rsid w:val="00691A46"/>
    <w:rsid w:val="00691AF8"/>
    <w:rsid w:val="00691AFB"/>
    <w:rsid w:val="00691BB5"/>
    <w:rsid w:val="00691DFF"/>
    <w:rsid w:val="00691E3D"/>
    <w:rsid w:val="00691F07"/>
    <w:rsid w:val="00692261"/>
    <w:rsid w:val="00692296"/>
    <w:rsid w:val="006925A3"/>
    <w:rsid w:val="006925EA"/>
    <w:rsid w:val="0069263E"/>
    <w:rsid w:val="006927F0"/>
    <w:rsid w:val="00692A5C"/>
    <w:rsid w:val="00692C5C"/>
    <w:rsid w:val="00692D14"/>
    <w:rsid w:val="00692E4B"/>
    <w:rsid w:val="00693019"/>
    <w:rsid w:val="00693412"/>
    <w:rsid w:val="0069346B"/>
    <w:rsid w:val="00693699"/>
    <w:rsid w:val="0069372F"/>
    <w:rsid w:val="0069395B"/>
    <w:rsid w:val="00693F56"/>
    <w:rsid w:val="00694045"/>
    <w:rsid w:val="006943DD"/>
    <w:rsid w:val="00694485"/>
    <w:rsid w:val="00694544"/>
    <w:rsid w:val="00694788"/>
    <w:rsid w:val="00694A21"/>
    <w:rsid w:val="00694C4C"/>
    <w:rsid w:val="00694EB8"/>
    <w:rsid w:val="006950D6"/>
    <w:rsid w:val="006951EA"/>
    <w:rsid w:val="006951F9"/>
    <w:rsid w:val="00695473"/>
    <w:rsid w:val="00695867"/>
    <w:rsid w:val="0069595F"/>
    <w:rsid w:val="00695B0A"/>
    <w:rsid w:val="00695B3D"/>
    <w:rsid w:val="00695C5E"/>
    <w:rsid w:val="00695D7C"/>
    <w:rsid w:val="00695DDF"/>
    <w:rsid w:val="00696002"/>
    <w:rsid w:val="00696147"/>
    <w:rsid w:val="00696246"/>
    <w:rsid w:val="00696326"/>
    <w:rsid w:val="0069657C"/>
    <w:rsid w:val="006967D2"/>
    <w:rsid w:val="006967FA"/>
    <w:rsid w:val="00696911"/>
    <w:rsid w:val="006969B9"/>
    <w:rsid w:val="00696AA2"/>
    <w:rsid w:val="00696BD3"/>
    <w:rsid w:val="00696D31"/>
    <w:rsid w:val="0069707C"/>
    <w:rsid w:val="00697135"/>
    <w:rsid w:val="00697283"/>
    <w:rsid w:val="00697364"/>
    <w:rsid w:val="006973A5"/>
    <w:rsid w:val="00697422"/>
    <w:rsid w:val="0069742B"/>
    <w:rsid w:val="0069742D"/>
    <w:rsid w:val="0069782E"/>
    <w:rsid w:val="00697870"/>
    <w:rsid w:val="00697921"/>
    <w:rsid w:val="00697932"/>
    <w:rsid w:val="00697AA1"/>
    <w:rsid w:val="00697BE7"/>
    <w:rsid w:val="00697CB9"/>
    <w:rsid w:val="00697CEC"/>
    <w:rsid w:val="00697E3F"/>
    <w:rsid w:val="006A00D1"/>
    <w:rsid w:val="006A0137"/>
    <w:rsid w:val="006A0173"/>
    <w:rsid w:val="006A0331"/>
    <w:rsid w:val="006A0387"/>
    <w:rsid w:val="006A0565"/>
    <w:rsid w:val="006A0577"/>
    <w:rsid w:val="006A062F"/>
    <w:rsid w:val="006A082D"/>
    <w:rsid w:val="006A08F9"/>
    <w:rsid w:val="006A0910"/>
    <w:rsid w:val="006A10A7"/>
    <w:rsid w:val="006A1169"/>
    <w:rsid w:val="006A1384"/>
    <w:rsid w:val="006A1745"/>
    <w:rsid w:val="006A1750"/>
    <w:rsid w:val="006A1B04"/>
    <w:rsid w:val="006A1D59"/>
    <w:rsid w:val="006A1F48"/>
    <w:rsid w:val="006A232D"/>
    <w:rsid w:val="006A249A"/>
    <w:rsid w:val="006A25DE"/>
    <w:rsid w:val="006A2625"/>
    <w:rsid w:val="006A2953"/>
    <w:rsid w:val="006A2973"/>
    <w:rsid w:val="006A2B9C"/>
    <w:rsid w:val="006A2D77"/>
    <w:rsid w:val="006A2DC1"/>
    <w:rsid w:val="006A30B7"/>
    <w:rsid w:val="006A327B"/>
    <w:rsid w:val="006A39D2"/>
    <w:rsid w:val="006A3D17"/>
    <w:rsid w:val="006A3FEA"/>
    <w:rsid w:val="006A4191"/>
    <w:rsid w:val="006A455A"/>
    <w:rsid w:val="006A499C"/>
    <w:rsid w:val="006A4EAB"/>
    <w:rsid w:val="006A4FC5"/>
    <w:rsid w:val="006A544D"/>
    <w:rsid w:val="006A550C"/>
    <w:rsid w:val="006A56E8"/>
    <w:rsid w:val="006A5735"/>
    <w:rsid w:val="006A5737"/>
    <w:rsid w:val="006A5789"/>
    <w:rsid w:val="006A5B6E"/>
    <w:rsid w:val="006A5E32"/>
    <w:rsid w:val="006A615C"/>
    <w:rsid w:val="006A61D9"/>
    <w:rsid w:val="006A6345"/>
    <w:rsid w:val="006A6379"/>
    <w:rsid w:val="006A6441"/>
    <w:rsid w:val="006A64AD"/>
    <w:rsid w:val="006A64C6"/>
    <w:rsid w:val="006A64FB"/>
    <w:rsid w:val="006A6501"/>
    <w:rsid w:val="006A65AE"/>
    <w:rsid w:val="006A669D"/>
    <w:rsid w:val="006A686C"/>
    <w:rsid w:val="006A6C20"/>
    <w:rsid w:val="006A6D50"/>
    <w:rsid w:val="006A6DF0"/>
    <w:rsid w:val="006A6E70"/>
    <w:rsid w:val="006A6E76"/>
    <w:rsid w:val="006A70DB"/>
    <w:rsid w:val="006A71C9"/>
    <w:rsid w:val="006A725B"/>
    <w:rsid w:val="006A7434"/>
    <w:rsid w:val="006A74EF"/>
    <w:rsid w:val="006A7672"/>
    <w:rsid w:val="006A78FF"/>
    <w:rsid w:val="006A79EB"/>
    <w:rsid w:val="006A7B3C"/>
    <w:rsid w:val="006A7C49"/>
    <w:rsid w:val="006A7CA8"/>
    <w:rsid w:val="006A7CCD"/>
    <w:rsid w:val="006A7CEA"/>
    <w:rsid w:val="006A7F5E"/>
    <w:rsid w:val="006B001C"/>
    <w:rsid w:val="006B0068"/>
    <w:rsid w:val="006B0147"/>
    <w:rsid w:val="006B03FC"/>
    <w:rsid w:val="006B04DE"/>
    <w:rsid w:val="006B066F"/>
    <w:rsid w:val="006B0697"/>
    <w:rsid w:val="006B0846"/>
    <w:rsid w:val="006B0867"/>
    <w:rsid w:val="006B08BD"/>
    <w:rsid w:val="006B08D0"/>
    <w:rsid w:val="006B0C82"/>
    <w:rsid w:val="006B0D2C"/>
    <w:rsid w:val="006B0DC2"/>
    <w:rsid w:val="006B0F91"/>
    <w:rsid w:val="006B122C"/>
    <w:rsid w:val="006B1446"/>
    <w:rsid w:val="006B1633"/>
    <w:rsid w:val="006B1638"/>
    <w:rsid w:val="006B1660"/>
    <w:rsid w:val="006B170B"/>
    <w:rsid w:val="006B1790"/>
    <w:rsid w:val="006B1A9F"/>
    <w:rsid w:val="006B1DC7"/>
    <w:rsid w:val="006B1FC0"/>
    <w:rsid w:val="006B200B"/>
    <w:rsid w:val="006B2117"/>
    <w:rsid w:val="006B2146"/>
    <w:rsid w:val="006B22D0"/>
    <w:rsid w:val="006B23E8"/>
    <w:rsid w:val="006B2828"/>
    <w:rsid w:val="006B288B"/>
    <w:rsid w:val="006B2998"/>
    <w:rsid w:val="006B29B3"/>
    <w:rsid w:val="006B2EAE"/>
    <w:rsid w:val="006B2F11"/>
    <w:rsid w:val="006B30F8"/>
    <w:rsid w:val="006B339C"/>
    <w:rsid w:val="006B35D9"/>
    <w:rsid w:val="006B3615"/>
    <w:rsid w:val="006B37AC"/>
    <w:rsid w:val="006B3974"/>
    <w:rsid w:val="006B3A43"/>
    <w:rsid w:val="006B3AA1"/>
    <w:rsid w:val="006B3CE7"/>
    <w:rsid w:val="006B3E2B"/>
    <w:rsid w:val="006B3F07"/>
    <w:rsid w:val="006B3F2E"/>
    <w:rsid w:val="006B4074"/>
    <w:rsid w:val="006B40DA"/>
    <w:rsid w:val="006B4144"/>
    <w:rsid w:val="006B4157"/>
    <w:rsid w:val="006B41A8"/>
    <w:rsid w:val="006B425F"/>
    <w:rsid w:val="006B4295"/>
    <w:rsid w:val="006B435E"/>
    <w:rsid w:val="006B43AC"/>
    <w:rsid w:val="006B44F8"/>
    <w:rsid w:val="006B478C"/>
    <w:rsid w:val="006B4FEA"/>
    <w:rsid w:val="006B548F"/>
    <w:rsid w:val="006B55D3"/>
    <w:rsid w:val="006B55D7"/>
    <w:rsid w:val="006B5907"/>
    <w:rsid w:val="006B5948"/>
    <w:rsid w:val="006B5B7D"/>
    <w:rsid w:val="006B5D67"/>
    <w:rsid w:val="006B6296"/>
    <w:rsid w:val="006B6921"/>
    <w:rsid w:val="006B6AA0"/>
    <w:rsid w:val="006B6BAD"/>
    <w:rsid w:val="006B7155"/>
    <w:rsid w:val="006B71F6"/>
    <w:rsid w:val="006B721C"/>
    <w:rsid w:val="006B73B4"/>
    <w:rsid w:val="006B751C"/>
    <w:rsid w:val="006B757C"/>
    <w:rsid w:val="006B75F4"/>
    <w:rsid w:val="006B764E"/>
    <w:rsid w:val="006B7656"/>
    <w:rsid w:val="006B76A7"/>
    <w:rsid w:val="006B776C"/>
    <w:rsid w:val="006B7983"/>
    <w:rsid w:val="006B7A88"/>
    <w:rsid w:val="006B7C5F"/>
    <w:rsid w:val="006B7CFA"/>
    <w:rsid w:val="006B7DDD"/>
    <w:rsid w:val="006C0406"/>
    <w:rsid w:val="006C07A5"/>
    <w:rsid w:val="006C07B5"/>
    <w:rsid w:val="006C099A"/>
    <w:rsid w:val="006C0B64"/>
    <w:rsid w:val="006C0C25"/>
    <w:rsid w:val="006C0D99"/>
    <w:rsid w:val="006C0E33"/>
    <w:rsid w:val="006C0F23"/>
    <w:rsid w:val="006C0FA4"/>
    <w:rsid w:val="006C1310"/>
    <w:rsid w:val="006C13C0"/>
    <w:rsid w:val="006C15BA"/>
    <w:rsid w:val="006C16BE"/>
    <w:rsid w:val="006C16CE"/>
    <w:rsid w:val="006C1790"/>
    <w:rsid w:val="006C19B5"/>
    <w:rsid w:val="006C1A1B"/>
    <w:rsid w:val="006C1A81"/>
    <w:rsid w:val="006C1BBF"/>
    <w:rsid w:val="006C1EE0"/>
    <w:rsid w:val="006C21F3"/>
    <w:rsid w:val="006C2273"/>
    <w:rsid w:val="006C2367"/>
    <w:rsid w:val="006C245C"/>
    <w:rsid w:val="006C259E"/>
    <w:rsid w:val="006C2680"/>
    <w:rsid w:val="006C26EF"/>
    <w:rsid w:val="006C2939"/>
    <w:rsid w:val="006C2D68"/>
    <w:rsid w:val="006C2E5E"/>
    <w:rsid w:val="006C347F"/>
    <w:rsid w:val="006C35B0"/>
    <w:rsid w:val="006C3995"/>
    <w:rsid w:val="006C3E2C"/>
    <w:rsid w:val="006C3EE1"/>
    <w:rsid w:val="006C3F2F"/>
    <w:rsid w:val="006C3FC8"/>
    <w:rsid w:val="006C4163"/>
    <w:rsid w:val="006C4332"/>
    <w:rsid w:val="006C4367"/>
    <w:rsid w:val="006C4419"/>
    <w:rsid w:val="006C45BC"/>
    <w:rsid w:val="006C45E0"/>
    <w:rsid w:val="006C47AE"/>
    <w:rsid w:val="006C4958"/>
    <w:rsid w:val="006C497D"/>
    <w:rsid w:val="006C4A5F"/>
    <w:rsid w:val="006C4AD9"/>
    <w:rsid w:val="006C4ADC"/>
    <w:rsid w:val="006C4B70"/>
    <w:rsid w:val="006C4F7A"/>
    <w:rsid w:val="006C525D"/>
    <w:rsid w:val="006C5275"/>
    <w:rsid w:val="006C5389"/>
    <w:rsid w:val="006C53B9"/>
    <w:rsid w:val="006C55AB"/>
    <w:rsid w:val="006C584D"/>
    <w:rsid w:val="006C59EA"/>
    <w:rsid w:val="006C5A53"/>
    <w:rsid w:val="006C5AD5"/>
    <w:rsid w:val="006C5B48"/>
    <w:rsid w:val="006C5BF8"/>
    <w:rsid w:val="006C5D04"/>
    <w:rsid w:val="006C614B"/>
    <w:rsid w:val="006C62A0"/>
    <w:rsid w:val="006C6312"/>
    <w:rsid w:val="006C658F"/>
    <w:rsid w:val="006C6953"/>
    <w:rsid w:val="006C69D6"/>
    <w:rsid w:val="006C6A71"/>
    <w:rsid w:val="006C6B56"/>
    <w:rsid w:val="006C6D2D"/>
    <w:rsid w:val="006C6D51"/>
    <w:rsid w:val="006C6FF2"/>
    <w:rsid w:val="006C710A"/>
    <w:rsid w:val="006C72FF"/>
    <w:rsid w:val="006C74B1"/>
    <w:rsid w:val="006C75F7"/>
    <w:rsid w:val="006C7CDE"/>
    <w:rsid w:val="006C7D59"/>
    <w:rsid w:val="006C7DD7"/>
    <w:rsid w:val="006C7E3D"/>
    <w:rsid w:val="006C7EA1"/>
    <w:rsid w:val="006D0184"/>
    <w:rsid w:val="006D0190"/>
    <w:rsid w:val="006D01DB"/>
    <w:rsid w:val="006D02EC"/>
    <w:rsid w:val="006D038E"/>
    <w:rsid w:val="006D0408"/>
    <w:rsid w:val="006D0641"/>
    <w:rsid w:val="006D0BD5"/>
    <w:rsid w:val="006D0C72"/>
    <w:rsid w:val="006D1071"/>
    <w:rsid w:val="006D1261"/>
    <w:rsid w:val="006D1373"/>
    <w:rsid w:val="006D145E"/>
    <w:rsid w:val="006D1800"/>
    <w:rsid w:val="006D1EA9"/>
    <w:rsid w:val="006D1EF9"/>
    <w:rsid w:val="006D2190"/>
    <w:rsid w:val="006D2214"/>
    <w:rsid w:val="006D240B"/>
    <w:rsid w:val="006D2728"/>
    <w:rsid w:val="006D28F0"/>
    <w:rsid w:val="006D31A7"/>
    <w:rsid w:val="006D3519"/>
    <w:rsid w:val="006D368E"/>
    <w:rsid w:val="006D3B44"/>
    <w:rsid w:val="006D3B7C"/>
    <w:rsid w:val="006D3C59"/>
    <w:rsid w:val="006D3D26"/>
    <w:rsid w:val="006D3DA4"/>
    <w:rsid w:val="006D3E5E"/>
    <w:rsid w:val="006D3EE8"/>
    <w:rsid w:val="006D40AD"/>
    <w:rsid w:val="006D40B5"/>
    <w:rsid w:val="006D4382"/>
    <w:rsid w:val="006D46A6"/>
    <w:rsid w:val="006D4720"/>
    <w:rsid w:val="006D47A0"/>
    <w:rsid w:val="006D492B"/>
    <w:rsid w:val="006D4C2B"/>
    <w:rsid w:val="006D4D06"/>
    <w:rsid w:val="006D4D1B"/>
    <w:rsid w:val="006D4E09"/>
    <w:rsid w:val="006D516B"/>
    <w:rsid w:val="006D5204"/>
    <w:rsid w:val="006D5427"/>
    <w:rsid w:val="006D5438"/>
    <w:rsid w:val="006D548E"/>
    <w:rsid w:val="006D557A"/>
    <w:rsid w:val="006D56F9"/>
    <w:rsid w:val="006D5DCC"/>
    <w:rsid w:val="006D5F07"/>
    <w:rsid w:val="006D6582"/>
    <w:rsid w:val="006D65BD"/>
    <w:rsid w:val="006D679A"/>
    <w:rsid w:val="006D6AB2"/>
    <w:rsid w:val="006D6C73"/>
    <w:rsid w:val="006D6D40"/>
    <w:rsid w:val="006D6ECB"/>
    <w:rsid w:val="006D6F25"/>
    <w:rsid w:val="006D7396"/>
    <w:rsid w:val="006D7521"/>
    <w:rsid w:val="006D7539"/>
    <w:rsid w:val="006D77B8"/>
    <w:rsid w:val="006D77CD"/>
    <w:rsid w:val="006D77E3"/>
    <w:rsid w:val="006D781C"/>
    <w:rsid w:val="006D7836"/>
    <w:rsid w:val="006D79E5"/>
    <w:rsid w:val="006D7BBB"/>
    <w:rsid w:val="006D7E66"/>
    <w:rsid w:val="006D7F5C"/>
    <w:rsid w:val="006E0067"/>
    <w:rsid w:val="006E0584"/>
    <w:rsid w:val="006E060C"/>
    <w:rsid w:val="006E063E"/>
    <w:rsid w:val="006E0654"/>
    <w:rsid w:val="006E078E"/>
    <w:rsid w:val="006E099D"/>
    <w:rsid w:val="006E0E59"/>
    <w:rsid w:val="006E11CE"/>
    <w:rsid w:val="006E11FA"/>
    <w:rsid w:val="006E122B"/>
    <w:rsid w:val="006E1661"/>
    <w:rsid w:val="006E1674"/>
    <w:rsid w:val="006E16E4"/>
    <w:rsid w:val="006E171C"/>
    <w:rsid w:val="006E1829"/>
    <w:rsid w:val="006E1851"/>
    <w:rsid w:val="006E1D85"/>
    <w:rsid w:val="006E1D87"/>
    <w:rsid w:val="006E1E2B"/>
    <w:rsid w:val="006E1F14"/>
    <w:rsid w:val="006E2197"/>
    <w:rsid w:val="006E22A5"/>
    <w:rsid w:val="006E2373"/>
    <w:rsid w:val="006E2382"/>
    <w:rsid w:val="006E2702"/>
    <w:rsid w:val="006E2AE6"/>
    <w:rsid w:val="006E32BB"/>
    <w:rsid w:val="006E369A"/>
    <w:rsid w:val="006E3769"/>
    <w:rsid w:val="006E38E4"/>
    <w:rsid w:val="006E3AF9"/>
    <w:rsid w:val="006E3BBA"/>
    <w:rsid w:val="006E3D0E"/>
    <w:rsid w:val="006E3DC8"/>
    <w:rsid w:val="006E3DC9"/>
    <w:rsid w:val="006E4145"/>
    <w:rsid w:val="006E4440"/>
    <w:rsid w:val="006E44AE"/>
    <w:rsid w:val="006E48FC"/>
    <w:rsid w:val="006E49D2"/>
    <w:rsid w:val="006E4A50"/>
    <w:rsid w:val="006E4A98"/>
    <w:rsid w:val="006E4E9E"/>
    <w:rsid w:val="006E506D"/>
    <w:rsid w:val="006E5115"/>
    <w:rsid w:val="006E5129"/>
    <w:rsid w:val="006E531A"/>
    <w:rsid w:val="006E566E"/>
    <w:rsid w:val="006E579C"/>
    <w:rsid w:val="006E58EA"/>
    <w:rsid w:val="006E5A20"/>
    <w:rsid w:val="006E5B8F"/>
    <w:rsid w:val="006E5C22"/>
    <w:rsid w:val="006E5C41"/>
    <w:rsid w:val="006E5CB7"/>
    <w:rsid w:val="006E5F37"/>
    <w:rsid w:val="006E5FBE"/>
    <w:rsid w:val="006E6045"/>
    <w:rsid w:val="006E60AD"/>
    <w:rsid w:val="006E6171"/>
    <w:rsid w:val="006E6205"/>
    <w:rsid w:val="006E62E0"/>
    <w:rsid w:val="006E6685"/>
    <w:rsid w:val="006E68EB"/>
    <w:rsid w:val="006E69E3"/>
    <w:rsid w:val="006E6C2F"/>
    <w:rsid w:val="006E6CFC"/>
    <w:rsid w:val="006E6D0E"/>
    <w:rsid w:val="006E7057"/>
    <w:rsid w:val="006E7156"/>
    <w:rsid w:val="006E72D1"/>
    <w:rsid w:val="006E7358"/>
    <w:rsid w:val="006E74AE"/>
    <w:rsid w:val="006E7667"/>
    <w:rsid w:val="006E7A87"/>
    <w:rsid w:val="006E7E1B"/>
    <w:rsid w:val="006E7E5F"/>
    <w:rsid w:val="006E7EA6"/>
    <w:rsid w:val="006E7EE1"/>
    <w:rsid w:val="006E7EEE"/>
    <w:rsid w:val="006F000E"/>
    <w:rsid w:val="006F0055"/>
    <w:rsid w:val="006F0370"/>
    <w:rsid w:val="006F045A"/>
    <w:rsid w:val="006F05DA"/>
    <w:rsid w:val="006F08BC"/>
    <w:rsid w:val="006F0AA5"/>
    <w:rsid w:val="006F0B96"/>
    <w:rsid w:val="006F0E8E"/>
    <w:rsid w:val="006F10E8"/>
    <w:rsid w:val="006F122E"/>
    <w:rsid w:val="006F16D2"/>
    <w:rsid w:val="006F1723"/>
    <w:rsid w:val="006F1781"/>
    <w:rsid w:val="006F1792"/>
    <w:rsid w:val="006F18CB"/>
    <w:rsid w:val="006F1A85"/>
    <w:rsid w:val="006F1B94"/>
    <w:rsid w:val="006F1D83"/>
    <w:rsid w:val="006F1DA7"/>
    <w:rsid w:val="006F1DBC"/>
    <w:rsid w:val="006F1DFB"/>
    <w:rsid w:val="006F1EB5"/>
    <w:rsid w:val="006F1FF5"/>
    <w:rsid w:val="006F2051"/>
    <w:rsid w:val="006F2086"/>
    <w:rsid w:val="006F210D"/>
    <w:rsid w:val="006F2221"/>
    <w:rsid w:val="006F2369"/>
    <w:rsid w:val="006F2448"/>
    <w:rsid w:val="006F26D3"/>
    <w:rsid w:val="006F27D5"/>
    <w:rsid w:val="006F28A5"/>
    <w:rsid w:val="006F28EC"/>
    <w:rsid w:val="006F2912"/>
    <w:rsid w:val="006F2946"/>
    <w:rsid w:val="006F29F2"/>
    <w:rsid w:val="006F2C5C"/>
    <w:rsid w:val="006F2CB0"/>
    <w:rsid w:val="006F2CC9"/>
    <w:rsid w:val="006F30F1"/>
    <w:rsid w:val="006F31F8"/>
    <w:rsid w:val="006F3251"/>
    <w:rsid w:val="006F333E"/>
    <w:rsid w:val="006F345C"/>
    <w:rsid w:val="006F3561"/>
    <w:rsid w:val="006F35F5"/>
    <w:rsid w:val="006F3654"/>
    <w:rsid w:val="006F384B"/>
    <w:rsid w:val="006F385D"/>
    <w:rsid w:val="006F387F"/>
    <w:rsid w:val="006F3A4A"/>
    <w:rsid w:val="006F3DB0"/>
    <w:rsid w:val="006F3F2F"/>
    <w:rsid w:val="006F4067"/>
    <w:rsid w:val="006F41E4"/>
    <w:rsid w:val="006F4444"/>
    <w:rsid w:val="006F44A9"/>
    <w:rsid w:val="006F472E"/>
    <w:rsid w:val="006F4A58"/>
    <w:rsid w:val="006F4AB6"/>
    <w:rsid w:val="006F4AF2"/>
    <w:rsid w:val="006F4B1B"/>
    <w:rsid w:val="006F4B27"/>
    <w:rsid w:val="006F4BB6"/>
    <w:rsid w:val="006F4D0A"/>
    <w:rsid w:val="006F4DC7"/>
    <w:rsid w:val="006F507D"/>
    <w:rsid w:val="006F53D5"/>
    <w:rsid w:val="006F5618"/>
    <w:rsid w:val="006F580C"/>
    <w:rsid w:val="006F58AD"/>
    <w:rsid w:val="006F5979"/>
    <w:rsid w:val="006F59FA"/>
    <w:rsid w:val="006F5A3F"/>
    <w:rsid w:val="006F5B4D"/>
    <w:rsid w:val="006F6286"/>
    <w:rsid w:val="006F62FE"/>
    <w:rsid w:val="006F664C"/>
    <w:rsid w:val="006F6A21"/>
    <w:rsid w:val="006F6B74"/>
    <w:rsid w:val="006F6C9C"/>
    <w:rsid w:val="006F6CD2"/>
    <w:rsid w:val="006F6CE1"/>
    <w:rsid w:val="006F6DE5"/>
    <w:rsid w:val="006F6F91"/>
    <w:rsid w:val="006F717B"/>
    <w:rsid w:val="006F74F6"/>
    <w:rsid w:val="006F760B"/>
    <w:rsid w:val="006F79EE"/>
    <w:rsid w:val="006F7B76"/>
    <w:rsid w:val="006F7BBF"/>
    <w:rsid w:val="006F7D17"/>
    <w:rsid w:val="006F7D8E"/>
    <w:rsid w:val="006F7F5B"/>
    <w:rsid w:val="006F7F5F"/>
    <w:rsid w:val="00700080"/>
    <w:rsid w:val="0070036E"/>
    <w:rsid w:val="007003A2"/>
    <w:rsid w:val="007004B0"/>
    <w:rsid w:val="00700720"/>
    <w:rsid w:val="00700957"/>
    <w:rsid w:val="00700B44"/>
    <w:rsid w:val="00700B67"/>
    <w:rsid w:val="00700C72"/>
    <w:rsid w:val="00700CAC"/>
    <w:rsid w:val="00700D25"/>
    <w:rsid w:val="00701209"/>
    <w:rsid w:val="00701270"/>
    <w:rsid w:val="00701403"/>
    <w:rsid w:val="0070162D"/>
    <w:rsid w:val="007016F5"/>
    <w:rsid w:val="00701974"/>
    <w:rsid w:val="00701B52"/>
    <w:rsid w:val="00701C78"/>
    <w:rsid w:val="00701DBA"/>
    <w:rsid w:val="00701ECE"/>
    <w:rsid w:val="00702192"/>
    <w:rsid w:val="007021A2"/>
    <w:rsid w:val="00702208"/>
    <w:rsid w:val="00702215"/>
    <w:rsid w:val="0070235A"/>
    <w:rsid w:val="007023A2"/>
    <w:rsid w:val="00702615"/>
    <w:rsid w:val="00702A19"/>
    <w:rsid w:val="00702A51"/>
    <w:rsid w:val="00702A8B"/>
    <w:rsid w:val="00702B53"/>
    <w:rsid w:val="00702BF9"/>
    <w:rsid w:val="00702CA3"/>
    <w:rsid w:val="00702F72"/>
    <w:rsid w:val="0070304E"/>
    <w:rsid w:val="0070310D"/>
    <w:rsid w:val="0070341B"/>
    <w:rsid w:val="007035DF"/>
    <w:rsid w:val="00703607"/>
    <w:rsid w:val="00703623"/>
    <w:rsid w:val="0070370E"/>
    <w:rsid w:val="00703A36"/>
    <w:rsid w:val="00703AA0"/>
    <w:rsid w:val="00703E51"/>
    <w:rsid w:val="00703E65"/>
    <w:rsid w:val="00703F07"/>
    <w:rsid w:val="00703FB4"/>
    <w:rsid w:val="00703FFD"/>
    <w:rsid w:val="00704267"/>
    <w:rsid w:val="00704335"/>
    <w:rsid w:val="0070436A"/>
    <w:rsid w:val="00704406"/>
    <w:rsid w:val="0070469C"/>
    <w:rsid w:val="007047C2"/>
    <w:rsid w:val="00704C08"/>
    <w:rsid w:val="00704DD2"/>
    <w:rsid w:val="00704ED8"/>
    <w:rsid w:val="007050F9"/>
    <w:rsid w:val="007052DE"/>
    <w:rsid w:val="0070543C"/>
    <w:rsid w:val="0070545C"/>
    <w:rsid w:val="007054BC"/>
    <w:rsid w:val="00705529"/>
    <w:rsid w:val="00705EA7"/>
    <w:rsid w:val="007060B5"/>
    <w:rsid w:val="0070623E"/>
    <w:rsid w:val="00706247"/>
    <w:rsid w:val="007062E1"/>
    <w:rsid w:val="00706366"/>
    <w:rsid w:val="007065D2"/>
    <w:rsid w:val="007065EC"/>
    <w:rsid w:val="00706761"/>
    <w:rsid w:val="00706767"/>
    <w:rsid w:val="007069E4"/>
    <w:rsid w:val="00706B83"/>
    <w:rsid w:val="00706CD8"/>
    <w:rsid w:val="00706D5E"/>
    <w:rsid w:val="00706DA5"/>
    <w:rsid w:val="00706E61"/>
    <w:rsid w:val="007070FC"/>
    <w:rsid w:val="007071A1"/>
    <w:rsid w:val="007071B1"/>
    <w:rsid w:val="00707268"/>
    <w:rsid w:val="0070732C"/>
    <w:rsid w:val="00707502"/>
    <w:rsid w:val="0070756A"/>
    <w:rsid w:val="00707662"/>
    <w:rsid w:val="007076C6"/>
    <w:rsid w:val="007077B5"/>
    <w:rsid w:val="00707C71"/>
    <w:rsid w:val="00707D15"/>
    <w:rsid w:val="00707E11"/>
    <w:rsid w:val="00710316"/>
    <w:rsid w:val="00710435"/>
    <w:rsid w:val="007106A9"/>
    <w:rsid w:val="00710A02"/>
    <w:rsid w:val="00710AE3"/>
    <w:rsid w:val="00710B2E"/>
    <w:rsid w:val="00710BDD"/>
    <w:rsid w:val="00710DAC"/>
    <w:rsid w:val="00710F35"/>
    <w:rsid w:val="00710F68"/>
    <w:rsid w:val="0071112E"/>
    <w:rsid w:val="007114B9"/>
    <w:rsid w:val="00711569"/>
    <w:rsid w:val="00711703"/>
    <w:rsid w:val="0071176B"/>
    <w:rsid w:val="00711B29"/>
    <w:rsid w:val="00711BE6"/>
    <w:rsid w:val="00711C5A"/>
    <w:rsid w:val="00711F07"/>
    <w:rsid w:val="00711F39"/>
    <w:rsid w:val="0071224A"/>
    <w:rsid w:val="00712376"/>
    <w:rsid w:val="00712410"/>
    <w:rsid w:val="00712514"/>
    <w:rsid w:val="00712818"/>
    <w:rsid w:val="00712CC9"/>
    <w:rsid w:val="00712DAE"/>
    <w:rsid w:val="007130C9"/>
    <w:rsid w:val="00713289"/>
    <w:rsid w:val="0071328D"/>
    <w:rsid w:val="007132D6"/>
    <w:rsid w:val="0071364D"/>
    <w:rsid w:val="007136DD"/>
    <w:rsid w:val="00713992"/>
    <w:rsid w:val="00713A74"/>
    <w:rsid w:val="00713B55"/>
    <w:rsid w:val="00713B92"/>
    <w:rsid w:val="00713F20"/>
    <w:rsid w:val="00714096"/>
    <w:rsid w:val="007140AD"/>
    <w:rsid w:val="00714189"/>
    <w:rsid w:val="007141D6"/>
    <w:rsid w:val="00714361"/>
    <w:rsid w:val="00714376"/>
    <w:rsid w:val="007148C9"/>
    <w:rsid w:val="00714A06"/>
    <w:rsid w:val="00714DFB"/>
    <w:rsid w:val="00714E19"/>
    <w:rsid w:val="00714F13"/>
    <w:rsid w:val="00715137"/>
    <w:rsid w:val="00715286"/>
    <w:rsid w:val="00715322"/>
    <w:rsid w:val="00715618"/>
    <w:rsid w:val="00715633"/>
    <w:rsid w:val="0071573D"/>
    <w:rsid w:val="00715809"/>
    <w:rsid w:val="00715847"/>
    <w:rsid w:val="00715868"/>
    <w:rsid w:val="00715882"/>
    <w:rsid w:val="0071590B"/>
    <w:rsid w:val="007159E2"/>
    <w:rsid w:val="007159ED"/>
    <w:rsid w:val="00715B8B"/>
    <w:rsid w:val="00715D8B"/>
    <w:rsid w:val="00716518"/>
    <w:rsid w:val="00716BD4"/>
    <w:rsid w:val="00716C73"/>
    <w:rsid w:val="00716CD9"/>
    <w:rsid w:val="00716CE9"/>
    <w:rsid w:val="00716E0F"/>
    <w:rsid w:val="007171A2"/>
    <w:rsid w:val="00717321"/>
    <w:rsid w:val="007175FD"/>
    <w:rsid w:val="00717665"/>
    <w:rsid w:val="0071769A"/>
    <w:rsid w:val="0071772E"/>
    <w:rsid w:val="0071776E"/>
    <w:rsid w:val="00717A2D"/>
    <w:rsid w:val="00717C0A"/>
    <w:rsid w:val="00717C81"/>
    <w:rsid w:val="00717D7F"/>
    <w:rsid w:val="00717E62"/>
    <w:rsid w:val="00717E7F"/>
    <w:rsid w:val="00717FB9"/>
    <w:rsid w:val="0072015C"/>
    <w:rsid w:val="00720162"/>
    <w:rsid w:val="007202B2"/>
    <w:rsid w:val="007203BE"/>
    <w:rsid w:val="007203C8"/>
    <w:rsid w:val="007204CC"/>
    <w:rsid w:val="007204DA"/>
    <w:rsid w:val="007205DC"/>
    <w:rsid w:val="00720673"/>
    <w:rsid w:val="0072069E"/>
    <w:rsid w:val="00720835"/>
    <w:rsid w:val="007208BF"/>
    <w:rsid w:val="007209B0"/>
    <w:rsid w:val="00720B47"/>
    <w:rsid w:val="00720BB6"/>
    <w:rsid w:val="00720D68"/>
    <w:rsid w:val="00720DBF"/>
    <w:rsid w:val="00720E20"/>
    <w:rsid w:val="00720F09"/>
    <w:rsid w:val="0072111E"/>
    <w:rsid w:val="00721138"/>
    <w:rsid w:val="00721525"/>
    <w:rsid w:val="00721624"/>
    <w:rsid w:val="007217D1"/>
    <w:rsid w:val="007217F7"/>
    <w:rsid w:val="0072187B"/>
    <w:rsid w:val="007218DB"/>
    <w:rsid w:val="00721AD7"/>
    <w:rsid w:val="00721BA6"/>
    <w:rsid w:val="00721F47"/>
    <w:rsid w:val="00722081"/>
    <w:rsid w:val="0072212E"/>
    <w:rsid w:val="00722428"/>
    <w:rsid w:val="007227B8"/>
    <w:rsid w:val="00722AFF"/>
    <w:rsid w:val="00722B1E"/>
    <w:rsid w:val="00722BCB"/>
    <w:rsid w:val="00722EB2"/>
    <w:rsid w:val="00722F52"/>
    <w:rsid w:val="00723153"/>
    <w:rsid w:val="0072318F"/>
    <w:rsid w:val="007231D8"/>
    <w:rsid w:val="007231F5"/>
    <w:rsid w:val="00723450"/>
    <w:rsid w:val="00723481"/>
    <w:rsid w:val="007237BA"/>
    <w:rsid w:val="00723804"/>
    <w:rsid w:val="00723A58"/>
    <w:rsid w:val="00723B93"/>
    <w:rsid w:val="00723BB5"/>
    <w:rsid w:val="00723C17"/>
    <w:rsid w:val="00723C6B"/>
    <w:rsid w:val="00723FB3"/>
    <w:rsid w:val="00724018"/>
    <w:rsid w:val="0072404D"/>
    <w:rsid w:val="007241F7"/>
    <w:rsid w:val="0072420D"/>
    <w:rsid w:val="00724271"/>
    <w:rsid w:val="00724494"/>
    <w:rsid w:val="00724533"/>
    <w:rsid w:val="00724650"/>
    <w:rsid w:val="00724732"/>
    <w:rsid w:val="00724803"/>
    <w:rsid w:val="00724809"/>
    <w:rsid w:val="00724A40"/>
    <w:rsid w:val="00724ADF"/>
    <w:rsid w:val="00724C15"/>
    <w:rsid w:val="00724EB3"/>
    <w:rsid w:val="0072500A"/>
    <w:rsid w:val="0072501C"/>
    <w:rsid w:val="0072504C"/>
    <w:rsid w:val="00725420"/>
    <w:rsid w:val="0072565F"/>
    <w:rsid w:val="00725674"/>
    <w:rsid w:val="007257A9"/>
    <w:rsid w:val="007257D5"/>
    <w:rsid w:val="0072598A"/>
    <w:rsid w:val="00725B3D"/>
    <w:rsid w:val="00725C8B"/>
    <w:rsid w:val="007261CC"/>
    <w:rsid w:val="007262D2"/>
    <w:rsid w:val="00726340"/>
    <w:rsid w:val="00726370"/>
    <w:rsid w:val="007267BE"/>
    <w:rsid w:val="00726A5F"/>
    <w:rsid w:val="00726A65"/>
    <w:rsid w:val="00726BB8"/>
    <w:rsid w:val="00727099"/>
    <w:rsid w:val="00727405"/>
    <w:rsid w:val="007274B9"/>
    <w:rsid w:val="007275BA"/>
    <w:rsid w:val="00727715"/>
    <w:rsid w:val="0072771A"/>
    <w:rsid w:val="00727750"/>
    <w:rsid w:val="00727778"/>
    <w:rsid w:val="00727B55"/>
    <w:rsid w:val="00727C50"/>
    <w:rsid w:val="00727C96"/>
    <w:rsid w:val="00727CC7"/>
    <w:rsid w:val="00727D7D"/>
    <w:rsid w:val="00727DC5"/>
    <w:rsid w:val="00727DE2"/>
    <w:rsid w:val="00727DFD"/>
    <w:rsid w:val="00727EE1"/>
    <w:rsid w:val="007300E0"/>
    <w:rsid w:val="0073013D"/>
    <w:rsid w:val="00730379"/>
    <w:rsid w:val="007304A7"/>
    <w:rsid w:val="007309EC"/>
    <w:rsid w:val="00730A1F"/>
    <w:rsid w:val="00730C4C"/>
    <w:rsid w:val="00730C5E"/>
    <w:rsid w:val="00730D29"/>
    <w:rsid w:val="00730F5C"/>
    <w:rsid w:val="00730FF4"/>
    <w:rsid w:val="00731053"/>
    <w:rsid w:val="00731395"/>
    <w:rsid w:val="00731497"/>
    <w:rsid w:val="007314AB"/>
    <w:rsid w:val="00731570"/>
    <w:rsid w:val="007315B2"/>
    <w:rsid w:val="007316F2"/>
    <w:rsid w:val="00731992"/>
    <w:rsid w:val="00731C63"/>
    <w:rsid w:val="00731F84"/>
    <w:rsid w:val="007322A0"/>
    <w:rsid w:val="007325A2"/>
    <w:rsid w:val="0073269D"/>
    <w:rsid w:val="00732860"/>
    <w:rsid w:val="00732BF2"/>
    <w:rsid w:val="00733188"/>
    <w:rsid w:val="007331F6"/>
    <w:rsid w:val="00733322"/>
    <w:rsid w:val="00733400"/>
    <w:rsid w:val="007334DA"/>
    <w:rsid w:val="00733575"/>
    <w:rsid w:val="00733639"/>
    <w:rsid w:val="007338E1"/>
    <w:rsid w:val="00733A4F"/>
    <w:rsid w:val="00733C2E"/>
    <w:rsid w:val="00733E5E"/>
    <w:rsid w:val="00733E8C"/>
    <w:rsid w:val="00733EA7"/>
    <w:rsid w:val="00733FFE"/>
    <w:rsid w:val="007344DB"/>
    <w:rsid w:val="00734838"/>
    <w:rsid w:val="00734B6B"/>
    <w:rsid w:val="00734F92"/>
    <w:rsid w:val="0073516D"/>
    <w:rsid w:val="0073539A"/>
    <w:rsid w:val="0073552E"/>
    <w:rsid w:val="00735655"/>
    <w:rsid w:val="00735764"/>
    <w:rsid w:val="0073578E"/>
    <w:rsid w:val="007358ED"/>
    <w:rsid w:val="00735962"/>
    <w:rsid w:val="00735A0A"/>
    <w:rsid w:val="00735B59"/>
    <w:rsid w:val="00735C09"/>
    <w:rsid w:val="00735CC3"/>
    <w:rsid w:val="00735E7B"/>
    <w:rsid w:val="00735E87"/>
    <w:rsid w:val="00736014"/>
    <w:rsid w:val="00736149"/>
    <w:rsid w:val="00736191"/>
    <w:rsid w:val="007366AD"/>
    <w:rsid w:val="00736729"/>
    <w:rsid w:val="0073681D"/>
    <w:rsid w:val="007369A3"/>
    <w:rsid w:val="00736C57"/>
    <w:rsid w:val="00736CE3"/>
    <w:rsid w:val="00736D47"/>
    <w:rsid w:val="00736EB0"/>
    <w:rsid w:val="00736FBC"/>
    <w:rsid w:val="0073700E"/>
    <w:rsid w:val="007376FF"/>
    <w:rsid w:val="00737756"/>
    <w:rsid w:val="007378A7"/>
    <w:rsid w:val="00737A09"/>
    <w:rsid w:val="00737A6C"/>
    <w:rsid w:val="00737B3E"/>
    <w:rsid w:val="00737B87"/>
    <w:rsid w:val="00737BA8"/>
    <w:rsid w:val="00737DB9"/>
    <w:rsid w:val="00737FE2"/>
    <w:rsid w:val="00740137"/>
    <w:rsid w:val="007405AE"/>
    <w:rsid w:val="00740639"/>
    <w:rsid w:val="00740651"/>
    <w:rsid w:val="007408ED"/>
    <w:rsid w:val="00740906"/>
    <w:rsid w:val="00740A23"/>
    <w:rsid w:val="00740C4D"/>
    <w:rsid w:val="00740C97"/>
    <w:rsid w:val="00740D79"/>
    <w:rsid w:val="00740FBE"/>
    <w:rsid w:val="007410CF"/>
    <w:rsid w:val="007411BF"/>
    <w:rsid w:val="00741244"/>
    <w:rsid w:val="0074141E"/>
    <w:rsid w:val="0074147F"/>
    <w:rsid w:val="00741485"/>
    <w:rsid w:val="0074156A"/>
    <w:rsid w:val="007418C2"/>
    <w:rsid w:val="007418DB"/>
    <w:rsid w:val="0074190B"/>
    <w:rsid w:val="0074192A"/>
    <w:rsid w:val="0074192D"/>
    <w:rsid w:val="0074195B"/>
    <w:rsid w:val="007419A8"/>
    <w:rsid w:val="007419F8"/>
    <w:rsid w:val="00741BB8"/>
    <w:rsid w:val="00742463"/>
    <w:rsid w:val="007425EC"/>
    <w:rsid w:val="007425F7"/>
    <w:rsid w:val="00742677"/>
    <w:rsid w:val="00742945"/>
    <w:rsid w:val="00742A34"/>
    <w:rsid w:val="00742FBF"/>
    <w:rsid w:val="007431D7"/>
    <w:rsid w:val="00743855"/>
    <w:rsid w:val="007439DD"/>
    <w:rsid w:val="00743A1A"/>
    <w:rsid w:val="00743A75"/>
    <w:rsid w:val="00743B0D"/>
    <w:rsid w:val="00743C4B"/>
    <w:rsid w:val="00743D1C"/>
    <w:rsid w:val="007445E9"/>
    <w:rsid w:val="007446AB"/>
    <w:rsid w:val="00744775"/>
    <w:rsid w:val="00744893"/>
    <w:rsid w:val="00744CC3"/>
    <w:rsid w:val="00744DA2"/>
    <w:rsid w:val="00744DD1"/>
    <w:rsid w:val="00744ED5"/>
    <w:rsid w:val="0074512A"/>
    <w:rsid w:val="007452B5"/>
    <w:rsid w:val="00745434"/>
    <w:rsid w:val="00745734"/>
    <w:rsid w:val="0074577E"/>
    <w:rsid w:val="0074578C"/>
    <w:rsid w:val="0074585A"/>
    <w:rsid w:val="00745A34"/>
    <w:rsid w:val="00745AB4"/>
    <w:rsid w:val="00745DE1"/>
    <w:rsid w:val="00746005"/>
    <w:rsid w:val="0074611E"/>
    <w:rsid w:val="00746153"/>
    <w:rsid w:val="0074653A"/>
    <w:rsid w:val="00746701"/>
    <w:rsid w:val="00746826"/>
    <w:rsid w:val="007468E2"/>
    <w:rsid w:val="00746AD1"/>
    <w:rsid w:val="00746B3A"/>
    <w:rsid w:val="00746CE5"/>
    <w:rsid w:val="00746E03"/>
    <w:rsid w:val="00746E87"/>
    <w:rsid w:val="00746F80"/>
    <w:rsid w:val="0074716E"/>
    <w:rsid w:val="00747309"/>
    <w:rsid w:val="0074739F"/>
    <w:rsid w:val="007476A1"/>
    <w:rsid w:val="00747797"/>
    <w:rsid w:val="007477DA"/>
    <w:rsid w:val="00747CE2"/>
    <w:rsid w:val="00747D60"/>
    <w:rsid w:val="00747E2C"/>
    <w:rsid w:val="00747EF2"/>
    <w:rsid w:val="00747FD7"/>
    <w:rsid w:val="00750275"/>
    <w:rsid w:val="00750354"/>
    <w:rsid w:val="007503DE"/>
    <w:rsid w:val="007503E6"/>
    <w:rsid w:val="0075079E"/>
    <w:rsid w:val="007507F3"/>
    <w:rsid w:val="00750846"/>
    <w:rsid w:val="00750A37"/>
    <w:rsid w:val="00750A7F"/>
    <w:rsid w:val="00750CEE"/>
    <w:rsid w:val="00750D70"/>
    <w:rsid w:val="00750DFF"/>
    <w:rsid w:val="00750EFD"/>
    <w:rsid w:val="00750FC6"/>
    <w:rsid w:val="007510D4"/>
    <w:rsid w:val="00751350"/>
    <w:rsid w:val="007513F7"/>
    <w:rsid w:val="0075150D"/>
    <w:rsid w:val="0075177B"/>
    <w:rsid w:val="0075186F"/>
    <w:rsid w:val="00751ABE"/>
    <w:rsid w:val="00751AE8"/>
    <w:rsid w:val="00751BF9"/>
    <w:rsid w:val="00751C9E"/>
    <w:rsid w:val="00751DA6"/>
    <w:rsid w:val="00751DC3"/>
    <w:rsid w:val="00751DFC"/>
    <w:rsid w:val="007522F2"/>
    <w:rsid w:val="00752717"/>
    <w:rsid w:val="00752C7A"/>
    <w:rsid w:val="00752D90"/>
    <w:rsid w:val="00753057"/>
    <w:rsid w:val="007531EC"/>
    <w:rsid w:val="00753220"/>
    <w:rsid w:val="007532F2"/>
    <w:rsid w:val="00753358"/>
    <w:rsid w:val="007537FF"/>
    <w:rsid w:val="00753894"/>
    <w:rsid w:val="00753AA3"/>
    <w:rsid w:val="00753B31"/>
    <w:rsid w:val="00753C03"/>
    <w:rsid w:val="00753DC1"/>
    <w:rsid w:val="00753E33"/>
    <w:rsid w:val="00753F53"/>
    <w:rsid w:val="0075420B"/>
    <w:rsid w:val="0075440A"/>
    <w:rsid w:val="007548D1"/>
    <w:rsid w:val="007549FF"/>
    <w:rsid w:val="00754A6A"/>
    <w:rsid w:val="00754E45"/>
    <w:rsid w:val="007551B5"/>
    <w:rsid w:val="00755381"/>
    <w:rsid w:val="007553CC"/>
    <w:rsid w:val="0075553D"/>
    <w:rsid w:val="00755544"/>
    <w:rsid w:val="007556AA"/>
    <w:rsid w:val="00755702"/>
    <w:rsid w:val="007559D5"/>
    <w:rsid w:val="00755C72"/>
    <w:rsid w:val="00755DF1"/>
    <w:rsid w:val="00755EFD"/>
    <w:rsid w:val="00755F06"/>
    <w:rsid w:val="0075615F"/>
    <w:rsid w:val="0075618E"/>
    <w:rsid w:val="007561E3"/>
    <w:rsid w:val="007561FE"/>
    <w:rsid w:val="00756269"/>
    <w:rsid w:val="0075650E"/>
    <w:rsid w:val="0075668C"/>
    <w:rsid w:val="00756A19"/>
    <w:rsid w:val="00756BB7"/>
    <w:rsid w:val="00756CC6"/>
    <w:rsid w:val="0075726E"/>
    <w:rsid w:val="007573A2"/>
    <w:rsid w:val="007574D7"/>
    <w:rsid w:val="007575A7"/>
    <w:rsid w:val="007575AE"/>
    <w:rsid w:val="00757832"/>
    <w:rsid w:val="00757BB6"/>
    <w:rsid w:val="00757BBA"/>
    <w:rsid w:val="00760085"/>
    <w:rsid w:val="0076008B"/>
    <w:rsid w:val="007601DA"/>
    <w:rsid w:val="007601EE"/>
    <w:rsid w:val="0076021E"/>
    <w:rsid w:val="007604B1"/>
    <w:rsid w:val="007605CE"/>
    <w:rsid w:val="00760789"/>
    <w:rsid w:val="00760858"/>
    <w:rsid w:val="007608A1"/>
    <w:rsid w:val="007609EC"/>
    <w:rsid w:val="00760A8B"/>
    <w:rsid w:val="00760C0C"/>
    <w:rsid w:val="00760CBA"/>
    <w:rsid w:val="00760D7B"/>
    <w:rsid w:val="00760DC7"/>
    <w:rsid w:val="007610B6"/>
    <w:rsid w:val="00761138"/>
    <w:rsid w:val="00761212"/>
    <w:rsid w:val="0076122A"/>
    <w:rsid w:val="0076127B"/>
    <w:rsid w:val="007612F2"/>
    <w:rsid w:val="0076131F"/>
    <w:rsid w:val="007615B0"/>
    <w:rsid w:val="007616AF"/>
    <w:rsid w:val="00761800"/>
    <w:rsid w:val="0076185A"/>
    <w:rsid w:val="00761877"/>
    <w:rsid w:val="00761B3D"/>
    <w:rsid w:val="00761C2E"/>
    <w:rsid w:val="00761C37"/>
    <w:rsid w:val="00761CF7"/>
    <w:rsid w:val="00761E6D"/>
    <w:rsid w:val="00761F22"/>
    <w:rsid w:val="00761F48"/>
    <w:rsid w:val="007620A6"/>
    <w:rsid w:val="007621C0"/>
    <w:rsid w:val="00762331"/>
    <w:rsid w:val="00762575"/>
    <w:rsid w:val="00762694"/>
    <w:rsid w:val="007629F5"/>
    <w:rsid w:val="00762A19"/>
    <w:rsid w:val="00762B29"/>
    <w:rsid w:val="00762B8D"/>
    <w:rsid w:val="00762D58"/>
    <w:rsid w:val="00762FBE"/>
    <w:rsid w:val="00763038"/>
    <w:rsid w:val="007631D4"/>
    <w:rsid w:val="007636A8"/>
    <w:rsid w:val="0076387B"/>
    <w:rsid w:val="007639C5"/>
    <w:rsid w:val="00763A43"/>
    <w:rsid w:val="00763C58"/>
    <w:rsid w:val="0076426E"/>
    <w:rsid w:val="00764677"/>
    <w:rsid w:val="0076477B"/>
    <w:rsid w:val="00764CAE"/>
    <w:rsid w:val="00764E5B"/>
    <w:rsid w:val="00764EA5"/>
    <w:rsid w:val="0076517E"/>
    <w:rsid w:val="00765461"/>
    <w:rsid w:val="007654FE"/>
    <w:rsid w:val="007656A2"/>
    <w:rsid w:val="00765776"/>
    <w:rsid w:val="00765778"/>
    <w:rsid w:val="007659EA"/>
    <w:rsid w:val="00765A3F"/>
    <w:rsid w:val="00765B19"/>
    <w:rsid w:val="00765FAD"/>
    <w:rsid w:val="007660F2"/>
    <w:rsid w:val="0076617B"/>
    <w:rsid w:val="007662AE"/>
    <w:rsid w:val="007662F8"/>
    <w:rsid w:val="007663B8"/>
    <w:rsid w:val="007668F7"/>
    <w:rsid w:val="00766A6E"/>
    <w:rsid w:val="00766B90"/>
    <w:rsid w:val="00766E85"/>
    <w:rsid w:val="00766EFE"/>
    <w:rsid w:val="00766F27"/>
    <w:rsid w:val="00766F89"/>
    <w:rsid w:val="00767174"/>
    <w:rsid w:val="007672C3"/>
    <w:rsid w:val="007672FC"/>
    <w:rsid w:val="00767341"/>
    <w:rsid w:val="0076757F"/>
    <w:rsid w:val="00767997"/>
    <w:rsid w:val="00767C71"/>
    <w:rsid w:val="00767E97"/>
    <w:rsid w:val="00770027"/>
    <w:rsid w:val="007701F6"/>
    <w:rsid w:val="0077022C"/>
    <w:rsid w:val="0077056C"/>
    <w:rsid w:val="00770ADE"/>
    <w:rsid w:val="00770C3F"/>
    <w:rsid w:val="00770D28"/>
    <w:rsid w:val="00770D61"/>
    <w:rsid w:val="00771147"/>
    <w:rsid w:val="007711F3"/>
    <w:rsid w:val="00771265"/>
    <w:rsid w:val="0077130F"/>
    <w:rsid w:val="007718F1"/>
    <w:rsid w:val="00771A04"/>
    <w:rsid w:val="00771AEA"/>
    <w:rsid w:val="00771C1A"/>
    <w:rsid w:val="00771D79"/>
    <w:rsid w:val="00771E72"/>
    <w:rsid w:val="007721C3"/>
    <w:rsid w:val="00772269"/>
    <w:rsid w:val="007725D9"/>
    <w:rsid w:val="0077288A"/>
    <w:rsid w:val="0077293B"/>
    <w:rsid w:val="00772A36"/>
    <w:rsid w:val="00772A55"/>
    <w:rsid w:val="00772CF4"/>
    <w:rsid w:val="00772D10"/>
    <w:rsid w:val="00772EF4"/>
    <w:rsid w:val="00772F1F"/>
    <w:rsid w:val="00772F3E"/>
    <w:rsid w:val="0077357E"/>
    <w:rsid w:val="007736C4"/>
    <w:rsid w:val="007736CA"/>
    <w:rsid w:val="0077372F"/>
    <w:rsid w:val="0077389E"/>
    <w:rsid w:val="007738E0"/>
    <w:rsid w:val="00773B6E"/>
    <w:rsid w:val="00773D38"/>
    <w:rsid w:val="007740E1"/>
    <w:rsid w:val="007742AE"/>
    <w:rsid w:val="00774307"/>
    <w:rsid w:val="0077445D"/>
    <w:rsid w:val="007744D7"/>
    <w:rsid w:val="00774604"/>
    <w:rsid w:val="00774716"/>
    <w:rsid w:val="007747C4"/>
    <w:rsid w:val="0077498E"/>
    <w:rsid w:val="00774AA2"/>
    <w:rsid w:val="00774F31"/>
    <w:rsid w:val="00775078"/>
    <w:rsid w:val="00775179"/>
    <w:rsid w:val="00775358"/>
    <w:rsid w:val="0077540B"/>
    <w:rsid w:val="00775521"/>
    <w:rsid w:val="007755FB"/>
    <w:rsid w:val="00775749"/>
    <w:rsid w:val="0077585E"/>
    <w:rsid w:val="007758CA"/>
    <w:rsid w:val="007759D0"/>
    <w:rsid w:val="00775AC9"/>
    <w:rsid w:val="00775CFF"/>
    <w:rsid w:val="00775E9E"/>
    <w:rsid w:val="00775EC5"/>
    <w:rsid w:val="00775ED9"/>
    <w:rsid w:val="00775EF3"/>
    <w:rsid w:val="00775F43"/>
    <w:rsid w:val="00776010"/>
    <w:rsid w:val="00776076"/>
    <w:rsid w:val="00776100"/>
    <w:rsid w:val="00776111"/>
    <w:rsid w:val="007761F1"/>
    <w:rsid w:val="0077656D"/>
    <w:rsid w:val="00776E3C"/>
    <w:rsid w:val="00776F4B"/>
    <w:rsid w:val="00777203"/>
    <w:rsid w:val="007775AF"/>
    <w:rsid w:val="0077771A"/>
    <w:rsid w:val="00777893"/>
    <w:rsid w:val="00777927"/>
    <w:rsid w:val="007779DF"/>
    <w:rsid w:val="00777BBD"/>
    <w:rsid w:val="00777C8B"/>
    <w:rsid w:val="00777EF6"/>
    <w:rsid w:val="0078057E"/>
    <w:rsid w:val="007809F3"/>
    <w:rsid w:val="00780BE6"/>
    <w:rsid w:val="00780CBA"/>
    <w:rsid w:val="00780E36"/>
    <w:rsid w:val="00780E60"/>
    <w:rsid w:val="00781065"/>
    <w:rsid w:val="00781473"/>
    <w:rsid w:val="007816DC"/>
    <w:rsid w:val="00781867"/>
    <w:rsid w:val="00781A59"/>
    <w:rsid w:val="00781B00"/>
    <w:rsid w:val="00781BE9"/>
    <w:rsid w:val="00781DE9"/>
    <w:rsid w:val="00782171"/>
    <w:rsid w:val="007821EC"/>
    <w:rsid w:val="0078255A"/>
    <w:rsid w:val="0078261C"/>
    <w:rsid w:val="00782682"/>
    <w:rsid w:val="0078279C"/>
    <w:rsid w:val="007829A6"/>
    <w:rsid w:val="00782B42"/>
    <w:rsid w:val="00782CCF"/>
    <w:rsid w:val="00782E54"/>
    <w:rsid w:val="00782EB1"/>
    <w:rsid w:val="00783185"/>
    <w:rsid w:val="007831A5"/>
    <w:rsid w:val="007832A3"/>
    <w:rsid w:val="007833E5"/>
    <w:rsid w:val="0078340D"/>
    <w:rsid w:val="00783832"/>
    <w:rsid w:val="00783B9F"/>
    <w:rsid w:val="00783EC3"/>
    <w:rsid w:val="00783FC4"/>
    <w:rsid w:val="007843BB"/>
    <w:rsid w:val="00784948"/>
    <w:rsid w:val="00784972"/>
    <w:rsid w:val="00784B15"/>
    <w:rsid w:val="00785018"/>
    <w:rsid w:val="007854D8"/>
    <w:rsid w:val="00785885"/>
    <w:rsid w:val="0078596A"/>
    <w:rsid w:val="00785997"/>
    <w:rsid w:val="007859A8"/>
    <w:rsid w:val="00785C07"/>
    <w:rsid w:val="00785CF0"/>
    <w:rsid w:val="00785D51"/>
    <w:rsid w:val="00785E8D"/>
    <w:rsid w:val="00786096"/>
    <w:rsid w:val="0078656D"/>
    <w:rsid w:val="007868D7"/>
    <w:rsid w:val="0078690C"/>
    <w:rsid w:val="00786917"/>
    <w:rsid w:val="00786C85"/>
    <w:rsid w:val="00786C89"/>
    <w:rsid w:val="00786F26"/>
    <w:rsid w:val="00787114"/>
    <w:rsid w:val="007872CF"/>
    <w:rsid w:val="00787508"/>
    <w:rsid w:val="0078760B"/>
    <w:rsid w:val="007876FA"/>
    <w:rsid w:val="00787733"/>
    <w:rsid w:val="00787B1C"/>
    <w:rsid w:val="00787B4D"/>
    <w:rsid w:val="00787C2B"/>
    <w:rsid w:val="00787F06"/>
    <w:rsid w:val="007901C1"/>
    <w:rsid w:val="00790315"/>
    <w:rsid w:val="007903AF"/>
    <w:rsid w:val="00790427"/>
    <w:rsid w:val="00790579"/>
    <w:rsid w:val="007908C7"/>
    <w:rsid w:val="00790BEE"/>
    <w:rsid w:val="00790C7F"/>
    <w:rsid w:val="00790D6E"/>
    <w:rsid w:val="00790E6F"/>
    <w:rsid w:val="00790FAF"/>
    <w:rsid w:val="0079107C"/>
    <w:rsid w:val="007912B5"/>
    <w:rsid w:val="00791770"/>
    <w:rsid w:val="007918ED"/>
    <w:rsid w:val="00791A1A"/>
    <w:rsid w:val="00791ACD"/>
    <w:rsid w:val="00791B72"/>
    <w:rsid w:val="00791D8C"/>
    <w:rsid w:val="00791E60"/>
    <w:rsid w:val="00791E68"/>
    <w:rsid w:val="00791FBE"/>
    <w:rsid w:val="007922F3"/>
    <w:rsid w:val="00792358"/>
    <w:rsid w:val="007925AB"/>
    <w:rsid w:val="007927F8"/>
    <w:rsid w:val="00792840"/>
    <w:rsid w:val="00792863"/>
    <w:rsid w:val="00792B1A"/>
    <w:rsid w:val="00792C27"/>
    <w:rsid w:val="00792C67"/>
    <w:rsid w:val="00792D0E"/>
    <w:rsid w:val="00793061"/>
    <w:rsid w:val="007932E6"/>
    <w:rsid w:val="00793506"/>
    <w:rsid w:val="00793771"/>
    <w:rsid w:val="00793825"/>
    <w:rsid w:val="00793918"/>
    <w:rsid w:val="00793A9F"/>
    <w:rsid w:val="00793B04"/>
    <w:rsid w:val="00793BAE"/>
    <w:rsid w:val="00793C5B"/>
    <w:rsid w:val="00793C7D"/>
    <w:rsid w:val="00793C80"/>
    <w:rsid w:val="00793CD2"/>
    <w:rsid w:val="00793D34"/>
    <w:rsid w:val="00793E2A"/>
    <w:rsid w:val="007942EA"/>
    <w:rsid w:val="007944E8"/>
    <w:rsid w:val="007945C2"/>
    <w:rsid w:val="007946B9"/>
    <w:rsid w:val="007946F0"/>
    <w:rsid w:val="0079477F"/>
    <w:rsid w:val="00794C4D"/>
    <w:rsid w:val="00794D7B"/>
    <w:rsid w:val="00794E0F"/>
    <w:rsid w:val="0079546B"/>
    <w:rsid w:val="00795672"/>
    <w:rsid w:val="00795678"/>
    <w:rsid w:val="007959C1"/>
    <w:rsid w:val="007959CA"/>
    <w:rsid w:val="00795C4D"/>
    <w:rsid w:val="00796067"/>
    <w:rsid w:val="00796110"/>
    <w:rsid w:val="007961A3"/>
    <w:rsid w:val="0079641E"/>
    <w:rsid w:val="0079645D"/>
    <w:rsid w:val="00796833"/>
    <w:rsid w:val="00796B16"/>
    <w:rsid w:val="00796BF2"/>
    <w:rsid w:val="00796C73"/>
    <w:rsid w:val="00796DF0"/>
    <w:rsid w:val="00796EDC"/>
    <w:rsid w:val="00797214"/>
    <w:rsid w:val="00797261"/>
    <w:rsid w:val="007972F2"/>
    <w:rsid w:val="0079740E"/>
    <w:rsid w:val="00797529"/>
    <w:rsid w:val="0079763F"/>
    <w:rsid w:val="00797DFE"/>
    <w:rsid w:val="007A0070"/>
    <w:rsid w:val="007A013C"/>
    <w:rsid w:val="007A0148"/>
    <w:rsid w:val="007A014E"/>
    <w:rsid w:val="007A0182"/>
    <w:rsid w:val="007A01A0"/>
    <w:rsid w:val="007A04D8"/>
    <w:rsid w:val="007A0633"/>
    <w:rsid w:val="007A07F7"/>
    <w:rsid w:val="007A0A91"/>
    <w:rsid w:val="007A1241"/>
    <w:rsid w:val="007A1546"/>
    <w:rsid w:val="007A180E"/>
    <w:rsid w:val="007A1B8F"/>
    <w:rsid w:val="007A1D5A"/>
    <w:rsid w:val="007A1EA1"/>
    <w:rsid w:val="007A1EED"/>
    <w:rsid w:val="007A1F89"/>
    <w:rsid w:val="007A1F8D"/>
    <w:rsid w:val="007A1F92"/>
    <w:rsid w:val="007A1FEE"/>
    <w:rsid w:val="007A202E"/>
    <w:rsid w:val="007A20E1"/>
    <w:rsid w:val="007A223E"/>
    <w:rsid w:val="007A248C"/>
    <w:rsid w:val="007A253A"/>
    <w:rsid w:val="007A2564"/>
    <w:rsid w:val="007A28B2"/>
    <w:rsid w:val="007A29CD"/>
    <w:rsid w:val="007A2AC7"/>
    <w:rsid w:val="007A2B4C"/>
    <w:rsid w:val="007A2C5F"/>
    <w:rsid w:val="007A2C66"/>
    <w:rsid w:val="007A2C8E"/>
    <w:rsid w:val="007A300C"/>
    <w:rsid w:val="007A30F5"/>
    <w:rsid w:val="007A3214"/>
    <w:rsid w:val="007A322B"/>
    <w:rsid w:val="007A3439"/>
    <w:rsid w:val="007A3563"/>
    <w:rsid w:val="007A375F"/>
    <w:rsid w:val="007A380D"/>
    <w:rsid w:val="007A38BD"/>
    <w:rsid w:val="007A3A5F"/>
    <w:rsid w:val="007A3B2F"/>
    <w:rsid w:val="007A3CC5"/>
    <w:rsid w:val="007A3DD7"/>
    <w:rsid w:val="007A3E36"/>
    <w:rsid w:val="007A3F49"/>
    <w:rsid w:val="007A3FAC"/>
    <w:rsid w:val="007A41A4"/>
    <w:rsid w:val="007A41A5"/>
    <w:rsid w:val="007A41AF"/>
    <w:rsid w:val="007A4542"/>
    <w:rsid w:val="007A45D6"/>
    <w:rsid w:val="007A4663"/>
    <w:rsid w:val="007A46F2"/>
    <w:rsid w:val="007A475A"/>
    <w:rsid w:val="007A479A"/>
    <w:rsid w:val="007A49E0"/>
    <w:rsid w:val="007A4F4F"/>
    <w:rsid w:val="007A501D"/>
    <w:rsid w:val="007A5180"/>
    <w:rsid w:val="007A5182"/>
    <w:rsid w:val="007A5279"/>
    <w:rsid w:val="007A53DD"/>
    <w:rsid w:val="007A5689"/>
    <w:rsid w:val="007A5790"/>
    <w:rsid w:val="007A5C31"/>
    <w:rsid w:val="007A5C77"/>
    <w:rsid w:val="007A5F5D"/>
    <w:rsid w:val="007A5F65"/>
    <w:rsid w:val="007A6088"/>
    <w:rsid w:val="007A6194"/>
    <w:rsid w:val="007A658C"/>
    <w:rsid w:val="007A6722"/>
    <w:rsid w:val="007A6857"/>
    <w:rsid w:val="007A68A5"/>
    <w:rsid w:val="007A6976"/>
    <w:rsid w:val="007A698D"/>
    <w:rsid w:val="007A6B6A"/>
    <w:rsid w:val="007A6C56"/>
    <w:rsid w:val="007A6D68"/>
    <w:rsid w:val="007A70EA"/>
    <w:rsid w:val="007A72E0"/>
    <w:rsid w:val="007A7421"/>
    <w:rsid w:val="007A778E"/>
    <w:rsid w:val="007A79C4"/>
    <w:rsid w:val="007A79EA"/>
    <w:rsid w:val="007A7B9C"/>
    <w:rsid w:val="007A7C1D"/>
    <w:rsid w:val="007A7C78"/>
    <w:rsid w:val="007A7C9F"/>
    <w:rsid w:val="007A7E88"/>
    <w:rsid w:val="007A7F24"/>
    <w:rsid w:val="007B0175"/>
    <w:rsid w:val="007B02C0"/>
    <w:rsid w:val="007B0431"/>
    <w:rsid w:val="007B0542"/>
    <w:rsid w:val="007B06C3"/>
    <w:rsid w:val="007B0734"/>
    <w:rsid w:val="007B0A4F"/>
    <w:rsid w:val="007B0EAA"/>
    <w:rsid w:val="007B0FE4"/>
    <w:rsid w:val="007B1507"/>
    <w:rsid w:val="007B15DA"/>
    <w:rsid w:val="007B1960"/>
    <w:rsid w:val="007B1A5C"/>
    <w:rsid w:val="007B1B93"/>
    <w:rsid w:val="007B1BE8"/>
    <w:rsid w:val="007B1DCE"/>
    <w:rsid w:val="007B1DE1"/>
    <w:rsid w:val="007B1E44"/>
    <w:rsid w:val="007B1EC9"/>
    <w:rsid w:val="007B217A"/>
    <w:rsid w:val="007B22A2"/>
    <w:rsid w:val="007B22E1"/>
    <w:rsid w:val="007B237F"/>
    <w:rsid w:val="007B25D4"/>
    <w:rsid w:val="007B2720"/>
    <w:rsid w:val="007B2988"/>
    <w:rsid w:val="007B2A3B"/>
    <w:rsid w:val="007B2AA7"/>
    <w:rsid w:val="007B2B50"/>
    <w:rsid w:val="007B2BD4"/>
    <w:rsid w:val="007B2DB2"/>
    <w:rsid w:val="007B2EF1"/>
    <w:rsid w:val="007B3014"/>
    <w:rsid w:val="007B3259"/>
    <w:rsid w:val="007B337A"/>
    <w:rsid w:val="007B3729"/>
    <w:rsid w:val="007B3812"/>
    <w:rsid w:val="007B3985"/>
    <w:rsid w:val="007B39A9"/>
    <w:rsid w:val="007B3A08"/>
    <w:rsid w:val="007B3D15"/>
    <w:rsid w:val="007B3E55"/>
    <w:rsid w:val="007B3F2B"/>
    <w:rsid w:val="007B4412"/>
    <w:rsid w:val="007B44DE"/>
    <w:rsid w:val="007B44F7"/>
    <w:rsid w:val="007B46A7"/>
    <w:rsid w:val="007B47FE"/>
    <w:rsid w:val="007B48AF"/>
    <w:rsid w:val="007B4A55"/>
    <w:rsid w:val="007B4C4B"/>
    <w:rsid w:val="007B4DCF"/>
    <w:rsid w:val="007B4DE6"/>
    <w:rsid w:val="007B4E25"/>
    <w:rsid w:val="007B4F1C"/>
    <w:rsid w:val="007B4F23"/>
    <w:rsid w:val="007B507D"/>
    <w:rsid w:val="007B512F"/>
    <w:rsid w:val="007B5154"/>
    <w:rsid w:val="007B5377"/>
    <w:rsid w:val="007B53F5"/>
    <w:rsid w:val="007B54D6"/>
    <w:rsid w:val="007B57DA"/>
    <w:rsid w:val="007B5920"/>
    <w:rsid w:val="007B59B7"/>
    <w:rsid w:val="007B5D86"/>
    <w:rsid w:val="007B5FE6"/>
    <w:rsid w:val="007B64B8"/>
    <w:rsid w:val="007B651A"/>
    <w:rsid w:val="007B6819"/>
    <w:rsid w:val="007B68B4"/>
    <w:rsid w:val="007B68EC"/>
    <w:rsid w:val="007B69E4"/>
    <w:rsid w:val="007B6B21"/>
    <w:rsid w:val="007B6C76"/>
    <w:rsid w:val="007B6C7A"/>
    <w:rsid w:val="007B6E46"/>
    <w:rsid w:val="007B6F93"/>
    <w:rsid w:val="007B7231"/>
    <w:rsid w:val="007B73AC"/>
    <w:rsid w:val="007B779D"/>
    <w:rsid w:val="007B7B20"/>
    <w:rsid w:val="007B7E29"/>
    <w:rsid w:val="007C0029"/>
    <w:rsid w:val="007C00F2"/>
    <w:rsid w:val="007C0156"/>
    <w:rsid w:val="007C052F"/>
    <w:rsid w:val="007C0587"/>
    <w:rsid w:val="007C05E1"/>
    <w:rsid w:val="007C06F2"/>
    <w:rsid w:val="007C07A1"/>
    <w:rsid w:val="007C0821"/>
    <w:rsid w:val="007C0942"/>
    <w:rsid w:val="007C096D"/>
    <w:rsid w:val="007C09C2"/>
    <w:rsid w:val="007C0BC8"/>
    <w:rsid w:val="007C0C99"/>
    <w:rsid w:val="007C0DE7"/>
    <w:rsid w:val="007C0E61"/>
    <w:rsid w:val="007C0F30"/>
    <w:rsid w:val="007C0F8E"/>
    <w:rsid w:val="007C1144"/>
    <w:rsid w:val="007C1262"/>
    <w:rsid w:val="007C1346"/>
    <w:rsid w:val="007C14F2"/>
    <w:rsid w:val="007C1B1B"/>
    <w:rsid w:val="007C1B7E"/>
    <w:rsid w:val="007C1D49"/>
    <w:rsid w:val="007C1E14"/>
    <w:rsid w:val="007C1FB4"/>
    <w:rsid w:val="007C20C7"/>
    <w:rsid w:val="007C2150"/>
    <w:rsid w:val="007C2214"/>
    <w:rsid w:val="007C227B"/>
    <w:rsid w:val="007C24EB"/>
    <w:rsid w:val="007C27B9"/>
    <w:rsid w:val="007C2845"/>
    <w:rsid w:val="007C2911"/>
    <w:rsid w:val="007C29F7"/>
    <w:rsid w:val="007C2A4C"/>
    <w:rsid w:val="007C2A56"/>
    <w:rsid w:val="007C2B01"/>
    <w:rsid w:val="007C2CBE"/>
    <w:rsid w:val="007C2D4F"/>
    <w:rsid w:val="007C301E"/>
    <w:rsid w:val="007C30E7"/>
    <w:rsid w:val="007C3130"/>
    <w:rsid w:val="007C31C4"/>
    <w:rsid w:val="007C352F"/>
    <w:rsid w:val="007C35B7"/>
    <w:rsid w:val="007C36CA"/>
    <w:rsid w:val="007C36DC"/>
    <w:rsid w:val="007C3CF0"/>
    <w:rsid w:val="007C3D8D"/>
    <w:rsid w:val="007C4226"/>
    <w:rsid w:val="007C4258"/>
    <w:rsid w:val="007C42D3"/>
    <w:rsid w:val="007C454B"/>
    <w:rsid w:val="007C4581"/>
    <w:rsid w:val="007C477B"/>
    <w:rsid w:val="007C4844"/>
    <w:rsid w:val="007C48CB"/>
    <w:rsid w:val="007C4B67"/>
    <w:rsid w:val="007C4BF0"/>
    <w:rsid w:val="007C4C4D"/>
    <w:rsid w:val="007C4D14"/>
    <w:rsid w:val="007C4E34"/>
    <w:rsid w:val="007C4F59"/>
    <w:rsid w:val="007C5295"/>
    <w:rsid w:val="007C55CC"/>
    <w:rsid w:val="007C55E6"/>
    <w:rsid w:val="007C59BF"/>
    <w:rsid w:val="007C5A60"/>
    <w:rsid w:val="007C5B14"/>
    <w:rsid w:val="007C5EFD"/>
    <w:rsid w:val="007C6018"/>
    <w:rsid w:val="007C66D9"/>
    <w:rsid w:val="007C6793"/>
    <w:rsid w:val="007C6847"/>
    <w:rsid w:val="007C6900"/>
    <w:rsid w:val="007C6C79"/>
    <w:rsid w:val="007C6E04"/>
    <w:rsid w:val="007C6E60"/>
    <w:rsid w:val="007C6F43"/>
    <w:rsid w:val="007C70F6"/>
    <w:rsid w:val="007C7157"/>
    <w:rsid w:val="007C72F9"/>
    <w:rsid w:val="007C75EE"/>
    <w:rsid w:val="007C77F2"/>
    <w:rsid w:val="007C780F"/>
    <w:rsid w:val="007C792C"/>
    <w:rsid w:val="007C7B3C"/>
    <w:rsid w:val="007C7BAA"/>
    <w:rsid w:val="007C7CE4"/>
    <w:rsid w:val="007D007A"/>
    <w:rsid w:val="007D00E6"/>
    <w:rsid w:val="007D0698"/>
    <w:rsid w:val="007D07C8"/>
    <w:rsid w:val="007D07D7"/>
    <w:rsid w:val="007D07EC"/>
    <w:rsid w:val="007D0891"/>
    <w:rsid w:val="007D0B3D"/>
    <w:rsid w:val="007D0B6D"/>
    <w:rsid w:val="007D0C48"/>
    <w:rsid w:val="007D0E8F"/>
    <w:rsid w:val="007D11B3"/>
    <w:rsid w:val="007D1255"/>
    <w:rsid w:val="007D1297"/>
    <w:rsid w:val="007D155E"/>
    <w:rsid w:val="007D1591"/>
    <w:rsid w:val="007D164A"/>
    <w:rsid w:val="007D17FB"/>
    <w:rsid w:val="007D18B5"/>
    <w:rsid w:val="007D191B"/>
    <w:rsid w:val="007D1C61"/>
    <w:rsid w:val="007D1E51"/>
    <w:rsid w:val="007D1F06"/>
    <w:rsid w:val="007D1FE8"/>
    <w:rsid w:val="007D217F"/>
    <w:rsid w:val="007D2210"/>
    <w:rsid w:val="007D221F"/>
    <w:rsid w:val="007D22FC"/>
    <w:rsid w:val="007D28BB"/>
    <w:rsid w:val="007D28EA"/>
    <w:rsid w:val="007D2A12"/>
    <w:rsid w:val="007D2BC8"/>
    <w:rsid w:val="007D3041"/>
    <w:rsid w:val="007D3242"/>
    <w:rsid w:val="007D32C9"/>
    <w:rsid w:val="007D3410"/>
    <w:rsid w:val="007D3639"/>
    <w:rsid w:val="007D3975"/>
    <w:rsid w:val="007D3A0F"/>
    <w:rsid w:val="007D3A1D"/>
    <w:rsid w:val="007D3A57"/>
    <w:rsid w:val="007D3A77"/>
    <w:rsid w:val="007D3B96"/>
    <w:rsid w:val="007D3C20"/>
    <w:rsid w:val="007D3C64"/>
    <w:rsid w:val="007D3D15"/>
    <w:rsid w:val="007D3E4F"/>
    <w:rsid w:val="007D3FE9"/>
    <w:rsid w:val="007D40A2"/>
    <w:rsid w:val="007D45AA"/>
    <w:rsid w:val="007D46E2"/>
    <w:rsid w:val="007D4770"/>
    <w:rsid w:val="007D481F"/>
    <w:rsid w:val="007D4957"/>
    <w:rsid w:val="007D4B4D"/>
    <w:rsid w:val="007D4D4F"/>
    <w:rsid w:val="007D4DFA"/>
    <w:rsid w:val="007D4E28"/>
    <w:rsid w:val="007D4E9E"/>
    <w:rsid w:val="007D4FBD"/>
    <w:rsid w:val="007D5005"/>
    <w:rsid w:val="007D513C"/>
    <w:rsid w:val="007D527F"/>
    <w:rsid w:val="007D5343"/>
    <w:rsid w:val="007D54B2"/>
    <w:rsid w:val="007D56B7"/>
    <w:rsid w:val="007D57C0"/>
    <w:rsid w:val="007D5A39"/>
    <w:rsid w:val="007D5AF3"/>
    <w:rsid w:val="007D5BAA"/>
    <w:rsid w:val="007D5BC8"/>
    <w:rsid w:val="007D5C4E"/>
    <w:rsid w:val="007D5C8C"/>
    <w:rsid w:val="007D5CCE"/>
    <w:rsid w:val="007D5E90"/>
    <w:rsid w:val="007D5F51"/>
    <w:rsid w:val="007D6163"/>
    <w:rsid w:val="007D620A"/>
    <w:rsid w:val="007D64B2"/>
    <w:rsid w:val="007D6681"/>
    <w:rsid w:val="007D6770"/>
    <w:rsid w:val="007D67DA"/>
    <w:rsid w:val="007D69E8"/>
    <w:rsid w:val="007D6A56"/>
    <w:rsid w:val="007D6A8A"/>
    <w:rsid w:val="007D6BA1"/>
    <w:rsid w:val="007D6D46"/>
    <w:rsid w:val="007D7029"/>
    <w:rsid w:val="007D71B2"/>
    <w:rsid w:val="007D7402"/>
    <w:rsid w:val="007D7518"/>
    <w:rsid w:val="007D7A00"/>
    <w:rsid w:val="007D7A63"/>
    <w:rsid w:val="007D7D13"/>
    <w:rsid w:val="007D7D18"/>
    <w:rsid w:val="007D7FF1"/>
    <w:rsid w:val="007E0012"/>
    <w:rsid w:val="007E01C1"/>
    <w:rsid w:val="007E0234"/>
    <w:rsid w:val="007E034A"/>
    <w:rsid w:val="007E0382"/>
    <w:rsid w:val="007E03CC"/>
    <w:rsid w:val="007E05C3"/>
    <w:rsid w:val="007E08A3"/>
    <w:rsid w:val="007E08B4"/>
    <w:rsid w:val="007E0985"/>
    <w:rsid w:val="007E0A35"/>
    <w:rsid w:val="007E0C25"/>
    <w:rsid w:val="007E0CAB"/>
    <w:rsid w:val="007E0F37"/>
    <w:rsid w:val="007E0F42"/>
    <w:rsid w:val="007E146C"/>
    <w:rsid w:val="007E17E0"/>
    <w:rsid w:val="007E18AC"/>
    <w:rsid w:val="007E1A15"/>
    <w:rsid w:val="007E1C70"/>
    <w:rsid w:val="007E1D37"/>
    <w:rsid w:val="007E1F29"/>
    <w:rsid w:val="007E1F43"/>
    <w:rsid w:val="007E2115"/>
    <w:rsid w:val="007E218C"/>
    <w:rsid w:val="007E2291"/>
    <w:rsid w:val="007E237B"/>
    <w:rsid w:val="007E2456"/>
    <w:rsid w:val="007E2469"/>
    <w:rsid w:val="007E24F7"/>
    <w:rsid w:val="007E2B4B"/>
    <w:rsid w:val="007E2BE2"/>
    <w:rsid w:val="007E2E26"/>
    <w:rsid w:val="007E2F3B"/>
    <w:rsid w:val="007E2FE6"/>
    <w:rsid w:val="007E3169"/>
    <w:rsid w:val="007E31FD"/>
    <w:rsid w:val="007E320E"/>
    <w:rsid w:val="007E335C"/>
    <w:rsid w:val="007E33C3"/>
    <w:rsid w:val="007E3422"/>
    <w:rsid w:val="007E3507"/>
    <w:rsid w:val="007E35D8"/>
    <w:rsid w:val="007E36D2"/>
    <w:rsid w:val="007E394A"/>
    <w:rsid w:val="007E3A27"/>
    <w:rsid w:val="007E3C8A"/>
    <w:rsid w:val="007E3F48"/>
    <w:rsid w:val="007E42A7"/>
    <w:rsid w:val="007E43A5"/>
    <w:rsid w:val="007E440D"/>
    <w:rsid w:val="007E4497"/>
    <w:rsid w:val="007E4C66"/>
    <w:rsid w:val="007E4E62"/>
    <w:rsid w:val="007E4EBA"/>
    <w:rsid w:val="007E4FB2"/>
    <w:rsid w:val="007E4FD7"/>
    <w:rsid w:val="007E4FDD"/>
    <w:rsid w:val="007E546A"/>
    <w:rsid w:val="007E54A9"/>
    <w:rsid w:val="007E58B3"/>
    <w:rsid w:val="007E5AA3"/>
    <w:rsid w:val="007E5B14"/>
    <w:rsid w:val="007E5B46"/>
    <w:rsid w:val="007E5B98"/>
    <w:rsid w:val="007E5E5D"/>
    <w:rsid w:val="007E5EF5"/>
    <w:rsid w:val="007E5F11"/>
    <w:rsid w:val="007E6021"/>
    <w:rsid w:val="007E626D"/>
    <w:rsid w:val="007E63AA"/>
    <w:rsid w:val="007E65E6"/>
    <w:rsid w:val="007E6799"/>
    <w:rsid w:val="007E67A6"/>
    <w:rsid w:val="007E68BB"/>
    <w:rsid w:val="007E6957"/>
    <w:rsid w:val="007E6CEC"/>
    <w:rsid w:val="007E76B3"/>
    <w:rsid w:val="007E7899"/>
    <w:rsid w:val="007E791A"/>
    <w:rsid w:val="007E7AF0"/>
    <w:rsid w:val="007E7C8E"/>
    <w:rsid w:val="007E7CC6"/>
    <w:rsid w:val="007E7CD2"/>
    <w:rsid w:val="007E7D95"/>
    <w:rsid w:val="007E7E06"/>
    <w:rsid w:val="007F01D9"/>
    <w:rsid w:val="007F0253"/>
    <w:rsid w:val="007F027C"/>
    <w:rsid w:val="007F0331"/>
    <w:rsid w:val="007F03B5"/>
    <w:rsid w:val="007F03CC"/>
    <w:rsid w:val="007F048A"/>
    <w:rsid w:val="007F049C"/>
    <w:rsid w:val="007F057F"/>
    <w:rsid w:val="007F07E6"/>
    <w:rsid w:val="007F0A43"/>
    <w:rsid w:val="007F0A6E"/>
    <w:rsid w:val="007F0CA3"/>
    <w:rsid w:val="007F0CAD"/>
    <w:rsid w:val="007F0E99"/>
    <w:rsid w:val="007F110C"/>
    <w:rsid w:val="007F1268"/>
    <w:rsid w:val="007F1386"/>
    <w:rsid w:val="007F158A"/>
    <w:rsid w:val="007F168D"/>
    <w:rsid w:val="007F19E7"/>
    <w:rsid w:val="007F1CE8"/>
    <w:rsid w:val="007F230E"/>
    <w:rsid w:val="007F232C"/>
    <w:rsid w:val="007F2333"/>
    <w:rsid w:val="007F2418"/>
    <w:rsid w:val="007F25C9"/>
    <w:rsid w:val="007F271E"/>
    <w:rsid w:val="007F27E5"/>
    <w:rsid w:val="007F2875"/>
    <w:rsid w:val="007F294F"/>
    <w:rsid w:val="007F2A85"/>
    <w:rsid w:val="007F2BCE"/>
    <w:rsid w:val="007F2CC7"/>
    <w:rsid w:val="007F2EF6"/>
    <w:rsid w:val="007F3016"/>
    <w:rsid w:val="007F3168"/>
    <w:rsid w:val="007F31DB"/>
    <w:rsid w:val="007F325D"/>
    <w:rsid w:val="007F33BC"/>
    <w:rsid w:val="007F373C"/>
    <w:rsid w:val="007F3775"/>
    <w:rsid w:val="007F37F6"/>
    <w:rsid w:val="007F3882"/>
    <w:rsid w:val="007F3C5F"/>
    <w:rsid w:val="007F3CCA"/>
    <w:rsid w:val="007F3DCD"/>
    <w:rsid w:val="007F3EB2"/>
    <w:rsid w:val="007F3EEB"/>
    <w:rsid w:val="007F42FA"/>
    <w:rsid w:val="007F45D5"/>
    <w:rsid w:val="007F46D7"/>
    <w:rsid w:val="007F46E4"/>
    <w:rsid w:val="007F47CB"/>
    <w:rsid w:val="007F4AAA"/>
    <w:rsid w:val="007F4BA1"/>
    <w:rsid w:val="007F4CBA"/>
    <w:rsid w:val="007F4D30"/>
    <w:rsid w:val="007F4D88"/>
    <w:rsid w:val="007F4E59"/>
    <w:rsid w:val="007F5162"/>
    <w:rsid w:val="007F52AB"/>
    <w:rsid w:val="007F52C4"/>
    <w:rsid w:val="007F532C"/>
    <w:rsid w:val="007F548F"/>
    <w:rsid w:val="007F54A0"/>
    <w:rsid w:val="007F55BB"/>
    <w:rsid w:val="007F5A18"/>
    <w:rsid w:val="007F5B3E"/>
    <w:rsid w:val="007F5C2F"/>
    <w:rsid w:val="007F6250"/>
    <w:rsid w:val="007F6A9A"/>
    <w:rsid w:val="007F6AFF"/>
    <w:rsid w:val="007F6B07"/>
    <w:rsid w:val="007F6C29"/>
    <w:rsid w:val="007F6C57"/>
    <w:rsid w:val="007F6F4B"/>
    <w:rsid w:val="007F71E1"/>
    <w:rsid w:val="007F73C1"/>
    <w:rsid w:val="007F7496"/>
    <w:rsid w:val="007F76B2"/>
    <w:rsid w:val="007F77BF"/>
    <w:rsid w:val="007F78C6"/>
    <w:rsid w:val="007F7D32"/>
    <w:rsid w:val="007F7D81"/>
    <w:rsid w:val="007F7EEA"/>
    <w:rsid w:val="00800203"/>
    <w:rsid w:val="00800247"/>
    <w:rsid w:val="00800305"/>
    <w:rsid w:val="00800461"/>
    <w:rsid w:val="0080048E"/>
    <w:rsid w:val="008006E0"/>
    <w:rsid w:val="00800724"/>
    <w:rsid w:val="0080072B"/>
    <w:rsid w:val="008007C9"/>
    <w:rsid w:val="0080091C"/>
    <w:rsid w:val="00800BB7"/>
    <w:rsid w:val="00800BBD"/>
    <w:rsid w:val="00800C93"/>
    <w:rsid w:val="00800CDF"/>
    <w:rsid w:val="00800D5F"/>
    <w:rsid w:val="00801221"/>
    <w:rsid w:val="0080122C"/>
    <w:rsid w:val="00801371"/>
    <w:rsid w:val="00801478"/>
    <w:rsid w:val="008016F6"/>
    <w:rsid w:val="00801C31"/>
    <w:rsid w:val="00801E38"/>
    <w:rsid w:val="00801E5C"/>
    <w:rsid w:val="00802043"/>
    <w:rsid w:val="008024B3"/>
    <w:rsid w:val="008024B7"/>
    <w:rsid w:val="00802563"/>
    <w:rsid w:val="00802616"/>
    <w:rsid w:val="00802666"/>
    <w:rsid w:val="008029DB"/>
    <w:rsid w:val="00802CAB"/>
    <w:rsid w:val="00802D0C"/>
    <w:rsid w:val="00802D46"/>
    <w:rsid w:val="00803083"/>
    <w:rsid w:val="0080312F"/>
    <w:rsid w:val="00803166"/>
    <w:rsid w:val="00803174"/>
    <w:rsid w:val="0080318D"/>
    <w:rsid w:val="00803215"/>
    <w:rsid w:val="00803261"/>
    <w:rsid w:val="008034F3"/>
    <w:rsid w:val="00803500"/>
    <w:rsid w:val="00803768"/>
    <w:rsid w:val="00803839"/>
    <w:rsid w:val="0080398E"/>
    <w:rsid w:val="00803A38"/>
    <w:rsid w:val="00803A45"/>
    <w:rsid w:val="00803DFA"/>
    <w:rsid w:val="00803F78"/>
    <w:rsid w:val="00803FB9"/>
    <w:rsid w:val="008040E5"/>
    <w:rsid w:val="008043A1"/>
    <w:rsid w:val="008043DD"/>
    <w:rsid w:val="0080446C"/>
    <w:rsid w:val="00804491"/>
    <w:rsid w:val="008044BB"/>
    <w:rsid w:val="008045D9"/>
    <w:rsid w:val="008045E4"/>
    <w:rsid w:val="008047E6"/>
    <w:rsid w:val="00804856"/>
    <w:rsid w:val="00804980"/>
    <w:rsid w:val="00804BA1"/>
    <w:rsid w:val="00804C27"/>
    <w:rsid w:val="00804C68"/>
    <w:rsid w:val="00804DFE"/>
    <w:rsid w:val="0080521A"/>
    <w:rsid w:val="0080548A"/>
    <w:rsid w:val="00805771"/>
    <w:rsid w:val="00805805"/>
    <w:rsid w:val="00805893"/>
    <w:rsid w:val="00805A77"/>
    <w:rsid w:val="00805B1F"/>
    <w:rsid w:val="00805C66"/>
    <w:rsid w:val="00805C72"/>
    <w:rsid w:val="00805C87"/>
    <w:rsid w:val="00805DF5"/>
    <w:rsid w:val="00805DF7"/>
    <w:rsid w:val="00805EA2"/>
    <w:rsid w:val="00805F39"/>
    <w:rsid w:val="00805FD8"/>
    <w:rsid w:val="0080610C"/>
    <w:rsid w:val="008061BD"/>
    <w:rsid w:val="0080622D"/>
    <w:rsid w:val="008062D8"/>
    <w:rsid w:val="00806902"/>
    <w:rsid w:val="00806A75"/>
    <w:rsid w:val="00806B9C"/>
    <w:rsid w:val="00806C7A"/>
    <w:rsid w:val="00806E4E"/>
    <w:rsid w:val="00807503"/>
    <w:rsid w:val="0080757B"/>
    <w:rsid w:val="0080776B"/>
    <w:rsid w:val="0080776E"/>
    <w:rsid w:val="00807987"/>
    <w:rsid w:val="00807C47"/>
    <w:rsid w:val="00807D0A"/>
    <w:rsid w:val="00807DF7"/>
    <w:rsid w:val="00807DF9"/>
    <w:rsid w:val="00807EF2"/>
    <w:rsid w:val="008100A4"/>
    <w:rsid w:val="008102AE"/>
    <w:rsid w:val="0081037A"/>
    <w:rsid w:val="008104AF"/>
    <w:rsid w:val="0081068C"/>
    <w:rsid w:val="0081096E"/>
    <w:rsid w:val="00810A64"/>
    <w:rsid w:val="00810AEA"/>
    <w:rsid w:val="00810C04"/>
    <w:rsid w:val="00810D79"/>
    <w:rsid w:val="00810DF3"/>
    <w:rsid w:val="00810F59"/>
    <w:rsid w:val="00811080"/>
    <w:rsid w:val="00811119"/>
    <w:rsid w:val="00811164"/>
    <w:rsid w:val="008117E6"/>
    <w:rsid w:val="00811960"/>
    <w:rsid w:val="008119AE"/>
    <w:rsid w:val="00811C3B"/>
    <w:rsid w:val="00811D1C"/>
    <w:rsid w:val="00811D90"/>
    <w:rsid w:val="00811F0D"/>
    <w:rsid w:val="00811F13"/>
    <w:rsid w:val="00811FCF"/>
    <w:rsid w:val="008120A6"/>
    <w:rsid w:val="00812101"/>
    <w:rsid w:val="0081249B"/>
    <w:rsid w:val="00812553"/>
    <w:rsid w:val="00812669"/>
    <w:rsid w:val="0081276C"/>
    <w:rsid w:val="00812889"/>
    <w:rsid w:val="0081295B"/>
    <w:rsid w:val="00812A9E"/>
    <w:rsid w:val="00812DDE"/>
    <w:rsid w:val="00812DFE"/>
    <w:rsid w:val="00812E54"/>
    <w:rsid w:val="0081322F"/>
    <w:rsid w:val="008134C9"/>
    <w:rsid w:val="008135B9"/>
    <w:rsid w:val="008135CB"/>
    <w:rsid w:val="00813613"/>
    <w:rsid w:val="0081372A"/>
    <w:rsid w:val="00813940"/>
    <w:rsid w:val="00813963"/>
    <w:rsid w:val="00813AB4"/>
    <w:rsid w:val="00813B47"/>
    <w:rsid w:val="00813C5A"/>
    <w:rsid w:val="00813E3C"/>
    <w:rsid w:val="00813EA8"/>
    <w:rsid w:val="00813EB0"/>
    <w:rsid w:val="00813F32"/>
    <w:rsid w:val="00813F45"/>
    <w:rsid w:val="00813FC1"/>
    <w:rsid w:val="008142F8"/>
    <w:rsid w:val="00814354"/>
    <w:rsid w:val="00814383"/>
    <w:rsid w:val="008144C7"/>
    <w:rsid w:val="00814507"/>
    <w:rsid w:val="00814763"/>
    <w:rsid w:val="00814779"/>
    <w:rsid w:val="00814B75"/>
    <w:rsid w:val="00814C71"/>
    <w:rsid w:val="00814FA6"/>
    <w:rsid w:val="0081503B"/>
    <w:rsid w:val="00815071"/>
    <w:rsid w:val="00815125"/>
    <w:rsid w:val="00815126"/>
    <w:rsid w:val="008151F9"/>
    <w:rsid w:val="0081543C"/>
    <w:rsid w:val="0081551D"/>
    <w:rsid w:val="00815583"/>
    <w:rsid w:val="008156C1"/>
    <w:rsid w:val="008156E6"/>
    <w:rsid w:val="00815A6B"/>
    <w:rsid w:val="00815B54"/>
    <w:rsid w:val="00816069"/>
    <w:rsid w:val="00816079"/>
    <w:rsid w:val="00816272"/>
    <w:rsid w:val="0081652E"/>
    <w:rsid w:val="00816722"/>
    <w:rsid w:val="00816747"/>
    <w:rsid w:val="0081682D"/>
    <w:rsid w:val="00816869"/>
    <w:rsid w:val="00816B6A"/>
    <w:rsid w:val="00816FB9"/>
    <w:rsid w:val="00817085"/>
    <w:rsid w:val="008173CC"/>
    <w:rsid w:val="00817575"/>
    <w:rsid w:val="00817B83"/>
    <w:rsid w:val="00817C8C"/>
    <w:rsid w:val="00817D1D"/>
    <w:rsid w:val="00817E1F"/>
    <w:rsid w:val="008205B4"/>
    <w:rsid w:val="00820751"/>
    <w:rsid w:val="00820752"/>
    <w:rsid w:val="00820764"/>
    <w:rsid w:val="00820A7E"/>
    <w:rsid w:val="00820AD2"/>
    <w:rsid w:val="00820BAA"/>
    <w:rsid w:val="00820CBA"/>
    <w:rsid w:val="00820DE7"/>
    <w:rsid w:val="00820F65"/>
    <w:rsid w:val="008212A4"/>
    <w:rsid w:val="008213E3"/>
    <w:rsid w:val="00821585"/>
    <w:rsid w:val="008215B9"/>
    <w:rsid w:val="008217EB"/>
    <w:rsid w:val="00821B70"/>
    <w:rsid w:val="00821C55"/>
    <w:rsid w:val="00821E19"/>
    <w:rsid w:val="00821E4C"/>
    <w:rsid w:val="00821F44"/>
    <w:rsid w:val="00822015"/>
    <w:rsid w:val="008222E9"/>
    <w:rsid w:val="00822336"/>
    <w:rsid w:val="008223E2"/>
    <w:rsid w:val="0082249C"/>
    <w:rsid w:val="008224C8"/>
    <w:rsid w:val="008226B7"/>
    <w:rsid w:val="00822836"/>
    <w:rsid w:val="0082283B"/>
    <w:rsid w:val="00822918"/>
    <w:rsid w:val="00822C35"/>
    <w:rsid w:val="00822DAF"/>
    <w:rsid w:val="00822E6B"/>
    <w:rsid w:val="0082306C"/>
    <w:rsid w:val="00823399"/>
    <w:rsid w:val="008233CC"/>
    <w:rsid w:val="008243DB"/>
    <w:rsid w:val="00824499"/>
    <w:rsid w:val="008245FD"/>
    <w:rsid w:val="00824727"/>
    <w:rsid w:val="00824A8B"/>
    <w:rsid w:val="00824AFA"/>
    <w:rsid w:val="00824BD6"/>
    <w:rsid w:val="00824F41"/>
    <w:rsid w:val="008250F9"/>
    <w:rsid w:val="0082535D"/>
    <w:rsid w:val="0082563A"/>
    <w:rsid w:val="008256AC"/>
    <w:rsid w:val="00825777"/>
    <w:rsid w:val="00825826"/>
    <w:rsid w:val="008259BC"/>
    <w:rsid w:val="00825A76"/>
    <w:rsid w:val="00825AA6"/>
    <w:rsid w:val="00825C90"/>
    <w:rsid w:val="00825DC6"/>
    <w:rsid w:val="00825DE9"/>
    <w:rsid w:val="00825F02"/>
    <w:rsid w:val="00825F5F"/>
    <w:rsid w:val="00825FEC"/>
    <w:rsid w:val="00826010"/>
    <w:rsid w:val="00826021"/>
    <w:rsid w:val="0082610E"/>
    <w:rsid w:val="008262EF"/>
    <w:rsid w:val="0082632C"/>
    <w:rsid w:val="00826513"/>
    <w:rsid w:val="00826880"/>
    <w:rsid w:val="00826A27"/>
    <w:rsid w:val="00826AB9"/>
    <w:rsid w:val="00826B97"/>
    <w:rsid w:val="00826C78"/>
    <w:rsid w:val="00826D33"/>
    <w:rsid w:val="00826EDA"/>
    <w:rsid w:val="00826F52"/>
    <w:rsid w:val="00827066"/>
    <w:rsid w:val="00827240"/>
    <w:rsid w:val="008272B0"/>
    <w:rsid w:val="008274F0"/>
    <w:rsid w:val="00827555"/>
    <w:rsid w:val="0082773C"/>
    <w:rsid w:val="00827A55"/>
    <w:rsid w:val="00827ACC"/>
    <w:rsid w:val="0083008C"/>
    <w:rsid w:val="0083009A"/>
    <w:rsid w:val="0083009C"/>
    <w:rsid w:val="008300A1"/>
    <w:rsid w:val="008303AA"/>
    <w:rsid w:val="0083045B"/>
    <w:rsid w:val="00830925"/>
    <w:rsid w:val="00830B9C"/>
    <w:rsid w:val="00830C1C"/>
    <w:rsid w:val="00831242"/>
    <w:rsid w:val="00831546"/>
    <w:rsid w:val="008317FA"/>
    <w:rsid w:val="00831865"/>
    <w:rsid w:val="0083191D"/>
    <w:rsid w:val="00831B7D"/>
    <w:rsid w:val="00831BE4"/>
    <w:rsid w:val="00831BF3"/>
    <w:rsid w:val="00831C3D"/>
    <w:rsid w:val="00831DCA"/>
    <w:rsid w:val="00831DDD"/>
    <w:rsid w:val="00831F8B"/>
    <w:rsid w:val="008320B3"/>
    <w:rsid w:val="008320D5"/>
    <w:rsid w:val="0083212B"/>
    <w:rsid w:val="00832171"/>
    <w:rsid w:val="0083279E"/>
    <w:rsid w:val="0083294E"/>
    <w:rsid w:val="008329B9"/>
    <w:rsid w:val="00832A80"/>
    <w:rsid w:val="00832B60"/>
    <w:rsid w:val="00832BF2"/>
    <w:rsid w:val="00832CD9"/>
    <w:rsid w:val="00832E2D"/>
    <w:rsid w:val="00832E9B"/>
    <w:rsid w:val="00832F6C"/>
    <w:rsid w:val="00832FEF"/>
    <w:rsid w:val="00833119"/>
    <w:rsid w:val="00833319"/>
    <w:rsid w:val="00833537"/>
    <w:rsid w:val="00833620"/>
    <w:rsid w:val="00833687"/>
    <w:rsid w:val="008336E5"/>
    <w:rsid w:val="00833A11"/>
    <w:rsid w:val="00833BCE"/>
    <w:rsid w:val="00833CF6"/>
    <w:rsid w:val="00833D5A"/>
    <w:rsid w:val="00833DFE"/>
    <w:rsid w:val="00833F17"/>
    <w:rsid w:val="00833FE1"/>
    <w:rsid w:val="0083406B"/>
    <w:rsid w:val="008342E8"/>
    <w:rsid w:val="0083431B"/>
    <w:rsid w:val="00834352"/>
    <w:rsid w:val="00834388"/>
    <w:rsid w:val="00834548"/>
    <w:rsid w:val="008346CD"/>
    <w:rsid w:val="008347AF"/>
    <w:rsid w:val="00834969"/>
    <w:rsid w:val="008349C9"/>
    <w:rsid w:val="00834A7E"/>
    <w:rsid w:val="00834B2E"/>
    <w:rsid w:val="00834E70"/>
    <w:rsid w:val="00834ED3"/>
    <w:rsid w:val="00834F8B"/>
    <w:rsid w:val="00835068"/>
    <w:rsid w:val="008350FF"/>
    <w:rsid w:val="008354C3"/>
    <w:rsid w:val="0083572A"/>
    <w:rsid w:val="0083573E"/>
    <w:rsid w:val="00835974"/>
    <w:rsid w:val="00835991"/>
    <w:rsid w:val="008359C6"/>
    <w:rsid w:val="00835AAF"/>
    <w:rsid w:val="00835DFD"/>
    <w:rsid w:val="00836013"/>
    <w:rsid w:val="008362C0"/>
    <w:rsid w:val="0083631C"/>
    <w:rsid w:val="0083646E"/>
    <w:rsid w:val="0083651F"/>
    <w:rsid w:val="00836C9B"/>
    <w:rsid w:val="00836D20"/>
    <w:rsid w:val="00836D7D"/>
    <w:rsid w:val="008370EF"/>
    <w:rsid w:val="00837388"/>
    <w:rsid w:val="00837517"/>
    <w:rsid w:val="008375D0"/>
    <w:rsid w:val="00837613"/>
    <w:rsid w:val="008376F3"/>
    <w:rsid w:val="00837B2A"/>
    <w:rsid w:val="00837CD3"/>
    <w:rsid w:val="00837D37"/>
    <w:rsid w:val="00837D70"/>
    <w:rsid w:val="008407BD"/>
    <w:rsid w:val="008409F2"/>
    <w:rsid w:val="00840EE4"/>
    <w:rsid w:val="00840F92"/>
    <w:rsid w:val="00841040"/>
    <w:rsid w:val="008410B0"/>
    <w:rsid w:val="00841285"/>
    <w:rsid w:val="00841803"/>
    <w:rsid w:val="00841986"/>
    <w:rsid w:val="008419DC"/>
    <w:rsid w:val="00841AA6"/>
    <w:rsid w:val="00841CEB"/>
    <w:rsid w:val="00841DF1"/>
    <w:rsid w:val="00841EEF"/>
    <w:rsid w:val="00842079"/>
    <w:rsid w:val="008423CC"/>
    <w:rsid w:val="0084242B"/>
    <w:rsid w:val="00842465"/>
    <w:rsid w:val="0084276A"/>
    <w:rsid w:val="00842BC3"/>
    <w:rsid w:val="00842C94"/>
    <w:rsid w:val="00842CA9"/>
    <w:rsid w:val="00842FF6"/>
    <w:rsid w:val="00843062"/>
    <w:rsid w:val="008431B9"/>
    <w:rsid w:val="008432A0"/>
    <w:rsid w:val="008435D3"/>
    <w:rsid w:val="008435E7"/>
    <w:rsid w:val="0084382C"/>
    <w:rsid w:val="0084393B"/>
    <w:rsid w:val="00843C2D"/>
    <w:rsid w:val="00843CDF"/>
    <w:rsid w:val="00843EB4"/>
    <w:rsid w:val="00843EF2"/>
    <w:rsid w:val="00844176"/>
    <w:rsid w:val="0084418A"/>
    <w:rsid w:val="00844205"/>
    <w:rsid w:val="00844328"/>
    <w:rsid w:val="00844375"/>
    <w:rsid w:val="008447B4"/>
    <w:rsid w:val="0084480E"/>
    <w:rsid w:val="00844832"/>
    <w:rsid w:val="00844859"/>
    <w:rsid w:val="00844A5E"/>
    <w:rsid w:val="00844A70"/>
    <w:rsid w:val="00844CB7"/>
    <w:rsid w:val="00844D3B"/>
    <w:rsid w:val="00844D50"/>
    <w:rsid w:val="00844DE1"/>
    <w:rsid w:val="00844F35"/>
    <w:rsid w:val="00844F98"/>
    <w:rsid w:val="00845413"/>
    <w:rsid w:val="0084548F"/>
    <w:rsid w:val="0084577C"/>
    <w:rsid w:val="008457F3"/>
    <w:rsid w:val="0084585C"/>
    <w:rsid w:val="008459AB"/>
    <w:rsid w:val="00845A2E"/>
    <w:rsid w:val="00845D85"/>
    <w:rsid w:val="008461FC"/>
    <w:rsid w:val="00846218"/>
    <w:rsid w:val="00846229"/>
    <w:rsid w:val="00846363"/>
    <w:rsid w:val="00846836"/>
    <w:rsid w:val="0084684C"/>
    <w:rsid w:val="008468A4"/>
    <w:rsid w:val="00846956"/>
    <w:rsid w:val="008469B7"/>
    <w:rsid w:val="00846A3C"/>
    <w:rsid w:val="00846C0E"/>
    <w:rsid w:val="00846CC6"/>
    <w:rsid w:val="00846F9B"/>
    <w:rsid w:val="0084706F"/>
    <w:rsid w:val="008470FF"/>
    <w:rsid w:val="00847106"/>
    <w:rsid w:val="0084718F"/>
    <w:rsid w:val="008471EF"/>
    <w:rsid w:val="008475AA"/>
    <w:rsid w:val="00847829"/>
    <w:rsid w:val="00847847"/>
    <w:rsid w:val="00847AD7"/>
    <w:rsid w:val="00847B12"/>
    <w:rsid w:val="00847D69"/>
    <w:rsid w:val="00847DE7"/>
    <w:rsid w:val="00850009"/>
    <w:rsid w:val="008500A5"/>
    <w:rsid w:val="008501AF"/>
    <w:rsid w:val="008501C6"/>
    <w:rsid w:val="00850397"/>
    <w:rsid w:val="00850398"/>
    <w:rsid w:val="0085042A"/>
    <w:rsid w:val="0085070D"/>
    <w:rsid w:val="008507EC"/>
    <w:rsid w:val="008507F8"/>
    <w:rsid w:val="00850A3B"/>
    <w:rsid w:val="00850D64"/>
    <w:rsid w:val="0085102C"/>
    <w:rsid w:val="008514A2"/>
    <w:rsid w:val="00851844"/>
    <w:rsid w:val="0085190C"/>
    <w:rsid w:val="0085192E"/>
    <w:rsid w:val="00851939"/>
    <w:rsid w:val="00851DD5"/>
    <w:rsid w:val="00851E62"/>
    <w:rsid w:val="00851E77"/>
    <w:rsid w:val="00851F90"/>
    <w:rsid w:val="00852016"/>
    <w:rsid w:val="00852560"/>
    <w:rsid w:val="0085282F"/>
    <w:rsid w:val="0085297D"/>
    <w:rsid w:val="00852A42"/>
    <w:rsid w:val="00852AF1"/>
    <w:rsid w:val="00852B03"/>
    <w:rsid w:val="00852B42"/>
    <w:rsid w:val="00852B7C"/>
    <w:rsid w:val="00852B86"/>
    <w:rsid w:val="00852BCD"/>
    <w:rsid w:val="00852C95"/>
    <w:rsid w:val="00852DEA"/>
    <w:rsid w:val="00852E51"/>
    <w:rsid w:val="00852E9F"/>
    <w:rsid w:val="00852FFD"/>
    <w:rsid w:val="00853590"/>
    <w:rsid w:val="00853C23"/>
    <w:rsid w:val="00853D29"/>
    <w:rsid w:val="00853DC3"/>
    <w:rsid w:val="00853E53"/>
    <w:rsid w:val="00853FCE"/>
    <w:rsid w:val="0085402A"/>
    <w:rsid w:val="0085434C"/>
    <w:rsid w:val="00854864"/>
    <w:rsid w:val="00854933"/>
    <w:rsid w:val="00854968"/>
    <w:rsid w:val="00854ADD"/>
    <w:rsid w:val="00854B79"/>
    <w:rsid w:val="00854BC6"/>
    <w:rsid w:val="00854C1A"/>
    <w:rsid w:val="00854D07"/>
    <w:rsid w:val="00854D0C"/>
    <w:rsid w:val="00854DEB"/>
    <w:rsid w:val="00854EB2"/>
    <w:rsid w:val="00855092"/>
    <w:rsid w:val="0085521B"/>
    <w:rsid w:val="00855449"/>
    <w:rsid w:val="008554CA"/>
    <w:rsid w:val="00855915"/>
    <w:rsid w:val="00855924"/>
    <w:rsid w:val="00855A0F"/>
    <w:rsid w:val="00855A81"/>
    <w:rsid w:val="00855BB2"/>
    <w:rsid w:val="00855BCE"/>
    <w:rsid w:val="00855BED"/>
    <w:rsid w:val="00855C2A"/>
    <w:rsid w:val="00855D60"/>
    <w:rsid w:val="00855FE2"/>
    <w:rsid w:val="00856106"/>
    <w:rsid w:val="00856154"/>
    <w:rsid w:val="00856188"/>
    <w:rsid w:val="00856425"/>
    <w:rsid w:val="008565AA"/>
    <w:rsid w:val="008566B7"/>
    <w:rsid w:val="008569DB"/>
    <w:rsid w:val="00856AC0"/>
    <w:rsid w:val="00856B08"/>
    <w:rsid w:val="00856B7A"/>
    <w:rsid w:val="00856C9E"/>
    <w:rsid w:val="00856CC3"/>
    <w:rsid w:val="008570C0"/>
    <w:rsid w:val="0085738B"/>
    <w:rsid w:val="0085739A"/>
    <w:rsid w:val="0085786C"/>
    <w:rsid w:val="00857A70"/>
    <w:rsid w:val="00857E1A"/>
    <w:rsid w:val="00857F43"/>
    <w:rsid w:val="00857F77"/>
    <w:rsid w:val="008601E2"/>
    <w:rsid w:val="00860272"/>
    <w:rsid w:val="00860434"/>
    <w:rsid w:val="00860499"/>
    <w:rsid w:val="008605EB"/>
    <w:rsid w:val="0086067A"/>
    <w:rsid w:val="00860A63"/>
    <w:rsid w:val="00860DEA"/>
    <w:rsid w:val="00860F05"/>
    <w:rsid w:val="00860FD3"/>
    <w:rsid w:val="00861051"/>
    <w:rsid w:val="00861142"/>
    <w:rsid w:val="008614A7"/>
    <w:rsid w:val="00861519"/>
    <w:rsid w:val="00861544"/>
    <w:rsid w:val="008619E2"/>
    <w:rsid w:val="00861B21"/>
    <w:rsid w:val="00861E3D"/>
    <w:rsid w:val="0086212F"/>
    <w:rsid w:val="00862153"/>
    <w:rsid w:val="00862281"/>
    <w:rsid w:val="008622DE"/>
    <w:rsid w:val="0086244E"/>
    <w:rsid w:val="00862464"/>
    <w:rsid w:val="008624C2"/>
    <w:rsid w:val="0086273E"/>
    <w:rsid w:val="00862819"/>
    <w:rsid w:val="0086293F"/>
    <w:rsid w:val="00862FF5"/>
    <w:rsid w:val="00863053"/>
    <w:rsid w:val="008630A4"/>
    <w:rsid w:val="00863420"/>
    <w:rsid w:val="0086371D"/>
    <w:rsid w:val="00863B19"/>
    <w:rsid w:val="00863B41"/>
    <w:rsid w:val="00863E61"/>
    <w:rsid w:val="00863EFA"/>
    <w:rsid w:val="0086452E"/>
    <w:rsid w:val="008648C8"/>
    <w:rsid w:val="00864924"/>
    <w:rsid w:val="00864C95"/>
    <w:rsid w:val="008653A0"/>
    <w:rsid w:val="008653EF"/>
    <w:rsid w:val="00865619"/>
    <w:rsid w:val="008659EF"/>
    <w:rsid w:val="00865AE8"/>
    <w:rsid w:val="00866088"/>
    <w:rsid w:val="00866246"/>
    <w:rsid w:val="00866298"/>
    <w:rsid w:val="00866340"/>
    <w:rsid w:val="008665FB"/>
    <w:rsid w:val="00866745"/>
    <w:rsid w:val="0086684A"/>
    <w:rsid w:val="00866A66"/>
    <w:rsid w:val="00866BD4"/>
    <w:rsid w:val="00866D6B"/>
    <w:rsid w:val="00866DD4"/>
    <w:rsid w:val="00866F89"/>
    <w:rsid w:val="0086714B"/>
    <w:rsid w:val="008673C0"/>
    <w:rsid w:val="008674AD"/>
    <w:rsid w:val="00867556"/>
    <w:rsid w:val="00867585"/>
    <w:rsid w:val="00867798"/>
    <w:rsid w:val="00867B30"/>
    <w:rsid w:val="00867BFD"/>
    <w:rsid w:val="00867C97"/>
    <w:rsid w:val="00867F21"/>
    <w:rsid w:val="0087009E"/>
    <w:rsid w:val="00870167"/>
    <w:rsid w:val="008701E4"/>
    <w:rsid w:val="008701ED"/>
    <w:rsid w:val="00870377"/>
    <w:rsid w:val="0087044F"/>
    <w:rsid w:val="00870475"/>
    <w:rsid w:val="008707B0"/>
    <w:rsid w:val="00870803"/>
    <w:rsid w:val="00870819"/>
    <w:rsid w:val="00870932"/>
    <w:rsid w:val="00870A21"/>
    <w:rsid w:val="00870E5B"/>
    <w:rsid w:val="00871027"/>
    <w:rsid w:val="008712AF"/>
    <w:rsid w:val="0087150B"/>
    <w:rsid w:val="00871666"/>
    <w:rsid w:val="008717FD"/>
    <w:rsid w:val="00871AA4"/>
    <w:rsid w:val="00871B89"/>
    <w:rsid w:val="00871C0B"/>
    <w:rsid w:val="00871D2A"/>
    <w:rsid w:val="00871E70"/>
    <w:rsid w:val="00871F34"/>
    <w:rsid w:val="00871F72"/>
    <w:rsid w:val="008722DA"/>
    <w:rsid w:val="00872306"/>
    <w:rsid w:val="0087265E"/>
    <w:rsid w:val="008727FF"/>
    <w:rsid w:val="00872A58"/>
    <w:rsid w:val="00872BF1"/>
    <w:rsid w:val="00872CD9"/>
    <w:rsid w:val="008736BD"/>
    <w:rsid w:val="008737D5"/>
    <w:rsid w:val="00873834"/>
    <w:rsid w:val="00873A62"/>
    <w:rsid w:val="00873A8A"/>
    <w:rsid w:val="00873C04"/>
    <w:rsid w:val="00873E16"/>
    <w:rsid w:val="00873E7A"/>
    <w:rsid w:val="008740A0"/>
    <w:rsid w:val="00874318"/>
    <w:rsid w:val="00874375"/>
    <w:rsid w:val="00874607"/>
    <w:rsid w:val="00874628"/>
    <w:rsid w:val="00874A3D"/>
    <w:rsid w:val="00874C99"/>
    <w:rsid w:val="00874CAA"/>
    <w:rsid w:val="00874CCE"/>
    <w:rsid w:val="00875054"/>
    <w:rsid w:val="008750FB"/>
    <w:rsid w:val="00875136"/>
    <w:rsid w:val="008751E2"/>
    <w:rsid w:val="008753D1"/>
    <w:rsid w:val="0087541B"/>
    <w:rsid w:val="008757A6"/>
    <w:rsid w:val="008757A7"/>
    <w:rsid w:val="00875895"/>
    <w:rsid w:val="0087596C"/>
    <w:rsid w:val="008759D4"/>
    <w:rsid w:val="00875A11"/>
    <w:rsid w:val="00875C04"/>
    <w:rsid w:val="00875C87"/>
    <w:rsid w:val="00875DB4"/>
    <w:rsid w:val="00875EBD"/>
    <w:rsid w:val="00875ECE"/>
    <w:rsid w:val="00875FC4"/>
    <w:rsid w:val="00876253"/>
    <w:rsid w:val="0087659F"/>
    <w:rsid w:val="00876A0E"/>
    <w:rsid w:val="00876A3E"/>
    <w:rsid w:val="00876B5A"/>
    <w:rsid w:val="00876CB6"/>
    <w:rsid w:val="00876EB6"/>
    <w:rsid w:val="00876ECE"/>
    <w:rsid w:val="00877176"/>
    <w:rsid w:val="00877304"/>
    <w:rsid w:val="00877342"/>
    <w:rsid w:val="00877403"/>
    <w:rsid w:val="00877476"/>
    <w:rsid w:val="008775B8"/>
    <w:rsid w:val="00877CE6"/>
    <w:rsid w:val="00877FD7"/>
    <w:rsid w:val="00880040"/>
    <w:rsid w:val="00880315"/>
    <w:rsid w:val="0088038A"/>
    <w:rsid w:val="00880425"/>
    <w:rsid w:val="008804E7"/>
    <w:rsid w:val="008809E1"/>
    <w:rsid w:val="00880A5C"/>
    <w:rsid w:val="00880AFA"/>
    <w:rsid w:val="00880BE0"/>
    <w:rsid w:val="00880CB8"/>
    <w:rsid w:val="00880E5A"/>
    <w:rsid w:val="00880F79"/>
    <w:rsid w:val="00881021"/>
    <w:rsid w:val="00881073"/>
    <w:rsid w:val="00881253"/>
    <w:rsid w:val="0088150A"/>
    <w:rsid w:val="00881687"/>
    <w:rsid w:val="008816B2"/>
    <w:rsid w:val="0088179F"/>
    <w:rsid w:val="0088183C"/>
    <w:rsid w:val="00881921"/>
    <w:rsid w:val="00881A42"/>
    <w:rsid w:val="00881AA0"/>
    <w:rsid w:val="00881CC9"/>
    <w:rsid w:val="00881D3E"/>
    <w:rsid w:val="00881E31"/>
    <w:rsid w:val="00881E51"/>
    <w:rsid w:val="008822BC"/>
    <w:rsid w:val="00882529"/>
    <w:rsid w:val="00882994"/>
    <w:rsid w:val="00882B05"/>
    <w:rsid w:val="00882C52"/>
    <w:rsid w:val="00882E88"/>
    <w:rsid w:val="00882ED6"/>
    <w:rsid w:val="00882F46"/>
    <w:rsid w:val="008830E4"/>
    <w:rsid w:val="008830FE"/>
    <w:rsid w:val="008833F3"/>
    <w:rsid w:val="00883428"/>
    <w:rsid w:val="00883AD2"/>
    <w:rsid w:val="00883B76"/>
    <w:rsid w:val="00883D4B"/>
    <w:rsid w:val="00883F3B"/>
    <w:rsid w:val="00883FEF"/>
    <w:rsid w:val="0088411A"/>
    <w:rsid w:val="008841B1"/>
    <w:rsid w:val="008841EF"/>
    <w:rsid w:val="0088422F"/>
    <w:rsid w:val="0088431A"/>
    <w:rsid w:val="00884464"/>
    <w:rsid w:val="008844E6"/>
    <w:rsid w:val="00884628"/>
    <w:rsid w:val="008848F2"/>
    <w:rsid w:val="00884AC9"/>
    <w:rsid w:val="00884B7E"/>
    <w:rsid w:val="00884B7F"/>
    <w:rsid w:val="00884D4F"/>
    <w:rsid w:val="00884EA4"/>
    <w:rsid w:val="00884EAA"/>
    <w:rsid w:val="00884F0F"/>
    <w:rsid w:val="00884F85"/>
    <w:rsid w:val="008851F0"/>
    <w:rsid w:val="0088529A"/>
    <w:rsid w:val="008852A8"/>
    <w:rsid w:val="0088542F"/>
    <w:rsid w:val="0088556D"/>
    <w:rsid w:val="008855FA"/>
    <w:rsid w:val="00885647"/>
    <w:rsid w:val="00885756"/>
    <w:rsid w:val="008859D9"/>
    <w:rsid w:val="00885A4A"/>
    <w:rsid w:val="0088605B"/>
    <w:rsid w:val="008861A3"/>
    <w:rsid w:val="0088624F"/>
    <w:rsid w:val="00886299"/>
    <w:rsid w:val="008862A3"/>
    <w:rsid w:val="00886746"/>
    <w:rsid w:val="00886753"/>
    <w:rsid w:val="008868DC"/>
    <w:rsid w:val="008869E6"/>
    <w:rsid w:val="00886B69"/>
    <w:rsid w:val="00886BB0"/>
    <w:rsid w:val="00886F16"/>
    <w:rsid w:val="00886F2C"/>
    <w:rsid w:val="0088706D"/>
    <w:rsid w:val="0088727E"/>
    <w:rsid w:val="0088733F"/>
    <w:rsid w:val="0088744F"/>
    <w:rsid w:val="008874E0"/>
    <w:rsid w:val="0088766E"/>
    <w:rsid w:val="008876A5"/>
    <w:rsid w:val="00887711"/>
    <w:rsid w:val="00887B76"/>
    <w:rsid w:val="00887B8E"/>
    <w:rsid w:val="00887CAC"/>
    <w:rsid w:val="008904F8"/>
    <w:rsid w:val="00890677"/>
    <w:rsid w:val="00890768"/>
    <w:rsid w:val="008907E8"/>
    <w:rsid w:val="0089092F"/>
    <w:rsid w:val="00890994"/>
    <w:rsid w:val="00890AC3"/>
    <w:rsid w:val="00890D7B"/>
    <w:rsid w:val="00890E72"/>
    <w:rsid w:val="00891051"/>
    <w:rsid w:val="00891074"/>
    <w:rsid w:val="008910F3"/>
    <w:rsid w:val="008911EA"/>
    <w:rsid w:val="0089129D"/>
    <w:rsid w:val="008913D4"/>
    <w:rsid w:val="008914BE"/>
    <w:rsid w:val="008915CB"/>
    <w:rsid w:val="0089177C"/>
    <w:rsid w:val="00891786"/>
    <w:rsid w:val="008917E3"/>
    <w:rsid w:val="00891AD2"/>
    <w:rsid w:val="00891ADF"/>
    <w:rsid w:val="00891D15"/>
    <w:rsid w:val="00891D77"/>
    <w:rsid w:val="00891F35"/>
    <w:rsid w:val="0089206D"/>
    <w:rsid w:val="008923CD"/>
    <w:rsid w:val="0089249C"/>
    <w:rsid w:val="0089258C"/>
    <w:rsid w:val="00892750"/>
    <w:rsid w:val="00892859"/>
    <w:rsid w:val="00892920"/>
    <w:rsid w:val="00892A6C"/>
    <w:rsid w:val="00892A89"/>
    <w:rsid w:val="00892B51"/>
    <w:rsid w:val="00892C97"/>
    <w:rsid w:val="00892D83"/>
    <w:rsid w:val="00892FFC"/>
    <w:rsid w:val="008930F2"/>
    <w:rsid w:val="00893104"/>
    <w:rsid w:val="00893259"/>
    <w:rsid w:val="0089366F"/>
    <w:rsid w:val="0089371F"/>
    <w:rsid w:val="008939C4"/>
    <w:rsid w:val="00893A0F"/>
    <w:rsid w:val="00893BBF"/>
    <w:rsid w:val="00893CFA"/>
    <w:rsid w:val="00893E3C"/>
    <w:rsid w:val="00894079"/>
    <w:rsid w:val="0089419C"/>
    <w:rsid w:val="0089420F"/>
    <w:rsid w:val="00894246"/>
    <w:rsid w:val="008942F3"/>
    <w:rsid w:val="00894342"/>
    <w:rsid w:val="008944B2"/>
    <w:rsid w:val="00894553"/>
    <w:rsid w:val="0089458A"/>
    <w:rsid w:val="00894662"/>
    <w:rsid w:val="00894685"/>
    <w:rsid w:val="00894688"/>
    <w:rsid w:val="008946CF"/>
    <w:rsid w:val="0089482F"/>
    <w:rsid w:val="008948F0"/>
    <w:rsid w:val="00894A44"/>
    <w:rsid w:val="00894CC1"/>
    <w:rsid w:val="00894DAB"/>
    <w:rsid w:val="0089514B"/>
    <w:rsid w:val="00895377"/>
    <w:rsid w:val="008953D8"/>
    <w:rsid w:val="008954C3"/>
    <w:rsid w:val="00895888"/>
    <w:rsid w:val="00895AEA"/>
    <w:rsid w:val="00896162"/>
    <w:rsid w:val="008962DC"/>
    <w:rsid w:val="008962FC"/>
    <w:rsid w:val="008965B7"/>
    <w:rsid w:val="00896687"/>
    <w:rsid w:val="00896A1B"/>
    <w:rsid w:val="00896AEC"/>
    <w:rsid w:val="00897030"/>
    <w:rsid w:val="008970A9"/>
    <w:rsid w:val="0089719F"/>
    <w:rsid w:val="00897687"/>
    <w:rsid w:val="008976F7"/>
    <w:rsid w:val="00897B39"/>
    <w:rsid w:val="00897E4F"/>
    <w:rsid w:val="008A0059"/>
    <w:rsid w:val="008A007A"/>
    <w:rsid w:val="008A0275"/>
    <w:rsid w:val="008A04C5"/>
    <w:rsid w:val="008A05C3"/>
    <w:rsid w:val="008A0B77"/>
    <w:rsid w:val="008A0E04"/>
    <w:rsid w:val="008A0F34"/>
    <w:rsid w:val="008A1044"/>
    <w:rsid w:val="008A10F6"/>
    <w:rsid w:val="008A1222"/>
    <w:rsid w:val="008A1831"/>
    <w:rsid w:val="008A1853"/>
    <w:rsid w:val="008A1A80"/>
    <w:rsid w:val="008A1A89"/>
    <w:rsid w:val="008A1AC8"/>
    <w:rsid w:val="008A1CC6"/>
    <w:rsid w:val="008A1CE3"/>
    <w:rsid w:val="008A1D0A"/>
    <w:rsid w:val="008A1F53"/>
    <w:rsid w:val="008A22F3"/>
    <w:rsid w:val="008A2552"/>
    <w:rsid w:val="008A25C6"/>
    <w:rsid w:val="008A27FE"/>
    <w:rsid w:val="008A2B63"/>
    <w:rsid w:val="008A2F5A"/>
    <w:rsid w:val="008A31A3"/>
    <w:rsid w:val="008A34B5"/>
    <w:rsid w:val="008A34E5"/>
    <w:rsid w:val="008A35EF"/>
    <w:rsid w:val="008A37A4"/>
    <w:rsid w:val="008A39B0"/>
    <w:rsid w:val="008A39C4"/>
    <w:rsid w:val="008A3AB3"/>
    <w:rsid w:val="008A3B46"/>
    <w:rsid w:val="008A3C47"/>
    <w:rsid w:val="008A3C93"/>
    <w:rsid w:val="008A3DC9"/>
    <w:rsid w:val="008A422A"/>
    <w:rsid w:val="008A42C8"/>
    <w:rsid w:val="008A42D0"/>
    <w:rsid w:val="008A43C2"/>
    <w:rsid w:val="008A45E5"/>
    <w:rsid w:val="008A46FC"/>
    <w:rsid w:val="008A4A68"/>
    <w:rsid w:val="008A4C0A"/>
    <w:rsid w:val="008A4CF7"/>
    <w:rsid w:val="008A4F41"/>
    <w:rsid w:val="008A5273"/>
    <w:rsid w:val="008A5293"/>
    <w:rsid w:val="008A56BF"/>
    <w:rsid w:val="008A5926"/>
    <w:rsid w:val="008A5C9E"/>
    <w:rsid w:val="008A5E66"/>
    <w:rsid w:val="008A5F27"/>
    <w:rsid w:val="008A60C1"/>
    <w:rsid w:val="008A63C6"/>
    <w:rsid w:val="008A6499"/>
    <w:rsid w:val="008A650E"/>
    <w:rsid w:val="008A6525"/>
    <w:rsid w:val="008A663A"/>
    <w:rsid w:val="008A664D"/>
    <w:rsid w:val="008A6CBF"/>
    <w:rsid w:val="008A6E3B"/>
    <w:rsid w:val="008A7093"/>
    <w:rsid w:val="008A730D"/>
    <w:rsid w:val="008A7781"/>
    <w:rsid w:val="008A785B"/>
    <w:rsid w:val="008A786D"/>
    <w:rsid w:val="008A7881"/>
    <w:rsid w:val="008A7977"/>
    <w:rsid w:val="008A7C1F"/>
    <w:rsid w:val="008A7D2A"/>
    <w:rsid w:val="008A7E42"/>
    <w:rsid w:val="008A7E91"/>
    <w:rsid w:val="008A7F5B"/>
    <w:rsid w:val="008B0362"/>
    <w:rsid w:val="008B03E6"/>
    <w:rsid w:val="008B043D"/>
    <w:rsid w:val="008B0594"/>
    <w:rsid w:val="008B05FF"/>
    <w:rsid w:val="008B063E"/>
    <w:rsid w:val="008B091B"/>
    <w:rsid w:val="008B0A98"/>
    <w:rsid w:val="008B0D30"/>
    <w:rsid w:val="008B0DAD"/>
    <w:rsid w:val="008B0EA8"/>
    <w:rsid w:val="008B0EBB"/>
    <w:rsid w:val="008B0F4E"/>
    <w:rsid w:val="008B10B9"/>
    <w:rsid w:val="008B1114"/>
    <w:rsid w:val="008B11C0"/>
    <w:rsid w:val="008B1237"/>
    <w:rsid w:val="008B15D5"/>
    <w:rsid w:val="008B167B"/>
    <w:rsid w:val="008B1799"/>
    <w:rsid w:val="008B17C2"/>
    <w:rsid w:val="008B193B"/>
    <w:rsid w:val="008B19BC"/>
    <w:rsid w:val="008B19FC"/>
    <w:rsid w:val="008B1A05"/>
    <w:rsid w:val="008B1C85"/>
    <w:rsid w:val="008B1DED"/>
    <w:rsid w:val="008B1DFF"/>
    <w:rsid w:val="008B1E05"/>
    <w:rsid w:val="008B1FBD"/>
    <w:rsid w:val="008B200C"/>
    <w:rsid w:val="008B20EB"/>
    <w:rsid w:val="008B22A7"/>
    <w:rsid w:val="008B2450"/>
    <w:rsid w:val="008B272C"/>
    <w:rsid w:val="008B2766"/>
    <w:rsid w:val="008B28FA"/>
    <w:rsid w:val="008B2F96"/>
    <w:rsid w:val="008B3274"/>
    <w:rsid w:val="008B360A"/>
    <w:rsid w:val="008B36B7"/>
    <w:rsid w:val="008B37BE"/>
    <w:rsid w:val="008B3974"/>
    <w:rsid w:val="008B3A43"/>
    <w:rsid w:val="008B3B63"/>
    <w:rsid w:val="008B3D3B"/>
    <w:rsid w:val="008B3EE2"/>
    <w:rsid w:val="008B402D"/>
    <w:rsid w:val="008B4075"/>
    <w:rsid w:val="008B4206"/>
    <w:rsid w:val="008B42FC"/>
    <w:rsid w:val="008B45FB"/>
    <w:rsid w:val="008B4A29"/>
    <w:rsid w:val="008B4C53"/>
    <w:rsid w:val="008B4D9E"/>
    <w:rsid w:val="008B4DF0"/>
    <w:rsid w:val="008B51DD"/>
    <w:rsid w:val="008B5269"/>
    <w:rsid w:val="008B52CA"/>
    <w:rsid w:val="008B56AD"/>
    <w:rsid w:val="008B5734"/>
    <w:rsid w:val="008B58C8"/>
    <w:rsid w:val="008B5AD0"/>
    <w:rsid w:val="008B5C8B"/>
    <w:rsid w:val="008B5CCB"/>
    <w:rsid w:val="008B5D3C"/>
    <w:rsid w:val="008B5E83"/>
    <w:rsid w:val="008B5EBF"/>
    <w:rsid w:val="008B6016"/>
    <w:rsid w:val="008B609A"/>
    <w:rsid w:val="008B60BA"/>
    <w:rsid w:val="008B6384"/>
    <w:rsid w:val="008B6648"/>
    <w:rsid w:val="008B69E9"/>
    <w:rsid w:val="008B6A20"/>
    <w:rsid w:val="008B6AF1"/>
    <w:rsid w:val="008B6B23"/>
    <w:rsid w:val="008B6D24"/>
    <w:rsid w:val="008B6D36"/>
    <w:rsid w:val="008B6E13"/>
    <w:rsid w:val="008B6F3F"/>
    <w:rsid w:val="008B703A"/>
    <w:rsid w:val="008B7787"/>
    <w:rsid w:val="008B78A0"/>
    <w:rsid w:val="008B7932"/>
    <w:rsid w:val="008B7A1B"/>
    <w:rsid w:val="008B7AE3"/>
    <w:rsid w:val="008B7DA7"/>
    <w:rsid w:val="008B7DD5"/>
    <w:rsid w:val="008B7E24"/>
    <w:rsid w:val="008C0215"/>
    <w:rsid w:val="008C03B0"/>
    <w:rsid w:val="008C044B"/>
    <w:rsid w:val="008C0507"/>
    <w:rsid w:val="008C072C"/>
    <w:rsid w:val="008C080C"/>
    <w:rsid w:val="008C0840"/>
    <w:rsid w:val="008C099A"/>
    <w:rsid w:val="008C0F25"/>
    <w:rsid w:val="008C111A"/>
    <w:rsid w:val="008C13A7"/>
    <w:rsid w:val="008C1633"/>
    <w:rsid w:val="008C16BE"/>
    <w:rsid w:val="008C183E"/>
    <w:rsid w:val="008C193A"/>
    <w:rsid w:val="008C1A86"/>
    <w:rsid w:val="008C1AAA"/>
    <w:rsid w:val="008C1B4A"/>
    <w:rsid w:val="008C1B88"/>
    <w:rsid w:val="008C1C3C"/>
    <w:rsid w:val="008C1CD3"/>
    <w:rsid w:val="008C1DE4"/>
    <w:rsid w:val="008C20B3"/>
    <w:rsid w:val="008C21D4"/>
    <w:rsid w:val="008C2216"/>
    <w:rsid w:val="008C25EB"/>
    <w:rsid w:val="008C27C4"/>
    <w:rsid w:val="008C2A15"/>
    <w:rsid w:val="008C2CCA"/>
    <w:rsid w:val="008C2D78"/>
    <w:rsid w:val="008C2E44"/>
    <w:rsid w:val="008C2EF1"/>
    <w:rsid w:val="008C2F18"/>
    <w:rsid w:val="008C2FE9"/>
    <w:rsid w:val="008C318B"/>
    <w:rsid w:val="008C3253"/>
    <w:rsid w:val="008C3307"/>
    <w:rsid w:val="008C341B"/>
    <w:rsid w:val="008C343B"/>
    <w:rsid w:val="008C36D9"/>
    <w:rsid w:val="008C3873"/>
    <w:rsid w:val="008C38AF"/>
    <w:rsid w:val="008C38D8"/>
    <w:rsid w:val="008C38F2"/>
    <w:rsid w:val="008C39FA"/>
    <w:rsid w:val="008C3D0B"/>
    <w:rsid w:val="008C3D2B"/>
    <w:rsid w:val="008C3D79"/>
    <w:rsid w:val="008C3DC5"/>
    <w:rsid w:val="008C3DD9"/>
    <w:rsid w:val="008C4110"/>
    <w:rsid w:val="008C4260"/>
    <w:rsid w:val="008C474A"/>
    <w:rsid w:val="008C4768"/>
    <w:rsid w:val="008C47ED"/>
    <w:rsid w:val="008C4849"/>
    <w:rsid w:val="008C48FE"/>
    <w:rsid w:val="008C4BE0"/>
    <w:rsid w:val="008C4C0E"/>
    <w:rsid w:val="008C4D06"/>
    <w:rsid w:val="008C52C1"/>
    <w:rsid w:val="008C5354"/>
    <w:rsid w:val="008C54E8"/>
    <w:rsid w:val="008C54EC"/>
    <w:rsid w:val="008C56B8"/>
    <w:rsid w:val="008C5731"/>
    <w:rsid w:val="008C5871"/>
    <w:rsid w:val="008C5A12"/>
    <w:rsid w:val="008C5BB0"/>
    <w:rsid w:val="008C5BEE"/>
    <w:rsid w:val="008C5D2C"/>
    <w:rsid w:val="008C5DA4"/>
    <w:rsid w:val="008C6041"/>
    <w:rsid w:val="008C608B"/>
    <w:rsid w:val="008C66E1"/>
    <w:rsid w:val="008C6B16"/>
    <w:rsid w:val="008C6B42"/>
    <w:rsid w:val="008C6BD2"/>
    <w:rsid w:val="008C6C07"/>
    <w:rsid w:val="008C6E56"/>
    <w:rsid w:val="008C6F04"/>
    <w:rsid w:val="008C7097"/>
    <w:rsid w:val="008C7322"/>
    <w:rsid w:val="008C74E3"/>
    <w:rsid w:val="008C7633"/>
    <w:rsid w:val="008C765A"/>
    <w:rsid w:val="008C7703"/>
    <w:rsid w:val="008C7985"/>
    <w:rsid w:val="008C7C31"/>
    <w:rsid w:val="008C7C98"/>
    <w:rsid w:val="008C7CA0"/>
    <w:rsid w:val="008C7D03"/>
    <w:rsid w:val="008C7F2D"/>
    <w:rsid w:val="008C7F52"/>
    <w:rsid w:val="008C7F56"/>
    <w:rsid w:val="008D00E4"/>
    <w:rsid w:val="008D0142"/>
    <w:rsid w:val="008D01EB"/>
    <w:rsid w:val="008D0619"/>
    <w:rsid w:val="008D0E2F"/>
    <w:rsid w:val="008D0E95"/>
    <w:rsid w:val="008D0F41"/>
    <w:rsid w:val="008D0F53"/>
    <w:rsid w:val="008D0FC0"/>
    <w:rsid w:val="008D1096"/>
    <w:rsid w:val="008D12C3"/>
    <w:rsid w:val="008D14D8"/>
    <w:rsid w:val="008D1836"/>
    <w:rsid w:val="008D19EC"/>
    <w:rsid w:val="008D1C01"/>
    <w:rsid w:val="008D1F82"/>
    <w:rsid w:val="008D2088"/>
    <w:rsid w:val="008D20D5"/>
    <w:rsid w:val="008D2101"/>
    <w:rsid w:val="008D266D"/>
    <w:rsid w:val="008D270B"/>
    <w:rsid w:val="008D282B"/>
    <w:rsid w:val="008D2924"/>
    <w:rsid w:val="008D292D"/>
    <w:rsid w:val="008D2D8D"/>
    <w:rsid w:val="008D2DF7"/>
    <w:rsid w:val="008D2E32"/>
    <w:rsid w:val="008D2E89"/>
    <w:rsid w:val="008D3125"/>
    <w:rsid w:val="008D3174"/>
    <w:rsid w:val="008D317C"/>
    <w:rsid w:val="008D3195"/>
    <w:rsid w:val="008D3284"/>
    <w:rsid w:val="008D32A1"/>
    <w:rsid w:val="008D332C"/>
    <w:rsid w:val="008D3337"/>
    <w:rsid w:val="008D34E5"/>
    <w:rsid w:val="008D3649"/>
    <w:rsid w:val="008D3650"/>
    <w:rsid w:val="008D367B"/>
    <w:rsid w:val="008D386D"/>
    <w:rsid w:val="008D3E41"/>
    <w:rsid w:val="008D3EE8"/>
    <w:rsid w:val="008D40BB"/>
    <w:rsid w:val="008D4109"/>
    <w:rsid w:val="008D4207"/>
    <w:rsid w:val="008D4436"/>
    <w:rsid w:val="008D4589"/>
    <w:rsid w:val="008D4654"/>
    <w:rsid w:val="008D46A1"/>
    <w:rsid w:val="008D46AF"/>
    <w:rsid w:val="008D4831"/>
    <w:rsid w:val="008D489A"/>
    <w:rsid w:val="008D4965"/>
    <w:rsid w:val="008D4D24"/>
    <w:rsid w:val="008D4D4B"/>
    <w:rsid w:val="008D4E6D"/>
    <w:rsid w:val="008D4EAA"/>
    <w:rsid w:val="008D4FDB"/>
    <w:rsid w:val="008D4FF1"/>
    <w:rsid w:val="008D51C2"/>
    <w:rsid w:val="008D52CC"/>
    <w:rsid w:val="008D5441"/>
    <w:rsid w:val="008D54DF"/>
    <w:rsid w:val="008D54F6"/>
    <w:rsid w:val="008D56D6"/>
    <w:rsid w:val="008D5C32"/>
    <w:rsid w:val="008D5D1B"/>
    <w:rsid w:val="008D5F11"/>
    <w:rsid w:val="008D60B2"/>
    <w:rsid w:val="008D61F0"/>
    <w:rsid w:val="008D6292"/>
    <w:rsid w:val="008D62AB"/>
    <w:rsid w:val="008D6612"/>
    <w:rsid w:val="008D6671"/>
    <w:rsid w:val="008D6755"/>
    <w:rsid w:val="008D6909"/>
    <w:rsid w:val="008D69E1"/>
    <w:rsid w:val="008D6A8E"/>
    <w:rsid w:val="008D6AD6"/>
    <w:rsid w:val="008D6C06"/>
    <w:rsid w:val="008D6D3C"/>
    <w:rsid w:val="008D6D61"/>
    <w:rsid w:val="008D6E36"/>
    <w:rsid w:val="008D6F31"/>
    <w:rsid w:val="008D6F6E"/>
    <w:rsid w:val="008D70EA"/>
    <w:rsid w:val="008D73D8"/>
    <w:rsid w:val="008D7489"/>
    <w:rsid w:val="008D76E4"/>
    <w:rsid w:val="008D7896"/>
    <w:rsid w:val="008D7923"/>
    <w:rsid w:val="008D7988"/>
    <w:rsid w:val="008D799F"/>
    <w:rsid w:val="008D7A5F"/>
    <w:rsid w:val="008D7B33"/>
    <w:rsid w:val="008E00D1"/>
    <w:rsid w:val="008E0337"/>
    <w:rsid w:val="008E04B0"/>
    <w:rsid w:val="008E0937"/>
    <w:rsid w:val="008E0A35"/>
    <w:rsid w:val="008E0AE9"/>
    <w:rsid w:val="008E0BBD"/>
    <w:rsid w:val="008E0E7F"/>
    <w:rsid w:val="008E0EA8"/>
    <w:rsid w:val="008E0F9D"/>
    <w:rsid w:val="008E13B9"/>
    <w:rsid w:val="008E1536"/>
    <w:rsid w:val="008E1585"/>
    <w:rsid w:val="008E164D"/>
    <w:rsid w:val="008E1735"/>
    <w:rsid w:val="008E19B0"/>
    <w:rsid w:val="008E1B79"/>
    <w:rsid w:val="008E1C6E"/>
    <w:rsid w:val="008E1D7E"/>
    <w:rsid w:val="008E1F68"/>
    <w:rsid w:val="008E206B"/>
    <w:rsid w:val="008E2152"/>
    <w:rsid w:val="008E22C2"/>
    <w:rsid w:val="008E25E3"/>
    <w:rsid w:val="008E2726"/>
    <w:rsid w:val="008E292A"/>
    <w:rsid w:val="008E2986"/>
    <w:rsid w:val="008E2A25"/>
    <w:rsid w:val="008E2B64"/>
    <w:rsid w:val="008E2F89"/>
    <w:rsid w:val="008E325E"/>
    <w:rsid w:val="008E35E2"/>
    <w:rsid w:val="008E35E9"/>
    <w:rsid w:val="008E3663"/>
    <w:rsid w:val="008E36A7"/>
    <w:rsid w:val="008E36C5"/>
    <w:rsid w:val="008E378C"/>
    <w:rsid w:val="008E37F2"/>
    <w:rsid w:val="008E3B31"/>
    <w:rsid w:val="008E3B54"/>
    <w:rsid w:val="008E3B8A"/>
    <w:rsid w:val="008E3D7A"/>
    <w:rsid w:val="008E4199"/>
    <w:rsid w:val="008E42A1"/>
    <w:rsid w:val="008E431C"/>
    <w:rsid w:val="008E438D"/>
    <w:rsid w:val="008E459E"/>
    <w:rsid w:val="008E460A"/>
    <w:rsid w:val="008E472F"/>
    <w:rsid w:val="008E482B"/>
    <w:rsid w:val="008E48B2"/>
    <w:rsid w:val="008E49D0"/>
    <w:rsid w:val="008E4AF2"/>
    <w:rsid w:val="008E4BB7"/>
    <w:rsid w:val="008E4D05"/>
    <w:rsid w:val="008E4D3E"/>
    <w:rsid w:val="008E4E0C"/>
    <w:rsid w:val="008E50DE"/>
    <w:rsid w:val="008E51FD"/>
    <w:rsid w:val="008E5586"/>
    <w:rsid w:val="008E57CD"/>
    <w:rsid w:val="008E5836"/>
    <w:rsid w:val="008E5AB5"/>
    <w:rsid w:val="008E5B4D"/>
    <w:rsid w:val="008E5E5A"/>
    <w:rsid w:val="008E5EA8"/>
    <w:rsid w:val="008E5F88"/>
    <w:rsid w:val="008E6054"/>
    <w:rsid w:val="008E6114"/>
    <w:rsid w:val="008E6157"/>
    <w:rsid w:val="008E6189"/>
    <w:rsid w:val="008E6334"/>
    <w:rsid w:val="008E63E4"/>
    <w:rsid w:val="008E655E"/>
    <w:rsid w:val="008E65F6"/>
    <w:rsid w:val="008E6821"/>
    <w:rsid w:val="008E6C0D"/>
    <w:rsid w:val="008E6CA8"/>
    <w:rsid w:val="008E6DD9"/>
    <w:rsid w:val="008E6F77"/>
    <w:rsid w:val="008E713C"/>
    <w:rsid w:val="008E72B5"/>
    <w:rsid w:val="008E76B9"/>
    <w:rsid w:val="008E76D7"/>
    <w:rsid w:val="008E77C5"/>
    <w:rsid w:val="008E79FD"/>
    <w:rsid w:val="008E7A31"/>
    <w:rsid w:val="008E7E06"/>
    <w:rsid w:val="008E7F12"/>
    <w:rsid w:val="008E7F52"/>
    <w:rsid w:val="008F0094"/>
    <w:rsid w:val="008F024A"/>
    <w:rsid w:val="008F02BE"/>
    <w:rsid w:val="008F02F4"/>
    <w:rsid w:val="008F0465"/>
    <w:rsid w:val="008F0469"/>
    <w:rsid w:val="008F0483"/>
    <w:rsid w:val="008F04CB"/>
    <w:rsid w:val="008F056E"/>
    <w:rsid w:val="008F05C2"/>
    <w:rsid w:val="008F067F"/>
    <w:rsid w:val="008F071A"/>
    <w:rsid w:val="008F0868"/>
    <w:rsid w:val="008F0C3D"/>
    <w:rsid w:val="008F0D5C"/>
    <w:rsid w:val="008F0E75"/>
    <w:rsid w:val="008F1209"/>
    <w:rsid w:val="008F150E"/>
    <w:rsid w:val="008F192B"/>
    <w:rsid w:val="008F19D6"/>
    <w:rsid w:val="008F1AAB"/>
    <w:rsid w:val="008F1BE4"/>
    <w:rsid w:val="008F1CAA"/>
    <w:rsid w:val="008F1D94"/>
    <w:rsid w:val="008F1E93"/>
    <w:rsid w:val="008F23CA"/>
    <w:rsid w:val="008F249D"/>
    <w:rsid w:val="008F2654"/>
    <w:rsid w:val="008F27DA"/>
    <w:rsid w:val="008F29B4"/>
    <w:rsid w:val="008F2C78"/>
    <w:rsid w:val="008F2CF4"/>
    <w:rsid w:val="008F2D5E"/>
    <w:rsid w:val="008F2E6F"/>
    <w:rsid w:val="008F300C"/>
    <w:rsid w:val="008F3016"/>
    <w:rsid w:val="008F31C9"/>
    <w:rsid w:val="008F3221"/>
    <w:rsid w:val="008F33A9"/>
    <w:rsid w:val="008F33D9"/>
    <w:rsid w:val="008F3582"/>
    <w:rsid w:val="008F379A"/>
    <w:rsid w:val="008F38F0"/>
    <w:rsid w:val="008F39C4"/>
    <w:rsid w:val="008F39CF"/>
    <w:rsid w:val="008F3A5E"/>
    <w:rsid w:val="008F3A90"/>
    <w:rsid w:val="008F3ADE"/>
    <w:rsid w:val="008F3B3D"/>
    <w:rsid w:val="008F3C18"/>
    <w:rsid w:val="008F41C9"/>
    <w:rsid w:val="008F465D"/>
    <w:rsid w:val="008F46B0"/>
    <w:rsid w:val="008F4761"/>
    <w:rsid w:val="008F48F2"/>
    <w:rsid w:val="008F4AE3"/>
    <w:rsid w:val="008F4EAC"/>
    <w:rsid w:val="008F50B2"/>
    <w:rsid w:val="008F523F"/>
    <w:rsid w:val="008F5493"/>
    <w:rsid w:val="008F5714"/>
    <w:rsid w:val="008F573B"/>
    <w:rsid w:val="008F589F"/>
    <w:rsid w:val="008F5AEB"/>
    <w:rsid w:val="008F5B62"/>
    <w:rsid w:val="008F5B98"/>
    <w:rsid w:val="008F5E15"/>
    <w:rsid w:val="008F5F52"/>
    <w:rsid w:val="008F66D7"/>
    <w:rsid w:val="008F67B2"/>
    <w:rsid w:val="008F699F"/>
    <w:rsid w:val="008F69D1"/>
    <w:rsid w:val="008F6AC9"/>
    <w:rsid w:val="008F6F88"/>
    <w:rsid w:val="008F7011"/>
    <w:rsid w:val="008F704B"/>
    <w:rsid w:val="008F70A4"/>
    <w:rsid w:val="008F72C0"/>
    <w:rsid w:val="008F7347"/>
    <w:rsid w:val="008F73AB"/>
    <w:rsid w:val="008F74C8"/>
    <w:rsid w:val="008F7773"/>
    <w:rsid w:val="008F7817"/>
    <w:rsid w:val="008F7E0E"/>
    <w:rsid w:val="008F7E2B"/>
    <w:rsid w:val="008F7F45"/>
    <w:rsid w:val="009003E4"/>
    <w:rsid w:val="0090040F"/>
    <w:rsid w:val="0090048A"/>
    <w:rsid w:val="00900571"/>
    <w:rsid w:val="009005C5"/>
    <w:rsid w:val="0090077D"/>
    <w:rsid w:val="009008DD"/>
    <w:rsid w:val="009008F1"/>
    <w:rsid w:val="00900BAB"/>
    <w:rsid w:val="00900C4A"/>
    <w:rsid w:val="00901128"/>
    <w:rsid w:val="00901276"/>
    <w:rsid w:val="009012C5"/>
    <w:rsid w:val="0090145F"/>
    <w:rsid w:val="009015CD"/>
    <w:rsid w:val="009018E0"/>
    <w:rsid w:val="00901A8F"/>
    <w:rsid w:val="00901AFA"/>
    <w:rsid w:val="00901CCB"/>
    <w:rsid w:val="00901FB5"/>
    <w:rsid w:val="00902278"/>
    <w:rsid w:val="009022D0"/>
    <w:rsid w:val="009022F9"/>
    <w:rsid w:val="009023CF"/>
    <w:rsid w:val="009023D1"/>
    <w:rsid w:val="00902741"/>
    <w:rsid w:val="0090274E"/>
    <w:rsid w:val="009027A5"/>
    <w:rsid w:val="0090287F"/>
    <w:rsid w:val="009028E9"/>
    <w:rsid w:val="00902957"/>
    <w:rsid w:val="00902A9B"/>
    <w:rsid w:val="00902D10"/>
    <w:rsid w:val="00902D79"/>
    <w:rsid w:val="00902DF4"/>
    <w:rsid w:val="00902E5B"/>
    <w:rsid w:val="00903072"/>
    <w:rsid w:val="009031C7"/>
    <w:rsid w:val="009032A0"/>
    <w:rsid w:val="00903446"/>
    <w:rsid w:val="00903753"/>
    <w:rsid w:val="00903A70"/>
    <w:rsid w:val="00903C70"/>
    <w:rsid w:val="00903C8B"/>
    <w:rsid w:val="00903C95"/>
    <w:rsid w:val="009042F0"/>
    <w:rsid w:val="009043ED"/>
    <w:rsid w:val="00904D59"/>
    <w:rsid w:val="00904D6C"/>
    <w:rsid w:val="009051F7"/>
    <w:rsid w:val="009053CA"/>
    <w:rsid w:val="0090552F"/>
    <w:rsid w:val="00905581"/>
    <w:rsid w:val="0090561E"/>
    <w:rsid w:val="0090581B"/>
    <w:rsid w:val="0090584A"/>
    <w:rsid w:val="00905C1F"/>
    <w:rsid w:val="00906246"/>
    <w:rsid w:val="00906375"/>
    <w:rsid w:val="0090680E"/>
    <w:rsid w:val="00906999"/>
    <w:rsid w:val="009069B9"/>
    <w:rsid w:val="00906A49"/>
    <w:rsid w:val="00906A4A"/>
    <w:rsid w:val="00906EEA"/>
    <w:rsid w:val="00906FCA"/>
    <w:rsid w:val="00907675"/>
    <w:rsid w:val="009078E6"/>
    <w:rsid w:val="00907A37"/>
    <w:rsid w:val="00907BF7"/>
    <w:rsid w:val="00907D2B"/>
    <w:rsid w:val="009100F7"/>
    <w:rsid w:val="0091017C"/>
    <w:rsid w:val="009102C6"/>
    <w:rsid w:val="00910379"/>
    <w:rsid w:val="009105FB"/>
    <w:rsid w:val="009107B9"/>
    <w:rsid w:val="00910938"/>
    <w:rsid w:val="00910C7F"/>
    <w:rsid w:val="00910FE8"/>
    <w:rsid w:val="009112DB"/>
    <w:rsid w:val="00911742"/>
    <w:rsid w:val="00911A16"/>
    <w:rsid w:val="00911B5B"/>
    <w:rsid w:val="00911BDF"/>
    <w:rsid w:val="00911C80"/>
    <w:rsid w:val="00911C86"/>
    <w:rsid w:val="00911DD0"/>
    <w:rsid w:val="00912123"/>
    <w:rsid w:val="0091217A"/>
    <w:rsid w:val="009124D3"/>
    <w:rsid w:val="0091251E"/>
    <w:rsid w:val="0091267B"/>
    <w:rsid w:val="00912798"/>
    <w:rsid w:val="0091292A"/>
    <w:rsid w:val="00912B8B"/>
    <w:rsid w:val="00912DCF"/>
    <w:rsid w:val="00912E7B"/>
    <w:rsid w:val="00912E8A"/>
    <w:rsid w:val="00913185"/>
    <w:rsid w:val="00913278"/>
    <w:rsid w:val="009132BC"/>
    <w:rsid w:val="009135FE"/>
    <w:rsid w:val="009137C0"/>
    <w:rsid w:val="009138B3"/>
    <w:rsid w:val="009138DC"/>
    <w:rsid w:val="009138ED"/>
    <w:rsid w:val="00913A3F"/>
    <w:rsid w:val="00913D94"/>
    <w:rsid w:val="00913DE4"/>
    <w:rsid w:val="00913FA7"/>
    <w:rsid w:val="0091413E"/>
    <w:rsid w:val="009141BE"/>
    <w:rsid w:val="009144C7"/>
    <w:rsid w:val="00914689"/>
    <w:rsid w:val="009146BF"/>
    <w:rsid w:val="00914751"/>
    <w:rsid w:val="009148BE"/>
    <w:rsid w:val="00914A1A"/>
    <w:rsid w:val="00914B8E"/>
    <w:rsid w:val="00914C1B"/>
    <w:rsid w:val="00914C4B"/>
    <w:rsid w:val="00914C93"/>
    <w:rsid w:val="00914DB4"/>
    <w:rsid w:val="00914E53"/>
    <w:rsid w:val="00914F67"/>
    <w:rsid w:val="009150BD"/>
    <w:rsid w:val="009150CE"/>
    <w:rsid w:val="00915200"/>
    <w:rsid w:val="00915220"/>
    <w:rsid w:val="00915231"/>
    <w:rsid w:val="009152C3"/>
    <w:rsid w:val="009153CA"/>
    <w:rsid w:val="00915457"/>
    <w:rsid w:val="009156D7"/>
    <w:rsid w:val="00915786"/>
    <w:rsid w:val="009159E3"/>
    <w:rsid w:val="00915C6B"/>
    <w:rsid w:val="00915C8E"/>
    <w:rsid w:val="00916008"/>
    <w:rsid w:val="0091624A"/>
    <w:rsid w:val="009163EC"/>
    <w:rsid w:val="00916500"/>
    <w:rsid w:val="0091668B"/>
    <w:rsid w:val="00916795"/>
    <w:rsid w:val="009168E3"/>
    <w:rsid w:val="00916B44"/>
    <w:rsid w:val="00916C37"/>
    <w:rsid w:val="00916F38"/>
    <w:rsid w:val="00917028"/>
    <w:rsid w:val="00917092"/>
    <w:rsid w:val="00917258"/>
    <w:rsid w:val="00917268"/>
    <w:rsid w:val="0091756D"/>
    <w:rsid w:val="00917842"/>
    <w:rsid w:val="00917EBF"/>
    <w:rsid w:val="009202F6"/>
    <w:rsid w:val="00920401"/>
    <w:rsid w:val="00920421"/>
    <w:rsid w:val="009205DD"/>
    <w:rsid w:val="00920749"/>
    <w:rsid w:val="00920755"/>
    <w:rsid w:val="00920782"/>
    <w:rsid w:val="00920914"/>
    <w:rsid w:val="00920C0C"/>
    <w:rsid w:val="00920C53"/>
    <w:rsid w:val="00920C89"/>
    <w:rsid w:val="00920D99"/>
    <w:rsid w:val="00920E0A"/>
    <w:rsid w:val="00921011"/>
    <w:rsid w:val="00921120"/>
    <w:rsid w:val="0092126C"/>
    <w:rsid w:val="00921309"/>
    <w:rsid w:val="00921440"/>
    <w:rsid w:val="00921574"/>
    <w:rsid w:val="00921581"/>
    <w:rsid w:val="009218FE"/>
    <w:rsid w:val="0092195E"/>
    <w:rsid w:val="00921AA5"/>
    <w:rsid w:val="00921B36"/>
    <w:rsid w:val="00921BB1"/>
    <w:rsid w:val="00921E2D"/>
    <w:rsid w:val="00921E32"/>
    <w:rsid w:val="00921E51"/>
    <w:rsid w:val="009220C5"/>
    <w:rsid w:val="0092221C"/>
    <w:rsid w:val="00922307"/>
    <w:rsid w:val="00922358"/>
    <w:rsid w:val="00922AEC"/>
    <w:rsid w:val="00922B13"/>
    <w:rsid w:val="00922C54"/>
    <w:rsid w:val="00922F7B"/>
    <w:rsid w:val="00922FE0"/>
    <w:rsid w:val="00923195"/>
    <w:rsid w:val="0092328A"/>
    <w:rsid w:val="009232FD"/>
    <w:rsid w:val="00923316"/>
    <w:rsid w:val="00923322"/>
    <w:rsid w:val="009233A9"/>
    <w:rsid w:val="0092358E"/>
    <w:rsid w:val="009235BE"/>
    <w:rsid w:val="009237CC"/>
    <w:rsid w:val="0092380A"/>
    <w:rsid w:val="0092386B"/>
    <w:rsid w:val="00923AC0"/>
    <w:rsid w:val="00923C6B"/>
    <w:rsid w:val="00923DE3"/>
    <w:rsid w:val="00923F43"/>
    <w:rsid w:val="00923F4A"/>
    <w:rsid w:val="00923F79"/>
    <w:rsid w:val="00924072"/>
    <w:rsid w:val="00924340"/>
    <w:rsid w:val="009249F9"/>
    <w:rsid w:val="00924AA0"/>
    <w:rsid w:val="00924ADA"/>
    <w:rsid w:val="00924CE9"/>
    <w:rsid w:val="00924F55"/>
    <w:rsid w:val="009252E3"/>
    <w:rsid w:val="00925388"/>
    <w:rsid w:val="00925409"/>
    <w:rsid w:val="00925429"/>
    <w:rsid w:val="00925557"/>
    <w:rsid w:val="0092558E"/>
    <w:rsid w:val="0092561C"/>
    <w:rsid w:val="009256B5"/>
    <w:rsid w:val="00925744"/>
    <w:rsid w:val="00925CC7"/>
    <w:rsid w:val="009261B5"/>
    <w:rsid w:val="009261EC"/>
    <w:rsid w:val="00926221"/>
    <w:rsid w:val="009264C0"/>
    <w:rsid w:val="00926516"/>
    <w:rsid w:val="00926681"/>
    <w:rsid w:val="00926704"/>
    <w:rsid w:val="009268A7"/>
    <w:rsid w:val="009269D0"/>
    <w:rsid w:val="00926B13"/>
    <w:rsid w:val="00926F63"/>
    <w:rsid w:val="00926F8A"/>
    <w:rsid w:val="009270AB"/>
    <w:rsid w:val="009273EB"/>
    <w:rsid w:val="0092742A"/>
    <w:rsid w:val="009274F7"/>
    <w:rsid w:val="00927517"/>
    <w:rsid w:val="009277B2"/>
    <w:rsid w:val="009278A9"/>
    <w:rsid w:val="00927AF4"/>
    <w:rsid w:val="00927E56"/>
    <w:rsid w:val="00927E75"/>
    <w:rsid w:val="00927E79"/>
    <w:rsid w:val="00927EBC"/>
    <w:rsid w:val="00927FD0"/>
    <w:rsid w:val="009303E1"/>
    <w:rsid w:val="009309D3"/>
    <w:rsid w:val="00930B68"/>
    <w:rsid w:val="0093106A"/>
    <w:rsid w:val="00931384"/>
    <w:rsid w:val="00931389"/>
    <w:rsid w:val="009313B8"/>
    <w:rsid w:val="00931406"/>
    <w:rsid w:val="00931465"/>
    <w:rsid w:val="009314AB"/>
    <w:rsid w:val="0093153F"/>
    <w:rsid w:val="00931818"/>
    <w:rsid w:val="00931822"/>
    <w:rsid w:val="00931ACC"/>
    <w:rsid w:val="00931C71"/>
    <w:rsid w:val="00931DAC"/>
    <w:rsid w:val="00931E80"/>
    <w:rsid w:val="00931F1A"/>
    <w:rsid w:val="009323F8"/>
    <w:rsid w:val="00932456"/>
    <w:rsid w:val="009324EB"/>
    <w:rsid w:val="0093254B"/>
    <w:rsid w:val="009325A8"/>
    <w:rsid w:val="009326FC"/>
    <w:rsid w:val="00932947"/>
    <w:rsid w:val="00932A74"/>
    <w:rsid w:val="00932B28"/>
    <w:rsid w:val="00932BEB"/>
    <w:rsid w:val="00932BEE"/>
    <w:rsid w:val="00932E92"/>
    <w:rsid w:val="00932EDE"/>
    <w:rsid w:val="0093309B"/>
    <w:rsid w:val="009330C0"/>
    <w:rsid w:val="009331FF"/>
    <w:rsid w:val="00933324"/>
    <w:rsid w:val="009334F1"/>
    <w:rsid w:val="009336B0"/>
    <w:rsid w:val="00933752"/>
    <w:rsid w:val="0093383E"/>
    <w:rsid w:val="009339FD"/>
    <w:rsid w:val="00933A09"/>
    <w:rsid w:val="00933BA5"/>
    <w:rsid w:val="00933BB6"/>
    <w:rsid w:val="00933BF6"/>
    <w:rsid w:val="00933C89"/>
    <w:rsid w:val="00933E3B"/>
    <w:rsid w:val="0093405A"/>
    <w:rsid w:val="00934094"/>
    <w:rsid w:val="00934309"/>
    <w:rsid w:val="0093434A"/>
    <w:rsid w:val="009344D5"/>
    <w:rsid w:val="00934596"/>
    <w:rsid w:val="009345A8"/>
    <w:rsid w:val="00934625"/>
    <w:rsid w:val="00934B8D"/>
    <w:rsid w:val="00934BF5"/>
    <w:rsid w:val="00934F3C"/>
    <w:rsid w:val="00934F6F"/>
    <w:rsid w:val="00935091"/>
    <w:rsid w:val="009351DB"/>
    <w:rsid w:val="009352CD"/>
    <w:rsid w:val="009356CD"/>
    <w:rsid w:val="009356E1"/>
    <w:rsid w:val="009357DC"/>
    <w:rsid w:val="0093585E"/>
    <w:rsid w:val="00935A35"/>
    <w:rsid w:val="00935A9B"/>
    <w:rsid w:val="00935B29"/>
    <w:rsid w:val="00935C10"/>
    <w:rsid w:val="00935C5A"/>
    <w:rsid w:val="00935D0A"/>
    <w:rsid w:val="00935D1A"/>
    <w:rsid w:val="00935F1C"/>
    <w:rsid w:val="0093608B"/>
    <w:rsid w:val="0093609B"/>
    <w:rsid w:val="00936131"/>
    <w:rsid w:val="009364D2"/>
    <w:rsid w:val="009364E9"/>
    <w:rsid w:val="009367E6"/>
    <w:rsid w:val="00936B71"/>
    <w:rsid w:val="00936BE3"/>
    <w:rsid w:val="00936D40"/>
    <w:rsid w:val="00936DDA"/>
    <w:rsid w:val="00936E08"/>
    <w:rsid w:val="00936EBA"/>
    <w:rsid w:val="00936EBC"/>
    <w:rsid w:val="009370DD"/>
    <w:rsid w:val="009372C1"/>
    <w:rsid w:val="009373DA"/>
    <w:rsid w:val="00937430"/>
    <w:rsid w:val="00937580"/>
    <w:rsid w:val="00937628"/>
    <w:rsid w:val="009377BD"/>
    <w:rsid w:val="009377FB"/>
    <w:rsid w:val="00937851"/>
    <w:rsid w:val="009378F4"/>
    <w:rsid w:val="00937CCE"/>
    <w:rsid w:val="009400B0"/>
    <w:rsid w:val="0094015F"/>
    <w:rsid w:val="00940367"/>
    <w:rsid w:val="00940422"/>
    <w:rsid w:val="00940514"/>
    <w:rsid w:val="00940520"/>
    <w:rsid w:val="0094055C"/>
    <w:rsid w:val="00940632"/>
    <w:rsid w:val="009406C5"/>
    <w:rsid w:val="009406E5"/>
    <w:rsid w:val="00940704"/>
    <w:rsid w:val="00940821"/>
    <w:rsid w:val="00940BB4"/>
    <w:rsid w:val="00941016"/>
    <w:rsid w:val="00941119"/>
    <w:rsid w:val="009414CA"/>
    <w:rsid w:val="00941578"/>
    <w:rsid w:val="0094165A"/>
    <w:rsid w:val="00941D72"/>
    <w:rsid w:val="00941F8F"/>
    <w:rsid w:val="0094208A"/>
    <w:rsid w:val="009420BD"/>
    <w:rsid w:val="00942171"/>
    <w:rsid w:val="00942174"/>
    <w:rsid w:val="0094218E"/>
    <w:rsid w:val="0094229B"/>
    <w:rsid w:val="009422FD"/>
    <w:rsid w:val="00942468"/>
    <w:rsid w:val="009424C6"/>
    <w:rsid w:val="00942641"/>
    <w:rsid w:val="009427DF"/>
    <w:rsid w:val="009428F0"/>
    <w:rsid w:val="00942A6F"/>
    <w:rsid w:val="00942B6C"/>
    <w:rsid w:val="00942BD3"/>
    <w:rsid w:val="00942C5A"/>
    <w:rsid w:val="00942E08"/>
    <w:rsid w:val="00943190"/>
    <w:rsid w:val="00943465"/>
    <w:rsid w:val="0094371E"/>
    <w:rsid w:val="0094398A"/>
    <w:rsid w:val="009439FC"/>
    <w:rsid w:val="00943CA7"/>
    <w:rsid w:val="00943D45"/>
    <w:rsid w:val="00943F3F"/>
    <w:rsid w:val="0094402E"/>
    <w:rsid w:val="009440E4"/>
    <w:rsid w:val="0094411F"/>
    <w:rsid w:val="00944484"/>
    <w:rsid w:val="009444D0"/>
    <w:rsid w:val="009445FA"/>
    <w:rsid w:val="009446E6"/>
    <w:rsid w:val="00944734"/>
    <w:rsid w:val="0094493A"/>
    <w:rsid w:val="00944B06"/>
    <w:rsid w:val="00944BA9"/>
    <w:rsid w:val="00944BCE"/>
    <w:rsid w:val="00944E74"/>
    <w:rsid w:val="00944F3A"/>
    <w:rsid w:val="00945032"/>
    <w:rsid w:val="00945133"/>
    <w:rsid w:val="009451E0"/>
    <w:rsid w:val="00945510"/>
    <w:rsid w:val="00945848"/>
    <w:rsid w:val="009458B7"/>
    <w:rsid w:val="009459A2"/>
    <w:rsid w:val="009459E4"/>
    <w:rsid w:val="00945A22"/>
    <w:rsid w:val="00945B08"/>
    <w:rsid w:val="00945BB8"/>
    <w:rsid w:val="00945C86"/>
    <w:rsid w:val="00945CF4"/>
    <w:rsid w:val="00945D5E"/>
    <w:rsid w:val="009460BA"/>
    <w:rsid w:val="00946377"/>
    <w:rsid w:val="0094638F"/>
    <w:rsid w:val="00946469"/>
    <w:rsid w:val="00946733"/>
    <w:rsid w:val="00946885"/>
    <w:rsid w:val="00946907"/>
    <w:rsid w:val="00946CA0"/>
    <w:rsid w:val="00946D8B"/>
    <w:rsid w:val="00946E5E"/>
    <w:rsid w:val="00946F98"/>
    <w:rsid w:val="0094735A"/>
    <w:rsid w:val="009475B2"/>
    <w:rsid w:val="0094760F"/>
    <w:rsid w:val="00947702"/>
    <w:rsid w:val="0094772C"/>
    <w:rsid w:val="00947875"/>
    <w:rsid w:val="009478CB"/>
    <w:rsid w:val="00947D0C"/>
    <w:rsid w:val="00947F3B"/>
    <w:rsid w:val="009503A4"/>
    <w:rsid w:val="00950595"/>
    <w:rsid w:val="0095084A"/>
    <w:rsid w:val="009508ED"/>
    <w:rsid w:val="00950B62"/>
    <w:rsid w:val="00950C62"/>
    <w:rsid w:val="00950DF2"/>
    <w:rsid w:val="00950F22"/>
    <w:rsid w:val="009510F4"/>
    <w:rsid w:val="0095117A"/>
    <w:rsid w:val="009514B4"/>
    <w:rsid w:val="009514E3"/>
    <w:rsid w:val="0095157E"/>
    <w:rsid w:val="0095163B"/>
    <w:rsid w:val="009516DE"/>
    <w:rsid w:val="00951827"/>
    <w:rsid w:val="00951874"/>
    <w:rsid w:val="00951A68"/>
    <w:rsid w:val="00951A7F"/>
    <w:rsid w:val="00951AD1"/>
    <w:rsid w:val="00951B1D"/>
    <w:rsid w:val="00951D28"/>
    <w:rsid w:val="00951D38"/>
    <w:rsid w:val="00951E98"/>
    <w:rsid w:val="00951F93"/>
    <w:rsid w:val="00952011"/>
    <w:rsid w:val="0095202E"/>
    <w:rsid w:val="00952873"/>
    <w:rsid w:val="00952900"/>
    <w:rsid w:val="00952945"/>
    <w:rsid w:val="0095297F"/>
    <w:rsid w:val="009529DC"/>
    <w:rsid w:val="00952C16"/>
    <w:rsid w:val="00952C43"/>
    <w:rsid w:val="00952C62"/>
    <w:rsid w:val="00952CB1"/>
    <w:rsid w:val="00952EC8"/>
    <w:rsid w:val="00952F37"/>
    <w:rsid w:val="0095302E"/>
    <w:rsid w:val="0095364F"/>
    <w:rsid w:val="00953666"/>
    <w:rsid w:val="0095373C"/>
    <w:rsid w:val="00953817"/>
    <w:rsid w:val="00953829"/>
    <w:rsid w:val="00953912"/>
    <w:rsid w:val="00953B74"/>
    <w:rsid w:val="00953BC5"/>
    <w:rsid w:val="00953C0A"/>
    <w:rsid w:val="00953CD2"/>
    <w:rsid w:val="00953D54"/>
    <w:rsid w:val="00953DD0"/>
    <w:rsid w:val="00953E24"/>
    <w:rsid w:val="00953F3D"/>
    <w:rsid w:val="00954285"/>
    <w:rsid w:val="009542BC"/>
    <w:rsid w:val="0095431B"/>
    <w:rsid w:val="009543FD"/>
    <w:rsid w:val="009545BE"/>
    <w:rsid w:val="009547C2"/>
    <w:rsid w:val="009547CF"/>
    <w:rsid w:val="009547EF"/>
    <w:rsid w:val="009548F4"/>
    <w:rsid w:val="00954AE8"/>
    <w:rsid w:val="00954CD9"/>
    <w:rsid w:val="00954D49"/>
    <w:rsid w:val="00954D76"/>
    <w:rsid w:val="0095504A"/>
    <w:rsid w:val="009551A3"/>
    <w:rsid w:val="009553F5"/>
    <w:rsid w:val="009554F8"/>
    <w:rsid w:val="00955753"/>
    <w:rsid w:val="00955ADC"/>
    <w:rsid w:val="00955ADD"/>
    <w:rsid w:val="00955B4C"/>
    <w:rsid w:val="00955E75"/>
    <w:rsid w:val="00955FFC"/>
    <w:rsid w:val="0095625F"/>
    <w:rsid w:val="00956261"/>
    <w:rsid w:val="00956284"/>
    <w:rsid w:val="009562AA"/>
    <w:rsid w:val="00956481"/>
    <w:rsid w:val="0095653E"/>
    <w:rsid w:val="0095660D"/>
    <w:rsid w:val="00956669"/>
    <w:rsid w:val="0095688C"/>
    <w:rsid w:val="00956A0C"/>
    <w:rsid w:val="00956FFA"/>
    <w:rsid w:val="009570D2"/>
    <w:rsid w:val="0095787F"/>
    <w:rsid w:val="0095794B"/>
    <w:rsid w:val="009579D7"/>
    <w:rsid w:val="00957CAC"/>
    <w:rsid w:val="00957E44"/>
    <w:rsid w:val="00957E76"/>
    <w:rsid w:val="00957F3A"/>
    <w:rsid w:val="009603BC"/>
    <w:rsid w:val="00960404"/>
    <w:rsid w:val="009608C7"/>
    <w:rsid w:val="00960A61"/>
    <w:rsid w:val="00960B64"/>
    <w:rsid w:val="00960B79"/>
    <w:rsid w:val="00960B8D"/>
    <w:rsid w:val="00960F42"/>
    <w:rsid w:val="00960FD8"/>
    <w:rsid w:val="00961159"/>
    <w:rsid w:val="00961430"/>
    <w:rsid w:val="009617FC"/>
    <w:rsid w:val="00961976"/>
    <w:rsid w:val="00961A9A"/>
    <w:rsid w:val="00962321"/>
    <w:rsid w:val="00962336"/>
    <w:rsid w:val="009623CD"/>
    <w:rsid w:val="009623D4"/>
    <w:rsid w:val="009624D7"/>
    <w:rsid w:val="009628CA"/>
    <w:rsid w:val="00962A27"/>
    <w:rsid w:val="00962C6C"/>
    <w:rsid w:val="00962D3F"/>
    <w:rsid w:val="00962E37"/>
    <w:rsid w:val="00962EA7"/>
    <w:rsid w:val="00962FA4"/>
    <w:rsid w:val="00962FFF"/>
    <w:rsid w:val="0096310E"/>
    <w:rsid w:val="009631A3"/>
    <w:rsid w:val="0096329F"/>
    <w:rsid w:val="009633B7"/>
    <w:rsid w:val="0096356C"/>
    <w:rsid w:val="009636CD"/>
    <w:rsid w:val="009637B7"/>
    <w:rsid w:val="00963989"/>
    <w:rsid w:val="00963A2D"/>
    <w:rsid w:val="00963C06"/>
    <w:rsid w:val="00963FAA"/>
    <w:rsid w:val="00964097"/>
    <w:rsid w:val="009640E2"/>
    <w:rsid w:val="00964493"/>
    <w:rsid w:val="0096449B"/>
    <w:rsid w:val="0096480D"/>
    <w:rsid w:val="00964A35"/>
    <w:rsid w:val="00964C78"/>
    <w:rsid w:val="00964E09"/>
    <w:rsid w:val="00964EF9"/>
    <w:rsid w:val="00965084"/>
    <w:rsid w:val="0096528C"/>
    <w:rsid w:val="00965298"/>
    <w:rsid w:val="0096554A"/>
    <w:rsid w:val="009655C3"/>
    <w:rsid w:val="00965614"/>
    <w:rsid w:val="00965648"/>
    <w:rsid w:val="00965A45"/>
    <w:rsid w:val="00965AA9"/>
    <w:rsid w:val="00965B1C"/>
    <w:rsid w:val="00965B1F"/>
    <w:rsid w:val="00965B35"/>
    <w:rsid w:val="00965BB7"/>
    <w:rsid w:val="00965C9D"/>
    <w:rsid w:val="00965D10"/>
    <w:rsid w:val="00965D11"/>
    <w:rsid w:val="00965D43"/>
    <w:rsid w:val="00965E2E"/>
    <w:rsid w:val="00965E3F"/>
    <w:rsid w:val="00965EA2"/>
    <w:rsid w:val="00965EC6"/>
    <w:rsid w:val="00965ED0"/>
    <w:rsid w:val="00966011"/>
    <w:rsid w:val="00966057"/>
    <w:rsid w:val="00966398"/>
    <w:rsid w:val="009663E9"/>
    <w:rsid w:val="00966428"/>
    <w:rsid w:val="00966648"/>
    <w:rsid w:val="00966651"/>
    <w:rsid w:val="009666CD"/>
    <w:rsid w:val="00966799"/>
    <w:rsid w:val="0096680E"/>
    <w:rsid w:val="00966A48"/>
    <w:rsid w:val="00966B68"/>
    <w:rsid w:val="00966EAE"/>
    <w:rsid w:val="00967239"/>
    <w:rsid w:val="00967332"/>
    <w:rsid w:val="00967495"/>
    <w:rsid w:val="0096749C"/>
    <w:rsid w:val="0096755E"/>
    <w:rsid w:val="0096795D"/>
    <w:rsid w:val="00967AE1"/>
    <w:rsid w:val="00967B79"/>
    <w:rsid w:val="00967BD8"/>
    <w:rsid w:val="00967F23"/>
    <w:rsid w:val="00970104"/>
    <w:rsid w:val="0097025A"/>
    <w:rsid w:val="009702E8"/>
    <w:rsid w:val="0097040B"/>
    <w:rsid w:val="00970427"/>
    <w:rsid w:val="009704C3"/>
    <w:rsid w:val="009707CD"/>
    <w:rsid w:val="00970A67"/>
    <w:rsid w:val="00970A71"/>
    <w:rsid w:val="00970B67"/>
    <w:rsid w:val="00970B91"/>
    <w:rsid w:val="00970BD6"/>
    <w:rsid w:val="00970F5F"/>
    <w:rsid w:val="0097102C"/>
    <w:rsid w:val="00971278"/>
    <w:rsid w:val="009715FE"/>
    <w:rsid w:val="0097162D"/>
    <w:rsid w:val="00971670"/>
    <w:rsid w:val="0097179B"/>
    <w:rsid w:val="009719EC"/>
    <w:rsid w:val="00971A31"/>
    <w:rsid w:val="00971B8E"/>
    <w:rsid w:val="00971CAE"/>
    <w:rsid w:val="00971F0A"/>
    <w:rsid w:val="00972045"/>
    <w:rsid w:val="009720CE"/>
    <w:rsid w:val="0097211C"/>
    <w:rsid w:val="009722A1"/>
    <w:rsid w:val="00972383"/>
    <w:rsid w:val="009724B3"/>
    <w:rsid w:val="00972528"/>
    <w:rsid w:val="0097266A"/>
    <w:rsid w:val="009726E9"/>
    <w:rsid w:val="00972B07"/>
    <w:rsid w:val="00972B3E"/>
    <w:rsid w:val="00972C31"/>
    <w:rsid w:val="00972C7F"/>
    <w:rsid w:val="00972CBE"/>
    <w:rsid w:val="00972D7D"/>
    <w:rsid w:val="00972E7B"/>
    <w:rsid w:val="00972F4B"/>
    <w:rsid w:val="00973040"/>
    <w:rsid w:val="0097317E"/>
    <w:rsid w:val="00973A51"/>
    <w:rsid w:val="00973A63"/>
    <w:rsid w:val="00973A86"/>
    <w:rsid w:val="00973B33"/>
    <w:rsid w:val="00973D1D"/>
    <w:rsid w:val="00973D89"/>
    <w:rsid w:val="00974032"/>
    <w:rsid w:val="00974240"/>
    <w:rsid w:val="00974361"/>
    <w:rsid w:val="0097460E"/>
    <w:rsid w:val="009746DD"/>
    <w:rsid w:val="00974737"/>
    <w:rsid w:val="009747E4"/>
    <w:rsid w:val="00974D52"/>
    <w:rsid w:val="00974F7D"/>
    <w:rsid w:val="009750FE"/>
    <w:rsid w:val="00975537"/>
    <w:rsid w:val="00975750"/>
    <w:rsid w:val="00975935"/>
    <w:rsid w:val="00975DB2"/>
    <w:rsid w:val="00975F78"/>
    <w:rsid w:val="00975F8A"/>
    <w:rsid w:val="00976354"/>
    <w:rsid w:val="009763B6"/>
    <w:rsid w:val="00976495"/>
    <w:rsid w:val="009764E0"/>
    <w:rsid w:val="0097667F"/>
    <w:rsid w:val="00976686"/>
    <w:rsid w:val="0097671E"/>
    <w:rsid w:val="00976D46"/>
    <w:rsid w:val="00976EEE"/>
    <w:rsid w:val="00976F7C"/>
    <w:rsid w:val="00977041"/>
    <w:rsid w:val="009770B3"/>
    <w:rsid w:val="009772CB"/>
    <w:rsid w:val="009774DA"/>
    <w:rsid w:val="009774FE"/>
    <w:rsid w:val="009775AD"/>
    <w:rsid w:val="009779EE"/>
    <w:rsid w:val="00977B2B"/>
    <w:rsid w:val="00977E13"/>
    <w:rsid w:val="00977F11"/>
    <w:rsid w:val="00977F26"/>
    <w:rsid w:val="0098031C"/>
    <w:rsid w:val="009804B0"/>
    <w:rsid w:val="00980632"/>
    <w:rsid w:val="00980717"/>
    <w:rsid w:val="009807BB"/>
    <w:rsid w:val="0098082A"/>
    <w:rsid w:val="00980940"/>
    <w:rsid w:val="00980980"/>
    <w:rsid w:val="00980A2D"/>
    <w:rsid w:val="0098106A"/>
    <w:rsid w:val="009811BC"/>
    <w:rsid w:val="00981248"/>
    <w:rsid w:val="0098126D"/>
    <w:rsid w:val="0098129E"/>
    <w:rsid w:val="0098167A"/>
    <w:rsid w:val="009816B8"/>
    <w:rsid w:val="00981738"/>
    <w:rsid w:val="00981910"/>
    <w:rsid w:val="00981919"/>
    <w:rsid w:val="00981962"/>
    <w:rsid w:val="009819DE"/>
    <w:rsid w:val="00981ADB"/>
    <w:rsid w:val="00981BCE"/>
    <w:rsid w:val="00981C1D"/>
    <w:rsid w:val="00981D5F"/>
    <w:rsid w:val="00981D79"/>
    <w:rsid w:val="00981F62"/>
    <w:rsid w:val="00981FBC"/>
    <w:rsid w:val="00982023"/>
    <w:rsid w:val="009820CD"/>
    <w:rsid w:val="0098219F"/>
    <w:rsid w:val="00982404"/>
    <w:rsid w:val="009825B4"/>
    <w:rsid w:val="009825F3"/>
    <w:rsid w:val="00982663"/>
    <w:rsid w:val="0098268A"/>
    <w:rsid w:val="00982722"/>
    <w:rsid w:val="009827DD"/>
    <w:rsid w:val="009828E6"/>
    <w:rsid w:val="009829D7"/>
    <w:rsid w:val="00982CED"/>
    <w:rsid w:val="00982D1D"/>
    <w:rsid w:val="00982F08"/>
    <w:rsid w:val="00983065"/>
    <w:rsid w:val="00983100"/>
    <w:rsid w:val="0098326E"/>
    <w:rsid w:val="009834BF"/>
    <w:rsid w:val="009836CF"/>
    <w:rsid w:val="009837B5"/>
    <w:rsid w:val="009837CB"/>
    <w:rsid w:val="009837D4"/>
    <w:rsid w:val="0098389B"/>
    <w:rsid w:val="009838FB"/>
    <w:rsid w:val="00983C6E"/>
    <w:rsid w:val="00983D3F"/>
    <w:rsid w:val="00983D4E"/>
    <w:rsid w:val="00983F45"/>
    <w:rsid w:val="00984077"/>
    <w:rsid w:val="00984193"/>
    <w:rsid w:val="0098422E"/>
    <w:rsid w:val="00984393"/>
    <w:rsid w:val="0098449D"/>
    <w:rsid w:val="00984538"/>
    <w:rsid w:val="009845E2"/>
    <w:rsid w:val="009846CB"/>
    <w:rsid w:val="00984707"/>
    <w:rsid w:val="009847C4"/>
    <w:rsid w:val="0098482B"/>
    <w:rsid w:val="00984860"/>
    <w:rsid w:val="009848CF"/>
    <w:rsid w:val="009848DC"/>
    <w:rsid w:val="00984925"/>
    <w:rsid w:val="00984928"/>
    <w:rsid w:val="00984990"/>
    <w:rsid w:val="00984E09"/>
    <w:rsid w:val="00984E8F"/>
    <w:rsid w:val="0098517C"/>
    <w:rsid w:val="009851E0"/>
    <w:rsid w:val="00985233"/>
    <w:rsid w:val="00985307"/>
    <w:rsid w:val="0098531D"/>
    <w:rsid w:val="00985364"/>
    <w:rsid w:val="00985553"/>
    <w:rsid w:val="00985583"/>
    <w:rsid w:val="00985641"/>
    <w:rsid w:val="009856AC"/>
    <w:rsid w:val="00985805"/>
    <w:rsid w:val="00985B9A"/>
    <w:rsid w:val="00986260"/>
    <w:rsid w:val="00986306"/>
    <w:rsid w:val="00986555"/>
    <w:rsid w:val="009865AD"/>
    <w:rsid w:val="00986602"/>
    <w:rsid w:val="00986612"/>
    <w:rsid w:val="0098665C"/>
    <w:rsid w:val="00986812"/>
    <w:rsid w:val="00986D85"/>
    <w:rsid w:val="00986DC7"/>
    <w:rsid w:val="00986E23"/>
    <w:rsid w:val="00986E7E"/>
    <w:rsid w:val="00986EAF"/>
    <w:rsid w:val="00987187"/>
    <w:rsid w:val="00987240"/>
    <w:rsid w:val="00987389"/>
    <w:rsid w:val="0098753A"/>
    <w:rsid w:val="00987A1A"/>
    <w:rsid w:val="00987C62"/>
    <w:rsid w:val="00987FB3"/>
    <w:rsid w:val="00990058"/>
    <w:rsid w:val="009901A4"/>
    <w:rsid w:val="0099058C"/>
    <w:rsid w:val="00990624"/>
    <w:rsid w:val="00990656"/>
    <w:rsid w:val="0099077B"/>
    <w:rsid w:val="00990AB1"/>
    <w:rsid w:val="00990BA2"/>
    <w:rsid w:val="00990C39"/>
    <w:rsid w:val="00990D4A"/>
    <w:rsid w:val="0099124D"/>
    <w:rsid w:val="009913D3"/>
    <w:rsid w:val="009913F8"/>
    <w:rsid w:val="0099151C"/>
    <w:rsid w:val="00991527"/>
    <w:rsid w:val="009916FF"/>
    <w:rsid w:val="00991797"/>
    <w:rsid w:val="0099185F"/>
    <w:rsid w:val="00991888"/>
    <w:rsid w:val="00991968"/>
    <w:rsid w:val="00991992"/>
    <w:rsid w:val="00991CF8"/>
    <w:rsid w:val="00991DE1"/>
    <w:rsid w:val="009920EB"/>
    <w:rsid w:val="00992182"/>
    <w:rsid w:val="00992315"/>
    <w:rsid w:val="0099245A"/>
    <w:rsid w:val="009924DA"/>
    <w:rsid w:val="009925A3"/>
    <w:rsid w:val="00992B64"/>
    <w:rsid w:val="00992CED"/>
    <w:rsid w:val="00992EF4"/>
    <w:rsid w:val="00993058"/>
    <w:rsid w:val="0099307A"/>
    <w:rsid w:val="009930D9"/>
    <w:rsid w:val="009932CE"/>
    <w:rsid w:val="00993432"/>
    <w:rsid w:val="00993467"/>
    <w:rsid w:val="0099355C"/>
    <w:rsid w:val="009936CE"/>
    <w:rsid w:val="00993712"/>
    <w:rsid w:val="00993774"/>
    <w:rsid w:val="009937DA"/>
    <w:rsid w:val="00993882"/>
    <w:rsid w:val="00993C0B"/>
    <w:rsid w:val="00993CF3"/>
    <w:rsid w:val="00993D9E"/>
    <w:rsid w:val="00993ECF"/>
    <w:rsid w:val="0099425E"/>
    <w:rsid w:val="009946E3"/>
    <w:rsid w:val="00994875"/>
    <w:rsid w:val="009949D3"/>
    <w:rsid w:val="009949EC"/>
    <w:rsid w:val="00994BAF"/>
    <w:rsid w:val="00994D82"/>
    <w:rsid w:val="00994EB2"/>
    <w:rsid w:val="00994F13"/>
    <w:rsid w:val="00995138"/>
    <w:rsid w:val="009952DD"/>
    <w:rsid w:val="009958A9"/>
    <w:rsid w:val="00995957"/>
    <w:rsid w:val="00995D00"/>
    <w:rsid w:val="00995D38"/>
    <w:rsid w:val="00995D8C"/>
    <w:rsid w:val="00995E34"/>
    <w:rsid w:val="00995E9F"/>
    <w:rsid w:val="00995EB0"/>
    <w:rsid w:val="00995F9B"/>
    <w:rsid w:val="00996072"/>
    <w:rsid w:val="009962BE"/>
    <w:rsid w:val="00996329"/>
    <w:rsid w:val="00996473"/>
    <w:rsid w:val="009964F9"/>
    <w:rsid w:val="00996594"/>
    <w:rsid w:val="00996A35"/>
    <w:rsid w:val="00996C6D"/>
    <w:rsid w:val="00996F47"/>
    <w:rsid w:val="009970AA"/>
    <w:rsid w:val="00997117"/>
    <w:rsid w:val="0099715E"/>
    <w:rsid w:val="0099730D"/>
    <w:rsid w:val="00997327"/>
    <w:rsid w:val="00997353"/>
    <w:rsid w:val="009973B8"/>
    <w:rsid w:val="009974D7"/>
    <w:rsid w:val="009976D5"/>
    <w:rsid w:val="009977E0"/>
    <w:rsid w:val="009979A8"/>
    <w:rsid w:val="00997AF2"/>
    <w:rsid w:val="00997B86"/>
    <w:rsid w:val="00997B91"/>
    <w:rsid w:val="009A029D"/>
    <w:rsid w:val="009A02E0"/>
    <w:rsid w:val="009A043C"/>
    <w:rsid w:val="009A04CF"/>
    <w:rsid w:val="009A057C"/>
    <w:rsid w:val="009A0646"/>
    <w:rsid w:val="009A06C0"/>
    <w:rsid w:val="009A08F8"/>
    <w:rsid w:val="009A0AAC"/>
    <w:rsid w:val="009A0BA2"/>
    <w:rsid w:val="009A1383"/>
    <w:rsid w:val="009A1632"/>
    <w:rsid w:val="009A1C04"/>
    <w:rsid w:val="009A1E46"/>
    <w:rsid w:val="009A1E92"/>
    <w:rsid w:val="009A2318"/>
    <w:rsid w:val="009A253E"/>
    <w:rsid w:val="009A27E9"/>
    <w:rsid w:val="009A2847"/>
    <w:rsid w:val="009A2A6A"/>
    <w:rsid w:val="009A2AAD"/>
    <w:rsid w:val="009A2B94"/>
    <w:rsid w:val="009A2E65"/>
    <w:rsid w:val="009A30B1"/>
    <w:rsid w:val="009A3414"/>
    <w:rsid w:val="009A3598"/>
    <w:rsid w:val="009A36A2"/>
    <w:rsid w:val="009A37A2"/>
    <w:rsid w:val="009A3950"/>
    <w:rsid w:val="009A3DEE"/>
    <w:rsid w:val="009A3F7C"/>
    <w:rsid w:val="009A3F8F"/>
    <w:rsid w:val="009A3FE2"/>
    <w:rsid w:val="009A4109"/>
    <w:rsid w:val="009A423C"/>
    <w:rsid w:val="009A42D4"/>
    <w:rsid w:val="009A465F"/>
    <w:rsid w:val="009A4B2F"/>
    <w:rsid w:val="009A4B44"/>
    <w:rsid w:val="009A4C25"/>
    <w:rsid w:val="009A4F62"/>
    <w:rsid w:val="009A4FAD"/>
    <w:rsid w:val="009A4FE9"/>
    <w:rsid w:val="009A5096"/>
    <w:rsid w:val="009A5319"/>
    <w:rsid w:val="009A54B7"/>
    <w:rsid w:val="009A54E8"/>
    <w:rsid w:val="009A54EC"/>
    <w:rsid w:val="009A5607"/>
    <w:rsid w:val="009A5616"/>
    <w:rsid w:val="009A56DD"/>
    <w:rsid w:val="009A571D"/>
    <w:rsid w:val="009A58D9"/>
    <w:rsid w:val="009A591A"/>
    <w:rsid w:val="009A5BE8"/>
    <w:rsid w:val="009A5CF2"/>
    <w:rsid w:val="009A5F6A"/>
    <w:rsid w:val="009A62CD"/>
    <w:rsid w:val="009A633A"/>
    <w:rsid w:val="009A6B01"/>
    <w:rsid w:val="009A6B5B"/>
    <w:rsid w:val="009A6B87"/>
    <w:rsid w:val="009A6C7C"/>
    <w:rsid w:val="009A6D99"/>
    <w:rsid w:val="009A701C"/>
    <w:rsid w:val="009A719A"/>
    <w:rsid w:val="009A725C"/>
    <w:rsid w:val="009A758E"/>
    <w:rsid w:val="009A769D"/>
    <w:rsid w:val="009A77B4"/>
    <w:rsid w:val="009A780F"/>
    <w:rsid w:val="009A7ABB"/>
    <w:rsid w:val="009A7BAF"/>
    <w:rsid w:val="009A7C1A"/>
    <w:rsid w:val="009B05E8"/>
    <w:rsid w:val="009B069B"/>
    <w:rsid w:val="009B08B4"/>
    <w:rsid w:val="009B0A5C"/>
    <w:rsid w:val="009B0A8F"/>
    <w:rsid w:val="009B0AFB"/>
    <w:rsid w:val="009B0D1B"/>
    <w:rsid w:val="009B11B2"/>
    <w:rsid w:val="009B1563"/>
    <w:rsid w:val="009B17BB"/>
    <w:rsid w:val="009B183B"/>
    <w:rsid w:val="009B1F2D"/>
    <w:rsid w:val="009B1F51"/>
    <w:rsid w:val="009B1F5D"/>
    <w:rsid w:val="009B202B"/>
    <w:rsid w:val="009B22BC"/>
    <w:rsid w:val="009B2549"/>
    <w:rsid w:val="009B26FB"/>
    <w:rsid w:val="009B2826"/>
    <w:rsid w:val="009B28E0"/>
    <w:rsid w:val="009B2975"/>
    <w:rsid w:val="009B29D5"/>
    <w:rsid w:val="009B2BDD"/>
    <w:rsid w:val="009B2C44"/>
    <w:rsid w:val="009B2D20"/>
    <w:rsid w:val="009B2D98"/>
    <w:rsid w:val="009B2E39"/>
    <w:rsid w:val="009B2EB9"/>
    <w:rsid w:val="009B3033"/>
    <w:rsid w:val="009B30B9"/>
    <w:rsid w:val="009B31D9"/>
    <w:rsid w:val="009B31F1"/>
    <w:rsid w:val="009B32E1"/>
    <w:rsid w:val="009B34AD"/>
    <w:rsid w:val="009B3897"/>
    <w:rsid w:val="009B3B49"/>
    <w:rsid w:val="009B3C47"/>
    <w:rsid w:val="009B3D0C"/>
    <w:rsid w:val="009B3EB0"/>
    <w:rsid w:val="009B3EBB"/>
    <w:rsid w:val="009B3ECF"/>
    <w:rsid w:val="009B4332"/>
    <w:rsid w:val="009B4370"/>
    <w:rsid w:val="009B4619"/>
    <w:rsid w:val="009B461D"/>
    <w:rsid w:val="009B4846"/>
    <w:rsid w:val="009B495C"/>
    <w:rsid w:val="009B4F52"/>
    <w:rsid w:val="009B52F1"/>
    <w:rsid w:val="009B5398"/>
    <w:rsid w:val="009B54B5"/>
    <w:rsid w:val="009B559B"/>
    <w:rsid w:val="009B595F"/>
    <w:rsid w:val="009B59BD"/>
    <w:rsid w:val="009B5AB4"/>
    <w:rsid w:val="009B5C66"/>
    <w:rsid w:val="009B5CA8"/>
    <w:rsid w:val="009B5DC4"/>
    <w:rsid w:val="009B5EAC"/>
    <w:rsid w:val="009B5F1C"/>
    <w:rsid w:val="009B605B"/>
    <w:rsid w:val="009B60D7"/>
    <w:rsid w:val="009B6154"/>
    <w:rsid w:val="009B6159"/>
    <w:rsid w:val="009B638F"/>
    <w:rsid w:val="009B645F"/>
    <w:rsid w:val="009B6E63"/>
    <w:rsid w:val="009B6FA2"/>
    <w:rsid w:val="009B701A"/>
    <w:rsid w:val="009B7186"/>
    <w:rsid w:val="009B7245"/>
    <w:rsid w:val="009B73C1"/>
    <w:rsid w:val="009B74E7"/>
    <w:rsid w:val="009B7613"/>
    <w:rsid w:val="009B7621"/>
    <w:rsid w:val="009B7665"/>
    <w:rsid w:val="009B79AF"/>
    <w:rsid w:val="009B7A5A"/>
    <w:rsid w:val="009B7AB8"/>
    <w:rsid w:val="009B7AD5"/>
    <w:rsid w:val="009B7BB6"/>
    <w:rsid w:val="009B7CD6"/>
    <w:rsid w:val="009B7D58"/>
    <w:rsid w:val="009B7D5B"/>
    <w:rsid w:val="009B7EDE"/>
    <w:rsid w:val="009C0018"/>
    <w:rsid w:val="009C017B"/>
    <w:rsid w:val="009C021D"/>
    <w:rsid w:val="009C02ED"/>
    <w:rsid w:val="009C0423"/>
    <w:rsid w:val="009C0449"/>
    <w:rsid w:val="009C053A"/>
    <w:rsid w:val="009C07CC"/>
    <w:rsid w:val="009C08EF"/>
    <w:rsid w:val="009C0978"/>
    <w:rsid w:val="009C098D"/>
    <w:rsid w:val="009C0C3D"/>
    <w:rsid w:val="009C0CCB"/>
    <w:rsid w:val="009C119D"/>
    <w:rsid w:val="009C11D4"/>
    <w:rsid w:val="009C1305"/>
    <w:rsid w:val="009C1438"/>
    <w:rsid w:val="009C1518"/>
    <w:rsid w:val="009C15BA"/>
    <w:rsid w:val="009C170F"/>
    <w:rsid w:val="009C1788"/>
    <w:rsid w:val="009C1A0C"/>
    <w:rsid w:val="009C1A83"/>
    <w:rsid w:val="009C1CB7"/>
    <w:rsid w:val="009C1CBE"/>
    <w:rsid w:val="009C1E49"/>
    <w:rsid w:val="009C1EC4"/>
    <w:rsid w:val="009C1F10"/>
    <w:rsid w:val="009C1F2C"/>
    <w:rsid w:val="009C1F3B"/>
    <w:rsid w:val="009C1F59"/>
    <w:rsid w:val="009C1FEA"/>
    <w:rsid w:val="009C2091"/>
    <w:rsid w:val="009C20EF"/>
    <w:rsid w:val="009C2149"/>
    <w:rsid w:val="009C21C4"/>
    <w:rsid w:val="009C251D"/>
    <w:rsid w:val="009C2590"/>
    <w:rsid w:val="009C2617"/>
    <w:rsid w:val="009C263B"/>
    <w:rsid w:val="009C299F"/>
    <w:rsid w:val="009C2C06"/>
    <w:rsid w:val="009C2FAC"/>
    <w:rsid w:val="009C3055"/>
    <w:rsid w:val="009C3086"/>
    <w:rsid w:val="009C31A2"/>
    <w:rsid w:val="009C3246"/>
    <w:rsid w:val="009C34A2"/>
    <w:rsid w:val="009C3615"/>
    <w:rsid w:val="009C3672"/>
    <w:rsid w:val="009C383A"/>
    <w:rsid w:val="009C3959"/>
    <w:rsid w:val="009C3A28"/>
    <w:rsid w:val="009C3A3F"/>
    <w:rsid w:val="009C3A56"/>
    <w:rsid w:val="009C3C76"/>
    <w:rsid w:val="009C3D19"/>
    <w:rsid w:val="009C3DE7"/>
    <w:rsid w:val="009C428C"/>
    <w:rsid w:val="009C43AD"/>
    <w:rsid w:val="009C4477"/>
    <w:rsid w:val="009C4582"/>
    <w:rsid w:val="009C47F3"/>
    <w:rsid w:val="009C4CCB"/>
    <w:rsid w:val="009C4D1F"/>
    <w:rsid w:val="009C4E5F"/>
    <w:rsid w:val="009C4F54"/>
    <w:rsid w:val="009C5158"/>
    <w:rsid w:val="009C5368"/>
    <w:rsid w:val="009C5406"/>
    <w:rsid w:val="009C55C9"/>
    <w:rsid w:val="009C561C"/>
    <w:rsid w:val="009C568E"/>
    <w:rsid w:val="009C57D6"/>
    <w:rsid w:val="009C5873"/>
    <w:rsid w:val="009C5921"/>
    <w:rsid w:val="009C5BAC"/>
    <w:rsid w:val="009C5C1D"/>
    <w:rsid w:val="009C5CA1"/>
    <w:rsid w:val="009C5D30"/>
    <w:rsid w:val="009C5ED5"/>
    <w:rsid w:val="009C5FB0"/>
    <w:rsid w:val="009C611C"/>
    <w:rsid w:val="009C63B1"/>
    <w:rsid w:val="009C650D"/>
    <w:rsid w:val="009C668C"/>
    <w:rsid w:val="009C6742"/>
    <w:rsid w:val="009C677F"/>
    <w:rsid w:val="009C6965"/>
    <w:rsid w:val="009C6CD4"/>
    <w:rsid w:val="009C6FA3"/>
    <w:rsid w:val="009C7139"/>
    <w:rsid w:val="009C7212"/>
    <w:rsid w:val="009C7248"/>
    <w:rsid w:val="009C72DB"/>
    <w:rsid w:val="009C73A3"/>
    <w:rsid w:val="009C73BF"/>
    <w:rsid w:val="009C7440"/>
    <w:rsid w:val="009C744B"/>
    <w:rsid w:val="009C76F8"/>
    <w:rsid w:val="009C7917"/>
    <w:rsid w:val="009C7D2E"/>
    <w:rsid w:val="009C7EC9"/>
    <w:rsid w:val="009D0363"/>
    <w:rsid w:val="009D04AD"/>
    <w:rsid w:val="009D0640"/>
    <w:rsid w:val="009D0754"/>
    <w:rsid w:val="009D0991"/>
    <w:rsid w:val="009D0B75"/>
    <w:rsid w:val="009D0CB6"/>
    <w:rsid w:val="009D0EB7"/>
    <w:rsid w:val="009D0EEB"/>
    <w:rsid w:val="009D0F5F"/>
    <w:rsid w:val="009D1159"/>
    <w:rsid w:val="009D1376"/>
    <w:rsid w:val="009D1391"/>
    <w:rsid w:val="009D156A"/>
    <w:rsid w:val="009D1890"/>
    <w:rsid w:val="009D18B3"/>
    <w:rsid w:val="009D1BB5"/>
    <w:rsid w:val="009D1C72"/>
    <w:rsid w:val="009D1DB0"/>
    <w:rsid w:val="009D1EBE"/>
    <w:rsid w:val="009D1F3C"/>
    <w:rsid w:val="009D1FFA"/>
    <w:rsid w:val="009D25B3"/>
    <w:rsid w:val="009D2823"/>
    <w:rsid w:val="009D2A75"/>
    <w:rsid w:val="009D2B50"/>
    <w:rsid w:val="009D2B85"/>
    <w:rsid w:val="009D2C62"/>
    <w:rsid w:val="009D2D0F"/>
    <w:rsid w:val="009D2D2D"/>
    <w:rsid w:val="009D2F00"/>
    <w:rsid w:val="009D31B1"/>
    <w:rsid w:val="009D3360"/>
    <w:rsid w:val="009D33EE"/>
    <w:rsid w:val="009D33F9"/>
    <w:rsid w:val="009D34BC"/>
    <w:rsid w:val="009D3AB4"/>
    <w:rsid w:val="009D3BB5"/>
    <w:rsid w:val="009D3C54"/>
    <w:rsid w:val="009D3CBC"/>
    <w:rsid w:val="009D3F96"/>
    <w:rsid w:val="009D4507"/>
    <w:rsid w:val="009D45C2"/>
    <w:rsid w:val="009D4968"/>
    <w:rsid w:val="009D4AEE"/>
    <w:rsid w:val="009D4D8C"/>
    <w:rsid w:val="009D4F1F"/>
    <w:rsid w:val="009D4F3B"/>
    <w:rsid w:val="009D4F9E"/>
    <w:rsid w:val="009D503F"/>
    <w:rsid w:val="009D511A"/>
    <w:rsid w:val="009D51F3"/>
    <w:rsid w:val="009D53DD"/>
    <w:rsid w:val="009D54CB"/>
    <w:rsid w:val="009D58A1"/>
    <w:rsid w:val="009D59A9"/>
    <w:rsid w:val="009D5BFB"/>
    <w:rsid w:val="009D5CF5"/>
    <w:rsid w:val="009D6032"/>
    <w:rsid w:val="009D6208"/>
    <w:rsid w:val="009D63C2"/>
    <w:rsid w:val="009D64EA"/>
    <w:rsid w:val="009D65A9"/>
    <w:rsid w:val="009D669A"/>
    <w:rsid w:val="009D66F9"/>
    <w:rsid w:val="009D6739"/>
    <w:rsid w:val="009D674E"/>
    <w:rsid w:val="009D675B"/>
    <w:rsid w:val="009D6796"/>
    <w:rsid w:val="009D6BDD"/>
    <w:rsid w:val="009D6C07"/>
    <w:rsid w:val="009D6CEF"/>
    <w:rsid w:val="009D6ECA"/>
    <w:rsid w:val="009D7022"/>
    <w:rsid w:val="009D73FE"/>
    <w:rsid w:val="009D7496"/>
    <w:rsid w:val="009D7591"/>
    <w:rsid w:val="009D75C0"/>
    <w:rsid w:val="009D78A4"/>
    <w:rsid w:val="009D78D1"/>
    <w:rsid w:val="009D7AD0"/>
    <w:rsid w:val="009D7C00"/>
    <w:rsid w:val="009D7C5A"/>
    <w:rsid w:val="009D7CD9"/>
    <w:rsid w:val="009D7D50"/>
    <w:rsid w:val="009D7F5E"/>
    <w:rsid w:val="009E0393"/>
    <w:rsid w:val="009E077A"/>
    <w:rsid w:val="009E0E2D"/>
    <w:rsid w:val="009E100A"/>
    <w:rsid w:val="009E1105"/>
    <w:rsid w:val="009E1237"/>
    <w:rsid w:val="009E1261"/>
    <w:rsid w:val="009E1489"/>
    <w:rsid w:val="009E1523"/>
    <w:rsid w:val="009E1525"/>
    <w:rsid w:val="009E158E"/>
    <w:rsid w:val="009E15E3"/>
    <w:rsid w:val="009E16B2"/>
    <w:rsid w:val="009E16CA"/>
    <w:rsid w:val="009E16F0"/>
    <w:rsid w:val="009E176D"/>
    <w:rsid w:val="009E197F"/>
    <w:rsid w:val="009E1B06"/>
    <w:rsid w:val="009E1B9D"/>
    <w:rsid w:val="009E1C4C"/>
    <w:rsid w:val="009E1DBA"/>
    <w:rsid w:val="009E1E1D"/>
    <w:rsid w:val="009E1E5C"/>
    <w:rsid w:val="009E1E91"/>
    <w:rsid w:val="009E1F64"/>
    <w:rsid w:val="009E2115"/>
    <w:rsid w:val="009E227B"/>
    <w:rsid w:val="009E22DD"/>
    <w:rsid w:val="009E256B"/>
    <w:rsid w:val="009E257A"/>
    <w:rsid w:val="009E258E"/>
    <w:rsid w:val="009E2592"/>
    <w:rsid w:val="009E2945"/>
    <w:rsid w:val="009E2A90"/>
    <w:rsid w:val="009E2BFC"/>
    <w:rsid w:val="009E2CF3"/>
    <w:rsid w:val="009E2D06"/>
    <w:rsid w:val="009E2EDC"/>
    <w:rsid w:val="009E318B"/>
    <w:rsid w:val="009E32CC"/>
    <w:rsid w:val="009E32EE"/>
    <w:rsid w:val="009E3305"/>
    <w:rsid w:val="009E33C9"/>
    <w:rsid w:val="009E356A"/>
    <w:rsid w:val="009E36C2"/>
    <w:rsid w:val="009E3777"/>
    <w:rsid w:val="009E37CF"/>
    <w:rsid w:val="009E3946"/>
    <w:rsid w:val="009E39DC"/>
    <w:rsid w:val="009E40F6"/>
    <w:rsid w:val="009E4395"/>
    <w:rsid w:val="009E43E3"/>
    <w:rsid w:val="009E4607"/>
    <w:rsid w:val="009E46D9"/>
    <w:rsid w:val="009E472B"/>
    <w:rsid w:val="009E4DB2"/>
    <w:rsid w:val="009E4EAA"/>
    <w:rsid w:val="009E4EEB"/>
    <w:rsid w:val="009E4FAB"/>
    <w:rsid w:val="009E51CB"/>
    <w:rsid w:val="009E57B2"/>
    <w:rsid w:val="009E588D"/>
    <w:rsid w:val="009E5C96"/>
    <w:rsid w:val="009E5D03"/>
    <w:rsid w:val="009E5D4F"/>
    <w:rsid w:val="009E5DBF"/>
    <w:rsid w:val="009E5EB5"/>
    <w:rsid w:val="009E5F93"/>
    <w:rsid w:val="009E60DB"/>
    <w:rsid w:val="009E66CE"/>
    <w:rsid w:val="009E67FF"/>
    <w:rsid w:val="009E68C1"/>
    <w:rsid w:val="009E68CD"/>
    <w:rsid w:val="009E68CE"/>
    <w:rsid w:val="009E6E66"/>
    <w:rsid w:val="009E6F98"/>
    <w:rsid w:val="009E702F"/>
    <w:rsid w:val="009E70F1"/>
    <w:rsid w:val="009E7202"/>
    <w:rsid w:val="009E7353"/>
    <w:rsid w:val="009E75B2"/>
    <w:rsid w:val="009E7A9A"/>
    <w:rsid w:val="009E7BBD"/>
    <w:rsid w:val="009E7C33"/>
    <w:rsid w:val="009E7D71"/>
    <w:rsid w:val="009E7E3B"/>
    <w:rsid w:val="009E7ED3"/>
    <w:rsid w:val="009E7ED5"/>
    <w:rsid w:val="009E7EE8"/>
    <w:rsid w:val="009E7F79"/>
    <w:rsid w:val="009E7FFE"/>
    <w:rsid w:val="009F00B5"/>
    <w:rsid w:val="009F01C4"/>
    <w:rsid w:val="009F01ED"/>
    <w:rsid w:val="009F0212"/>
    <w:rsid w:val="009F031A"/>
    <w:rsid w:val="009F035F"/>
    <w:rsid w:val="009F085C"/>
    <w:rsid w:val="009F0902"/>
    <w:rsid w:val="009F09B0"/>
    <w:rsid w:val="009F0C5F"/>
    <w:rsid w:val="009F1235"/>
    <w:rsid w:val="009F1458"/>
    <w:rsid w:val="009F15EB"/>
    <w:rsid w:val="009F1654"/>
    <w:rsid w:val="009F1658"/>
    <w:rsid w:val="009F19F2"/>
    <w:rsid w:val="009F1C70"/>
    <w:rsid w:val="009F1CA1"/>
    <w:rsid w:val="009F1DB4"/>
    <w:rsid w:val="009F1DC2"/>
    <w:rsid w:val="009F200E"/>
    <w:rsid w:val="009F21C1"/>
    <w:rsid w:val="009F2317"/>
    <w:rsid w:val="009F2390"/>
    <w:rsid w:val="009F23C0"/>
    <w:rsid w:val="009F244E"/>
    <w:rsid w:val="009F2493"/>
    <w:rsid w:val="009F2523"/>
    <w:rsid w:val="009F2765"/>
    <w:rsid w:val="009F27B3"/>
    <w:rsid w:val="009F28DA"/>
    <w:rsid w:val="009F28E0"/>
    <w:rsid w:val="009F2BC4"/>
    <w:rsid w:val="009F2C91"/>
    <w:rsid w:val="009F2FA8"/>
    <w:rsid w:val="009F3658"/>
    <w:rsid w:val="009F3A99"/>
    <w:rsid w:val="009F3ED6"/>
    <w:rsid w:val="009F3EEF"/>
    <w:rsid w:val="009F3F4E"/>
    <w:rsid w:val="009F4026"/>
    <w:rsid w:val="009F4097"/>
    <w:rsid w:val="009F40DE"/>
    <w:rsid w:val="009F4246"/>
    <w:rsid w:val="009F4265"/>
    <w:rsid w:val="009F42A9"/>
    <w:rsid w:val="009F4328"/>
    <w:rsid w:val="009F432B"/>
    <w:rsid w:val="009F4341"/>
    <w:rsid w:val="009F436F"/>
    <w:rsid w:val="009F43E0"/>
    <w:rsid w:val="009F45E8"/>
    <w:rsid w:val="009F4721"/>
    <w:rsid w:val="009F474E"/>
    <w:rsid w:val="009F4C24"/>
    <w:rsid w:val="009F4C87"/>
    <w:rsid w:val="009F4D6D"/>
    <w:rsid w:val="009F4F86"/>
    <w:rsid w:val="009F4FFA"/>
    <w:rsid w:val="009F5448"/>
    <w:rsid w:val="009F54F0"/>
    <w:rsid w:val="009F56F3"/>
    <w:rsid w:val="009F58AB"/>
    <w:rsid w:val="009F597D"/>
    <w:rsid w:val="009F5A7B"/>
    <w:rsid w:val="009F5A9B"/>
    <w:rsid w:val="009F5C8B"/>
    <w:rsid w:val="009F5C9A"/>
    <w:rsid w:val="009F5F74"/>
    <w:rsid w:val="009F6054"/>
    <w:rsid w:val="009F60C0"/>
    <w:rsid w:val="009F62EB"/>
    <w:rsid w:val="009F6527"/>
    <w:rsid w:val="009F66B7"/>
    <w:rsid w:val="009F6760"/>
    <w:rsid w:val="009F6914"/>
    <w:rsid w:val="009F6EEB"/>
    <w:rsid w:val="009F70B8"/>
    <w:rsid w:val="009F70DC"/>
    <w:rsid w:val="009F7677"/>
    <w:rsid w:val="009F7EEB"/>
    <w:rsid w:val="009F7F64"/>
    <w:rsid w:val="009F7F9F"/>
    <w:rsid w:val="00A00015"/>
    <w:rsid w:val="00A00139"/>
    <w:rsid w:val="00A0035F"/>
    <w:rsid w:val="00A00399"/>
    <w:rsid w:val="00A0069A"/>
    <w:rsid w:val="00A006CF"/>
    <w:rsid w:val="00A008EE"/>
    <w:rsid w:val="00A009A6"/>
    <w:rsid w:val="00A009AF"/>
    <w:rsid w:val="00A00BD3"/>
    <w:rsid w:val="00A00C7C"/>
    <w:rsid w:val="00A00EA5"/>
    <w:rsid w:val="00A010CB"/>
    <w:rsid w:val="00A0115B"/>
    <w:rsid w:val="00A0123B"/>
    <w:rsid w:val="00A0131F"/>
    <w:rsid w:val="00A0132A"/>
    <w:rsid w:val="00A013AE"/>
    <w:rsid w:val="00A015EA"/>
    <w:rsid w:val="00A01657"/>
    <w:rsid w:val="00A0168D"/>
    <w:rsid w:val="00A019F1"/>
    <w:rsid w:val="00A01A35"/>
    <w:rsid w:val="00A01C13"/>
    <w:rsid w:val="00A01E48"/>
    <w:rsid w:val="00A020D1"/>
    <w:rsid w:val="00A0215C"/>
    <w:rsid w:val="00A02190"/>
    <w:rsid w:val="00A023AC"/>
    <w:rsid w:val="00A023B2"/>
    <w:rsid w:val="00A023F5"/>
    <w:rsid w:val="00A024A7"/>
    <w:rsid w:val="00A024CD"/>
    <w:rsid w:val="00A024F9"/>
    <w:rsid w:val="00A02653"/>
    <w:rsid w:val="00A027B9"/>
    <w:rsid w:val="00A0282B"/>
    <w:rsid w:val="00A0284D"/>
    <w:rsid w:val="00A02D9A"/>
    <w:rsid w:val="00A02E51"/>
    <w:rsid w:val="00A031E6"/>
    <w:rsid w:val="00A03729"/>
    <w:rsid w:val="00A03746"/>
    <w:rsid w:val="00A039FE"/>
    <w:rsid w:val="00A03C48"/>
    <w:rsid w:val="00A03EB0"/>
    <w:rsid w:val="00A041BE"/>
    <w:rsid w:val="00A04220"/>
    <w:rsid w:val="00A045B8"/>
    <w:rsid w:val="00A0464A"/>
    <w:rsid w:val="00A0470D"/>
    <w:rsid w:val="00A0475B"/>
    <w:rsid w:val="00A047E4"/>
    <w:rsid w:val="00A0483F"/>
    <w:rsid w:val="00A04892"/>
    <w:rsid w:val="00A048FB"/>
    <w:rsid w:val="00A04C38"/>
    <w:rsid w:val="00A04D00"/>
    <w:rsid w:val="00A04E29"/>
    <w:rsid w:val="00A04FC8"/>
    <w:rsid w:val="00A05070"/>
    <w:rsid w:val="00A053C3"/>
    <w:rsid w:val="00A05872"/>
    <w:rsid w:val="00A059ED"/>
    <w:rsid w:val="00A05B44"/>
    <w:rsid w:val="00A05B4B"/>
    <w:rsid w:val="00A05CA7"/>
    <w:rsid w:val="00A05CC8"/>
    <w:rsid w:val="00A05DCA"/>
    <w:rsid w:val="00A05DCE"/>
    <w:rsid w:val="00A06323"/>
    <w:rsid w:val="00A0681E"/>
    <w:rsid w:val="00A069AA"/>
    <w:rsid w:val="00A06C28"/>
    <w:rsid w:val="00A06D26"/>
    <w:rsid w:val="00A06D73"/>
    <w:rsid w:val="00A06ED3"/>
    <w:rsid w:val="00A06FE4"/>
    <w:rsid w:val="00A07098"/>
    <w:rsid w:val="00A070A6"/>
    <w:rsid w:val="00A07102"/>
    <w:rsid w:val="00A0729F"/>
    <w:rsid w:val="00A07360"/>
    <w:rsid w:val="00A073FF"/>
    <w:rsid w:val="00A074A1"/>
    <w:rsid w:val="00A078CA"/>
    <w:rsid w:val="00A07947"/>
    <w:rsid w:val="00A07A94"/>
    <w:rsid w:val="00A07D42"/>
    <w:rsid w:val="00A07E4C"/>
    <w:rsid w:val="00A07F11"/>
    <w:rsid w:val="00A10148"/>
    <w:rsid w:val="00A101AB"/>
    <w:rsid w:val="00A1035F"/>
    <w:rsid w:val="00A1058C"/>
    <w:rsid w:val="00A106EE"/>
    <w:rsid w:val="00A1090C"/>
    <w:rsid w:val="00A10A80"/>
    <w:rsid w:val="00A10B56"/>
    <w:rsid w:val="00A10D17"/>
    <w:rsid w:val="00A10E28"/>
    <w:rsid w:val="00A11025"/>
    <w:rsid w:val="00A11470"/>
    <w:rsid w:val="00A11648"/>
    <w:rsid w:val="00A1165E"/>
    <w:rsid w:val="00A11703"/>
    <w:rsid w:val="00A11A15"/>
    <w:rsid w:val="00A11B50"/>
    <w:rsid w:val="00A11DFD"/>
    <w:rsid w:val="00A11E67"/>
    <w:rsid w:val="00A120E3"/>
    <w:rsid w:val="00A123EB"/>
    <w:rsid w:val="00A1254A"/>
    <w:rsid w:val="00A125BE"/>
    <w:rsid w:val="00A1273A"/>
    <w:rsid w:val="00A127BE"/>
    <w:rsid w:val="00A12806"/>
    <w:rsid w:val="00A12833"/>
    <w:rsid w:val="00A12982"/>
    <w:rsid w:val="00A12C38"/>
    <w:rsid w:val="00A12DA3"/>
    <w:rsid w:val="00A12DCF"/>
    <w:rsid w:val="00A1328C"/>
    <w:rsid w:val="00A134E8"/>
    <w:rsid w:val="00A1353D"/>
    <w:rsid w:val="00A13555"/>
    <w:rsid w:val="00A1361C"/>
    <w:rsid w:val="00A136A2"/>
    <w:rsid w:val="00A136C6"/>
    <w:rsid w:val="00A136F3"/>
    <w:rsid w:val="00A13AC4"/>
    <w:rsid w:val="00A13AEC"/>
    <w:rsid w:val="00A13BCD"/>
    <w:rsid w:val="00A13D28"/>
    <w:rsid w:val="00A13E60"/>
    <w:rsid w:val="00A13EAA"/>
    <w:rsid w:val="00A1415E"/>
    <w:rsid w:val="00A14590"/>
    <w:rsid w:val="00A146A3"/>
    <w:rsid w:val="00A1476B"/>
    <w:rsid w:val="00A14C39"/>
    <w:rsid w:val="00A14CBE"/>
    <w:rsid w:val="00A14E4A"/>
    <w:rsid w:val="00A15043"/>
    <w:rsid w:val="00A150CE"/>
    <w:rsid w:val="00A151A8"/>
    <w:rsid w:val="00A1526E"/>
    <w:rsid w:val="00A15289"/>
    <w:rsid w:val="00A153FA"/>
    <w:rsid w:val="00A1561E"/>
    <w:rsid w:val="00A15645"/>
    <w:rsid w:val="00A157CC"/>
    <w:rsid w:val="00A15EBF"/>
    <w:rsid w:val="00A15F8B"/>
    <w:rsid w:val="00A161F4"/>
    <w:rsid w:val="00A162E0"/>
    <w:rsid w:val="00A166FD"/>
    <w:rsid w:val="00A16A46"/>
    <w:rsid w:val="00A16CB2"/>
    <w:rsid w:val="00A170F0"/>
    <w:rsid w:val="00A17132"/>
    <w:rsid w:val="00A17188"/>
    <w:rsid w:val="00A171BA"/>
    <w:rsid w:val="00A175AB"/>
    <w:rsid w:val="00A17830"/>
    <w:rsid w:val="00A1784B"/>
    <w:rsid w:val="00A17CE8"/>
    <w:rsid w:val="00A17DD0"/>
    <w:rsid w:val="00A20042"/>
    <w:rsid w:val="00A20076"/>
    <w:rsid w:val="00A201C8"/>
    <w:rsid w:val="00A2044B"/>
    <w:rsid w:val="00A204D2"/>
    <w:rsid w:val="00A209F2"/>
    <w:rsid w:val="00A20A30"/>
    <w:rsid w:val="00A20BCE"/>
    <w:rsid w:val="00A20F4C"/>
    <w:rsid w:val="00A212B2"/>
    <w:rsid w:val="00A213E3"/>
    <w:rsid w:val="00A21510"/>
    <w:rsid w:val="00A21531"/>
    <w:rsid w:val="00A2165D"/>
    <w:rsid w:val="00A21712"/>
    <w:rsid w:val="00A21938"/>
    <w:rsid w:val="00A219F4"/>
    <w:rsid w:val="00A21A2E"/>
    <w:rsid w:val="00A21A58"/>
    <w:rsid w:val="00A21A84"/>
    <w:rsid w:val="00A21AF2"/>
    <w:rsid w:val="00A21B25"/>
    <w:rsid w:val="00A21B41"/>
    <w:rsid w:val="00A21BBA"/>
    <w:rsid w:val="00A21D1C"/>
    <w:rsid w:val="00A21D3B"/>
    <w:rsid w:val="00A21DC2"/>
    <w:rsid w:val="00A21EE5"/>
    <w:rsid w:val="00A21FD4"/>
    <w:rsid w:val="00A22450"/>
    <w:rsid w:val="00A22453"/>
    <w:rsid w:val="00A2264C"/>
    <w:rsid w:val="00A226E5"/>
    <w:rsid w:val="00A22767"/>
    <w:rsid w:val="00A22849"/>
    <w:rsid w:val="00A2285B"/>
    <w:rsid w:val="00A22A9D"/>
    <w:rsid w:val="00A22D64"/>
    <w:rsid w:val="00A22DF8"/>
    <w:rsid w:val="00A22F42"/>
    <w:rsid w:val="00A231EE"/>
    <w:rsid w:val="00A232C4"/>
    <w:rsid w:val="00A23327"/>
    <w:rsid w:val="00A23688"/>
    <w:rsid w:val="00A2381E"/>
    <w:rsid w:val="00A23862"/>
    <w:rsid w:val="00A2389E"/>
    <w:rsid w:val="00A2398D"/>
    <w:rsid w:val="00A23A64"/>
    <w:rsid w:val="00A23A9B"/>
    <w:rsid w:val="00A23ABE"/>
    <w:rsid w:val="00A23EAA"/>
    <w:rsid w:val="00A245C4"/>
    <w:rsid w:val="00A2477F"/>
    <w:rsid w:val="00A2501B"/>
    <w:rsid w:val="00A2502F"/>
    <w:rsid w:val="00A25057"/>
    <w:rsid w:val="00A25A55"/>
    <w:rsid w:val="00A25BC5"/>
    <w:rsid w:val="00A25EA3"/>
    <w:rsid w:val="00A25F71"/>
    <w:rsid w:val="00A25FBF"/>
    <w:rsid w:val="00A26027"/>
    <w:rsid w:val="00A2610D"/>
    <w:rsid w:val="00A26141"/>
    <w:rsid w:val="00A2622C"/>
    <w:rsid w:val="00A26334"/>
    <w:rsid w:val="00A26481"/>
    <w:rsid w:val="00A264B0"/>
    <w:rsid w:val="00A266EE"/>
    <w:rsid w:val="00A2673C"/>
    <w:rsid w:val="00A26839"/>
    <w:rsid w:val="00A268C3"/>
    <w:rsid w:val="00A26935"/>
    <w:rsid w:val="00A26E0B"/>
    <w:rsid w:val="00A26F04"/>
    <w:rsid w:val="00A26FC3"/>
    <w:rsid w:val="00A27045"/>
    <w:rsid w:val="00A270EA"/>
    <w:rsid w:val="00A27229"/>
    <w:rsid w:val="00A27265"/>
    <w:rsid w:val="00A273DA"/>
    <w:rsid w:val="00A274CB"/>
    <w:rsid w:val="00A27947"/>
    <w:rsid w:val="00A27C74"/>
    <w:rsid w:val="00A27C80"/>
    <w:rsid w:val="00A27F16"/>
    <w:rsid w:val="00A3006E"/>
    <w:rsid w:val="00A302FD"/>
    <w:rsid w:val="00A304B4"/>
    <w:rsid w:val="00A30634"/>
    <w:rsid w:val="00A30643"/>
    <w:rsid w:val="00A306A7"/>
    <w:rsid w:val="00A30781"/>
    <w:rsid w:val="00A30802"/>
    <w:rsid w:val="00A30AC4"/>
    <w:rsid w:val="00A3112F"/>
    <w:rsid w:val="00A31255"/>
    <w:rsid w:val="00A315CC"/>
    <w:rsid w:val="00A31A21"/>
    <w:rsid w:val="00A31DF9"/>
    <w:rsid w:val="00A31E1D"/>
    <w:rsid w:val="00A321A0"/>
    <w:rsid w:val="00A32325"/>
    <w:rsid w:val="00A32456"/>
    <w:rsid w:val="00A3264A"/>
    <w:rsid w:val="00A3271D"/>
    <w:rsid w:val="00A328AA"/>
    <w:rsid w:val="00A32BB1"/>
    <w:rsid w:val="00A32C29"/>
    <w:rsid w:val="00A32C48"/>
    <w:rsid w:val="00A32E54"/>
    <w:rsid w:val="00A33030"/>
    <w:rsid w:val="00A330A8"/>
    <w:rsid w:val="00A330DF"/>
    <w:rsid w:val="00A331FD"/>
    <w:rsid w:val="00A332E3"/>
    <w:rsid w:val="00A3357D"/>
    <w:rsid w:val="00A335DB"/>
    <w:rsid w:val="00A33902"/>
    <w:rsid w:val="00A33959"/>
    <w:rsid w:val="00A33BF2"/>
    <w:rsid w:val="00A33EDB"/>
    <w:rsid w:val="00A33FB7"/>
    <w:rsid w:val="00A34058"/>
    <w:rsid w:val="00A347DF"/>
    <w:rsid w:val="00A347E7"/>
    <w:rsid w:val="00A34893"/>
    <w:rsid w:val="00A349A1"/>
    <w:rsid w:val="00A34CC1"/>
    <w:rsid w:val="00A34D06"/>
    <w:rsid w:val="00A350DA"/>
    <w:rsid w:val="00A35241"/>
    <w:rsid w:val="00A35303"/>
    <w:rsid w:val="00A3531E"/>
    <w:rsid w:val="00A353F5"/>
    <w:rsid w:val="00A35985"/>
    <w:rsid w:val="00A359EC"/>
    <w:rsid w:val="00A35D6C"/>
    <w:rsid w:val="00A35EF4"/>
    <w:rsid w:val="00A35FFD"/>
    <w:rsid w:val="00A3604C"/>
    <w:rsid w:val="00A36087"/>
    <w:rsid w:val="00A362BE"/>
    <w:rsid w:val="00A3659D"/>
    <w:rsid w:val="00A36736"/>
    <w:rsid w:val="00A36802"/>
    <w:rsid w:val="00A36AD1"/>
    <w:rsid w:val="00A36BB2"/>
    <w:rsid w:val="00A36DF6"/>
    <w:rsid w:val="00A36E62"/>
    <w:rsid w:val="00A36F61"/>
    <w:rsid w:val="00A37336"/>
    <w:rsid w:val="00A37564"/>
    <w:rsid w:val="00A37629"/>
    <w:rsid w:val="00A379D3"/>
    <w:rsid w:val="00A37A35"/>
    <w:rsid w:val="00A37C49"/>
    <w:rsid w:val="00A37D0D"/>
    <w:rsid w:val="00A37D2E"/>
    <w:rsid w:val="00A37D38"/>
    <w:rsid w:val="00A37D96"/>
    <w:rsid w:val="00A40326"/>
    <w:rsid w:val="00A403CE"/>
    <w:rsid w:val="00A407FD"/>
    <w:rsid w:val="00A40925"/>
    <w:rsid w:val="00A409FC"/>
    <w:rsid w:val="00A40A89"/>
    <w:rsid w:val="00A40A9F"/>
    <w:rsid w:val="00A40AEA"/>
    <w:rsid w:val="00A40BAE"/>
    <w:rsid w:val="00A40C42"/>
    <w:rsid w:val="00A40F4C"/>
    <w:rsid w:val="00A411C5"/>
    <w:rsid w:val="00A411E5"/>
    <w:rsid w:val="00A411F1"/>
    <w:rsid w:val="00A41378"/>
    <w:rsid w:val="00A414CA"/>
    <w:rsid w:val="00A417BD"/>
    <w:rsid w:val="00A418E2"/>
    <w:rsid w:val="00A419EA"/>
    <w:rsid w:val="00A41A7A"/>
    <w:rsid w:val="00A41AB3"/>
    <w:rsid w:val="00A41AD1"/>
    <w:rsid w:val="00A41C27"/>
    <w:rsid w:val="00A41DBB"/>
    <w:rsid w:val="00A41DCD"/>
    <w:rsid w:val="00A41E87"/>
    <w:rsid w:val="00A420DC"/>
    <w:rsid w:val="00A42248"/>
    <w:rsid w:val="00A4228E"/>
    <w:rsid w:val="00A426B9"/>
    <w:rsid w:val="00A42782"/>
    <w:rsid w:val="00A42819"/>
    <w:rsid w:val="00A4281D"/>
    <w:rsid w:val="00A4298D"/>
    <w:rsid w:val="00A42B69"/>
    <w:rsid w:val="00A42BAC"/>
    <w:rsid w:val="00A42CD5"/>
    <w:rsid w:val="00A42D17"/>
    <w:rsid w:val="00A430AE"/>
    <w:rsid w:val="00A4339E"/>
    <w:rsid w:val="00A4373D"/>
    <w:rsid w:val="00A4386C"/>
    <w:rsid w:val="00A4405C"/>
    <w:rsid w:val="00A440E8"/>
    <w:rsid w:val="00A44222"/>
    <w:rsid w:val="00A44334"/>
    <w:rsid w:val="00A443F0"/>
    <w:rsid w:val="00A4468F"/>
    <w:rsid w:val="00A446E5"/>
    <w:rsid w:val="00A4492A"/>
    <w:rsid w:val="00A44B95"/>
    <w:rsid w:val="00A44C48"/>
    <w:rsid w:val="00A44C4D"/>
    <w:rsid w:val="00A44C5A"/>
    <w:rsid w:val="00A44C6C"/>
    <w:rsid w:val="00A44D1A"/>
    <w:rsid w:val="00A44DCF"/>
    <w:rsid w:val="00A44EB1"/>
    <w:rsid w:val="00A44FD3"/>
    <w:rsid w:val="00A450C2"/>
    <w:rsid w:val="00A45281"/>
    <w:rsid w:val="00A452E4"/>
    <w:rsid w:val="00A4562B"/>
    <w:rsid w:val="00A456FA"/>
    <w:rsid w:val="00A45B44"/>
    <w:rsid w:val="00A45DDC"/>
    <w:rsid w:val="00A45DEB"/>
    <w:rsid w:val="00A45DF2"/>
    <w:rsid w:val="00A46039"/>
    <w:rsid w:val="00A460A0"/>
    <w:rsid w:val="00A461A5"/>
    <w:rsid w:val="00A461CC"/>
    <w:rsid w:val="00A461D1"/>
    <w:rsid w:val="00A463B2"/>
    <w:rsid w:val="00A46644"/>
    <w:rsid w:val="00A46679"/>
    <w:rsid w:val="00A466C2"/>
    <w:rsid w:val="00A4671B"/>
    <w:rsid w:val="00A46793"/>
    <w:rsid w:val="00A46A68"/>
    <w:rsid w:val="00A46AC9"/>
    <w:rsid w:val="00A46C7D"/>
    <w:rsid w:val="00A47159"/>
    <w:rsid w:val="00A472EF"/>
    <w:rsid w:val="00A473F8"/>
    <w:rsid w:val="00A474DA"/>
    <w:rsid w:val="00A47653"/>
    <w:rsid w:val="00A476A2"/>
    <w:rsid w:val="00A477AC"/>
    <w:rsid w:val="00A47846"/>
    <w:rsid w:val="00A47A53"/>
    <w:rsid w:val="00A47C1B"/>
    <w:rsid w:val="00A47C95"/>
    <w:rsid w:val="00A47CBB"/>
    <w:rsid w:val="00A47EFB"/>
    <w:rsid w:val="00A47F24"/>
    <w:rsid w:val="00A47F91"/>
    <w:rsid w:val="00A50195"/>
    <w:rsid w:val="00A501A0"/>
    <w:rsid w:val="00A5027C"/>
    <w:rsid w:val="00A50518"/>
    <w:rsid w:val="00A5056C"/>
    <w:rsid w:val="00A507F9"/>
    <w:rsid w:val="00A50860"/>
    <w:rsid w:val="00A50C62"/>
    <w:rsid w:val="00A50EC7"/>
    <w:rsid w:val="00A50EFF"/>
    <w:rsid w:val="00A50F89"/>
    <w:rsid w:val="00A51018"/>
    <w:rsid w:val="00A51032"/>
    <w:rsid w:val="00A510C7"/>
    <w:rsid w:val="00A51161"/>
    <w:rsid w:val="00A5116D"/>
    <w:rsid w:val="00A511E6"/>
    <w:rsid w:val="00A51224"/>
    <w:rsid w:val="00A5122A"/>
    <w:rsid w:val="00A51266"/>
    <w:rsid w:val="00A51373"/>
    <w:rsid w:val="00A513E0"/>
    <w:rsid w:val="00A51586"/>
    <w:rsid w:val="00A5164D"/>
    <w:rsid w:val="00A51674"/>
    <w:rsid w:val="00A51899"/>
    <w:rsid w:val="00A51963"/>
    <w:rsid w:val="00A51A45"/>
    <w:rsid w:val="00A51AA2"/>
    <w:rsid w:val="00A51AC5"/>
    <w:rsid w:val="00A51AF7"/>
    <w:rsid w:val="00A51D05"/>
    <w:rsid w:val="00A51D7F"/>
    <w:rsid w:val="00A51F2F"/>
    <w:rsid w:val="00A521DC"/>
    <w:rsid w:val="00A52446"/>
    <w:rsid w:val="00A52546"/>
    <w:rsid w:val="00A52577"/>
    <w:rsid w:val="00A52693"/>
    <w:rsid w:val="00A529FC"/>
    <w:rsid w:val="00A52B0E"/>
    <w:rsid w:val="00A52B6F"/>
    <w:rsid w:val="00A52CF0"/>
    <w:rsid w:val="00A52E4E"/>
    <w:rsid w:val="00A53036"/>
    <w:rsid w:val="00A5312D"/>
    <w:rsid w:val="00A53157"/>
    <w:rsid w:val="00A53288"/>
    <w:rsid w:val="00A53371"/>
    <w:rsid w:val="00A5391D"/>
    <w:rsid w:val="00A53D42"/>
    <w:rsid w:val="00A54072"/>
    <w:rsid w:val="00A5441D"/>
    <w:rsid w:val="00A544F6"/>
    <w:rsid w:val="00A545BD"/>
    <w:rsid w:val="00A54880"/>
    <w:rsid w:val="00A5497B"/>
    <w:rsid w:val="00A54A40"/>
    <w:rsid w:val="00A54B18"/>
    <w:rsid w:val="00A54E1B"/>
    <w:rsid w:val="00A5502D"/>
    <w:rsid w:val="00A5503B"/>
    <w:rsid w:val="00A554AF"/>
    <w:rsid w:val="00A55925"/>
    <w:rsid w:val="00A55CA5"/>
    <w:rsid w:val="00A55DA1"/>
    <w:rsid w:val="00A55E74"/>
    <w:rsid w:val="00A55F4C"/>
    <w:rsid w:val="00A56179"/>
    <w:rsid w:val="00A56292"/>
    <w:rsid w:val="00A564D7"/>
    <w:rsid w:val="00A5690F"/>
    <w:rsid w:val="00A56A1B"/>
    <w:rsid w:val="00A56CD5"/>
    <w:rsid w:val="00A56CD9"/>
    <w:rsid w:val="00A56D54"/>
    <w:rsid w:val="00A5724E"/>
    <w:rsid w:val="00A57639"/>
    <w:rsid w:val="00A578A2"/>
    <w:rsid w:val="00A5791B"/>
    <w:rsid w:val="00A57CCC"/>
    <w:rsid w:val="00A57D20"/>
    <w:rsid w:val="00A57F53"/>
    <w:rsid w:val="00A6006D"/>
    <w:rsid w:val="00A600FF"/>
    <w:rsid w:val="00A6035C"/>
    <w:rsid w:val="00A60551"/>
    <w:rsid w:val="00A60783"/>
    <w:rsid w:val="00A60815"/>
    <w:rsid w:val="00A6081A"/>
    <w:rsid w:val="00A60A44"/>
    <w:rsid w:val="00A60AE5"/>
    <w:rsid w:val="00A60AFC"/>
    <w:rsid w:val="00A60CAB"/>
    <w:rsid w:val="00A60CCA"/>
    <w:rsid w:val="00A60D2B"/>
    <w:rsid w:val="00A60E59"/>
    <w:rsid w:val="00A60E8A"/>
    <w:rsid w:val="00A60EB3"/>
    <w:rsid w:val="00A61027"/>
    <w:rsid w:val="00A61087"/>
    <w:rsid w:val="00A6120F"/>
    <w:rsid w:val="00A612A0"/>
    <w:rsid w:val="00A61669"/>
    <w:rsid w:val="00A6171F"/>
    <w:rsid w:val="00A61936"/>
    <w:rsid w:val="00A61C13"/>
    <w:rsid w:val="00A61E99"/>
    <w:rsid w:val="00A61F90"/>
    <w:rsid w:val="00A61FF4"/>
    <w:rsid w:val="00A621B7"/>
    <w:rsid w:val="00A62309"/>
    <w:rsid w:val="00A62645"/>
    <w:rsid w:val="00A627E3"/>
    <w:rsid w:val="00A628CC"/>
    <w:rsid w:val="00A629E5"/>
    <w:rsid w:val="00A62E94"/>
    <w:rsid w:val="00A62EA3"/>
    <w:rsid w:val="00A630D9"/>
    <w:rsid w:val="00A631A0"/>
    <w:rsid w:val="00A63383"/>
    <w:rsid w:val="00A636C9"/>
    <w:rsid w:val="00A638D8"/>
    <w:rsid w:val="00A63BF0"/>
    <w:rsid w:val="00A63D60"/>
    <w:rsid w:val="00A640BE"/>
    <w:rsid w:val="00A64194"/>
    <w:rsid w:val="00A64439"/>
    <w:rsid w:val="00A6474E"/>
    <w:rsid w:val="00A647D9"/>
    <w:rsid w:val="00A64A64"/>
    <w:rsid w:val="00A64DB3"/>
    <w:rsid w:val="00A64E2C"/>
    <w:rsid w:val="00A650D7"/>
    <w:rsid w:val="00A65177"/>
    <w:rsid w:val="00A65233"/>
    <w:rsid w:val="00A652B8"/>
    <w:rsid w:val="00A653D2"/>
    <w:rsid w:val="00A65429"/>
    <w:rsid w:val="00A65534"/>
    <w:rsid w:val="00A656E4"/>
    <w:rsid w:val="00A6582A"/>
    <w:rsid w:val="00A658A9"/>
    <w:rsid w:val="00A659CC"/>
    <w:rsid w:val="00A65A8D"/>
    <w:rsid w:val="00A65B6B"/>
    <w:rsid w:val="00A65C2B"/>
    <w:rsid w:val="00A65F45"/>
    <w:rsid w:val="00A662E1"/>
    <w:rsid w:val="00A663F8"/>
    <w:rsid w:val="00A666B3"/>
    <w:rsid w:val="00A667E7"/>
    <w:rsid w:val="00A66863"/>
    <w:rsid w:val="00A6689D"/>
    <w:rsid w:val="00A66C09"/>
    <w:rsid w:val="00A66DEE"/>
    <w:rsid w:val="00A66E93"/>
    <w:rsid w:val="00A66F7D"/>
    <w:rsid w:val="00A672D1"/>
    <w:rsid w:val="00A672F7"/>
    <w:rsid w:val="00A67488"/>
    <w:rsid w:val="00A674DF"/>
    <w:rsid w:val="00A677C4"/>
    <w:rsid w:val="00A67A15"/>
    <w:rsid w:val="00A67AD9"/>
    <w:rsid w:val="00A67D24"/>
    <w:rsid w:val="00A67D6B"/>
    <w:rsid w:val="00A67EB5"/>
    <w:rsid w:val="00A7007A"/>
    <w:rsid w:val="00A700D3"/>
    <w:rsid w:val="00A70135"/>
    <w:rsid w:val="00A70288"/>
    <w:rsid w:val="00A70639"/>
    <w:rsid w:val="00A7078D"/>
    <w:rsid w:val="00A709C4"/>
    <w:rsid w:val="00A70AF3"/>
    <w:rsid w:val="00A70C5B"/>
    <w:rsid w:val="00A70D73"/>
    <w:rsid w:val="00A70E40"/>
    <w:rsid w:val="00A70FD4"/>
    <w:rsid w:val="00A7107D"/>
    <w:rsid w:val="00A71667"/>
    <w:rsid w:val="00A719E3"/>
    <w:rsid w:val="00A72077"/>
    <w:rsid w:val="00A72189"/>
    <w:rsid w:val="00A723EC"/>
    <w:rsid w:val="00A72715"/>
    <w:rsid w:val="00A7274B"/>
    <w:rsid w:val="00A7296B"/>
    <w:rsid w:val="00A72ABE"/>
    <w:rsid w:val="00A72C66"/>
    <w:rsid w:val="00A72D91"/>
    <w:rsid w:val="00A72F03"/>
    <w:rsid w:val="00A72F8F"/>
    <w:rsid w:val="00A72FB8"/>
    <w:rsid w:val="00A730DA"/>
    <w:rsid w:val="00A730F9"/>
    <w:rsid w:val="00A73165"/>
    <w:rsid w:val="00A733C1"/>
    <w:rsid w:val="00A73510"/>
    <w:rsid w:val="00A73590"/>
    <w:rsid w:val="00A735BC"/>
    <w:rsid w:val="00A73694"/>
    <w:rsid w:val="00A736A2"/>
    <w:rsid w:val="00A736B1"/>
    <w:rsid w:val="00A7376B"/>
    <w:rsid w:val="00A738B1"/>
    <w:rsid w:val="00A73AFD"/>
    <w:rsid w:val="00A73E63"/>
    <w:rsid w:val="00A73FDB"/>
    <w:rsid w:val="00A74046"/>
    <w:rsid w:val="00A7406D"/>
    <w:rsid w:val="00A7445C"/>
    <w:rsid w:val="00A7448E"/>
    <w:rsid w:val="00A74593"/>
    <w:rsid w:val="00A74650"/>
    <w:rsid w:val="00A746C4"/>
    <w:rsid w:val="00A747C2"/>
    <w:rsid w:val="00A74859"/>
    <w:rsid w:val="00A74B49"/>
    <w:rsid w:val="00A74DC5"/>
    <w:rsid w:val="00A74E28"/>
    <w:rsid w:val="00A74FF3"/>
    <w:rsid w:val="00A750FE"/>
    <w:rsid w:val="00A75538"/>
    <w:rsid w:val="00A75586"/>
    <w:rsid w:val="00A755A6"/>
    <w:rsid w:val="00A755CA"/>
    <w:rsid w:val="00A756CF"/>
    <w:rsid w:val="00A75947"/>
    <w:rsid w:val="00A75990"/>
    <w:rsid w:val="00A759F0"/>
    <w:rsid w:val="00A75AE2"/>
    <w:rsid w:val="00A75C02"/>
    <w:rsid w:val="00A75D5E"/>
    <w:rsid w:val="00A75F96"/>
    <w:rsid w:val="00A7612D"/>
    <w:rsid w:val="00A761EF"/>
    <w:rsid w:val="00A762E4"/>
    <w:rsid w:val="00A76387"/>
    <w:rsid w:val="00A765BB"/>
    <w:rsid w:val="00A76620"/>
    <w:rsid w:val="00A76999"/>
    <w:rsid w:val="00A76A23"/>
    <w:rsid w:val="00A76DF7"/>
    <w:rsid w:val="00A76FA0"/>
    <w:rsid w:val="00A77184"/>
    <w:rsid w:val="00A7721D"/>
    <w:rsid w:val="00A77463"/>
    <w:rsid w:val="00A774F6"/>
    <w:rsid w:val="00A77633"/>
    <w:rsid w:val="00A776B6"/>
    <w:rsid w:val="00A77889"/>
    <w:rsid w:val="00A77CB6"/>
    <w:rsid w:val="00A77F3F"/>
    <w:rsid w:val="00A77F4C"/>
    <w:rsid w:val="00A77F84"/>
    <w:rsid w:val="00A8000A"/>
    <w:rsid w:val="00A8003F"/>
    <w:rsid w:val="00A80182"/>
    <w:rsid w:val="00A80257"/>
    <w:rsid w:val="00A80308"/>
    <w:rsid w:val="00A803E7"/>
    <w:rsid w:val="00A805D3"/>
    <w:rsid w:val="00A80726"/>
    <w:rsid w:val="00A807D3"/>
    <w:rsid w:val="00A80810"/>
    <w:rsid w:val="00A8099D"/>
    <w:rsid w:val="00A80B30"/>
    <w:rsid w:val="00A80C62"/>
    <w:rsid w:val="00A80CB3"/>
    <w:rsid w:val="00A80CCF"/>
    <w:rsid w:val="00A810B5"/>
    <w:rsid w:val="00A81128"/>
    <w:rsid w:val="00A819DE"/>
    <w:rsid w:val="00A81AC3"/>
    <w:rsid w:val="00A81B4F"/>
    <w:rsid w:val="00A81B64"/>
    <w:rsid w:val="00A81CF1"/>
    <w:rsid w:val="00A81D5E"/>
    <w:rsid w:val="00A81E99"/>
    <w:rsid w:val="00A81F17"/>
    <w:rsid w:val="00A821B1"/>
    <w:rsid w:val="00A822B4"/>
    <w:rsid w:val="00A824AA"/>
    <w:rsid w:val="00A824B0"/>
    <w:rsid w:val="00A8253F"/>
    <w:rsid w:val="00A82728"/>
    <w:rsid w:val="00A82926"/>
    <w:rsid w:val="00A829D3"/>
    <w:rsid w:val="00A82AB8"/>
    <w:rsid w:val="00A82C7F"/>
    <w:rsid w:val="00A82CB6"/>
    <w:rsid w:val="00A82DC3"/>
    <w:rsid w:val="00A82F82"/>
    <w:rsid w:val="00A82F93"/>
    <w:rsid w:val="00A83181"/>
    <w:rsid w:val="00A831FB"/>
    <w:rsid w:val="00A835E6"/>
    <w:rsid w:val="00A838A7"/>
    <w:rsid w:val="00A838E0"/>
    <w:rsid w:val="00A83997"/>
    <w:rsid w:val="00A83AD6"/>
    <w:rsid w:val="00A83BAD"/>
    <w:rsid w:val="00A83CB0"/>
    <w:rsid w:val="00A83CBD"/>
    <w:rsid w:val="00A83DCE"/>
    <w:rsid w:val="00A8405C"/>
    <w:rsid w:val="00A84117"/>
    <w:rsid w:val="00A84284"/>
    <w:rsid w:val="00A846F5"/>
    <w:rsid w:val="00A8499C"/>
    <w:rsid w:val="00A849A4"/>
    <w:rsid w:val="00A84D3C"/>
    <w:rsid w:val="00A84E53"/>
    <w:rsid w:val="00A84ECB"/>
    <w:rsid w:val="00A8504A"/>
    <w:rsid w:val="00A850DF"/>
    <w:rsid w:val="00A85175"/>
    <w:rsid w:val="00A8521C"/>
    <w:rsid w:val="00A85231"/>
    <w:rsid w:val="00A8527A"/>
    <w:rsid w:val="00A8530E"/>
    <w:rsid w:val="00A8545B"/>
    <w:rsid w:val="00A854BE"/>
    <w:rsid w:val="00A85608"/>
    <w:rsid w:val="00A8565E"/>
    <w:rsid w:val="00A85701"/>
    <w:rsid w:val="00A858CE"/>
    <w:rsid w:val="00A85BA9"/>
    <w:rsid w:val="00A85FB2"/>
    <w:rsid w:val="00A86065"/>
    <w:rsid w:val="00A8649C"/>
    <w:rsid w:val="00A866C4"/>
    <w:rsid w:val="00A86717"/>
    <w:rsid w:val="00A86764"/>
    <w:rsid w:val="00A867C6"/>
    <w:rsid w:val="00A86A25"/>
    <w:rsid w:val="00A86A47"/>
    <w:rsid w:val="00A86B5A"/>
    <w:rsid w:val="00A86CDA"/>
    <w:rsid w:val="00A86E84"/>
    <w:rsid w:val="00A870B0"/>
    <w:rsid w:val="00A8718C"/>
    <w:rsid w:val="00A87283"/>
    <w:rsid w:val="00A8757F"/>
    <w:rsid w:val="00A875D3"/>
    <w:rsid w:val="00A8761B"/>
    <w:rsid w:val="00A87B73"/>
    <w:rsid w:val="00A87BC7"/>
    <w:rsid w:val="00A87D4B"/>
    <w:rsid w:val="00A90211"/>
    <w:rsid w:val="00A90634"/>
    <w:rsid w:val="00A9078F"/>
    <w:rsid w:val="00A90873"/>
    <w:rsid w:val="00A90A45"/>
    <w:rsid w:val="00A90C25"/>
    <w:rsid w:val="00A90D28"/>
    <w:rsid w:val="00A90F10"/>
    <w:rsid w:val="00A91081"/>
    <w:rsid w:val="00A913D1"/>
    <w:rsid w:val="00A916CF"/>
    <w:rsid w:val="00A91A28"/>
    <w:rsid w:val="00A91A77"/>
    <w:rsid w:val="00A91E3D"/>
    <w:rsid w:val="00A91E77"/>
    <w:rsid w:val="00A91F42"/>
    <w:rsid w:val="00A92205"/>
    <w:rsid w:val="00A922DA"/>
    <w:rsid w:val="00A92A99"/>
    <w:rsid w:val="00A92B92"/>
    <w:rsid w:val="00A92CF7"/>
    <w:rsid w:val="00A92F47"/>
    <w:rsid w:val="00A92FB1"/>
    <w:rsid w:val="00A9306E"/>
    <w:rsid w:val="00A9312B"/>
    <w:rsid w:val="00A932EB"/>
    <w:rsid w:val="00A9354B"/>
    <w:rsid w:val="00A935D3"/>
    <w:rsid w:val="00A936BB"/>
    <w:rsid w:val="00A9377B"/>
    <w:rsid w:val="00A937B3"/>
    <w:rsid w:val="00A93889"/>
    <w:rsid w:val="00A9391C"/>
    <w:rsid w:val="00A93AD9"/>
    <w:rsid w:val="00A93B98"/>
    <w:rsid w:val="00A93BD3"/>
    <w:rsid w:val="00A93C6A"/>
    <w:rsid w:val="00A9402B"/>
    <w:rsid w:val="00A9413E"/>
    <w:rsid w:val="00A9442E"/>
    <w:rsid w:val="00A944D5"/>
    <w:rsid w:val="00A94601"/>
    <w:rsid w:val="00A94C03"/>
    <w:rsid w:val="00A94D28"/>
    <w:rsid w:val="00A94FA6"/>
    <w:rsid w:val="00A95055"/>
    <w:rsid w:val="00A9535C"/>
    <w:rsid w:val="00A95443"/>
    <w:rsid w:val="00A955AA"/>
    <w:rsid w:val="00A9561A"/>
    <w:rsid w:val="00A95663"/>
    <w:rsid w:val="00A95755"/>
    <w:rsid w:val="00A95BDF"/>
    <w:rsid w:val="00A95CDF"/>
    <w:rsid w:val="00A95DCE"/>
    <w:rsid w:val="00A96023"/>
    <w:rsid w:val="00A96118"/>
    <w:rsid w:val="00A961CC"/>
    <w:rsid w:val="00A9627E"/>
    <w:rsid w:val="00A96335"/>
    <w:rsid w:val="00A9639B"/>
    <w:rsid w:val="00A963A1"/>
    <w:rsid w:val="00A96453"/>
    <w:rsid w:val="00A9654E"/>
    <w:rsid w:val="00A969BD"/>
    <w:rsid w:val="00A96A41"/>
    <w:rsid w:val="00A96A6C"/>
    <w:rsid w:val="00A96C41"/>
    <w:rsid w:val="00A96D16"/>
    <w:rsid w:val="00A96FE2"/>
    <w:rsid w:val="00A97160"/>
    <w:rsid w:val="00A97304"/>
    <w:rsid w:val="00A97340"/>
    <w:rsid w:val="00A97614"/>
    <w:rsid w:val="00A976C7"/>
    <w:rsid w:val="00A978CC"/>
    <w:rsid w:val="00A97A4C"/>
    <w:rsid w:val="00A97DD5"/>
    <w:rsid w:val="00A97E4B"/>
    <w:rsid w:val="00A97E80"/>
    <w:rsid w:val="00AA0120"/>
    <w:rsid w:val="00AA0283"/>
    <w:rsid w:val="00AA0419"/>
    <w:rsid w:val="00AA0654"/>
    <w:rsid w:val="00AA08B1"/>
    <w:rsid w:val="00AA0A43"/>
    <w:rsid w:val="00AA0A9B"/>
    <w:rsid w:val="00AA0C6A"/>
    <w:rsid w:val="00AA0D6A"/>
    <w:rsid w:val="00AA0D74"/>
    <w:rsid w:val="00AA0DAC"/>
    <w:rsid w:val="00AA0EA4"/>
    <w:rsid w:val="00AA1478"/>
    <w:rsid w:val="00AA1667"/>
    <w:rsid w:val="00AA17AE"/>
    <w:rsid w:val="00AA1ED6"/>
    <w:rsid w:val="00AA207F"/>
    <w:rsid w:val="00AA20D8"/>
    <w:rsid w:val="00AA21AC"/>
    <w:rsid w:val="00AA21CD"/>
    <w:rsid w:val="00AA22F7"/>
    <w:rsid w:val="00AA2558"/>
    <w:rsid w:val="00AA255B"/>
    <w:rsid w:val="00AA29E1"/>
    <w:rsid w:val="00AA2A02"/>
    <w:rsid w:val="00AA2BD2"/>
    <w:rsid w:val="00AA2D85"/>
    <w:rsid w:val="00AA2F6E"/>
    <w:rsid w:val="00AA3001"/>
    <w:rsid w:val="00AA3038"/>
    <w:rsid w:val="00AA3173"/>
    <w:rsid w:val="00AA31BE"/>
    <w:rsid w:val="00AA33AF"/>
    <w:rsid w:val="00AA3955"/>
    <w:rsid w:val="00AA39C1"/>
    <w:rsid w:val="00AA3AD1"/>
    <w:rsid w:val="00AA403C"/>
    <w:rsid w:val="00AA4195"/>
    <w:rsid w:val="00AA4442"/>
    <w:rsid w:val="00AA4462"/>
    <w:rsid w:val="00AA47D2"/>
    <w:rsid w:val="00AA4BAD"/>
    <w:rsid w:val="00AA4C4B"/>
    <w:rsid w:val="00AA4F07"/>
    <w:rsid w:val="00AA511A"/>
    <w:rsid w:val="00AA518D"/>
    <w:rsid w:val="00AA51CB"/>
    <w:rsid w:val="00AA5310"/>
    <w:rsid w:val="00AA533E"/>
    <w:rsid w:val="00AA5686"/>
    <w:rsid w:val="00AA589C"/>
    <w:rsid w:val="00AA5BE9"/>
    <w:rsid w:val="00AA5CB9"/>
    <w:rsid w:val="00AA5DC3"/>
    <w:rsid w:val="00AA5ED4"/>
    <w:rsid w:val="00AA5F25"/>
    <w:rsid w:val="00AA5F27"/>
    <w:rsid w:val="00AA6213"/>
    <w:rsid w:val="00AA62E1"/>
    <w:rsid w:val="00AA6341"/>
    <w:rsid w:val="00AA6351"/>
    <w:rsid w:val="00AA640B"/>
    <w:rsid w:val="00AA6531"/>
    <w:rsid w:val="00AA6561"/>
    <w:rsid w:val="00AA65BF"/>
    <w:rsid w:val="00AA6791"/>
    <w:rsid w:val="00AA6996"/>
    <w:rsid w:val="00AA69D4"/>
    <w:rsid w:val="00AA69FE"/>
    <w:rsid w:val="00AA6BAC"/>
    <w:rsid w:val="00AA6D00"/>
    <w:rsid w:val="00AA6DC8"/>
    <w:rsid w:val="00AA6DF3"/>
    <w:rsid w:val="00AA6E9A"/>
    <w:rsid w:val="00AA725A"/>
    <w:rsid w:val="00AA73E7"/>
    <w:rsid w:val="00AA7803"/>
    <w:rsid w:val="00AA7817"/>
    <w:rsid w:val="00AA7963"/>
    <w:rsid w:val="00AA79B0"/>
    <w:rsid w:val="00AA79DF"/>
    <w:rsid w:val="00AA7A73"/>
    <w:rsid w:val="00AA7B25"/>
    <w:rsid w:val="00AA7C30"/>
    <w:rsid w:val="00AA7E0A"/>
    <w:rsid w:val="00AA7FB4"/>
    <w:rsid w:val="00AB00F8"/>
    <w:rsid w:val="00AB044F"/>
    <w:rsid w:val="00AB064C"/>
    <w:rsid w:val="00AB0770"/>
    <w:rsid w:val="00AB07C3"/>
    <w:rsid w:val="00AB0911"/>
    <w:rsid w:val="00AB0C49"/>
    <w:rsid w:val="00AB0D47"/>
    <w:rsid w:val="00AB0E99"/>
    <w:rsid w:val="00AB0EE8"/>
    <w:rsid w:val="00AB0FE4"/>
    <w:rsid w:val="00AB1013"/>
    <w:rsid w:val="00AB112E"/>
    <w:rsid w:val="00AB118A"/>
    <w:rsid w:val="00AB1503"/>
    <w:rsid w:val="00AB16F6"/>
    <w:rsid w:val="00AB19E2"/>
    <w:rsid w:val="00AB1D5D"/>
    <w:rsid w:val="00AB1DFE"/>
    <w:rsid w:val="00AB1E75"/>
    <w:rsid w:val="00AB1EBA"/>
    <w:rsid w:val="00AB1EF8"/>
    <w:rsid w:val="00AB1F57"/>
    <w:rsid w:val="00AB1FFC"/>
    <w:rsid w:val="00AB203F"/>
    <w:rsid w:val="00AB2D25"/>
    <w:rsid w:val="00AB2D4F"/>
    <w:rsid w:val="00AB2E83"/>
    <w:rsid w:val="00AB311A"/>
    <w:rsid w:val="00AB341D"/>
    <w:rsid w:val="00AB3434"/>
    <w:rsid w:val="00AB34B0"/>
    <w:rsid w:val="00AB3654"/>
    <w:rsid w:val="00AB368E"/>
    <w:rsid w:val="00AB37DB"/>
    <w:rsid w:val="00AB38D7"/>
    <w:rsid w:val="00AB3932"/>
    <w:rsid w:val="00AB3F4D"/>
    <w:rsid w:val="00AB40F2"/>
    <w:rsid w:val="00AB4197"/>
    <w:rsid w:val="00AB425D"/>
    <w:rsid w:val="00AB433C"/>
    <w:rsid w:val="00AB4438"/>
    <w:rsid w:val="00AB4457"/>
    <w:rsid w:val="00AB4713"/>
    <w:rsid w:val="00AB4859"/>
    <w:rsid w:val="00AB4990"/>
    <w:rsid w:val="00AB4C78"/>
    <w:rsid w:val="00AB4D4E"/>
    <w:rsid w:val="00AB4E2A"/>
    <w:rsid w:val="00AB4F86"/>
    <w:rsid w:val="00AB55F4"/>
    <w:rsid w:val="00AB58F9"/>
    <w:rsid w:val="00AB5CBA"/>
    <w:rsid w:val="00AB5D37"/>
    <w:rsid w:val="00AB5DDB"/>
    <w:rsid w:val="00AB5DE5"/>
    <w:rsid w:val="00AB5EE8"/>
    <w:rsid w:val="00AB5F07"/>
    <w:rsid w:val="00AB5FDF"/>
    <w:rsid w:val="00AB6135"/>
    <w:rsid w:val="00AB614E"/>
    <w:rsid w:val="00AB6378"/>
    <w:rsid w:val="00AB6792"/>
    <w:rsid w:val="00AB6833"/>
    <w:rsid w:val="00AB68B6"/>
    <w:rsid w:val="00AB6917"/>
    <w:rsid w:val="00AB6B0A"/>
    <w:rsid w:val="00AB6BF6"/>
    <w:rsid w:val="00AB6F4D"/>
    <w:rsid w:val="00AB7164"/>
    <w:rsid w:val="00AB7196"/>
    <w:rsid w:val="00AB7342"/>
    <w:rsid w:val="00AB75F5"/>
    <w:rsid w:val="00AB7751"/>
    <w:rsid w:val="00AB78D4"/>
    <w:rsid w:val="00AB7991"/>
    <w:rsid w:val="00AB7A2F"/>
    <w:rsid w:val="00AB7BDE"/>
    <w:rsid w:val="00AB7E0F"/>
    <w:rsid w:val="00AB7E96"/>
    <w:rsid w:val="00AB7FFD"/>
    <w:rsid w:val="00AC03A1"/>
    <w:rsid w:val="00AC04BB"/>
    <w:rsid w:val="00AC057F"/>
    <w:rsid w:val="00AC0717"/>
    <w:rsid w:val="00AC07E3"/>
    <w:rsid w:val="00AC08C9"/>
    <w:rsid w:val="00AC09FF"/>
    <w:rsid w:val="00AC0C3D"/>
    <w:rsid w:val="00AC0CEF"/>
    <w:rsid w:val="00AC0F3C"/>
    <w:rsid w:val="00AC0FD0"/>
    <w:rsid w:val="00AC10FA"/>
    <w:rsid w:val="00AC1612"/>
    <w:rsid w:val="00AC1951"/>
    <w:rsid w:val="00AC1D04"/>
    <w:rsid w:val="00AC1E38"/>
    <w:rsid w:val="00AC200D"/>
    <w:rsid w:val="00AC2038"/>
    <w:rsid w:val="00AC2171"/>
    <w:rsid w:val="00AC2191"/>
    <w:rsid w:val="00AC23A0"/>
    <w:rsid w:val="00AC2479"/>
    <w:rsid w:val="00AC24F5"/>
    <w:rsid w:val="00AC2546"/>
    <w:rsid w:val="00AC2784"/>
    <w:rsid w:val="00AC28DB"/>
    <w:rsid w:val="00AC2A97"/>
    <w:rsid w:val="00AC2BC2"/>
    <w:rsid w:val="00AC30F6"/>
    <w:rsid w:val="00AC339B"/>
    <w:rsid w:val="00AC3745"/>
    <w:rsid w:val="00AC3D18"/>
    <w:rsid w:val="00AC3D66"/>
    <w:rsid w:val="00AC3E9B"/>
    <w:rsid w:val="00AC3EF3"/>
    <w:rsid w:val="00AC3F25"/>
    <w:rsid w:val="00AC403D"/>
    <w:rsid w:val="00AC421A"/>
    <w:rsid w:val="00AC450C"/>
    <w:rsid w:val="00AC453A"/>
    <w:rsid w:val="00AC4618"/>
    <w:rsid w:val="00AC4836"/>
    <w:rsid w:val="00AC4882"/>
    <w:rsid w:val="00AC491D"/>
    <w:rsid w:val="00AC498D"/>
    <w:rsid w:val="00AC4AE1"/>
    <w:rsid w:val="00AC4C71"/>
    <w:rsid w:val="00AC504B"/>
    <w:rsid w:val="00AC50A5"/>
    <w:rsid w:val="00AC50D5"/>
    <w:rsid w:val="00AC5179"/>
    <w:rsid w:val="00AC51AC"/>
    <w:rsid w:val="00AC555C"/>
    <w:rsid w:val="00AC560F"/>
    <w:rsid w:val="00AC5704"/>
    <w:rsid w:val="00AC58F2"/>
    <w:rsid w:val="00AC5ABE"/>
    <w:rsid w:val="00AC5B60"/>
    <w:rsid w:val="00AC5D75"/>
    <w:rsid w:val="00AC5E7D"/>
    <w:rsid w:val="00AC60E3"/>
    <w:rsid w:val="00AC62E1"/>
    <w:rsid w:val="00AC63DF"/>
    <w:rsid w:val="00AC655D"/>
    <w:rsid w:val="00AC65B9"/>
    <w:rsid w:val="00AC6864"/>
    <w:rsid w:val="00AC699D"/>
    <w:rsid w:val="00AC6AC6"/>
    <w:rsid w:val="00AC6BC0"/>
    <w:rsid w:val="00AC6DA3"/>
    <w:rsid w:val="00AC6E25"/>
    <w:rsid w:val="00AC6FB9"/>
    <w:rsid w:val="00AC7007"/>
    <w:rsid w:val="00AC71AD"/>
    <w:rsid w:val="00AC7337"/>
    <w:rsid w:val="00AC7432"/>
    <w:rsid w:val="00AC7A57"/>
    <w:rsid w:val="00AC7B2E"/>
    <w:rsid w:val="00AD0127"/>
    <w:rsid w:val="00AD0256"/>
    <w:rsid w:val="00AD0411"/>
    <w:rsid w:val="00AD068B"/>
    <w:rsid w:val="00AD08F5"/>
    <w:rsid w:val="00AD0903"/>
    <w:rsid w:val="00AD0935"/>
    <w:rsid w:val="00AD099F"/>
    <w:rsid w:val="00AD112B"/>
    <w:rsid w:val="00AD13C9"/>
    <w:rsid w:val="00AD13CD"/>
    <w:rsid w:val="00AD1505"/>
    <w:rsid w:val="00AD1668"/>
    <w:rsid w:val="00AD1723"/>
    <w:rsid w:val="00AD172B"/>
    <w:rsid w:val="00AD179C"/>
    <w:rsid w:val="00AD17BD"/>
    <w:rsid w:val="00AD18C3"/>
    <w:rsid w:val="00AD1BF2"/>
    <w:rsid w:val="00AD1C12"/>
    <w:rsid w:val="00AD1C33"/>
    <w:rsid w:val="00AD200B"/>
    <w:rsid w:val="00AD225D"/>
    <w:rsid w:val="00AD22F7"/>
    <w:rsid w:val="00AD238B"/>
    <w:rsid w:val="00AD267E"/>
    <w:rsid w:val="00AD2AC2"/>
    <w:rsid w:val="00AD2C7F"/>
    <w:rsid w:val="00AD2CD7"/>
    <w:rsid w:val="00AD2D98"/>
    <w:rsid w:val="00AD2F1F"/>
    <w:rsid w:val="00AD3058"/>
    <w:rsid w:val="00AD3093"/>
    <w:rsid w:val="00AD33D2"/>
    <w:rsid w:val="00AD3414"/>
    <w:rsid w:val="00AD3A5E"/>
    <w:rsid w:val="00AD3B1A"/>
    <w:rsid w:val="00AD3B91"/>
    <w:rsid w:val="00AD3BBC"/>
    <w:rsid w:val="00AD3CBB"/>
    <w:rsid w:val="00AD3D25"/>
    <w:rsid w:val="00AD3EC8"/>
    <w:rsid w:val="00AD458A"/>
    <w:rsid w:val="00AD46E4"/>
    <w:rsid w:val="00AD47BE"/>
    <w:rsid w:val="00AD4A9F"/>
    <w:rsid w:val="00AD4B74"/>
    <w:rsid w:val="00AD4C28"/>
    <w:rsid w:val="00AD4D45"/>
    <w:rsid w:val="00AD4E2C"/>
    <w:rsid w:val="00AD53A8"/>
    <w:rsid w:val="00AD553E"/>
    <w:rsid w:val="00AD55A1"/>
    <w:rsid w:val="00AD5734"/>
    <w:rsid w:val="00AD5965"/>
    <w:rsid w:val="00AD599C"/>
    <w:rsid w:val="00AD59D1"/>
    <w:rsid w:val="00AD5CBC"/>
    <w:rsid w:val="00AD5D92"/>
    <w:rsid w:val="00AD5DB4"/>
    <w:rsid w:val="00AD5E48"/>
    <w:rsid w:val="00AD5F19"/>
    <w:rsid w:val="00AD6516"/>
    <w:rsid w:val="00AD65E9"/>
    <w:rsid w:val="00AD6754"/>
    <w:rsid w:val="00AD67E0"/>
    <w:rsid w:val="00AD6856"/>
    <w:rsid w:val="00AD69A5"/>
    <w:rsid w:val="00AD6A83"/>
    <w:rsid w:val="00AD6B8D"/>
    <w:rsid w:val="00AD6C1A"/>
    <w:rsid w:val="00AD6E94"/>
    <w:rsid w:val="00AD6FBF"/>
    <w:rsid w:val="00AD7547"/>
    <w:rsid w:val="00AD7660"/>
    <w:rsid w:val="00AD76C0"/>
    <w:rsid w:val="00AD77B4"/>
    <w:rsid w:val="00AD7922"/>
    <w:rsid w:val="00AD7AC4"/>
    <w:rsid w:val="00AD7BC2"/>
    <w:rsid w:val="00AD7C59"/>
    <w:rsid w:val="00AD7CB5"/>
    <w:rsid w:val="00AD7D2C"/>
    <w:rsid w:val="00AE0075"/>
    <w:rsid w:val="00AE047D"/>
    <w:rsid w:val="00AE0615"/>
    <w:rsid w:val="00AE07BC"/>
    <w:rsid w:val="00AE07CC"/>
    <w:rsid w:val="00AE0820"/>
    <w:rsid w:val="00AE08BA"/>
    <w:rsid w:val="00AE0987"/>
    <w:rsid w:val="00AE0A21"/>
    <w:rsid w:val="00AE0BC5"/>
    <w:rsid w:val="00AE0F36"/>
    <w:rsid w:val="00AE0F45"/>
    <w:rsid w:val="00AE1036"/>
    <w:rsid w:val="00AE10E5"/>
    <w:rsid w:val="00AE1365"/>
    <w:rsid w:val="00AE139B"/>
    <w:rsid w:val="00AE16D4"/>
    <w:rsid w:val="00AE16EE"/>
    <w:rsid w:val="00AE19FC"/>
    <w:rsid w:val="00AE1A6A"/>
    <w:rsid w:val="00AE1C2D"/>
    <w:rsid w:val="00AE1C81"/>
    <w:rsid w:val="00AE1D71"/>
    <w:rsid w:val="00AE1E4D"/>
    <w:rsid w:val="00AE2254"/>
    <w:rsid w:val="00AE252F"/>
    <w:rsid w:val="00AE25D7"/>
    <w:rsid w:val="00AE2C91"/>
    <w:rsid w:val="00AE2EFA"/>
    <w:rsid w:val="00AE30AF"/>
    <w:rsid w:val="00AE3144"/>
    <w:rsid w:val="00AE3175"/>
    <w:rsid w:val="00AE3196"/>
    <w:rsid w:val="00AE31D7"/>
    <w:rsid w:val="00AE3703"/>
    <w:rsid w:val="00AE39D1"/>
    <w:rsid w:val="00AE3E6C"/>
    <w:rsid w:val="00AE3F40"/>
    <w:rsid w:val="00AE4231"/>
    <w:rsid w:val="00AE4243"/>
    <w:rsid w:val="00AE4265"/>
    <w:rsid w:val="00AE426C"/>
    <w:rsid w:val="00AE4350"/>
    <w:rsid w:val="00AE4364"/>
    <w:rsid w:val="00AE46E8"/>
    <w:rsid w:val="00AE49B8"/>
    <w:rsid w:val="00AE4B43"/>
    <w:rsid w:val="00AE4F23"/>
    <w:rsid w:val="00AE4F3C"/>
    <w:rsid w:val="00AE504B"/>
    <w:rsid w:val="00AE523B"/>
    <w:rsid w:val="00AE53D5"/>
    <w:rsid w:val="00AE55BD"/>
    <w:rsid w:val="00AE5865"/>
    <w:rsid w:val="00AE5BD5"/>
    <w:rsid w:val="00AE5F63"/>
    <w:rsid w:val="00AE5F9C"/>
    <w:rsid w:val="00AE602C"/>
    <w:rsid w:val="00AE605B"/>
    <w:rsid w:val="00AE6146"/>
    <w:rsid w:val="00AE6249"/>
    <w:rsid w:val="00AE6275"/>
    <w:rsid w:val="00AE6371"/>
    <w:rsid w:val="00AE6427"/>
    <w:rsid w:val="00AE6437"/>
    <w:rsid w:val="00AE65D7"/>
    <w:rsid w:val="00AE6737"/>
    <w:rsid w:val="00AE67F5"/>
    <w:rsid w:val="00AE697C"/>
    <w:rsid w:val="00AE6A08"/>
    <w:rsid w:val="00AE6A3D"/>
    <w:rsid w:val="00AE6C25"/>
    <w:rsid w:val="00AE6CE3"/>
    <w:rsid w:val="00AE6D37"/>
    <w:rsid w:val="00AE6FA8"/>
    <w:rsid w:val="00AE7061"/>
    <w:rsid w:val="00AE714B"/>
    <w:rsid w:val="00AE7194"/>
    <w:rsid w:val="00AE71E1"/>
    <w:rsid w:val="00AE7264"/>
    <w:rsid w:val="00AE72F3"/>
    <w:rsid w:val="00AE7305"/>
    <w:rsid w:val="00AE7689"/>
    <w:rsid w:val="00AE775C"/>
    <w:rsid w:val="00AE7A68"/>
    <w:rsid w:val="00AE7D4C"/>
    <w:rsid w:val="00AE7F8C"/>
    <w:rsid w:val="00AE7FB0"/>
    <w:rsid w:val="00AF01EF"/>
    <w:rsid w:val="00AF0530"/>
    <w:rsid w:val="00AF0540"/>
    <w:rsid w:val="00AF0776"/>
    <w:rsid w:val="00AF0AC1"/>
    <w:rsid w:val="00AF0ADF"/>
    <w:rsid w:val="00AF0CA7"/>
    <w:rsid w:val="00AF0FA7"/>
    <w:rsid w:val="00AF1539"/>
    <w:rsid w:val="00AF15A3"/>
    <w:rsid w:val="00AF1C89"/>
    <w:rsid w:val="00AF1FCE"/>
    <w:rsid w:val="00AF201B"/>
    <w:rsid w:val="00AF22D8"/>
    <w:rsid w:val="00AF244F"/>
    <w:rsid w:val="00AF2578"/>
    <w:rsid w:val="00AF25E2"/>
    <w:rsid w:val="00AF270D"/>
    <w:rsid w:val="00AF2751"/>
    <w:rsid w:val="00AF27B1"/>
    <w:rsid w:val="00AF298D"/>
    <w:rsid w:val="00AF2A6D"/>
    <w:rsid w:val="00AF2B04"/>
    <w:rsid w:val="00AF2BB9"/>
    <w:rsid w:val="00AF2F19"/>
    <w:rsid w:val="00AF2FA3"/>
    <w:rsid w:val="00AF3296"/>
    <w:rsid w:val="00AF36C4"/>
    <w:rsid w:val="00AF3941"/>
    <w:rsid w:val="00AF3B09"/>
    <w:rsid w:val="00AF3E5B"/>
    <w:rsid w:val="00AF4198"/>
    <w:rsid w:val="00AF422A"/>
    <w:rsid w:val="00AF4541"/>
    <w:rsid w:val="00AF4630"/>
    <w:rsid w:val="00AF473A"/>
    <w:rsid w:val="00AF476C"/>
    <w:rsid w:val="00AF49E8"/>
    <w:rsid w:val="00AF4B9A"/>
    <w:rsid w:val="00AF4C29"/>
    <w:rsid w:val="00AF4CD7"/>
    <w:rsid w:val="00AF50B2"/>
    <w:rsid w:val="00AF50FC"/>
    <w:rsid w:val="00AF5248"/>
    <w:rsid w:val="00AF544D"/>
    <w:rsid w:val="00AF5584"/>
    <w:rsid w:val="00AF55E8"/>
    <w:rsid w:val="00AF5609"/>
    <w:rsid w:val="00AF56CA"/>
    <w:rsid w:val="00AF5BB1"/>
    <w:rsid w:val="00AF5C71"/>
    <w:rsid w:val="00AF5CE0"/>
    <w:rsid w:val="00AF5D14"/>
    <w:rsid w:val="00AF5DE1"/>
    <w:rsid w:val="00AF5E7A"/>
    <w:rsid w:val="00AF6029"/>
    <w:rsid w:val="00AF617A"/>
    <w:rsid w:val="00AF618E"/>
    <w:rsid w:val="00AF63FA"/>
    <w:rsid w:val="00AF6687"/>
    <w:rsid w:val="00AF675A"/>
    <w:rsid w:val="00AF6780"/>
    <w:rsid w:val="00AF68BF"/>
    <w:rsid w:val="00AF6BD2"/>
    <w:rsid w:val="00AF6F2E"/>
    <w:rsid w:val="00AF6F5B"/>
    <w:rsid w:val="00AF6F60"/>
    <w:rsid w:val="00AF6FA7"/>
    <w:rsid w:val="00AF7068"/>
    <w:rsid w:val="00AF7405"/>
    <w:rsid w:val="00AF7483"/>
    <w:rsid w:val="00AF75A3"/>
    <w:rsid w:val="00AF75C9"/>
    <w:rsid w:val="00AF7616"/>
    <w:rsid w:val="00AF78AD"/>
    <w:rsid w:val="00AF7CF2"/>
    <w:rsid w:val="00AF7DDF"/>
    <w:rsid w:val="00AF7E20"/>
    <w:rsid w:val="00B0002B"/>
    <w:rsid w:val="00B0026B"/>
    <w:rsid w:val="00B003A4"/>
    <w:rsid w:val="00B003C3"/>
    <w:rsid w:val="00B004F0"/>
    <w:rsid w:val="00B00569"/>
    <w:rsid w:val="00B0058C"/>
    <w:rsid w:val="00B00595"/>
    <w:rsid w:val="00B00632"/>
    <w:rsid w:val="00B00A71"/>
    <w:rsid w:val="00B00B6F"/>
    <w:rsid w:val="00B00C94"/>
    <w:rsid w:val="00B00D79"/>
    <w:rsid w:val="00B00E0C"/>
    <w:rsid w:val="00B00E8B"/>
    <w:rsid w:val="00B00ECF"/>
    <w:rsid w:val="00B01146"/>
    <w:rsid w:val="00B01482"/>
    <w:rsid w:val="00B014C0"/>
    <w:rsid w:val="00B015EF"/>
    <w:rsid w:val="00B01684"/>
    <w:rsid w:val="00B016E5"/>
    <w:rsid w:val="00B01758"/>
    <w:rsid w:val="00B01A9F"/>
    <w:rsid w:val="00B01AE5"/>
    <w:rsid w:val="00B01DC3"/>
    <w:rsid w:val="00B01E81"/>
    <w:rsid w:val="00B01EBC"/>
    <w:rsid w:val="00B01EF4"/>
    <w:rsid w:val="00B02228"/>
    <w:rsid w:val="00B02237"/>
    <w:rsid w:val="00B02287"/>
    <w:rsid w:val="00B022F5"/>
    <w:rsid w:val="00B02566"/>
    <w:rsid w:val="00B02836"/>
    <w:rsid w:val="00B02985"/>
    <w:rsid w:val="00B02AB5"/>
    <w:rsid w:val="00B02B7C"/>
    <w:rsid w:val="00B02DC3"/>
    <w:rsid w:val="00B0310F"/>
    <w:rsid w:val="00B03591"/>
    <w:rsid w:val="00B03659"/>
    <w:rsid w:val="00B036A4"/>
    <w:rsid w:val="00B036B8"/>
    <w:rsid w:val="00B036CB"/>
    <w:rsid w:val="00B03A6E"/>
    <w:rsid w:val="00B03BF5"/>
    <w:rsid w:val="00B03CCD"/>
    <w:rsid w:val="00B03E8E"/>
    <w:rsid w:val="00B040A9"/>
    <w:rsid w:val="00B04367"/>
    <w:rsid w:val="00B043CF"/>
    <w:rsid w:val="00B0446A"/>
    <w:rsid w:val="00B0474A"/>
    <w:rsid w:val="00B047E4"/>
    <w:rsid w:val="00B049DB"/>
    <w:rsid w:val="00B04A79"/>
    <w:rsid w:val="00B04AAA"/>
    <w:rsid w:val="00B04BA2"/>
    <w:rsid w:val="00B04C13"/>
    <w:rsid w:val="00B04C73"/>
    <w:rsid w:val="00B04CFA"/>
    <w:rsid w:val="00B04F1B"/>
    <w:rsid w:val="00B053CF"/>
    <w:rsid w:val="00B0564D"/>
    <w:rsid w:val="00B05831"/>
    <w:rsid w:val="00B05A44"/>
    <w:rsid w:val="00B05AA2"/>
    <w:rsid w:val="00B05C41"/>
    <w:rsid w:val="00B05CC7"/>
    <w:rsid w:val="00B05DE5"/>
    <w:rsid w:val="00B05F43"/>
    <w:rsid w:val="00B06032"/>
    <w:rsid w:val="00B062E3"/>
    <w:rsid w:val="00B0635E"/>
    <w:rsid w:val="00B06524"/>
    <w:rsid w:val="00B06573"/>
    <w:rsid w:val="00B06588"/>
    <w:rsid w:val="00B066EF"/>
    <w:rsid w:val="00B068FA"/>
    <w:rsid w:val="00B069BB"/>
    <w:rsid w:val="00B06A12"/>
    <w:rsid w:val="00B06BB6"/>
    <w:rsid w:val="00B06E45"/>
    <w:rsid w:val="00B06F58"/>
    <w:rsid w:val="00B070CE"/>
    <w:rsid w:val="00B0720F"/>
    <w:rsid w:val="00B07329"/>
    <w:rsid w:val="00B076B6"/>
    <w:rsid w:val="00B076DE"/>
    <w:rsid w:val="00B079CA"/>
    <w:rsid w:val="00B07A0A"/>
    <w:rsid w:val="00B07B32"/>
    <w:rsid w:val="00B07C8B"/>
    <w:rsid w:val="00B07CF7"/>
    <w:rsid w:val="00B07D14"/>
    <w:rsid w:val="00B07DC9"/>
    <w:rsid w:val="00B07EBC"/>
    <w:rsid w:val="00B07EC8"/>
    <w:rsid w:val="00B10355"/>
    <w:rsid w:val="00B106D9"/>
    <w:rsid w:val="00B107CA"/>
    <w:rsid w:val="00B108E0"/>
    <w:rsid w:val="00B1090A"/>
    <w:rsid w:val="00B10949"/>
    <w:rsid w:val="00B10CCB"/>
    <w:rsid w:val="00B10CD8"/>
    <w:rsid w:val="00B10DAB"/>
    <w:rsid w:val="00B10DBB"/>
    <w:rsid w:val="00B10DD0"/>
    <w:rsid w:val="00B113CD"/>
    <w:rsid w:val="00B115DE"/>
    <w:rsid w:val="00B115E1"/>
    <w:rsid w:val="00B11713"/>
    <w:rsid w:val="00B11A3F"/>
    <w:rsid w:val="00B11C84"/>
    <w:rsid w:val="00B11C96"/>
    <w:rsid w:val="00B11DF4"/>
    <w:rsid w:val="00B11EEA"/>
    <w:rsid w:val="00B11F68"/>
    <w:rsid w:val="00B121F7"/>
    <w:rsid w:val="00B12281"/>
    <w:rsid w:val="00B123A1"/>
    <w:rsid w:val="00B12905"/>
    <w:rsid w:val="00B12B54"/>
    <w:rsid w:val="00B12E69"/>
    <w:rsid w:val="00B1303C"/>
    <w:rsid w:val="00B135FA"/>
    <w:rsid w:val="00B137E5"/>
    <w:rsid w:val="00B1383C"/>
    <w:rsid w:val="00B13ACE"/>
    <w:rsid w:val="00B13D0B"/>
    <w:rsid w:val="00B13E72"/>
    <w:rsid w:val="00B13E7B"/>
    <w:rsid w:val="00B141B1"/>
    <w:rsid w:val="00B1423A"/>
    <w:rsid w:val="00B14398"/>
    <w:rsid w:val="00B14446"/>
    <w:rsid w:val="00B14594"/>
    <w:rsid w:val="00B1475D"/>
    <w:rsid w:val="00B147FF"/>
    <w:rsid w:val="00B14854"/>
    <w:rsid w:val="00B14BCE"/>
    <w:rsid w:val="00B14FC0"/>
    <w:rsid w:val="00B150C7"/>
    <w:rsid w:val="00B150D6"/>
    <w:rsid w:val="00B15178"/>
    <w:rsid w:val="00B15213"/>
    <w:rsid w:val="00B152E4"/>
    <w:rsid w:val="00B153A1"/>
    <w:rsid w:val="00B155DF"/>
    <w:rsid w:val="00B1587A"/>
    <w:rsid w:val="00B15DC4"/>
    <w:rsid w:val="00B15E1C"/>
    <w:rsid w:val="00B15E82"/>
    <w:rsid w:val="00B1604F"/>
    <w:rsid w:val="00B161F9"/>
    <w:rsid w:val="00B162E8"/>
    <w:rsid w:val="00B16420"/>
    <w:rsid w:val="00B16739"/>
    <w:rsid w:val="00B167FD"/>
    <w:rsid w:val="00B16A38"/>
    <w:rsid w:val="00B16A6E"/>
    <w:rsid w:val="00B16AD8"/>
    <w:rsid w:val="00B16B78"/>
    <w:rsid w:val="00B16C73"/>
    <w:rsid w:val="00B16D0D"/>
    <w:rsid w:val="00B16D46"/>
    <w:rsid w:val="00B16FD3"/>
    <w:rsid w:val="00B17018"/>
    <w:rsid w:val="00B170B0"/>
    <w:rsid w:val="00B173AF"/>
    <w:rsid w:val="00B176B7"/>
    <w:rsid w:val="00B176D1"/>
    <w:rsid w:val="00B1786C"/>
    <w:rsid w:val="00B17926"/>
    <w:rsid w:val="00B17C04"/>
    <w:rsid w:val="00B17D04"/>
    <w:rsid w:val="00B17D35"/>
    <w:rsid w:val="00B17D36"/>
    <w:rsid w:val="00B17D94"/>
    <w:rsid w:val="00B17F55"/>
    <w:rsid w:val="00B17FC8"/>
    <w:rsid w:val="00B203D5"/>
    <w:rsid w:val="00B20470"/>
    <w:rsid w:val="00B2049D"/>
    <w:rsid w:val="00B20E16"/>
    <w:rsid w:val="00B2110C"/>
    <w:rsid w:val="00B212D0"/>
    <w:rsid w:val="00B213B2"/>
    <w:rsid w:val="00B21728"/>
    <w:rsid w:val="00B21806"/>
    <w:rsid w:val="00B218F3"/>
    <w:rsid w:val="00B21A77"/>
    <w:rsid w:val="00B21B18"/>
    <w:rsid w:val="00B21B68"/>
    <w:rsid w:val="00B22384"/>
    <w:rsid w:val="00B223DC"/>
    <w:rsid w:val="00B22735"/>
    <w:rsid w:val="00B22767"/>
    <w:rsid w:val="00B228FE"/>
    <w:rsid w:val="00B2299A"/>
    <w:rsid w:val="00B229D7"/>
    <w:rsid w:val="00B22A28"/>
    <w:rsid w:val="00B22A84"/>
    <w:rsid w:val="00B22B79"/>
    <w:rsid w:val="00B22D76"/>
    <w:rsid w:val="00B22FF3"/>
    <w:rsid w:val="00B23119"/>
    <w:rsid w:val="00B234C1"/>
    <w:rsid w:val="00B23688"/>
    <w:rsid w:val="00B23704"/>
    <w:rsid w:val="00B23724"/>
    <w:rsid w:val="00B2382F"/>
    <w:rsid w:val="00B23981"/>
    <w:rsid w:val="00B239D1"/>
    <w:rsid w:val="00B23A12"/>
    <w:rsid w:val="00B23A4A"/>
    <w:rsid w:val="00B23D0D"/>
    <w:rsid w:val="00B241C2"/>
    <w:rsid w:val="00B241D9"/>
    <w:rsid w:val="00B241E1"/>
    <w:rsid w:val="00B24218"/>
    <w:rsid w:val="00B24295"/>
    <w:rsid w:val="00B2443E"/>
    <w:rsid w:val="00B245AE"/>
    <w:rsid w:val="00B245BD"/>
    <w:rsid w:val="00B24840"/>
    <w:rsid w:val="00B24ED5"/>
    <w:rsid w:val="00B24F36"/>
    <w:rsid w:val="00B24F5B"/>
    <w:rsid w:val="00B25267"/>
    <w:rsid w:val="00B2536D"/>
    <w:rsid w:val="00B2561C"/>
    <w:rsid w:val="00B257FE"/>
    <w:rsid w:val="00B25803"/>
    <w:rsid w:val="00B25895"/>
    <w:rsid w:val="00B259B9"/>
    <w:rsid w:val="00B25C7F"/>
    <w:rsid w:val="00B25F17"/>
    <w:rsid w:val="00B25F37"/>
    <w:rsid w:val="00B25F86"/>
    <w:rsid w:val="00B2671C"/>
    <w:rsid w:val="00B2690E"/>
    <w:rsid w:val="00B269B2"/>
    <w:rsid w:val="00B26A0C"/>
    <w:rsid w:val="00B26CEC"/>
    <w:rsid w:val="00B26E35"/>
    <w:rsid w:val="00B27064"/>
    <w:rsid w:val="00B27273"/>
    <w:rsid w:val="00B2728B"/>
    <w:rsid w:val="00B27303"/>
    <w:rsid w:val="00B2741B"/>
    <w:rsid w:val="00B27576"/>
    <w:rsid w:val="00B2770A"/>
    <w:rsid w:val="00B27722"/>
    <w:rsid w:val="00B2788A"/>
    <w:rsid w:val="00B27A44"/>
    <w:rsid w:val="00B27ADC"/>
    <w:rsid w:val="00B27CBB"/>
    <w:rsid w:val="00B300AE"/>
    <w:rsid w:val="00B301BF"/>
    <w:rsid w:val="00B30291"/>
    <w:rsid w:val="00B302AC"/>
    <w:rsid w:val="00B302E2"/>
    <w:rsid w:val="00B30317"/>
    <w:rsid w:val="00B30518"/>
    <w:rsid w:val="00B30829"/>
    <w:rsid w:val="00B30904"/>
    <w:rsid w:val="00B30A8F"/>
    <w:rsid w:val="00B30AA9"/>
    <w:rsid w:val="00B30AD1"/>
    <w:rsid w:val="00B30E8E"/>
    <w:rsid w:val="00B3115E"/>
    <w:rsid w:val="00B311BD"/>
    <w:rsid w:val="00B3125F"/>
    <w:rsid w:val="00B31264"/>
    <w:rsid w:val="00B314EC"/>
    <w:rsid w:val="00B3185E"/>
    <w:rsid w:val="00B31949"/>
    <w:rsid w:val="00B31A29"/>
    <w:rsid w:val="00B31A68"/>
    <w:rsid w:val="00B31AD6"/>
    <w:rsid w:val="00B31F76"/>
    <w:rsid w:val="00B32238"/>
    <w:rsid w:val="00B32332"/>
    <w:rsid w:val="00B323F8"/>
    <w:rsid w:val="00B3249D"/>
    <w:rsid w:val="00B324EF"/>
    <w:rsid w:val="00B32555"/>
    <w:rsid w:val="00B325B0"/>
    <w:rsid w:val="00B32681"/>
    <w:rsid w:val="00B3291E"/>
    <w:rsid w:val="00B32924"/>
    <w:rsid w:val="00B32933"/>
    <w:rsid w:val="00B329A3"/>
    <w:rsid w:val="00B32CEF"/>
    <w:rsid w:val="00B331FF"/>
    <w:rsid w:val="00B33319"/>
    <w:rsid w:val="00B3355D"/>
    <w:rsid w:val="00B33741"/>
    <w:rsid w:val="00B3375C"/>
    <w:rsid w:val="00B3380D"/>
    <w:rsid w:val="00B3385B"/>
    <w:rsid w:val="00B3387B"/>
    <w:rsid w:val="00B33887"/>
    <w:rsid w:val="00B338A5"/>
    <w:rsid w:val="00B33952"/>
    <w:rsid w:val="00B33E83"/>
    <w:rsid w:val="00B33F72"/>
    <w:rsid w:val="00B342D9"/>
    <w:rsid w:val="00B343E8"/>
    <w:rsid w:val="00B344D3"/>
    <w:rsid w:val="00B34511"/>
    <w:rsid w:val="00B34664"/>
    <w:rsid w:val="00B347E9"/>
    <w:rsid w:val="00B34B2B"/>
    <w:rsid w:val="00B34C35"/>
    <w:rsid w:val="00B34CC3"/>
    <w:rsid w:val="00B34CE5"/>
    <w:rsid w:val="00B34D07"/>
    <w:rsid w:val="00B34D24"/>
    <w:rsid w:val="00B34D2C"/>
    <w:rsid w:val="00B34DD6"/>
    <w:rsid w:val="00B35076"/>
    <w:rsid w:val="00B351DA"/>
    <w:rsid w:val="00B355A6"/>
    <w:rsid w:val="00B3580A"/>
    <w:rsid w:val="00B359F2"/>
    <w:rsid w:val="00B35A6E"/>
    <w:rsid w:val="00B35B05"/>
    <w:rsid w:val="00B35CB4"/>
    <w:rsid w:val="00B35CEC"/>
    <w:rsid w:val="00B35DDC"/>
    <w:rsid w:val="00B360A6"/>
    <w:rsid w:val="00B36156"/>
    <w:rsid w:val="00B363EF"/>
    <w:rsid w:val="00B3647E"/>
    <w:rsid w:val="00B366A1"/>
    <w:rsid w:val="00B366E3"/>
    <w:rsid w:val="00B367B6"/>
    <w:rsid w:val="00B36812"/>
    <w:rsid w:val="00B3696C"/>
    <w:rsid w:val="00B3698E"/>
    <w:rsid w:val="00B36D40"/>
    <w:rsid w:val="00B36E06"/>
    <w:rsid w:val="00B36F25"/>
    <w:rsid w:val="00B36F49"/>
    <w:rsid w:val="00B37401"/>
    <w:rsid w:val="00B37616"/>
    <w:rsid w:val="00B3761F"/>
    <w:rsid w:val="00B37950"/>
    <w:rsid w:val="00B37951"/>
    <w:rsid w:val="00B379C3"/>
    <w:rsid w:val="00B37ABE"/>
    <w:rsid w:val="00B37B8E"/>
    <w:rsid w:val="00B37BF1"/>
    <w:rsid w:val="00B37DB2"/>
    <w:rsid w:val="00B37F7A"/>
    <w:rsid w:val="00B40067"/>
    <w:rsid w:val="00B4015E"/>
    <w:rsid w:val="00B4028C"/>
    <w:rsid w:val="00B402C9"/>
    <w:rsid w:val="00B40389"/>
    <w:rsid w:val="00B40436"/>
    <w:rsid w:val="00B40448"/>
    <w:rsid w:val="00B405D9"/>
    <w:rsid w:val="00B40641"/>
    <w:rsid w:val="00B40783"/>
    <w:rsid w:val="00B40827"/>
    <w:rsid w:val="00B40888"/>
    <w:rsid w:val="00B409D3"/>
    <w:rsid w:val="00B40A65"/>
    <w:rsid w:val="00B40BF5"/>
    <w:rsid w:val="00B40C44"/>
    <w:rsid w:val="00B40C84"/>
    <w:rsid w:val="00B41040"/>
    <w:rsid w:val="00B41755"/>
    <w:rsid w:val="00B417DF"/>
    <w:rsid w:val="00B41C0F"/>
    <w:rsid w:val="00B4201B"/>
    <w:rsid w:val="00B42297"/>
    <w:rsid w:val="00B42380"/>
    <w:rsid w:val="00B425EF"/>
    <w:rsid w:val="00B42723"/>
    <w:rsid w:val="00B42AB5"/>
    <w:rsid w:val="00B42C01"/>
    <w:rsid w:val="00B42C54"/>
    <w:rsid w:val="00B42FEB"/>
    <w:rsid w:val="00B432C9"/>
    <w:rsid w:val="00B4336B"/>
    <w:rsid w:val="00B434D0"/>
    <w:rsid w:val="00B435A6"/>
    <w:rsid w:val="00B43711"/>
    <w:rsid w:val="00B438AA"/>
    <w:rsid w:val="00B43A10"/>
    <w:rsid w:val="00B43C98"/>
    <w:rsid w:val="00B43D0D"/>
    <w:rsid w:val="00B4404F"/>
    <w:rsid w:val="00B440A2"/>
    <w:rsid w:val="00B441B5"/>
    <w:rsid w:val="00B44408"/>
    <w:rsid w:val="00B44550"/>
    <w:rsid w:val="00B44641"/>
    <w:rsid w:val="00B4477F"/>
    <w:rsid w:val="00B447A7"/>
    <w:rsid w:val="00B44882"/>
    <w:rsid w:val="00B44CC6"/>
    <w:rsid w:val="00B44CD6"/>
    <w:rsid w:val="00B44DC8"/>
    <w:rsid w:val="00B44E1E"/>
    <w:rsid w:val="00B44F53"/>
    <w:rsid w:val="00B45031"/>
    <w:rsid w:val="00B450CC"/>
    <w:rsid w:val="00B451B0"/>
    <w:rsid w:val="00B45377"/>
    <w:rsid w:val="00B45409"/>
    <w:rsid w:val="00B455F0"/>
    <w:rsid w:val="00B4576F"/>
    <w:rsid w:val="00B458AD"/>
    <w:rsid w:val="00B45B03"/>
    <w:rsid w:val="00B45C47"/>
    <w:rsid w:val="00B45DBE"/>
    <w:rsid w:val="00B45F58"/>
    <w:rsid w:val="00B46200"/>
    <w:rsid w:val="00B462AB"/>
    <w:rsid w:val="00B46347"/>
    <w:rsid w:val="00B464C6"/>
    <w:rsid w:val="00B4653C"/>
    <w:rsid w:val="00B4662E"/>
    <w:rsid w:val="00B466BB"/>
    <w:rsid w:val="00B46951"/>
    <w:rsid w:val="00B46A53"/>
    <w:rsid w:val="00B46BBE"/>
    <w:rsid w:val="00B46BF2"/>
    <w:rsid w:val="00B46C05"/>
    <w:rsid w:val="00B46CD9"/>
    <w:rsid w:val="00B46D8B"/>
    <w:rsid w:val="00B46ED9"/>
    <w:rsid w:val="00B4706F"/>
    <w:rsid w:val="00B471EE"/>
    <w:rsid w:val="00B472E6"/>
    <w:rsid w:val="00B475A4"/>
    <w:rsid w:val="00B47917"/>
    <w:rsid w:val="00B47C44"/>
    <w:rsid w:val="00B47C92"/>
    <w:rsid w:val="00B47C96"/>
    <w:rsid w:val="00B47DDE"/>
    <w:rsid w:val="00B47E4A"/>
    <w:rsid w:val="00B47F89"/>
    <w:rsid w:val="00B501B2"/>
    <w:rsid w:val="00B501EF"/>
    <w:rsid w:val="00B5045E"/>
    <w:rsid w:val="00B5053A"/>
    <w:rsid w:val="00B507A4"/>
    <w:rsid w:val="00B50840"/>
    <w:rsid w:val="00B50842"/>
    <w:rsid w:val="00B509D9"/>
    <w:rsid w:val="00B50D59"/>
    <w:rsid w:val="00B50D8E"/>
    <w:rsid w:val="00B5104C"/>
    <w:rsid w:val="00B51158"/>
    <w:rsid w:val="00B51706"/>
    <w:rsid w:val="00B51765"/>
    <w:rsid w:val="00B519B1"/>
    <w:rsid w:val="00B51EDE"/>
    <w:rsid w:val="00B52300"/>
    <w:rsid w:val="00B523A3"/>
    <w:rsid w:val="00B523CE"/>
    <w:rsid w:val="00B52477"/>
    <w:rsid w:val="00B52802"/>
    <w:rsid w:val="00B5280E"/>
    <w:rsid w:val="00B52859"/>
    <w:rsid w:val="00B5295C"/>
    <w:rsid w:val="00B52968"/>
    <w:rsid w:val="00B52A8F"/>
    <w:rsid w:val="00B52B44"/>
    <w:rsid w:val="00B52D10"/>
    <w:rsid w:val="00B52D7B"/>
    <w:rsid w:val="00B52DCE"/>
    <w:rsid w:val="00B5326E"/>
    <w:rsid w:val="00B53363"/>
    <w:rsid w:val="00B536CD"/>
    <w:rsid w:val="00B537CE"/>
    <w:rsid w:val="00B53A25"/>
    <w:rsid w:val="00B53A96"/>
    <w:rsid w:val="00B53B94"/>
    <w:rsid w:val="00B53D8A"/>
    <w:rsid w:val="00B53D94"/>
    <w:rsid w:val="00B53FB1"/>
    <w:rsid w:val="00B54407"/>
    <w:rsid w:val="00B5442A"/>
    <w:rsid w:val="00B54460"/>
    <w:rsid w:val="00B54478"/>
    <w:rsid w:val="00B54555"/>
    <w:rsid w:val="00B546D0"/>
    <w:rsid w:val="00B54828"/>
    <w:rsid w:val="00B5498B"/>
    <w:rsid w:val="00B54A4F"/>
    <w:rsid w:val="00B54A74"/>
    <w:rsid w:val="00B54D58"/>
    <w:rsid w:val="00B54DA0"/>
    <w:rsid w:val="00B54F57"/>
    <w:rsid w:val="00B5519F"/>
    <w:rsid w:val="00B555B1"/>
    <w:rsid w:val="00B55704"/>
    <w:rsid w:val="00B559EF"/>
    <w:rsid w:val="00B55C5B"/>
    <w:rsid w:val="00B55D2F"/>
    <w:rsid w:val="00B55DE5"/>
    <w:rsid w:val="00B55EC3"/>
    <w:rsid w:val="00B55F64"/>
    <w:rsid w:val="00B561BD"/>
    <w:rsid w:val="00B56295"/>
    <w:rsid w:val="00B56360"/>
    <w:rsid w:val="00B563BC"/>
    <w:rsid w:val="00B5645E"/>
    <w:rsid w:val="00B56629"/>
    <w:rsid w:val="00B56660"/>
    <w:rsid w:val="00B568CA"/>
    <w:rsid w:val="00B56913"/>
    <w:rsid w:val="00B56981"/>
    <w:rsid w:val="00B56BF5"/>
    <w:rsid w:val="00B56DAC"/>
    <w:rsid w:val="00B56E12"/>
    <w:rsid w:val="00B56EBC"/>
    <w:rsid w:val="00B56F02"/>
    <w:rsid w:val="00B56FBE"/>
    <w:rsid w:val="00B57027"/>
    <w:rsid w:val="00B57338"/>
    <w:rsid w:val="00B57894"/>
    <w:rsid w:val="00B578C8"/>
    <w:rsid w:val="00B57C28"/>
    <w:rsid w:val="00B57DB8"/>
    <w:rsid w:val="00B57E89"/>
    <w:rsid w:val="00B600A0"/>
    <w:rsid w:val="00B600A3"/>
    <w:rsid w:val="00B6019E"/>
    <w:rsid w:val="00B60637"/>
    <w:rsid w:val="00B60645"/>
    <w:rsid w:val="00B606A4"/>
    <w:rsid w:val="00B60777"/>
    <w:rsid w:val="00B60B7B"/>
    <w:rsid w:val="00B60BF9"/>
    <w:rsid w:val="00B60C9E"/>
    <w:rsid w:val="00B60CA5"/>
    <w:rsid w:val="00B60D1B"/>
    <w:rsid w:val="00B60F6A"/>
    <w:rsid w:val="00B60FB9"/>
    <w:rsid w:val="00B60FDE"/>
    <w:rsid w:val="00B61178"/>
    <w:rsid w:val="00B61358"/>
    <w:rsid w:val="00B61462"/>
    <w:rsid w:val="00B61552"/>
    <w:rsid w:val="00B615E9"/>
    <w:rsid w:val="00B61618"/>
    <w:rsid w:val="00B616F9"/>
    <w:rsid w:val="00B61831"/>
    <w:rsid w:val="00B61C5F"/>
    <w:rsid w:val="00B61F52"/>
    <w:rsid w:val="00B623B2"/>
    <w:rsid w:val="00B623D5"/>
    <w:rsid w:val="00B624D6"/>
    <w:rsid w:val="00B62867"/>
    <w:rsid w:val="00B628AA"/>
    <w:rsid w:val="00B62AA3"/>
    <w:rsid w:val="00B62D12"/>
    <w:rsid w:val="00B62E5D"/>
    <w:rsid w:val="00B62EE2"/>
    <w:rsid w:val="00B62F5F"/>
    <w:rsid w:val="00B63098"/>
    <w:rsid w:val="00B631C6"/>
    <w:rsid w:val="00B6334C"/>
    <w:rsid w:val="00B6358E"/>
    <w:rsid w:val="00B637F1"/>
    <w:rsid w:val="00B63A48"/>
    <w:rsid w:val="00B63AAE"/>
    <w:rsid w:val="00B63B4D"/>
    <w:rsid w:val="00B63EE4"/>
    <w:rsid w:val="00B6400C"/>
    <w:rsid w:val="00B6404F"/>
    <w:rsid w:val="00B641DA"/>
    <w:rsid w:val="00B643A1"/>
    <w:rsid w:val="00B643BE"/>
    <w:rsid w:val="00B64609"/>
    <w:rsid w:val="00B64620"/>
    <w:rsid w:val="00B64627"/>
    <w:rsid w:val="00B64717"/>
    <w:rsid w:val="00B64A1D"/>
    <w:rsid w:val="00B64D82"/>
    <w:rsid w:val="00B65365"/>
    <w:rsid w:val="00B6541F"/>
    <w:rsid w:val="00B6562E"/>
    <w:rsid w:val="00B65779"/>
    <w:rsid w:val="00B65792"/>
    <w:rsid w:val="00B659B8"/>
    <w:rsid w:val="00B65A66"/>
    <w:rsid w:val="00B65C3B"/>
    <w:rsid w:val="00B65D40"/>
    <w:rsid w:val="00B660BE"/>
    <w:rsid w:val="00B66382"/>
    <w:rsid w:val="00B66472"/>
    <w:rsid w:val="00B66681"/>
    <w:rsid w:val="00B6676B"/>
    <w:rsid w:val="00B66E0F"/>
    <w:rsid w:val="00B66EE1"/>
    <w:rsid w:val="00B66F4E"/>
    <w:rsid w:val="00B67054"/>
    <w:rsid w:val="00B670A0"/>
    <w:rsid w:val="00B6724C"/>
    <w:rsid w:val="00B67508"/>
    <w:rsid w:val="00B677DB"/>
    <w:rsid w:val="00B67901"/>
    <w:rsid w:val="00B67944"/>
    <w:rsid w:val="00B679AE"/>
    <w:rsid w:val="00B67BB1"/>
    <w:rsid w:val="00B67CB9"/>
    <w:rsid w:val="00B67D05"/>
    <w:rsid w:val="00B67D98"/>
    <w:rsid w:val="00B67E22"/>
    <w:rsid w:val="00B67E98"/>
    <w:rsid w:val="00B67FC7"/>
    <w:rsid w:val="00B7004D"/>
    <w:rsid w:val="00B701F4"/>
    <w:rsid w:val="00B702F7"/>
    <w:rsid w:val="00B704C8"/>
    <w:rsid w:val="00B70599"/>
    <w:rsid w:val="00B705B5"/>
    <w:rsid w:val="00B708A9"/>
    <w:rsid w:val="00B70CDB"/>
    <w:rsid w:val="00B70D6C"/>
    <w:rsid w:val="00B70D7E"/>
    <w:rsid w:val="00B70DC7"/>
    <w:rsid w:val="00B71205"/>
    <w:rsid w:val="00B71311"/>
    <w:rsid w:val="00B71321"/>
    <w:rsid w:val="00B713FF"/>
    <w:rsid w:val="00B715B7"/>
    <w:rsid w:val="00B717E9"/>
    <w:rsid w:val="00B71820"/>
    <w:rsid w:val="00B718BC"/>
    <w:rsid w:val="00B719ED"/>
    <w:rsid w:val="00B71ADF"/>
    <w:rsid w:val="00B71BE6"/>
    <w:rsid w:val="00B71C9B"/>
    <w:rsid w:val="00B71ED6"/>
    <w:rsid w:val="00B71F55"/>
    <w:rsid w:val="00B72138"/>
    <w:rsid w:val="00B72272"/>
    <w:rsid w:val="00B72529"/>
    <w:rsid w:val="00B727AB"/>
    <w:rsid w:val="00B72847"/>
    <w:rsid w:val="00B7285F"/>
    <w:rsid w:val="00B72A5B"/>
    <w:rsid w:val="00B72EDE"/>
    <w:rsid w:val="00B72F00"/>
    <w:rsid w:val="00B7310C"/>
    <w:rsid w:val="00B7349B"/>
    <w:rsid w:val="00B7370D"/>
    <w:rsid w:val="00B7399E"/>
    <w:rsid w:val="00B73AB4"/>
    <w:rsid w:val="00B73C44"/>
    <w:rsid w:val="00B73F5E"/>
    <w:rsid w:val="00B73FEC"/>
    <w:rsid w:val="00B740D5"/>
    <w:rsid w:val="00B74265"/>
    <w:rsid w:val="00B74306"/>
    <w:rsid w:val="00B743A9"/>
    <w:rsid w:val="00B744BC"/>
    <w:rsid w:val="00B7486E"/>
    <w:rsid w:val="00B74A2D"/>
    <w:rsid w:val="00B74E4B"/>
    <w:rsid w:val="00B74E71"/>
    <w:rsid w:val="00B74EF5"/>
    <w:rsid w:val="00B74F52"/>
    <w:rsid w:val="00B7517C"/>
    <w:rsid w:val="00B751FD"/>
    <w:rsid w:val="00B752A7"/>
    <w:rsid w:val="00B75450"/>
    <w:rsid w:val="00B75982"/>
    <w:rsid w:val="00B75A2E"/>
    <w:rsid w:val="00B75C84"/>
    <w:rsid w:val="00B76026"/>
    <w:rsid w:val="00B76141"/>
    <w:rsid w:val="00B76157"/>
    <w:rsid w:val="00B765FA"/>
    <w:rsid w:val="00B76811"/>
    <w:rsid w:val="00B76A1A"/>
    <w:rsid w:val="00B76C6A"/>
    <w:rsid w:val="00B76F9B"/>
    <w:rsid w:val="00B770C8"/>
    <w:rsid w:val="00B7729C"/>
    <w:rsid w:val="00B77371"/>
    <w:rsid w:val="00B77376"/>
    <w:rsid w:val="00B77441"/>
    <w:rsid w:val="00B777AC"/>
    <w:rsid w:val="00B77834"/>
    <w:rsid w:val="00B77929"/>
    <w:rsid w:val="00B7792A"/>
    <w:rsid w:val="00B77988"/>
    <w:rsid w:val="00B77B07"/>
    <w:rsid w:val="00B77BD0"/>
    <w:rsid w:val="00B77C69"/>
    <w:rsid w:val="00B77EC3"/>
    <w:rsid w:val="00B80056"/>
    <w:rsid w:val="00B801B3"/>
    <w:rsid w:val="00B802F8"/>
    <w:rsid w:val="00B804AB"/>
    <w:rsid w:val="00B8058A"/>
    <w:rsid w:val="00B805BF"/>
    <w:rsid w:val="00B806D0"/>
    <w:rsid w:val="00B80811"/>
    <w:rsid w:val="00B80874"/>
    <w:rsid w:val="00B80FC6"/>
    <w:rsid w:val="00B80FED"/>
    <w:rsid w:val="00B8108A"/>
    <w:rsid w:val="00B810E8"/>
    <w:rsid w:val="00B813D3"/>
    <w:rsid w:val="00B813E3"/>
    <w:rsid w:val="00B81698"/>
    <w:rsid w:val="00B81747"/>
    <w:rsid w:val="00B81756"/>
    <w:rsid w:val="00B81C5C"/>
    <w:rsid w:val="00B81CE1"/>
    <w:rsid w:val="00B81DCB"/>
    <w:rsid w:val="00B81EBF"/>
    <w:rsid w:val="00B82521"/>
    <w:rsid w:val="00B8271F"/>
    <w:rsid w:val="00B827FF"/>
    <w:rsid w:val="00B82846"/>
    <w:rsid w:val="00B82ADF"/>
    <w:rsid w:val="00B82BF3"/>
    <w:rsid w:val="00B82D80"/>
    <w:rsid w:val="00B82F36"/>
    <w:rsid w:val="00B82FCD"/>
    <w:rsid w:val="00B83022"/>
    <w:rsid w:val="00B8325D"/>
    <w:rsid w:val="00B83290"/>
    <w:rsid w:val="00B83611"/>
    <w:rsid w:val="00B836E9"/>
    <w:rsid w:val="00B837E4"/>
    <w:rsid w:val="00B83874"/>
    <w:rsid w:val="00B839BE"/>
    <w:rsid w:val="00B83A7F"/>
    <w:rsid w:val="00B83EE4"/>
    <w:rsid w:val="00B83F33"/>
    <w:rsid w:val="00B83F72"/>
    <w:rsid w:val="00B84290"/>
    <w:rsid w:val="00B8449B"/>
    <w:rsid w:val="00B84506"/>
    <w:rsid w:val="00B84752"/>
    <w:rsid w:val="00B8484B"/>
    <w:rsid w:val="00B84A58"/>
    <w:rsid w:val="00B84A9F"/>
    <w:rsid w:val="00B84B23"/>
    <w:rsid w:val="00B84B4E"/>
    <w:rsid w:val="00B84C27"/>
    <w:rsid w:val="00B84D62"/>
    <w:rsid w:val="00B84FB0"/>
    <w:rsid w:val="00B85173"/>
    <w:rsid w:val="00B8529E"/>
    <w:rsid w:val="00B852BB"/>
    <w:rsid w:val="00B85856"/>
    <w:rsid w:val="00B859CC"/>
    <w:rsid w:val="00B85A33"/>
    <w:rsid w:val="00B85BA1"/>
    <w:rsid w:val="00B85BC6"/>
    <w:rsid w:val="00B85BF0"/>
    <w:rsid w:val="00B85C19"/>
    <w:rsid w:val="00B85F70"/>
    <w:rsid w:val="00B85FDB"/>
    <w:rsid w:val="00B86378"/>
    <w:rsid w:val="00B863F8"/>
    <w:rsid w:val="00B86515"/>
    <w:rsid w:val="00B866E9"/>
    <w:rsid w:val="00B867E4"/>
    <w:rsid w:val="00B8684E"/>
    <w:rsid w:val="00B86AF0"/>
    <w:rsid w:val="00B86B5D"/>
    <w:rsid w:val="00B87117"/>
    <w:rsid w:val="00B87200"/>
    <w:rsid w:val="00B8720B"/>
    <w:rsid w:val="00B873A4"/>
    <w:rsid w:val="00B87541"/>
    <w:rsid w:val="00B876AE"/>
    <w:rsid w:val="00B8773B"/>
    <w:rsid w:val="00B877B0"/>
    <w:rsid w:val="00B87934"/>
    <w:rsid w:val="00B87AEB"/>
    <w:rsid w:val="00B87BD8"/>
    <w:rsid w:val="00B87FF8"/>
    <w:rsid w:val="00B90116"/>
    <w:rsid w:val="00B90148"/>
    <w:rsid w:val="00B90218"/>
    <w:rsid w:val="00B90563"/>
    <w:rsid w:val="00B9060B"/>
    <w:rsid w:val="00B90A5F"/>
    <w:rsid w:val="00B90A6D"/>
    <w:rsid w:val="00B90B1F"/>
    <w:rsid w:val="00B90C00"/>
    <w:rsid w:val="00B90D4F"/>
    <w:rsid w:val="00B90DDB"/>
    <w:rsid w:val="00B90E62"/>
    <w:rsid w:val="00B90EDD"/>
    <w:rsid w:val="00B90F97"/>
    <w:rsid w:val="00B91054"/>
    <w:rsid w:val="00B910B0"/>
    <w:rsid w:val="00B91202"/>
    <w:rsid w:val="00B9124C"/>
    <w:rsid w:val="00B912F9"/>
    <w:rsid w:val="00B914CC"/>
    <w:rsid w:val="00B9151A"/>
    <w:rsid w:val="00B91557"/>
    <w:rsid w:val="00B91619"/>
    <w:rsid w:val="00B91699"/>
    <w:rsid w:val="00B916A3"/>
    <w:rsid w:val="00B918C9"/>
    <w:rsid w:val="00B91904"/>
    <w:rsid w:val="00B91931"/>
    <w:rsid w:val="00B91963"/>
    <w:rsid w:val="00B91CCD"/>
    <w:rsid w:val="00B91E9F"/>
    <w:rsid w:val="00B9212C"/>
    <w:rsid w:val="00B92132"/>
    <w:rsid w:val="00B92283"/>
    <w:rsid w:val="00B922C9"/>
    <w:rsid w:val="00B924C4"/>
    <w:rsid w:val="00B92594"/>
    <w:rsid w:val="00B92697"/>
    <w:rsid w:val="00B92928"/>
    <w:rsid w:val="00B92B58"/>
    <w:rsid w:val="00B92BE5"/>
    <w:rsid w:val="00B92BFA"/>
    <w:rsid w:val="00B92C28"/>
    <w:rsid w:val="00B92DAF"/>
    <w:rsid w:val="00B92FE8"/>
    <w:rsid w:val="00B933B6"/>
    <w:rsid w:val="00B9353B"/>
    <w:rsid w:val="00B93582"/>
    <w:rsid w:val="00B937A2"/>
    <w:rsid w:val="00B938DE"/>
    <w:rsid w:val="00B93940"/>
    <w:rsid w:val="00B9397D"/>
    <w:rsid w:val="00B9398C"/>
    <w:rsid w:val="00B93BA8"/>
    <w:rsid w:val="00B93C7E"/>
    <w:rsid w:val="00B93D3C"/>
    <w:rsid w:val="00B93EEA"/>
    <w:rsid w:val="00B942CF"/>
    <w:rsid w:val="00B9450E"/>
    <w:rsid w:val="00B9457E"/>
    <w:rsid w:val="00B945C9"/>
    <w:rsid w:val="00B9465C"/>
    <w:rsid w:val="00B9466A"/>
    <w:rsid w:val="00B9469E"/>
    <w:rsid w:val="00B94754"/>
    <w:rsid w:val="00B947B3"/>
    <w:rsid w:val="00B94949"/>
    <w:rsid w:val="00B94A75"/>
    <w:rsid w:val="00B94D3E"/>
    <w:rsid w:val="00B94D68"/>
    <w:rsid w:val="00B95279"/>
    <w:rsid w:val="00B952B9"/>
    <w:rsid w:val="00B955FB"/>
    <w:rsid w:val="00B95653"/>
    <w:rsid w:val="00B95AD8"/>
    <w:rsid w:val="00B95C0F"/>
    <w:rsid w:val="00B95CA6"/>
    <w:rsid w:val="00B95D6C"/>
    <w:rsid w:val="00B95E2D"/>
    <w:rsid w:val="00B95F46"/>
    <w:rsid w:val="00B96080"/>
    <w:rsid w:val="00B96187"/>
    <w:rsid w:val="00B962EC"/>
    <w:rsid w:val="00B963D1"/>
    <w:rsid w:val="00B964D9"/>
    <w:rsid w:val="00B96567"/>
    <w:rsid w:val="00B96696"/>
    <w:rsid w:val="00B96AD5"/>
    <w:rsid w:val="00B96BBF"/>
    <w:rsid w:val="00B96BE3"/>
    <w:rsid w:val="00B96D72"/>
    <w:rsid w:val="00B96EEC"/>
    <w:rsid w:val="00B96FA7"/>
    <w:rsid w:val="00B97113"/>
    <w:rsid w:val="00B97323"/>
    <w:rsid w:val="00B9770E"/>
    <w:rsid w:val="00B97C8F"/>
    <w:rsid w:val="00B97CB5"/>
    <w:rsid w:val="00B97CDB"/>
    <w:rsid w:val="00B97E34"/>
    <w:rsid w:val="00BA000E"/>
    <w:rsid w:val="00BA00F3"/>
    <w:rsid w:val="00BA01D7"/>
    <w:rsid w:val="00BA028A"/>
    <w:rsid w:val="00BA03EE"/>
    <w:rsid w:val="00BA04A9"/>
    <w:rsid w:val="00BA0658"/>
    <w:rsid w:val="00BA06F2"/>
    <w:rsid w:val="00BA0841"/>
    <w:rsid w:val="00BA0C35"/>
    <w:rsid w:val="00BA0C51"/>
    <w:rsid w:val="00BA106C"/>
    <w:rsid w:val="00BA1195"/>
    <w:rsid w:val="00BA1228"/>
    <w:rsid w:val="00BA1384"/>
    <w:rsid w:val="00BA147D"/>
    <w:rsid w:val="00BA14A2"/>
    <w:rsid w:val="00BA1504"/>
    <w:rsid w:val="00BA1750"/>
    <w:rsid w:val="00BA1826"/>
    <w:rsid w:val="00BA19D8"/>
    <w:rsid w:val="00BA1A04"/>
    <w:rsid w:val="00BA1D13"/>
    <w:rsid w:val="00BA1F78"/>
    <w:rsid w:val="00BA241E"/>
    <w:rsid w:val="00BA2432"/>
    <w:rsid w:val="00BA247D"/>
    <w:rsid w:val="00BA26F9"/>
    <w:rsid w:val="00BA29DC"/>
    <w:rsid w:val="00BA2A0A"/>
    <w:rsid w:val="00BA2A2B"/>
    <w:rsid w:val="00BA2A7A"/>
    <w:rsid w:val="00BA2BCE"/>
    <w:rsid w:val="00BA2BF9"/>
    <w:rsid w:val="00BA2C07"/>
    <w:rsid w:val="00BA2D10"/>
    <w:rsid w:val="00BA2FBE"/>
    <w:rsid w:val="00BA3019"/>
    <w:rsid w:val="00BA307E"/>
    <w:rsid w:val="00BA3253"/>
    <w:rsid w:val="00BA34CA"/>
    <w:rsid w:val="00BA391D"/>
    <w:rsid w:val="00BA3CE6"/>
    <w:rsid w:val="00BA3F60"/>
    <w:rsid w:val="00BA43DF"/>
    <w:rsid w:val="00BA48AC"/>
    <w:rsid w:val="00BA499F"/>
    <w:rsid w:val="00BA4AF2"/>
    <w:rsid w:val="00BA4C26"/>
    <w:rsid w:val="00BA4D64"/>
    <w:rsid w:val="00BA4EB9"/>
    <w:rsid w:val="00BA4EC0"/>
    <w:rsid w:val="00BA4FA5"/>
    <w:rsid w:val="00BA501A"/>
    <w:rsid w:val="00BA5132"/>
    <w:rsid w:val="00BA51E7"/>
    <w:rsid w:val="00BA5338"/>
    <w:rsid w:val="00BA55B7"/>
    <w:rsid w:val="00BA561B"/>
    <w:rsid w:val="00BA5978"/>
    <w:rsid w:val="00BA5E66"/>
    <w:rsid w:val="00BA672D"/>
    <w:rsid w:val="00BA67CD"/>
    <w:rsid w:val="00BA6885"/>
    <w:rsid w:val="00BA696B"/>
    <w:rsid w:val="00BA6A1B"/>
    <w:rsid w:val="00BA6B17"/>
    <w:rsid w:val="00BA6F38"/>
    <w:rsid w:val="00BA6FF8"/>
    <w:rsid w:val="00BA7031"/>
    <w:rsid w:val="00BA7074"/>
    <w:rsid w:val="00BA7075"/>
    <w:rsid w:val="00BA71C4"/>
    <w:rsid w:val="00BA7354"/>
    <w:rsid w:val="00BA7363"/>
    <w:rsid w:val="00BA7600"/>
    <w:rsid w:val="00BA76AE"/>
    <w:rsid w:val="00BA77BB"/>
    <w:rsid w:val="00BA7861"/>
    <w:rsid w:val="00BA7A47"/>
    <w:rsid w:val="00BA7A7E"/>
    <w:rsid w:val="00BA7AD5"/>
    <w:rsid w:val="00BA7DD0"/>
    <w:rsid w:val="00BA7EE1"/>
    <w:rsid w:val="00BA7F07"/>
    <w:rsid w:val="00BB0218"/>
    <w:rsid w:val="00BB04F5"/>
    <w:rsid w:val="00BB063A"/>
    <w:rsid w:val="00BB0AFD"/>
    <w:rsid w:val="00BB0B0F"/>
    <w:rsid w:val="00BB0BD1"/>
    <w:rsid w:val="00BB0DB2"/>
    <w:rsid w:val="00BB0E5F"/>
    <w:rsid w:val="00BB0F05"/>
    <w:rsid w:val="00BB0F71"/>
    <w:rsid w:val="00BB1251"/>
    <w:rsid w:val="00BB14A1"/>
    <w:rsid w:val="00BB18C8"/>
    <w:rsid w:val="00BB1BC4"/>
    <w:rsid w:val="00BB1CA1"/>
    <w:rsid w:val="00BB1E19"/>
    <w:rsid w:val="00BB1E56"/>
    <w:rsid w:val="00BB2036"/>
    <w:rsid w:val="00BB2104"/>
    <w:rsid w:val="00BB2AA5"/>
    <w:rsid w:val="00BB2CC7"/>
    <w:rsid w:val="00BB2E57"/>
    <w:rsid w:val="00BB2ED3"/>
    <w:rsid w:val="00BB319B"/>
    <w:rsid w:val="00BB3354"/>
    <w:rsid w:val="00BB3904"/>
    <w:rsid w:val="00BB39C0"/>
    <w:rsid w:val="00BB3A1F"/>
    <w:rsid w:val="00BB3A39"/>
    <w:rsid w:val="00BB3A42"/>
    <w:rsid w:val="00BB3D52"/>
    <w:rsid w:val="00BB419D"/>
    <w:rsid w:val="00BB4224"/>
    <w:rsid w:val="00BB4479"/>
    <w:rsid w:val="00BB4773"/>
    <w:rsid w:val="00BB483F"/>
    <w:rsid w:val="00BB498C"/>
    <w:rsid w:val="00BB4A49"/>
    <w:rsid w:val="00BB4AE6"/>
    <w:rsid w:val="00BB4C56"/>
    <w:rsid w:val="00BB4C6D"/>
    <w:rsid w:val="00BB4D7C"/>
    <w:rsid w:val="00BB4E0B"/>
    <w:rsid w:val="00BB5020"/>
    <w:rsid w:val="00BB5048"/>
    <w:rsid w:val="00BB506F"/>
    <w:rsid w:val="00BB5257"/>
    <w:rsid w:val="00BB53F5"/>
    <w:rsid w:val="00BB546F"/>
    <w:rsid w:val="00BB5481"/>
    <w:rsid w:val="00BB5539"/>
    <w:rsid w:val="00BB5622"/>
    <w:rsid w:val="00BB589D"/>
    <w:rsid w:val="00BB59D9"/>
    <w:rsid w:val="00BB5B03"/>
    <w:rsid w:val="00BB5B42"/>
    <w:rsid w:val="00BB5CC6"/>
    <w:rsid w:val="00BB5F2A"/>
    <w:rsid w:val="00BB6485"/>
    <w:rsid w:val="00BB6865"/>
    <w:rsid w:val="00BB68C2"/>
    <w:rsid w:val="00BB6A41"/>
    <w:rsid w:val="00BB6D44"/>
    <w:rsid w:val="00BB6E34"/>
    <w:rsid w:val="00BB6E53"/>
    <w:rsid w:val="00BB6E65"/>
    <w:rsid w:val="00BB6F62"/>
    <w:rsid w:val="00BB6FCF"/>
    <w:rsid w:val="00BB7154"/>
    <w:rsid w:val="00BB758B"/>
    <w:rsid w:val="00BB761B"/>
    <w:rsid w:val="00BB76A9"/>
    <w:rsid w:val="00BB7887"/>
    <w:rsid w:val="00BB78C8"/>
    <w:rsid w:val="00BB7BB1"/>
    <w:rsid w:val="00BB7DE5"/>
    <w:rsid w:val="00BB7EA0"/>
    <w:rsid w:val="00BC02BC"/>
    <w:rsid w:val="00BC02EC"/>
    <w:rsid w:val="00BC03D4"/>
    <w:rsid w:val="00BC055B"/>
    <w:rsid w:val="00BC0CCD"/>
    <w:rsid w:val="00BC0CDF"/>
    <w:rsid w:val="00BC0E3F"/>
    <w:rsid w:val="00BC0F46"/>
    <w:rsid w:val="00BC11D8"/>
    <w:rsid w:val="00BC1331"/>
    <w:rsid w:val="00BC1566"/>
    <w:rsid w:val="00BC1D48"/>
    <w:rsid w:val="00BC1F81"/>
    <w:rsid w:val="00BC222C"/>
    <w:rsid w:val="00BC23ED"/>
    <w:rsid w:val="00BC2400"/>
    <w:rsid w:val="00BC2473"/>
    <w:rsid w:val="00BC2550"/>
    <w:rsid w:val="00BC25C0"/>
    <w:rsid w:val="00BC2602"/>
    <w:rsid w:val="00BC28CA"/>
    <w:rsid w:val="00BC28EF"/>
    <w:rsid w:val="00BC2969"/>
    <w:rsid w:val="00BC29BB"/>
    <w:rsid w:val="00BC29D0"/>
    <w:rsid w:val="00BC2A1F"/>
    <w:rsid w:val="00BC2A21"/>
    <w:rsid w:val="00BC2A4C"/>
    <w:rsid w:val="00BC2B8C"/>
    <w:rsid w:val="00BC2C06"/>
    <w:rsid w:val="00BC2D0B"/>
    <w:rsid w:val="00BC2E32"/>
    <w:rsid w:val="00BC305F"/>
    <w:rsid w:val="00BC31C5"/>
    <w:rsid w:val="00BC3799"/>
    <w:rsid w:val="00BC3E36"/>
    <w:rsid w:val="00BC4047"/>
    <w:rsid w:val="00BC4440"/>
    <w:rsid w:val="00BC45D8"/>
    <w:rsid w:val="00BC46CE"/>
    <w:rsid w:val="00BC4869"/>
    <w:rsid w:val="00BC48F6"/>
    <w:rsid w:val="00BC49DB"/>
    <w:rsid w:val="00BC4A35"/>
    <w:rsid w:val="00BC4BC7"/>
    <w:rsid w:val="00BC4CA2"/>
    <w:rsid w:val="00BC4CD5"/>
    <w:rsid w:val="00BC4DFA"/>
    <w:rsid w:val="00BC50B0"/>
    <w:rsid w:val="00BC55C6"/>
    <w:rsid w:val="00BC5CC4"/>
    <w:rsid w:val="00BC5CF7"/>
    <w:rsid w:val="00BC5D97"/>
    <w:rsid w:val="00BC5ED3"/>
    <w:rsid w:val="00BC6178"/>
    <w:rsid w:val="00BC6325"/>
    <w:rsid w:val="00BC6341"/>
    <w:rsid w:val="00BC6486"/>
    <w:rsid w:val="00BC6907"/>
    <w:rsid w:val="00BC6935"/>
    <w:rsid w:val="00BC6980"/>
    <w:rsid w:val="00BC6AB3"/>
    <w:rsid w:val="00BC6B1B"/>
    <w:rsid w:val="00BC6BEF"/>
    <w:rsid w:val="00BC6C18"/>
    <w:rsid w:val="00BC6D45"/>
    <w:rsid w:val="00BC6D6B"/>
    <w:rsid w:val="00BC6F70"/>
    <w:rsid w:val="00BC6F8C"/>
    <w:rsid w:val="00BC71EB"/>
    <w:rsid w:val="00BC72D8"/>
    <w:rsid w:val="00BC7425"/>
    <w:rsid w:val="00BC7434"/>
    <w:rsid w:val="00BC75D1"/>
    <w:rsid w:val="00BC761F"/>
    <w:rsid w:val="00BC7639"/>
    <w:rsid w:val="00BC7657"/>
    <w:rsid w:val="00BC7676"/>
    <w:rsid w:val="00BC781E"/>
    <w:rsid w:val="00BC7B92"/>
    <w:rsid w:val="00BC7E24"/>
    <w:rsid w:val="00BC7ED7"/>
    <w:rsid w:val="00BD04D3"/>
    <w:rsid w:val="00BD0521"/>
    <w:rsid w:val="00BD0602"/>
    <w:rsid w:val="00BD06AE"/>
    <w:rsid w:val="00BD06CE"/>
    <w:rsid w:val="00BD075B"/>
    <w:rsid w:val="00BD0801"/>
    <w:rsid w:val="00BD08A2"/>
    <w:rsid w:val="00BD0A63"/>
    <w:rsid w:val="00BD0CB5"/>
    <w:rsid w:val="00BD0D57"/>
    <w:rsid w:val="00BD0DF9"/>
    <w:rsid w:val="00BD1154"/>
    <w:rsid w:val="00BD12D5"/>
    <w:rsid w:val="00BD14AF"/>
    <w:rsid w:val="00BD17CB"/>
    <w:rsid w:val="00BD18E1"/>
    <w:rsid w:val="00BD194E"/>
    <w:rsid w:val="00BD19D9"/>
    <w:rsid w:val="00BD1B17"/>
    <w:rsid w:val="00BD1BC7"/>
    <w:rsid w:val="00BD1E0C"/>
    <w:rsid w:val="00BD228E"/>
    <w:rsid w:val="00BD23C5"/>
    <w:rsid w:val="00BD253F"/>
    <w:rsid w:val="00BD2563"/>
    <w:rsid w:val="00BD259A"/>
    <w:rsid w:val="00BD25BC"/>
    <w:rsid w:val="00BD2678"/>
    <w:rsid w:val="00BD2B27"/>
    <w:rsid w:val="00BD2E32"/>
    <w:rsid w:val="00BD2E66"/>
    <w:rsid w:val="00BD2FA4"/>
    <w:rsid w:val="00BD3021"/>
    <w:rsid w:val="00BD376E"/>
    <w:rsid w:val="00BD378E"/>
    <w:rsid w:val="00BD37E1"/>
    <w:rsid w:val="00BD37F8"/>
    <w:rsid w:val="00BD38C6"/>
    <w:rsid w:val="00BD38E8"/>
    <w:rsid w:val="00BD38F3"/>
    <w:rsid w:val="00BD3EF8"/>
    <w:rsid w:val="00BD438C"/>
    <w:rsid w:val="00BD459B"/>
    <w:rsid w:val="00BD465C"/>
    <w:rsid w:val="00BD47E0"/>
    <w:rsid w:val="00BD48C9"/>
    <w:rsid w:val="00BD4A1E"/>
    <w:rsid w:val="00BD4A7E"/>
    <w:rsid w:val="00BD4BCA"/>
    <w:rsid w:val="00BD4D22"/>
    <w:rsid w:val="00BD5034"/>
    <w:rsid w:val="00BD53D6"/>
    <w:rsid w:val="00BD5572"/>
    <w:rsid w:val="00BD586B"/>
    <w:rsid w:val="00BD5921"/>
    <w:rsid w:val="00BD5A2A"/>
    <w:rsid w:val="00BD5CAF"/>
    <w:rsid w:val="00BD5E42"/>
    <w:rsid w:val="00BD5F11"/>
    <w:rsid w:val="00BD5FF9"/>
    <w:rsid w:val="00BD61B9"/>
    <w:rsid w:val="00BD6348"/>
    <w:rsid w:val="00BD68AA"/>
    <w:rsid w:val="00BD692E"/>
    <w:rsid w:val="00BD69DB"/>
    <w:rsid w:val="00BD6CC5"/>
    <w:rsid w:val="00BD6CCD"/>
    <w:rsid w:val="00BD6D6F"/>
    <w:rsid w:val="00BD6DE2"/>
    <w:rsid w:val="00BD6E40"/>
    <w:rsid w:val="00BD6E4B"/>
    <w:rsid w:val="00BD6E63"/>
    <w:rsid w:val="00BD6F4E"/>
    <w:rsid w:val="00BD71DD"/>
    <w:rsid w:val="00BD72F4"/>
    <w:rsid w:val="00BD73D2"/>
    <w:rsid w:val="00BD751D"/>
    <w:rsid w:val="00BD75CF"/>
    <w:rsid w:val="00BD767E"/>
    <w:rsid w:val="00BD779A"/>
    <w:rsid w:val="00BD7819"/>
    <w:rsid w:val="00BD7968"/>
    <w:rsid w:val="00BD7F0E"/>
    <w:rsid w:val="00BD7F47"/>
    <w:rsid w:val="00BE0387"/>
    <w:rsid w:val="00BE0406"/>
    <w:rsid w:val="00BE06EE"/>
    <w:rsid w:val="00BE0715"/>
    <w:rsid w:val="00BE080D"/>
    <w:rsid w:val="00BE0C69"/>
    <w:rsid w:val="00BE0C85"/>
    <w:rsid w:val="00BE0FE8"/>
    <w:rsid w:val="00BE12E3"/>
    <w:rsid w:val="00BE13C5"/>
    <w:rsid w:val="00BE1C44"/>
    <w:rsid w:val="00BE1CB1"/>
    <w:rsid w:val="00BE1CDA"/>
    <w:rsid w:val="00BE1E9A"/>
    <w:rsid w:val="00BE1F82"/>
    <w:rsid w:val="00BE1FB9"/>
    <w:rsid w:val="00BE225D"/>
    <w:rsid w:val="00BE2271"/>
    <w:rsid w:val="00BE2272"/>
    <w:rsid w:val="00BE231C"/>
    <w:rsid w:val="00BE2341"/>
    <w:rsid w:val="00BE24EE"/>
    <w:rsid w:val="00BE2B42"/>
    <w:rsid w:val="00BE2CF0"/>
    <w:rsid w:val="00BE2D22"/>
    <w:rsid w:val="00BE2E70"/>
    <w:rsid w:val="00BE3154"/>
    <w:rsid w:val="00BE3252"/>
    <w:rsid w:val="00BE33A2"/>
    <w:rsid w:val="00BE3421"/>
    <w:rsid w:val="00BE3884"/>
    <w:rsid w:val="00BE3C27"/>
    <w:rsid w:val="00BE3F70"/>
    <w:rsid w:val="00BE4107"/>
    <w:rsid w:val="00BE43F0"/>
    <w:rsid w:val="00BE44E4"/>
    <w:rsid w:val="00BE45E4"/>
    <w:rsid w:val="00BE4600"/>
    <w:rsid w:val="00BE4738"/>
    <w:rsid w:val="00BE4824"/>
    <w:rsid w:val="00BE4847"/>
    <w:rsid w:val="00BE4FE6"/>
    <w:rsid w:val="00BE50CC"/>
    <w:rsid w:val="00BE52F7"/>
    <w:rsid w:val="00BE532B"/>
    <w:rsid w:val="00BE5422"/>
    <w:rsid w:val="00BE5424"/>
    <w:rsid w:val="00BE54C3"/>
    <w:rsid w:val="00BE5578"/>
    <w:rsid w:val="00BE5646"/>
    <w:rsid w:val="00BE5B81"/>
    <w:rsid w:val="00BE5CD0"/>
    <w:rsid w:val="00BE5F17"/>
    <w:rsid w:val="00BE603A"/>
    <w:rsid w:val="00BE61A0"/>
    <w:rsid w:val="00BE623B"/>
    <w:rsid w:val="00BE6264"/>
    <w:rsid w:val="00BE629D"/>
    <w:rsid w:val="00BE6548"/>
    <w:rsid w:val="00BE66FC"/>
    <w:rsid w:val="00BE683D"/>
    <w:rsid w:val="00BE6A36"/>
    <w:rsid w:val="00BE6AB4"/>
    <w:rsid w:val="00BE6ACE"/>
    <w:rsid w:val="00BE6B53"/>
    <w:rsid w:val="00BE6C9C"/>
    <w:rsid w:val="00BE6E15"/>
    <w:rsid w:val="00BE6ED5"/>
    <w:rsid w:val="00BE713E"/>
    <w:rsid w:val="00BE74A9"/>
    <w:rsid w:val="00BE7638"/>
    <w:rsid w:val="00BE7657"/>
    <w:rsid w:val="00BE76E3"/>
    <w:rsid w:val="00BE773E"/>
    <w:rsid w:val="00BE7748"/>
    <w:rsid w:val="00BE78E9"/>
    <w:rsid w:val="00BE7E8C"/>
    <w:rsid w:val="00BF004F"/>
    <w:rsid w:val="00BF00A2"/>
    <w:rsid w:val="00BF00BE"/>
    <w:rsid w:val="00BF0258"/>
    <w:rsid w:val="00BF0610"/>
    <w:rsid w:val="00BF06B9"/>
    <w:rsid w:val="00BF0846"/>
    <w:rsid w:val="00BF0941"/>
    <w:rsid w:val="00BF094B"/>
    <w:rsid w:val="00BF0C34"/>
    <w:rsid w:val="00BF0CF1"/>
    <w:rsid w:val="00BF0D97"/>
    <w:rsid w:val="00BF0E88"/>
    <w:rsid w:val="00BF101B"/>
    <w:rsid w:val="00BF11EA"/>
    <w:rsid w:val="00BF143E"/>
    <w:rsid w:val="00BF14CA"/>
    <w:rsid w:val="00BF1510"/>
    <w:rsid w:val="00BF158A"/>
    <w:rsid w:val="00BF15FA"/>
    <w:rsid w:val="00BF168C"/>
    <w:rsid w:val="00BF175D"/>
    <w:rsid w:val="00BF1766"/>
    <w:rsid w:val="00BF17D5"/>
    <w:rsid w:val="00BF18FE"/>
    <w:rsid w:val="00BF1B55"/>
    <w:rsid w:val="00BF1BBA"/>
    <w:rsid w:val="00BF1D01"/>
    <w:rsid w:val="00BF1E61"/>
    <w:rsid w:val="00BF23C2"/>
    <w:rsid w:val="00BF26A3"/>
    <w:rsid w:val="00BF27DB"/>
    <w:rsid w:val="00BF29EF"/>
    <w:rsid w:val="00BF2A5E"/>
    <w:rsid w:val="00BF30DD"/>
    <w:rsid w:val="00BF30E4"/>
    <w:rsid w:val="00BF3268"/>
    <w:rsid w:val="00BF32FD"/>
    <w:rsid w:val="00BF3697"/>
    <w:rsid w:val="00BF378A"/>
    <w:rsid w:val="00BF3860"/>
    <w:rsid w:val="00BF3AFF"/>
    <w:rsid w:val="00BF3B72"/>
    <w:rsid w:val="00BF3C6C"/>
    <w:rsid w:val="00BF3D6E"/>
    <w:rsid w:val="00BF3DA4"/>
    <w:rsid w:val="00BF3F0D"/>
    <w:rsid w:val="00BF406D"/>
    <w:rsid w:val="00BF407E"/>
    <w:rsid w:val="00BF41E7"/>
    <w:rsid w:val="00BF4451"/>
    <w:rsid w:val="00BF4483"/>
    <w:rsid w:val="00BF44A9"/>
    <w:rsid w:val="00BF453E"/>
    <w:rsid w:val="00BF48BA"/>
    <w:rsid w:val="00BF49D8"/>
    <w:rsid w:val="00BF4A82"/>
    <w:rsid w:val="00BF4BC2"/>
    <w:rsid w:val="00BF4F68"/>
    <w:rsid w:val="00BF50C9"/>
    <w:rsid w:val="00BF5147"/>
    <w:rsid w:val="00BF51BB"/>
    <w:rsid w:val="00BF51CD"/>
    <w:rsid w:val="00BF523E"/>
    <w:rsid w:val="00BF543A"/>
    <w:rsid w:val="00BF5825"/>
    <w:rsid w:val="00BF589B"/>
    <w:rsid w:val="00BF58CC"/>
    <w:rsid w:val="00BF58EF"/>
    <w:rsid w:val="00BF595A"/>
    <w:rsid w:val="00BF5963"/>
    <w:rsid w:val="00BF5B5E"/>
    <w:rsid w:val="00BF5E9B"/>
    <w:rsid w:val="00BF6338"/>
    <w:rsid w:val="00BF63B6"/>
    <w:rsid w:val="00BF63CB"/>
    <w:rsid w:val="00BF652D"/>
    <w:rsid w:val="00BF662D"/>
    <w:rsid w:val="00BF687E"/>
    <w:rsid w:val="00BF6980"/>
    <w:rsid w:val="00BF69DB"/>
    <w:rsid w:val="00BF6BBD"/>
    <w:rsid w:val="00BF6BF3"/>
    <w:rsid w:val="00BF6FCC"/>
    <w:rsid w:val="00BF702C"/>
    <w:rsid w:val="00BF74BF"/>
    <w:rsid w:val="00BF7546"/>
    <w:rsid w:val="00BF76CF"/>
    <w:rsid w:val="00BF770B"/>
    <w:rsid w:val="00BF7722"/>
    <w:rsid w:val="00BF7733"/>
    <w:rsid w:val="00BF7942"/>
    <w:rsid w:val="00BF79C4"/>
    <w:rsid w:val="00BF7D6B"/>
    <w:rsid w:val="00BF7DC4"/>
    <w:rsid w:val="00BF7E86"/>
    <w:rsid w:val="00C00069"/>
    <w:rsid w:val="00C00468"/>
    <w:rsid w:val="00C004F7"/>
    <w:rsid w:val="00C007B1"/>
    <w:rsid w:val="00C00A8F"/>
    <w:rsid w:val="00C00AC1"/>
    <w:rsid w:val="00C00CE6"/>
    <w:rsid w:val="00C00D4F"/>
    <w:rsid w:val="00C00FD5"/>
    <w:rsid w:val="00C010F8"/>
    <w:rsid w:val="00C013BC"/>
    <w:rsid w:val="00C014D1"/>
    <w:rsid w:val="00C015C0"/>
    <w:rsid w:val="00C01B6F"/>
    <w:rsid w:val="00C01C48"/>
    <w:rsid w:val="00C01CAA"/>
    <w:rsid w:val="00C01DF2"/>
    <w:rsid w:val="00C0201D"/>
    <w:rsid w:val="00C02050"/>
    <w:rsid w:val="00C022DA"/>
    <w:rsid w:val="00C023CD"/>
    <w:rsid w:val="00C0243D"/>
    <w:rsid w:val="00C0258B"/>
    <w:rsid w:val="00C02691"/>
    <w:rsid w:val="00C0269D"/>
    <w:rsid w:val="00C02866"/>
    <w:rsid w:val="00C0288B"/>
    <w:rsid w:val="00C02AE1"/>
    <w:rsid w:val="00C02B00"/>
    <w:rsid w:val="00C02DAD"/>
    <w:rsid w:val="00C02E3B"/>
    <w:rsid w:val="00C02E6D"/>
    <w:rsid w:val="00C02F8E"/>
    <w:rsid w:val="00C03276"/>
    <w:rsid w:val="00C0346F"/>
    <w:rsid w:val="00C034D9"/>
    <w:rsid w:val="00C0354B"/>
    <w:rsid w:val="00C03678"/>
    <w:rsid w:val="00C03689"/>
    <w:rsid w:val="00C038E6"/>
    <w:rsid w:val="00C03BEB"/>
    <w:rsid w:val="00C03CEB"/>
    <w:rsid w:val="00C03DC6"/>
    <w:rsid w:val="00C041CA"/>
    <w:rsid w:val="00C04211"/>
    <w:rsid w:val="00C04400"/>
    <w:rsid w:val="00C045C2"/>
    <w:rsid w:val="00C045FB"/>
    <w:rsid w:val="00C046DD"/>
    <w:rsid w:val="00C04890"/>
    <w:rsid w:val="00C04945"/>
    <w:rsid w:val="00C049E7"/>
    <w:rsid w:val="00C04A38"/>
    <w:rsid w:val="00C04A51"/>
    <w:rsid w:val="00C04B7F"/>
    <w:rsid w:val="00C05393"/>
    <w:rsid w:val="00C053A5"/>
    <w:rsid w:val="00C05656"/>
    <w:rsid w:val="00C05688"/>
    <w:rsid w:val="00C057B5"/>
    <w:rsid w:val="00C05834"/>
    <w:rsid w:val="00C0584B"/>
    <w:rsid w:val="00C058F3"/>
    <w:rsid w:val="00C0591A"/>
    <w:rsid w:val="00C059F5"/>
    <w:rsid w:val="00C05A41"/>
    <w:rsid w:val="00C05E76"/>
    <w:rsid w:val="00C05F10"/>
    <w:rsid w:val="00C05F54"/>
    <w:rsid w:val="00C05FEA"/>
    <w:rsid w:val="00C06033"/>
    <w:rsid w:val="00C0605C"/>
    <w:rsid w:val="00C0622C"/>
    <w:rsid w:val="00C06284"/>
    <w:rsid w:val="00C062B3"/>
    <w:rsid w:val="00C063BD"/>
    <w:rsid w:val="00C063C8"/>
    <w:rsid w:val="00C068C4"/>
    <w:rsid w:val="00C0694C"/>
    <w:rsid w:val="00C06BD5"/>
    <w:rsid w:val="00C070D3"/>
    <w:rsid w:val="00C07103"/>
    <w:rsid w:val="00C07130"/>
    <w:rsid w:val="00C07147"/>
    <w:rsid w:val="00C07373"/>
    <w:rsid w:val="00C0741D"/>
    <w:rsid w:val="00C074DC"/>
    <w:rsid w:val="00C07630"/>
    <w:rsid w:val="00C076DB"/>
    <w:rsid w:val="00C07A76"/>
    <w:rsid w:val="00C07AC3"/>
    <w:rsid w:val="00C07AD8"/>
    <w:rsid w:val="00C07B0D"/>
    <w:rsid w:val="00C07B0E"/>
    <w:rsid w:val="00C07DF4"/>
    <w:rsid w:val="00C07F0C"/>
    <w:rsid w:val="00C07F1D"/>
    <w:rsid w:val="00C10144"/>
    <w:rsid w:val="00C10164"/>
    <w:rsid w:val="00C10319"/>
    <w:rsid w:val="00C103D8"/>
    <w:rsid w:val="00C1056B"/>
    <w:rsid w:val="00C10617"/>
    <w:rsid w:val="00C1080F"/>
    <w:rsid w:val="00C10CBF"/>
    <w:rsid w:val="00C10D10"/>
    <w:rsid w:val="00C10FF4"/>
    <w:rsid w:val="00C112FE"/>
    <w:rsid w:val="00C11514"/>
    <w:rsid w:val="00C11567"/>
    <w:rsid w:val="00C116B1"/>
    <w:rsid w:val="00C116E5"/>
    <w:rsid w:val="00C117D5"/>
    <w:rsid w:val="00C117E8"/>
    <w:rsid w:val="00C11A65"/>
    <w:rsid w:val="00C11C1A"/>
    <w:rsid w:val="00C11C5B"/>
    <w:rsid w:val="00C11DC4"/>
    <w:rsid w:val="00C11E6A"/>
    <w:rsid w:val="00C11E6B"/>
    <w:rsid w:val="00C11FED"/>
    <w:rsid w:val="00C123B0"/>
    <w:rsid w:val="00C1245A"/>
    <w:rsid w:val="00C1250B"/>
    <w:rsid w:val="00C125C3"/>
    <w:rsid w:val="00C127B0"/>
    <w:rsid w:val="00C12B2A"/>
    <w:rsid w:val="00C12CAE"/>
    <w:rsid w:val="00C12D67"/>
    <w:rsid w:val="00C12D8D"/>
    <w:rsid w:val="00C13041"/>
    <w:rsid w:val="00C130FD"/>
    <w:rsid w:val="00C131C4"/>
    <w:rsid w:val="00C131D5"/>
    <w:rsid w:val="00C13291"/>
    <w:rsid w:val="00C133E1"/>
    <w:rsid w:val="00C13414"/>
    <w:rsid w:val="00C136E4"/>
    <w:rsid w:val="00C1380C"/>
    <w:rsid w:val="00C13960"/>
    <w:rsid w:val="00C13B88"/>
    <w:rsid w:val="00C13BC3"/>
    <w:rsid w:val="00C13F9B"/>
    <w:rsid w:val="00C144CD"/>
    <w:rsid w:val="00C1457C"/>
    <w:rsid w:val="00C145CD"/>
    <w:rsid w:val="00C14777"/>
    <w:rsid w:val="00C148C7"/>
    <w:rsid w:val="00C1490B"/>
    <w:rsid w:val="00C14A97"/>
    <w:rsid w:val="00C14FD3"/>
    <w:rsid w:val="00C1516C"/>
    <w:rsid w:val="00C151E3"/>
    <w:rsid w:val="00C152D7"/>
    <w:rsid w:val="00C1541D"/>
    <w:rsid w:val="00C15550"/>
    <w:rsid w:val="00C1556A"/>
    <w:rsid w:val="00C15657"/>
    <w:rsid w:val="00C15962"/>
    <w:rsid w:val="00C15A91"/>
    <w:rsid w:val="00C15C15"/>
    <w:rsid w:val="00C15D14"/>
    <w:rsid w:val="00C15DF1"/>
    <w:rsid w:val="00C15E8E"/>
    <w:rsid w:val="00C1614A"/>
    <w:rsid w:val="00C163C7"/>
    <w:rsid w:val="00C164FD"/>
    <w:rsid w:val="00C167AF"/>
    <w:rsid w:val="00C16B1F"/>
    <w:rsid w:val="00C16C85"/>
    <w:rsid w:val="00C16E5D"/>
    <w:rsid w:val="00C16F8B"/>
    <w:rsid w:val="00C16FAD"/>
    <w:rsid w:val="00C17164"/>
    <w:rsid w:val="00C173D2"/>
    <w:rsid w:val="00C17526"/>
    <w:rsid w:val="00C17809"/>
    <w:rsid w:val="00C17A18"/>
    <w:rsid w:val="00C17AE0"/>
    <w:rsid w:val="00C17B6C"/>
    <w:rsid w:val="00C17C06"/>
    <w:rsid w:val="00C17CA0"/>
    <w:rsid w:val="00C17D97"/>
    <w:rsid w:val="00C17EA3"/>
    <w:rsid w:val="00C20131"/>
    <w:rsid w:val="00C201F1"/>
    <w:rsid w:val="00C204A1"/>
    <w:rsid w:val="00C206C4"/>
    <w:rsid w:val="00C208FA"/>
    <w:rsid w:val="00C20905"/>
    <w:rsid w:val="00C209B1"/>
    <w:rsid w:val="00C20ADB"/>
    <w:rsid w:val="00C20D39"/>
    <w:rsid w:val="00C211D1"/>
    <w:rsid w:val="00C21232"/>
    <w:rsid w:val="00C2136C"/>
    <w:rsid w:val="00C21434"/>
    <w:rsid w:val="00C214AA"/>
    <w:rsid w:val="00C21757"/>
    <w:rsid w:val="00C2192B"/>
    <w:rsid w:val="00C21A7B"/>
    <w:rsid w:val="00C21C70"/>
    <w:rsid w:val="00C21C94"/>
    <w:rsid w:val="00C21C9D"/>
    <w:rsid w:val="00C21DB1"/>
    <w:rsid w:val="00C21FD9"/>
    <w:rsid w:val="00C22064"/>
    <w:rsid w:val="00C220B1"/>
    <w:rsid w:val="00C22266"/>
    <w:rsid w:val="00C2236B"/>
    <w:rsid w:val="00C22450"/>
    <w:rsid w:val="00C22575"/>
    <w:rsid w:val="00C225C8"/>
    <w:rsid w:val="00C22662"/>
    <w:rsid w:val="00C227EA"/>
    <w:rsid w:val="00C22886"/>
    <w:rsid w:val="00C22955"/>
    <w:rsid w:val="00C22C79"/>
    <w:rsid w:val="00C22D62"/>
    <w:rsid w:val="00C22E08"/>
    <w:rsid w:val="00C22ECD"/>
    <w:rsid w:val="00C2339A"/>
    <w:rsid w:val="00C23639"/>
    <w:rsid w:val="00C236EF"/>
    <w:rsid w:val="00C238C2"/>
    <w:rsid w:val="00C239FB"/>
    <w:rsid w:val="00C23CB1"/>
    <w:rsid w:val="00C23DAA"/>
    <w:rsid w:val="00C23FFE"/>
    <w:rsid w:val="00C2423E"/>
    <w:rsid w:val="00C24256"/>
    <w:rsid w:val="00C2446A"/>
    <w:rsid w:val="00C24653"/>
    <w:rsid w:val="00C2466D"/>
    <w:rsid w:val="00C24760"/>
    <w:rsid w:val="00C24804"/>
    <w:rsid w:val="00C24A05"/>
    <w:rsid w:val="00C24A2B"/>
    <w:rsid w:val="00C24E6D"/>
    <w:rsid w:val="00C25509"/>
    <w:rsid w:val="00C25650"/>
    <w:rsid w:val="00C256F8"/>
    <w:rsid w:val="00C25810"/>
    <w:rsid w:val="00C25908"/>
    <w:rsid w:val="00C25932"/>
    <w:rsid w:val="00C25951"/>
    <w:rsid w:val="00C2598D"/>
    <w:rsid w:val="00C25998"/>
    <w:rsid w:val="00C259AE"/>
    <w:rsid w:val="00C25A66"/>
    <w:rsid w:val="00C25B36"/>
    <w:rsid w:val="00C25B44"/>
    <w:rsid w:val="00C25C46"/>
    <w:rsid w:val="00C25E33"/>
    <w:rsid w:val="00C25E53"/>
    <w:rsid w:val="00C25F18"/>
    <w:rsid w:val="00C261A5"/>
    <w:rsid w:val="00C26391"/>
    <w:rsid w:val="00C26434"/>
    <w:rsid w:val="00C26440"/>
    <w:rsid w:val="00C265BB"/>
    <w:rsid w:val="00C26617"/>
    <w:rsid w:val="00C266FE"/>
    <w:rsid w:val="00C269A7"/>
    <w:rsid w:val="00C26CC3"/>
    <w:rsid w:val="00C26F2C"/>
    <w:rsid w:val="00C26F88"/>
    <w:rsid w:val="00C271A8"/>
    <w:rsid w:val="00C271C4"/>
    <w:rsid w:val="00C2723A"/>
    <w:rsid w:val="00C27336"/>
    <w:rsid w:val="00C27351"/>
    <w:rsid w:val="00C276CC"/>
    <w:rsid w:val="00C2773A"/>
    <w:rsid w:val="00C2788C"/>
    <w:rsid w:val="00C27C21"/>
    <w:rsid w:val="00C27C28"/>
    <w:rsid w:val="00C27FC3"/>
    <w:rsid w:val="00C3007B"/>
    <w:rsid w:val="00C300C0"/>
    <w:rsid w:val="00C301AC"/>
    <w:rsid w:val="00C30250"/>
    <w:rsid w:val="00C305A2"/>
    <w:rsid w:val="00C305C6"/>
    <w:rsid w:val="00C305F1"/>
    <w:rsid w:val="00C30642"/>
    <w:rsid w:val="00C30702"/>
    <w:rsid w:val="00C308A9"/>
    <w:rsid w:val="00C30B37"/>
    <w:rsid w:val="00C30BD0"/>
    <w:rsid w:val="00C30C87"/>
    <w:rsid w:val="00C30D2E"/>
    <w:rsid w:val="00C30E57"/>
    <w:rsid w:val="00C3100C"/>
    <w:rsid w:val="00C31040"/>
    <w:rsid w:val="00C310A7"/>
    <w:rsid w:val="00C31115"/>
    <w:rsid w:val="00C31142"/>
    <w:rsid w:val="00C311FA"/>
    <w:rsid w:val="00C3128C"/>
    <w:rsid w:val="00C312C4"/>
    <w:rsid w:val="00C315CD"/>
    <w:rsid w:val="00C315DA"/>
    <w:rsid w:val="00C317C1"/>
    <w:rsid w:val="00C317F4"/>
    <w:rsid w:val="00C31825"/>
    <w:rsid w:val="00C319A8"/>
    <w:rsid w:val="00C31A54"/>
    <w:rsid w:val="00C31FBC"/>
    <w:rsid w:val="00C3201D"/>
    <w:rsid w:val="00C322D4"/>
    <w:rsid w:val="00C323C4"/>
    <w:rsid w:val="00C323F7"/>
    <w:rsid w:val="00C32540"/>
    <w:rsid w:val="00C32B3B"/>
    <w:rsid w:val="00C32F0C"/>
    <w:rsid w:val="00C32F0E"/>
    <w:rsid w:val="00C33160"/>
    <w:rsid w:val="00C33839"/>
    <w:rsid w:val="00C338C2"/>
    <w:rsid w:val="00C33910"/>
    <w:rsid w:val="00C33933"/>
    <w:rsid w:val="00C33E72"/>
    <w:rsid w:val="00C33E94"/>
    <w:rsid w:val="00C33F23"/>
    <w:rsid w:val="00C33FD5"/>
    <w:rsid w:val="00C34127"/>
    <w:rsid w:val="00C34440"/>
    <w:rsid w:val="00C34525"/>
    <w:rsid w:val="00C3455D"/>
    <w:rsid w:val="00C345A1"/>
    <w:rsid w:val="00C34610"/>
    <w:rsid w:val="00C347EF"/>
    <w:rsid w:val="00C34860"/>
    <w:rsid w:val="00C34899"/>
    <w:rsid w:val="00C348D6"/>
    <w:rsid w:val="00C348F4"/>
    <w:rsid w:val="00C34967"/>
    <w:rsid w:val="00C34A11"/>
    <w:rsid w:val="00C34A8C"/>
    <w:rsid w:val="00C34AC8"/>
    <w:rsid w:val="00C34B46"/>
    <w:rsid w:val="00C34B8B"/>
    <w:rsid w:val="00C34CA3"/>
    <w:rsid w:val="00C34E16"/>
    <w:rsid w:val="00C34F02"/>
    <w:rsid w:val="00C34FBA"/>
    <w:rsid w:val="00C351F0"/>
    <w:rsid w:val="00C35206"/>
    <w:rsid w:val="00C35244"/>
    <w:rsid w:val="00C353B2"/>
    <w:rsid w:val="00C35417"/>
    <w:rsid w:val="00C3542A"/>
    <w:rsid w:val="00C354CB"/>
    <w:rsid w:val="00C354EC"/>
    <w:rsid w:val="00C35651"/>
    <w:rsid w:val="00C356A1"/>
    <w:rsid w:val="00C359A6"/>
    <w:rsid w:val="00C359FB"/>
    <w:rsid w:val="00C35A44"/>
    <w:rsid w:val="00C35F1F"/>
    <w:rsid w:val="00C36035"/>
    <w:rsid w:val="00C361BF"/>
    <w:rsid w:val="00C36220"/>
    <w:rsid w:val="00C36325"/>
    <w:rsid w:val="00C363E0"/>
    <w:rsid w:val="00C364E8"/>
    <w:rsid w:val="00C36576"/>
    <w:rsid w:val="00C3668F"/>
    <w:rsid w:val="00C36D9C"/>
    <w:rsid w:val="00C36DD7"/>
    <w:rsid w:val="00C36FC0"/>
    <w:rsid w:val="00C371EC"/>
    <w:rsid w:val="00C37210"/>
    <w:rsid w:val="00C37575"/>
    <w:rsid w:val="00C376CC"/>
    <w:rsid w:val="00C3770A"/>
    <w:rsid w:val="00C3774D"/>
    <w:rsid w:val="00C3787D"/>
    <w:rsid w:val="00C378CB"/>
    <w:rsid w:val="00C37B93"/>
    <w:rsid w:val="00C37DB8"/>
    <w:rsid w:val="00C37DDA"/>
    <w:rsid w:val="00C37F7F"/>
    <w:rsid w:val="00C4005B"/>
    <w:rsid w:val="00C402C2"/>
    <w:rsid w:val="00C404AC"/>
    <w:rsid w:val="00C40510"/>
    <w:rsid w:val="00C40660"/>
    <w:rsid w:val="00C4072C"/>
    <w:rsid w:val="00C407FD"/>
    <w:rsid w:val="00C40846"/>
    <w:rsid w:val="00C40AD5"/>
    <w:rsid w:val="00C40CA0"/>
    <w:rsid w:val="00C40EBB"/>
    <w:rsid w:val="00C40F8B"/>
    <w:rsid w:val="00C41073"/>
    <w:rsid w:val="00C4140E"/>
    <w:rsid w:val="00C41696"/>
    <w:rsid w:val="00C4197F"/>
    <w:rsid w:val="00C41A89"/>
    <w:rsid w:val="00C41D73"/>
    <w:rsid w:val="00C41DCB"/>
    <w:rsid w:val="00C41F8B"/>
    <w:rsid w:val="00C42115"/>
    <w:rsid w:val="00C42150"/>
    <w:rsid w:val="00C42577"/>
    <w:rsid w:val="00C427A4"/>
    <w:rsid w:val="00C42917"/>
    <w:rsid w:val="00C429A2"/>
    <w:rsid w:val="00C42A12"/>
    <w:rsid w:val="00C42A9D"/>
    <w:rsid w:val="00C42F59"/>
    <w:rsid w:val="00C432D9"/>
    <w:rsid w:val="00C435F5"/>
    <w:rsid w:val="00C4366C"/>
    <w:rsid w:val="00C436DB"/>
    <w:rsid w:val="00C436EB"/>
    <w:rsid w:val="00C4380E"/>
    <w:rsid w:val="00C438C8"/>
    <w:rsid w:val="00C43BFA"/>
    <w:rsid w:val="00C43EA7"/>
    <w:rsid w:val="00C43F50"/>
    <w:rsid w:val="00C44209"/>
    <w:rsid w:val="00C44577"/>
    <w:rsid w:val="00C4459A"/>
    <w:rsid w:val="00C44610"/>
    <w:rsid w:val="00C44A2B"/>
    <w:rsid w:val="00C44A41"/>
    <w:rsid w:val="00C44A77"/>
    <w:rsid w:val="00C44AC6"/>
    <w:rsid w:val="00C44B49"/>
    <w:rsid w:val="00C44CB3"/>
    <w:rsid w:val="00C44CBA"/>
    <w:rsid w:val="00C44EB3"/>
    <w:rsid w:val="00C45736"/>
    <w:rsid w:val="00C458DC"/>
    <w:rsid w:val="00C45906"/>
    <w:rsid w:val="00C45939"/>
    <w:rsid w:val="00C45C51"/>
    <w:rsid w:val="00C45E60"/>
    <w:rsid w:val="00C46012"/>
    <w:rsid w:val="00C4607F"/>
    <w:rsid w:val="00C4646E"/>
    <w:rsid w:val="00C46959"/>
    <w:rsid w:val="00C46C41"/>
    <w:rsid w:val="00C46DB7"/>
    <w:rsid w:val="00C46F0A"/>
    <w:rsid w:val="00C47021"/>
    <w:rsid w:val="00C4711D"/>
    <w:rsid w:val="00C47657"/>
    <w:rsid w:val="00C477BF"/>
    <w:rsid w:val="00C47CFD"/>
    <w:rsid w:val="00C47FF5"/>
    <w:rsid w:val="00C500A4"/>
    <w:rsid w:val="00C500B4"/>
    <w:rsid w:val="00C5021B"/>
    <w:rsid w:val="00C5047B"/>
    <w:rsid w:val="00C50564"/>
    <w:rsid w:val="00C5057B"/>
    <w:rsid w:val="00C5065F"/>
    <w:rsid w:val="00C507B4"/>
    <w:rsid w:val="00C50987"/>
    <w:rsid w:val="00C50BA8"/>
    <w:rsid w:val="00C50D34"/>
    <w:rsid w:val="00C50F12"/>
    <w:rsid w:val="00C5112F"/>
    <w:rsid w:val="00C5117E"/>
    <w:rsid w:val="00C514B5"/>
    <w:rsid w:val="00C51635"/>
    <w:rsid w:val="00C516CC"/>
    <w:rsid w:val="00C51717"/>
    <w:rsid w:val="00C51B10"/>
    <w:rsid w:val="00C51B35"/>
    <w:rsid w:val="00C51DBB"/>
    <w:rsid w:val="00C520E1"/>
    <w:rsid w:val="00C5212F"/>
    <w:rsid w:val="00C52246"/>
    <w:rsid w:val="00C52545"/>
    <w:rsid w:val="00C5256D"/>
    <w:rsid w:val="00C526C5"/>
    <w:rsid w:val="00C52768"/>
    <w:rsid w:val="00C5283E"/>
    <w:rsid w:val="00C52A3F"/>
    <w:rsid w:val="00C52ABD"/>
    <w:rsid w:val="00C52AFA"/>
    <w:rsid w:val="00C52B5D"/>
    <w:rsid w:val="00C52CE1"/>
    <w:rsid w:val="00C52E22"/>
    <w:rsid w:val="00C53062"/>
    <w:rsid w:val="00C53178"/>
    <w:rsid w:val="00C532F1"/>
    <w:rsid w:val="00C5336D"/>
    <w:rsid w:val="00C53391"/>
    <w:rsid w:val="00C536B2"/>
    <w:rsid w:val="00C53832"/>
    <w:rsid w:val="00C53852"/>
    <w:rsid w:val="00C539F6"/>
    <w:rsid w:val="00C53D57"/>
    <w:rsid w:val="00C53E0F"/>
    <w:rsid w:val="00C53FDA"/>
    <w:rsid w:val="00C53FF7"/>
    <w:rsid w:val="00C5407B"/>
    <w:rsid w:val="00C54318"/>
    <w:rsid w:val="00C54345"/>
    <w:rsid w:val="00C544A0"/>
    <w:rsid w:val="00C5485E"/>
    <w:rsid w:val="00C548F7"/>
    <w:rsid w:val="00C54B39"/>
    <w:rsid w:val="00C54DB1"/>
    <w:rsid w:val="00C54E49"/>
    <w:rsid w:val="00C54FCC"/>
    <w:rsid w:val="00C5500F"/>
    <w:rsid w:val="00C5503D"/>
    <w:rsid w:val="00C55048"/>
    <w:rsid w:val="00C550E7"/>
    <w:rsid w:val="00C5518B"/>
    <w:rsid w:val="00C5544F"/>
    <w:rsid w:val="00C55551"/>
    <w:rsid w:val="00C55682"/>
    <w:rsid w:val="00C55737"/>
    <w:rsid w:val="00C557C0"/>
    <w:rsid w:val="00C55BE2"/>
    <w:rsid w:val="00C55EE5"/>
    <w:rsid w:val="00C56035"/>
    <w:rsid w:val="00C56080"/>
    <w:rsid w:val="00C562CB"/>
    <w:rsid w:val="00C562D2"/>
    <w:rsid w:val="00C5654E"/>
    <w:rsid w:val="00C56568"/>
    <w:rsid w:val="00C56669"/>
    <w:rsid w:val="00C566F7"/>
    <w:rsid w:val="00C5690C"/>
    <w:rsid w:val="00C56922"/>
    <w:rsid w:val="00C56B98"/>
    <w:rsid w:val="00C56BB4"/>
    <w:rsid w:val="00C56CB4"/>
    <w:rsid w:val="00C56E7F"/>
    <w:rsid w:val="00C57476"/>
    <w:rsid w:val="00C575B7"/>
    <w:rsid w:val="00C5772B"/>
    <w:rsid w:val="00C577A2"/>
    <w:rsid w:val="00C578B3"/>
    <w:rsid w:val="00C57B34"/>
    <w:rsid w:val="00C57C24"/>
    <w:rsid w:val="00C6001C"/>
    <w:rsid w:val="00C60056"/>
    <w:rsid w:val="00C6021B"/>
    <w:rsid w:val="00C60252"/>
    <w:rsid w:val="00C60502"/>
    <w:rsid w:val="00C605F4"/>
    <w:rsid w:val="00C60679"/>
    <w:rsid w:val="00C606AD"/>
    <w:rsid w:val="00C6088B"/>
    <w:rsid w:val="00C60ABC"/>
    <w:rsid w:val="00C60BE6"/>
    <w:rsid w:val="00C60DA5"/>
    <w:rsid w:val="00C60DEA"/>
    <w:rsid w:val="00C60F7C"/>
    <w:rsid w:val="00C611B7"/>
    <w:rsid w:val="00C61281"/>
    <w:rsid w:val="00C614A8"/>
    <w:rsid w:val="00C6158F"/>
    <w:rsid w:val="00C6169E"/>
    <w:rsid w:val="00C6192F"/>
    <w:rsid w:val="00C61B9F"/>
    <w:rsid w:val="00C61E13"/>
    <w:rsid w:val="00C61E82"/>
    <w:rsid w:val="00C61EA2"/>
    <w:rsid w:val="00C61EC0"/>
    <w:rsid w:val="00C62308"/>
    <w:rsid w:val="00C6272D"/>
    <w:rsid w:val="00C62964"/>
    <w:rsid w:val="00C62AA4"/>
    <w:rsid w:val="00C62B54"/>
    <w:rsid w:val="00C62DD5"/>
    <w:rsid w:val="00C62E6F"/>
    <w:rsid w:val="00C62E7B"/>
    <w:rsid w:val="00C62F25"/>
    <w:rsid w:val="00C632F9"/>
    <w:rsid w:val="00C6330B"/>
    <w:rsid w:val="00C63446"/>
    <w:rsid w:val="00C63496"/>
    <w:rsid w:val="00C634CC"/>
    <w:rsid w:val="00C6351C"/>
    <w:rsid w:val="00C635A1"/>
    <w:rsid w:val="00C635CF"/>
    <w:rsid w:val="00C63652"/>
    <w:rsid w:val="00C6366F"/>
    <w:rsid w:val="00C63709"/>
    <w:rsid w:val="00C637C9"/>
    <w:rsid w:val="00C63813"/>
    <w:rsid w:val="00C638E9"/>
    <w:rsid w:val="00C6397A"/>
    <w:rsid w:val="00C639A7"/>
    <w:rsid w:val="00C63D09"/>
    <w:rsid w:val="00C63D73"/>
    <w:rsid w:val="00C63E98"/>
    <w:rsid w:val="00C63EDC"/>
    <w:rsid w:val="00C63FF1"/>
    <w:rsid w:val="00C643E6"/>
    <w:rsid w:val="00C64592"/>
    <w:rsid w:val="00C64681"/>
    <w:rsid w:val="00C647E1"/>
    <w:rsid w:val="00C647F0"/>
    <w:rsid w:val="00C6497F"/>
    <w:rsid w:val="00C64ACA"/>
    <w:rsid w:val="00C64E38"/>
    <w:rsid w:val="00C64EE7"/>
    <w:rsid w:val="00C6509F"/>
    <w:rsid w:val="00C650CD"/>
    <w:rsid w:val="00C65AD0"/>
    <w:rsid w:val="00C65B0C"/>
    <w:rsid w:val="00C65D66"/>
    <w:rsid w:val="00C65DB4"/>
    <w:rsid w:val="00C65F9A"/>
    <w:rsid w:val="00C66100"/>
    <w:rsid w:val="00C66209"/>
    <w:rsid w:val="00C66383"/>
    <w:rsid w:val="00C663E4"/>
    <w:rsid w:val="00C66491"/>
    <w:rsid w:val="00C664CB"/>
    <w:rsid w:val="00C664E9"/>
    <w:rsid w:val="00C66751"/>
    <w:rsid w:val="00C669D4"/>
    <w:rsid w:val="00C66DD5"/>
    <w:rsid w:val="00C66F71"/>
    <w:rsid w:val="00C673C8"/>
    <w:rsid w:val="00C67508"/>
    <w:rsid w:val="00C675BB"/>
    <w:rsid w:val="00C677D0"/>
    <w:rsid w:val="00C67A0A"/>
    <w:rsid w:val="00C67BB1"/>
    <w:rsid w:val="00C67D0D"/>
    <w:rsid w:val="00C67D52"/>
    <w:rsid w:val="00C67EA7"/>
    <w:rsid w:val="00C7018E"/>
    <w:rsid w:val="00C701B8"/>
    <w:rsid w:val="00C704F5"/>
    <w:rsid w:val="00C70544"/>
    <w:rsid w:val="00C70547"/>
    <w:rsid w:val="00C7054F"/>
    <w:rsid w:val="00C70965"/>
    <w:rsid w:val="00C7099B"/>
    <w:rsid w:val="00C70D07"/>
    <w:rsid w:val="00C70D0F"/>
    <w:rsid w:val="00C70DA0"/>
    <w:rsid w:val="00C70FFC"/>
    <w:rsid w:val="00C7126F"/>
    <w:rsid w:val="00C71338"/>
    <w:rsid w:val="00C71470"/>
    <w:rsid w:val="00C7162B"/>
    <w:rsid w:val="00C718A6"/>
    <w:rsid w:val="00C71A91"/>
    <w:rsid w:val="00C71B07"/>
    <w:rsid w:val="00C71BFE"/>
    <w:rsid w:val="00C71CF0"/>
    <w:rsid w:val="00C71F0C"/>
    <w:rsid w:val="00C722A9"/>
    <w:rsid w:val="00C724D0"/>
    <w:rsid w:val="00C72535"/>
    <w:rsid w:val="00C7269E"/>
    <w:rsid w:val="00C72721"/>
    <w:rsid w:val="00C72797"/>
    <w:rsid w:val="00C72A81"/>
    <w:rsid w:val="00C72B34"/>
    <w:rsid w:val="00C72BE1"/>
    <w:rsid w:val="00C72BE4"/>
    <w:rsid w:val="00C72CC1"/>
    <w:rsid w:val="00C72E54"/>
    <w:rsid w:val="00C72EED"/>
    <w:rsid w:val="00C73223"/>
    <w:rsid w:val="00C735F0"/>
    <w:rsid w:val="00C7374F"/>
    <w:rsid w:val="00C73EEC"/>
    <w:rsid w:val="00C73F08"/>
    <w:rsid w:val="00C740B7"/>
    <w:rsid w:val="00C740DE"/>
    <w:rsid w:val="00C748A8"/>
    <w:rsid w:val="00C74A47"/>
    <w:rsid w:val="00C74B15"/>
    <w:rsid w:val="00C74EDB"/>
    <w:rsid w:val="00C74F36"/>
    <w:rsid w:val="00C751ED"/>
    <w:rsid w:val="00C751F5"/>
    <w:rsid w:val="00C75239"/>
    <w:rsid w:val="00C753AF"/>
    <w:rsid w:val="00C7541A"/>
    <w:rsid w:val="00C7543A"/>
    <w:rsid w:val="00C75462"/>
    <w:rsid w:val="00C754BF"/>
    <w:rsid w:val="00C75524"/>
    <w:rsid w:val="00C7556D"/>
    <w:rsid w:val="00C756F7"/>
    <w:rsid w:val="00C7571B"/>
    <w:rsid w:val="00C7577D"/>
    <w:rsid w:val="00C7577E"/>
    <w:rsid w:val="00C75881"/>
    <w:rsid w:val="00C75ACF"/>
    <w:rsid w:val="00C75C8F"/>
    <w:rsid w:val="00C75E8E"/>
    <w:rsid w:val="00C760F1"/>
    <w:rsid w:val="00C76313"/>
    <w:rsid w:val="00C7641D"/>
    <w:rsid w:val="00C7644A"/>
    <w:rsid w:val="00C767C4"/>
    <w:rsid w:val="00C76800"/>
    <w:rsid w:val="00C768E5"/>
    <w:rsid w:val="00C76A98"/>
    <w:rsid w:val="00C76C8A"/>
    <w:rsid w:val="00C76CED"/>
    <w:rsid w:val="00C76DAE"/>
    <w:rsid w:val="00C76ECA"/>
    <w:rsid w:val="00C76F2F"/>
    <w:rsid w:val="00C7720A"/>
    <w:rsid w:val="00C7726A"/>
    <w:rsid w:val="00C77595"/>
    <w:rsid w:val="00C7785A"/>
    <w:rsid w:val="00C77880"/>
    <w:rsid w:val="00C77A84"/>
    <w:rsid w:val="00C77B66"/>
    <w:rsid w:val="00C77B6A"/>
    <w:rsid w:val="00C77B7B"/>
    <w:rsid w:val="00C77C2D"/>
    <w:rsid w:val="00C77CAD"/>
    <w:rsid w:val="00C77CE6"/>
    <w:rsid w:val="00C77D93"/>
    <w:rsid w:val="00C77FB3"/>
    <w:rsid w:val="00C80314"/>
    <w:rsid w:val="00C80478"/>
    <w:rsid w:val="00C804D0"/>
    <w:rsid w:val="00C80699"/>
    <w:rsid w:val="00C806E0"/>
    <w:rsid w:val="00C80A98"/>
    <w:rsid w:val="00C80B78"/>
    <w:rsid w:val="00C80E01"/>
    <w:rsid w:val="00C80EE3"/>
    <w:rsid w:val="00C80EFD"/>
    <w:rsid w:val="00C812B2"/>
    <w:rsid w:val="00C81446"/>
    <w:rsid w:val="00C8149F"/>
    <w:rsid w:val="00C81748"/>
    <w:rsid w:val="00C81A5C"/>
    <w:rsid w:val="00C81A61"/>
    <w:rsid w:val="00C81BBC"/>
    <w:rsid w:val="00C81C51"/>
    <w:rsid w:val="00C81D62"/>
    <w:rsid w:val="00C81E05"/>
    <w:rsid w:val="00C81EE4"/>
    <w:rsid w:val="00C81EFB"/>
    <w:rsid w:val="00C81F65"/>
    <w:rsid w:val="00C82004"/>
    <w:rsid w:val="00C8229A"/>
    <w:rsid w:val="00C82532"/>
    <w:rsid w:val="00C825AD"/>
    <w:rsid w:val="00C82641"/>
    <w:rsid w:val="00C8268B"/>
    <w:rsid w:val="00C8275F"/>
    <w:rsid w:val="00C827AB"/>
    <w:rsid w:val="00C827BC"/>
    <w:rsid w:val="00C827FD"/>
    <w:rsid w:val="00C828EC"/>
    <w:rsid w:val="00C82DA2"/>
    <w:rsid w:val="00C82DB7"/>
    <w:rsid w:val="00C82E55"/>
    <w:rsid w:val="00C82FB2"/>
    <w:rsid w:val="00C83361"/>
    <w:rsid w:val="00C83454"/>
    <w:rsid w:val="00C834E5"/>
    <w:rsid w:val="00C836BA"/>
    <w:rsid w:val="00C83A3D"/>
    <w:rsid w:val="00C83A73"/>
    <w:rsid w:val="00C83BA0"/>
    <w:rsid w:val="00C83C5C"/>
    <w:rsid w:val="00C83DD7"/>
    <w:rsid w:val="00C83EBD"/>
    <w:rsid w:val="00C83EDB"/>
    <w:rsid w:val="00C83EF2"/>
    <w:rsid w:val="00C84031"/>
    <w:rsid w:val="00C84359"/>
    <w:rsid w:val="00C8442D"/>
    <w:rsid w:val="00C844BB"/>
    <w:rsid w:val="00C84532"/>
    <w:rsid w:val="00C846B7"/>
    <w:rsid w:val="00C84975"/>
    <w:rsid w:val="00C84D51"/>
    <w:rsid w:val="00C84DA4"/>
    <w:rsid w:val="00C84FAA"/>
    <w:rsid w:val="00C84FB3"/>
    <w:rsid w:val="00C85007"/>
    <w:rsid w:val="00C8501A"/>
    <w:rsid w:val="00C85089"/>
    <w:rsid w:val="00C852B3"/>
    <w:rsid w:val="00C852ED"/>
    <w:rsid w:val="00C85401"/>
    <w:rsid w:val="00C85560"/>
    <w:rsid w:val="00C85AB0"/>
    <w:rsid w:val="00C85BA9"/>
    <w:rsid w:val="00C85E56"/>
    <w:rsid w:val="00C85EB5"/>
    <w:rsid w:val="00C862A4"/>
    <w:rsid w:val="00C86473"/>
    <w:rsid w:val="00C865E5"/>
    <w:rsid w:val="00C866F0"/>
    <w:rsid w:val="00C867BA"/>
    <w:rsid w:val="00C86862"/>
    <w:rsid w:val="00C86966"/>
    <w:rsid w:val="00C86A37"/>
    <w:rsid w:val="00C86A51"/>
    <w:rsid w:val="00C86A5E"/>
    <w:rsid w:val="00C86C38"/>
    <w:rsid w:val="00C86CE3"/>
    <w:rsid w:val="00C86CE8"/>
    <w:rsid w:val="00C86E09"/>
    <w:rsid w:val="00C86E29"/>
    <w:rsid w:val="00C86FB0"/>
    <w:rsid w:val="00C870DE"/>
    <w:rsid w:val="00C87235"/>
    <w:rsid w:val="00C874D5"/>
    <w:rsid w:val="00C87702"/>
    <w:rsid w:val="00C8771D"/>
    <w:rsid w:val="00C87A4D"/>
    <w:rsid w:val="00C87AE8"/>
    <w:rsid w:val="00C87B06"/>
    <w:rsid w:val="00C87B07"/>
    <w:rsid w:val="00C87D23"/>
    <w:rsid w:val="00C87D4D"/>
    <w:rsid w:val="00C87D70"/>
    <w:rsid w:val="00C903E7"/>
    <w:rsid w:val="00C907EA"/>
    <w:rsid w:val="00C907EC"/>
    <w:rsid w:val="00C90838"/>
    <w:rsid w:val="00C908DD"/>
    <w:rsid w:val="00C90B37"/>
    <w:rsid w:val="00C90BDC"/>
    <w:rsid w:val="00C90C63"/>
    <w:rsid w:val="00C90EFA"/>
    <w:rsid w:val="00C90F38"/>
    <w:rsid w:val="00C910FE"/>
    <w:rsid w:val="00C9118E"/>
    <w:rsid w:val="00C91429"/>
    <w:rsid w:val="00C9171D"/>
    <w:rsid w:val="00C917C4"/>
    <w:rsid w:val="00C91931"/>
    <w:rsid w:val="00C91B07"/>
    <w:rsid w:val="00C91BA2"/>
    <w:rsid w:val="00C91D99"/>
    <w:rsid w:val="00C91EDC"/>
    <w:rsid w:val="00C91EE3"/>
    <w:rsid w:val="00C92019"/>
    <w:rsid w:val="00C92231"/>
    <w:rsid w:val="00C92861"/>
    <w:rsid w:val="00C928B4"/>
    <w:rsid w:val="00C92AD4"/>
    <w:rsid w:val="00C92B98"/>
    <w:rsid w:val="00C92DA2"/>
    <w:rsid w:val="00C92E72"/>
    <w:rsid w:val="00C92ED9"/>
    <w:rsid w:val="00C92F1D"/>
    <w:rsid w:val="00C930B7"/>
    <w:rsid w:val="00C9332D"/>
    <w:rsid w:val="00C9364F"/>
    <w:rsid w:val="00C9386A"/>
    <w:rsid w:val="00C938B3"/>
    <w:rsid w:val="00C93ACA"/>
    <w:rsid w:val="00C93BA8"/>
    <w:rsid w:val="00C93C8D"/>
    <w:rsid w:val="00C93FF4"/>
    <w:rsid w:val="00C941BD"/>
    <w:rsid w:val="00C9433B"/>
    <w:rsid w:val="00C943E5"/>
    <w:rsid w:val="00C9472B"/>
    <w:rsid w:val="00C94775"/>
    <w:rsid w:val="00C949BC"/>
    <w:rsid w:val="00C94A1C"/>
    <w:rsid w:val="00C94A29"/>
    <w:rsid w:val="00C94B5B"/>
    <w:rsid w:val="00C94BB3"/>
    <w:rsid w:val="00C94D44"/>
    <w:rsid w:val="00C94DEF"/>
    <w:rsid w:val="00C950D8"/>
    <w:rsid w:val="00C95225"/>
    <w:rsid w:val="00C954B5"/>
    <w:rsid w:val="00C954B9"/>
    <w:rsid w:val="00C958D4"/>
    <w:rsid w:val="00C95DE9"/>
    <w:rsid w:val="00C95EDB"/>
    <w:rsid w:val="00C9611A"/>
    <w:rsid w:val="00C961A4"/>
    <w:rsid w:val="00C96215"/>
    <w:rsid w:val="00C963E2"/>
    <w:rsid w:val="00C963F7"/>
    <w:rsid w:val="00C96530"/>
    <w:rsid w:val="00C96785"/>
    <w:rsid w:val="00C9684C"/>
    <w:rsid w:val="00C96C07"/>
    <w:rsid w:val="00C96C73"/>
    <w:rsid w:val="00C96DB2"/>
    <w:rsid w:val="00C96ED8"/>
    <w:rsid w:val="00C96FA4"/>
    <w:rsid w:val="00C97140"/>
    <w:rsid w:val="00C974F2"/>
    <w:rsid w:val="00C97532"/>
    <w:rsid w:val="00C977A0"/>
    <w:rsid w:val="00C977A2"/>
    <w:rsid w:val="00C97A26"/>
    <w:rsid w:val="00C97AF0"/>
    <w:rsid w:val="00C97D35"/>
    <w:rsid w:val="00C97E32"/>
    <w:rsid w:val="00C97F3E"/>
    <w:rsid w:val="00C97F75"/>
    <w:rsid w:val="00CA00B5"/>
    <w:rsid w:val="00CA00CF"/>
    <w:rsid w:val="00CA0115"/>
    <w:rsid w:val="00CA0362"/>
    <w:rsid w:val="00CA0514"/>
    <w:rsid w:val="00CA05EB"/>
    <w:rsid w:val="00CA071F"/>
    <w:rsid w:val="00CA0890"/>
    <w:rsid w:val="00CA08E1"/>
    <w:rsid w:val="00CA0B5C"/>
    <w:rsid w:val="00CA0CD2"/>
    <w:rsid w:val="00CA0E9D"/>
    <w:rsid w:val="00CA0EE0"/>
    <w:rsid w:val="00CA10D6"/>
    <w:rsid w:val="00CA11D5"/>
    <w:rsid w:val="00CA11F1"/>
    <w:rsid w:val="00CA12B6"/>
    <w:rsid w:val="00CA12E0"/>
    <w:rsid w:val="00CA1559"/>
    <w:rsid w:val="00CA160E"/>
    <w:rsid w:val="00CA1630"/>
    <w:rsid w:val="00CA1830"/>
    <w:rsid w:val="00CA1B1F"/>
    <w:rsid w:val="00CA1C2B"/>
    <w:rsid w:val="00CA2189"/>
    <w:rsid w:val="00CA21E5"/>
    <w:rsid w:val="00CA2301"/>
    <w:rsid w:val="00CA2747"/>
    <w:rsid w:val="00CA2CBC"/>
    <w:rsid w:val="00CA2E9B"/>
    <w:rsid w:val="00CA31F2"/>
    <w:rsid w:val="00CA32C7"/>
    <w:rsid w:val="00CA3310"/>
    <w:rsid w:val="00CA33D6"/>
    <w:rsid w:val="00CA3497"/>
    <w:rsid w:val="00CA359E"/>
    <w:rsid w:val="00CA37D4"/>
    <w:rsid w:val="00CA3817"/>
    <w:rsid w:val="00CA3893"/>
    <w:rsid w:val="00CA39E5"/>
    <w:rsid w:val="00CA3EF5"/>
    <w:rsid w:val="00CA3F05"/>
    <w:rsid w:val="00CA3F3A"/>
    <w:rsid w:val="00CA4048"/>
    <w:rsid w:val="00CA40B0"/>
    <w:rsid w:val="00CA4215"/>
    <w:rsid w:val="00CA4441"/>
    <w:rsid w:val="00CA4567"/>
    <w:rsid w:val="00CA461A"/>
    <w:rsid w:val="00CA467C"/>
    <w:rsid w:val="00CA48AC"/>
    <w:rsid w:val="00CA4958"/>
    <w:rsid w:val="00CA4A2F"/>
    <w:rsid w:val="00CA4B92"/>
    <w:rsid w:val="00CA4BB9"/>
    <w:rsid w:val="00CA4C5F"/>
    <w:rsid w:val="00CA518F"/>
    <w:rsid w:val="00CA5210"/>
    <w:rsid w:val="00CA5488"/>
    <w:rsid w:val="00CA551B"/>
    <w:rsid w:val="00CA556D"/>
    <w:rsid w:val="00CA58A2"/>
    <w:rsid w:val="00CA5A29"/>
    <w:rsid w:val="00CA5BF2"/>
    <w:rsid w:val="00CA6289"/>
    <w:rsid w:val="00CA635E"/>
    <w:rsid w:val="00CA67E3"/>
    <w:rsid w:val="00CA67F3"/>
    <w:rsid w:val="00CA6878"/>
    <w:rsid w:val="00CA687E"/>
    <w:rsid w:val="00CA68B1"/>
    <w:rsid w:val="00CA6BA4"/>
    <w:rsid w:val="00CA6E89"/>
    <w:rsid w:val="00CA6F86"/>
    <w:rsid w:val="00CA6F9D"/>
    <w:rsid w:val="00CA70C8"/>
    <w:rsid w:val="00CA71AC"/>
    <w:rsid w:val="00CA71BC"/>
    <w:rsid w:val="00CA725D"/>
    <w:rsid w:val="00CA7417"/>
    <w:rsid w:val="00CA74B3"/>
    <w:rsid w:val="00CA750C"/>
    <w:rsid w:val="00CA7541"/>
    <w:rsid w:val="00CA75F5"/>
    <w:rsid w:val="00CA77F7"/>
    <w:rsid w:val="00CA79FE"/>
    <w:rsid w:val="00CA7ACE"/>
    <w:rsid w:val="00CA7D68"/>
    <w:rsid w:val="00CA7F63"/>
    <w:rsid w:val="00CB0001"/>
    <w:rsid w:val="00CB0132"/>
    <w:rsid w:val="00CB017C"/>
    <w:rsid w:val="00CB0268"/>
    <w:rsid w:val="00CB04BE"/>
    <w:rsid w:val="00CB052F"/>
    <w:rsid w:val="00CB058C"/>
    <w:rsid w:val="00CB06A0"/>
    <w:rsid w:val="00CB0734"/>
    <w:rsid w:val="00CB08D0"/>
    <w:rsid w:val="00CB08D9"/>
    <w:rsid w:val="00CB0915"/>
    <w:rsid w:val="00CB0A02"/>
    <w:rsid w:val="00CB0C30"/>
    <w:rsid w:val="00CB0D81"/>
    <w:rsid w:val="00CB1410"/>
    <w:rsid w:val="00CB1605"/>
    <w:rsid w:val="00CB16DA"/>
    <w:rsid w:val="00CB1767"/>
    <w:rsid w:val="00CB1783"/>
    <w:rsid w:val="00CB1BCF"/>
    <w:rsid w:val="00CB1D74"/>
    <w:rsid w:val="00CB1FC8"/>
    <w:rsid w:val="00CB2416"/>
    <w:rsid w:val="00CB2549"/>
    <w:rsid w:val="00CB2676"/>
    <w:rsid w:val="00CB2687"/>
    <w:rsid w:val="00CB2786"/>
    <w:rsid w:val="00CB2985"/>
    <w:rsid w:val="00CB2A0D"/>
    <w:rsid w:val="00CB2A30"/>
    <w:rsid w:val="00CB2A78"/>
    <w:rsid w:val="00CB2BBF"/>
    <w:rsid w:val="00CB2E0A"/>
    <w:rsid w:val="00CB2F07"/>
    <w:rsid w:val="00CB314E"/>
    <w:rsid w:val="00CB3182"/>
    <w:rsid w:val="00CB3183"/>
    <w:rsid w:val="00CB33DD"/>
    <w:rsid w:val="00CB35A8"/>
    <w:rsid w:val="00CB366A"/>
    <w:rsid w:val="00CB367D"/>
    <w:rsid w:val="00CB375A"/>
    <w:rsid w:val="00CB37D4"/>
    <w:rsid w:val="00CB388B"/>
    <w:rsid w:val="00CB3963"/>
    <w:rsid w:val="00CB39AF"/>
    <w:rsid w:val="00CB3AD4"/>
    <w:rsid w:val="00CB3B86"/>
    <w:rsid w:val="00CB40B7"/>
    <w:rsid w:val="00CB4113"/>
    <w:rsid w:val="00CB413A"/>
    <w:rsid w:val="00CB41BA"/>
    <w:rsid w:val="00CB438E"/>
    <w:rsid w:val="00CB44C9"/>
    <w:rsid w:val="00CB44FB"/>
    <w:rsid w:val="00CB4509"/>
    <w:rsid w:val="00CB4799"/>
    <w:rsid w:val="00CB48C8"/>
    <w:rsid w:val="00CB4AC9"/>
    <w:rsid w:val="00CB4C98"/>
    <w:rsid w:val="00CB4E34"/>
    <w:rsid w:val="00CB5012"/>
    <w:rsid w:val="00CB5360"/>
    <w:rsid w:val="00CB53D8"/>
    <w:rsid w:val="00CB53DE"/>
    <w:rsid w:val="00CB53E8"/>
    <w:rsid w:val="00CB552A"/>
    <w:rsid w:val="00CB5886"/>
    <w:rsid w:val="00CB59F6"/>
    <w:rsid w:val="00CB5A79"/>
    <w:rsid w:val="00CB5ACD"/>
    <w:rsid w:val="00CB5AE7"/>
    <w:rsid w:val="00CB5B8D"/>
    <w:rsid w:val="00CB5BAB"/>
    <w:rsid w:val="00CB601D"/>
    <w:rsid w:val="00CB63E4"/>
    <w:rsid w:val="00CB64EE"/>
    <w:rsid w:val="00CB677B"/>
    <w:rsid w:val="00CB6872"/>
    <w:rsid w:val="00CB6C8D"/>
    <w:rsid w:val="00CB6D1E"/>
    <w:rsid w:val="00CB6D98"/>
    <w:rsid w:val="00CB6FA1"/>
    <w:rsid w:val="00CB72CB"/>
    <w:rsid w:val="00CB76DB"/>
    <w:rsid w:val="00CB77AD"/>
    <w:rsid w:val="00CB7A3C"/>
    <w:rsid w:val="00CB7B1E"/>
    <w:rsid w:val="00CB7C01"/>
    <w:rsid w:val="00CB7E7C"/>
    <w:rsid w:val="00CB7F9F"/>
    <w:rsid w:val="00CB7FEC"/>
    <w:rsid w:val="00CC0268"/>
    <w:rsid w:val="00CC0494"/>
    <w:rsid w:val="00CC0563"/>
    <w:rsid w:val="00CC05C0"/>
    <w:rsid w:val="00CC073B"/>
    <w:rsid w:val="00CC0901"/>
    <w:rsid w:val="00CC0CEC"/>
    <w:rsid w:val="00CC0D61"/>
    <w:rsid w:val="00CC0E95"/>
    <w:rsid w:val="00CC0EAD"/>
    <w:rsid w:val="00CC0F9B"/>
    <w:rsid w:val="00CC10C2"/>
    <w:rsid w:val="00CC1107"/>
    <w:rsid w:val="00CC137C"/>
    <w:rsid w:val="00CC1601"/>
    <w:rsid w:val="00CC1A36"/>
    <w:rsid w:val="00CC1BBD"/>
    <w:rsid w:val="00CC1E03"/>
    <w:rsid w:val="00CC1EEA"/>
    <w:rsid w:val="00CC1FE6"/>
    <w:rsid w:val="00CC2062"/>
    <w:rsid w:val="00CC232B"/>
    <w:rsid w:val="00CC2333"/>
    <w:rsid w:val="00CC2644"/>
    <w:rsid w:val="00CC2661"/>
    <w:rsid w:val="00CC2E8A"/>
    <w:rsid w:val="00CC30ED"/>
    <w:rsid w:val="00CC31F3"/>
    <w:rsid w:val="00CC327A"/>
    <w:rsid w:val="00CC3452"/>
    <w:rsid w:val="00CC34BC"/>
    <w:rsid w:val="00CC3519"/>
    <w:rsid w:val="00CC3759"/>
    <w:rsid w:val="00CC3ABC"/>
    <w:rsid w:val="00CC3E2A"/>
    <w:rsid w:val="00CC40AB"/>
    <w:rsid w:val="00CC40DE"/>
    <w:rsid w:val="00CC41EA"/>
    <w:rsid w:val="00CC42D3"/>
    <w:rsid w:val="00CC44F0"/>
    <w:rsid w:val="00CC4566"/>
    <w:rsid w:val="00CC46CF"/>
    <w:rsid w:val="00CC4AC1"/>
    <w:rsid w:val="00CC4C35"/>
    <w:rsid w:val="00CC4D3D"/>
    <w:rsid w:val="00CC518E"/>
    <w:rsid w:val="00CC521B"/>
    <w:rsid w:val="00CC5352"/>
    <w:rsid w:val="00CC561E"/>
    <w:rsid w:val="00CC5AE3"/>
    <w:rsid w:val="00CC5B6A"/>
    <w:rsid w:val="00CC5DDA"/>
    <w:rsid w:val="00CC5FC4"/>
    <w:rsid w:val="00CC6092"/>
    <w:rsid w:val="00CC6107"/>
    <w:rsid w:val="00CC610D"/>
    <w:rsid w:val="00CC63E3"/>
    <w:rsid w:val="00CC6490"/>
    <w:rsid w:val="00CC649A"/>
    <w:rsid w:val="00CC67E3"/>
    <w:rsid w:val="00CC696E"/>
    <w:rsid w:val="00CC6AA0"/>
    <w:rsid w:val="00CC6B5B"/>
    <w:rsid w:val="00CC6BCA"/>
    <w:rsid w:val="00CC6DDB"/>
    <w:rsid w:val="00CC6DE6"/>
    <w:rsid w:val="00CC6FDD"/>
    <w:rsid w:val="00CC7043"/>
    <w:rsid w:val="00CC718B"/>
    <w:rsid w:val="00CC719F"/>
    <w:rsid w:val="00CC71B4"/>
    <w:rsid w:val="00CC730F"/>
    <w:rsid w:val="00CC7332"/>
    <w:rsid w:val="00CC7563"/>
    <w:rsid w:val="00CC77AF"/>
    <w:rsid w:val="00CC77DE"/>
    <w:rsid w:val="00CC7914"/>
    <w:rsid w:val="00CC794B"/>
    <w:rsid w:val="00CC7B4C"/>
    <w:rsid w:val="00CC7C2A"/>
    <w:rsid w:val="00CC7C9F"/>
    <w:rsid w:val="00CC7DA5"/>
    <w:rsid w:val="00CC7E32"/>
    <w:rsid w:val="00CC7F02"/>
    <w:rsid w:val="00CC7F78"/>
    <w:rsid w:val="00CC7FB1"/>
    <w:rsid w:val="00CD02A4"/>
    <w:rsid w:val="00CD032C"/>
    <w:rsid w:val="00CD04A2"/>
    <w:rsid w:val="00CD076B"/>
    <w:rsid w:val="00CD08C7"/>
    <w:rsid w:val="00CD0936"/>
    <w:rsid w:val="00CD0A51"/>
    <w:rsid w:val="00CD0EB5"/>
    <w:rsid w:val="00CD0F62"/>
    <w:rsid w:val="00CD1007"/>
    <w:rsid w:val="00CD1012"/>
    <w:rsid w:val="00CD1120"/>
    <w:rsid w:val="00CD14F5"/>
    <w:rsid w:val="00CD1603"/>
    <w:rsid w:val="00CD16BF"/>
    <w:rsid w:val="00CD171C"/>
    <w:rsid w:val="00CD1821"/>
    <w:rsid w:val="00CD1A4F"/>
    <w:rsid w:val="00CD1A95"/>
    <w:rsid w:val="00CD1AF9"/>
    <w:rsid w:val="00CD1BF0"/>
    <w:rsid w:val="00CD1EA7"/>
    <w:rsid w:val="00CD1EB6"/>
    <w:rsid w:val="00CD217B"/>
    <w:rsid w:val="00CD21CD"/>
    <w:rsid w:val="00CD22E2"/>
    <w:rsid w:val="00CD23A2"/>
    <w:rsid w:val="00CD23F9"/>
    <w:rsid w:val="00CD25FC"/>
    <w:rsid w:val="00CD2636"/>
    <w:rsid w:val="00CD276D"/>
    <w:rsid w:val="00CD2779"/>
    <w:rsid w:val="00CD2833"/>
    <w:rsid w:val="00CD2A61"/>
    <w:rsid w:val="00CD2AF6"/>
    <w:rsid w:val="00CD2E7B"/>
    <w:rsid w:val="00CD30D3"/>
    <w:rsid w:val="00CD320F"/>
    <w:rsid w:val="00CD32F6"/>
    <w:rsid w:val="00CD387A"/>
    <w:rsid w:val="00CD38A3"/>
    <w:rsid w:val="00CD393C"/>
    <w:rsid w:val="00CD39EA"/>
    <w:rsid w:val="00CD3A39"/>
    <w:rsid w:val="00CD3A70"/>
    <w:rsid w:val="00CD3AA0"/>
    <w:rsid w:val="00CD3D01"/>
    <w:rsid w:val="00CD3D8B"/>
    <w:rsid w:val="00CD3DCE"/>
    <w:rsid w:val="00CD3E03"/>
    <w:rsid w:val="00CD3ED5"/>
    <w:rsid w:val="00CD3EF2"/>
    <w:rsid w:val="00CD4005"/>
    <w:rsid w:val="00CD4155"/>
    <w:rsid w:val="00CD419B"/>
    <w:rsid w:val="00CD4201"/>
    <w:rsid w:val="00CD4215"/>
    <w:rsid w:val="00CD4339"/>
    <w:rsid w:val="00CD4425"/>
    <w:rsid w:val="00CD46A4"/>
    <w:rsid w:val="00CD4981"/>
    <w:rsid w:val="00CD4A76"/>
    <w:rsid w:val="00CD4AEF"/>
    <w:rsid w:val="00CD4B0A"/>
    <w:rsid w:val="00CD4B76"/>
    <w:rsid w:val="00CD4C3E"/>
    <w:rsid w:val="00CD4CBA"/>
    <w:rsid w:val="00CD4D3F"/>
    <w:rsid w:val="00CD4EA3"/>
    <w:rsid w:val="00CD53E2"/>
    <w:rsid w:val="00CD56CB"/>
    <w:rsid w:val="00CD577D"/>
    <w:rsid w:val="00CD58B5"/>
    <w:rsid w:val="00CD59DB"/>
    <w:rsid w:val="00CD5D14"/>
    <w:rsid w:val="00CD5E66"/>
    <w:rsid w:val="00CD5F2F"/>
    <w:rsid w:val="00CD6028"/>
    <w:rsid w:val="00CD61C4"/>
    <w:rsid w:val="00CD620B"/>
    <w:rsid w:val="00CD6426"/>
    <w:rsid w:val="00CD65C6"/>
    <w:rsid w:val="00CD6667"/>
    <w:rsid w:val="00CD676A"/>
    <w:rsid w:val="00CD68D8"/>
    <w:rsid w:val="00CD6A57"/>
    <w:rsid w:val="00CD6B44"/>
    <w:rsid w:val="00CD6D45"/>
    <w:rsid w:val="00CD6D76"/>
    <w:rsid w:val="00CD6E48"/>
    <w:rsid w:val="00CD6F67"/>
    <w:rsid w:val="00CD71F3"/>
    <w:rsid w:val="00CD7285"/>
    <w:rsid w:val="00CD72F2"/>
    <w:rsid w:val="00CD731F"/>
    <w:rsid w:val="00CD793D"/>
    <w:rsid w:val="00CD79A8"/>
    <w:rsid w:val="00CD7A56"/>
    <w:rsid w:val="00CD7B6C"/>
    <w:rsid w:val="00CD7BC3"/>
    <w:rsid w:val="00CD7E18"/>
    <w:rsid w:val="00CD7E75"/>
    <w:rsid w:val="00CD7F5F"/>
    <w:rsid w:val="00CE0169"/>
    <w:rsid w:val="00CE0575"/>
    <w:rsid w:val="00CE0718"/>
    <w:rsid w:val="00CE0720"/>
    <w:rsid w:val="00CE07FD"/>
    <w:rsid w:val="00CE089F"/>
    <w:rsid w:val="00CE097D"/>
    <w:rsid w:val="00CE0984"/>
    <w:rsid w:val="00CE0B81"/>
    <w:rsid w:val="00CE0B90"/>
    <w:rsid w:val="00CE0E84"/>
    <w:rsid w:val="00CE118F"/>
    <w:rsid w:val="00CE119D"/>
    <w:rsid w:val="00CE14A2"/>
    <w:rsid w:val="00CE14C5"/>
    <w:rsid w:val="00CE165A"/>
    <w:rsid w:val="00CE183C"/>
    <w:rsid w:val="00CE1867"/>
    <w:rsid w:val="00CE18EB"/>
    <w:rsid w:val="00CE19BA"/>
    <w:rsid w:val="00CE1DF9"/>
    <w:rsid w:val="00CE1ED6"/>
    <w:rsid w:val="00CE214D"/>
    <w:rsid w:val="00CE2409"/>
    <w:rsid w:val="00CE26C1"/>
    <w:rsid w:val="00CE27E4"/>
    <w:rsid w:val="00CE2855"/>
    <w:rsid w:val="00CE292D"/>
    <w:rsid w:val="00CE2AEE"/>
    <w:rsid w:val="00CE2B0A"/>
    <w:rsid w:val="00CE2CC3"/>
    <w:rsid w:val="00CE334F"/>
    <w:rsid w:val="00CE3676"/>
    <w:rsid w:val="00CE36A9"/>
    <w:rsid w:val="00CE36BF"/>
    <w:rsid w:val="00CE3981"/>
    <w:rsid w:val="00CE3999"/>
    <w:rsid w:val="00CE39D0"/>
    <w:rsid w:val="00CE39EF"/>
    <w:rsid w:val="00CE4569"/>
    <w:rsid w:val="00CE4660"/>
    <w:rsid w:val="00CE47DB"/>
    <w:rsid w:val="00CE48B4"/>
    <w:rsid w:val="00CE49B8"/>
    <w:rsid w:val="00CE4C82"/>
    <w:rsid w:val="00CE4F0E"/>
    <w:rsid w:val="00CE510A"/>
    <w:rsid w:val="00CE539E"/>
    <w:rsid w:val="00CE54BC"/>
    <w:rsid w:val="00CE5598"/>
    <w:rsid w:val="00CE564C"/>
    <w:rsid w:val="00CE5749"/>
    <w:rsid w:val="00CE57E1"/>
    <w:rsid w:val="00CE5829"/>
    <w:rsid w:val="00CE58C2"/>
    <w:rsid w:val="00CE5AD6"/>
    <w:rsid w:val="00CE5AF9"/>
    <w:rsid w:val="00CE5B17"/>
    <w:rsid w:val="00CE5BB3"/>
    <w:rsid w:val="00CE5DBD"/>
    <w:rsid w:val="00CE5E02"/>
    <w:rsid w:val="00CE628A"/>
    <w:rsid w:val="00CE62DE"/>
    <w:rsid w:val="00CE640A"/>
    <w:rsid w:val="00CE6561"/>
    <w:rsid w:val="00CE6884"/>
    <w:rsid w:val="00CE68DE"/>
    <w:rsid w:val="00CE6927"/>
    <w:rsid w:val="00CE6F0B"/>
    <w:rsid w:val="00CE7078"/>
    <w:rsid w:val="00CE70A2"/>
    <w:rsid w:val="00CE7148"/>
    <w:rsid w:val="00CE738E"/>
    <w:rsid w:val="00CE745C"/>
    <w:rsid w:val="00CE754D"/>
    <w:rsid w:val="00CE760F"/>
    <w:rsid w:val="00CE79A9"/>
    <w:rsid w:val="00CE79F3"/>
    <w:rsid w:val="00CE7B51"/>
    <w:rsid w:val="00CE7F87"/>
    <w:rsid w:val="00CF057D"/>
    <w:rsid w:val="00CF05DF"/>
    <w:rsid w:val="00CF0614"/>
    <w:rsid w:val="00CF07F8"/>
    <w:rsid w:val="00CF0894"/>
    <w:rsid w:val="00CF0903"/>
    <w:rsid w:val="00CF0932"/>
    <w:rsid w:val="00CF0FE6"/>
    <w:rsid w:val="00CF1295"/>
    <w:rsid w:val="00CF155B"/>
    <w:rsid w:val="00CF1625"/>
    <w:rsid w:val="00CF1655"/>
    <w:rsid w:val="00CF16D0"/>
    <w:rsid w:val="00CF1708"/>
    <w:rsid w:val="00CF183A"/>
    <w:rsid w:val="00CF19DB"/>
    <w:rsid w:val="00CF1A31"/>
    <w:rsid w:val="00CF215B"/>
    <w:rsid w:val="00CF237A"/>
    <w:rsid w:val="00CF23BD"/>
    <w:rsid w:val="00CF243A"/>
    <w:rsid w:val="00CF2537"/>
    <w:rsid w:val="00CF2656"/>
    <w:rsid w:val="00CF28C0"/>
    <w:rsid w:val="00CF2940"/>
    <w:rsid w:val="00CF2A4C"/>
    <w:rsid w:val="00CF2BE7"/>
    <w:rsid w:val="00CF2CA8"/>
    <w:rsid w:val="00CF2CF0"/>
    <w:rsid w:val="00CF2D54"/>
    <w:rsid w:val="00CF2DFB"/>
    <w:rsid w:val="00CF2FBA"/>
    <w:rsid w:val="00CF2FE0"/>
    <w:rsid w:val="00CF305C"/>
    <w:rsid w:val="00CF3087"/>
    <w:rsid w:val="00CF3169"/>
    <w:rsid w:val="00CF3224"/>
    <w:rsid w:val="00CF38B3"/>
    <w:rsid w:val="00CF3AD9"/>
    <w:rsid w:val="00CF3C46"/>
    <w:rsid w:val="00CF3CE7"/>
    <w:rsid w:val="00CF3FD7"/>
    <w:rsid w:val="00CF413B"/>
    <w:rsid w:val="00CF418C"/>
    <w:rsid w:val="00CF41A8"/>
    <w:rsid w:val="00CF42AA"/>
    <w:rsid w:val="00CF4311"/>
    <w:rsid w:val="00CF43B1"/>
    <w:rsid w:val="00CF44F1"/>
    <w:rsid w:val="00CF460D"/>
    <w:rsid w:val="00CF46E6"/>
    <w:rsid w:val="00CF48B9"/>
    <w:rsid w:val="00CF4A48"/>
    <w:rsid w:val="00CF4B16"/>
    <w:rsid w:val="00CF4B45"/>
    <w:rsid w:val="00CF4C62"/>
    <w:rsid w:val="00CF4FE3"/>
    <w:rsid w:val="00CF50D0"/>
    <w:rsid w:val="00CF5135"/>
    <w:rsid w:val="00CF51A5"/>
    <w:rsid w:val="00CF57E2"/>
    <w:rsid w:val="00CF5847"/>
    <w:rsid w:val="00CF5D9D"/>
    <w:rsid w:val="00CF5EC6"/>
    <w:rsid w:val="00CF5ED8"/>
    <w:rsid w:val="00CF6286"/>
    <w:rsid w:val="00CF646E"/>
    <w:rsid w:val="00CF64E4"/>
    <w:rsid w:val="00CF6639"/>
    <w:rsid w:val="00CF66C4"/>
    <w:rsid w:val="00CF6756"/>
    <w:rsid w:val="00CF67B9"/>
    <w:rsid w:val="00CF71B8"/>
    <w:rsid w:val="00CF7376"/>
    <w:rsid w:val="00CF741C"/>
    <w:rsid w:val="00CF74B1"/>
    <w:rsid w:val="00CF7613"/>
    <w:rsid w:val="00CF769C"/>
    <w:rsid w:val="00CF7705"/>
    <w:rsid w:val="00CF78CE"/>
    <w:rsid w:val="00CF79B5"/>
    <w:rsid w:val="00CF7E0E"/>
    <w:rsid w:val="00CF7F3F"/>
    <w:rsid w:val="00CF7FCF"/>
    <w:rsid w:val="00D00005"/>
    <w:rsid w:val="00D0015E"/>
    <w:rsid w:val="00D0043C"/>
    <w:rsid w:val="00D0047F"/>
    <w:rsid w:val="00D0051B"/>
    <w:rsid w:val="00D0066B"/>
    <w:rsid w:val="00D00C23"/>
    <w:rsid w:val="00D00CE6"/>
    <w:rsid w:val="00D0117E"/>
    <w:rsid w:val="00D0135F"/>
    <w:rsid w:val="00D01360"/>
    <w:rsid w:val="00D013B4"/>
    <w:rsid w:val="00D01720"/>
    <w:rsid w:val="00D0195E"/>
    <w:rsid w:val="00D019BE"/>
    <w:rsid w:val="00D01D0C"/>
    <w:rsid w:val="00D01D69"/>
    <w:rsid w:val="00D01D89"/>
    <w:rsid w:val="00D02249"/>
    <w:rsid w:val="00D022AA"/>
    <w:rsid w:val="00D02344"/>
    <w:rsid w:val="00D02351"/>
    <w:rsid w:val="00D023DB"/>
    <w:rsid w:val="00D024C8"/>
    <w:rsid w:val="00D0271D"/>
    <w:rsid w:val="00D02E94"/>
    <w:rsid w:val="00D03136"/>
    <w:rsid w:val="00D0314E"/>
    <w:rsid w:val="00D034A6"/>
    <w:rsid w:val="00D034BC"/>
    <w:rsid w:val="00D03562"/>
    <w:rsid w:val="00D035B1"/>
    <w:rsid w:val="00D03A56"/>
    <w:rsid w:val="00D03CB3"/>
    <w:rsid w:val="00D03E07"/>
    <w:rsid w:val="00D03EC8"/>
    <w:rsid w:val="00D040DE"/>
    <w:rsid w:val="00D04532"/>
    <w:rsid w:val="00D04861"/>
    <w:rsid w:val="00D04C00"/>
    <w:rsid w:val="00D04D54"/>
    <w:rsid w:val="00D04EE1"/>
    <w:rsid w:val="00D04F7A"/>
    <w:rsid w:val="00D050BC"/>
    <w:rsid w:val="00D0514A"/>
    <w:rsid w:val="00D051AF"/>
    <w:rsid w:val="00D0532B"/>
    <w:rsid w:val="00D0547B"/>
    <w:rsid w:val="00D055FC"/>
    <w:rsid w:val="00D05656"/>
    <w:rsid w:val="00D05699"/>
    <w:rsid w:val="00D056E3"/>
    <w:rsid w:val="00D058EA"/>
    <w:rsid w:val="00D05932"/>
    <w:rsid w:val="00D0593C"/>
    <w:rsid w:val="00D05942"/>
    <w:rsid w:val="00D05A98"/>
    <w:rsid w:val="00D05B7F"/>
    <w:rsid w:val="00D05CB1"/>
    <w:rsid w:val="00D05CF5"/>
    <w:rsid w:val="00D0601A"/>
    <w:rsid w:val="00D06093"/>
    <w:rsid w:val="00D06256"/>
    <w:rsid w:val="00D06783"/>
    <w:rsid w:val="00D06804"/>
    <w:rsid w:val="00D0697E"/>
    <w:rsid w:val="00D069B2"/>
    <w:rsid w:val="00D06AFF"/>
    <w:rsid w:val="00D06C6F"/>
    <w:rsid w:val="00D06E7F"/>
    <w:rsid w:val="00D07016"/>
    <w:rsid w:val="00D0703D"/>
    <w:rsid w:val="00D070A7"/>
    <w:rsid w:val="00D071A8"/>
    <w:rsid w:val="00D0745C"/>
    <w:rsid w:val="00D07485"/>
    <w:rsid w:val="00D074D8"/>
    <w:rsid w:val="00D07691"/>
    <w:rsid w:val="00D07898"/>
    <w:rsid w:val="00D07E43"/>
    <w:rsid w:val="00D07FBF"/>
    <w:rsid w:val="00D1032F"/>
    <w:rsid w:val="00D1042B"/>
    <w:rsid w:val="00D10554"/>
    <w:rsid w:val="00D10955"/>
    <w:rsid w:val="00D10B2B"/>
    <w:rsid w:val="00D10BE7"/>
    <w:rsid w:val="00D10CB9"/>
    <w:rsid w:val="00D10E10"/>
    <w:rsid w:val="00D10E39"/>
    <w:rsid w:val="00D10FFB"/>
    <w:rsid w:val="00D11163"/>
    <w:rsid w:val="00D11663"/>
    <w:rsid w:val="00D11666"/>
    <w:rsid w:val="00D116F0"/>
    <w:rsid w:val="00D11705"/>
    <w:rsid w:val="00D11A79"/>
    <w:rsid w:val="00D11B60"/>
    <w:rsid w:val="00D11C41"/>
    <w:rsid w:val="00D11E37"/>
    <w:rsid w:val="00D11E74"/>
    <w:rsid w:val="00D11EC8"/>
    <w:rsid w:val="00D12161"/>
    <w:rsid w:val="00D12277"/>
    <w:rsid w:val="00D1243F"/>
    <w:rsid w:val="00D12553"/>
    <w:rsid w:val="00D128AA"/>
    <w:rsid w:val="00D129CD"/>
    <w:rsid w:val="00D12B77"/>
    <w:rsid w:val="00D12C76"/>
    <w:rsid w:val="00D12D86"/>
    <w:rsid w:val="00D12EA8"/>
    <w:rsid w:val="00D12F03"/>
    <w:rsid w:val="00D12F55"/>
    <w:rsid w:val="00D1302F"/>
    <w:rsid w:val="00D131D2"/>
    <w:rsid w:val="00D1327D"/>
    <w:rsid w:val="00D13293"/>
    <w:rsid w:val="00D133C0"/>
    <w:rsid w:val="00D134BD"/>
    <w:rsid w:val="00D134E0"/>
    <w:rsid w:val="00D1351C"/>
    <w:rsid w:val="00D1353A"/>
    <w:rsid w:val="00D135A6"/>
    <w:rsid w:val="00D13676"/>
    <w:rsid w:val="00D1371E"/>
    <w:rsid w:val="00D13727"/>
    <w:rsid w:val="00D13760"/>
    <w:rsid w:val="00D13AA1"/>
    <w:rsid w:val="00D13ACB"/>
    <w:rsid w:val="00D13DC9"/>
    <w:rsid w:val="00D13FB0"/>
    <w:rsid w:val="00D142B2"/>
    <w:rsid w:val="00D1432C"/>
    <w:rsid w:val="00D14467"/>
    <w:rsid w:val="00D14926"/>
    <w:rsid w:val="00D14B2C"/>
    <w:rsid w:val="00D14C88"/>
    <w:rsid w:val="00D14E96"/>
    <w:rsid w:val="00D150C0"/>
    <w:rsid w:val="00D15294"/>
    <w:rsid w:val="00D15331"/>
    <w:rsid w:val="00D15593"/>
    <w:rsid w:val="00D15597"/>
    <w:rsid w:val="00D156B3"/>
    <w:rsid w:val="00D15CB5"/>
    <w:rsid w:val="00D15DA6"/>
    <w:rsid w:val="00D15F55"/>
    <w:rsid w:val="00D15FA2"/>
    <w:rsid w:val="00D1627C"/>
    <w:rsid w:val="00D164A3"/>
    <w:rsid w:val="00D16513"/>
    <w:rsid w:val="00D165C8"/>
    <w:rsid w:val="00D167C1"/>
    <w:rsid w:val="00D16835"/>
    <w:rsid w:val="00D168DD"/>
    <w:rsid w:val="00D16C3C"/>
    <w:rsid w:val="00D16F5F"/>
    <w:rsid w:val="00D1706E"/>
    <w:rsid w:val="00D170DE"/>
    <w:rsid w:val="00D17114"/>
    <w:rsid w:val="00D1719E"/>
    <w:rsid w:val="00D17873"/>
    <w:rsid w:val="00D17B2F"/>
    <w:rsid w:val="00D17BB1"/>
    <w:rsid w:val="00D17C7C"/>
    <w:rsid w:val="00D17CFE"/>
    <w:rsid w:val="00D20033"/>
    <w:rsid w:val="00D20116"/>
    <w:rsid w:val="00D2014D"/>
    <w:rsid w:val="00D2033A"/>
    <w:rsid w:val="00D20623"/>
    <w:rsid w:val="00D20698"/>
    <w:rsid w:val="00D20845"/>
    <w:rsid w:val="00D208C9"/>
    <w:rsid w:val="00D20A5C"/>
    <w:rsid w:val="00D20A7B"/>
    <w:rsid w:val="00D20A87"/>
    <w:rsid w:val="00D20AFE"/>
    <w:rsid w:val="00D20DC1"/>
    <w:rsid w:val="00D20DD3"/>
    <w:rsid w:val="00D20E6E"/>
    <w:rsid w:val="00D20FFA"/>
    <w:rsid w:val="00D211AF"/>
    <w:rsid w:val="00D2120D"/>
    <w:rsid w:val="00D2132E"/>
    <w:rsid w:val="00D21527"/>
    <w:rsid w:val="00D21542"/>
    <w:rsid w:val="00D218F5"/>
    <w:rsid w:val="00D21C7B"/>
    <w:rsid w:val="00D21DA9"/>
    <w:rsid w:val="00D21F39"/>
    <w:rsid w:val="00D2207C"/>
    <w:rsid w:val="00D22646"/>
    <w:rsid w:val="00D2275B"/>
    <w:rsid w:val="00D227B6"/>
    <w:rsid w:val="00D22966"/>
    <w:rsid w:val="00D22B1E"/>
    <w:rsid w:val="00D22C43"/>
    <w:rsid w:val="00D22CAC"/>
    <w:rsid w:val="00D22D25"/>
    <w:rsid w:val="00D22D94"/>
    <w:rsid w:val="00D22DBE"/>
    <w:rsid w:val="00D22DE0"/>
    <w:rsid w:val="00D22E7E"/>
    <w:rsid w:val="00D22EB5"/>
    <w:rsid w:val="00D2307C"/>
    <w:rsid w:val="00D231CF"/>
    <w:rsid w:val="00D232B9"/>
    <w:rsid w:val="00D234BE"/>
    <w:rsid w:val="00D235C9"/>
    <w:rsid w:val="00D237F3"/>
    <w:rsid w:val="00D237F9"/>
    <w:rsid w:val="00D2396C"/>
    <w:rsid w:val="00D23C3C"/>
    <w:rsid w:val="00D23CD4"/>
    <w:rsid w:val="00D23D1C"/>
    <w:rsid w:val="00D23EE6"/>
    <w:rsid w:val="00D24246"/>
    <w:rsid w:val="00D24319"/>
    <w:rsid w:val="00D24477"/>
    <w:rsid w:val="00D244CF"/>
    <w:rsid w:val="00D24711"/>
    <w:rsid w:val="00D247B2"/>
    <w:rsid w:val="00D2481C"/>
    <w:rsid w:val="00D249CC"/>
    <w:rsid w:val="00D24A40"/>
    <w:rsid w:val="00D24AC1"/>
    <w:rsid w:val="00D24AE3"/>
    <w:rsid w:val="00D24ED6"/>
    <w:rsid w:val="00D25048"/>
    <w:rsid w:val="00D251DA"/>
    <w:rsid w:val="00D25234"/>
    <w:rsid w:val="00D25408"/>
    <w:rsid w:val="00D25681"/>
    <w:rsid w:val="00D25916"/>
    <w:rsid w:val="00D25BDF"/>
    <w:rsid w:val="00D25D66"/>
    <w:rsid w:val="00D25EF1"/>
    <w:rsid w:val="00D25FB1"/>
    <w:rsid w:val="00D26482"/>
    <w:rsid w:val="00D264A1"/>
    <w:rsid w:val="00D26523"/>
    <w:rsid w:val="00D26601"/>
    <w:rsid w:val="00D2668C"/>
    <w:rsid w:val="00D26AFA"/>
    <w:rsid w:val="00D26C4C"/>
    <w:rsid w:val="00D26C71"/>
    <w:rsid w:val="00D26C79"/>
    <w:rsid w:val="00D27007"/>
    <w:rsid w:val="00D270E5"/>
    <w:rsid w:val="00D2735B"/>
    <w:rsid w:val="00D27428"/>
    <w:rsid w:val="00D27481"/>
    <w:rsid w:val="00D276A0"/>
    <w:rsid w:val="00D27A70"/>
    <w:rsid w:val="00D27A79"/>
    <w:rsid w:val="00D27E14"/>
    <w:rsid w:val="00D27E4E"/>
    <w:rsid w:val="00D3014C"/>
    <w:rsid w:val="00D30267"/>
    <w:rsid w:val="00D302C4"/>
    <w:rsid w:val="00D3032B"/>
    <w:rsid w:val="00D3077C"/>
    <w:rsid w:val="00D30A57"/>
    <w:rsid w:val="00D30BCA"/>
    <w:rsid w:val="00D314C9"/>
    <w:rsid w:val="00D31506"/>
    <w:rsid w:val="00D3150B"/>
    <w:rsid w:val="00D31566"/>
    <w:rsid w:val="00D3162B"/>
    <w:rsid w:val="00D316A1"/>
    <w:rsid w:val="00D317A8"/>
    <w:rsid w:val="00D3185F"/>
    <w:rsid w:val="00D318AB"/>
    <w:rsid w:val="00D31A9A"/>
    <w:rsid w:val="00D31D10"/>
    <w:rsid w:val="00D32094"/>
    <w:rsid w:val="00D321A5"/>
    <w:rsid w:val="00D322AA"/>
    <w:rsid w:val="00D32308"/>
    <w:rsid w:val="00D32474"/>
    <w:rsid w:val="00D32526"/>
    <w:rsid w:val="00D325B0"/>
    <w:rsid w:val="00D325C8"/>
    <w:rsid w:val="00D32672"/>
    <w:rsid w:val="00D327ED"/>
    <w:rsid w:val="00D32855"/>
    <w:rsid w:val="00D32873"/>
    <w:rsid w:val="00D3291B"/>
    <w:rsid w:val="00D329DD"/>
    <w:rsid w:val="00D32A0D"/>
    <w:rsid w:val="00D32E13"/>
    <w:rsid w:val="00D33551"/>
    <w:rsid w:val="00D3395F"/>
    <w:rsid w:val="00D33998"/>
    <w:rsid w:val="00D33C72"/>
    <w:rsid w:val="00D33C9C"/>
    <w:rsid w:val="00D34009"/>
    <w:rsid w:val="00D3426C"/>
    <w:rsid w:val="00D342D0"/>
    <w:rsid w:val="00D34A73"/>
    <w:rsid w:val="00D34A77"/>
    <w:rsid w:val="00D34AA2"/>
    <w:rsid w:val="00D34DC9"/>
    <w:rsid w:val="00D34DFA"/>
    <w:rsid w:val="00D34E4B"/>
    <w:rsid w:val="00D34F1C"/>
    <w:rsid w:val="00D34FF3"/>
    <w:rsid w:val="00D35168"/>
    <w:rsid w:val="00D352F9"/>
    <w:rsid w:val="00D35386"/>
    <w:rsid w:val="00D35501"/>
    <w:rsid w:val="00D3551D"/>
    <w:rsid w:val="00D3569A"/>
    <w:rsid w:val="00D35900"/>
    <w:rsid w:val="00D35A72"/>
    <w:rsid w:val="00D35A86"/>
    <w:rsid w:val="00D35B6D"/>
    <w:rsid w:val="00D35C02"/>
    <w:rsid w:val="00D35EAC"/>
    <w:rsid w:val="00D36049"/>
    <w:rsid w:val="00D3628B"/>
    <w:rsid w:val="00D363D1"/>
    <w:rsid w:val="00D365BD"/>
    <w:rsid w:val="00D36693"/>
    <w:rsid w:val="00D368E5"/>
    <w:rsid w:val="00D369BE"/>
    <w:rsid w:val="00D36EAD"/>
    <w:rsid w:val="00D36F7C"/>
    <w:rsid w:val="00D37150"/>
    <w:rsid w:val="00D37345"/>
    <w:rsid w:val="00D3746C"/>
    <w:rsid w:val="00D3761B"/>
    <w:rsid w:val="00D3770C"/>
    <w:rsid w:val="00D378EC"/>
    <w:rsid w:val="00D37CB9"/>
    <w:rsid w:val="00D37CCC"/>
    <w:rsid w:val="00D37DDB"/>
    <w:rsid w:val="00D4007E"/>
    <w:rsid w:val="00D40103"/>
    <w:rsid w:val="00D40179"/>
    <w:rsid w:val="00D40213"/>
    <w:rsid w:val="00D4021A"/>
    <w:rsid w:val="00D40264"/>
    <w:rsid w:val="00D404C6"/>
    <w:rsid w:val="00D40764"/>
    <w:rsid w:val="00D40800"/>
    <w:rsid w:val="00D409E8"/>
    <w:rsid w:val="00D40AF7"/>
    <w:rsid w:val="00D40D7F"/>
    <w:rsid w:val="00D40F98"/>
    <w:rsid w:val="00D41270"/>
    <w:rsid w:val="00D412FE"/>
    <w:rsid w:val="00D414FE"/>
    <w:rsid w:val="00D4150E"/>
    <w:rsid w:val="00D41561"/>
    <w:rsid w:val="00D4159E"/>
    <w:rsid w:val="00D417C7"/>
    <w:rsid w:val="00D41897"/>
    <w:rsid w:val="00D41A49"/>
    <w:rsid w:val="00D41A6D"/>
    <w:rsid w:val="00D41B8D"/>
    <w:rsid w:val="00D41B9A"/>
    <w:rsid w:val="00D41EE6"/>
    <w:rsid w:val="00D41F2D"/>
    <w:rsid w:val="00D420A3"/>
    <w:rsid w:val="00D421CC"/>
    <w:rsid w:val="00D42269"/>
    <w:rsid w:val="00D422DB"/>
    <w:rsid w:val="00D42362"/>
    <w:rsid w:val="00D423CF"/>
    <w:rsid w:val="00D423F7"/>
    <w:rsid w:val="00D425F6"/>
    <w:rsid w:val="00D42768"/>
    <w:rsid w:val="00D428CD"/>
    <w:rsid w:val="00D428ED"/>
    <w:rsid w:val="00D42B10"/>
    <w:rsid w:val="00D42B14"/>
    <w:rsid w:val="00D42E1A"/>
    <w:rsid w:val="00D42F81"/>
    <w:rsid w:val="00D430C1"/>
    <w:rsid w:val="00D433B8"/>
    <w:rsid w:val="00D433FC"/>
    <w:rsid w:val="00D4359B"/>
    <w:rsid w:val="00D435B8"/>
    <w:rsid w:val="00D436BC"/>
    <w:rsid w:val="00D437DA"/>
    <w:rsid w:val="00D43804"/>
    <w:rsid w:val="00D4380D"/>
    <w:rsid w:val="00D43A54"/>
    <w:rsid w:val="00D43A85"/>
    <w:rsid w:val="00D43B2A"/>
    <w:rsid w:val="00D43B62"/>
    <w:rsid w:val="00D43BAA"/>
    <w:rsid w:val="00D43CE7"/>
    <w:rsid w:val="00D43D6C"/>
    <w:rsid w:val="00D43E21"/>
    <w:rsid w:val="00D440AD"/>
    <w:rsid w:val="00D440AF"/>
    <w:rsid w:val="00D446E0"/>
    <w:rsid w:val="00D44715"/>
    <w:rsid w:val="00D4480A"/>
    <w:rsid w:val="00D44A55"/>
    <w:rsid w:val="00D44B46"/>
    <w:rsid w:val="00D44DE9"/>
    <w:rsid w:val="00D44F26"/>
    <w:rsid w:val="00D44FD7"/>
    <w:rsid w:val="00D45231"/>
    <w:rsid w:val="00D454E6"/>
    <w:rsid w:val="00D4558E"/>
    <w:rsid w:val="00D456A8"/>
    <w:rsid w:val="00D45704"/>
    <w:rsid w:val="00D4579D"/>
    <w:rsid w:val="00D45837"/>
    <w:rsid w:val="00D45903"/>
    <w:rsid w:val="00D45961"/>
    <w:rsid w:val="00D45F53"/>
    <w:rsid w:val="00D45FF3"/>
    <w:rsid w:val="00D4623C"/>
    <w:rsid w:val="00D465E3"/>
    <w:rsid w:val="00D4697E"/>
    <w:rsid w:val="00D46B80"/>
    <w:rsid w:val="00D46BC4"/>
    <w:rsid w:val="00D46BE2"/>
    <w:rsid w:val="00D46D94"/>
    <w:rsid w:val="00D46E92"/>
    <w:rsid w:val="00D46F6F"/>
    <w:rsid w:val="00D46F89"/>
    <w:rsid w:val="00D46F8E"/>
    <w:rsid w:val="00D471E7"/>
    <w:rsid w:val="00D4721B"/>
    <w:rsid w:val="00D47551"/>
    <w:rsid w:val="00D4757F"/>
    <w:rsid w:val="00D476E2"/>
    <w:rsid w:val="00D479A4"/>
    <w:rsid w:val="00D479E9"/>
    <w:rsid w:val="00D47B8D"/>
    <w:rsid w:val="00D47CB4"/>
    <w:rsid w:val="00D47D4B"/>
    <w:rsid w:val="00D50243"/>
    <w:rsid w:val="00D50246"/>
    <w:rsid w:val="00D5026E"/>
    <w:rsid w:val="00D50735"/>
    <w:rsid w:val="00D50750"/>
    <w:rsid w:val="00D50754"/>
    <w:rsid w:val="00D50791"/>
    <w:rsid w:val="00D508FB"/>
    <w:rsid w:val="00D50E11"/>
    <w:rsid w:val="00D50E7E"/>
    <w:rsid w:val="00D50F1E"/>
    <w:rsid w:val="00D51254"/>
    <w:rsid w:val="00D512FE"/>
    <w:rsid w:val="00D51426"/>
    <w:rsid w:val="00D51427"/>
    <w:rsid w:val="00D51513"/>
    <w:rsid w:val="00D517A9"/>
    <w:rsid w:val="00D5180C"/>
    <w:rsid w:val="00D519B2"/>
    <w:rsid w:val="00D51C30"/>
    <w:rsid w:val="00D51CD3"/>
    <w:rsid w:val="00D52198"/>
    <w:rsid w:val="00D52262"/>
    <w:rsid w:val="00D52271"/>
    <w:rsid w:val="00D52325"/>
    <w:rsid w:val="00D5262D"/>
    <w:rsid w:val="00D5269E"/>
    <w:rsid w:val="00D52840"/>
    <w:rsid w:val="00D52B14"/>
    <w:rsid w:val="00D52C81"/>
    <w:rsid w:val="00D52C9E"/>
    <w:rsid w:val="00D52D8D"/>
    <w:rsid w:val="00D52DD8"/>
    <w:rsid w:val="00D52ED0"/>
    <w:rsid w:val="00D53139"/>
    <w:rsid w:val="00D5336C"/>
    <w:rsid w:val="00D535BD"/>
    <w:rsid w:val="00D53665"/>
    <w:rsid w:val="00D536F7"/>
    <w:rsid w:val="00D537E0"/>
    <w:rsid w:val="00D53815"/>
    <w:rsid w:val="00D538F7"/>
    <w:rsid w:val="00D53A12"/>
    <w:rsid w:val="00D53CB2"/>
    <w:rsid w:val="00D5401C"/>
    <w:rsid w:val="00D54139"/>
    <w:rsid w:val="00D543F1"/>
    <w:rsid w:val="00D543FB"/>
    <w:rsid w:val="00D54452"/>
    <w:rsid w:val="00D54465"/>
    <w:rsid w:val="00D545E2"/>
    <w:rsid w:val="00D54620"/>
    <w:rsid w:val="00D54CFF"/>
    <w:rsid w:val="00D54D61"/>
    <w:rsid w:val="00D54E86"/>
    <w:rsid w:val="00D54F4A"/>
    <w:rsid w:val="00D55112"/>
    <w:rsid w:val="00D5535F"/>
    <w:rsid w:val="00D55443"/>
    <w:rsid w:val="00D55727"/>
    <w:rsid w:val="00D557EB"/>
    <w:rsid w:val="00D55829"/>
    <w:rsid w:val="00D55953"/>
    <w:rsid w:val="00D55A98"/>
    <w:rsid w:val="00D55B00"/>
    <w:rsid w:val="00D55C46"/>
    <w:rsid w:val="00D55D97"/>
    <w:rsid w:val="00D55F9C"/>
    <w:rsid w:val="00D56025"/>
    <w:rsid w:val="00D564A0"/>
    <w:rsid w:val="00D56647"/>
    <w:rsid w:val="00D566EB"/>
    <w:rsid w:val="00D5672C"/>
    <w:rsid w:val="00D567C2"/>
    <w:rsid w:val="00D567E7"/>
    <w:rsid w:val="00D568F3"/>
    <w:rsid w:val="00D568FA"/>
    <w:rsid w:val="00D5699F"/>
    <w:rsid w:val="00D56E5B"/>
    <w:rsid w:val="00D56F31"/>
    <w:rsid w:val="00D5701C"/>
    <w:rsid w:val="00D57173"/>
    <w:rsid w:val="00D571C7"/>
    <w:rsid w:val="00D574C9"/>
    <w:rsid w:val="00D575DD"/>
    <w:rsid w:val="00D57639"/>
    <w:rsid w:val="00D579FA"/>
    <w:rsid w:val="00D57B01"/>
    <w:rsid w:val="00D57C2A"/>
    <w:rsid w:val="00D57E04"/>
    <w:rsid w:val="00D57F04"/>
    <w:rsid w:val="00D57F05"/>
    <w:rsid w:val="00D57F2A"/>
    <w:rsid w:val="00D60065"/>
    <w:rsid w:val="00D60187"/>
    <w:rsid w:val="00D60280"/>
    <w:rsid w:val="00D60344"/>
    <w:rsid w:val="00D60699"/>
    <w:rsid w:val="00D60A31"/>
    <w:rsid w:val="00D60B0C"/>
    <w:rsid w:val="00D60F7E"/>
    <w:rsid w:val="00D61151"/>
    <w:rsid w:val="00D611AF"/>
    <w:rsid w:val="00D6157A"/>
    <w:rsid w:val="00D618BC"/>
    <w:rsid w:val="00D619C4"/>
    <w:rsid w:val="00D61DC0"/>
    <w:rsid w:val="00D61FAA"/>
    <w:rsid w:val="00D6200A"/>
    <w:rsid w:val="00D6212A"/>
    <w:rsid w:val="00D62272"/>
    <w:rsid w:val="00D623FA"/>
    <w:rsid w:val="00D62735"/>
    <w:rsid w:val="00D6276D"/>
    <w:rsid w:val="00D62A3E"/>
    <w:rsid w:val="00D62D43"/>
    <w:rsid w:val="00D62FFE"/>
    <w:rsid w:val="00D6331C"/>
    <w:rsid w:val="00D633A2"/>
    <w:rsid w:val="00D63990"/>
    <w:rsid w:val="00D63A6A"/>
    <w:rsid w:val="00D63ABE"/>
    <w:rsid w:val="00D63CEF"/>
    <w:rsid w:val="00D64002"/>
    <w:rsid w:val="00D640BE"/>
    <w:rsid w:val="00D64125"/>
    <w:rsid w:val="00D64391"/>
    <w:rsid w:val="00D6444A"/>
    <w:rsid w:val="00D64488"/>
    <w:rsid w:val="00D645E8"/>
    <w:rsid w:val="00D645EF"/>
    <w:rsid w:val="00D6466B"/>
    <w:rsid w:val="00D64710"/>
    <w:rsid w:val="00D6473C"/>
    <w:rsid w:val="00D6476B"/>
    <w:rsid w:val="00D647AC"/>
    <w:rsid w:val="00D649AC"/>
    <w:rsid w:val="00D64ACF"/>
    <w:rsid w:val="00D64BDD"/>
    <w:rsid w:val="00D64F56"/>
    <w:rsid w:val="00D64F8E"/>
    <w:rsid w:val="00D65012"/>
    <w:rsid w:val="00D6524C"/>
    <w:rsid w:val="00D652D1"/>
    <w:rsid w:val="00D656C4"/>
    <w:rsid w:val="00D65A7F"/>
    <w:rsid w:val="00D65A80"/>
    <w:rsid w:val="00D65B5A"/>
    <w:rsid w:val="00D65BBE"/>
    <w:rsid w:val="00D65BCB"/>
    <w:rsid w:val="00D65C51"/>
    <w:rsid w:val="00D65EB6"/>
    <w:rsid w:val="00D661C9"/>
    <w:rsid w:val="00D66360"/>
    <w:rsid w:val="00D66493"/>
    <w:rsid w:val="00D6651F"/>
    <w:rsid w:val="00D66720"/>
    <w:rsid w:val="00D66948"/>
    <w:rsid w:val="00D669F9"/>
    <w:rsid w:val="00D66AD7"/>
    <w:rsid w:val="00D66B5F"/>
    <w:rsid w:val="00D66CA2"/>
    <w:rsid w:val="00D66ED2"/>
    <w:rsid w:val="00D66F93"/>
    <w:rsid w:val="00D6700D"/>
    <w:rsid w:val="00D6721C"/>
    <w:rsid w:val="00D67239"/>
    <w:rsid w:val="00D6747F"/>
    <w:rsid w:val="00D675C9"/>
    <w:rsid w:val="00D676A0"/>
    <w:rsid w:val="00D676F7"/>
    <w:rsid w:val="00D677A0"/>
    <w:rsid w:val="00D67817"/>
    <w:rsid w:val="00D679B8"/>
    <w:rsid w:val="00D67A46"/>
    <w:rsid w:val="00D67BAC"/>
    <w:rsid w:val="00D67C06"/>
    <w:rsid w:val="00D67EE6"/>
    <w:rsid w:val="00D67F53"/>
    <w:rsid w:val="00D70068"/>
    <w:rsid w:val="00D70174"/>
    <w:rsid w:val="00D702EA"/>
    <w:rsid w:val="00D70436"/>
    <w:rsid w:val="00D70593"/>
    <w:rsid w:val="00D70636"/>
    <w:rsid w:val="00D706B7"/>
    <w:rsid w:val="00D70C4F"/>
    <w:rsid w:val="00D70CEF"/>
    <w:rsid w:val="00D70D0C"/>
    <w:rsid w:val="00D70D7E"/>
    <w:rsid w:val="00D70F13"/>
    <w:rsid w:val="00D710C2"/>
    <w:rsid w:val="00D716A6"/>
    <w:rsid w:val="00D71738"/>
    <w:rsid w:val="00D7179F"/>
    <w:rsid w:val="00D71919"/>
    <w:rsid w:val="00D719F5"/>
    <w:rsid w:val="00D71AFF"/>
    <w:rsid w:val="00D72039"/>
    <w:rsid w:val="00D720F9"/>
    <w:rsid w:val="00D72121"/>
    <w:rsid w:val="00D72137"/>
    <w:rsid w:val="00D72218"/>
    <w:rsid w:val="00D72642"/>
    <w:rsid w:val="00D7270E"/>
    <w:rsid w:val="00D72746"/>
    <w:rsid w:val="00D72893"/>
    <w:rsid w:val="00D72905"/>
    <w:rsid w:val="00D72A0B"/>
    <w:rsid w:val="00D72A5B"/>
    <w:rsid w:val="00D72D21"/>
    <w:rsid w:val="00D72DCD"/>
    <w:rsid w:val="00D72EC7"/>
    <w:rsid w:val="00D72F9C"/>
    <w:rsid w:val="00D72FB1"/>
    <w:rsid w:val="00D73458"/>
    <w:rsid w:val="00D73605"/>
    <w:rsid w:val="00D73997"/>
    <w:rsid w:val="00D744E7"/>
    <w:rsid w:val="00D74582"/>
    <w:rsid w:val="00D74A60"/>
    <w:rsid w:val="00D74B2E"/>
    <w:rsid w:val="00D74BEE"/>
    <w:rsid w:val="00D74D24"/>
    <w:rsid w:val="00D74EA9"/>
    <w:rsid w:val="00D74F0A"/>
    <w:rsid w:val="00D74F11"/>
    <w:rsid w:val="00D74FCA"/>
    <w:rsid w:val="00D74FF0"/>
    <w:rsid w:val="00D75449"/>
    <w:rsid w:val="00D7550C"/>
    <w:rsid w:val="00D7584F"/>
    <w:rsid w:val="00D7587E"/>
    <w:rsid w:val="00D75B12"/>
    <w:rsid w:val="00D75BEA"/>
    <w:rsid w:val="00D75EF4"/>
    <w:rsid w:val="00D75F79"/>
    <w:rsid w:val="00D76100"/>
    <w:rsid w:val="00D761DD"/>
    <w:rsid w:val="00D76233"/>
    <w:rsid w:val="00D7657A"/>
    <w:rsid w:val="00D765C9"/>
    <w:rsid w:val="00D766DE"/>
    <w:rsid w:val="00D768E8"/>
    <w:rsid w:val="00D76B5E"/>
    <w:rsid w:val="00D76D05"/>
    <w:rsid w:val="00D76D23"/>
    <w:rsid w:val="00D770E5"/>
    <w:rsid w:val="00D771A8"/>
    <w:rsid w:val="00D77273"/>
    <w:rsid w:val="00D772CE"/>
    <w:rsid w:val="00D77539"/>
    <w:rsid w:val="00D77582"/>
    <w:rsid w:val="00D775D9"/>
    <w:rsid w:val="00D777CE"/>
    <w:rsid w:val="00D779F5"/>
    <w:rsid w:val="00D77A56"/>
    <w:rsid w:val="00D77D4B"/>
    <w:rsid w:val="00D77FDA"/>
    <w:rsid w:val="00D80011"/>
    <w:rsid w:val="00D800F2"/>
    <w:rsid w:val="00D80119"/>
    <w:rsid w:val="00D80184"/>
    <w:rsid w:val="00D804B2"/>
    <w:rsid w:val="00D804FE"/>
    <w:rsid w:val="00D805FD"/>
    <w:rsid w:val="00D80C31"/>
    <w:rsid w:val="00D80D11"/>
    <w:rsid w:val="00D80FE4"/>
    <w:rsid w:val="00D8100F"/>
    <w:rsid w:val="00D81236"/>
    <w:rsid w:val="00D81321"/>
    <w:rsid w:val="00D813BC"/>
    <w:rsid w:val="00D815BA"/>
    <w:rsid w:val="00D8177A"/>
    <w:rsid w:val="00D8192D"/>
    <w:rsid w:val="00D8193F"/>
    <w:rsid w:val="00D81A0E"/>
    <w:rsid w:val="00D81BA3"/>
    <w:rsid w:val="00D81BD3"/>
    <w:rsid w:val="00D81C2D"/>
    <w:rsid w:val="00D81CC7"/>
    <w:rsid w:val="00D81CF1"/>
    <w:rsid w:val="00D81DED"/>
    <w:rsid w:val="00D81FA7"/>
    <w:rsid w:val="00D820E8"/>
    <w:rsid w:val="00D82169"/>
    <w:rsid w:val="00D82373"/>
    <w:rsid w:val="00D82441"/>
    <w:rsid w:val="00D82482"/>
    <w:rsid w:val="00D826C4"/>
    <w:rsid w:val="00D827EB"/>
    <w:rsid w:val="00D82876"/>
    <w:rsid w:val="00D8292C"/>
    <w:rsid w:val="00D82AAA"/>
    <w:rsid w:val="00D82B44"/>
    <w:rsid w:val="00D82BFC"/>
    <w:rsid w:val="00D82C73"/>
    <w:rsid w:val="00D82D0B"/>
    <w:rsid w:val="00D82D14"/>
    <w:rsid w:val="00D82E42"/>
    <w:rsid w:val="00D82FE4"/>
    <w:rsid w:val="00D831B9"/>
    <w:rsid w:val="00D833AC"/>
    <w:rsid w:val="00D833C7"/>
    <w:rsid w:val="00D8366B"/>
    <w:rsid w:val="00D839A7"/>
    <w:rsid w:val="00D83A2B"/>
    <w:rsid w:val="00D83B27"/>
    <w:rsid w:val="00D83C3C"/>
    <w:rsid w:val="00D83EC7"/>
    <w:rsid w:val="00D83F28"/>
    <w:rsid w:val="00D840E4"/>
    <w:rsid w:val="00D840FA"/>
    <w:rsid w:val="00D841BC"/>
    <w:rsid w:val="00D842AC"/>
    <w:rsid w:val="00D845A5"/>
    <w:rsid w:val="00D845AB"/>
    <w:rsid w:val="00D846BA"/>
    <w:rsid w:val="00D8494E"/>
    <w:rsid w:val="00D84A72"/>
    <w:rsid w:val="00D84CCD"/>
    <w:rsid w:val="00D84DE1"/>
    <w:rsid w:val="00D8504F"/>
    <w:rsid w:val="00D85071"/>
    <w:rsid w:val="00D8519F"/>
    <w:rsid w:val="00D851A7"/>
    <w:rsid w:val="00D851C1"/>
    <w:rsid w:val="00D8533D"/>
    <w:rsid w:val="00D855E9"/>
    <w:rsid w:val="00D85694"/>
    <w:rsid w:val="00D85717"/>
    <w:rsid w:val="00D85964"/>
    <w:rsid w:val="00D8596A"/>
    <w:rsid w:val="00D85B1C"/>
    <w:rsid w:val="00D85C19"/>
    <w:rsid w:val="00D85C38"/>
    <w:rsid w:val="00D85CBD"/>
    <w:rsid w:val="00D85E90"/>
    <w:rsid w:val="00D85EBA"/>
    <w:rsid w:val="00D85EF5"/>
    <w:rsid w:val="00D861E3"/>
    <w:rsid w:val="00D8629C"/>
    <w:rsid w:val="00D862BD"/>
    <w:rsid w:val="00D863ED"/>
    <w:rsid w:val="00D86500"/>
    <w:rsid w:val="00D866E2"/>
    <w:rsid w:val="00D86872"/>
    <w:rsid w:val="00D86B06"/>
    <w:rsid w:val="00D86D5F"/>
    <w:rsid w:val="00D871CE"/>
    <w:rsid w:val="00D873DA"/>
    <w:rsid w:val="00D8742B"/>
    <w:rsid w:val="00D87479"/>
    <w:rsid w:val="00D874FE"/>
    <w:rsid w:val="00D87587"/>
    <w:rsid w:val="00D877B9"/>
    <w:rsid w:val="00D879CF"/>
    <w:rsid w:val="00D87AB0"/>
    <w:rsid w:val="00D87D55"/>
    <w:rsid w:val="00D87DD7"/>
    <w:rsid w:val="00D87DE4"/>
    <w:rsid w:val="00D87F2D"/>
    <w:rsid w:val="00D87FF8"/>
    <w:rsid w:val="00D90087"/>
    <w:rsid w:val="00D90207"/>
    <w:rsid w:val="00D90420"/>
    <w:rsid w:val="00D906E5"/>
    <w:rsid w:val="00D909C1"/>
    <w:rsid w:val="00D909D6"/>
    <w:rsid w:val="00D90A86"/>
    <w:rsid w:val="00D90DCD"/>
    <w:rsid w:val="00D90EFE"/>
    <w:rsid w:val="00D90F53"/>
    <w:rsid w:val="00D9102E"/>
    <w:rsid w:val="00D9113D"/>
    <w:rsid w:val="00D911FC"/>
    <w:rsid w:val="00D91282"/>
    <w:rsid w:val="00D91423"/>
    <w:rsid w:val="00D914C3"/>
    <w:rsid w:val="00D916FC"/>
    <w:rsid w:val="00D9184D"/>
    <w:rsid w:val="00D918C6"/>
    <w:rsid w:val="00D91D94"/>
    <w:rsid w:val="00D91E2C"/>
    <w:rsid w:val="00D9204F"/>
    <w:rsid w:val="00D9232F"/>
    <w:rsid w:val="00D925E5"/>
    <w:rsid w:val="00D9275C"/>
    <w:rsid w:val="00D9284D"/>
    <w:rsid w:val="00D928B7"/>
    <w:rsid w:val="00D92929"/>
    <w:rsid w:val="00D92D9A"/>
    <w:rsid w:val="00D92DEA"/>
    <w:rsid w:val="00D93240"/>
    <w:rsid w:val="00D93649"/>
    <w:rsid w:val="00D93656"/>
    <w:rsid w:val="00D9368D"/>
    <w:rsid w:val="00D93936"/>
    <w:rsid w:val="00D939FB"/>
    <w:rsid w:val="00D93B46"/>
    <w:rsid w:val="00D93D05"/>
    <w:rsid w:val="00D93D4A"/>
    <w:rsid w:val="00D93E55"/>
    <w:rsid w:val="00D93EF1"/>
    <w:rsid w:val="00D9432F"/>
    <w:rsid w:val="00D94341"/>
    <w:rsid w:val="00D943BC"/>
    <w:rsid w:val="00D943FF"/>
    <w:rsid w:val="00D94553"/>
    <w:rsid w:val="00D94683"/>
    <w:rsid w:val="00D94ABA"/>
    <w:rsid w:val="00D94B15"/>
    <w:rsid w:val="00D94B69"/>
    <w:rsid w:val="00D94D82"/>
    <w:rsid w:val="00D94E29"/>
    <w:rsid w:val="00D95059"/>
    <w:rsid w:val="00D950F8"/>
    <w:rsid w:val="00D95168"/>
    <w:rsid w:val="00D9528D"/>
    <w:rsid w:val="00D955B6"/>
    <w:rsid w:val="00D95890"/>
    <w:rsid w:val="00D958E1"/>
    <w:rsid w:val="00D95B2B"/>
    <w:rsid w:val="00D95CE0"/>
    <w:rsid w:val="00D9600B"/>
    <w:rsid w:val="00D96016"/>
    <w:rsid w:val="00D9604F"/>
    <w:rsid w:val="00D96147"/>
    <w:rsid w:val="00D96B34"/>
    <w:rsid w:val="00D96B9E"/>
    <w:rsid w:val="00D96BA9"/>
    <w:rsid w:val="00D96D80"/>
    <w:rsid w:val="00D97004"/>
    <w:rsid w:val="00D970B6"/>
    <w:rsid w:val="00D97106"/>
    <w:rsid w:val="00D9716A"/>
    <w:rsid w:val="00D97633"/>
    <w:rsid w:val="00D97648"/>
    <w:rsid w:val="00D979A7"/>
    <w:rsid w:val="00D97A0E"/>
    <w:rsid w:val="00D97A50"/>
    <w:rsid w:val="00D97B59"/>
    <w:rsid w:val="00D97C58"/>
    <w:rsid w:val="00D97F08"/>
    <w:rsid w:val="00DA0390"/>
    <w:rsid w:val="00DA0521"/>
    <w:rsid w:val="00DA05A7"/>
    <w:rsid w:val="00DA064D"/>
    <w:rsid w:val="00DA06ED"/>
    <w:rsid w:val="00DA09AA"/>
    <w:rsid w:val="00DA0A15"/>
    <w:rsid w:val="00DA0AA4"/>
    <w:rsid w:val="00DA0BBE"/>
    <w:rsid w:val="00DA0D83"/>
    <w:rsid w:val="00DA1070"/>
    <w:rsid w:val="00DA10C2"/>
    <w:rsid w:val="00DA138C"/>
    <w:rsid w:val="00DA13FA"/>
    <w:rsid w:val="00DA1480"/>
    <w:rsid w:val="00DA157E"/>
    <w:rsid w:val="00DA1781"/>
    <w:rsid w:val="00DA190C"/>
    <w:rsid w:val="00DA1946"/>
    <w:rsid w:val="00DA1C50"/>
    <w:rsid w:val="00DA1DB8"/>
    <w:rsid w:val="00DA1DD3"/>
    <w:rsid w:val="00DA2094"/>
    <w:rsid w:val="00DA2249"/>
    <w:rsid w:val="00DA23E7"/>
    <w:rsid w:val="00DA2A3D"/>
    <w:rsid w:val="00DA2AE6"/>
    <w:rsid w:val="00DA2BE4"/>
    <w:rsid w:val="00DA3227"/>
    <w:rsid w:val="00DA33E7"/>
    <w:rsid w:val="00DA34F6"/>
    <w:rsid w:val="00DA360D"/>
    <w:rsid w:val="00DA367A"/>
    <w:rsid w:val="00DA3C6D"/>
    <w:rsid w:val="00DA3DCD"/>
    <w:rsid w:val="00DA405D"/>
    <w:rsid w:val="00DA4226"/>
    <w:rsid w:val="00DA423E"/>
    <w:rsid w:val="00DA42E9"/>
    <w:rsid w:val="00DA431F"/>
    <w:rsid w:val="00DA448F"/>
    <w:rsid w:val="00DA459E"/>
    <w:rsid w:val="00DA45FE"/>
    <w:rsid w:val="00DA471F"/>
    <w:rsid w:val="00DA477D"/>
    <w:rsid w:val="00DA4A65"/>
    <w:rsid w:val="00DA4C1F"/>
    <w:rsid w:val="00DA4DCF"/>
    <w:rsid w:val="00DA4E01"/>
    <w:rsid w:val="00DA4E34"/>
    <w:rsid w:val="00DA50CB"/>
    <w:rsid w:val="00DA5161"/>
    <w:rsid w:val="00DA517C"/>
    <w:rsid w:val="00DA53B9"/>
    <w:rsid w:val="00DA54A6"/>
    <w:rsid w:val="00DA5556"/>
    <w:rsid w:val="00DA5637"/>
    <w:rsid w:val="00DA5638"/>
    <w:rsid w:val="00DA56AD"/>
    <w:rsid w:val="00DA56E7"/>
    <w:rsid w:val="00DA5742"/>
    <w:rsid w:val="00DA58A4"/>
    <w:rsid w:val="00DA59D3"/>
    <w:rsid w:val="00DA5B2C"/>
    <w:rsid w:val="00DA5C98"/>
    <w:rsid w:val="00DA5D3E"/>
    <w:rsid w:val="00DA5D8B"/>
    <w:rsid w:val="00DA5E0D"/>
    <w:rsid w:val="00DA5E24"/>
    <w:rsid w:val="00DA5E37"/>
    <w:rsid w:val="00DA5FBE"/>
    <w:rsid w:val="00DA6560"/>
    <w:rsid w:val="00DA6710"/>
    <w:rsid w:val="00DA6B3C"/>
    <w:rsid w:val="00DA6B87"/>
    <w:rsid w:val="00DA6D0C"/>
    <w:rsid w:val="00DA70AC"/>
    <w:rsid w:val="00DA70C7"/>
    <w:rsid w:val="00DA7201"/>
    <w:rsid w:val="00DA72AA"/>
    <w:rsid w:val="00DA752A"/>
    <w:rsid w:val="00DA767F"/>
    <w:rsid w:val="00DA77F7"/>
    <w:rsid w:val="00DA7800"/>
    <w:rsid w:val="00DA7909"/>
    <w:rsid w:val="00DA796D"/>
    <w:rsid w:val="00DA7C67"/>
    <w:rsid w:val="00DA7E75"/>
    <w:rsid w:val="00DA7F05"/>
    <w:rsid w:val="00DB00A8"/>
    <w:rsid w:val="00DB0427"/>
    <w:rsid w:val="00DB0721"/>
    <w:rsid w:val="00DB07BD"/>
    <w:rsid w:val="00DB09CE"/>
    <w:rsid w:val="00DB0A5B"/>
    <w:rsid w:val="00DB0B28"/>
    <w:rsid w:val="00DB0CEB"/>
    <w:rsid w:val="00DB0D04"/>
    <w:rsid w:val="00DB10BF"/>
    <w:rsid w:val="00DB1135"/>
    <w:rsid w:val="00DB1445"/>
    <w:rsid w:val="00DB1525"/>
    <w:rsid w:val="00DB1A73"/>
    <w:rsid w:val="00DB1B68"/>
    <w:rsid w:val="00DB1C3E"/>
    <w:rsid w:val="00DB1E0B"/>
    <w:rsid w:val="00DB1F52"/>
    <w:rsid w:val="00DB22DB"/>
    <w:rsid w:val="00DB233B"/>
    <w:rsid w:val="00DB238F"/>
    <w:rsid w:val="00DB2599"/>
    <w:rsid w:val="00DB26EE"/>
    <w:rsid w:val="00DB2854"/>
    <w:rsid w:val="00DB29A0"/>
    <w:rsid w:val="00DB29BE"/>
    <w:rsid w:val="00DB2AA9"/>
    <w:rsid w:val="00DB2B6F"/>
    <w:rsid w:val="00DB2CA1"/>
    <w:rsid w:val="00DB31D1"/>
    <w:rsid w:val="00DB34FA"/>
    <w:rsid w:val="00DB3968"/>
    <w:rsid w:val="00DB3A52"/>
    <w:rsid w:val="00DB3A55"/>
    <w:rsid w:val="00DB3AAF"/>
    <w:rsid w:val="00DB3DB3"/>
    <w:rsid w:val="00DB4173"/>
    <w:rsid w:val="00DB436A"/>
    <w:rsid w:val="00DB4375"/>
    <w:rsid w:val="00DB4A70"/>
    <w:rsid w:val="00DB4B38"/>
    <w:rsid w:val="00DB4EF1"/>
    <w:rsid w:val="00DB4F05"/>
    <w:rsid w:val="00DB50A5"/>
    <w:rsid w:val="00DB50DA"/>
    <w:rsid w:val="00DB514F"/>
    <w:rsid w:val="00DB517F"/>
    <w:rsid w:val="00DB5188"/>
    <w:rsid w:val="00DB51C3"/>
    <w:rsid w:val="00DB5260"/>
    <w:rsid w:val="00DB53CC"/>
    <w:rsid w:val="00DB55D5"/>
    <w:rsid w:val="00DB58A7"/>
    <w:rsid w:val="00DB5900"/>
    <w:rsid w:val="00DB5AE7"/>
    <w:rsid w:val="00DB5C30"/>
    <w:rsid w:val="00DB5D41"/>
    <w:rsid w:val="00DB6001"/>
    <w:rsid w:val="00DB640E"/>
    <w:rsid w:val="00DB6469"/>
    <w:rsid w:val="00DB6537"/>
    <w:rsid w:val="00DB66D4"/>
    <w:rsid w:val="00DB67A1"/>
    <w:rsid w:val="00DB681A"/>
    <w:rsid w:val="00DB6A47"/>
    <w:rsid w:val="00DB6C8C"/>
    <w:rsid w:val="00DB6E67"/>
    <w:rsid w:val="00DB6FBD"/>
    <w:rsid w:val="00DB7205"/>
    <w:rsid w:val="00DB731E"/>
    <w:rsid w:val="00DB7324"/>
    <w:rsid w:val="00DB75CB"/>
    <w:rsid w:val="00DB7661"/>
    <w:rsid w:val="00DB7739"/>
    <w:rsid w:val="00DB7D0A"/>
    <w:rsid w:val="00DB7D84"/>
    <w:rsid w:val="00DB7ED3"/>
    <w:rsid w:val="00DC02D0"/>
    <w:rsid w:val="00DC052C"/>
    <w:rsid w:val="00DC07EF"/>
    <w:rsid w:val="00DC0854"/>
    <w:rsid w:val="00DC09E2"/>
    <w:rsid w:val="00DC0AA6"/>
    <w:rsid w:val="00DC0ABA"/>
    <w:rsid w:val="00DC0ABC"/>
    <w:rsid w:val="00DC0F21"/>
    <w:rsid w:val="00DC0F57"/>
    <w:rsid w:val="00DC1046"/>
    <w:rsid w:val="00DC1070"/>
    <w:rsid w:val="00DC114A"/>
    <w:rsid w:val="00DC12A9"/>
    <w:rsid w:val="00DC12FD"/>
    <w:rsid w:val="00DC1608"/>
    <w:rsid w:val="00DC16C4"/>
    <w:rsid w:val="00DC17D2"/>
    <w:rsid w:val="00DC17F5"/>
    <w:rsid w:val="00DC1847"/>
    <w:rsid w:val="00DC18FA"/>
    <w:rsid w:val="00DC193A"/>
    <w:rsid w:val="00DC1A04"/>
    <w:rsid w:val="00DC1A3B"/>
    <w:rsid w:val="00DC1C70"/>
    <w:rsid w:val="00DC1E24"/>
    <w:rsid w:val="00DC1E83"/>
    <w:rsid w:val="00DC1EE3"/>
    <w:rsid w:val="00DC1F68"/>
    <w:rsid w:val="00DC206C"/>
    <w:rsid w:val="00DC20FC"/>
    <w:rsid w:val="00DC234F"/>
    <w:rsid w:val="00DC235E"/>
    <w:rsid w:val="00DC2575"/>
    <w:rsid w:val="00DC261C"/>
    <w:rsid w:val="00DC26B8"/>
    <w:rsid w:val="00DC2EA4"/>
    <w:rsid w:val="00DC2F26"/>
    <w:rsid w:val="00DC30A2"/>
    <w:rsid w:val="00DC3140"/>
    <w:rsid w:val="00DC32E9"/>
    <w:rsid w:val="00DC336F"/>
    <w:rsid w:val="00DC3432"/>
    <w:rsid w:val="00DC34A2"/>
    <w:rsid w:val="00DC3670"/>
    <w:rsid w:val="00DC3789"/>
    <w:rsid w:val="00DC3915"/>
    <w:rsid w:val="00DC3AC4"/>
    <w:rsid w:val="00DC3AD5"/>
    <w:rsid w:val="00DC3C46"/>
    <w:rsid w:val="00DC3F9E"/>
    <w:rsid w:val="00DC4055"/>
    <w:rsid w:val="00DC4074"/>
    <w:rsid w:val="00DC4221"/>
    <w:rsid w:val="00DC43A2"/>
    <w:rsid w:val="00DC45AD"/>
    <w:rsid w:val="00DC464E"/>
    <w:rsid w:val="00DC4723"/>
    <w:rsid w:val="00DC4762"/>
    <w:rsid w:val="00DC4D13"/>
    <w:rsid w:val="00DC4DA8"/>
    <w:rsid w:val="00DC4F5B"/>
    <w:rsid w:val="00DC5240"/>
    <w:rsid w:val="00DC54DC"/>
    <w:rsid w:val="00DC57B6"/>
    <w:rsid w:val="00DC58DD"/>
    <w:rsid w:val="00DC5B05"/>
    <w:rsid w:val="00DC5B19"/>
    <w:rsid w:val="00DC5E49"/>
    <w:rsid w:val="00DC6381"/>
    <w:rsid w:val="00DC63AA"/>
    <w:rsid w:val="00DC6548"/>
    <w:rsid w:val="00DC65C8"/>
    <w:rsid w:val="00DC681D"/>
    <w:rsid w:val="00DC69A4"/>
    <w:rsid w:val="00DC6A32"/>
    <w:rsid w:val="00DC6B62"/>
    <w:rsid w:val="00DC6B79"/>
    <w:rsid w:val="00DC6DAA"/>
    <w:rsid w:val="00DC6FC0"/>
    <w:rsid w:val="00DC71E3"/>
    <w:rsid w:val="00DC727A"/>
    <w:rsid w:val="00DC7476"/>
    <w:rsid w:val="00DC7552"/>
    <w:rsid w:val="00DC758F"/>
    <w:rsid w:val="00DC7722"/>
    <w:rsid w:val="00DC7791"/>
    <w:rsid w:val="00DC78E8"/>
    <w:rsid w:val="00DC7912"/>
    <w:rsid w:val="00DC7A3C"/>
    <w:rsid w:val="00DC7B66"/>
    <w:rsid w:val="00DC7C54"/>
    <w:rsid w:val="00DC7E0D"/>
    <w:rsid w:val="00DD0032"/>
    <w:rsid w:val="00DD0450"/>
    <w:rsid w:val="00DD05E0"/>
    <w:rsid w:val="00DD0662"/>
    <w:rsid w:val="00DD08D3"/>
    <w:rsid w:val="00DD09D6"/>
    <w:rsid w:val="00DD0A45"/>
    <w:rsid w:val="00DD0B17"/>
    <w:rsid w:val="00DD0B7F"/>
    <w:rsid w:val="00DD0F89"/>
    <w:rsid w:val="00DD11D8"/>
    <w:rsid w:val="00DD14BD"/>
    <w:rsid w:val="00DD16DC"/>
    <w:rsid w:val="00DD175F"/>
    <w:rsid w:val="00DD1780"/>
    <w:rsid w:val="00DD187D"/>
    <w:rsid w:val="00DD18FB"/>
    <w:rsid w:val="00DD1C3E"/>
    <w:rsid w:val="00DD1D7B"/>
    <w:rsid w:val="00DD1DD9"/>
    <w:rsid w:val="00DD1E64"/>
    <w:rsid w:val="00DD20FE"/>
    <w:rsid w:val="00DD21D6"/>
    <w:rsid w:val="00DD23B9"/>
    <w:rsid w:val="00DD23D5"/>
    <w:rsid w:val="00DD268B"/>
    <w:rsid w:val="00DD2A0A"/>
    <w:rsid w:val="00DD2A4A"/>
    <w:rsid w:val="00DD2A6A"/>
    <w:rsid w:val="00DD2B6E"/>
    <w:rsid w:val="00DD2C35"/>
    <w:rsid w:val="00DD2D06"/>
    <w:rsid w:val="00DD2F25"/>
    <w:rsid w:val="00DD3060"/>
    <w:rsid w:val="00DD3129"/>
    <w:rsid w:val="00DD31C7"/>
    <w:rsid w:val="00DD3204"/>
    <w:rsid w:val="00DD341B"/>
    <w:rsid w:val="00DD3451"/>
    <w:rsid w:val="00DD36AD"/>
    <w:rsid w:val="00DD3D3A"/>
    <w:rsid w:val="00DD3EDF"/>
    <w:rsid w:val="00DD3FE1"/>
    <w:rsid w:val="00DD45F5"/>
    <w:rsid w:val="00DD4636"/>
    <w:rsid w:val="00DD4676"/>
    <w:rsid w:val="00DD484E"/>
    <w:rsid w:val="00DD4C3F"/>
    <w:rsid w:val="00DD4D13"/>
    <w:rsid w:val="00DD5241"/>
    <w:rsid w:val="00DD55C4"/>
    <w:rsid w:val="00DD5D41"/>
    <w:rsid w:val="00DD5F50"/>
    <w:rsid w:val="00DD61EF"/>
    <w:rsid w:val="00DD6308"/>
    <w:rsid w:val="00DD645B"/>
    <w:rsid w:val="00DD64C5"/>
    <w:rsid w:val="00DD6642"/>
    <w:rsid w:val="00DD6B57"/>
    <w:rsid w:val="00DD6BBE"/>
    <w:rsid w:val="00DD6D1A"/>
    <w:rsid w:val="00DD6D66"/>
    <w:rsid w:val="00DD6D7C"/>
    <w:rsid w:val="00DD6D97"/>
    <w:rsid w:val="00DD6D98"/>
    <w:rsid w:val="00DD6EB0"/>
    <w:rsid w:val="00DD706F"/>
    <w:rsid w:val="00DD748D"/>
    <w:rsid w:val="00DD7565"/>
    <w:rsid w:val="00DD76B9"/>
    <w:rsid w:val="00DD783E"/>
    <w:rsid w:val="00DD7908"/>
    <w:rsid w:val="00DD79B0"/>
    <w:rsid w:val="00DD7A58"/>
    <w:rsid w:val="00DD7B04"/>
    <w:rsid w:val="00DD7B4E"/>
    <w:rsid w:val="00DD7D97"/>
    <w:rsid w:val="00DD7E30"/>
    <w:rsid w:val="00DD7E72"/>
    <w:rsid w:val="00DD7F29"/>
    <w:rsid w:val="00DE0349"/>
    <w:rsid w:val="00DE0424"/>
    <w:rsid w:val="00DE05C6"/>
    <w:rsid w:val="00DE076B"/>
    <w:rsid w:val="00DE0826"/>
    <w:rsid w:val="00DE087C"/>
    <w:rsid w:val="00DE0888"/>
    <w:rsid w:val="00DE090A"/>
    <w:rsid w:val="00DE0A53"/>
    <w:rsid w:val="00DE0B06"/>
    <w:rsid w:val="00DE0E38"/>
    <w:rsid w:val="00DE0F1D"/>
    <w:rsid w:val="00DE10EE"/>
    <w:rsid w:val="00DE12E7"/>
    <w:rsid w:val="00DE133A"/>
    <w:rsid w:val="00DE137E"/>
    <w:rsid w:val="00DE13BA"/>
    <w:rsid w:val="00DE164C"/>
    <w:rsid w:val="00DE1A2E"/>
    <w:rsid w:val="00DE1CD1"/>
    <w:rsid w:val="00DE1DC3"/>
    <w:rsid w:val="00DE201A"/>
    <w:rsid w:val="00DE20B3"/>
    <w:rsid w:val="00DE2400"/>
    <w:rsid w:val="00DE264A"/>
    <w:rsid w:val="00DE278B"/>
    <w:rsid w:val="00DE2A19"/>
    <w:rsid w:val="00DE2FB0"/>
    <w:rsid w:val="00DE2FCB"/>
    <w:rsid w:val="00DE3007"/>
    <w:rsid w:val="00DE3019"/>
    <w:rsid w:val="00DE3129"/>
    <w:rsid w:val="00DE31E7"/>
    <w:rsid w:val="00DE32D7"/>
    <w:rsid w:val="00DE338D"/>
    <w:rsid w:val="00DE359F"/>
    <w:rsid w:val="00DE38E2"/>
    <w:rsid w:val="00DE3991"/>
    <w:rsid w:val="00DE3BDF"/>
    <w:rsid w:val="00DE3EBA"/>
    <w:rsid w:val="00DE3ED9"/>
    <w:rsid w:val="00DE40A4"/>
    <w:rsid w:val="00DE40F7"/>
    <w:rsid w:val="00DE4110"/>
    <w:rsid w:val="00DE42E9"/>
    <w:rsid w:val="00DE435A"/>
    <w:rsid w:val="00DE457D"/>
    <w:rsid w:val="00DE47B6"/>
    <w:rsid w:val="00DE4802"/>
    <w:rsid w:val="00DE48AF"/>
    <w:rsid w:val="00DE4A5D"/>
    <w:rsid w:val="00DE4C5C"/>
    <w:rsid w:val="00DE4CF7"/>
    <w:rsid w:val="00DE4D36"/>
    <w:rsid w:val="00DE4E27"/>
    <w:rsid w:val="00DE4E36"/>
    <w:rsid w:val="00DE4F03"/>
    <w:rsid w:val="00DE4FC9"/>
    <w:rsid w:val="00DE543D"/>
    <w:rsid w:val="00DE5486"/>
    <w:rsid w:val="00DE56C6"/>
    <w:rsid w:val="00DE580C"/>
    <w:rsid w:val="00DE59BB"/>
    <w:rsid w:val="00DE5B1B"/>
    <w:rsid w:val="00DE5B90"/>
    <w:rsid w:val="00DE5DFB"/>
    <w:rsid w:val="00DE6010"/>
    <w:rsid w:val="00DE61B9"/>
    <w:rsid w:val="00DE62D9"/>
    <w:rsid w:val="00DE6498"/>
    <w:rsid w:val="00DE67DC"/>
    <w:rsid w:val="00DE6AB9"/>
    <w:rsid w:val="00DE7173"/>
    <w:rsid w:val="00DE7190"/>
    <w:rsid w:val="00DE7256"/>
    <w:rsid w:val="00DE72E3"/>
    <w:rsid w:val="00DE7829"/>
    <w:rsid w:val="00DE7BFB"/>
    <w:rsid w:val="00DE7C6A"/>
    <w:rsid w:val="00DE7E79"/>
    <w:rsid w:val="00DE7FCD"/>
    <w:rsid w:val="00DE7FCE"/>
    <w:rsid w:val="00DF023F"/>
    <w:rsid w:val="00DF038C"/>
    <w:rsid w:val="00DF0517"/>
    <w:rsid w:val="00DF0CBD"/>
    <w:rsid w:val="00DF0DA8"/>
    <w:rsid w:val="00DF0DCC"/>
    <w:rsid w:val="00DF0EEE"/>
    <w:rsid w:val="00DF0F3D"/>
    <w:rsid w:val="00DF0F5F"/>
    <w:rsid w:val="00DF1150"/>
    <w:rsid w:val="00DF1188"/>
    <w:rsid w:val="00DF1194"/>
    <w:rsid w:val="00DF1578"/>
    <w:rsid w:val="00DF158B"/>
    <w:rsid w:val="00DF1692"/>
    <w:rsid w:val="00DF1719"/>
    <w:rsid w:val="00DF17FD"/>
    <w:rsid w:val="00DF19BF"/>
    <w:rsid w:val="00DF1A60"/>
    <w:rsid w:val="00DF1C38"/>
    <w:rsid w:val="00DF1C40"/>
    <w:rsid w:val="00DF1E10"/>
    <w:rsid w:val="00DF21C7"/>
    <w:rsid w:val="00DF221F"/>
    <w:rsid w:val="00DF22C5"/>
    <w:rsid w:val="00DF24A3"/>
    <w:rsid w:val="00DF2594"/>
    <w:rsid w:val="00DF275F"/>
    <w:rsid w:val="00DF2865"/>
    <w:rsid w:val="00DF2AD6"/>
    <w:rsid w:val="00DF2C1C"/>
    <w:rsid w:val="00DF2DD6"/>
    <w:rsid w:val="00DF2E73"/>
    <w:rsid w:val="00DF30F6"/>
    <w:rsid w:val="00DF3800"/>
    <w:rsid w:val="00DF387E"/>
    <w:rsid w:val="00DF3C4A"/>
    <w:rsid w:val="00DF3C79"/>
    <w:rsid w:val="00DF3D30"/>
    <w:rsid w:val="00DF407C"/>
    <w:rsid w:val="00DF408A"/>
    <w:rsid w:val="00DF451E"/>
    <w:rsid w:val="00DF462D"/>
    <w:rsid w:val="00DF4688"/>
    <w:rsid w:val="00DF4801"/>
    <w:rsid w:val="00DF4919"/>
    <w:rsid w:val="00DF492F"/>
    <w:rsid w:val="00DF493A"/>
    <w:rsid w:val="00DF499A"/>
    <w:rsid w:val="00DF4ABC"/>
    <w:rsid w:val="00DF4D8B"/>
    <w:rsid w:val="00DF4D8D"/>
    <w:rsid w:val="00DF4E74"/>
    <w:rsid w:val="00DF4E84"/>
    <w:rsid w:val="00DF50C7"/>
    <w:rsid w:val="00DF511E"/>
    <w:rsid w:val="00DF5174"/>
    <w:rsid w:val="00DF549F"/>
    <w:rsid w:val="00DF54EE"/>
    <w:rsid w:val="00DF5600"/>
    <w:rsid w:val="00DF570D"/>
    <w:rsid w:val="00DF57A1"/>
    <w:rsid w:val="00DF599E"/>
    <w:rsid w:val="00DF5A46"/>
    <w:rsid w:val="00DF5C07"/>
    <w:rsid w:val="00DF5C5E"/>
    <w:rsid w:val="00DF5F45"/>
    <w:rsid w:val="00DF6079"/>
    <w:rsid w:val="00DF607B"/>
    <w:rsid w:val="00DF6165"/>
    <w:rsid w:val="00DF61A5"/>
    <w:rsid w:val="00DF628E"/>
    <w:rsid w:val="00DF6391"/>
    <w:rsid w:val="00DF65BD"/>
    <w:rsid w:val="00DF6631"/>
    <w:rsid w:val="00DF6712"/>
    <w:rsid w:val="00DF687E"/>
    <w:rsid w:val="00DF6A07"/>
    <w:rsid w:val="00DF6AFF"/>
    <w:rsid w:val="00DF6D92"/>
    <w:rsid w:val="00DF6EF6"/>
    <w:rsid w:val="00DF71D6"/>
    <w:rsid w:val="00DF7427"/>
    <w:rsid w:val="00DF7504"/>
    <w:rsid w:val="00DF7681"/>
    <w:rsid w:val="00DF7749"/>
    <w:rsid w:val="00DF779C"/>
    <w:rsid w:val="00DF7860"/>
    <w:rsid w:val="00DF7B6E"/>
    <w:rsid w:val="00DF7BF6"/>
    <w:rsid w:val="00DF7CAE"/>
    <w:rsid w:val="00DF7D4B"/>
    <w:rsid w:val="00DF7D9A"/>
    <w:rsid w:val="00DF7E23"/>
    <w:rsid w:val="00E0005D"/>
    <w:rsid w:val="00E001B4"/>
    <w:rsid w:val="00E005F1"/>
    <w:rsid w:val="00E00656"/>
    <w:rsid w:val="00E006B8"/>
    <w:rsid w:val="00E00715"/>
    <w:rsid w:val="00E00AE2"/>
    <w:rsid w:val="00E00E56"/>
    <w:rsid w:val="00E00EFD"/>
    <w:rsid w:val="00E0106C"/>
    <w:rsid w:val="00E01080"/>
    <w:rsid w:val="00E010FA"/>
    <w:rsid w:val="00E0121D"/>
    <w:rsid w:val="00E01221"/>
    <w:rsid w:val="00E013F0"/>
    <w:rsid w:val="00E01511"/>
    <w:rsid w:val="00E0162F"/>
    <w:rsid w:val="00E016A1"/>
    <w:rsid w:val="00E01783"/>
    <w:rsid w:val="00E017BC"/>
    <w:rsid w:val="00E017C5"/>
    <w:rsid w:val="00E018C1"/>
    <w:rsid w:val="00E0190E"/>
    <w:rsid w:val="00E01ABD"/>
    <w:rsid w:val="00E01AE5"/>
    <w:rsid w:val="00E021E4"/>
    <w:rsid w:val="00E0221B"/>
    <w:rsid w:val="00E02558"/>
    <w:rsid w:val="00E02588"/>
    <w:rsid w:val="00E025BF"/>
    <w:rsid w:val="00E02975"/>
    <w:rsid w:val="00E02C0D"/>
    <w:rsid w:val="00E02D65"/>
    <w:rsid w:val="00E02F96"/>
    <w:rsid w:val="00E02FA2"/>
    <w:rsid w:val="00E0301F"/>
    <w:rsid w:val="00E03063"/>
    <w:rsid w:val="00E0333A"/>
    <w:rsid w:val="00E0347D"/>
    <w:rsid w:val="00E037D1"/>
    <w:rsid w:val="00E037F9"/>
    <w:rsid w:val="00E037FB"/>
    <w:rsid w:val="00E039CB"/>
    <w:rsid w:val="00E03A73"/>
    <w:rsid w:val="00E03A75"/>
    <w:rsid w:val="00E03B0A"/>
    <w:rsid w:val="00E03F61"/>
    <w:rsid w:val="00E03FF8"/>
    <w:rsid w:val="00E041CD"/>
    <w:rsid w:val="00E041E9"/>
    <w:rsid w:val="00E04312"/>
    <w:rsid w:val="00E04468"/>
    <w:rsid w:val="00E045AC"/>
    <w:rsid w:val="00E045F6"/>
    <w:rsid w:val="00E04A35"/>
    <w:rsid w:val="00E04A77"/>
    <w:rsid w:val="00E04AB6"/>
    <w:rsid w:val="00E04C1F"/>
    <w:rsid w:val="00E04DEC"/>
    <w:rsid w:val="00E04E97"/>
    <w:rsid w:val="00E04F54"/>
    <w:rsid w:val="00E04F78"/>
    <w:rsid w:val="00E05091"/>
    <w:rsid w:val="00E0509C"/>
    <w:rsid w:val="00E05334"/>
    <w:rsid w:val="00E0568B"/>
    <w:rsid w:val="00E057A9"/>
    <w:rsid w:val="00E059EB"/>
    <w:rsid w:val="00E05F70"/>
    <w:rsid w:val="00E05FBC"/>
    <w:rsid w:val="00E06066"/>
    <w:rsid w:val="00E060CC"/>
    <w:rsid w:val="00E06122"/>
    <w:rsid w:val="00E06139"/>
    <w:rsid w:val="00E062BA"/>
    <w:rsid w:val="00E06387"/>
    <w:rsid w:val="00E068B4"/>
    <w:rsid w:val="00E068B6"/>
    <w:rsid w:val="00E068E5"/>
    <w:rsid w:val="00E06976"/>
    <w:rsid w:val="00E06A88"/>
    <w:rsid w:val="00E06ACF"/>
    <w:rsid w:val="00E06C14"/>
    <w:rsid w:val="00E06E44"/>
    <w:rsid w:val="00E070F5"/>
    <w:rsid w:val="00E07126"/>
    <w:rsid w:val="00E071C2"/>
    <w:rsid w:val="00E0729F"/>
    <w:rsid w:val="00E074AA"/>
    <w:rsid w:val="00E07976"/>
    <w:rsid w:val="00E079E6"/>
    <w:rsid w:val="00E07B12"/>
    <w:rsid w:val="00E07E47"/>
    <w:rsid w:val="00E07FC8"/>
    <w:rsid w:val="00E10104"/>
    <w:rsid w:val="00E1042B"/>
    <w:rsid w:val="00E109AF"/>
    <w:rsid w:val="00E10A6E"/>
    <w:rsid w:val="00E10B66"/>
    <w:rsid w:val="00E10BCD"/>
    <w:rsid w:val="00E10CD9"/>
    <w:rsid w:val="00E10DFD"/>
    <w:rsid w:val="00E1108C"/>
    <w:rsid w:val="00E11262"/>
    <w:rsid w:val="00E113BE"/>
    <w:rsid w:val="00E1142F"/>
    <w:rsid w:val="00E11554"/>
    <w:rsid w:val="00E11A20"/>
    <w:rsid w:val="00E11B24"/>
    <w:rsid w:val="00E11E5C"/>
    <w:rsid w:val="00E12032"/>
    <w:rsid w:val="00E123B0"/>
    <w:rsid w:val="00E123B5"/>
    <w:rsid w:val="00E124AA"/>
    <w:rsid w:val="00E124CA"/>
    <w:rsid w:val="00E12721"/>
    <w:rsid w:val="00E127B6"/>
    <w:rsid w:val="00E12A21"/>
    <w:rsid w:val="00E12B10"/>
    <w:rsid w:val="00E12B6B"/>
    <w:rsid w:val="00E12BCC"/>
    <w:rsid w:val="00E13157"/>
    <w:rsid w:val="00E133CC"/>
    <w:rsid w:val="00E134A4"/>
    <w:rsid w:val="00E134AF"/>
    <w:rsid w:val="00E134BC"/>
    <w:rsid w:val="00E134CF"/>
    <w:rsid w:val="00E13538"/>
    <w:rsid w:val="00E1353D"/>
    <w:rsid w:val="00E13546"/>
    <w:rsid w:val="00E135CB"/>
    <w:rsid w:val="00E136F6"/>
    <w:rsid w:val="00E1382A"/>
    <w:rsid w:val="00E13E2F"/>
    <w:rsid w:val="00E13F10"/>
    <w:rsid w:val="00E13FC2"/>
    <w:rsid w:val="00E1408B"/>
    <w:rsid w:val="00E14123"/>
    <w:rsid w:val="00E1412A"/>
    <w:rsid w:val="00E1419C"/>
    <w:rsid w:val="00E141CC"/>
    <w:rsid w:val="00E142DE"/>
    <w:rsid w:val="00E14331"/>
    <w:rsid w:val="00E14375"/>
    <w:rsid w:val="00E14407"/>
    <w:rsid w:val="00E14506"/>
    <w:rsid w:val="00E1460D"/>
    <w:rsid w:val="00E1474C"/>
    <w:rsid w:val="00E1477D"/>
    <w:rsid w:val="00E14829"/>
    <w:rsid w:val="00E148FE"/>
    <w:rsid w:val="00E1491E"/>
    <w:rsid w:val="00E14953"/>
    <w:rsid w:val="00E14AAF"/>
    <w:rsid w:val="00E14B7F"/>
    <w:rsid w:val="00E14E80"/>
    <w:rsid w:val="00E1514A"/>
    <w:rsid w:val="00E151FE"/>
    <w:rsid w:val="00E1521C"/>
    <w:rsid w:val="00E152B5"/>
    <w:rsid w:val="00E153AC"/>
    <w:rsid w:val="00E15681"/>
    <w:rsid w:val="00E15985"/>
    <w:rsid w:val="00E15A95"/>
    <w:rsid w:val="00E15AC8"/>
    <w:rsid w:val="00E15AE9"/>
    <w:rsid w:val="00E15AEF"/>
    <w:rsid w:val="00E15BF9"/>
    <w:rsid w:val="00E15CC3"/>
    <w:rsid w:val="00E15D0E"/>
    <w:rsid w:val="00E1602C"/>
    <w:rsid w:val="00E16048"/>
    <w:rsid w:val="00E164C3"/>
    <w:rsid w:val="00E16630"/>
    <w:rsid w:val="00E16909"/>
    <w:rsid w:val="00E1692C"/>
    <w:rsid w:val="00E169A0"/>
    <w:rsid w:val="00E169E6"/>
    <w:rsid w:val="00E16A47"/>
    <w:rsid w:val="00E16F21"/>
    <w:rsid w:val="00E16F6B"/>
    <w:rsid w:val="00E16F9C"/>
    <w:rsid w:val="00E170B4"/>
    <w:rsid w:val="00E175CD"/>
    <w:rsid w:val="00E177CB"/>
    <w:rsid w:val="00E17823"/>
    <w:rsid w:val="00E178A8"/>
    <w:rsid w:val="00E178E5"/>
    <w:rsid w:val="00E17998"/>
    <w:rsid w:val="00E1799A"/>
    <w:rsid w:val="00E179E3"/>
    <w:rsid w:val="00E17C89"/>
    <w:rsid w:val="00E17DB6"/>
    <w:rsid w:val="00E17F8E"/>
    <w:rsid w:val="00E20258"/>
    <w:rsid w:val="00E20318"/>
    <w:rsid w:val="00E20319"/>
    <w:rsid w:val="00E205FB"/>
    <w:rsid w:val="00E206C6"/>
    <w:rsid w:val="00E20703"/>
    <w:rsid w:val="00E20715"/>
    <w:rsid w:val="00E208B9"/>
    <w:rsid w:val="00E20D4B"/>
    <w:rsid w:val="00E20E6C"/>
    <w:rsid w:val="00E20EFB"/>
    <w:rsid w:val="00E20F54"/>
    <w:rsid w:val="00E20FA1"/>
    <w:rsid w:val="00E210EB"/>
    <w:rsid w:val="00E2151A"/>
    <w:rsid w:val="00E2168D"/>
    <w:rsid w:val="00E216F0"/>
    <w:rsid w:val="00E218A8"/>
    <w:rsid w:val="00E21A29"/>
    <w:rsid w:val="00E21D54"/>
    <w:rsid w:val="00E2216C"/>
    <w:rsid w:val="00E22191"/>
    <w:rsid w:val="00E22645"/>
    <w:rsid w:val="00E226F4"/>
    <w:rsid w:val="00E22864"/>
    <w:rsid w:val="00E2291E"/>
    <w:rsid w:val="00E2298A"/>
    <w:rsid w:val="00E22AFD"/>
    <w:rsid w:val="00E22BD7"/>
    <w:rsid w:val="00E22CF3"/>
    <w:rsid w:val="00E23037"/>
    <w:rsid w:val="00E233FF"/>
    <w:rsid w:val="00E2396F"/>
    <w:rsid w:val="00E239EB"/>
    <w:rsid w:val="00E23AB0"/>
    <w:rsid w:val="00E23B15"/>
    <w:rsid w:val="00E23B8F"/>
    <w:rsid w:val="00E23D27"/>
    <w:rsid w:val="00E23D2C"/>
    <w:rsid w:val="00E2407D"/>
    <w:rsid w:val="00E24796"/>
    <w:rsid w:val="00E247F3"/>
    <w:rsid w:val="00E24852"/>
    <w:rsid w:val="00E24CFB"/>
    <w:rsid w:val="00E24F30"/>
    <w:rsid w:val="00E25017"/>
    <w:rsid w:val="00E25233"/>
    <w:rsid w:val="00E25442"/>
    <w:rsid w:val="00E25522"/>
    <w:rsid w:val="00E25545"/>
    <w:rsid w:val="00E2562B"/>
    <w:rsid w:val="00E25690"/>
    <w:rsid w:val="00E2574D"/>
    <w:rsid w:val="00E258A1"/>
    <w:rsid w:val="00E25B46"/>
    <w:rsid w:val="00E25CAE"/>
    <w:rsid w:val="00E26047"/>
    <w:rsid w:val="00E26344"/>
    <w:rsid w:val="00E2642E"/>
    <w:rsid w:val="00E26640"/>
    <w:rsid w:val="00E26809"/>
    <w:rsid w:val="00E26B8C"/>
    <w:rsid w:val="00E26C02"/>
    <w:rsid w:val="00E26DB9"/>
    <w:rsid w:val="00E26DBF"/>
    <w:rsid w:val="00E26E8B"/>
    <w:rsid w:val="00E26F1F"/>
    <w:rsid w:val="00E26FE0"/>
    <w:rsid w:val="00E27059"/>
    <w:rsid w:val="00E27308"/>
    <w:rsid w:val="00E27632"/>
    <w:rsid w:val="00E2771B"/>
    <w:rsid w:val="00E27787"/>
    <w:rsid w:val="00E2786F"/>
    <w:rsid w:val="00E27B67"/>
    <w:rsid w:val="00E27CEF"/>
    <w:rsid w:val="00E27CFA"/>
    <w:rsid w:val="00E27D9D"/>
    <w:rsid w:val="00E27DC0"/>
    <w:rsid w:val="00E27F73"/>
    <w:rsid w:val="00E27FD2"/>
    <w:rsid w:val="00E301FE"/>
    <w:rsid w:val="00E30213"/>
    <w:rsid w:val="00E3030C"/>
    <w:rsid w:val="00E3041B"/>
    <w:rsid w:val="00E3053E"/>
    <w:rsid w:val="00E30543"/>
    <w:rsid w:val="00E30565"/>
    <w:rsid w:val="00E305E1"/>
    <w:rsid w:val="00E30A57"/>
    <w:rsid w:val="00E30B1A"/>
    <w:rsid w:val="00E30EDD"/>
    <w:rsid w:val="00E30EED"/>
    <w:rsid w:val="00E31075"/>
    <w:rsid w:val="00E3120F"/>
    <w:rsid w:val="00E313FF"/>
    <w:rsid w:val="00E31449"/>
    <w:rsid w:val="00E3169C"/>
    <w:rsid w:val="00E3182D"/>
    <w:rsid w:val="00E318B3"/>
    <w:rsid w:val="00E31B57"/>
    <w:rsid w:val="00E31B74"/>
    <w:rsid w:val="00E31C85"/>
    <w:rsid w:val="00E31D2E"/>
    <w:rsid w:val="00E31DA6"/>
    <w:rsid w:val="00E31E51"/>
    <w:rsid w:val="00E31F4F"/>
    <w:rsid w:val="00E32173"/>
    <w:rsid w:val="00E32208"/>
    <w:rsid w:val="00E322D9"/>
    <w:rsid w:val="00E3232A"/>
    <w:rsid w:val="00E3244D"/>
    <w:rsid w:val="00E325E5"/>
    <w:rsid w:val="00E32743"/>
    <w:rsid w:val="00E3283D"/>
    <w:rsid w:val="00E32857"/>
    <w:rsid w:val="00E32A70"/>
    <w:rsid w:val="00E33040"/>
    <w:rsid w:val="00E33070"/>
    <w:rsid w:val="00E33104"/>
    <w:rsid w:val="00E33129"/>
    <w:rsid w:val="00E33197"/>
    <w:rsid w:val="00E333B7"/>
    <w:rsid w:val="00E33575"/>
    <w:rsid w:val="00E3375E"/>
    <w:rsid w:val="00E33DCE"/>
    <w:rsid w:val="00E33FAD"/>
    <w:rsid w:val="00E340D1"/>
    <w:rsid w:val="00E340D4"/>
    <w:rsid w:val="00E343FC"/>
    <w:rsid w:val="00E34492"/>
    <w:rsid w:val="00E345CC"/>
    <w:rsid w:val="00E3497B"/>
    <w:rsid w:val="00E349B7"/>
    <w:rsid w:val="00E34A2E"/>
    <w:rsid w:val="00E34C6F"/>
    <w:rsid w:val="00E35175"/>
    <w:rsid w:val="00E35299"/>
    <w:rsid w:val="00E353C5"/>
    <w:rsid w:val="00E3556B"/>
    <w:rsid w:val="00E35651"/>
    <w:rsid w:val="00E35797"/>
    <w:rsid w:val="00E358D0"/>
    <w:rsid w:val="00E35C84"/>
    <w:rsid w:val="00E35CF7"/>
    <w:rsid w:val="00E35DEA"/>
    <w:rsid w:val="00E3614B"/>
    <w:rsid w:val="00E3620F"/>
    <w:rsid w:val="00E36282"/>
    <w:rsid w:val="00E362BE"/>
    <w:rsid w:val="00E363A7"/>
    <w:rsid w:val="00E365B5"/>
    <w:rsid w:val="00E36609"/>
    <w:rsid w:val="00E36701"/>
    <w:rsid w:val="00E368C0"/>
    <w:rsid w:val="00E36915"/>
    <w:rsid w:val="00E36976"/>
    <w:rsid w:val="00E36A88"/>
    <w:rsid w:val="00E36D9F"/>
    <w:rsid w:val="00E37276"/>
    <w:rsid w:val="00E37473"/>
    <w:rsid w:val="00E37521"/>
    <w:rsid w:val="00E3755D"/>
    <w:rsid w:val="00E375B8"/>
    <w:rsid w:val="00E37660"/>
    <w:rsid w:val="00E378B5"/>
    <w:rsid w:val="00E37B86"/>
    <w:rsid w:val="00E40113"/>
    <w:rsid w:val="00E4044F"/>
    <w:rsid w:val="00E40717"/>
    <w:rsid w:val="00E407DD"/>
    <w:rsid w:val="00E4084D"/>
    <w:rsid w:val="00E4093F"/>
    <w:rsid w:val="00E40A28"/>
    <w:rsid w:val="00E40A36"/>
    <w:rsid w:val="00E40AB0"/>
    <w:rsid w:val="00E40B3B"/>
    <w:rsid w:val="00E40B89"/>
    <w:rsid w:val="00E40D1E"/>
    <w:rsid w:val="00E40E1E"/>
    <w:rsid w:val="00E40E56"/>
    <w:rsid w:val="00E40E65"/>
    <w:rsid w:val="00E40E6B"/>
    <w:rsid w:val="00E4109B"/>
    <w:rsid w:val="00E410C4"/>
    <w:rsid w:val="00E4110F"/>
    <w:rsid w:val="00E4113E"/>
    <w:rsid w:val="00E41239"/>
    <w:rsid w:val="00E41295"/>
    <w:rsid w:val="00E412B7"/>
    <w:rsid w:val="00E412C0"/>
    <w:rsid w:val="00E41427"/>
    <w:rsid w:val="00E4151E"/>
    <w:rsid w:val="00E4153F"/>
    <w:rsid w:val="00E41620"/>
    <w:rsid w:val="00E41759"/>
    <w:rsid w:val="00E41BDF"/>
    <w:rsid w:val="00E42096"/>
    <w:rsid w:val="00E42214"/>
    <w:rsid w:val="00E42655"/>
    <w:rsid w:val="00E426F2"/>
    <w:rsid w:val="00E42868"/>
    <w:rsid w:val="00E428F8"/>
    <w:rsid w:val="00E42AC9"/>
    <w:rsid w:val="00E42B34"/>
    <w:rsid w:val="00E42B35"/>
    <w:rsid w:val="00E42B52"/>
    <w:rsid w:val="00E42CA2"/>
    <w:rsid w:val="00E42D8C"/>
    <w:rsid w:val="00E43018"/>
    <w:rsid w:val="00E4335B"/>
    <w:rsid w:val="00E433BB"/>
    <w:rsid w:val="00E43462"/>
    <w:rsid w:val="00E4358E"/>
    <w:rsid w:val="00E4359F"/>
    <w:rsid w:val="00E43B28"/>
    <w:rsid w:val="00E43D35"/>
    <w:rsid w:val="00E440C2"/>
    <w:rsid w:val="00E440CB"/>
    <w:rsid w:val="00E44130"/>
    <w:rsid w:val="00E441FB"/>
    <w:rsid w:val="00E44962"/>
    <w:rsid w:val="00E44BA9"/>
    <w:rsid w:val="00E44EB9"/>
    <w:rsid w:val="00E450D7"/>
    <w:rsid w:val="00E45305"/>
    <w:rsid w:val="00E4556A"/>
    <w:rsid w:val="00E4556E"/>
    <w:rsid w:val="00E45870"/>
    <w:rsid w:val="00E45BCA"/>
    <w:rsid w:val="00E45F7A"/>
    <w:rsid w:val="00E46083"/>
    <w:rsid w:val="00E4675A"/>
    <w:rsid w:val="00E468E5"/>
    <w:rsid w:val="00E46AA9"/>
    <w:rsid w:val="00E46EA9"/>
    <w:rsid w:val="00E47093"/>
    <w:rsid w:val="00E472B5"/>
    <w:rsid w:val="00E472D6"/>
    <w:rsid w:val="00E473B7"/>
    <w:rsid w:val="00E474AA"/>
    <w:rsid w:val="00E47612"/>
    <w:rsid w:val="00E47622"/>
    <w:rsid w:val="00E47715"/>
    <w:rsid w:val="00E47922"/>
    <w:rsid w:val="00E479CC"/>
    <w:rsid w:val="00E47CDF"/>
    <w:rsid w:val="00E47EEB"/>
    <w:rsid w:val="00E47F96"/>
    <w:rsid w:val="00E47FE1"/>
    <w:rsid w:val="00E50083"/>
    <w:rsid w:val="00E501C1"/>
    <w:rsid w:val="00E50224"/>
    <w:rsid w:val="00E502EB"/>
    <w:rsid w:val="00E503FA"/>
    <w:rsid w:val="00E50523"/>
    <w:rsid w:val="00E50739"/>
    <w:rsid w:val="00E50778"/>
    <w:rsid w:val="00E50A32"/>
    <w:rsid w:val="00E50A44"/>
    <w:rsid w:val="00E50A9F"/>
    <w:rsid w:val="00E50B08"/>
    <w:rsid w:val="00E50C20"/>
    <w:rsid w:val="00E50C8D"/>
    <w:rsid w:val="00E50F49"/>
    <w:rsid w:val="00E5137A"/>
    <w:rsid w:val="00E515CF"/>
    <w:rsid w:val="00E5182B"/>
    <w:rsid w:val="00E51A14"/>
    <w:rsid w:val="00E51D58"/>
    <w:rsid w:val="00E51ECF"/>
    <w:rsid w:val="00E52403"/>
    <w:rsid w:val="00E52533"/>
    <w:rsid w:val="00E52541"/>
    <w:rsid w:val="00E525EE"/>
    <w:rsid w:val="00E52AE1"/>
    <w:rsid w:val="00E52B1E"/>
    <w:rsid w:val="00E52C33"/>
    <w:rsid w:val="00E52ECD"/>
    <w:rsid w:val="00E532E2"/>
    <w:rsid w:val="00E534F1"/>
    <w:rsid w:val="00E535B2"/>
    <w:rsid w:val="00E53604"/>
    <w:rsid w:val="00E53625"/>
    <w:rsid w:val="00E53924"/>
    <w:rsid w:val="00E539C7"/>
    <w:rsid w:val="00E53A4E"/>
    <w:rsid w:val="00E53AB0"/>
    <w:rsid w:val="00E53F99"/>
    <w:rsid w:val="00E540F9"/>
    <w:rsid w:val="00E54304"/>
    <w:rsid w:val="00E54321"/>
    <w:rsid w:val="00E5436F"/>
    <w:rsid w:val="00E54485"/>
    <w:rsid w:val="00E544B0"/>
    <w:rsid w:val="00E544F9"/>
    <w:rsid w:val="00E54731"/>
    <w:rsid w:val="00E5480B"/>
    <w:rsid w:val="00E54913"/>
    <w:rsid w:val="00E54F02"/>
    <w:rsid w:val="00E54F0A"/>
    <w:rsid w:val="00E54FB8"/>
    <w:rsid w:val="00E54FF2"/>
    <w:rsid w:val="00E552E1"/>
    <w:rsid w:val="00E55358"/>
    <w:rsid w:val="00E554AC"/>
    <w:rsid w:val="00E55854"/>
    <w:rsid w:val="00E559B0"/>
    <w:rsid w:val="00E55BFB"/>
    <w:rsid w:val="00E55CC3"/>
    <w:rsid w:val="00E55CF4"/>
    <w:rsid w:val="00E55D52"/>
    <w:rsid w:val="00E55E4C"/>
    <w:rsid w:val="00E55ECD"/>
    <w:rsid w:val="00E55FC1"/>
    <w:rsid w:val="00E5603C"/>
    <w:rsid w:val="00E5621C"/>
    <w:rsid w:val="00E56479"/>
    <w:rsid w:val="00E56639"/>
    <w:rsid w:val="00E568EE"/>
    <w:rsid w:val="00E56910"/>
    <w:rsid w:val="00E56ABE"/>
    <w:rsid w:val="00E56C0E"/>
    <w:rsid w:val="00E56C94"/>
    <w:rsid w:val="00E56CCC"/>
    <w:rsid w:val="00E56F1A"/>
    <w:rsid w:val="00E57008"/>
    <w:rsid w:val="00E57252"/>
    <w:rsid w:val="00E574D5"/>
    <w:rsid w:val="00E5765E"/>
    <w:rsid w:val="00E57713"/>
    <w:rsid w:val="00E57AB9"/>
    <w:rsid w:val="00E57BE9"/>
    <w:rsid w:val="00E57D03"/>
    <w:rsid w:val="00E6007A"/>
    <w:rsid w:val="00E601EF"/>
    <w:rsid w:val="00E604A9"/>
    <w:rsid w:val="00E60811"/>
    <w:rsid w:val="00E6086F"/>
    <w:rsid w:val="00E60B8A"/>
    <w:rsid w:val="00E60CC4"/>
    <w:rsid w:val="00E60CD2"/>
    <w:rsid w:val="00E60D9A"/>
    <w:rsid w:val="00E60DE2"/>
    <w:rsid w:val="00E60E56"/>
    <w:rsid w:val="00E6161D"/>
    <w:rsid w:val="00E61A11"/>
    <w:rsid w:val="00E61BF1"/>
    <w:rsid w:val="00E61C13"/>
    <w:rsid w:val="00E61D07"/>
    <w:rsid w:val="00E61EC2"/>
    <w:rsid w:val="00E61EF8"/>
    <w:rsid w:val="00E62013"/>
    <w:rsid w:val="00E620BE"/>
    <w:rsid w:val="00E62246"/>
    <w:rsid w:val="00E625FA"/>
    <w:rsid w:val="00E62908"/>
    <w:rsid w:val="00E62D19"/>
    <w:rsid w:val="00E62D1E"/>
    <w:rsid w:val="00E62D6B"/>
    <w:rsid w:val="00E62EA5"/>
    <w:rsid w:val="00E62EAC"/>
    <w:rsid w:val="00E63282"/>
    <w:rsid w:val="00E6338A"/>
    <w:rsid w:val="00E63437"/>
    <w:rsid w:val="00E63588"/>
    <w:rsid w:val="00E63618"/>
    <w:rsid w:val="00E63945"/>
    <w:rsid w:val="00E63B82"/>
    <w:rsid w:val="00E63E0C"/>
    <w:rsid w:val="00E63F2C"/>
    <w:rsid w:val="00E642CF"/>
    <w:rsid w:val="00E64538"/>
    <w:rsid w:val="00E6453B"/>
    <w:rsid w:val="00E64630"/>
    <w:rsid w:val="00E64690"/>
    <w:rsid w:val="00E648A0"/>
    <w:rsid w:val="00E64F16"/>
    <w:rsid w:val="00E6546D"/>
    <w:rsid w:val="00E654DC"/>
    <w:rsid w:val="00E65610"/>
    <w:rsid w:val="00E656AB"/>
    <w:rsid w:val="00E65AD3"/>
    <w:rsid w:val="00E65C6D"/>
    <w:rsid w:val="00E65E42"/>
    <w:rsid w:val="00E65EDC"/>
    <w:rsid w:val="00E65F98"/>
    <w:rsid w:val="00E6601A"/>
    <w:rsid w:val="00E66370"/>
    <w:rsid w:val="00E66411"/>
    <w:rsid w:val="00E665C2"/>
    <w:rsid w:val="00E668DB"/>
    <w:rsid w:val="00E6696C"/>
    <w:rsid w:val="00E66A3E"/>
    <w:rsid w:val="00E66AE6"/>
    <w:rsid w:val="00E66B22"/>
    <w:rsid w:val="00E66F1D"/>
    <w:rsid w:val="00E670A1"/>
    <w:rsid w:val="00E6739C"/>
    <w:rsid w:val="00E673F9"/>
    <w:rsid w:val="00E674D8"/>
    <w:rsid w:val="00E674F8"/>
    <w:rsid w:val="00E67799"/>
    <w:rsid w:val="00E679BA"/>
    <w:rsid w:val="00E67D3D"/>
    <w:rsid w:val="00E67E8E"/>
    <w:rsid w:val="00E70921"/>
    <w:rsid w:val="00E70A83"/>
    <w:rsid w:val="00E70B33"/>
    <w:rsid w:val="00E70B55"/>
    <w:rsid w:val="00E70E6A"/>
    <w:rsid w:val="00E70E80"/>
    <w:rsid w:val="00E70E82"/>
    <w:rsid w:val="00E7101D"/>
    <w:rsid w:val="00E71077"/>
    <w:rsid w:val="00E71225"/>
    <w:rsid w:val="00E71354"/>
    <w:rsid w:val="00E713CB"/>
    <w:rsid w:val="00E713F4"/>
    <w:rsid w:val="00E7146C"/>
    <w:rsid w:val="00E71C55"/>
    <w:rsid w:val="00E71D16"/>
    <w:rsid w:val="00E71E54"/>
    <w:rsid w:val="00E71EA5"/>
    <w:rsid w:val="00E7203A"/>
    <w:rsid w:val="00E720AE"/>
    <w:rsid w:val="00E722F7"/>
    <w:rsid w:val="00E723D3"/>
    <w:rsid w:val="00E7246F"/>
    <w:rsid w:val="00E725A9"/>
    <w:rsid w:val="00E72702"/>
    <w:rsid w:val="00E72811"/>
    <w:rsid w:val="00E7292A"/>
    <w:rsid w:val="00E729F4"/>
    <w:rsid w:val="00E72B9F"/>
    <w:rsid w:val="00E72CBE"/>
    <w:rsid w:val="00E72CED"/>
    <w:rsid w:val="00E72D9D"/>
    <w:rsid w:val="00E730E4"/>
    <w:rsid w:val="00E731E1"/>
    <w:rsid w:val="00E73445"/>
    <w:rsid w:val="00E7355E"/>
    <w:rsid w:val="00E737B7"/>
    <w:rsid w:val="00E73958"/>
    <w:rsid w:val="00E739FF"/>
    <w:rsid w:val="00E73BB3"/>
    <w:rsid w:val="00E73BDD"/>
    <w:rsid w:val="00E73E95"/>
    <w:rsid w:val="00E73F98"/>
    <w:rsid w:val="00E742C3"/>
    <w:rsid w:val="00E7431D"/>
    <w:rsid w:val="00E7451E"/>
    <w:rsid w:val="00E7481B"/>
    <w:rsid w:val="00E7484A"/>
    <w:rsid w:val="00E748F0"/>
    <w:rsid w:val="00E74949"/>
    <w:rsid w:val="00E74A1E"/>
    <w:rsid w:val="00E74B21"/>
    <w:rsid w:val="00E74C43"/>
    <w:rsid w:val="00E74D52"/>
    <w:rsid w:val="00E74E97"/>
    <w:rsid w:val="00E751F2"/>
    <w:rsid w:val="00E7583E"/>
    <w:rsid w:val="00E75A7A"/>
    <w:rsid w:val="00E75F9E"/>
    <w:rsid w:val="00E75FFA"/>
    <w:rsid w:val="00E76204"/>
    <w:rsid w:val="00E76479"/>
    <w:rsid w:val="00E766B3"/>
    <w:rsid w:val="00E766E1"/>
    <w:rsid w:val="00E7688D"/>
    <w:rsid w:val="00E7698F"/>
    <w:rsid w:val="00E76A8D"/>
    <w:rsid w:val="00E76BF6"/>
    <w:rsid w:val="00E76C8B"/>
    <w:rsid w:val="00E76E3B"/>
    <w:rsid w:val="00E76F33"/>
    <w:rsid w:val="00E77748"/>
    <w:rsid w:val="00E77812"/>
    <w:rsid w:val="00E778AD"/>
    <w:rsid w:val="00E77A8B"/>
    <w:rsid w:val="00E77AA6"/>
    <w:rsid w:val="00E77B4E"/>
    <w:rsid w:val="00E77C30"/>
    <w:rsid w:val="00E77C6B"/>
    <w:rsid w:val="00E77CF8"/>
    <w:rsid w:val="00E77EB2"/>
    <w:rsid w:val="00E77F83"/>
    <w:rsid w:val="00E800B6"/>
    <w:rsid w:val="00E80266"/>
    <w:rsid w:val="00E8032D"/>
    <w:rsid w:val="00E803F8"/>
    <w:rsid w:val="00E80497"/>
    <w:rsid w:val="00E80A50"/>
    <w:rsid w:val="00E80AC4"/>
    <w:rsid w:val="00E80AEC"/>
    <w:rsid w:val="00E80C71"/>
    <w:rsid w:val="00E80D91"/>
    <w:rsid w:val="00E80E10"/>
    <w:rsid w:val="00E80F4E"/>
    <w:rsid w:val="00E8104C"/>
    <w:rsid w:val="00E811A7"/>
    <w:rsid w:val="00E81328"/>
    <w:rsid w:val="00E8147C"/>
    <w:rsid w:val="00E814EB"/>
    <w:rsid w:val="00E815E3"/>
    <w:rsid w:val="00E815F7"/>
    <w:rsid w:val="00E81604"/>
    <w:rsid w:val="00E818F5"/>
    <w:rsid w:val="00E81977"/>
    <w:rsid w:val="00E81A1C"/>
    <w:rsid w:val="00E81A69"/>
    <w:rsid w:val="00E81D01"/>
    <w:rsid w:val="00E81FA6"/>
    <w:rsid w:val="00E82084"/>
    <w:rsid w:val="00E82328"/>
    <w:rsid w:val="00E823B8"/>
    <w:rsid w:val="00E82402"/>
    <w:rsid w:val="00E826A9"/>
    <w:rsid w:val="00E82920"/>
    <w:rsid w:val="00E82946"/>
    <w:rsid w:val="00E82BA0"/>
    <w:rsid w:val="00E82C20"/>
    <w:rsid w:val="00E82C88"/>
    <w:rsid w:val="00E82D16"/>
    <w:rsid w:val="00E82D47"/>
    <w:rsid w:val="00E82D8B"/>
    <w:rsid w:val="00E8307A"/>
    <w:rsid w:val="00E830C1"/>
    <w:rsid w:val="00E830D2"/>
    <w:rsid w:val="00E83149"/>
    <w:rsid w:val="00E831D5"/>
    <w:rsid w:val="00E83272"/>
    <w:rsid w:val="00E8346D"/>
    <w:rsid w:val="00E834BE"/>
    <w:rsid w:val="00E83593"/>
    <w:rsid w:val="00E83680"/>
    <w:rsid w:val="00E83775"/>
    <w:rsid w:val="00E838EB"/>
    <w:rsid w:val="00E83E49"/>
    <w:rsid w:val="00E83EDA"/>
    <w:rsid w:val="00E83EF1"/>
    <w:rsid w:val="00E83FB6"/>
    <w:rsid w:val="00E846AD"/>
    <w:rsid w:val="00E84799"/>
    <w:rsid w:val="00E84A02"/>
    <w:rsid w:val="00E84AA6"/>
    <w:rsid w:val="00E84C6B"/>
    <w:rsid w:val="00E84C9E"/>
    <w:rsid w:val="00E84CBF"/>
    <w:rsid w:val="00E84E43"/>
    <w:rsid w:val="00E84F6C"/>
    <w:rsid w:val="00E850BA"/>
    <w:rsid w:val="00E850BB"/>
    <w:rsid w:val="00E851B3"/>
    <w:rsid w:val="00E85205"/>
    <w:rsid w:val="00E85266"/>
    <w:rsid w:val="00E85669"/>
    <w:rsid w:val="00E85805"/>
    <w:rsid w:val="00E858D8"/>
    <w:rsid w:val="00E85A4F"/>
    <w:rsid w:val="00E85C37"/>
    <w:rsid w:val="00E8603F"/>
    <w:rsid w:val="00E862F1"/>
    <w:rsid w:val="00E863CC"/>
    <w:rsid w:val="00E864D5"/>
    <w:rsid w:val="00E864EA"/>
    <w:rsid w:val="00E86547"/>
    <w:rsid w:val="00E865D8"/>
    <w:rsid w:val="00E8665E"/>
    <w:rsid w:val="00E866B4"/>
    <w:rsid w:val="00E86717"/>
    <w:rsid w:val="00E86874"/>
    <w:rsid w:val="00E86B94"/>
    <w:rsid w:val="00E86EF6"/>
    <w:rsid w:val="00E8700D"/>
    <w:rsid w:val="00E87038"/>
    <w:rsid w:val="00E87089"/>
    <w:rsid w:val="00E87475"/>
    <w:rsid w:val="00E8751A"/>
    <w:rsid w:val="00E875FD"/>
    <w:rsid w:val="00E877F9"/>
    <w:rsid w:val="00E87B83"/>
    <w:rsid w:val="00E9032B"/>
    <w:rsid w:val="00E909B6"/>
    <w:rsid w:val="00E90B39"/>
    <w:rsid w:val="00E90BA1"/>
    <w:rsid w:val="00E90BD5"/>
    <w:rsid w:val="00E90DE9"/>
    <w:rsid w:val="00E90F1C"/>
    <w:rsid w:val="00E9109D"/>
    <w:rsid w:val="00E910E7"/>
    <w:rsid w:val="00E91103"/>
    <w:rsid w:val="00E912D0"/>
    <w:rsid w:val="00E9146E"/>
    <w:rsid w:val="00E915B8"/>
    <w:rsid w:val="00E9169B"/>
    <w:rsid w:val="00E916AC"/>
    <w:rsid w:val="00E91E54"/>
    <w:rsid w:val="00E920F3"/>
    <w:rsid w:val="00E922F8"/>
    <w:rsid w:val="00E9242A"/>
    <w:rsid w:val="00E9288E"/>
    <w:rsid w:val="00E928CA"/>
    <w:rsid w:val="00E92972"/>
    <w:rsid w:val="00E92A89"/>
    <w:rsid w:val="00E92B33"/>
    <w:rsid w:val="00E92BB5"/>
    <w:rsid w:val="00E92EF7"/>
    <w:rsid w:val="00E92F36"/>
    <w:rsid w:val="00E92F6A"/>
    <w:rsid w:val="00E930A6"/>
    <w:rsid w:val="00E930BF"/>
    <w:rsid w:val="00E9345A"/>
    <w:rsid w:val="00E934A7"/>
    <w:rsid w:val="00E93922"/>
    <w:rsid w:val="00E93A64"/>
    <w:rsid w:val="00E93A81"/>
    <w:rsid w:val="00E93B07"/>
    <w:rsid w:val="00E93C76"/>
    <w:rsid w:val="00E94324"/>
    <w:rsid w:val="00E94331"/>
    <w:rsid w:val="00E94478"/>
    <w:rsid w:val="00E94661"/>
    <w:rsid w:val="00E94671"/>
    <w:rsid w:val="00E947B5"/>
    <w:rsid w:val="00E948A0"/>
    <w:rsid w:val="00E94969"/>
    <w:rsid w:val="00E94C4B"/>
    <w:rsid w:val="00E94D80"/>
    <w:rsid w:val="00E94E15"/>
    <w:rsid w:val="00E953F0"/>
    <w:rsid w:val="00E95588"/>
    <w:rsid w:val="00E9562D"/>
    <w:rsid w:val="00E95675"/>
    <w:rsid w:val="00E956DE"/>
    <w:rsid w:val="00E95884"/>
    <w:rsid w:val="00E959CF"/>
    <w:rsid w:val="00E95AEE"/>
    <w:rsid w:val="00E95BC4"/>
    <w:rsid w:val="00E95C66"/>
    <w:rsid w:val="00E95D3A"/>
    <w:rsid w:val="00E95E18"/>
    <w:rsid w:val="00E9618A"/>
    <w:rsid w:val="00E96220"/>
    <w:rsid w:val="00E96298"/>
    <w:rsid w:val="00E96499"/>
    <w:rsid w:val="00E9654B"/>
    <w:rsid w:val="00E965FE"/>
    <w:rsid w:val="00E9674C"/>
    <w:rsid w:val="00E9678F"/>
    <w:rsid w:val="00E96A4E"/>
    <w:rsid w:val="00E96B9F"/>
    <w:rsid w:val="00E96E07"/>
    <w:rsid w:val="00E96E39"/>
    <w:rsid w:val="00E96FBE"/>
    <w:rsid w:val="00E97089"/>
    <w:rsid w:val="00E9740B"/>
    <w:rsid w:val="00E977B9"/>
    <w:rsid w:val="00E97A0B"/>
    <w:rsid w:val="00E97C19"/>
    <w:rsid w:val="00E97E1C"/>
    <w:rsid w:val="00E97E56"/>
    <w:rsid w:val="00E97EE7"/>
    <w:rsid w:val="00EA00D5"/>
    <w:rsid w:val="00EA04B8"/>
    <w:rsid w:val="00EA057D"/>
    <w:rsid w:val="00EA09CD"/>
    <w:rsid w:val="00EA0E83"/>
    <w:rsid w:val="00EA1009"/>
    <w:rsid w:val="00EA13D2"/>
    <w:rsid w:val="00EA14AA"/>
    <w:rsid w:val="00EA163A"/>
    <w:rsid w:val="00EA17A8"/>
    <w:rsid w:val="00EA187F"/>
    <w:rsid w:val="00EA18DF"/>
    <w:rsid w:val="00EA191D"/>
    <w:rsid w:val="00EA1B01"/>
    <w:rsid w:val="00EA1BD3"/>
    <w:rsid w:val="00EA1E12"/>
    <w:rsid w:val="00EA1E5A"/>
    <w:rsid w:val="00EA1F62"/>
    <w:rsid w:val="00EA1F6A"/>
    <w:rsid w:val="00EA2017"/>
    <w:rsid w:val="00EA221B"/>
    <w:rsid w:val="00EA2259"/>
    <w:rsid w:val="00EA23CA"/>
    <w:rsid w:val="00EA2432"/>
    <w:rsid w:val="00EA25F9"/>
    <w:rsid w:val="00EA2671"/>
    <w:rsid w:val="00EA26D0"/>
    <w:rsid w:val="00EA279C"/>
    <w:rsid w:val="00EA27BB"/>
    <w:rsid w:val="00EA29D5"/>
    <w:rsid w:val="00EA29EF"/>
    <w:rsid w:val="00EA2C79"/>
    <w:rsid w:val="00EA2FF5"/>
    <w:rsid w:val="00EA34EF"/>
    <w:rsid w:val="00EA368C"/>
    <w:rsid w:val="00EA3844"/>
    <w:rsid w:val="00EA390D"/>
    <w:rsid w:val="00EA3C6F"/>
    <w:rsid w:val="00EA3D3B"/>
    <w:rsid w:val="00EA3EAB"/>
    <w:rsid w:val="00EA3F95"/>
    <w:rsid w:val="00EA40BA"/>
    <w:rsid w:val="00EA4110"/>
    <w:rsid w:val="00EA421B"/>
    <w:rsid w:val="00EA4280"/>
    <w:rsid w:val="00EA42A8"/>
    <w:rsid w:val="00EA42E9"/>
    <w:rsid w:val="00EA43BD"/>
    <w:rsid w:val="00EA43F1"/>
    <w:rsid w:val="00EA43F3"/>
    <w:rsid w:val="00EA4428"/>
    <w:rsid w:val="00EA4738"/>
    <w:rsid w:val="00EA4D29"/>
    <w:rsid w:val="00EA4DEA"/>
    <w:rsid w:val="00EA4F0B"/>
    <w:rsid w:val="00EA4F79"/>
    <w:rsid w:val="00EA502F"/>
    <w:rsid w:val="00EA513E"/>
    <w:rsid w:val="00EA5189"/>
    <w:rsid w:val="00EA52B5"/>
    <w:rsid w:val="00EA54C7"/>
    <w:rsid w:val="00EA5586"/>
    <w:rsid w:val="00EA57CF"/>
    <w:rsid w:val="00EA58AA"/>
    <w:rsid w:val="00EA5AB5"/>
    <w:rsid w:val="00EA5ACB"/>
    <w:rsid w:val="00EA6379"/>
    <w:rsid w:val="00EA6631"/>
    <w:rsid w:val="00EA68CC"/>
    <w:rsid w:val="00EA6A7B"/>
    <w:rsid w:val="00EA6AB8"/>
    <w:rsid w:val="00EA6AFA"/>
    <w:rsid w:val="00EA6BCE"/>
    <w:rsid w:val="00EA70D5"/>
    <w:rsid w:val="00EA72E0"/>
    <w:rsid w:val="00EA7315"/>
    <w:rsid w:val="00EA7339"/>
    <w:rsid w:val="00EA734B"/>
    <w:rsid w:val="00EA7480"/>
    <w:rsid w:val="00EA7500"/>
    <w:rsid w:val="00EA751D"/>
    <w:rsid w:val="00EA7567"/>
    <w:rsid w:val="00EA76C5"/>
    <w:rsid w:val="00EA7967"/>
    <w:rsid w:val="00EA7C5F"/>
    <w:rsid w:val="00EB004C"/>
    <w:rsid w:val="00EB0294"/>
    <w:rsid w:val="00EB03C4"/>
    <w:rsid w:val="00EB0616"/>
    <w:rsid w:val="00EB0A0B"/>
    <w:rsid w:val="00EB0A80"/>
    <w:rsid w:val="00EB0C01"/>
    <w:rsid w:val="00EB0E3C"/>
    <w:rsid w:val="00EB0E58"/>
    <w:rsid w:val="00EB1466"/>
    <w:rsid w:val="00EB1715"/>
    <w:rsid w:val="00EB1AE3"/>
    <w:rsid w:val="00EB1AE4"/>
    <w:rsid w:val="00EB1D85"/>
    <w:rsid w:val="00EB2148"/>
    <w:rsid w:val="00EB22B6"/>
    <w:rsid w:val="00EB22E2"/>
    <w:rsid w:val="00EB2356"/>
    <w:rsid w:val="00EB235D"/>
    <w:rsid w:val="00EB25A8"/>
    <w:rsid w:val="00EB273A"/>
    <w:rsid w:val="00EB2A7D"/>
    <w:rsid w:val="00EB2B52"/>
    <w:rsid w:val="00EB2C00"/>
    <w:rsid w:val="00EB2D25"/>
    <w:rsid w:val="00EB2FA2"/>
    <w:rsid w:val="00EB2FE4"/>
    <w:rsid w:val="00EB30E1"/>
    <w:rsid w:val="00EB30F1"/>
    <w:rsid w:val="00EB3380"/>
    <w:rsid w:val="00EB33E7"/>
    <w:rsid w:val="00EB3660"/>
    <w:rsid w:val="00EB36DE"/>
    <w:rsid w:val="00EB3826"/>
    <w:rsid w:val="00EB38E6"/>
    <w:rsid w:val="00EB3928"/>
    <w:rsid w:val="00EB3961"/>
    <w:rsid w:val="00EB3B07"/>
    <w:rsid w:val="00EB3B9D"/>
    <w:rsid w:val="00EB3E61"/>
    <w:rsid w:val="00EB3FE4"/>
    <w:rsid w:val="00EB40BF"/>
    <w:rsid w:val="00EB435C"/>
    <w:rsid w:val="00EB4395"/>
    <w:rsid w:val="00EB44A5"/>
    <w:rsid w:val="00EB459B"/>
    <w:rsid w:val="00EB474B"/>
    <w:rsid w:val="00EB480C"/>
    <w:rsid w:val="00EB4841"/>
    <w:rsid w:val="00EB48E6"/>
    <w:rsid w:val="00EB4B26"/>
    <w:rsid w:val="00EB4C16"/>
    <w:rsid w:val="00EB4C53"/>
    <w:rsid w:val="00EB4C95"/>
    <w:rsid w:val="00EB4EC4"/>
    <w:rsid w:val="00EB4ECC"/>
    <w:rsid w:val="00EB4EFA"/>
    <w:rsid w:val="00EB5156"/>
    <w:rsid w:val="00EB5172"/>
    <w:rsid w:val="00EB52B6"/>
    <w:rsid w:val="00EB5366"/>
    <w:rsid w:val="00EB5424"/>
    <w:rsid w:val="00EB5470"/>
    <w:rsid w:val="00EB553A"/>
    <w:rsid w:val="00EB56F0"/>
    <w:rsid w:val="00EB5798"/>
    <w:rsid w:val="00EB5F75"/>
    <w:rsid w:val="00EB5F91"/>
    <w:rsid w:val="00EB6289"/>
    <w:rsid w:val="00EB62EE"/>
    <w:rsid w:val="00EB6679"/>
    <w:rsid w:val="00EB669B"/>
    <w:rsid w:val="00EB6C48"/>
    <w:rsid w:val="00EB6CAE"/>
    <w:rsid w:val="00EB7054"/>
    <w:rsid w:val="00EB711B"/>
    <w:rsid w:val="00EB72F8"/>
    <w:rsid w:val="00EB734D"/>
    <w:rsid w:val="00EB73F9"/>
    <w:rsid w:val="00EB74CB"/>
    <w:rsid w:val="00EB77B6"/>
    <w:rsid w:val="00EB7852"/>
    <w:rsid w:val="00EB78FE"/>
    <w:rsid w:val="00EB7C94"/>
    <w:rsid w:val="00EB7D1A"/>
    <w:rsid w:val="00EB7F0A"/>
    <w:rsid w:val="00EB7F34"/>
    <w:rsid w:val="00EB7FD9"/>
    <w:rsid w:val="00EC0163"/>
    <w:rsid w:val="00EC02B2"/>
    <w:rsid w:val="00EC0489"/>
    <w:rsid w:val="00EC0914"/>
    <w:rsid w:val="00EC09ED"/>
    <w:rsid w:val="00EC0CD3"/>
    <w:rsid w:val="00EC1030"/>
    <w:rsid w:val="00EC10C6"/>
    <w:rsid w:val="00EC1194"/>
    <w:rsid w:val="00EC1563"/>
    <w:rsid w:val="00EC1706"/>
    <w:rsid w:val="00EC1753"/>
    <w:rsid w:val="00EC17AA"/>
    <w:rsid w:val="00EC186A"/>
    <w:rsid w:val="00EC18BA"/>
    <w:rsid w:val="00EC18CF"/>
    <w:rsid w:val="00EC18F6"/>
    <w:rsid w:val="00EC1A6A"/>
    <w:rsid w:val="00EC2130"/>
    <w:rsid w:val="00EC215C"/>
    <w:rsid w:val="00EC25ED"/>
    <w:rsid w:val="00EC26FC"/>
    <w:rsid w:val="00EC2730"/>
    <w:rsid w:val="00EC2D6C"/>
    <w:rsid w:val="00EC2EB1"/>
    <w:rsid w:val="00EC2ECD"/>
    <w:rsid w:val="00EC3500"/>
    <w:rsid w:val="00EC3847"/>
    <w:rsid w:val="00EC38F3"/>
    <w:rsid w:val="00EC39E9"/>
    <w:rsid w:val="00EC3AF4"/>
    <w:rsid w:val="00EC3CE7"/>
    <w:rsid w:val="00EC3EF9"/>
    <w:rsid w:val="00EC417D"/>
    <w:rsid w:val="00EC4214"/>
    <w:rsid w:val="00EC4234"/>
    <w:rsid w:val="00EC4427"/>
    <w:rsid w:val="00EC46D9"/>
    <w:rsid w:val="00EC4BE6"/>
    <w:rsid w:val="00EC4C55"/>
    <w:rsid w:val="00EC4DD3"/>
    <w:rsid w:val="00EC5D70"/>
    <w:rsid w:val="00EC60CC"/>
    <w:rsid w:val="00EC613A"/>
    <w:rsid w:val="00EC617B"/>
    <w:rsid w:val="00EC6259"/>
    <w:rsid w:val="00EC62EC"/>
    <w:rsid w:val="00EC6443"/>
    <w:rsid w:val="00EC6548"/>
    <w:rsid w:val="00EC65AD"/>
    <w:rsid w:val="00EC677A"/>
    <w:rsid w:val="00EC67C1"/>
    <w:rsid w:val="00EC6B76"/>
    <w:rsid w:val="00EC6C44"/>
    <w:rsid w:val="00EC6CD8"/>
    <w:rsid w:val="00EC6D3D"/>
    <w:rsid w:val="00EC6E18"/>
    <w:rsid w:val="00EC7028"/>
    <w:rsid w:val="00EC72D5"/>
    <w:rsid w:val="00EC77A3"/>
    <w:rsid w:val="00EC795A"/>
    <w:rsid w:val="00EC7AD4"/>
    <w:rsid w:val="00EC7B7C"/>
    <w:rsid w:val="00EC7DBA"/>
    <w:rsid w:val="00EC7EFD"/>
    <w:rsid w:val="00EC7F06"/>
    <w:rsid w:val="00EC7F94"/>
    <w:rsid w:val="00ED01EF"/>
    <w:rsid w:val="00ED0315"/>
    <w:rsid w:val="00ED03B1"/>
    <w:rsid w:val="00ED045C"/>
    <w:rsid w:val="00ED0510"/>
    <w:rsid w:val="00ED06E1"/>
    <w:rsid w:val="00ED079F"/>
    <w:rsid w:val="00ED09F1"/>
    <w:rsid w:val="00ED0A57"/>
    <w:rsid w:val="00ED0A83"/>
    <w:rsid w:val="00ED0BD7"/>
    <w:rsid w:val="00ED0C50"/>
    <w:rsid w:val="00ED0C8D"/>
    <w:rsid w:val="00ED0EAC"/>
    <w:rsid w:val="00ED0F22"/>
    <w:rsid w:val="00ED0F52"/>
    <w:rsid w:val="00ED0F66"/>
    <w:rsid w:val="00ED10A8"/>
    <w:rsid w:val="00ED1179"/>
    <w:rsid w:val="00ED13A6"/>
    <w:rsid w:val="00ED14E8"/>
    <w:rsid w:val="00ED15A8"/>
    <w:rsid w:val="00ED1692"/>
    <w:rsid w:val="00ED16AE"/>
    <w:rsid w:val="00ED1752"/>
    <w:rsid w:val="00ED181D"/>
    <w:rsid w:val="00ED1AC2"/>
    <w:rsid w:val="00ED1C17"/>
    <w:rsid w:val="00ED1CC6"/>
    <w:rsid w:val="00ED1D4F"/>
    <w:rsid w:val="00ED20C0"/>
    <w:rsid w:val="00ED2124"/>
    <w:rsid w:val="00ED220A"/>
    <w:rsid w:val="00ED2366"/>
    <w:rsid w:val="00ED2411"/>
    <w:rsid w:val="00ED2490"/>
    <w:rsid w:val="00ED2665"/>
    <w:rsid w:val="00ED2673"/>
    <w:rsid w:val="00ED27B9"/>
    <w:rsid w:val="00ED297D"/>
    <w:rsid w:val="00ED2A3D"/>
    <w:rsid w:val="00ED2A50"/>
    <w:rsid w:val="00ED2B05"/>
    <w:rsid w:val="00ED2CCB"/>
    <w:rsid w:val="00ED2DE0"/>
    <w:rsid w:val="00ED2E2A"/>
    <w:rsid w:val="00ED2F2D"/>
    <w:rsid w:val="00ED3054"/>
    <w:rsid w:val="00ED3068"/>
    <w:rsid w:val="00ED3120"/>
    <w:rsid w:val="00ED31BB"/>
    <w:rsid w:val="00ED3258"/>
    <w:rsid w:val="00ED3342"/>
    <w:rsid w:val="00ED33D0"/>
    <w:rsid w:val="00ED3441"/>
    <w:rsid w:val="00ED379B"/>
    <w:rsid w:val="00ED37BE"/>
    <w:rsid w:val="00ED3A99"/>
    <w:rsid w:val="00ED3B80"/>
    <w:rsid w:val="00ED3BFA"/>
    <w:rsid w:val="00ED3CA8"/>
    <w:rsid w:val="00ED3D35"/>
    <w:rsid w:val="00ED4075"/>
    <w:rsid w:val="00ED41AE"/>
    <w:rsid w:val="00ED4271"/>
    <w:rsid w:val="00ED43F4"/>
    <w:rsid w:val="00ED4556"/>
    <w:rsid w:val="00ED45CE"/>
    <w:rsid w:val="00ED4949"/>
    <w:rsid w:val="00ED4A16"/>
    <w:rsid w:val="00ED4A1F"/>
    <w:rsid w:val="00ED4CB9"/>
    <w:rsid w:val="00ED4DFA"/>
    <w:rsid w:val="00ED4E7F"/>
    <w:rsid w:val="00ED4F63"/>
    <w:rsid w:val="00ED4FE1"/>
    <w:rsid w:val="00ED50BE"/>
    <w:rsid w:val="00ED51A6"/>
    <w:rsid w:val="00ED548E"/>
    <w:rsid w:val="00ED552E"/>
    <w:rsid w:val="00ED55C4"/>
    <w:rsid w:val="00ED5641"/>
    <w:rsid w:val="00ED56E0"/>
    <w:rsid w:val="00ED5814"/>
    <w:rsid w:val="00ED5822"/>
    <w:rsid w:val="00ED588A"/>
    <w:rsid w:val="00ED58AF"/>
    <w:rsid w:val="00ED59C1"/>
    <w:rsid w:val="00ED619B"/>
    <w:rsid w:val="00ED623A"/>
    <w:rsid w:val="00ED6597"/>
    <w:rsid w:val="00ED6738"/>
    <w:rsid w:val="00ED68F5"/>
    <w:rsid w:val="00ED6BA0"/>
    <w:rsid w:val="00ED6BA7"/>
    <w:rsid w:val="00ED6DB1"/>
    <w:rsid w:val="00ED6FDE"/>
    <w:rsid w:val="00ED72DB"/>
    <w:rsid w:val="00ED7396"/>
    <w:rsid w:val="00ED7422"/>
    <w:rsid w:val="00ED7494"/>
    <w:rsid w:val="00ED75EF"/>
    <w:rsid w:val="00ED7731"/>
    <w:rsid w:val="00ED7A9A"/>
    <w:rsid w:val="00ED7DBC"/>
    <w:rsid w:val="00ED7F0B"/>
    <w:rsid w:val="00EE00B1"/>
    <w:rsid w:val="00EE0394"/>
    <w:rsid w:val="00EE062C"/>
    <w:rsid w:val="00EE072E"/>
    <w:rsid w:val="00EE0924"/>
    <w:rsid w:val="00EE0BAC"/>
    <w:rsid w:val="00EE0CEC"/>
    <w:rsid w:val="00EE0DDA"/>
    <w:rsid w:val="00EE104B"/>
    <w:rsid w:val="00EE1084"/>
    <w:rsid w:val="00EE1159"/>
    <w:rsid w:val="00EE15C8"/>
    <w:rsid w:val="00EE1888"/>
    <w:rsid w:val="00EE1BA2"/>
    <w:rsid w:val="00EE1C1B"/>
    <w:rsid w:val="00EE1DFB"/>
    <w:rsid w:val="00EE1FA6"/>
    <w:rsid w:val="00EE1FC7"/>
    <w:rsid w:val="00EE21F8"/>
    <w:rsid w:val="00EE225E"/>
    <w:rsid w:val="00EE22CD"/>
    <w:rsid w:val="00EE2471"/>
    <w:rsid w:val="00EE2678"/>
    <w:rsid w:val="00EE2698"/>
    <w:rsid w:val="00EE28EC"/>
    <w:rsid w:val="00EE29B0"/>
    <w:rsid w:val="00EE2B4B"/>
    <w:rsid w:val="00EE2E48"/>
    <w:rsid w:val="00EE2EA4"/>
    <w:rsid w:val="00EE2EDE"/>
    <w:rsid w:val="00EE2F5B"/>
    <w:rsid w:val="00EE3048"/>
    <w:rsid w:val="00EE30F1"/>
    <w:rsid w:val="00EE33BA"/>
    <w:rsid w:val="00EE3469"/>
    <w:rsid w:val="00EE35D9"/>
    <w:rsid w:val="00EE37E5"/>
    <w:rsid w:val="00EE3839"/>
    <w:rsid w:val="00EE383A"/>
    <w:rsid w:val="00EE3BAE"/>
    <w:rsid w:val="00EE3C01"/>
    <w:rsid w:val="00EE3D8C"/>
    <w:rsid w:val="00EE3F8F"/>
    <w:rsid w:val="00EE3FBA"/>
    <w:rsid w:val="00EE4082"/>
    <w:rsid w:val="00EE4389"/>
    <w:rsid w:val="00EE43CF"/>
    <w:rsid w:val="00EE4578"/>
    <w:rsid w:val="00EE46A3"/>
    <w:rsid w:val="00EE47A5"/>
    <w:rsid w:val="00EE4860"/>
    <w:rsid w:val="00EE4980"/>
    <w:rsid w:val="00EE4A1E"/>
    <w:rsid w:val="00EE4C94"/>
    <w:rsid w:val="00EE4D33"/>
    <w:rsid w:val="00EE4DDB"/>
    <w:rsid w:val="00EE524A"/>
    <w:rsid w:val="00EE52A6"/>
    <w:rsid w:val="00EE56FD"/>
    <w:rsid w:val="00EE582B"/>
    <w:rsid w:val="00EE58D6"/>
    <w:rsid w:val="00EE58F5"/>
    <w:rsid w:val="00EE59BA"/>
    <w:rsid w:val="00EE636F"/>
    <w:rsid w:val="00EE6415"/>
    <w:rsid w:val="00EE6427"/>
    <w:rsid w:val="00EE643E"/>
    <w:rsid w:val="00EE652C"/>
    <w:rsid w:val="00EE655D"/>
    <w:rsid w:val="00EE6594"/>
    <w:rsid w:val="00EE6775"/>
    <w:rsid w:val="00EE69BF"/>
    <w:rsid w:val="00EE6A44"/>
    <w:rsid w:val="00EE6A90"/>
    <w:rsid w:val="00EE6C5C"/>
    <w:rsid w:val="00EE6CAC"/>
    <w:rsid w:val="00EE6DD2"/>
    <w:rsid w:val="00EE70EC"/>
    <w:rsid w:val="00EE71B1"/>
    <w:rsid w:val="00EE7229"/>
    <w:rsid w:val="00EE7324"/>
    <w:rsid w:val="00EE736C"/>
    <w:rsid w:val="00EE73A3"/>
    <w:rsid w:val="00EE73DF"/>
    <w:rsid w:val="00EE761F"/>
    <w:rsid w:val="00EE771E"/>
    <w:rsid w:val="00EE7746"/>
    <w:rsid w:val="00EE77FB"/>
    <w:rsid w:val="00EE7A0C"/>
    <w:rsid w:val="00EE7AA6"/>
    <w:rsid w:val="00EE7E80"/>
    <w:rsid w:val="00EF0124"/>
    <w:rsid w:val="00EF01B0"/>
    <w:rsid w:val="00EF04ED"/>
    <w:rsid w:val="00EF0658"/>
    <w:rsid w:val="00EF08E4"/>
    <w:rsid w:val="00EF08E5"/>
    <w:rsid w:val="00EF0ACE"/>
    <w:rsid w:val="00EF0BB5"/>
    <w:rsid w:val="00EF0F27"/>
    <w:rsid w:val="00EF0FE6"/>
    <w:rsid w:val="00EF10D0"/>
    <w:rsid w:val="00EF128E"/>
    <w:rsid w:val="00EF13A3"/>
    <w:rsid w:val="00EF13A4"/>
    <w:rsid w:val="00EF14F5"/>
    <w:rsid w:val="00EF17A2"/>
    <w:rsid w:val="00EF1943"/>
    <w:rsid w:val="00EF198F"/>
    <w:rsid w:val="00EF1A04"/>
    <w:rsid w:val="00EF1B48"/>
    <w:rsid w:val="00EF1C6B"/>
    <w:rsid w:val="00EF1CC2"/>
    <w:rsid w:val="00EF1FDA"/>
    <w:rsid w:val="00EF2282"/>
    <w:rsid w:val="00EF228D"/>
    <w:rsid w:val="00EF2316"/>
    <w:rsid w:val="00EF250F"/>
    <w:rsid w:val="00EF27C0"/>
    <w:rsid w:val="00EF28C6"/>
    <w:rsid w:val="00EF294E"/>
    <w:rsid w:val="00EF297D"/>
    <w:rsid w:val="00EF29B6"/>
    <w:rsid w:val="00EF2A14"/>
    <w:rsid w:val="00EF2AE6"/>
    <w:rsid w:val="00EF2BBE"/>
    <w:rsid w:val="00EF2C75"/>
    <w:rsid w:val="00EF2E11"/>
    <w:rsid w:val="00EF2FE3"/>
    <w:rsid w:val="00EF317D"/>
    <w:rsid w:val="00EF3278"/>
    <w:rsid w:val="00EF3302"/>
    <w:rsid w:val="00EF334E"/>
    <w:rsid w:val="00EF33E9"/>
    <w:rsid w:val="00EF3635"/>
    <w:rsid w:val="00EF3726"/>
    <w:rsid w:val="00EF37F9"/>
    <w:rsid w:val="00EF3B34"/>
    <w:rsid w:val="00EF3C6E"/>
    <w:rsid w:val="00EF3C86"/>
    <w:rsid w:val="00EF3D3C"/>
    <w:rsid w:val="00EF3F76"/>
    <w:rsid w:val="00EF3FB7"/>
    <w:rsid w:val="00EF4107"/>
    <w:rsid w:val="00EF410A"/>
    <w:rsid w:val="00EF46CF"/>
    <w:rsid w:val="00EF484B"/>
    <w:rsid w:val="00EF4951"/>
    <w:rsid w:val="00EF4AD1"/>
    <w:rsid w:val="00EF4B0B"/>
    <w:rsid w:val="00EF4C53"/>
    <w:rsid w:val="00EF4D90"/>
    <w:rsid w:val="00EF4ECE"/>
    <w:rsid w:val="00EF4EFA"/>
    <w:rsid w:val="00EF4F65"/>
    <w:rsid w:val="00EF508F"/>
    <w:rsid w:val="00EF5187"/>
    <w:rsid w:val="00EF5221"/>
    <w:rsid w:val="00EF522E"/>
    <w:rsid w:val="00EF5267"/>
    <w:rsid w:val="00EF52EF"/>
    <w:rsid w:val="00EF5447"/>
    <w:rsid w:val="00EF5470"/>
    <w:rsid w:val="00EF5571"/>
    <w:rsid w:val="00EF59C4"/>
    <w:rsid w:val="00EF5A4A"/>
    <w:rsid w:val="00EF5C46"/>
    <w:rsid w:val="00EF5DC9"/>
    <w:rsid w:val="00EF5E1F"/>
    <w:rsid w:val="00EF5F44"/>
    <w:rsid w:val="00EF61B2"/>
    <w:rsid w:val="00EF6265"/>
    <w:rsid w:val="00EF640F"/>
    <w:rsid w:val="00EF6427"/>
    <w:rsid w:val="00EF64BF"/>
    <w:rsid w:val="00EF64D9"/>
    <w:rsid w:val="00EF6562"/>
    <w:rsid w:val="00EF672B"/>
    <w:rsid w:val="00EF6759"/>
    <w:rsid w:val="00EF68EB"/>
    <w:rsid w:val="00EF68F4"/>
    <w:rsid w:val="00EF690B"/>
    <w:rsid w:val="00EF696D"/>
    <w:rsid w:val="00EF6AEE"/>
    <w:rsid w:val="00EF6C83"/>
    <w:rsid w:val="00EF6CEB"/>
    <w:rsid w:val="00EF71BB"/>
    <w:rsid w:val="00EF7332"/>
    <w:rsid w:val="00EF74A4"/>
    <w:rsid w:val="00EF77B0"/>
    <w:rsid w:val="00EF77CB"/>
    <w:rsid w:val="00EF78C5"/>
    <w:rsid w:val="00EF7CDA"/>
    <w:rsid w:val="00EF7DBC"/>
    <w:rsid w:val="00EF7F3B"/>
    <w:rsid w:val="00F0000F"/>
    <w:rsid w:val="00F000CF"/>
    <w:rsid w:val="00F00490"/>
    <w:rsid w:val="00F004CD"/>
    <w:rsid w:val="00F005A5"/>
    <w:rsid w:val="00F007C8"/>
    <w:rsid w:val="00F0094C"/>
    <w:rsid w:val="00F00952"/>
    <w:rsid w:val="00F009B0"/>
    <w:rsid w:val="00F00A0F"/>
    <w:rsid w:val="00F00B11"/>
    <w:rsid w:val="00F00B41"/>
    <w:rsid w:val="00F00CC2"/>
    <w:rsid w:val="00F00E3E"/>
    <w:rsid w:val="00F00F35"/>
    <w:rsid w:val="00F00F36"/>
    <w:rsid w:val="00F00F50"/>
    <w:rsid w:val="00F01208"/>
    <w:rsid w:val="00F0121D"/>
    <w:rsid w:val="00F0127E"/>
    <w:rsid w:val="00F014A5"/>
    <w:rsid w:val="00F015A1"/>
    <w:rsid w:val="00F0168A"/>
    <w:rsid w:val="00F016A5"/>
    <w:rsid w:val="00F01B73"/>
    <w:rsid w:val="00F01C60"/>
    <w:rsid w:val="00F01CF0"/>
    <w:rsid w:val="00F01F57"/>
    <w:rsid w:val="00F0200E"/>
    <w:rsid w:val="00F02261"/>
    <w:rsid w:val="00F023E6"/>
    <w:rsid w:val="00F0241D"/>
    <w:rsid w:val="00F02656"/>
    <w:rsid w:val="00F02785"/>
    <w:rsid w:val="00F02802"/>
    <w:rsid w:val="00F02A9B"/>
    <w:rsid w:val="00F02BE0"/>
    <w:rsid w:val="00F02C0E"/>
    <w:rsid w:val="00F02C63"/>
    <w:rsid w:val="00F02F5B"/>
    <w:rsid w:val="00F02FB0"/>
    <w:rsid w:val="00F030B5"/>
    <w:rsid w:val="00F030E8"/>
    <w:rsid w:val="00F03116"/>
    <w:rsid w:val="00F0312B"/>
    <w:rsid w:val="00F03358"/>
    <w:rsid w:val="00F0341A"/>
    <w:rsid w:val="00F034C9"/>
    <w:rsid w:val="00F0353F"/>
    <w:rsid w:val="00F0366F"/>
    <w:rsid w:val="00F038DC"/>
    <w:rsid w:val="00F03B86"/>
    <w:rsid w:val="00F03B93"/>
    <w:rsid w:val="00F03C39"/>
    <w:rsid w:val="00F03DD0"/>
    <w:rsid w:val="00F040E9"/>
    <w:rsid w:val="00F04226"/>
    <w:rsid w:val="00F04488"/>
    <w:rsid w:val="00F04525"/>
    <w:rsid w:val="00F0461D"/>
    <w:rsid w:val="00F04811"/>
    <w:rsid w:val="00F049B6"/>
    <w:rsid w:val="00F04EE6"/>
    <w:rsid w:val="00F05092"/>
    <w:rsid w:val="00F050C8"/>
    <w:rsid w:val="00F0531D"/>
    <w:rsid w:val="00F05332"/>
    <w:rsid w:val="00F0534F"/>
    <w:rsid w:val="00F05533"/>
    <w:rsid w:val="00F0555E"/>
    <w:rsid w:val="00F05645"/>
    <w:rsid w:val="00F05B09"/>
    <w:rsid w:val="00F05C0E"/>
    <w:rsid w:val="00F05CF4"/>
    <w:rsid w:val="00F05DD4"/>
    <w:rsid w:val="00F05F78"/>
    <w:rsid w:val="00F06302"/>
    <w:rsid w:val="00F065E6"/>
    <w:rsid w:val="00F0664B"/>
    <w:rsid w:val="00F06A8F"/>
    <w:rsid w:val="00F06BD4"/>
    <w:rsid w:val="00F06CE5"/>
    <w:rsid w:val="00F06D24"/>
    <w:rsid w:val="00F06DBD"/>
    <w:rsid w:val="00F06EE7"/>
    <w:rsid w:val="00F07316"/>
    <w:rsid w:val="00F074A8"/>
    <w:rsid w:val="00F07507"/>
    <w:rsid w:val="00F076CB"/>
    <w:rsid w:val="00F0786E"/>
    <w:rsid w:val="00F07889"/>
    <w:rsid w:val="00F07B42"/>
    <w:rsid w:val="00F07B54"/>
    <w:rsid w:val="00F07C16"/>
    <w:rsid w:val="00F07C30"/>
    <w:rsid w:val="00F07D54"/>
    <w:rsid w:val="00F07D5D"/>
    <w:rsid w:val="00F07D95"/>
    <w:rsid w:val="00F07DDE"/>
    <w:rsid w:val="00F10209"/>
    <w:rsid w:val="00F102A3"/>
    <w:rsid w:val="00F10434"/>
    <w:rsid w:val="00F10435"/>
    <w:rsid w:val="00F1043D"/>
    <w:rsid w:val="00F105C3"/>
    <w:rsid w:val="00F105F0"/>
    <w:rsid w:val="00F10654"/>
    <w:rsid w:val="00F1094B"/>
    <w:rsid w:val="00F1095B"/>
    <w:rsid w:val="00F10C40"/>
    <w:rsid w:val="00F10C7F"/>
    <w:rsid w:val="00F10D2D"/>
    <w:rsid w:val="00F10DB0"/>
    <w:rsid w:val="00F10DE8"/>
    <w:rsid w:val="00F10E55"/>
    <w:rsid w:val="00F10E9C"/>
    <w:rsid w:val="00F10ED7"/>
    <w:rsid w:val="00F10EE8"/>
    <w:rsid w:val="00F11057"/>
    <w:rsid w:val="00F1145A"/>
    <w:rsid w:val="00F1188C"/>
    <w:rsid w:val="00F1217E"/>
    <w:rsid w:val="00F121C5"/>
    <w:rsid w:val="00F12475"/>
    <w:rsid w:val="00F1269E"/>
    <w:rsid w:val="00F128AE"/>
    <w:rsid w:val="00F12CC0"/>
    <w:rsid w:val="00F13493"/>
    <w:rsid w:val="00F134FD"/>
    <w:rsid w:val="00F13808"/>
    <w:rsid w:val="00F13C7E"/>
    <w:rsid w:val="00F14036"/>
    <w:rsid w:val="00F142AF"/>
    <w:rsid w:val="00F142D3"/>
    <w:rsid w:val="00F144A3"/>
    <w:rsid w:val="00F144AB"/>
    <w:rsid w:val="00F14523"/>
    <w:rsid w:val="00F1452F"/>
    <w:rsid w:val="00F145A1"/>
    <w:rsid w:val="00F146C1"/>
    <w:rsid w:val="00F14719"/>
    <w:rsid w:val="00F147F6"/>
    <w:rsid w:val="00F1480B"/>
    <w:rsid w:val="00F1482E"/>
    <w:rsid w:val="00F148E9"/>
    <w:rsid w:val="00F14986"/>
    <w:rsid w:val="00F149E6"/>
    <w:rsid w:val="00F14A40"/>
    <w:rsid w:val="00F14C22"/>
    <w:rsid w:val="00F14F10"/>
    <w:rsid w:val="00F150F4"/>
    <w:rsid w:val="00F15233"/>
    <w:rsid w:val="00F152BB"/>
    <w:rsid w:val="00F152D3"/>
    <w:rsid w:val="00F152E6"/>
    <w:rsid w:val="00F15343"/>
    <w:rsid w:val="00F155C7"/>
    <w:rsid w:val="00F157B1"/>
    <w:rsid w:val="00F1583E"/>
    <w:rsid w:val="00F15C1F"/>
    <w:rsid w:val="00F15C44"/>
    <w:rsid w:val="00F15F63"/>
    <w:rsid w:val="00F15F73"/>
    <w:rsid w:val="00F1638D"/>
    <w:rsid w:val="00F16691"/>
    <w:rsid w:val="00F166F1"/>
    <w:rsid w:val="00F16726"/>
    <w:rsid w:val="00F16911"/>
    <w:rsid w:val="00F16DE9"/>
    <w:rsid w:val="00F1710F"/>
    <w:rsid w:val="00F17304"/>
    <w:rsid w:val="00F173B6"/>
    <w:rsid w:val="00F174DD"/>
    <w:rsid w:val="00F176D5"/>
    <w:rsid w:val="00F17989"/>
    <w:rsid w:val="00F17A27"/>
    <w:rsid w:val="00F17EF7"/>
    <w:rsid w:val="00F17FDE"/>
    <w:rsid w:val="00F20049"/>
    <w:rsid w:val="00F204B3"/>
    <w:rsid w:val="00F20521"/>
    <w:rsid w:val="00F20936"/>
    <w:rsid w:val="00F20D2D"/>
    <w:rsid w:val="00F20D72"/>
    <w:rsid w:val="00F20EAA"/>
    <w:rsid w:val="00F20EAB"/>
    <w:rsid w:val="00F20EE6"/>
    <w:rsid w:val="00F212BC"/>
    <w:rsid w:val="00F2143F"/>
    <w:rsid w:val="00F216C6"/>
    <w:rsid w:val="00F21721"/>
    <w:rsid w:val="00F21BC2"/>
    <w:rsid w:val="00F21DF2"/>
    <w:rsid w:val="00F21E14"/>
    <w:rsid w:val="00F21EDE"/>
    <w:rsid w:val="00F2203B"/>
    <w:rsid w:val="00F2204A"/>
    <w:rsid w:val="00F220D3"/>
    <w:rsid w:val="00F2218B"/>
    <w:rsid w:val="00F22191"/>
    <w:rsid w:val="00F221A0"/>
    <w:rsid w:val="00F222CF"/>
    <w:rsid w:val="00F22640"/>
    <w:rsid w:val="00F2283B"/>
    <w:rsid w:val="00F22955"/>
    <w:rsid w:val="00F22A0B"/>
    <w:rsid w:val="00F22BA5"/>
    <w:rsid w:val="00F22BE8"/>
    <w:rsid w:val="00F22C19"/>
    <w:rsid w:val="00F22CC1"/>
    <w:rsid w:val="00F22D5F"/>
    <w:rsid w:val="00F22FAD"/>
    <w:rsid w:val="00F230BF"/>
    <w:rsid w:val="00F235BF"/>
    <w:rsid w:val="00F2363E"/>
    <w:rsid w:val="00F23737"/>
    <w:rsid w:val="00F23843"/>
    <w:rsid w:val="00F239D1"/>
    <w:rsid w:val="00F23E0F"/>
    <w:rsid w:val="00F23EFE"/>
    <w:rsid w:val="00F2402A"/>
    <w:rsid w:val="00F24595"/>
    <w:rsid w:val="00F24889"/>
    <w:rsid w:val="00F24AD3"/>
    <w:rsid w:val="00F24B3A"/>
    <w:rsid w:val="00F24EDE"/>
    <w:rsid w:val="00F24F39"/>
    <w:rsid w:val="00F25188"/>
    <w:rsid w:val="00F251F4"/>
    <w:rsid w:val="00F251FA"/>
    <w:rsid w:val="00F25244"/>
    <w:rsid w:val="00F253D3"/>
    <w:rsid w:val="00F25683"/>
    <w:rsid w:val="00F25AFE"/>
    <w:rsid w:val="00F25C11"/>
    <w:rsid w:val="00F25FF8"/>
    <w:rsid w:val="00F26075"/>
    <w:rsid w:val="00F260D1"/>
    <w:rsid w:val="00F260D6"/>
    <w:rsid w:val="00F261A3"/>
    <w:rsid w:val="00F262FE"/>
    <w:rsid w:val="00F26455"/>
    <w:rsid w:val="00F26541"/>
    <w:rsid w:val="00F26558"/>
    <w:rsid w:val="00F269ED"/>
    <w:rsid w:val="00F26A61"/>
    <w:rsid w:val="00F26DFE"/>
    <w:rsid w:val="00F26F66"/>
    <w:rsid w:val="00F2702B"/>
    <w:rsid w:val="00F2716F"/>
    <w:rsid w:val="00F27173"/>
    <w:rsid w:val="00F2724D"/>
    <w:rsid w:val="00F278B3"/>
    <w:rsid w:val="00F279F4"/>
    <w:rsid w:val="00F27B49"/>
    <w:rsid w:val="00F27BFE"/>
    <w:rsid w:val="00F27D75"/>
    <w:rsid w:val="00F27E35"/>
    <w:rsid w:val="00F27EA7"/>
    <w:rsid w:val="00F27F03"/>
    <w:rsid w:val="00F30101"/>
    <w:rsid w:val="00F3028B"/>
    <w:rsid w:val="00F3044F"/>
    <w:rsid w:val="00F304AD"/>
    <w:rsid w:val="00F308EB"/>
    <w:rsid w:val="00F309B6"/>
    <w:rsid w:val="00F30B72"/>
    <w:rsid w:val="00F30CF1"/>
    <w:rsid w:val="00F310EF"/>
    <w:rsid w:val="00F31270"/>
    <w:rsid w:val="00F3141F"/>
    <w:rsid w:val="00F3144E"/>
    <w:rsid w:val="00F31465"/>
    <w:rsid w:val="00F314DB"/>
    <w:rsid w:val="00F3155F"/>
    <w:rsid w:val="00F3169C"/>
    <w:rsid w:val="00F3175C"/>
    <w:rsid w:val="00F31830"/>
    <w:rsid w:val="00F318F5"/>
    <w:rsid w:val="00F31A35"/>
    <w:rsid w:val="00F31A43"/>
    <w:rsid w:val="00F31A88"/>
    <w:rsid w:val="00F32237"/>
    <w:rsid w:val="00F32317"/>
    <w:rsid w:val="00F32339"/>
    <w:rsid w:val="00F32381"/>
    <w:rsid w:val="00F32446"/>
    <w:rsid w:val="00F3274C"/>
    <w:rsid w:val="00F3280F"/>
    <w:rsid w:val="00F328D4"/>
    <w:rsid w:val="00F32AF5"/>
    <w:rsid w:val="00F32C3D"/>
    <w:rsid w:val="00F32C89"/>
    <w:rsid w:val="00F32CCE"/>
    <w:rsid w:val="00F32CF9"/>
    <w:rsid w:val="00F32EC5"/>
    <w:rsid w:val="00F3310E"/>
    <w:rsid w:val="00F3332D"/>
    <w:rsid w:val="00F33638"/>
    <w:rsid w:val="00F33889"/>
    <w:rsid w:val="00F33A7B"/>
    <w:rsid w:val="00F33EC8"/>
    <w:rsid w:val="00F33FA8"/>
    <w:rsid w:val="00F340EE"/>
    <w:rsid w:val="00F3427C"/>
    <w:rsid w:val="00F34364"/>
    <w:rsid w:val="00F34575"/>
    <w:rsid w:val="00F349B0"/>
    <w:rsid w:val="00F34B18"/>
    <w:rsid w:val="00F34B28"/>
    <w:rsid w:val="00F34D3C"/>
    <w:rsid w:val="00F350E3"/>
    <w:rsid w:val="00F3523D"/>
    <w:rsid w:val="00F353D2"/>
    <w:rsid w:val="00F35656"/>
    <w:rsid w:val="00F35681"/>
    <w:rsid w:val="00F357D0"/>
    <w:rsid w:val="00F35873"/>
    <w:rsid w:val="00F35B3F"/>
    <w:rsid w:val="00F35D5B"/>
    <w:rsid w:val="00F35DF7"/>
    <w:rsid w:val="00F35FC1"/>
    <w:rsid w:val="00F36345"/>
    <w:rsid w:val="00F3634B"/>
    <w:rsid w:val="00F36614"/>
    <w:rsid w:val="00F3662D"/>
    <w:rsid w:val="00F36702"/>
    <w:rsid w:val="00F3691D"/>
    <w:rsid w:val="00F3698C"/>
    <w:rsid w:val="00F369DF"/>
    <w:rsid w:val="00F36FA7"/>
    <w:rsid w:val="00F37273"/>
    <w:rsid w:val="00F37451"/>
    <w:rsid w:val="00F374D1"/>
    <w:rsid w:val="00F37B1F"/>
    <w:rsid w:val="00F37CD7"/>
    <w:rsid w:val="00F37D87"/>
    <w:rsid w:val="00F37EEE"/>
    <w:rsid w:val="00F40355"/>
    <w:rsid w:val="00F403AC"/>
    <w:rsid w:val="00F406FE"/>
    <w:rsid w:val="00F40B1A"/>
    <w:rsid w:val="00F40BFA"/>
    <w:rsid w:val="00F40D76"/>
    <w:rsid w:val="00F40E12"/>
    <w:rsid w:val="00F40EA8"/>
    <w:rsid w:val="00F40F9D"/>
    <w:rsid w:val="00F4102A"/>
    <w:rsid w:val="00F412A3"/>
    <w:rsid w:val="00F412C9"/>
    <w:rsid w:val="00F41312"/>
    <w:rsid w:val="00F414C3"/>
    <w:rsid w:val="00F416B8"/>
    <w:rsid w:val="00F417A7"/>
    <w:rsid w:val="00F418D3"/>
    <w:rsid w:val="00F41B16"/>
    <w:rsid w:val="00F41B6B"/>
    <w:rsid w:val="00F41DA2"/>
    <w:rsid w:val="00F41FDF"/>
    <w:rsid w:val="00F42134"/>
    <w:rsid w:val="00F421C5"/>
    <w:rsid w:val="00F42203"/>
    <w:rsid w:val="00F422B3"/>
    <w:rsid w:val="00F423C9"/>
    <w:rsid w:val="00F42437"/>
    <w:rsid w:val="00F42619"/>
    <w:rsid w:val="00F42747"/>
    <w:rsid w:val="00F42830"/>
    <w:rsid w:val="00F42932"/>
    <w:rsid w:val="00F42AAC"/>
    <w:rsid w:val="00F42B53"/>
    <w:rsid w:val="00F4312A"/>
    <w:rsid w:val="00F4317F"/>
    <w:rsid w:val="00F432D9"/>
    <w:rsid w:val="00F4354F"/>
    <w:rsid w:val="00F43770"/>
    <w:rsid w:val="00F4388C"/>
    <w:rsid w:val="00F43A91"/>
    <w:rsid w:val="00F43B00"/>
    <w:rsid w:val="00F43C52"/>
    <w:rsid w:val="00F43EFA"/>
    <w:rsid w:val="00F44396"/>
    <w:rsid w:val="00F443D2"/>
    <w:rsid w:val="00F4448A"/>
    <w:rsid w:val="00F447F7"/>
    <w:rsid w:val="00F44812"/>
    <w:rsid w:val="00F44980"/>
    <w:rsid w:val="00F44A35"/>
    <w:rsid w:val="00F44B39"/>
    <w:rsid w:val="00F44C58"/>
    <w:rsid w:val="00F44CDF"/>
    <w:rsid w:val="00F451A1"/>
    <w:rsid w:val="00F45265"/>
    <w:rsid w:val="00F454AF"/>
    <w:rsid w:val="00F4552B"/>
    <w:rsid w:val="00F459E0"/>
    <w:rsid w:val="00F45BFC"/>
    <w:rsid w:val="00F45C09"/>
    <w:rsid w:val="00F45D35"/>
    <w:rsid w:val="00F45F03"/>
    <w:rsid w:val="00F466F9"/>
    <w:rsid w:val="00F46741"/>
    <w:rsid w:val="00F468CD"/>
    <w:rsid w:val="00F46A4A"/>
    <w:rsid w:val="00F46B8D"/>
    <w:rsid w:val="00F46CA2"/>
    <w:rsid w:val="00F46D9E"/>
    <w:rsid w:val="00F46EC3"/>
    <w:rsid w:val="00F46FCC"/>
    <w:rsid w:val="00F47484"/>
    <w:rsid w:val="00F47527"/>
    <w:rsid w:val="00F47603"/>
    <w:rsid w:val="00F47651"/>
    <w:rsid w:val="00F47762"/>
    <w:rsid w:val="00F477E5"/>
    <w:rsid w:val="00F47A44"/>
    <w:rsid w:val="00F47B1E"/>
    <w:rsid w:val="00F47B45"/>
    <w:rsid w:val="00F47B46"/>
    <w:rsid w:val="00F47BEA"/>
    <w:rsid w:val="00F47CEA"/>
    <w:rsid w:val="00F47FFA"/>
    <w:rsid w:val="00F502BA"/>
    <w:rsid w:val="00F503E0"/>
    <w:rsid w:val="00F505BD"/>
    <w:rsid w:val="00F50610"/>
    <w:rsid w:val="00F50636"/>
    <w:rsid w:val="00F5066A"/>
    <w:rsid w:val="00F50727"/>
    <w:rsid w:val="00F5089A"/>
    <w:rsid w:val="00F50912"/>
    <w:rsid w:val="00F50A5C"/>
    <w:rsid w:val="00F511A0"/>
    <w:rsid w:val="00F51339"/>
    <w:rsid w:val="00F51371"/>
    <w:rsid w:val="00F51432"/>
    <w:rsid w:val="00F51451"/>
    <w:rsid w:val="00F5148B"/>
    <w:rsid w:val="00F51928"/>
    <w:rsid w:val="00F51A82"/>
    <w:rsid w:val="00F51BC3"/>
    <w:rsid w:val="00F51C61"/>
    <w:rsid w:val="00F51D6B"/>
    <w:rsid w:val="00F51F5A"/>
    <w:rsid w:val="00F51FED"/>
    <w:rsid w:val="00F520D0"/>
    <w:rsid w:val="00F52174"/>
    <w:rsid w:val="00F52393"/>
    <w:rsid w:val="00F5276B"/>
    <w:rsid w:val="00F527EE"/>
    <w:rsid w:val="00F52901"/>
    <w:rsid w:val="00F52A00"/>
    <w:rsid w:val="00F52C36"/>
    <w:rsid w:val="00F52DC5"/>
    <w:rsid w:val="00F52F8E"/>
    <w:rsid w:val="00F5304C"/>
    <w:rsid w:val="00F530B9"/>
    <w:rsid w:val="00F5339B"/>
    <w:rsid w:val="00F534BA"/>
    <w:rsid w:val="00F534EE"/>
    <w:rsid w:val="00F535F5"/>
    <w:rsid w:val="00F53718"/>
    <w:rsid w:val="00F53722"/>
    <w:rsid w:val="00F53727"/>
    <w:rsid w:val="00F537E3"/>
    <w:rsid w:val="00F53871"/>
    <w:rsid w:val="00F53872"/>
    <w:rsid w:val="00F539C5"/>
    <w:rsid w:val="00F53AB9"/>
    <w:rsid w:val="00F53B3B"/>
    <w:rsid w:val="00F53DDA"/>
    <w:rsid w:val="00F5402B"/>
    <w:rsid w:val="00F5406E"/>
    <w:rsid w:val="00F54464"/>
    <w:rsid w:val="00F54649"/>
    <w:rsid w:val="00F5475E"/>
    <w:rsid w:val="00F548F9"/>
    <w:rsid w:val="00F54DD0"/>
    <w:rsid w:val="00F55052"/>
    <w:rsid w:val="00F5507F"/>
    <w:rsid w:val="00F55229"/>
    <w:rsid w:val="00F5528B"/>
    <w:rsid w:val="00F554E8"/>
    <w:rsid w:val="00F55774"/>
    <w:rsid w:val="00F55802"/>
    <w:rsid w:val="00F5590A"/>
    <w:rsid w:val="00F55998"/>
    <w:rsid w:val="00F55A0A"/>
    <w:rsid w:val="00F55AEF"/>
    <w:rsid w:val="00F55DBC"/>
    <w:rsid w:val="00F55E7E"/>
    <w:rsid w:val="00F55F88"/>
    <w:rsid w:val="00F56206"/>
    <w:rsid w:val="00F562B3"/>
    <w:rsid w:val="00F5643E"/>
    <w:rsid w:val="00F56588"/>
    <w:rsid w:val="00F565A9"/>
    <w:rsid w:val="00F5669E"/>
    <w:rsid w:val="00F566AC"/>
    <w:rsid w:val="00F566E6"/>
    <w:rsid w:val="00F567AD"/>
    <w:rsid w:val="00F567D6"/>
    <w:rsid w:val="00F5696D"/>
    <w:rsid w:val="00F5699F"/>
    <w:rsid w:val="00F56A71"/>
    <w:rsid w:val="00F56C20"/>
    <w:rsid w:val="00F56FDF"/>
    <w:rsid w:val="00F570A2"/>
    <w:rsid w:val="00F5724A"/>
    <w:rsid w:val="00F573B7"/>
    <w:rsid w:val="00F57486"/>
    <w:rsid w:val="00F574C2"/>
    <w:rsid w:val="00F57680"/>
    <w:rsid w:val="00F5797A"/>
    <w:rsid w:val="00F57A2E"/>
    <w:rsid w:val="00F57AE7"/>
    <w:rsid w:val="00F57B03"/>
    <w:rsid w:val="00F57C8D"/>
    <w:rsid w:val="00F57CC6"/>
    <w:rsid w:val="00F57D1E"/>
    <w:rsid w:val="00F57F09"/>
    <w:rsid w:val="00F6017F"/>
    <w:rsid w:val="00F604F5"/>
    <w:rsid w:val="00F60574"/>
    <w:rsid w:val="00F60700"/>
    <w:rsid w:val="00F60822"/>
    <w:rsid w:val="00F60854"/>
    <w:rsid w:val="00F60893"/>
    <w:rsid w:val="00F60906"/>
    <w:rsid w:val="00F60B25"/>
    <w:rsid w:val="00F61179"/>
    <w:rsid w:val="00F611F1"/>
    <w:rsid w:val="00F6139A"/>
    <w:rsid w:val="00F6147A"/>
    <w:rsid w:val="00F614DA"/>
    <w:rsid w:val="00F6151C"/>
    <w:rsid w:val="00F61624"/>
    <w:rsid w:val="00F61754"/>
    <w:rsid w:val="00F6183A"/>
    <w:rsid w:val="00F61A2E"/>
    <w:rsid w:val="00F61A7A"/>
    <w:rsid w:val="00F61B11"/>
    <w:rsid w:val="00F61B5D"/>
    <w:rsid w:val="00F61DED"/>
    <w:rsid w:val="00F61F51"/>
    <w:rsid w:val="00F620EB"/>
    <w:rsid w:val="00F62251"/>
    <w:rsid w:val="00F62281"/>
    <w:rsid w:val="00F62363"/>
    <w:rsid w:val="00F6261A"/>
    <w:rsid w:val="00F62B90"/>
    <w:rsid w:val="00F62BE8"/>
    <w:rsid w:val="00F62D25"/>
    <w:rsid w:val="00F62F53"/>
    <w:rsid w:val="00F6313A"/>
    <w:rsid w:val="00F63356"/>
    <w:rsid w:val="00F63366"/>
    <w:rsid w:val="00F638B9"/>
    <w:rsid w:val="00F63A04"/>
    <w:rsid w:val="00F63C26"/>
    <w:rsid w:val="00F63D34"/>
    <w:rsid w:val="00F63F46"/>
    <w:rsid w:val="00F63F64"/>
    <w:rsid w:val="00F63FD9"/>
    <w:rsid w:val="00F64014"/>
    <w:rsid w:val="00F64076"/>
    <w:rsid w:val="00F64095"/>
    <w:rsid w:val="00F640A0"/>
    <w:rsid w:val="00F640C9"/>
    <w:rsid w:val="00F64106"/>
    <w:rsid w:val="00F64180"/>
    <w:rsid w:val="00F6426B"/>
    <w:rsid w:val="00F64395"/>
    <w:rsid w:val="00F643DA"/>
    <w:rsid w:val="00F6473A"/>
    <w:rsid w:val="00F64A78"/>
    <w:rsid w:val="00F64DF9"/>
    <w:rsid w:val="00F64FBC"/>
    <w:rsid w:val="00F653A4"/>
    <w:rsid w:val="00F6573A"/>
    <w:rsid w:val="00F65A2A"/>
    <w:rsid w:val="00F65AC5"/>
    <w:rsid w:val="00F65AD7"/>
    <w:rsid w:val="00F65B78"/>
    <w:rsid w:val="00F661BB"/>
    <w:rsid w:val="00F66206"/>
    <w:rsid w:val="00F6623E"/>
    <w:rsid w:val="00F66499"/>
    <w:rsid w:val="00F6668F"/>
    <w:rsid w:val="00F66E15"/>
    <w:rsid w:val="00F66F13"/>
    <w:rsid w:val="00F66F45"/>
    <w:rsid w:val="00F66F8D"/>
    <w:rsid w:val="00F6701E"/>
    <w:rsid w:val="00F670ED"/>
    <w:rsid w:val="00F67455"/>
    <w:rsid w:val="00F67824"/>
    <w:rsid w:val="00F67AE2"/>
    <w:rsid w:val="00F67B38"/>
    <w:rsid w:val="00F67B77"/>
    <w:rsid w:val="00F67F08"/>
    <w:rsid w:val="00F704B9"/>
    <w:rsid w:val="00F70505"/>
    <w:rsid w:val="00F70E46"/>
    <w:rsid w:val="00F70E71"/>
    <w:rsid w:val="00F70F4F"/>
    <w:rsid w:val="00F71081"/>
    <w:rsid w:val="00F71154"/>
    <w:rsid w:val="00F714AD"/>
    <w:rsid w:val="00F717D4"/>
    <w:rsid w:val="00F71803"/>
    <w:rsid w:val="00F71BD8"/>
    <w:rsid w:val="00F71C64"/>
    <w:rsid w:val="00F71DD1"/>
    <w:rsid w:val="00F71ED1"/>
    <w:rsid w:val="00F72179"/>
    <w:rsid w:val="00F72493"/>
    <w:rsid w:val="00F72665"/>
    <w:rsid w:val="00F727CD"/>
    <w:rsid w:val="00F72B30"/>
    <w:rsid w:val="00F72D27"/>
    <w:rsid w:val="00F72D75"/>
    <w:rsid w:val="00F73280"/>
    <w:rsid w:val="00F733D6"/>
    <w:rsid w:val="00F735B3"/>
    <w:rsid w:val="00F736EE"/>
    <w:rsid w:val="00F73885"/>
    <w:rsid w:val="00F738D6"/>
    <w:rsid w:val="00F7391A"/>
    <w:rsid w:val="00F73933"/>
    <w:rsid w:val="00F73AFC"/>
    <w:rsid w:val="00F73B61"/>
    <w:rsid w:val="00F73EB2"/>
    <w:rsid w:val="00F74038"/>
    <w:rsid w:val="00F7422E"/>
    <w:rsid w:val="00F7435D"/>
    <w:rsid w:val="00F743D0"/>
    <w:rsid w:val="00F743D3"/>
    <w:rsid w:val="00F74696"/>
    <w:rsid w:val="00F747D2"/>
    <w:rsid w:val="00F748B1"/>
    <w:rsid w:val="00F7491A"/>
    <w:rsid w:val="00F74B4A"/>
    <w:rsid w:val="00F74B70"/>
    <w:rsid w:val="00F74BF8"/>
    <w:rsid w:val="00F74D7E"/>
    <w:rsid w:val="00F74DA8"/>
    <w:rsid w:val="00F74DEA"/>
    <w:rsid w:val="00F74EAC"/>
    <w:rsid w:val="00F7516B"/>
    <w:rsid w:val="00F75207"/>
    <w:rsid w:val="00F75271"/>
    <w:rsid w:val="00F753C6"/>
    <w:rsid w:val="00F755E4"/>
    <w:rsid w:val="00F7564E"/>
    <w:rsid w:val="00F75663"/>
    <w:rsid w:val="00F75685"/>
    <w:rsid w:val="00F756A1"/>
    <w:rsid w:val="00F756DC"/>
    <w:rsid w:val="00F757BD"/>
    <w:rsid w:val="00F758C7"/>
    <w:rsid w:val="00F75955"/>
    <w:rsid w:val="00F759A1"/>
    <w:rsid w:val="00F75A77"/>
    <w:rsid w:val="00F75A99"/>
    <w:rsid w:val="00F75BEB"/>
    <w:rsid w:val="00F75F72"/>
    <w:rsid w:val="00F761A6"/>
    <w:rsid w:val="00F76242"/>
    <w:rsid w:val="00F76260"/>
    <w:rsid w:val="00F762BA"/>
    <w:rsid w:val="00F763CC"/>
    <w:rsid w:val="00F7649C"/>
    <w:rsid w:val="00F764A2"/>
    <w:rsid w:val="00F764D4"/>
    <w:rsid w:val="00F76627"/>
    <w:rsid w:val="00F7669E"/>
    <w:rsid w:val="00F766CC"/>
    <w:rsid w:val="00F767EA"/>
    <w:rsid w:val="00F7681B"/>
    <w:rsid w:val="00F76B4B"/>
    <w:rsid w:val="00F76C76"/>
    <w:rsid w:val="00F76C7E"/>
    <w:rsid w:val="00F76D9C"/>
    <w:rsid w:val="00F76DEC"/>
    <w:rsid w:val="00F76DEF"/>
    <w:rsid w:val="00F76FFF"/>
    <w:rsid w:val="00F77440"/>
    <w:rsid w:val="00F774CB"/>
    <w:rsid w:val="00F775EC"/>
    <w:rsid w:val="00F77701"/>
    <w:rsid w:val="00F77898"/>
    <w:rsid w:val="00F778B6"/>
    <w:rsid w:val="00F77B22"/>
    <w:rsid w:val="00F77C86"/>
    <w:rsid w:val="00F77E3F"/>
    <w:rsid w:val="00F77FBB"/>
    <w:rsid w:val="00F77FE4"/>
    <w:rsid w:val="00F80012"/>
    <w:rsid w:val="00F80161"/>
    <w:rsid w:val="00F801EA"/>
    <w:rsid w:val="00F801F4"/>
    <w:rsid w:val="00F80429"/>
    <w:rsid w:val="00F8066C"/>
    <w:rsid w:val="00F8088D"/>
    <w:rsid w:val="00F80AEC"/>
    <w:rsid w:val="00F80BF7"/>
    <w:rsid w:val="00F80C94"/>
    <w:rsid w:val="00F80CAE"/>
    <w:rsid w:val="00F80D3C"/>
    <w:rsid w:val="00F80D6C"/>
    <w:rsid w:val="00F80EC3"/>
    <w:rsid w:val="00F81098"/>
    <w:rsid w:val="00F81447"/>
    <w:rsid w:val="00F8194E"/>
    <w:rsid w:val="00F819BD"/>
    <w:rsid w:val="00F81AC1"/>
    <w:rsid w:val="00F81DA4"/>
    <w:rsid w:val="00F81DC5"/>
    <w:rsid w:val="00F82015"/>
    <w:rsid w:val="00F8213F"/>
    <w:rsid w:val="00F82412"/>
    <w:rsid w:val="00F825BD"/>
    <w:rsid w:val="00F82A7E"/>
    <w:rsid w:val="00F82B7B"/>
    <w:rsid w:val="00F82BF9"/>
    <w:rsid w:val="00F830EE"/>
    <w:rsid w:val="00F83168"/>
    <w:rsid w:val="00F833D4"/>
    <w:rsid w:val="00F834B9"/>
    <w:rsid w:val="00F83550"/>
    <w:rsid w:val="00F8359F"/>
    <w:rsid w:val="00F83A1E"/>
    <w:rsid w:val="00F83F12"/>
    <w:rsid w:val="00F8431D"/>
    <w:rsid w:val="00F845A1"/>
    <w:rsid w:val="00F845DE"/>
    <w:rsid w:val="00F84718"/>
    <w:rsid w:val="00F847FA"/>
    <w:rsid w:val="00F849F3"/>
    <w:rsid w:val="00F84A32"/>
    <w:rsid w:val="00F84A59"/>
    <w:rsid w:val="00F84A7B"/>
    <w:rsid w:val="00F84B94"/>
    <w:rsid w:val="00F84BAE"/>
    <w:rsid w:val="00F84CA7"/>
    <w:rsid w:val="00F84F13"/>
    <w:rsid w:val="00F84F81"/>
    <w:rsid w:val="00F84F82"/>
    <w:rsid w:val="00F852CD"/>
    <w:rsid w:val="00F8545B"/>
    <w:rsid w:val="00F85500"/>
    <w:rsid w:val="00F855EA"/>
    <w:rsid w:val="00F8579F"/>
    <w:rsid w:val="00F858F3"/>
    <w:rsid w:val="00F8594C"/>
    <w:rsid w:val="00F859D9"/>
    <w:rsid w:val="00F85A86"/>
    <w:rsid w:val="00F85CB3"/>
    <w:rsid w:val="00F85E36"/>
    <w:rsid w:val="00F85ECE"/>
    <w:rsid w:val="00F85EF3"/>
    <w:rsid w:val="00F85F7E"/>
    <w:rsid w:val="00F8692F"/>
    <w:rsid w:val="00F870D1"/>
    <w:rsid w:val="00F8719E"/>
    <w:rsid w:val="00F8749B"/>
    <w:rsid w:val="00F875FF"/>
    <w:rsid w:val="00F87672"/>
    <w:rsid w:val="00F87AC2"/>
    <w:rsid w:val="00F87AEA"/>
    <w:rsid w:val="00F87E5D"/>
    <w:rsid w:val="00F87E99"/>
    <w:rsid w:val="00F87FD1"/>
    <w:rsid w:val="00F900D3"/>
    <w:rsid w:val="00F90176"/>
    <w:rsid w:val="00F9030D"/>
    <w:rsid w:val="00F90989"/>
    <w:rsid w:val="00F90BDB"/>
    <w:rsid w:val="00F90C25"/>
    <w:rsid w:val="00F90C2C"/>
    <w:rsid w:val="00F90C9E"/>
    <w:rsid w:val="00F911C5"/>
    <w:rsid w:val="00F911F0"/>
    <w:rsid w:val="00F9146A"/>
    <w:rsid w:val="00F914F3"/>
    <w:rsid w:val="00F915F0"/>
    <w:rsid w:val="00F91FD9"/>
    <w:rsid w:val="00F9208F"/>
    <w:rsid w:val="00F920A6"/>
    <w:rsid w:val="00F9225C"/>
    <w:rsid w:val="00F92429"/>
    <w:rsid w:val="00F92498"/>
    <w:rsid w:val="00F9260D"/>
    <w:rsid w:val="00F92722"/>
    <w:rsid w:val="00F92764"/>
    <w:rsid w:val="00F927EE"/>
    <w:rsid w:val="00F9282B"/>
    <w:rsid w:val="00F92839"/>
    <w:rsid w:val="00F92A10"/>
    <w:rsid w:val="00F92A67"/>
    <w:rsid w:val="00F92B3F"/>
    <w:rsid w:val="00F92B92"/>
    <w:rsid w:val="00F92DEF"/>
    <w:rsid w:val="00F931CD"/>
    <w:rsid w:val="00F933AD"/>
    <w:rsid w:val="00F933B7"/>
    <w:rsid w:val="00F93567"/>
    <w:rsid w:val="00F93577"/>
    <w:rsid w:val="00F93879"/>
    <w:rsid w:val="00F93D54"/>
    <w:rsid w:val="00F93D8A"/>
    <w:rsid w:val="00F93EC6"/>
    <w:rsid w:val="00F9415D"/>
    <w:rsid w:val="00F94561"/>
    <w:rsid w:val="00F94847"/>
    <w:rsid w:val="00F94960"/>
    <w:rsid w:val="00F94ABD"/>
    <w:rsid w:val="00F94ACF"/>
    <w:rsid w:val="00F94C37"/>
    <w:rsid w:val="00F94C5E"/>
    <w:rsid w:val="00F94CF9"/>
    <w:rsid w:val="00F94E54"/>
    <w:rsid w:val="00F94F37"/>
    <w:rsid w:val="00F95195"/>
    <w:rsid w:val="00F9567F"/>
    <w:rsid w:val="00F9597C"/>
    <w:rsid w:val="00F95A56"/>
    <w:rsid w:val="00F95AE4"/>
    <w:rsid w:val="00F95B57"/>
    <w:rsid w:val="00F95C7D"/>
    <w:rsid w:val="00F95D88"/>
    <w:rsid w:val="00F9600B"/>
    <w:rsid w:val="00F9608A"/>
    <w:rsid w:val="00F9609B"/>
    <w:rsid w:val="00F9642A"/>
    <w:rsid w:val="00F96551"/>
    <w:rsid w:val="00F96605"/>
    <w:rsid w:val="00F967BB"/>
    <w:rsid w:val="00F9688A"/>
    <w:rsid w:val="00F96B59"/>
    <w:rsid w:val="00F96CC7"/>
    <w:rsid w:val="00F9716D"/>
    <w:rsid w:val="00F97345"/>
    <w:rsid w:val="00F973E5"/>
    <w:rsid w:val="00F974F6"/>
    <w:rsid w:val="00F97854"/>
    <w:rsid w:val="00F979B3"/>
    <w:rsid w:val="00F97AF3"/>
    <w:rsid w:val="00F97B29"/>
    <w:rsid w:val="00F97D24"/>
    <w:rsid w:val="00F97FB1"/>
    <w:rsid w:val="00FA03BB"/>
    <w:rsid w:val="00FA0437"/>
    <w:rsid w:val="00FA0593"/>
    <w:rsid w:val="00FA074F"/>
    <w:rsid w:val="00FA0765"/>
    <w:rsid w:val="00FA082D"/>
    <w:rsid w:val="00FA0A4A"/>
    <w:rsid w:val="00FA0BFF"/>
    <w:rsid w:val="00FA0C4A"/>
    <w:rsid w:val="00FA0EE7"/>
    <w:rsid w:val="00FA0F96"/>
    <w:rsid w:val="00FA0FE4"/>
    <w:rsid w:val="00FA111A"/>
    <w:rsid w:val="00FA1322"/>
    <w:rsid w:val="00FA1326"/>
    <w:rsid w:val="00FA142E"/>
    <w:rsid w:val="00FA1571"/>
    <w:rsid w:val="00FA1592"/>
    <w:rsid w:val="00FA16DD"/>
    <w:rsid w:val="00FA1857"/>
    <w:rsid w:val="00FA18CC"/>
    <w:rsid w:val="00FA196F"/>
    <w:rsid w:val="00FA1CD0"/>
    <w:rsid w:val="00FA1DED"/>
    <w:rsid w:val="00FA1F93"/>
    <w:rsid w:val="00FA2021"/>
    <w:rsid w:val="00FA2096"/>
    <w:rsid w:val="00FA21DE"/>
    <w:rsid w:val="00FA22B0"/>
    <w:rsid w:val="00FA244A"/>
    <w:rsid w:val="00FA26E4"/>
    <w:rsid w:val="00FA2721"/>
    <w:rsid w:val="00FA293A"/>
    <w:rsid w:val="00FA2946"/>
    <w:rsid w:val="00FA297B"/>
    <w:rsid w:val="00FA2AB7"/>
    <w:rsid w:val="00FA2B1D"/>
    <w:rsid w:val="00FA2F14"/>
    <w:rsid w:val="00FA2F6B"/>
    <w:rsid w:val="00FA3045"/>
    <w:rsid w:val="00FA3099"/>
    <w:rsid w:val="00FA30B8"/>
    <w:rsid w:val="00FA30D3"/>
    <w:rsid w:val="00FA3144"/>
    <w:rsid w:val="00FA3186"/>
    <w:rsid w:val="00FA33F6"/>
    <w:rsid w:val="00FA37A7"/>
    <w:rsid w:val="00FA3BE0"/>
    <w:rsid w:val="00FA3C3C"/>
    <w:rsid w:val="00FA3D9F"/>
    <w:rsid w:val="00FA3E36"/>
    <w:rsid w:val="00FA42AB"/>
    <w:rsid w:val="00FA4665"/>
    <w:rsid w:val="00FA499C"/>
    <w:rsid w:val="00FA4C01"/>
    <w:rsid w:val="00FA4F6A"/>
    <w:rsid w:val="00FA52DF"/>
    <w:rsid w:val="00FA542A"/>
    <w:rsid w:val="00FA55E9"/>
    <w:rsid w:val="00FA5638"/>
    <w:rsid w:val="00FA563F"/>
    <w:rsid w:val="00FA5655"/>
    <w:rsid w:val="00FA565B"/>
    <w:rsid w:val="00FA5BCF"/>
    <w:rsid w:val="00FA5E46"/>
    <w:rsid w:val="00FA61CD"/>
    <w:rsid w:val="00FA6356"/>
    <w:rsid w:val="00FA63F8"/>
    <w:rsid w:val="00FA6566"/>
    <w:rsid w:val="00FA656B"/>
    <w:rsid w:val="00FA663C"/>
    <w:rsid w:val="00FA66E2"/>
    <w:rsid w:val="00FA6837"/>
    <w:rsid w:val="00FA694C"/>
    <w:rsid w:val="00FA6ACF"/>
    <w:rsid w:val="00FA6B2F"/>
    <w:rsid w:val="00FA6D45"/>
    <w:rsid w:val="00FA7061"/>
    <w:rsid w:val="00FA7344"/>
    <w:rsid w:val="00FA74DB"/>
    <w:rsid w:val="00FA7531"/>
    <w:rsid w:val="00FA7578"/>
    <w:rsid w:val="00FA757D"/>
    <w:rsid w:val="00FA76A8"/>
    <w:rsid w:val="00FA784D"/>
    <w:rsid w:val="00FA7898"/>
    <w:rsid w:val="00FA7A43"/>
    <w:rsid w:val="00FA7AA6"/>
    <w:rsid w:val="00FA7C28"/>
    <w:rsid w:val="00FA7E26"/>
    <w:rsid w:val="00FA7E70"/>
    <w:rsid w:val="00FA7F0E"/>
    <w:rsid w:val="00FB033E"/>
    <w:rsid w:val="00FB044C"/>
    <w:rsid w:val="00FB0506"/>
    <w:rsid w:val="00FB06F7"/>
    <w:rsid w:val="00FB087B"/>
    <w:rsid w:val="00FB0927"/>
    <w:rsid w:val="00FB0A15"/>
    <w:rsid w:val="00FB0BC5"/>
    <w:rsid w:val="00FB0BEA"/>
    <w:rsid w:val="00FB0D3F"/>
    <w:rsid w:val="00FB0DD3"/>
    <w:rsid w:val="00FB10DD"/>
    <w:rsid w:val="00FB123F"/>
    <w:rsid w:val="00FB12C5"/>
    <w:rsid w:val="00FB17F5"/>
    <w:rsid w:val="00FB19DD"/>
    <w:rsid w:val="00FB1CAD"/>
    <w:rsid w:val="00FB1CCB"/>
    <w:rsid w:val="00FB1E2C"/>
    <w:rsid w:val="00FB1EBE"/>
    <w:rsid w:val="00FB1EF1"/>
    <w:rsid w:val="00FB1F4A"/>
    <w:rsid w:val="00FB1FF6"/>
    <w:rsid w:val="00FB20B4"/>
    <w:rsid w:val="00FB233B"/>
    <w:rsid w:val="00FB2562"/>
    <w:rsid w:val="00FB25FD"/>
    <w:rsid w:val="00FB2834"/>
    <w:rsid w:val="00FB2DF6"/>
    <w:rsid w:val="00FB2EC9"/>
    <w:rsid w:val="00FB2F9C"/>
    <w:rsid w:val="00FB3119"/>
    <w:rsid w:val="00FB3238"/>
    <w:rsid w:val="00FB3263"/>
    <w:rsid w:val="00FB326D"/>
    <w:rsid w:val="00FB334A"/>
    <w:rsid w:val="00FB33EE"/>
    <w:rsid w:val="00FB347E"/>
    <w:rsid w:val="00FB34C9"/>
    <w:rsid w:val="00FB3557"/>
    <w:rsid w:val="00FB36BC"/>
    <w:rsid w:val="00FB38B9"/>
    <w:rsid w:val="00FB3A37"/>
    <w:rsid w:val="00FB3C01"/>
    <w:rsid w:val="00FB3D62"/>
    <w:rsid w:val="00FB3D8E"/>
    <w:rsid w:val="00FB3DC1"/>
    <w:rsid w:val="00FB3E2F"/>
    <w:rsid w:val="00FB3E37"/>
    <w:rsid w:val="00FB40D9"/>
    <w:rsid w:val="00FB4119"/>
    <w:rsid w:val="00FB418C"/>
    <w:rsid w:val="00FB4319"/>
    <w:rsid w:val="00FB4610"/>
    <w:rsid w:val="00FB46E8"/>
    <w:rsid w:val="00FB4C27"/>
    <w:rsid w:val="00FB4C30"/>
    <w:rsid w:val="00FB4E96"/>
    <w:rsid w:val="00FB4F1E"/>
    <w:rsid w:val="00FB5002"/>
    <w:rsid w:val="00FB51A7"/>
    <w:rsid w:val="00FB52D1"/>
    <w:rsid w:val="00FB5463"/>
    <w:rsid w:val="00FB54A4"/>
    <w:rsid w:val="00FB5587"/>
    <w:rsid w:val="00FB574F"/>
    <w:rsid w:val="00FB593D"/>
    <w:rsid w:val="00FB5BCC"/>
    <w:rsid w:val="00FB5BD2"/>
    <w:rsid w:val="00FB5EC5"/>
    <w:rsid w:val="00FB5FCE"/>
    <w:rsid w:val="00FB5FF3"/>
    <w:rsid w:val="00FB6017"/>
    <w:rsid w:val="00FB6049"/>
    <w:rsid w:val="00FB60E0"/>
    <w:rsid w:val="00FB6209"/>
    <w:rsid w:val="00FB651F"/>
    <w:rsid w:val="00FB6541"/>
    <w:rsid w:val="00FB6813"/>
    <w:rsid w:val="00FB6D03"/>
    <w:rsid w:val="00FB6D2E"/>
    <w:rsid w:val="00FB6E90"/>
    <w:rsid w:val="00FB727C"/>
    <w:rsid w:val="00FB733E"/>
    <w:rsid w:val="00FB73B9"/>
    <w:rsid w:val="00FB73C7"/>
    <w:rsid w:val="00FB799F"/>
    <w:rsid w:val="00FB7C48"/>
    <w:rsid w:val="00FB7CC0"/>
    <w:rsid w:val="00FB7D1E"/>
    <w:rsid w:val="00FB7EF6"/>
    <w:rsid w:val="00FC0270"/>
    <w:rsid w:val="00FC04A8"/>
    <w:rsid w:val="00FC0906"/>
    <w:rsid w:val="00FC0A7B"/>
    <w:rsid w:val="00FC0BC2"/>
    <w:rsid w:val="00FC0F5B"/>
    <w:rsid w:val="00FC1150"/>
    <w:rsid w:val="00FC116C"/>
    <w:rsid w:val="00FC11F6"/>
    <w:rsid w:val="00FC1213"/>
    <w:rsid w:val="00FC1233"/>
    <w:rsid w:val="00FC1281"/>
    <w:rsid w:val="00FC12B7"/>
    <w:rsid w:val="00FC152D"/>
    <w:rsid w:val="00FC157C"/>
    <w:rsid w:val="00FC15B4"/>
    <w:rsid w:val="00FC15F0"/>
    <w:rsid w:val="00FC17C1"/>
    <w:rsid w:val="00FC1815"/>
    <w:rsid w:val="00FC18EA"/>
    <w:rsid w:val="00FC18FB"/>
    <w:rsid w:val="00FC18FC"/>
    <w:rsid w:val="00FC1907"/>
    <w:rsid w:val="00FC1A39"/>
    <w:rsid w:val="00FC1CEB"/>
    <w:rsid w:val="00FC1D39"/>
    <w:rsid w:val="00FC226B"/>
    <w:rsid w:val="00FC22E1"/>
    <w:rsid w:val="00FC2311"/>
    <w:rsid w:val="00FC2429"/>
    <w:rsid w:val="00FC2629"/>
    <w:rsid w:val="00FC2636"/>
    <w:rsid w:val="00FC2952"/>
    <w:rsid w:val="00FC2AAF"/>
    <w:rsid w:val="00FC2C5E"/>
    <w:rsid w:val="00FC2D08"/>
    <w:rsid w:val="00FC2DE1"/>
    <w:rsid w:val="00FC2E07"/>
    <w:rsid w:val="00FC353D"/>
    <w:rsid w:val="00FC3709"/>
    <w:rsid w:val="00FC3740"/>
    <w:rsid w:val="00FC3AAA"/>
    <w:rsid w:val="00FC3E79"/>
    <w:rsid w:val="00FC3EEC"/>
    <w:rsid w:val="00FC3EF3"/>
    <w:rsid w:val="00FC3F61"/>
    <w:rsid w:val="00FC4450"/>
    <w:rsid w:val="00FC44E0"/>
    <w:rsid w:val="00FC4520"/>
    <w:rsid w:val="00FC458A"/>
    <w:rsid w:val="00FC479B"/>
    <w:rsid w:val="00FC47D0"/>
    <w:rsid w:val="00FC47FA"/>
    <w:rsid w:val="00FC48D4"/>
    <w:rsid w:val="00FC48D7"/>
    <w:rsid w:val="00FC4F49"/>
    <w:rsid w:val="00FC4F8A"/>
    <w:rsid w:val="00FC5186"/>
    <w:rsid w:val="00FC56A5"/>
    <w:rsid w:val="00FC5768"/>
    <w:rsid w:val="00FC596B"/>
    <w:rsid w:val="00FC5BF8"/>
    <w:rsid w:val="00FC5D0B"/>
    <w:rsid w:val="00FC5F71"/>
    <w:rsid w:val="00FC5FB5"/>
    <w:rsid w:val="00FC6014"/>
    <w:rsid w:val="00FC647D"/>
    <w:rsid w:val="00FC677E"/>
    <w:rsid w:val="00FC67F9"/>
    <w:rsid w:val="00FC698A"/>
    <w:rsid w:val="00FC69B8"/>
    <w:rsid w:val="00FC69EA"/>
    <w:rsid w:val="00FC6B50"/>
    <w:rsid w:val="00FC6BD7"/>
    <w:rsid w:val="00FC6C11"/>
    <w:rsid w:val="00FC6DFB"/>
    <w:rsid w:val="00FC7016"/>
    <w:rsid w:val="00FC719A"/>
    <w:rsid w:val="00FC7513"/>
    <w:rsid w:val="00FC7637"/>
    <w:rsid w:val="00FC7802"/>
    <w:rsid w:val="00FC78C2"/>
    <w:rsid w:val="00FC7932"/>
    <w:rsid w:val="00FC7AC2"/>
    <w:rsid w:val="00FC7FC3"/>
    <w:rsid w:val="00FD004E"/>
    <w:rsid w:val="00FD0193"/>
    <w:rsid w:val="00FD02CC"/>
    <w:rsid w:val="00FD03AA"/>
    <w:rsid w:val="00FD0E79"/>
    <w:rsid w:val="00FD0E91"/>
    <w:rsid w:val="00FD0F4D"/>
    <w:rsid w:val="00FD0F74"/>
    <w:rsid w:val="00FD1031"/>
    <w:rsid w:val="00FD105B"/>
    <w:rsid w:val="00FD1064"/>
    <w:rsid w:val="00FD109F"/>
    <w:rsid w:val="00FD114B"/>
    <w:rsid w:val="00FD12A6"/>
    <w:rsid w:val="00FD1314"/>
    <w:rsid w:val="00FD133C"/>
    <w:rsid w:val="00FD1590"/>
    <w:rsid w:val="00FD16B7"/>
    <w:rsid w:val="00FD1992"/>
    <w:rsid w:val="00FD1BB6"/>
    <w:rsid w:val="00FD1BE2"/>
    <w:rsid w:val="00FD1C10"/>
    <w:rsid w:val="00FD1D48"/>
    <w:rsid w:val="00FD1DBD"/>
    <w:rsid w:val="00FD1FD5"/>
    <w:rsid w:val="00FD201E"/>
    <w:rsid w:val="00FD2384"/>
    <w:rsid w:val="00FD2520"/>
    <w:rsid w:val="00FD2549"/>
    <w:rsid w:val="00FD2760"/>
    <w:rsid w:val="00FD2825"/>
    <w:rsid w:val="00FD2A1A"/>
    <w:rsid w:val="00FD2BB7"/>
    <w:rsid w:val="00FD2D8A"/>
    <w:rsid w:val="00FD31B5"/>
    <w:rsid w:val="00FD3245"/>
    <w:rsid w:val="00FD3248"/>
    <w:rsid w:val="00FD3399"/>
    <w:rsid w:val="00FD3464"/>
    <w:rsid w:val="00FD34BC"/>
    <w:rsid w:val="00FD369B"/>
    <w:rsid w:val="00FD3A90"/>
    <w:rsid w:val="00FD3D93"/>
    <w:rsid w:val="00FD3E0C"/>
    <w:rsid w:val="00FD3E1B"/>
    <w:rsid w:val="00FD402E"/>
    <w:rsid w:val="00FD4032"/>
    <w:rsid w:val="00FD4224"/>
    <w:rsid w:val="00FD425B"/>
    <w:rsid w:val="00FD4497"/>
    <w:rsid w:val="00FD4706"/>
    <w:rsid w:val="00FD485A"/>
    <w:rsid w:val="00FD4863"/>
    <w:rsid w:val="00FD488E"/>
    <w:rsid w:val="00FD49EA"/>
    <w:rsid w:val="00FD4A26"/>
    <w:rsid w:val="00FD4C36"/>
    <w:rsid w:val="00FD4D2B"/>
    <w:rsid w:val="00FD4DA1"/>
    <w:rsid w:val="00FD4DB5"/>
    <w:rsid w:val="00FD507C"/>
    <w:rsid w:val="00FD50B1"/>
    <w:rsid w:val="00FD511E"/>
    <w:rsid w:val="00FD553F"/>
    <w:rsid w:val="00FD564E"/>
    <w:rsid w:val="00FD5744"/>
    <w:rsid w:val="00FD59D0"/>
    <w:rsid w:val="00FD5A41"/>
    <w:rsid w:val="00FD5E1E"/>
    <w:rsid w:val="00FD628D"/>
    <w:rsid w:val="00FD62B8"/>
    <w:rsid w:val="00FD62E8"/>
    <w:rsid w:val="00FD6504"/>
    <w:rsid w:val="00FD653D"/>
    <w:rsid w:val="00FD657F"/>
    <w:rsid w:val="00FD66C4"/>
    <w:rsid w:val="00FD6916"/>
    <w:rsid w:val="00FD6D57"/>
    <w:rsid w:val="00FD6F71"/>
    <w:rsid w:val="00FD702E"/>
    <w:rsid w:val="00FD71A2"/>
    <w:rsid w:val="00FD71AB"/>
    <w:rsid w:val="00FD71CF"/>
    <w:rsid w:val="00FD745B"/>
    <w:rsid w:val="00FD76C7"/>
    <w:rsid w:val="00FD76D7"/>
    <w:rsid w:val="00FD7B15"/>
    <w:rsid w:val="00FD7C19"/>
    <w:rsid w:val="00FD7C39"/>
    <w:rsid w:val="00FD7DB9"/>
    <w:rsid w:val="00FD7E38"/>
    <w:rsid w:val="00FD7E71"/>
    <w:rsid w:val="00FE00D8"/>
    <w:rsid w:val="00FE0332"/>
    <w:rsid w:val="00FE06FD"/>
    <w:rsid w:val="00FE09A8"/>
    <w:rsid w:val="00FE0C17"/>
    <w:rsid w:val="00FE0C25"/>
    <w:rsid w:val="00FE0D82"/>
    <w:rsid w:val="00FE0E74"/>
    <w:rsid w:val="00FE0EE7"/>
    <w:rsid w:val="00FE0FB6"/>
    <w:rsid w:val="00FE11FD"/>
    <w:rsid w:val="00FE120C"/>
    <w:rsid w:val="00FE13A7"/>
    <w:rsid w:val="00FE13D2"/>
    <w:rsid w:val="00FE1572"/>
    <w:rsid w:val="00FE16A0"/>
    <w:rsid w:val="00FE189D"/>
    <w:rsid w:val="00FE19D1"/>
    <w:rsid w:val="00FE1CA7"/>
    <w:rsid w:val="00FE1CBB"/>
    <w:rsid w:val="00FE1D14"/>
    <w:rsid w:val="00FE1D28"/>
    <w:rsid w:val="00FE2278"/>
    <w:rsid w:val="00FE2504"/>
    <w:rsid w:val="00FE25B8"/>
    <w:rsid w:val="00FE28A0"/>
    <w:rsid w:val="00FE2A2E"/>
    <w:rsid w:val="00FE2BC2"/>
    <w:rsid w:val="00FE2C02"/>
    <w:rsid w:val="00FE2FD2"/>
    <w:rsid w:val="00FE309D"/>
    <w:rsid w:val="00FE34CC"/>
    <w:rsid w:val="00FE369F"/>
    <w:rsid w:val="00FE3761"/>
    <w:rsid w:val="00FE3C61"/>
    <w:rsid w:val="00FE3CF5"/>
    <w:rsid w:val="00FE4042"/>
    <w:rsid w:val="00FE45B1"/>
    <w:rsid w:val="00FE4642"/>
    <w:rsid w:val="00FE4794"/>
    <w:rsid w:val="00FE4915"/>
    <w:rsid w:val="00FE4935"/>
    <w:rsid w:val="00FE49A3"/>
    <w:rsid w:val="00FE4A42"/>
    <w:rsid w:val="00FE4B56"/>
    <w:rsid w:val="00FE4C0E"/>
    <w:rsid w:val="00FE4D91"/>
    <w:rsid w:val="00FE4EEB"/>
    <w:rsid w:val="00FE4FE4"/>
    <w:rsid w:val="00FE5220"/>
    <w:rsid w:val="00FE52BC"/>
    <w:rsid w:val="00FE5ABC"/>
    <w:rsid w:val="00FE5CC2"/>
    <w:rsid w:val="00FE5DC4"/>
    <w:rsid w:val="00FE5E26"/>
    <w:rsid w:val="00FE60A3"/>
    <w:rsid w:val="00FE655F"/>
    <w:rsid w:val="00FE6662"/>
    <w:rsid w:val="00FE681C"/>
    <w:rsid w:val="00FE68D2"/>
    <w:rsid w:val="00FE6985"/>
    <w:rsid w:val="00FE69F4"/>
    <w:rsid w:val="00FE6BD6"/>
    <w:rsid w:val="00FE6C1D"/>
    <w:rsid w:val="00FE6CA6"/>
    <w:rsid w:val="00FE6D0C"/>
    <w:rsid w:val="00FE6E45"/>
    <w:rsid w:val="00FE6F1D"/>
    <w:rsid w:val="00FE6F9B"/>
    <w:rsid w:val="00FE7291"/>
    <w:rsid w:val="00FE738E"/>
    <w:rsid w:val="00FE7611"/>
    <w:rsid w:val="00FE7640"/>
    <w:rsid w:val="00FE76C3"/>
    <w:rsid w:val="00FE779E"/>
    <w:rsid w:val="00FE799C"/>
    <w:rsid w:val="00FE79A6"/>
    <w:rsid w:val="00FE7F08"/>
    <w:rsid w:val="00FF0023"/>
    <w:rsid w:val="00FF0606"/>
    <w:rsid w:val="00FF060A"/>
    <w:rsid w:val="00FF06EA"/>
    <w:rsid w:val="00FF0A1C"/>
    <w:rsid w:val="00FF0BC8"/>
    <w:rsid w:val="00FF0F1A"/>
    <w:rsid w:val="00FF18D2"/>
    <w:rsid w:val="00FF1996"/>
    <w:rsid w:val="00FF19BD"/>
    <w:rsid w:val="00FF19C6"/>
    <w:rsid w:val="00FF1C40"/>
    <w:rsid w:val="00FF1D61"/>
    <w:rsid w:val="00FF1F82"/>
    <w:rsid w:val="00FF1F84"/>
    <w:rsid w:val="00FF23BE"/>
    <w:rsid w:val="00FF26EB"/>
    <w:rsid w:val="00FF26EF"/>
    <w:rsid w:val="00FF2844"/>
    <w:rsid w:val="00FF28A7"/>
    <w:rsid w:val="00FF2C9A"/>
    <w:rsid w:val="00FF2ED1"/>
    <w:rsid w:val="00FF3130"/>
    <w:rsid w:val="00FF31CB"/>
    <w:rsid w:val="00FF3788"/>
    <w:rsid w:val="00FF3B7D"/>
    <w:rsid w:val="00FF3D44"/>
    <w:rsid w:val="00FF3D9D"/>
    <w:rsid w:val="00FF4125"/>
    <w:rsid w:val="00FF43CB"/>
    <w:rsid w:val="00FF469E"/>
    <w:rsid w:val="00FF4854"/>
    <w:rsid w:val="00FF499D"/>
    <w:rsid w:val="00FF4C74"/>
    <w:rsid w:val="00FF4CE8"/>
    <w:rsid w:val="00FF4F03"/>
    <w:rsid w:val="00FF50AF"/>
    <w:rsid w:val="00FF51E5"/>
    <w:rsid w:val="00FF52DC"/>
    <w:rsid w:val="00FF5312"/>
    <w:rsid w:val="00FF545C"/>
    <w:rsid w:val="00FF54B3"/>
    <w:rsid w:val="00FF54E6"/>
    <w:rsid w:val="00FF59D2"/>
    <w:rsid w:val="00FF5A2A"/>
    <w:rsid w:val="00FF5C4B"/>
    <w:rsid w:val="00FF5D2F"/>
    <w:rsid w:val="00FF5F3B"/>
    <w:rsid w:val="00FF626F"/>
    <w:rsid w:val="00FF6412"/>
    <w:rsid w:val="00FF688B"/>
    <w:rsid w:val="00FF6996"/>
    <w:rsid w:val="00FF6AB1"/>
    <w:rsid w:val="00FF6AEC"/>
    <w:rsid w:val="00FF6B92"/>
    <w:rsid w:val="00FF6C03"/>
    <w:rsid w:val="00FF6C6A"/>
    <w:rsid w:val="00FF6D6F"/>
    <w:rsid w:val="00FF6DD4"/>
    <w:rsid w:val="00FF6FB0"/>
    <w:rsid w:val="00FF70F6"/>
    <w:rsid w:val="00FF7112"/>
    <w:rsid w:val="00FF7114"/>
    <w:rsid w:val="00FF7392"/>
    <w:rsid w:val="00FF7513"/>
    <w:rsid w:val="00FF7583"/>
    <w:rsid w:val="00FF75AC"/>
    <w:rsid w:val="00FF7678"/>
    <w:rsid w:val="00FF7841"/>
    <w:rsid w:val="00FF7867"/>
    <w:rsid w:val="00FF7A75"/>
    <w:rsid w:val="00FF7C2B"/>
    <w:rsid w:val="00FF7FF1"/>
    <w:rsid w:val="00FFF1C8"/>
    <w:rsid w:val="012FD101"/>
    <w:rsid w:val="013A306B"/>
    <w:rsid w:val="015E3ADF"/>
    <w:rsid w:val="016AF441"/>
    <w:rsid w:val="01BFFB8E"/>
    <w:rsid w:val="022CBB59"/>
    <w:rsid w:val="02A5E247"/>
    <w:rsid w:val="02E98581"/>
    <w:rsid w:val="030B1CC9"/>
    <w:rsid w:val="030D7C94"/>
    <w:rsid w:val="033A2EEA"/>
    <w:rsid w:val="0354A46D"/>
    <w:rsid w:val="0392C5CF"/>
    <w:rsid w:val="03A5A55A"/>
    <w:rsid w:val="03C07EDE"/>
    <w:rsid w:val="03D5CA2F"/>
    <w:rsid w:val="03FFB8D5"/>
    <w:rsid w:val="04001E3C"/>
    <w:rsid w:val="0435DB84"/>
    <w:rsid w:val="043A4CF9"/>
    <w:rsid w:val="0445103A"/>
    <w:rsid w:val="044929BE"/>
    <w:rsid w:val="0467D83F"/>
    <w:rsid w:val="04B2AAD8"/>
    <w:rsid w:val="055A0281"/>
    <w:rsid w:val="05E46055"/>
    <w:rsid w:val="0610BEA2"/>
    <w:rsid w:val="067F27ED"/>
    <w:rsid w:val="068386CA"/>
    <w:rsid w:val="06A45F3C"/>
    <w:rsid w:val="06B2D220"/>
    <w:rsid w:val="06EECC63"/>
    <w:rsid w:val="082F558D"/>
    <w:rsid w:val="086682B4"/>
    <w:rsid w:val="08E5E6EF"/>
    <w:rsid w:val="09354153"/>
    <w:rsid w:val="097DB9B4"/>
    <w:rsid w:val="09926DF9"/>
    <w:rsid w:val="09D7BAA1"/>
    <w:rsid w:val="0A0D54A2"/>
    <w:rsid w:val="0A12600F"/>
    <w:rsid w:val="0A205FA9"/>
    <w:rsid w:val="0A4CDCC0"/>
    <w:rsid w:val="0A8E02D7"/>
    <w:rsid w:val="0AC16033"/>
    <w:rsid w:val="0AC73FA9"/>
    <w:rsid w:val="0ACAA526"/>
    <w:rsid w:val="0AFFFFA9"/>
    <w:rsid w:val="0B6830CD"/>
    <w:rsid w:val="0BD84054"/>
    <w:rsid w:val="0C1537F2"/>
    <w:rsid w:val="0C4F4971"/>
    <w:rsid w:val="0C860FAC"/>
    <w:rsid w:val="0C9A7995"/>
    <w:rsid w:val="0CCE7D1F"/>
    <w:rsid w:val="0D22DE4B"/>
    <w:rsid w:val="0D6F623F"/>
    <w:rsid w:val="0D7D4EE9"/>
    <w:rsid w:val="0DD576DE"/>
    <w:rsid w:val="0DF703DE"/>
    <w:rsid w:val="0E1FFDF7"/>
    <w:rsid w:val="0EB57FE0"/>
    <w:rsid w:val="0EBE23F7"/>
    <w:rsid w:val="0EC190DB"/>
    <w:rsid w:val="0F53A8E7"/>
    <w:rsid w:val="0F80124B"/>
    <w:rsid w:val="0F958B7E"/>
    <w:rsid w:val="0FA008DE"/>
    <w:rsid w:val="0FB55367"/>
    <w:rsid w:val="1029172A"/>
    <w:rsid w:val="105D8B5D"/>
    <w:rsid w:val="1089F94F"/>
    <w:rsid w:val="109F8D43"/>
    <w:rsid w:val="11422FFD"/>
    <w:rsid w:val="114499DD"/>
    <w:rsid w:val="11BF8CD4"/>
    <w:rsid w:val="11C3897A"/>
    <w:rsid w:val="11CAACE8"/>
    <w:rsid w:val="1204C24B"/>
    <w:rsid w:val="127EBFB4"/>
    <w:rsid w:val="1288DE50"/>
    <w:rsid w:val="12A3AE9D"/>
    <w:rsid w:val="12E4AAA2"/>
    <w:rsid w:val="12E4E1A4"/>
    <w:rsid w:val="130AB7B9"/>
    <w:rsid w:val="136CAC94"/>
    <w:rsid w:val="138F1FC7"/>
    <w:rsid w:val="13FBC227"/>
    <w:rsid w:val="14493B61"/>
    <w:rsid w:val="14E8588B"/>
    <w:rsid w:val="14FBBEB8"/>
    <w:rsid w:val="15189E64"/>
    <w:rsid w:val="1524C589"/>
    <w:rsid w:val="15B6B2E2"/>
    <w:rsid w:val="15C42254"/>
    <w:rsid w:val="16D9EDD8"/>
    <w:rsid w:val="16E0BFA7"/>
    <w:rsid w:val="16E35723"/>
    <w:rsid w:val="17D09729"/>
    <w:rsid w:val="17D678AB"/>
    <w:rsid w:val="180D3710"/>
    <w:rsid w:val="18C9294E"/>
    <w:rsid w:val="1930BBB1"/>
    <w:rsid w:val="19DC81CD"/>
    <w:rsid w:val="1A53F8DB"/>
    <w:rsid w:val="1A6683D4"/>
    <w:rsid w:val="1B3E9AA8"/>
    <w:rsid w:val="1B44DBA7"/>
    <w:rsid w:val="1B465C8A"/>
    <w:rsid w:val="1B9A78F7"/>
    <w:rsid w:val="1BBB4AF6"/>
    <w:rsid w:val="1BC9406A"/>
    <w:rsid w:val="1BD3B6F3"/>
    <w:rsid w:val="1BF37BBE"/>
    <w:rsid w:val="1C199C3F"/>
    <w:rsid w:val="1C2E2029"/>
    <w:rsid w:val="1C4D9F32"/>
    <w:rsid w:val="1CC832F5"/>
    <w:rsid w:val="1CD077F4"/>
    <w:rsid w:val="1D10D4FA"/>
    <w:rsid w:val="1D39CD6D"/>
    <w:rsid w:val="1D9A9C03"/>
    <w:rsid w:val="1E582A99"/>
    <w:rsid w:val="1E635945"/>
    <w:rsid w:val="1FBEEBE1"/>
    <w:rsid w:val="1FE13301"/>
    <w:rsid w:val="202AF331"/>
    <w:rsid w:val="20847194"/>
    <w:rsid w:val="208974E6"/>
    <w:rsid w:val="20DE30A3"/>
    <w:rsid w:val="21D67953"/>
    <w:rsid w:val="222E188E"/>
    <w:rsid w:val="224E420C"/>
    <w:rsid w:val="228EA925"/>
    <w:rsid w:val="232D67EA"/>
    <w:rsid w:val="234874D1"/>
    <w:rsid w:val="2382CB56"/>
    <w:rsid w:val="23EF28CF"/>
    <w:rsid w:val="243569CD"/>
    <w:rsid w:val="2484E6DA"/>
    <w:rsid w:val="24F81199"/>
    <w:rsid w:val="251C53A7"/>
    <w:rsid w:val="257DFAF5"/>
    <w:rsid w:val="2586FE94"/>
    <w:rsid w:val="25BAAD1B"/>
    <w:rsid w:val="25D70248"/>
    <w:rsid w:val="25E19739"/>
    <w:rsid w:val="26385D50"/>
    <w:rsid w:val="2645CE1B"/>
    <w:rsid w:val="2659811F"/>
    <w:rsid w:val="265E14E3"/>
    <w:rsid w:val="2693DC13"/>
    <w:rsid w:val="26D5AD83"/>
    <w:rsid w:val="26DD1B2D"/>
    <w:rsid w:val="27006DC5"/>
    <w:rsid w:val="270D2A02"/>
    <w:rsid w:val="2765CB1A"/>
    <w:rsid w:val="2766FE04"/>
    <w:rsid w:val="27AC4E08"/>
    <w:rsid w:val="27DC9C9E"/>
    <w:rsid w:val="2848B92B"/>
    <w:rsid w:val="285570EE"/>
    <w:rsid w:val="28E7A166"/>
    <w:rsid w:val="2911CF09"/>
    <w:rsid w:val="29A50464"/>
    <w:rsid w:val="29B15D7E"/>
    <w:rsid w:val="29EE1D79"/>
    <w:rsid w:val="2A179321"/>
    <w:rsid w:val="2A4D2CCE"/>
    <w:rsid w:val="2A5DABC0"/>
    <w:rsid w:val="2A65A51E"/>
    <w:rsid w:val="2AA126AC"/>
    <w:rsid w:val="2AB74870"/>
    <w:rsid w:val="2B75E669"/>
    <w:rsid w:val="2B901178"/>
    <w:rsid w:val="2B9F24E8"/>
    <w:rsid w:val="2B9F2527"/>
    <w:rsid w:val="2BEFF6D6"/>
    <w:rsid w:val="2C0FAEA6"/>
    <w:rsid w:val="2C61062F"/>
    <w:rsid w:val="2CBEB76A"/>
    <w:rsid w:val="2D157F44"/>
    <w:rsid w:val="2D6AD389"/>
    <w:rsid w:val="2D8E32CB"/>
    <w:rsid w:val="2DA6A096"/>
    <w:rsid w:val="2DC010CB"/>
    <w:rsid w:val="2E6A513A"/>
    <w:rsid w:val="2E6F954D"/>
    <w:rsid w:val="2EBBDA1E"/>
    <w:rsid w:val="2EBCD6CB"/>
    <w:rsid w:val="2F2F033B"/>
    <w:rsid w:val="2F3E949A"/>
    <w:rsid w:val="2F5C7B1C"/>
    <w:rsid w:val="2F88F519"/>
    <w:rsid w:val="2FA773B2"/>
    <w:rsid w:val="306643A0"/>
    <w:rsid w:val="307D5EEA"/>
    <w:rsid w:val="30A22957"/>
    <w:rsid w:val="314C9E5D"/>
    <w:rsid w:val="316E08D5"/>
    <w:rsid w:val="3198868F"/>
    <w:rsid w:val="319F23FA"/>
    <w:rsid w:val="31BE57F8"/>
    <w:rsid w:val="31BF7225"/>
    <w:rsid w:val="31CE8789"/>
    <w:rsid w:val="320AB5B8"/>
    <w:rsid w:val="32155D25"/>
    <w:rsid w:val="323BCCDD"/>
    <w:rsid w:val="32484B4F"/>
    <w:rsid w:val="32DD6DBF"/>
    <w:rsid w:val="33192C9B"/>
    <w:rsid w:val="33375F34"/>
    <w:rsid w:val="3355B055"/>
    <w:rsid w:val="336D377A"/>
    <w:rsid w:val="337151C8"/>
    <w:rsid w:val="3387EE71"/>
    <w:rsid w:val="33D84E0E"/>
    <w:rsid w:val="341992DF"/>
    <w:rsid w:val="341C3C77"/>
    <w:rsid w:val="34B17B4C"/>
    <w:rsid w:val="3530DBC4"/>
    <w:rsid w:val="354CFFC6"/>
    <w:rsid w:val="356F66D6"/>
    <w:rsid w:val="35B6ADCF"/>
    <w:rsid w:val="365F38A4"/>
    <w:rsid w:val="366E8965"/>
    <w:rsid w:val="36A28EA8"/>
    <w:rsid w:val="36F32BC1"/>
    <w:rsid w:val="3742E747"/>
    <w:rsid w:val="3759E37F"/>
    <w:rsid w:val="37DC2183"/>
    <w:rsid w:val="37EF66D2"/>
    <w:rsid w:val="3857FBF9"/>
    <w:rsid w:val="38625398"/>
    <w:rsid w:val="386C5D8D"/>
    <w:rsid w:val="39919ABE"/>
    <w:rsid w:val="39C30FD4"/>
    <w:rsid w:val="3A360FD8"/>
    <w:rsid w:val="3A4740AC"/>
    <w:rsid w:val="3A6F7BB4"/>
    <w:rsid w:val="3AD729AE"/>
    <w:rsid w:val="3AEAA0C7"/>
    <w:rsid w:val="3AFFF26C"/>
    <w:rsid w:val="3B69E9B0"/>
    <w:rsid w:val="3B7C460B"/>
    <w:rsid w:val="3CA44BF2"/>
    <w:rsid w:val="3CBEF60A"/>
    <w:rsid w:val="3CFEF101"/>
    <w:rsid w:val="3D02EAC5"/>
    <w:rsid w:val="3D28FB81"/>
    <w:rsid w:val="3D35CA4A"/>
    <w:rsid w:val="3D3D76D0"/>
    <w:rsid w:val="3DEA4563"/>
    <w:rsid w:val="3DF3D6CC"/>
    <w:rsid w:val="3E496606"/>
    <w:rsid w:val="3E9183C7"/>
    <w:rsid w:val="3EE2CBF8"/>
    <w:rsid w:val="3EE6C39E"/>
    <w:rsid w:val="3FBA0D3C"/>
    <w:rsid w:val="3FF95840"/>
    <w:rsid w:val="40017616"/>
    <w:rsid w:val="400BF84D"/>
    <w:rsid w:val="4020F8FB"/>
    <w:rsid w:val="4027F705"/>
    <w:rsid w:val="4052A46D"/>
    <w:rsid w:val="406CEAB6"/>
    <w:rsid w:val="408BCC30"/>
    <w:rsid w:val="40A00EE6"/>
    <w:rsid w:val="40AC239A"/>
    <w:rsid w:val="40FC4559"/>
    <w:rsid w:val="4108D5D8"/>
    <w:rsid w:val="41A2AE9F"/>
    <w:rsid w:val="41B97713"/>
    <w:rsid w:val="420B919B"/>
    <w:rsid w:val="426607CD"/>
    <w:rsid w:val="42D7E84B"/>
    <w:rsid w:val="42F56D75"/>
    <w:rsid w:val="430DA85E"/>
    <w:rsid w:val="433FC37C"/>
    <w:rsid w:val="439F1206"/>
    <w:rsid w:val="43BAB42E"/>
    <w:rsid w:val="43EFF642"/>
    <w:rsid w:val="4449F2FE"/>
    <w:rsid w:val="446DF8A7"/>
    <w:rsid w:val="4471ED79"/>
    <w:rsid w:val="448BC07A"/>
    <w:rsid w:val="449C3315"/>
    <w:rsid w:val="44A6C6ED"/>
    <w:rsid w:val="44BF6816"/>
    <w:rsid w:val="44FF810A"/>
    <w:rsid w:val="4502348E"/>
    <w:rsid w:val="454744E3"/>
    <w:rsid w:val="45857B97"/>
    <w:rsid w:val="4612ABE4"/>
    <w:rsid w:val="46412CE9"/>
    <w:rsid w:val="46473BDA"/>
    <w:rsid w:val="467A3024"/>
    <w:rsid w:val="46B42C25"/>
    <w:rsid w:val="4734098C"/>
    <w:rsid w:val="477A1149"/>
    <w:rsid w:val="479B5E99"/>
    <w:rsid w:val="47F2A113"/>
    <w:rsid w:val="482AA604"/>
    <w:rsid w:val="487F1EA7"/>
    <w:rsid w:val="48835AFF"/>
    <w:rsid w:val="48B1B947"/>
    <w:rsid w:val="490978BA"/>
    <w:rsid w:val="4937B8AB"/>
    <w:rsid w:val="4938B428"/>
    <w:rsid w:val="4951338D"/>
    <w:rsid w:val="4951DEBD"/>
    <w:rsid w:val="498EE081"/>
    <w:rsid w:val="4A44B0FE"/>
    <w:rsid w:val="4A5FA6CF"/>
    <w:rsid w:val="4A895DFB"/>
    <w:rsid w:val="4B0B2854"/>
    <w:rsid w:val="4B102FE7"/>
    <w:rsid w:val="4B47E8CE"/>
    <w:rsid w:val="4B833C32"/>
    <w:rsid w:val="4BC77E7B"/>
    <w:rsid w:val="4BCA9E62"/>
    <w:rsid w:val="4BD0B0D7"/>
    <w:rsid w:val="4BE1F28F"/>
    <w:rsid w:val="4C9042E5"/>
    <w:rsid w:val="4D0555D9"/>
    <w:rsid w:val="4D0EF3FD"/>
    <w:rsid w:val="4D654748"/>
    <w:rsid w:val="4D6DB620"/>
    <w:rsid w:val="4D774D6C"/>
    <w:rsid w:val="4D99CD45"/>
    <w:rsid w:val="4DF75DE5"/>
    <w:rsid w:val="4E10569B"/>
    <w:rsid w:val="4E7C4733"/>
    <w:rsid w:val="4F024D3F"/>
    <w:rsid w:val="4F37EB1A"/>
    <w:rsid w:val="4F430FA2"/>
    <w:rsid w:val="4F6747C7"/>
    <w:rsid w:val="4FAB8052"/>
    <w:rsid w:val="503043E8"/>
    <w:rsid w:val="5048BE5D"/>
    <w:rsid w:val="50A68700"/>
    <w:rsid w:val="50DCC2EF"/>
    <w:rsid w:val="50E9A8B5"/>
    <w:rsid w:val="51197432"/>
    <w:rsid w:val="51C09655"/>
    <w:rsid w:val="51E0CA38"/>
    <w:rsid w:val="522C84EF"/>
    <w:rsid w:val="525810CB"/>
    <w:rsid w:val="526AECF4"/>
    <w:rsid w:val="52DDA4D0"/>
    <w:rsid w:val="52FB0803"/>
    <w:rsid w:val="53D16E52"/>
    <w:rsid w:val="54096BA8"/>
    <w:rsid w:val="541B2B51"/>
    <w:rsid w:val="543E0E38"/>
    <w:rsid w:val="5451C446"/>
    <w:rsid w:val="548997B3"/>
    <w:rsid w:val="550C651C"/>
    <w:rsid w:val="550CF9D2"/>
    <w:rsid w:val="55545826"/>
    <w:rsid w:val="5563270B"/>
    <w:rsid w:val="556B2683"/>
    <w:rsid w:val="557D344C"/>
    <w:rsid w:val="566F2178"/>
    <w:rsid w:val="567D9474"/>
    <w:rsid w:val="56A471B5"/>
    <w:rsid w:val="56A4DE47"/>
    <w:rsid w:val="56FF7AF8"/>
    <w:rsid w:val="57260613"/>
    <w:rsid w:val="576E2803"/>
    <w:rsid w:val="57837D03"/>
    <w:rsid w:val="57C85CDE"/>
    <w:rsid w:val="57E0DA0B"/>
    <w:rsid w:val="57FEBFD1"/>
    <w:rsid w:val="580CBEED"/>
    <w:rsid w:val="58F07BA5"/>
    <w:rsid w:val="59F5C9B6"/>
    <w:rsid w:val="5A4C2E86"/>
    <w:rsid w:val="5A88A58A"/>
    <w:rsid w:val="5A9C6DF5"/>
    <w:rsid w:val="5AFF7F5F"/>
    <w:rsid w:val="5B1E7249"/>
    <w:rsid w:val="5B4FF74F"/>
    <w:rsid w:val="5B620774"/>
    <w:rsid w:val="5C1DF5D9"/>
    <w:rsid w:val="5C538D36"/>
    <w:rsid w:val="5C5E14BA"/>
    <w:rsid w:val="5C75255F"/>
    <w:rsid w:val="5D07E52F"/>
    <w:rsid w:val="5D27BA43"/>
    <w:rsid w:val="5D578164"/>
    <w:rsid w:val="5D6C79E9"/>
    <w:rsid w:val="5D711DA6"/>
    <w:rsid w:val="5D8337F4"/>
    <w:rsid w:val="5DE0C96D"/>
    <w:rsid w:val="5E5D3250"/>
    <w:rsid w:val="5E728AF1"/>
    <w:rsid w:val="5E7A16B2"/>
    <w:rsid w:val="5E8790F7"/>
    <w:rsid w:val="5E9EDEB9"/>
    <w:rsid w:val="5EC01AB1"/>
    <w:rsid w:val="5EED9539"/>
    <w:rsid w:val="5F20A9C5"/>
    <w:rsid w:val="5F7FF0F6"/>
    <w:rsid w:val="5FE36E1D"/>
    <w:rsid w:val="6013946D"/>
    <w:rsid w:val="605C9072"/>
    <w:rsid w:val="607E17EF"/>
    <w:rsid w:val="61734752"/>
    <w:rsid w:val="618FE0F4"/>
    <w:rsid w:val="61BBD267"/>
    <w:rsid w:val="622B1374"/>
    <w:rsid w:val="622C75D8"/>
    <w:rsid w:val="6242A2B8"/>
    <w:rsid w:val="63423E09"/>
    <w:rsid w:val="6351E4AC"/>
    <w:rsid w:val="635629C9"/>
    <w:rsid w:val="637B413A"/>
    <w:rsid w:val="640B0F9A"/>
    <w:rsid w:val="646FA622"/>
    <w:rsid w:val="64CD23FE"/>
    <w:rsid w:val="64CE919B"/>
    <w:rsid w:val="6534656C"/>
    <w:rsid w:val="654D455F"/>
    <w:rsid w:val="658F2542"/>
    <w:rsid w:val="65962A04"/>
    <w:rsid w:val="659A9C79"/>
    <w:rsid w:val="65C3035B"/>
    <w:rsid w:val="660DC3F0"/>
    <w:rsid w:val="663A62C8"/>
    <w:rsid w:val="663E0090"/>
    <w:rsid w:val="6648A380"/>
    <w:rsid w:val="668A2BB7"/>
    <w:rsid w:val="669C9E88"/>
    <w:rsid w:val="66B6250C"/>
    <w:rsid w:val="66EDD694"/>
    <w:rsid w:val="675F0631"/>
    <w:rsid w:val="6786884B"/>
    <w:rsid w:val="67DF5F56"/>
    <w:rsid w:val="6804C2F7"/>
    <w:rsid w:val="684EF097"/>
    <w:rsid w:val="686F74B6"/>
    <w:rsid w:val="68B2635F"/>
    <w:rsid w:val="68D401EF"/>
    <w:rsid w:val="690282B0"/>
    <w:rsid w:val="6961F784"/>
    <w:rsid w:val="696284E1"/>
    <w:rsid w:val="6992B8FF"/>
    <w:rsid w:val="69E7FA8B"/>
    <w:rsid w:val="69ED48B1"/>
    <w:rsid w:val="6BA291F1"/>
    <w:rsid w:val="6BF73C83"/>
    <w:rsid w:val="6CD6857D"/>
    <w:rsid w:val="6D0F7410"/>
    <w:rsid w:val="6D4128EE"/>
    <w:rsid w:val="6DE95361"/>
    <w:rsid w:val="6E10C2E2"/>
    <w:rsid w:val="6E327ED5"/>
    <w:rsid w:val="6F0AFBC6"/>
    <w:rsid w:val="6F12D54C"/>
    <w:rsid w:val="6F48BE32"/>
    <w:rsid w:val="6F8CFB3E"/>
    <w:rsid w:val="6F9969FD"/>
    <w:rsid w:val="6FB20C31"/>
    <w:rsid w:val="6FB71374"/>
    <w:rsid w:val="6FBCA947"/>
    <w:rsid w:val="6FC86D3F"/>
    <w:rsid w:val="6FDC094E"/>
    <w:rsid w:val="6FED6D4C"/>
    <w:rsid w:val="704389B8"/>
    <w:rsid w:val="70F471D6"/>
    <w:rsid w:val="710B8A20"/>
    <w:rsid w:val="7158514A"/>
    <w:rsid w:val="717581E1"/>
    <w:rsid w:val="71898271"/>
    <w:rsid w:val="723FE5A5"/>
    <w:rsid w:val="724777DD"/>
    <w:rsid w:val="7267CBDF"/>
    <w:rsid w:val="7292BD72"/>
    <w:rsid w:val="72A39972"/>
    <w:rsid w:val="72E5C10A"/>
    <w:rsid w:val="7318624D"/>
    <w:rsid w:val="7368D67D"/>
    <w:rsid w:val="7471695A"/>
    <w:rsid w:val="749D6213"/>
    <w:rsid w:val="74B24EB6"/>
    <w:rsid w:val="7586E646"/>
    <w:rsid w:val="758CC3D1"/>
    <w:rsid w:val="75EC71EF"/>
    <w:rsid w:val="76119A03"/>
    <w:rsid w:val="76374224"/>
    <w:rsid w:val="7694EC92"/>
    <w:rsid w:val="76AC527F"/>
    <w:rsid w:val="76FA6774"/>
    <w:rsid w:val="76FD6BDE"/>
    <w:rsid w:val="770BF407"/>
    <w:rsid w:val="7732ADC7"/>
    <w:rsid w:val="77EB9B04"/>
    <w:rsid w:val="77F8FF6B"/>
    <w:rsid w:val="798FEA24"/>
    <w:rsid w:val="79F83BE7"/>
    <w:rsid w:val="7A029610"/>
    <w:rsid w:val="7A1A17B9"/>
    <w:rsid w:val="7A3B732A"/>
    <w:rsid w:val="7A499D62"/>
    <w:rsid w:val="7A590ED1"/>
    <w:rsid w:val="7A5DD980"/>
    <w:rsid w:val="7B646A86"/>
    <w:rsid w:val="7BAB3B4E"/>
    <w:rsid w:val="7C6957C2"/>
    <w:rsid w:val="7C6C90F4"/>
    <w:rsid w:val="7C6F03DF"/>
    <w:rsid w:val="7D20AAC1"/>
    <w:rsid w:val="7D80A13D"/>
    <w:rsid w:val="7D8F8071"/>
    <w:rsid w:val="7DD2BE9B"/>
    <w:rsid w:val="7DE82BB0"/>
    <w:rsid w:val="7DF79828"/>
    <w:rsid w:val="7DFBD72B"/>
    <w:rsid w:val="7E143248"/>
    <w:rsid w:val="7E900FCE"/>
    <w:rsid w:val="7E9318CD"/>
    <w:rsid w:val="7EEA2049"/>
    <w:rsid w:val="7EED83BB"/>
    <w:rsid w:val="7F192A7A"/>
    <w:rsid w:val="7F3112C6"/>
    <w:rsid w:val="7F57B663"/>
    <w:rsid w:val="7F632262"/>
    <w:rsid w:val="7F796679"/>
    <w:rsid w:val="7FBAF757"/>
    <w:rsid w:val="7FD40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74901"/>
  <w15:chartTrackingRefBased/>
  <w15:docId w15:val="{7758059C-0854-43DB-966C-388FBC1E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unhideWhenUsed="1"/>
    <w:lsdException w:name="page number" w:semiHidden="1"/>
    <w:lsdException w:name="endnote reference" w:semiHidden="1" w:uiPriority="0" w:unhideWhenUsed="1" w:qFormat="1"/>
    <w:lsdException w:name="endnote text" w:semiHidden="1" w:uiPriority="0" w:unhideWhenUsed="1" w:qFormat="1"/>
    <w:lsdException w:name="table of authorities" w:semiHidden="1"/>
    <w:lsdException w:name="macro" w:semiHidden="1"/>
    <w:lsdException w:name="toa heading" w:semiHidden="1"/>
    <w:lsdException w:name="List" w:semiHidden="1"/>
    <w:lsdException w:name="List Bullet" w:semiHidden="1" w:uiPriority="0" w:qFormat="1"/>
    <w:lsdException w:name="List Number" w:semiHidden="1" w:uiPriority="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8911EA"/>
    <w:pPr>
      <w:spacing w:before="120" w:after="0" w:line="280" w:lineRule="atLeast"/>
    </w:pPr>
    <w:rPr>
      <w:rFonts w:ascii="Open Sans" w:hAnsi="Open Sans" w:cs="Open Sans"/>
      <w:color w:val="000000" w:themeColor="text1"/>
      <w:lang w:val="en-AU"/>
    </w:rPr>
  </w:style>
  <w:style w:type="paragraph" w:styleId="Heading1">
    <w:name w:val="heading 1"/>
    <w:next w:val="Normal"/>
    <w:link w:val="Heading1Char"/>
    <w:qFormat/>
    <w:rsid w:val="001A6444"/>
    <w:pPr>
      <w:keepNext/>
      <w:keepLines/>
      <w:numPr>
        <w:numId w:val="3"/>
      </w:numPr>
      <w:spacing w:before="240" w:after="0" w:line="400" w:lineRule="atLeast"/>
      <w:outlineLvl w:val="0"/>
    </w:pPr>
    <w:rPr>
      <w:rFonts w:asciiTheme="majorHAnsi" w:eastAsiaTheme="majorEastAsia" w:hAnsiTheme="majorHAnsi" w:cstheme="majorBidi"/>
      <w:b/>
      <w:color w:val="143C65" w:themeColor="accent1"/>
      <w:sz w:val="40"/>
      <w:szCs w:val="44"/>
      <w:lang w:val="en-AU"/>
    </w:rPr>
  </w:style>
  <w:style w:type="paragraph" w:styleId="Heading2">
    <w:name w:val="heading 2"/>
    <w:aliases w:val="DDA Heading 2"/>
    <w:next w:val="Normal"/>
    <w:link w:val="Heading2Char"/>
    <w:qFormat/>
    <w:rsid w:val="00AD458A"/>
    <w:pPr>
      <w:keepNext/>
      <w:keepLines/>
      <w:spacing w:before="240" w:after="0" w:line="320" w:lineRule="atLeast"/>
      <w:ind w:hanging="11"/>
      <w:outlineLvl w:val="1"/>
    </w:pPr>
    <w:rPr>
      <w:rFonts w:asciiTheme="majorHAnsi" w:eastAsiaTheme="majorEastAsia" w:hAnsiTheme="majorHAnsi" w:cstheme="majorBidi"/>
      <w:b/>
      <w:color w:val="0B78BE" w:themeColor="accent2"/>
      <w:sz w:val="30"/>
      <w:szCs w:val="30"/>
      <w:lang w:val="en-AU"/>
    </w:rPr>
  </w:style>
  <w:style w:type="paragraph" w:styleId="Heading3">
    <w:name w:val="heading 3"/>
    <w:next w:val="Normal"/>
    <w:link w:val="Heading3Char"/>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qFormat/>
    <w:rsid w:val="001A6444"/>
    <w:pPr>
      <w:keepNext/>
      <w:keepLines/>
      <w:numPr>
        <w:ilvl w:val="3"/>
        <w:numId w:val="3"/>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qFormat/>
    <w:rsid w:val="001A6444"/>
    <w:pPr>
      <w:keepNext/>
      <w:keepLines/>
      <w:numPr>
        <w:ilvl w:val="4"/>
        <w:numId w:val="3"/>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qFormat/>
    <w:rsid w:val="001A6444"/>
    <w:pPr>
      <w:keepNext/>
      <w:keepLines/>
      <w:numPr>
        <w:ilvl w:val="5"/>
        <w:numId w:val="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qFormat/>
    <w:rsid w:val="001A6444"/>
    <w:pPr>
      <w:keepNext/>
      <w:keepLines/>
      <w:numPr>
        <w:ilvl w:val="6"/>
        <w:numId w:val="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1A6444"/>
    <w:pPr>
      <w:keepNext/>
      <w:keepLines/>
      <w:numPr>
        <w:ilvl w:val="7"/>
        <w:numId w:val="3"/>
      </w:numPr>
      <w:outlineLvl w:val="7"/>
    </w:pPr>
    <w:rPr>
      <w:rFonts w:eastAsiaTheme="majorEastAsia" w:cstheme="majorBidi"/>
      <w:i/>
      <w:iCs/>
      <w:color w:val="272727" w:themeColor="text1" w:themeTint="D8"/>
    </w:rPr>
  </w:style>
  <w:style w:type="paragraph" w:styleId="Heading9">
    <w:name w:val="heading 9"/>
    <w:basedOn w:val="Normal"/>
    <w:next w:val="Normal"/>
    <w:link w:val="Heading9Char"/>
    <w:qFormat/>
    <w:rsid w:val="001A6444"/>
    <w:pPr>
      <w:keepNext/>
      <w:keepLines/>
      <w:numPr>
        <w:ilvl w:val="8"/>
        <w:numId w:val="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8A5"/>
    <w:rPr>
      <w:rFonts w:asciiTheme="majorHAnsi" w:eastAsiaTheme="majorEastAsia" w:hAnsiTheme="majorHAnsi" w:cstheme="majorBidi"/>
      <w:b/>
      <w:color w:val="143C65" w:themeColor="accent1"/>
      <w:sz w:val="40"/>
      <w:szCs w:val="44"/>
      <w:lang w:val="en-AU"/>
    </w:rPr>
  </w:style>
  <w:style w:type="character" w:customStyle="1" w:styleId="Heading2Char">
    <w:name w:val="Heading 2 Char"/>
    <w:aliases w:val="DDA Heading 2 Char"/>
    <w:basedOn w:val="DefaultParagraphFont"/>
    <w:link w:val="Heading2"/>
    <w:rsid w:val="0058707A"/>
    <w:rPr>
      <w:rFonts w:asciiTheme="majorHAnsi" w:eastAsiaTheme="majorEastAsia" w:hAnsiTheme="majorHAnsi" w:cstheme="majorBidi"/>
      <w:b/>
      <w:color w:val="0B78BE" w:themeColor="accent2"/>
      <w:sz w:val="30"/>
      <w:szCs w:val="30"/>
      <w:lang w:val="en-AU"/>
    </w:rPr>
  </w:style>
  <w:style w:type="character" w:customStyle="1" w:styleId="Heading3Char">
    <w:name w:val="Heading 3 Char"/>
    <w:basedOn w:val="DefaultParagraphFont"/>
    <w:link w:val="Heading3"/>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1"/>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1"/>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21"/>
    <w:qFormat/>
    <w:rsid w:val="001A6444"/>
    <w:rPr>
      <w:i/>
      <w:iCs/>
      <w:color w:val="0F2C4B" w:themeColor="accent1" w:themeShade="BF"/>
    </w:rPr>
  </w:style>
  <w:style w:type="character" w:customStyle="1" w:styleId="QuoteChar">
    <w:name w:val="Quote Char"/>
    <w:basedOn w:val="DefaultParagraphFont"/>
    <w:link w:val="Quote"/>
    <w:uiPriority w:val="29"/>
    <w:rsid w:val="00F102A3"/>
    <w:rPr>
      <w:rFonts w:ascii="Open Sans" w:hAnsi="Open Sans" w:cs="Open Sans"/>
      <w:color w:val="404040" w:themeColor="text1" w:themeTint="BF"/>
      <w:sz w:val="22"/>
      <w:szCs w:val="22"/>
      <w:lang w:val="en-AU"/>
    </w:rPr>
  </w:style>
  <w:style w:type="paragraph" w:styleId="Quote">
    <w:name w:val="Quote"/>
    <w:basedOn w:val="Normal"/>
    <w:next w:val="Normal"/>
    <w:link w:val="QuoteChar"/>
    <w:uiPriority w:val="29"/>
    <w:qFormat/>
    <w:rsid w:val="00F102A3"/>
    <w:pPr>
      <w:spacing w:before="160"/>
      <w:ind w:left="720"/>
    </w:pPr>
    <w:rPr>
      <w:color w:val="404040" w:themeColor="text1" w:themeTint="BF"/>
      <w:sz w:val="22"/>
      <w:szCs w:val="22"/>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39"/>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39"/>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99"/>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99"/>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Ind w:w="0" w:type="nil"/>
      <w:tblCellMar>
        <w:left w:w="0" w:type="dxa"/>
        <w:right w:w="0" w:type="dxa"/>
      </w:tblCellMar>
    </w:tblPr>
    <w:tblStylePr w:type="firstRow">
      <w:pPr>
        <w:wordWrap/>
        <w:spacing w:beforeLines="0" w:before="0" w:beforeAutospacing="0" w:line="240" w:lineRule="atLeast"/>
        <w:ind w:leftChars="0" w:left="0" w:rightChars="0" w:right="0" w:firstLineChars="0" w:firstLine="0"/>
        <w:jc w:val="left"/>
        <w:outlineLvl w:val="9"/>
      </w:pPr>
      <w:rPr>
        <w:rFonts w:ascii="Roboto" w:hAnsi="Roboto"/>
        <w:b w:val="0"/>
        <w:i w:val="0"/>
        <w:color w:val="000000" w:themeColor="text1"/>
        <w:sz w:val="24"/>
      </w:rPr>
    </w:tblStylePr>
    <w:tblStylePr w:type="lastRow">
      <w:rPr>
        <w:rFonts w:ascii="Roboto" w:hAnsi="Roboto"/>
      </w:rPr>
    </w:tblStylePr>
  </w:style>
  <w:style w:type="table" w:styleId="TableGrid">
    <w:name w:val="Table Grid"/>
    <w:basedOn w:val="TableNormal"/>
    <w:uiPriority w:val="39"/>
    <w:rsid w:val="001A6444"/>
    <w:pPr>
      <w:spacing w:after="0" w:line="240" w:lineRule="auto"/>
    </w:pPr>
    <w:tblPr>
      <w:tblInd w:w="0" w:type="nil"/>
      <w:tblCellMar>
        <w:left w:w="0" w:type="dxa"/>
        <w:right w:w="0" w:type="dxa"/>
      </w:tblCellMar>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4"/>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aliases w:val="2_G"/>
    <w:link w:val="EndnoteTextChar"/>
    <w:qFormat/>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aliases w:val="2_G Char1"/>
    <w:basedOn w:val="DefaultParagraphFont"/>
    <w:link w:val="EndnoteText"/>
    <w:rsid w:val="006F28A5"/>
    <w:rPr>
      <w:rFonts w:ascii="Open Sans" w:hAnsi="Open Sans"/>
      <w:color w:val="000000" w:themeColor="text1"/>
      <w:szCs w:val="20"/>
      <w:lang w:val="en-AU"/>
    </w:rPr>
  </w:style>
  <w:style w:type="character" w:styleId="EndnoteReference">
    <w:name w:val="endnote reference"/>
    <w:aliases w:val="QUOTE,1_G,Quote1"/>
    <w:basedOn w:val="DefaultParagraphFont"/>
    <w:qFormat/>
    <w:rsid w:val="001A6444"/>
    <w:rPr>
      <w:vertAlign w:val="superscript"/>
    </w:r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Recommendation,列出段,Tabl"/>
    <w:basedOn w:val="Normal"/>
    <w:link w:val="ListParagraphChar"/>
    <w:uiPriority w:val="34"/>
    <w:qFormat/>
    <w:rsid w:val="001A6444"/>
    <w:pPr>
      <w:contextualSpacing/>
    </w:pPr>
  </w:style>
  <w:style w:type="paragraph" w:customStyle="1" w:styleId="Bodylistbullets">
    <w:name w:val="Body list bullets"/>
    <w:basedOn w:val="ListParagraph"/>
    <w:uiPriority w:val="1"/>
    <w:qFormat/>
    <w:rsid w:val="0059486E"/>
    <w:pPr>
      <w:numPr>
        <w:numId w:val="2"/>
      </w:numPr>
      <w:spacing w:before="0"/>
    </w:pPr>
  </w:style>
  <w:style w:type="paragraph" w:customStyle="1" w:styleId="Tablelistnumbers">
    <w:name w:val="Table list numbers"/>
    <w:uiPriority w:val="3"/>
    <w:qFormat/>
    <w:rsid w:val="00B01482"/>
    <w:pPr>
      <w:numPr>
        <w:numId w:val="18"/>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
      </w:numPr>
      <w:spacing w:after="0" w:line="280" w:lineRule="atLeast"/>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rsid w:val="001A6444"/>
    <w:rPr>
      <w:sz w:val="16"/>
      <w:szCs w:val="16"/>
    </w:rPr>
  </w:style>
  <w:style w:type="paragraph" w:styleId="CommentText">
    <w:name w:val="annotation text"/>
    <w:basedOn w:val="Normal"/>
    <w:link w:val="CommentTextChar"/>
    <w:rsid w:val="001A6444"/>
    <w:pPr>
      <w:spacing w:line="240" w:lineRule="auto"/>
    </w:pPr>
    <w:rPr>
      <w:sz w:val="20"/>
      <w:szCs w:val="20"/>
    </w:rPr>
  </w:style>
  <w:style w:type="character" w:customStyle="1" w:styleId="CommentTextChar">
    <w:name w:val="Comment Text Char"/>
    <w:basedOn w:val="DefaultParagraphFont"/>
    <w:link w:val="CommentText"/>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1A6444"/>
    <w:pPr>
      <w:numPr>
        <w:numId w:val="0"/>
      </w:numPr>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style>
  <w:style w:type="paragraph" w:styleId="FootnoteText">
    <w:name w:val="footnote text"/>
    <w:basedOn w:val="Normal"/>
    <w:link w:val="FootnoteTextChar"/>
    <w:uiPriority w:val="99"/>
    <w:rsid w:val="00FA663C"/>
    <w:pPr>
      <w:spacing w:before="0" w:line="240" w:lineRule="auto"/>
    </w:pPr>
    <w:rPr>
      <w:rFonts w:eastAsia="MS Mincho" w:cs="Times New Roman"/>
      <w:color w:val="auto"/>
      <w:sz w:val="20"/>
      <w:szCs w:val="20"/>
      <w:lang w:eastAsia="en-AU"/>
    </w:rPr>
  </w:style>
  <w:style w:type="character" w:customStyle="1" w:styleId="FootnoteTextChar">
    <w:name w:val="Footnote Text Char"/>
    <w:basedOn w:val="DefaultParagraphFont"/>
    <w:link w:val="FootnoteText"/>
    <w:uiPriority w:val="99"/>
    <w:rsid w:val="00FA663C"/>
    <w:rPr>
      <w:rFonts w:ascii="Open Sans" w:eastAsia="MS Mincho" w:hAnsi="Open Sans" w:cs="Times New Roman"/>
      <w:sz w:val="20"/>
      <w:szCs w:val="20"/>
      <w:lang w:val="en-AU" w:eastAsia="en-AU"/>
    </w:rPr>
  </w:style>
  <w:style w:type="character" w:styleId="FootnoteReference">
    <w:name w:val="footnote reference"/>
    <w:basedOn w:val="DefaultParagraphFont"/>
    <w:uiPriority w:val="99"/>
    <w:rsid w:val="00FA663C"/>
    <w:rPr>
      <w:vertAlign w:val="superscript"/>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列出段 Char"/>
    <w:basedOn w:val="DefaultParagraphFont"/>
    <w:link w:val="ListParagraph"/>
    <w:uiPriority w:val="34"/>
    <w:qFormat/>
    <w:locked/>
    <w:rsid w:val="00FA663C"/>
    <w:rPr>
      <w:rFonts w:ascii="Open Sans" w:hAnsi="Open Sans"/>
      <w:color w:val="000000" w:themeColor="text1"/>
      <w:lang w:val="en-AU"/>
    </w:rPr>
  </w:style>
  <w:style w:type="paragraph" w:styleId="BodyText">
    <w:name w:val="Body Text"/>
    <w:basedOn w:val="Normal"/>
    <w:link w:val="BodyTextChar"/>
    <w:semiHidden/>
    <w:rsid w:val="002752A5"/>
    <w:pPr>
      <w:spacing w:before="240" w:after="120" w:line="240" w:lineRule="auto"/>
    </w:pPr>
    <w:rPr>
      <w:rFonts w:eastAsia="MS Mincho" w:cs="Times New Roman"/>
      <w:color w:val="auto"/>
      <w:lang w:eastAsia="en-AU"/>
    </w:rPr>
  </w:style>
  <w:style w:type="character" w:customStyle="1" w:styleId="BodyTextChar">
    <w:name w:val="Body Text Char"/>
    <w:basedOn w:val="DefaultParagraphFont"/>
    <w:link w:val="BodyText"/>
    <w:semiHidden/>
    <w:rsid w:val="002752A5"/>
    <w:rPr>
      <w:rFonts w:ascii="Open Sans" w:eastAsia="MS Mincho" w:hAnsi="Open Sans" w:cs="Times New Roman"/>
      <w:lang w:val="en-AU" w:eastAsia="en-AU"/>
    </w:rPr>
  </w:style>
  <w:style w:type="paragraph" w:customStyle="1" w:styleId="Default">
    <w:name w:val="Default"/>
    <w:rsid w:val="002752A5"/>
    <w:pPr>
      <w:autoSpaceDE w:val="0"/>
      <w:autoSpaceDN w:val="0"/>
      <w:adjustRightInd w:val="0"/>
      <w:spacing w:after="0" w:line="240" w:lineRule="auto"/>
    </w:pPr>
    <w:rPr>
      <w:rFonts w:ascii="Gotham Medium" w:eastAsiaTheme="minorHAnsi" w:hAnsi="Gotham Medium" w:cs="Gotham Medium"/>
      <w:color w:val="000000"/>
      <w:lang w:val="en-AU" w:eastAsia="en-US"/>
      <w14:ligatures w14:val="standardContextual"/>
    </w:rPr>
  </w:style>
  <w:style w:type="paragraph" w:styleId="ListBullet">
    <w:name w:val="List Bullet"/>
    <w:basedOn w:val="ListNumber"/>
    <w:qFormat/>
    <w:rsid w:val="008E36A7"/>
    <w:pPr>
      <w:numPr>
        <w:numId w:val="22"/>
      </w:numPr>
      <w:spacing w:before="0"/>
    </w:pPr>
  </w:style>
  <w:style w:type="paragraph" w:styleId="ListNumber">
    <w:name w:val="List Number"/>
    <w:basedOn w:val="Normal"/>
    <w:qFormat/>
    <w:rsid w:val="008E36A7"/>
    <w:pPr>
      <w:numPr>
        <w:numId w:val="5"/>
      </w:numPr>
      <w:tabs>
        <w:tab w:val="left" w:pos="1134"/>
      </w:tabs>
      <w:spacing w:after="120" w:line="240" w:lineRule="auto"/>
    </w:pPr>
    <w:rPr>
      <w:rFonts w:eastAsia="MS Mincho" w:cs="Times New Roman"/>
      <w:color w:val="auto"/>
      <w:lang w:eastAsia="en-AU"/>
    </w:rPr>
  </w:style>
  <w:style w:type="paragraph" w:customStyle="1" w:styleId="AHRCHeading2">
    <w:name w:val="AHRC Heading 2"/>
    <w:basedOn w:val="Heading2"/>
    <w:link w:val="AHRCHeading2Char"/>
    <w:qFormat/>
    <w:rsid w:val="00F173B6"/>
    <w:pPr>
      <w:numPr>
        <w:ilvl w:val="1"/>
        <w:numId w:val="3"/>
      </w:numPr>
      <w:tabs>
        <w:tab w:val="num" w:pos="851"/>
      </w:tabs>
      <w:spacing w:before="360" w:after="240" w:line="240" w:lineRule="auto"/>
    </w:pPr>
    <w:rPr>
      <w:rFonts w:ascii="Open Sans" w:eastAsia="MS Mincho" w:hAnsi="Open Sans" w:cs="Times New Roman"/>
      <w:color w:val="auto"/>
      <w:sz w:val="28"/>
      <w:szCs w:val="26"/>
      <w:lang w:eastAsia="en-AU"/>
    </w:rPr>
  </w:style>
  <w:style w:type="character" w:customStyle="1" w:styleId="AHRCHeading2Char">
    <w:name w:val="AHRC Heading 2 Char"/>
    <w:basedOn w:val="DefaultParagraphFont"/>
    <w:link w:val="AHRCHeading2"/>
    <w:rsid w:val="00F173B6"/>
    <w:rPr>
      <w:rFonts w:ascii="Open Sans" w:eastAsia="MS Mincho" w:hAnsi="Open Sans" w:cs="Times New Roman"/>
      <w:b/>
      <w:sz w:val="28"/>
      <w:szCs w:val="26"/>
      <w:lang w:val="en-AU" w:eastAsia="en-AU"/>
    </w:rPr>
  </w:style>
  <w:style w:type="character" w:customStyle="1" w:styleId="A5">
    <w:name w:val="A5"/>
    <w:uiPriority w:val="99"/>
    <w:rsid w:val="00563D22"/>
    <w:rPr>
      <w:rFonts w:ascii="Arial" w:hAnsi="Arial" w:cs="Arial"/>
      <w:color w:val="000000"/>
      <w:sz w:val="22"/>
      <w:szCs w:val="22"/>
    </w:rPr>
  </w:style>
  <w:style w:type="paragraph" w:styleId="NormalWeb">
    <w:name w:val="Normal (Web)"/>
    <w:basedOn w:val="Normal"/>
    <w:uiPriority w:val="99"/>
    <w:semiHidden/>
    <w:rsid w:val="00FB326D"/>
    <w:rPr>
      <w:rFonts w:ascii="Times New Roman" w:hAnsi="Times New Roman" w:cs="Times New Roman"/>
    </w:rPr>
  </w:style>
  <w:style w:type="character" w:customStyle="1" w:styleId="EndnoteTextChar1">
    <w:name w:val="Endnote Text Char1"/>
    <w:aliases w:val="2_G Char"/>
    <w:rsid w:val="003D405F"/>
    <w:rPr>
      <w:rFonts w:ascii="Open Sans" w:eastAsia="MS Mincho" w:hAnsi="Open Sans"/>
    </w:rPr>
  </w:style>
  <w:style w:type="paragraph" w:styleId="ListBullet3">
    <w:name w:val="List Bullet 3"/>
    <w:basedOn w:val="Normal"/>
    <w:uiPriority w:val="99"/>
    <w:semiHidden/>
    <w:rsid w:val="00491BE9"/>
    <w:pPr>
      <w:numPr>
        <w:numId w:val="20"/>
      </w:numPr>
      <w:tabs>
        <w:tab w:val="clear" w:pos="926"/>
        <w:tab w:val="num" w:pos="360"/>
      </w:tabs>
      <w:ind w:left="0" w:firstLine="0"/>
      <w:contextualSpacing/>
    </w:pPr>
  </w:style>
  <w:style w:type="paragraph" w:customStyle="1" w:styleId="Pa54">
    <w:name w:val="Pa54"/>
    <w:basedOn w:val="Normal"/>
    <w:next w:val="Normal"/>
    <w:uiPriority w:val="99"/>
    <w:rsid w:val="00491BE9"/>
    <w:pPr>
      <w:autoSpaceDE w:val="0"/>
      <w:autoSpaceDN w:val="0"/>
      <w:adjustRightInd w:val="0"/>
      <w:spacing w:before="0" w:line="221" w:lineRule="atLeast"/>
    </w:pPr>
    <w:rPr>
      <w:rFonts w:ascii="Sofia Pro" w:eastAsiaTheme="minorHAnsi" w:hAnsi="Sofia Pro"/>
      <w:color w:val="auto"/>
      <w:lang w:eastAsia="en-US"/>
      <w14:ligatures w14:val="standardContextual"/>
    </w:rPr>
  </w:style>
  <w:style w:type="paragraph" w:styleId="ListBullet4">
    <w:name w:val="List Bullet 4"/>
    <w:basedOn w:val="Normal"/>
    <w:uiPriority w:val="99"/>
    <w:semiHidden/>
    <w:unhideWhenUsed/>
    <w:rsid w:val="00491BE9"/>
    <w:pPr>
      <w:numPr>
        <w:numId w:val="23"/>
      </w:numPr>
      <w:tabs>
        <w:tab w:val="clear" w:pos="1209"/>
        <w:tab w:val="num" w:pos="360"/>
      </w:tabs>
      <w:spacing w:before="0" w:after="160" w:line="259" w:lineRule="auto"/>
      <w:ind w:left="0" w:firstLine="0"/>
      <w:contextualSpacing/>
    </w:pPr>
    <w:rPr>
      <w:rFonts w:asciiTheme="minorHAnsi" w:eastAsiaTheme="minorHAnsi" w:hAnsiTheme="minorHAns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ustlii.edu.au/cgi-bin/viewdoc/au/legis/cth/consol_act/rda1975202/s18c.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ustlii.edu.au/cgi-bin/viewdoc/au/legis/cth/consol_act/rda1975202/s18c.htm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umanrights.gov.au/sites/default/files/2023-08/Guidelines%20for%20Complying%20with%20the%20Positive%20Duty%20%282023%29.pdf" TargetMode="External"/><Relationship Id="rId5" Type="http://schemas.openxmlformats.org/officeDocument/2006/relationships/customXml" Target="../customXml/item5.xml"/><Relationship Id="rId15" Type="http://schemas.openxmlformats.org/officeDocument/2006/relationships/hyperlink" Target="http://www.humanrights.gov.au"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austlii.edu.au/cgi-bin/viewdoc/au/legis/cth/consol_act/rda1975202/s18a.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humanrights.gov.au/our-work/sex-discrimination/positive-duty-sex-discrimination-act/guidance-materials" TargetMode="External"/><Relationship Id="rId27" Type="http://schemas.openxmlformats.org/officeDocument/2006/relationships/fontTable" Target="fontTable.xml"/><Relationship Id="rId30" Type="http://schemas.microsoft.com/office/2020/10/relationships/intelligence" Target="intelligence2.xml"/></Relationships>
</file>

<file path=word/_rels/endnotes.xml.rels><?xml version="1.0" encoding="UTF-8" standalone="yes"?>
<Relationships xmlns="http://schemas.openxmlformats.org/package/2006/relationships"><Relationship Id="rId13" Type="http://schemas.openxmlformats.org/officeDocument/2006/relationships/hyperlink" Target="https://statements.qld.gov.au/statements/102168" TargetMode="External"/><Relationship Id="rId18" Type="http://schemas.openxmlformats.org/officeDocument/2006/relationships/hyperlink" Target="https://humanrights.gov.au/sites/default/files/Speaking%20from%20Experience%20Report_0_0.pdf" TargetMode="External"/><Relationship Id="rId26" Type="http://schemas.openxmlformats.org/officeDocument/2006/relationships/hyperlink" Target="https://humanrights.gov.au/our-work/disability-rights/reform-assistance-animals-provision-disability-discrimination-act" TargetMode="External"/><Relationship Id="rId21" Type="http://schemas.openxmlformats.org/officeDocument/2006/relationships/hyperlink" Target="https://humanrights.gov.au/our-work/disability-rights/publications/disability-action-plan-guide-2021" TargetMode="External"/><Relationship Id="rId34" Type="http://schemas.openxmlformats.org/officeDocument/2006/relationships/hyperlink" Target="https://humanrights.gov.au/sites/default/files/Speaking%20from%20Experience%20Report_0_0.pdf" TargetMode="External"/><Relationship Id="rId7" Type="http://schemas.openxmlformats.org/officeDocument/2006/relationships/hyperlink" Target="https://www.qhrc.qld.gov.au/about-us/news/pause-to-the-anti-discrimination-act-reforms" TargetMode="External"/><Relationship Id="rId12" Type="http://schemas.openxmlformats.org/officeDocument/2006/relationships/hyperlink" Target="https://www.hrc.act.gov.au/discrimination/act-discrimination-act-positive-duty" TargetMode="External"/><Relationship Id="rId17" Type="http://schemas.openxmlformats.org/officeDocument/2006/relationships/hyperlink" Target="https://www.alrc.gov.au/wp-content/uploads/2025/02/JRSV-Final-Report-Book-for-Web-final-20250211.pdf" TargetMode="External"/><Relationship Id="rId25" Type="http://schemas.openxmlformats.org/officeDocument/2006/relationships/hyperlink" Target="https://australianhrc.sharepoint.com/sites/DisabilityRights/04_Policy_Reform/04_Disability%20Discrimination%20Act/00_DDA%20Reform/05_AGD%20Public%20consultation%20(Aug-Oct%202025)/01_Draft%20Submission/1.%09https:/humanrights.gov.au/our-work/technology-and-human-rights/publications/final-report-human-rights-and-technology" TargetMode="External"/><Relationship Id="rId33" Type="http://schemas.openxmlformats.org/officeDocument/2006/relationships/hyperlink" Target="https://humanrights.gov.au/sites/default/files/Speaking%20from%20Experience%20Report_0_0.pdf" TargetMode="External"/><Relationship Id="rId38" Type="http://schemas.openxmlformats.org/officeDocument/2006/relationships/hyperlink" Target="https://www.retail.org.au/wp-content/uploads/ARA-NRA-Submission-Economic-Reform-Roundtable-Consultation.pdf" TargetMode="External"/><Relationship Id="rId2" Type="http://schemas.openxmlformats.org/officeDocument/2006/relationships/hyperlink" Target="https://www.finance.gov.au/government/managing-commonwealth-resources/regulator-performance-rmg-128/principle-1-continuous-improvement-and-building-trust" TargetMode="External"/><Relationship Id="rId16" Type="http://schemas.openxmlformats.org/officeDocument/2006/relationships/hyperlink" Target="https://www.hrc.act.gov.au/discrimination/act-discrimination-act-positive-duty" TargetMode="External"/><Relationship Id="rId20" Type="http://schemas.openxmlformats.org/officeDocument/2006/relationships/hyperlink" Target="https://humanrights.gov.au/our-work/disability-rights/register-disability-discrimination-act-action-plans" TargetMode="External"/><Relationship Id="rId29" Type="http://schemas.openxmlformats.org/officeDocument/2006/relationships/hyperlink" Target="https://www.ahri.com.au/wp-content/uploads/AHRI-WorkOutlook-Report-2025-Q2.pdf" TargetMode="External"/><Relationship Id="rId1" Type="http://schemas.openxmlformats.org/officeDocument/2006/relationships/hyperlink" Target="https://humanrights.gov.au/our-work/disability-rights/includeability-equality-work" TargetMode="External"/><Relationship Id="rId6" Type="http://schemas.openxmlformats.org/officeDocument/2006/relationships/hyperlink" Target="https://www.legislation.qld.gov.au/view/html/inforce/current/act-1899-009" TargetMode="External"/><Relationship Id="rId11" Type="http://schemas.openxmlformats.org/officeDocument/2006/relationships/hyperlink" Target="https://ministers.treasury.gov.au/ministers/andrew-leigh-2025/articles/opinion-piece-productivity-agenda-puts-people-first" TargetMode="External"/><Relationship Id="rId24" Type="http://schemas.openxmlformats.org/officeDocument/2006/relationships/hyperlink" Target="https://www.disabilitygateway.gov.au/sites/default/files/documents/2024-12/5446-dss3498-ads-data.pdf" TargetMode="External"/><Relationship Id="rId32" Type="http://schemas.openxmlformats.org/officeDocument/2006/relationships/hyperlink" Target="https://www.aigroup.com.au/resourcecentre/hr/respect-at-work/templates-tools/example-prevention-and-response-plan/" TargetMode="External"/><Relationship Id="rId37" Type="http://schemas.openxmlformats.org/officeDocument/2006/relationships/hyperlink" Target="https://www.bca.com.au/joint_submission_to_the_economic_reform_roundtable" TargetMode="External"/><Relationship Id="rId5" Type="http://schemas.openxmlformats.org/officeDocument/2006/relationships/hyperlink" Target="https://www.un.org/esa/socdev/enable/rights/ahcwgreporta12.htm" TargetMode="External"/><Relationship Id="rId15" Type="http://schemas.openxmlformats.org/officeDocument/2006/relationships/hyperlink" Target="https://www.hrc.act.gov.au/discrimination/act-discrimination-act-positive-duty" TargetMode="External"/><Relationship Id="rId23" Type="http://schemas.openxmlformats.org/officeDocument/2006/relationships/hyperlink" Target="https://australianhrc.sharepoint.com/sites/DisabilityRights/04_Policy_Reform/04_Disability%20Discrimination%20Act/00_DDA%20Reform/05_AGD%20Public%20consultation%20(Aug-Oct%202025)/01_Draft%20Submission/1.%09https:/treasury.gov.au/review/premises-standards-review-2021/opportunities-action" TargetMode="External"/><Relationship Id="rId28" Type="http://schemas.openxmlformats.org/officeDocument/2006/relationships/hyperlink" Target="https://www.ahri.com.au/wp-content/uploads/AHRI-WorkOutlook-Report-2025-Q2.pdf" TargetMode="External"/><Relationship Id="rId36" Type="http://schemas.openxmlformats.org/officeDocument/2006/relationships/hyperlink" Target="https://www.retail.org.au/wp-content/uploads/ARA-NRA-Submission-Economic-Reform-Roundtable-Consultation.pdf" TargetMode="External"/><Relationship Id="rId10" Type="http://schemas.openxmlformats.org/officeDocument/2006/relationships/hyperlink" Target="https://www.abs.gov.au/statistics/health/disability/disability-ageing-and-carers-australia-summary-findings/2018" TargetMode="External"/><Relationship Id="rId19" Type="http://schemas.openxmlformats.org/officeDocument/2006/relationships/hyperlink" Target="https://www.aph.gov.au/Parliamentary_Business/Committees/Senate/Legal_and_Constitutional_Affairs/Completed_inquiries/2010-13/antidiscrimination2012/info/~/media/wopapub/senate/committee/legcon_ctte/completed_inquiries/2010-13/anti_discrimination_2012/info/exposure_draft.ashx" TargetMode="External"/><Relationship Id="rId31" Type="http://schemas.openxmlformats.org/officeDocument/2006/relationships/hyperlink" Target="https://www.aicd.com.au/content/dam/aicd/pdf/tools-resources/director-tools/organisation/aicd-sex-harassment-playbook-final.pdf" TargetMode="External"/><Relationship Id="rId4" Type="http://schemas.openxmlformats.org/officeDocument/2006/relationships/hyperlink" Target="https://www.aicd.com.au/leadership/types/management/how-excessive-regulation-is-affecting-australian-innovation-and-productivity.html" TargetMode="External"/><Relationship Id="rId9" Type="http://schemas.openxmlformats.org/officeDocument/2006/relationships/hyperlink" Target="https://www.abs.gov.au/AUSSTATS/abs%40.nsf/Lookup/4430.0Main%2BFeatures12003%3FOpenDocument" TargetMode="External"/><Relationship Id="rId14" Type="http://schemas.openxmlformats.org/officeDocument/2006/relationships/hyperlink" Target="https://www.wa.gov.au/government/publications/project-111-review-of-the-equal-opportunity-act-1984-wa" TargetMode="External"/><Relationship Id="rId22" Type="http://schemas.openxmlformats.org/officeDocument/2006/relationships/hyperlink" Target="https://australianhrc.sharepoint.com/sites/DisabilityRights/04_Policy_Reform/04_Disability%20Discrimination%20Act/00_DDA%20Reform/05_AGD%20Public%20consultation%20(Aug-Oct%202025)/01_Draft%20Submission/1.%09https:/treasury.gov.au/review/premises-standards-review-2021/opportunities-action" TargetMode="External"/><Relationship Id="rId27" Type="http://schemas.openxmlformats.org/officeDocument/2006/relationships/hyperlink" Target="https://engage.dss.gov.au/wp-content/uploads/2025/03/assistance-animal-principles-consultation-paper.pdf" TargetMode="External"/><Relationship Id="rId30" Type="http://schemas.openxmlformats.org/officeDocument/2006/relationships/hyperlink" Target="https://apo.org.au/sites/default/files/resource-files/2025-08/apo-nid331993.pdf" TargetMode="External"/><Relationship Id="rId35" Type="http://schemas.openxmlformats.org/officeDocument/2006/relationships/hyperlink" Target="https://humanrights.gov.au/sites/default/files/Speaking%20from%20Experience%20Report_0_0.pdf" TargetMode="External"/><Relationship Id="rId8" Type="http://schemas.openxmlformats.org/officeDocument/2006/relationships/hyperlink" Target="https://legislation.nsw.gov.au/view/whole/pdf/inforce/2025-07-29/act-1977-048" TargetMode="External"/><Relationship Id="rId3" Type="http://schemas.openxmlformats.org/officeDocument/2006/relationships/hyperlink" Target="https://www.aicd.com.au/leadership/types/management/how-excessive-regulation-is-affecting-australian-innovation-and-productivity.html" TargetMode="External"/></Relationships>
</file>

<file path=word/documenttasks/documenttasks1.xml><?xml version="1.0" encoding="utf-8"?>
<t:Tasks xmlns:t="http://schemas.microsoft.com/office/tasks/2019/documenttasks" xmlns:oel="http://schemas.microsoft.com/office/2019/extlst">
  <t:Task id="{B9639608-2816-4A24-80CC-F4500B65D6ED}">
    <t:Anchor>
      <t:Comment id="977028957"/>
    </t:Anchor>
    <t:History>
      <t:Event id="{3C1D4888-2BEE-48AA-887E-96A62D1DF4E5}" time="2025-10-28T05:53:59.47Z">
        <t:Attribution userId="S::alison.pooley@humanrights.gov.au::0843eb6b-f552-41dd-8498-6be362adbdd4" userProvider="AD" userName="Alison Pooley"/>
        <t:Anchor>
          <t:Comment id="977028957"/>
        </t:Anchor>
        <t:Create/>
      </t:Event>
      <t:Event id="{F8780704-6670-4AAB-8542-74CD17BCC9CC}" time="2025-10-28T05:53:59.47Z">
        <t:Attribution userId="S::alison.pooley@humanrights.gov.au::0843eb6b-f552-41dd-8498-6be362adbdd4" userProvider="AD" userName="Alison Pooley"/>
        <t:Anchor>
          <t:Comment id="977028957"/>
        </t:Anchor>
        <t:Assign userId="S::sophia.rinaldis@humanrights.gov.au::bd3ebfb7-e6dc-463f-b1a3-3fd6fa390435" userProvider="AD" userName="Sophia Rinaldis"/>
      </t:Event>
      <t:Event id="{3E510921-618D-4CD6-B564-27A3240D1B22}" time="2025-10-28T05:53:59.47Z">
        <t:Attribution userId="S::alison.pooley@humanrights.gov.au::0843eb6b-f552-41dd-8498-6be362adbdd4" userProvider="AD" userName="Alison Pooley"/>
        <t:Anchor>
          <t:Comment id="977028957"/>
        </t:Anchor>
        <t:SetTitle title="@Sophia Rinaldis you asked me just to flag this sentence so you could review how it is sitting in the context of the rest of this section."/>
      </t:Event>
      <t:Event id="{04E36F0F-A1DF-432D-9F72-0FF36FB15DDB}" time="2025-10-28T09:56:44.844Z">
        <t:Attribution userId="S::sophia.rinaldis@humanrights.gov.au::bd3ebfb7-e6dc-463f-b1a3-3fd6fa390435" userProvider="AD" userName="Sophia Rinaldis"/>
        <t:Progress percentComplete="100"/>
      </t:Event>
    </t:History>
  </t:Task>
</t:Task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WEV44C3EEZP4-1056255319-11743</_dlc_DocId>
    <_dlc_DocIdUrl xmlns="6500fe01-343b-4fb9-a1b0-68ac19d62e01">
      <Url>https://australianhrc.sharepoint.com/sites/DisabilityRights/_layouts/15/DocIdRedir.aspx?ID=WEV44C3EEZP4-1056255319-11743</Url>
      <Description>WEV44C3EEZP4-1056255319-11743</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AB270-9914-499E-B30E-F87FAFBCB609}">
  <ds:schemaRefs>
    <ds:schemaRef ds:uri="http://schemas.microsoft.com/sharepoint/events"/>
  </ds:schemaRefs>
</ds:datastoreItem>
</file>

<file path=customXml/itemProps2.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3.xml><?xml version="1.0" encoding="utf-8"?>
<ds:datastoreItem xmlns:ds="http://schemas.openxmlformats.org/officeDocument/2006/customXml" ds:itemID="{4BA84C9A-2C94-4FE6-8B9E-F2A74D946B0E}">
  <ds:schemaRefs>
    <ds:schemaRef ds:uri="http://schemas.microsoft.com/office/2006/metadata/customXsn"/>
  </ds:schemaRefs>
</ds:datastoreItem>
</file>

<file path=customXml/itemProps4.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5.xml><?xml version="1.0" encoding="utf-8"?>
<ds:datastoreItem xmlns:ds="http://schemas.openxmlformats.org/officeDocument/2006/customXml" ds:itemID="{2C142251-B836-4578-8F21-DE467441A12A}">
  <ds:schemaRefs>
    <ds:schemaRef ds:uri="Microsoft.SharePoint.Taxonomy.ContentTypeSync"/>
  </ds:schemaRefs>
</ds:datastoreItem>
</file>

<file path=customXml/itemProps6.xml><?xml version="1.0" encoding="utf-8"?>
<ds:datastoreItem xmlns:ds="http://schemas.openxmlformats.org/officeDocument/2006/customXml" ds:itemID="{EE0A6BD7-E16B-477B-9C1A-D994773C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019F2E-9041-4D34-AB0B-CD7844C5B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97</Pages>
  <Words>28802</Words>
  <Characters>165618</Characters>
  <Application>Microsoft Office Word</Application>
  <DocSecurity>0</DocSecurity>
  <Lines>2957</Lines>
  <Paragraphs>930</Paragraphs>
  <ScaleCrop>false</ScaleCrop>
  <Company/>
  <LinksUpToDate>false</LinksUpToDate>
  <CharactersWithSpaces>193490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Rinaldis</dc:creator>
  <cp:keywords/>
  <dc:description/>
  <cp:lastModifiedBy>Michael Badorrek</cp:lastModifiedBy>
  <cp:revision>39</cp:revision>
  <cp:lastPrinted>2025-11-27T00:34:00Z</cp:lastPrinted>
  <dcterms:created xsi:type="dcterms:W3CDTF">2025-11-14T16:06:00Z</dcterms:created>
  <dcterms:modified xsi:type="dcterms:W3CDTF">2025-11-27T00:35:00Z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_dlc_DocIdItemGuid">
    <vt:lpwstr>26648663-e253-4f80-b092-304bd978fd28</vt:lpwstr>
  </property>
</Properties>
</file>