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011FB" w14:textId="77777777" w:rsidR="007B2DB2" w:rsidRPr="004C0B7E" w:rsidRDefault="00323D1C" w:rsidP="006842BC">
      <w:pPr>
        <w:pStyle w:val="Title"/>
        <w:jc w:val="right"/>
        <w:rPr>
          <w:lang w:val="en-AU"/>
        </w:rPr>
      </w:pPr>
      <w:r>
        <w:rPr>
          <w:lang w:val="en-AU"/>
        </w:rPr>
        <w:t>Shaping the future of employment services</w:t>
      </w:r>
    </w:p>
    <w:p w14:paraId="616E963C" w14:textId="77777777" w:rsidR="00D425F6" w:rsidRDefault="00C53832" w:rsidP="0096174D">
      <w:pPr>
        <w:pStyle w:val="Subtitle"/>
        <w:jc w:val="right"/>
      </w:pPr>
      <w:r>
        <w:t xml:space="preserve">Submission to </w:t>
      </w:r>
      <w:r w:rsidR="00D425F6">
        <w:t xml:space="preserve">the </w:t>
      </w:r>
      <w:r w:rsidR="00323D1C">
        <w:t>Department of Employment and Workplace Relations</w:t>
      </w:r>
    </w:p>
    <w:p w14:paraId="6A8663A5" w14:textId="77777777" w:rsidR="0036065F" w:rsidRPr="004C0B7E" w:rsidRDefault="008D1EB3" w:rsidP="0096174D">
      <w:pPr>
        <w:pStyle w:val="Subtitle"/>
        <w:jc w:val="right"/>
      </w:pPr>
      <w:r w:rsidRPr="00C17739">
        <w:rPr>
          <w:rFonts w:ascii="Times New Roman"/>
          <w:noProof/>
          <w:sz w:val="20"/>
        </w:rPr>
        <mc:AlternateContent>
          <mc:Choice Requires="wps">
            <w:drawing>
              <wp:anchor distT="45720" distB="45720" distL="114300" distR="114300" simplePos="0" relativeHeight="251658240" behindDoc="0" locked="0" layoutInCell="1" allowOverlap="1" wp14:anchorId="3786504E" wp14:editId="6A54EE5D">
                <wp:simplePos x="0" y="0"/>
                <wp:positionH relativeFrom="column">
                  <wp:posOffset>-292100</wp:posOffset>
                </wp:positionH>
                <wp:positionV relativeFrom="page">
                  <wp:posOffset>9302750</wp:posOffset>
                </wp:positionV>
                <wp:extent cx="3044190" cy="861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861060"/>
                        </a:xfrm>
                        <a:prstGeom prst="rect">
                          <a:avLst/>
                        </a:prstGeom>
                        <a:noFill/>
                        <a:ln w="9525">
                          <a:noFill/>
                          <a:miter lim="800000"/>
                          <a:headEnd/>
                          <a:tailEnd/>
                        </a:ln>
                      </wps:spPr>
                      <wps:txbx>
                        <w:txbxContent>
                          <w:p w14:paraId="74B92360" w14:textId="77777777" w:rsidR="008D1EB3" w:rsidRPr="004215FA" w:rsidRDefault="008D1EB3" w:rsidP="008D1EB3">
                            <w:pPr>
                              <w:spacing w:line="168" w:lineRule="auto"/>
                              <w:rPr>
                                <w:color w:val="FFFFFF" w:themeColor="background1"/>
                                <w:sz w:val="22"/>
                                <w:szCs w:val="22"/>
                              </w:rPr>
                            </w:pPr>
                            <w:r w:rsidRPr="004215FA">
                              <w:rPr>
                                <w:color w:val="FFFFFF" w:themeColor="background1"/>
                                <w:sz w:val="22"/>
                                <w:szCs w:val="22"/>
                              </w:rPr>
                              <w:t>ABN 47 996 232 602</w:t>
                            </w:r>
                          </w:p>
                          <w:p w14:paraId="7D8F1F9E" w14:textId="77777777" w:rsidR="008D1EB3" w:rsidRPr="004215FA" w:rsidRDefault="008D1EB3" w:rsidP="008D1EB3">
                            <w:pPr>
                              <w:spacing w:line="168" w:lineRule="auto"/>
                              <w:rPr>
                                <w:color w:val="FFFFFF" w:themeColor="background1"/>
                                <w:sz w:val="22"/>
                                <w:szCs w:val="22"/>
                              </w:rPr>
                            </w:pPr>
                            <w:r w:rsidRPr="004215FA">
                              <w:rPr>
                                <w:color w:val="FFFFFF" w:themeColor="background1"/>
                                <w:sz w:val="22"/>
                                <w:szCs w:val="22"/>
                              </w:rPr>
                              <w:t>GPO Box 5218, Sydney NSW 2001</w:t>
                            </w:r>
                          </w:p>
                          <w:p w14:paraId="76BCF970" w14:textId="77777777" w:rsidR="008D1EB3" w:rsidRPr="004215FA" w:rsidRDefault="008D1EB3" w:rsidP="008D1EB3">
                            <w:pPr>
                              <w:spacing w:line="168" w:lineRule="auto"/>
                              <w:rPr>
                                <w:color w:val="FFFFFF" w:themeColor="background1"/>
                                <w:sz w:val="22"/>
                                <w:szCs w:val="22"/>
                              </w:rPr>
                            </w:pPr>
                            <w:r w:rsidRPr="004215FA">
                              <w:rPr>
                                <w:color w:val="FFFFFF" w:themeColor="background1"/>
                                <w:sz w:val="22"/>
                                <w:szCs w:val="22"/>
                              </w:rPr>
                              <w:t>General enquiries 1300 369 711</w:t>
                            </w:r>
                          </w:p>
                          <w:p w14:paraId="4ABA466E" w14:textId="77777777" w:rsidR="008D1EB3" w:rsidRPr="0041652A" w:rsidRDefault="008D1EB3" w:rsidP="008D1EB3">
                            <w:pPr>
                              <w:spacing w:line="168" w:lineRule="auto"/>
                              <w:rPr>
                                <w:color w:val="FFFFFF" w:themeColor="background1"/>
                                <w:sz w:val="22"/>
                                <w:szCs w:val="22"/>
                              </w:rPr>
                            </w:pPr>
                            <w:r w:rsidRPr="004215FA">
                              <w:rPr>
                                <w:color w:val="FFFFFF" w:themeColor="background1"/>
                                <w:sz w:val="22"/>
                                <w:szCs w:val="22"/>
                              </w:rPr>
                              <w:t>National Info Service 1300 656 419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86504E" id="_x0000_t202" coordsize="21600,21600" o:spt="202" path="m,l,21600r21600,l21600,xe">
                <v:stroke joinstyle="miter"/>
                <v:path gradientshapeok="t" o:connecttype="rect"/>
              </v:shapetype>
              <v:shape id="Text Box 2" o:spid="_x0000_s1026" type="#_x0000_t202" style="position:absolute;left:0;text-align:left;margin-left:-23pt;margin-top:732.5pt;width:239.7pt;height:67.8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" filled="f" stroked="f">
                <v:textbox style="mso-fit-shape-to-text:t">
                  <w:txbxContent>
                    <w:p w14:paraId="74B92360" w14:textId="77777777" w:rsidR="008D1EB3" w:rsidRPr="004215FA" w:rsidRDefault="008D1EB3" w:rsidP="008D1EB3">
                      <w:pPr>
                        <w:spacing w:line="168" w:lineRule="auto"/>
                        <w:rPr>
                          <w:color w:val="FFFFFF" w:themeColor="background1"/>
                          <w:sz w:val="22"/>
                          <w:szCs w:val="22"/>
                        </w:rPr>
                      </w:pPr>
                      <w:r w:rsidRPr="004215FA">
                        <w:rPr>
                          <w:color w:val="FFFFFF" w:themeColor="background1"/>
                          <w:sz w:val="22"/>
                          <w:szCs w:val="22"/>
                        </w:rPr>
                        <w:t>ABN 47 996 232 602</w:t>
                      </w:r>
                    </w:p>
                    <w:p w14:paraId="7D8F1F9E" w14:textId="77777777" w:rsidR="008D1EB3" w:rsidRPr="004215FA" w:rsidRDefault="008D1EB3" w:rsidP="008D1EB3">
                      <w:pPr>
                        <w:spacing w:line="168" w:lineRule="auto"/>
                        <w:rPr>
                          <w:color w:val="FFFFFF" w:themeColor="background1"/>
                          <w:sz w:val="22"/>
                          <w:szCs w:val="22"/>
                        </w:rPr>
                      </w:pPr>
                      <w:r w:rsidRPr="004215FA">
                        <w:rPr>
                          <w:color w:val="FFFFFF" w:themeColor="background1"/>
                          <w:sz w:val="22"/>
                          <w:szCs w:val="22"/>
                        </w:rPr>
                        <w:t>GPO Box 5218, Sydney NSW 2001</w:t>
                      </w:r>
                    </w:p>
                    <w:p w14:paraId="76BCF970" w14:textId="77777777" w:rsidR="008D1EB3" w:rsidRPr="004215FA" w:rsidRDefault="008D1EB3" w:rsidP="008D1EB3">
                      <w:pPr>
                        <w:spacing w:line="168" w:lineRule="auto"/>
                        <w:rPr>
                          <w:color w:val="FFFFFF" w:themeColor="background1"/>
                          <w:sz w:val="22"/>
                          <w:szCs w:val="22"/>
                        </w:rPr>
                      </w:pPr>
                      <w:r w:rsidRPr="004215FA">
                        <w:rPr>
                          <w:color w:val="FFFFFF" w:themeColor="background1"/>
                          <w:sz w:val="22"/>
                          <w:szCs w:val="22"/>
                        </w:rPr>
                        <w:t>General enquiries 1300 369 711</w:t>
                      </w:r>
                    </w:p>
                    <w:p w14:paraId="4ABA466E" w14:textId="77777777" w:rsidR="008D1EB3" w:rsidRPr="0041652A" w:rsidRDefault="008D1EB3" w:rsidP="008D1EB3">
                      <w:pPr>
                        <w:spacing w:line="168" w:lineRule="auto"/>
                        <w:rPr>
                          <w:color w:val="FFFFFF" w:themeColor="background1"/>
                          <w:sz w:val="22"/>
                          <w:szCs w:val="22"/>
                        </w:rPr>
                      </w:pPr>
                      <w:r w:rsidRPr="004215FA">
                        <w:rPr>
                          <w:color w:val="FFFFFF" w:themeColor="background1"/>
                          <w:sz w:val="22"/>
                          <w:szCs w:val="22"/>
                        </w:rPr>
                        <w:t>National Info Service 1300 656 419</w:t>
                      </w:r>
                    </w:p>
                  </w:txbxContent>
                </v:textbox>
                <w10:wrap anchory="page"/>
              </v:shape>
            </w:pict>
          </mc:Fallback>
        </mc:AlternateContent>
      </w:r>
      <w:r w:rsidR="00323D1C">
        <w:t>31 July 2026</w:t>
      </w:r>
    </w:p>
    <w:sdt>
      <w:sdtPr>
        <w:rPr>
          <w:rFonts w:ascii="Open Sans" w:eastAsiaTheme="minorEastAsia" w:hAnsi="Open Sans" w:cstheme="minorBidi"/>
          <w:b w:val="0"/>
          <w:noProof/>
          <w:color w:val="000000" w:themeColor="text1"/>
          <w:sz w:val="24"/>
          <w:szCs w:val="24"/>
          <w:lang w:val="en-AU" w:eastAsia="ja-JP"/>
        </w:rPr>
        <w:id w:val="672380359"/>
        <w:docPartObj>
          <w:docPartGallery w:val="Table of Contents"/>
          <w:docPartUnique/>
        </w:docPartObj>
      </w:sdtPr>
      <w:sdtEndPr>
        <w:rPr>
          <w:b/>
          <w:bCs/>
          <w:color w:val="143C65" w:themeColor="accent1"/>
        </w:rPr>
      </w:sdtEndPr>
      <w:sdtContent>
        <w:p w14:paraId="40A9A7B4" w14:textId="77777777" w:rsidR="00AA0C6A" w:rsidRPr="004C0B7E" w:rsidRDefault="00AA0C6A" w:rsidP="00ED767E">
          <w:pPr>
            <w:pStyle w:val="TOCHeading"/>
            <w:tabs>
              <w:tab w:val="left" w:pos="3860"/>
            </w:tabs>
            <w:rPr>
              <w:lang w:val="en-AU"/>
            </w:rPr>
          </w:pPr>
          <w:r w:rsidRPr="004C0B7E">
            <w:rPr>
              <w:lang w:val="en-AU"/>
            </w:rPr>
            <w:t>Contents</w:t>
          </w:r>
          <w:r w:rsidR="00ED767E">
            <w:rPr>
              <w:lang w:val="en-AU"/>
            </w:rPr>
            <w:tab/>
          </w:r>
        </w:p>
        <w:p w14:paraId="717CFE4A" w14:textId="245A98B9" w:rsidR="00D25904" w:rsidRDefault="0069742B">
          <w:pPr>
            <w:pStyle w:val="TOC1"/>
            <w:rPr>
              <w:rFonts w:asciiTheme="minorHAnsi" w:hAnsiTheme="minorHAnsi"/>
              <w:b w:val="0"/>
              <w:color w:val="auto"/>
              <w:kern w:val="2"/>
              <w:lang w:eastAsia="en-AU"/>
              <w14:ligatures w14:val="standardContextual"/>
            </w:rPr>
          </w:pPr>
          <w:r>
            <w:rPr>
              <w:b w:val="0"/>
              <w:sz w:val="22"/>
              <w:szCs w:val="22"/>
            </w:rPr>
            <w:fldChar w:fldCharType="begin"/>
          </w:r>
          <w:r w:rsidRPr="37586262">
            <w:rPr>
              <w:b w:val="0"/>
              <w:sz w:val="22"/>
              <w:szCs w:val="22"/>
            </w:rPr>
            <w:instrText xml:space="preserve"> TOC \o "1-1" \h \z \t "Heading 2,2" </w:instrText>
          </w:r>
          <w:r>
            <w:rPr>
              <w:b w:val="0"/>
              <w:sz w:val="22"/>
              <w:szCs w:val="22"/>
            </w:rPr>
            <w:fldChar w:fldCharType="separate"/>
          </w:r>
          <w:hyperlink w:anchor="_Toc236236217" w:history="1">
            <w:r w:rsidR="00D25904" w:rsidRPr="00B20FBE">
              <w:rPr>
                <w:rStyle w:val="Hyperlink"/>
              </w:rPr>
              <w:t>Executive summary</w:t>
            </w:r>
            <w:r w:rsidR="00D25904">
              <w:rPr>
                <w:webHidden/>
              </w:rPr>
              <w:tab/>
            </w:r>
            <w:r w:rsidR="00D25904">
              <w:rPr>
                <w:webHidden/>
              </w:rPr>
              <w:fldChar w:fldCharType="begin"/>
            </w:r>
            <w:r w:rsidR="00D25904">
              <w:rPr>
                <w:webHidden/>
              </w:rPr>
              <w:instrText xml:space="preserve"> PAGEREF _Toc236236217 \h </w:instrText>
            </w:r>
            <w:r w:rsidR="00D25904">
              <w:rPr>
                <w:webHidden/>
              </w:rPr>
            </w:r>
            <w:r w:rsidR="00D25904">
              <w:rPr>
                <w:webHidden/>
              </w:rPr>
              <w:fldChar w:fldCharType="separate"/>
            </w:r>
            <w:r w:rsidR="00D25904">
              <w:rPr>
                <w:webHidden/>
              </w:rPr>
              <w:t>5</w:t>
            </w:r>
            <w:r w:rsidR="00D25904">
              <w:rPr>
                <w:webHidden/>
              </w:rPr>
              <w:fldChar w:fldCharType="end"/>
            </w:r>
          </w:hyperlink>
        </w:p>
        <w:p w14:paraId="63345524" w14:textId="53B26022" w:rsidR="00D25904" w:rsidRDefault="00D25904">
          <w:pPr>
            <w:pStyle w:val="TOC2"/>
            <w:rPr>
              <w:rFonts w:asciiTheme="minorHAnsi" w:hAnsiTheme="minorHAnsi"/>
              <w:color w:val="auto"/>
              <w:kern w:val="2"/>
              <w:lang w:val="en-AU" w:eastAsia="en-AU"/>
              <w14:ligatures w14:val="standardContextual"/>
            </w:rPr>
          </w:pPr>
          <w:hyperlink w:anchor="_Toc236236218" w:history="1">
            <w:r w:rsidRPr="00B20FBE">
              <w:rPr>
                <w:rStyle w:val="Hyperlink"/>
              </w:rPr>
              <w:t>Recommendations</w:t>
            </w:r>
            <w:r>
              <w:rPr>
                <w:webHidden/>
              </w:rPr>
              <w:tab/>
            </w:r>
            <w:r>
              <w:rPr>
                <w:webHidden/>
              </w:rPr>
              <w:fldChar w:fldCharType="begin"/>
            </w:r>
            <w:r>
              <w:rPr>
                <w:webHidden/>
              </w:rPr>
              <w:instrText xml:space="preserve"> PAGEREF _Toc236236218 \h </w:instrText>
            </w:r>
            <w:r>
              <w:rPr>
                <w:webHidden/>
              </w:rPr>
            </w:r>
            <w:r>
              <w:rPr>
                <w:webHidden/>
              </w:rPr>
              <w:fldChar w:fldCharType="separate"/>
            </w:r>
            <w:r>
              <w:rPr>
                <w:webHidden/>
              </w:rPr>
              <w:t>5</w:t>
            </w:r>
            <w:r>
              <w:rPr>
                <w:webHidden/>
              </w:rPr>
              <w:fldChar w:fldCharType="end"/>
            </w:r>
          </w:hyperlink>
        </w:p>
        <w:p w14:paraId="69B33472" w14:textId="25B40DF8" w:rsidR="00D25904" w:rsidRDefault="00D25904">
          <w:pPr>
            <w:pStyle w:val="TOC1"/>
            <w:rPr>
              <w:rFonts w:asciiTheme="minorHAnsi" w:hAnsiTheme="minorHAnsi"/>
              <w:b w:val="0"/>
              <w:color w:val="auto"/>
              <w:kern w:val="2"/>
              <w:lang w:eastAsia="en-AU"/>
              <w14:ligatures w14:val="standardContextual"/>
            </w:rPr>
          </w:pPr>
          <w:hyperlink w:anchor="_Toc236236219" w:history="1">
            <w:r w:rsidRPr="00B20FBE">
              <w:rPr>
                <w:rStyle w:val="Hyperlink"/>
              </w:rPr>
              <w:t>1</w:t>
            </w:r>
            <w:r>
              <w:rPr>
                <w:rFonts w:asciiTheme="minorHAnsi" w:hAnsiTheme="minorHAnsi"/>
                <w:b w:val="0"/>
                <w:color w:val="auto"/>
                <w:kern w:val="2"/>
                <w:lang w:eastAsia="en-AU"/>
                <w14:ligatures w14:val="standardContextual"/>
              </w:rPr>
              <w:tab/>
            </w:r>
            <w:r w:rsidRPr="00B20FBE">
              <w:rPr>
                <w:rStyle w:val="Hyperlink"/>
              </w:rPr>
              <w:t>Introduction</w:t>
            </w:r>
            <w:r>
              <w:rPr>
                <w:webHidden/>
              </w:rPr>
              <w:tab/>
            </w:r>
            <w:r>
              <w:rPr>
                <w:webHidden/>
              </w:rPr>
              <w:fldChar w:fldCharType="begin"/>
            </w:r>
            <w:r>
              <w:rPr>
                <w:webHidden/>
              </w:rPr>
              <w:instrText xml:space="preserve"> PAGEREF _Toc236236219 \h </w:instrText>
            </w:r>
            <w:r>
              <w:rPr>
                <w:webHidden/>
              </w:rPr>
            </w:r>
            <w:r>
              <w:rPr>
                <w:webHidden/>
              </w:rPr>
              <w:fldChar w:fldCharType="separate"/>
            </w:r>
            <w:r>
              <w:rPr>
                <w:webHidden/>
              </w:rPr>
              <w:t>7</w:t>
            </w:r>
            <w:r>
              <w:rPr>
                <w:webHidden/>
              </w:rPr>
              <w:fldChar w:fldCharType="end"/>
            </w:r>
          </w:hyperlink>
        </w:p>
        <w:p w14:paraId="1AEFE89C" w14:textId="22D3795D" w:rsidR="00D25904" w:rsidRDefault="00D25904">
          <w:pPr>
            <w:pStyle w:val="TOC2"/>
            <w:rPr>
              <w:rFonts w:asciiTheme="minorHAnsi" w:hAnsiTheme="minorHAnsi"/>
              <w:color w:val="auto"/>
              <w:kern w:val="2"/>
              <w:lang w:val="en-AU" w:eastAsia="en-AU"/>
              <w14:ligatures w14:val="standardContextual"/>
            </w:rPr>
          </w:pPr>
          <w:hyperlink w:anchor="_Toc236236220" w:history="1">
            <w:r w:rsidRPr="00B20FBE">
              <w:rPr>
                <w:rStyle w:val="Hyperlink"/>
              </w:rPr>
              <w:t>The right to work</w:t>
            </w:r>
            <w:r>
              <w:rPr>
                <w:webHidden/>
              </w:rPr>
              <w:tab/>
            </w:r>
            <w:r>
              <w:rPr>
                <w:webHidden/>
              </w:rPr>
              <w:fldChar w:fldCharType="begin"/>
            </w:r>
            <w:r>
              <w:rPr>
                <w:webHidden/>
              </w:rPr>
              <w:instrText xml:space="preserve"> PAGEREF _Toc236236220 \h </w:instrText>
            </w:r>
            <w:r>
              <w:rPr>
                <w:webHidden/>
              </w:rPr>
            </w:r>
            <w:r>
              <w:rPr>
                <w:webHidden/>
              </w:rPr>
              <w:fldChar w:fldCharType="separate"/>
            </w:r>
            <w:r>
              <w:rPr>
                <w:webHidden/>
              </w:rPr>
              <w:t>7</w:t>
            </w:r>
            <w:r>
              <w:rPr>
                <w:webHidden/>
              </w:rPr>
              <w:fldChar w:fldCharType="end"/>
            </w:r>
          </w:hyperlink>
        </w:p>
        <w:p w14:paraId="00BB716E" w14:textId="2766533D" w:rsidR="00D25904" w:rsidRDefault="00D25904">
          <w:pPr>
            <w:pStyle w:val="TOC2"/>
            <w:rPr>
              <w:rFonts w:asciiTheme="minorHAnsi" w:hAnsiTheme="minorHAnsi"/>
              <w:color w:val="auto"/>
              <w:kern w:val="2"/>
              <w:lang w:val="en-AU" w:eastAsia="en-AU"/>
              <w14:ligatures w14:val="standardContextual"/>
            </w:rPr>
          </w:pPr>
          <w:hyperlink w:anchor="_Toc236236221" w:history="1">
            <w:r w:rsidRPr="00B20FBE">
              <w:rPr>
                <w:rStyle w:val="Hyperlink"/>
              </w:rPr>
              <w:t>Employment service providers in Australia</w:t>
            </w:r>
            <w:r>
              <w:rPr>
                <w:webHidden/>
              </w:rPr>
              <w:tab/>
            </w:r>
            <w:r>
              <w:rPr>
                <w:webHidden/>
              </w:rPr>
              <w:fldChar w:fldCharType="begin"/>
            </w:r>
            <w:r>
              <w:rPr>
                <w:webHidden/>
              </w:rPr>
              <w:instrText xml:space="preserve"> PAGEREF _Toc236236221 \h </w:instrText>
            </w:r>
            <w:r>
              <w:rPr>
                <w:webHidden/>
              </w:rPr>
            </w:r>
            <w:r>
              <w:rPr>
                <w:webHidden/>
              </w:rPr>
              <w:fldChar w:fldCharType="separate"/>
            </w:r>
            <w:r>
              <w:rPr>
                <w:webHidden/>
              </w:rPr>
              <w:t>8</w:t>
            </w:r>
            <w:r>
              <w:rPr>
                <w:webHidden/>
              </w:rPr>
              <w:fldChar w:fldCharType="end"/>
            </w:r>
          </w:hyperlink>
        </w:p>
        <w:p w14:paraId="31FB4AC0" w14:textId="19966E21" w:rsidR="00D25904" w:rsidRDefault="00D25904">
          <w:pPr>
            <w:pStyle w:val="TOC1"/>
            <w:rPr>
              <w:rFonts w:asciiTheme="minorHAnsi" w:hAnsiTheme="minorHAnsi"/>
              <w:b w:val="0"/>
              <w:color w:val="auto"/>
              <w:kern w:val="2"/>
              <w:lang w:eastAsia="en-AU"/>
              <w14:ligatures w14:val="standardContextual"/>
            </w:rPr>
          </w:pPr>
          <w:hyperlink w:anchor="_Toc236236222" w:history="1">
            <w:r w:rsidRPr="00B20FBE">
              <w:rPr>
                <w:rStyle w:val="Hyperlink"/>
              </w:rPr>
              <w:t>2</w:t>
            </w:r>
            <w:r>
              <w:rPr>
                <w:rFonts w:asciiTheme="minorHAnsi" w:hAnsiTheme="minorHAnsi"/>
                <w:b w:val="0"/>
                <w:color w:val="auto"/>
                <w:kern w:val="2"/>
                <w:lang w:eastAsia="en-AU"/>
                <w14:ligatures w14:val="standardContextual"/>
              </w:rPr>
              <w:tab/>
            </w:r>
            <w:r w:rsidRPr="00B20FBE">
              <w:rPr>
                <w:rStyle w:val="Hyperlink"/>
              </w:rPr>
              <w:t>Measuring Sustainable Employment Outcomes</w:t>
            </w:r>
            <w:r>
              <w:rPr>
                <w:webHidden/>
              </w:rPr>
              <w:tab/>
            </w:r>
            <w:r>
              <w:rPr>
                <w:webHidden/>
              </w:rPr>
              <w:fldChar w:fldCharType="begin"/>
            </w:r>
            <w:r>
              <w:rPr>
                <w:webHidden/>
              </w:rPr>
              <w:instrText xml:space="preserve"> PAGEREF _Toc236236222 \h </w:instrText>
            </w:r>
            <w:r>
              <w:rPr>
                <w:webHidden/>
              </w:rPr>
            </w:r>
            <w:r>
              <w:rPr>
                <w:webHidden/>
              </w:rPr>
              <w:fldChar w:fldCharType="separate"/>
            </w:r>
            <w:r>
              <w:rPr>
                <w:webHidden/>
              </w:rPr>
              <w:t>10</w:t>
            </w:r>
            <w:r>
              <w:rPr>
                <w:webHidden/>
              </w:rPr>
              <w:fldChar w:fldCharType="end"/>
            </w:r>
          </w:hyperlink>
        </w:p>
        <w:p w14:paraId="106F6DAA" w14:textId="47D0B078" w:rsidR="00D25904" w:rsidRDefault="00D25904">
          <w:pPr>
            <w:pStyle w:val="TOC2"/>
            <w:rPr>
              <w:rFonts w:asciiTheme="minorHAnsi" w:hAnsiTheme="minorHAnsi"/>
              <w:color w:val="auto"/>
              <w:kern w:val="2"/>
              <w:lang w:val="en-AU" w:eastAsia="en-AU"/>
              <w14:ligatures w14:val="standardContextual"/>
            </w:rPr>
          </w:pPr>
          <w:hyperlink w:anchor="_Toc236236223" w:history="1">
            <w:r w:rsidRPr="00B20FBE">
              <w:rPr>
                <w:rStyle w:val="Hyperlink"/>
              </w:rPr>
              <w:t>Expanding job quality indicators to drive meaningful outcomes</w:t>
            </w:r>
            <w:r>
              <w:rPr>
                <w:webHidden/>
              </w:rPr>
              <w:tab/>
            </w:r>
            <w:r>
              <w:rPr>
                <w:webHidden/>
              </w:rPr>
              <w:fldChar w:fldCharType="begin"/>
            </w:r>
            <w:r>
              <w:rPr>
                <w:webHidden/>
              </w:rPr>
              <w:instrText xml:space="preserve"> PAGEREF _Toc236236223 \h </w:instrText>
            </w:r>
            <w:r>
              <w:rPr>
                <w:webHidden/>
              </w:rPr>
            </w:r>
            <w:r>
              <w:rPr>
                <w:webHidden/>
              </w:rPr>
              <w:fldChar w:fldCharType="separate"/>
            </w:r>
            <w:r>
              <w:rPr>
                <w:webHidden/>
              </w:rPr>
              <w:t>10</w:t>
            </w:r>
            <w:r>
              <w:rPr>
                <w:webHidden/>
              </w:rPr>
              <w:fldChar w:fldCharType="end"/>
            </w:r>
          </w:hyperlink>
        </w:p>
        <w:p w14:paraId="1DCEBD6F" w14:textId="50766571" w:rsidR="00D25904" w:rsidRDefault="00D25904">
          <w:pPr>
            <w:pStyle w:val="TOC1"/>
            <w:rPr>
              <w:rFonts w:asciiTheme="minorHAnsi" w:hAnsiTheme="minorHAnsi"/>
              <w:b w:val="0"/>
              <w:color w:val="auto"/>
              <w:kern w:val="2"/>
              <w:lang w:eastAsia="en-AU"/>
              <w14:ligatures w14:val="standardContextual"/>
            </w:rPr>
          </w:pPr>
          <w:hyperlink w:anchor="_Toc236236224" w:history="1">
            <w:r w:rsidRPr="00B20FBE">
              <w:rPr>
                <w:rStyle w:val="Hyperlink"/>
              </w:rPr>
              <w:t>3</w:t>
            </w:r>
            <w:r>
              <w:rPr>
                <w:rFonts w:asciiTheme="minorHAnsi" w:hAnsiTheme="minorHAnsi"/>
                <w:b w:val="0"/>
                <w:color w:val="auto"/>
                <w:kern w:val="2"/>
                <w:lang w:eastAsia="en-AU"/>
                <w14:ligatures w14:val="standardContextual"/>
              </w:rPr>
              <w:tab/>
            </w:r>
            <w:r w:rsidRPr="00B20FBE">
              <w:rPr>
                <w:rStyle w:val="Hyperlink"/>
              </w:rPr>
              <w:t>Employment Service Providers</w:t>
            </w:r>
            <w:r>
              <w:rPr>
                <w:webHidden/>
              </w:rPr>
              <w:tab/>
            </w:r>
            <w:r>
              <w:rPr>
                <w:webHidden/>
              </w:rPr>
              <w:fldChar w:fldCharType="begin"/>
            </w:r>
            <w:r>
              <w:rPr>
                <w:webHidden/>
              </w:rPr>
              <w:instrText xml:space="preserve"> PAGEREF _Toc236236224 \h </w:instrText>
            </w:r>
            <w:r>
              <w:rPr>
                <w:webHidden/>
              </w:rPr>
            </w:r>
            <w:r>
              <w:rPr>
                <w:webHidden/>
              </w:rPr>
              <w:fldChar w:fldCharType="separate"/>
            </w:r>
            <w:r>
              <w:rPr>
                <w:webHidden/>
              </w:rPr>
              <w:t>12</w:t>
            </w:r>
            <w:r>
              <w:rPr>
                <w:webHidden/>
              </w:rPr>
              <w:fldChar w:fldCharType="end"/>
            </w:r>
          </w:hyperlink>
        </w:p>
        <w:p w14:paraId="1F45FCAB" w14:textId="4FEF403E" w:rsidR="00D25904" w:rsidRDefault="00D25904">
          <w:pPr>
            <w:pStyle w:val="TOC2"/>
            <w:rPr>
              <w:rFonts w:asciiTheme="minorHAnsi" w:hAnsiTheme="minorHAnsi"/>
              <w:color w:val="auto"/>
              <w:kern w:val="2"/>
              <w:lang w:val="en-AU" w:eastAsia="en-AU"/>
              <w14:ligatures w14:val="standardContextual"/>
            </w:rPr>
          </w:pPr>
          <w:hyperlink w:anchor="_Toc236236225" w:history="1">
            <w:r w:rsidRPr="00B20FBE">
              <w:rPr>
                <w:rStyle w:val="Hyperlink"/>
              </w:rPr>
              <w:t>Building the capability of employment service providers to deliver inclusive and responsive services</w:t>
            </w:r>
            <w:r>
              <w:rPr>
                <w:webHidden/>
              </w:rPr>
              <w:tab/>
            </w:r>
            <w:r>
              <w:rPr>
                <w:webHidden/>
              </w:rPr>
              <w:fldChar w:fldCharType="begin"/>
            </w:r>
            <w:r>
              <w:rPr>
                <w:webHidden/>
              </w:rPr>
              <w:instrText xml:space="preserve"> PAGEREF _Toc236236225 \h </w:instrText>
            </w:r>
            <w:r>
              <w:rPr>
                <w:webHidden/>
              </w:rPr>
            </w:r>
            <w:r>
              <w:rPr>
                <w:webHidden/>
              </w:rPr>
              <w:fldChar w:fldCharType="separate"/>
            </w:r>
            <w:r>
              <w:rPr>
                <w:webHidden/>
              </w:rPr>
              <w:t>12</w:t>
            </w:r>
            <w:r>
              <w:rPr>
                <w:webHidden/>
              </w:rPr>
              <w:fldChar w:fldCharType="end"/>
            </w:r>
          </w:hyperlink>
        </w:p>
        <w:p w14:paraId="5AFAE3D4" w14:textId="61F005F0" w:rsidR="00D25904" w:rsidRDefault="00D25904">
          <w:pPr>
            <w:pStyle w:val="TOC1"/>
            <w:rPr>
              <w:rFonts w:asciiTheme="minorHAnsi" w:hAnsiTheme="minorHAnsi"/>
              <w:b w:val="0"/>
              <w:color w:val="auto"/>
              <w:kern w:val="2"/>
              <w:lang w:eastAsia="en-AU"/>
              <w14:ligatures w14:val="standardContextual"/>
            </w:rPr>
          </w:pPr>
          <w:hyperlink w:anchor="_Toc236236226" w:history="1">
            <w:r w:rsidRPr="00B20FBE">
              <w:rPr>
                <w:rStyle w:val="Hyperlink"/>
              </w:rPr>
              <w:t>4</w:t>
            </w:r>
            <w:r>
              <w:rPr>
                <w:rFonts w:asciiTheme="minorHAnsi" w:hAnsiTheme="minorHAnsi"/>
                <w:b w:val="0"/>
                <w:color w:val="auto"/>
                <w:kern w:val="2"/>
                <w:lang w:eastAsia="en-AU"/>
                <w14:ligatures w14:val="standardContextual"/>
              </w:rPr>
              <w:tab/>
            </w:r>
            <w:r w:rsidRPr="00B20FBE">
              <w:rPr>
                <w:rStyle w:val="Hyperlink"/>
              </w:rPr>
              <w:t>Shifting Employer Practices: Demand-Side Reform</w:t>
            </w:r>
            <w:r>
              <w:rPr>
                <w:webHidden/>
              </w:rPr>
              <w:tab/>
            </w:r>
            <w:r>
              <w:rPr>
                <w:webHidden/>
              </w:rPr>
              <w:fldChar w:fldCharType="begin"/>
            </w:r>
            <w:r>
              <w:rPr>
                <w:webHidden/>
              </w:rPr>
              <w:instrText xml:space="preserve"> PAGEREF _Toc236236226 \h </w:instrText>
            </w:r>
            <w:r>
              <w:rPr>
                <w:webHidden/>
              </w:rPr>
            </w:r>
            <w:r>
              <w:rPr>
                <w:webHidden/>
              </w:rPr>
              <w:fldChar w:fldCharType="separate"/>
            </w:r>
            <w:r>
              <w:rPr>
                <w:webHidden/>
              </w:rPr>
              <w:t>14</w:t>
            </w:r>
            <w:r>
              <w:rPr>
                <w:webHidden/>
              </w:rPr>
              <w:fldChar w:fldCharType="end"/>
            </w:r>
          </w:hyperlink>
        </w:p>
        <w:p w14:paraId="66032AF2" w14:textId="0F8471C0" w:rsidR="00D25904" w:rsidRDefault="00D25904">
          <w:pPr>
            <w:pStyle w:val="TOC2"/>
            <w:rPr>
              <w:rFonts w:asciiTheme="minorHAnsi" w:hAnsiTheme="minorHAnsi"/>
              <w:color w:val="auto"/>
              <w:kern w:val="2"/>
              <w:lang w:val="en-AU" w:eastAsia="en-AU"/>
              <w14:ligatures w14:val="standardContextual"/>
            </w:rPr>
          </w:pPr>
          <w:hyperlink w:anchor="_Toc236236227" w:history="1">
            <w:r w:rsidRPr="00B20FBE">
              <w:rPr>
                <w:rStyle w:val="Hyperlink"/>
              </w:rPr>
              <w:t>Reframing employment outcomes as a shared responsibility between employment service providers and employers</w:t>
            </w:r>
            <w:r>
              <w:rPr>
                <w:webHidden/>
              </w:rPr>
              <w:tab/>
            </w:r>
            <w:r>
              <w:rPr>
                <w:webHidden/>
              </w:rPr>
              <w:fldChar w:fldCharType="begin"/>
            </w:r>
            <w:r>
              <w:rPr>
                <w:webHidden/>
              </w:rPr>
              <w:instrText xml:space="preserve"> PAGEREF _Toc236236227 \h </w:instrText>
            </w:r>
            <w:r>
              <w:rPr>
                <w:webHidden/>
              </w:rPr>
            </w:r>
            <w:r>
              <w:rPr>
                <w:webHidden/>
              </w:rPr>
              <w:fldChar w:fldCharType="separate"/>
            </w:r>
            <w:r>
              <w:rPr>
                <w:webHidden/>
              </w:rPr>
              <w:t>14</w:t>
            </w:r>
            <w:r>
              <w:rPr>
                <w:webHidden/>
              </w:rPr>
              <w:fldChar w:fldCharType="end"/>
            </w:r>
          </w:hyperlink>
        </w:p>
        <w:p w14:paraId="22936FDD" w14:textId="6A1287DF" w:rsidR="00D25904" w:rsidRDefault="00D25904">
          <w:pPr>
            <w:pStyle w:val="TOC2"/>
            <w:rPr>
              <w:rFonts w:asciiTheme="minorHAnsi" w:hAnsiTheme="minorHAnsi"/>
              <w:color w:val="auto"/>
              <w:kern w:val="2"/>
              <w:lang w:val="en-AU" w:eastAsia="en-AU"/>
              <w14:ligatures w14:val="standardContextual"/>
            </w:rPr>
          </w:pPr>
          <w:hyperlink w:anchor="_Toc236236228" w:history="1">
            <w:r w:rsidRPr="00B20FBE">
              <w:rPr>
                <w:rStyle w:val="Hyperlink"/>
              </w:rPr>
              <w:t>Strengthening employer obligations and workplace capability</w:t>
            </w:r>
            <w:r>
              <w:rPr>
                <w:webHidden/>
              </w:rPr>
              <w:tab/>
            </w:r>
            <w:r>
              <w:rPr>
                <w:webHidden/>
              </w:rPr>
              <w:fldChar w:fldCharType="begin"/>
            </w:r>
            <w:r>
              <w:rPr>
                <w:webHidden/>
              </w:rPr>
              <w:instrText xml:space="preserve"> PAGEREF _Toc236236228 \h </w:instrText>
            </w:r>
            <w:r>
              <w:rPr>
                <w:webHidden/>
              </w:rPr>
            </w:r>
            <w:r>
              <w:rPr>
                <w:webHidden/>
              </w:rPr>
              <w:fldChar w:fldCharType="separate"/>
            </w:r>
            <w:r>
              <w:rPr>
                <w:webHidden/>
              </w:rPr>
              <w:t>16</w:t>
            </w:r>
            <w:r>
              <w:rPr>
                <w:webHidden/>
              </w:rPr>
              <w:fldChar w:fldCharType="end"/>
            </w:r>
          </w:hyperlink>
        </w:p>
        <w:p w14:paraId="0D3744FC" w14:textId="0E4A2ACF" w:rsidR="00D25904" w:rsidRDefault="00D25904">
          <w:pPr>
            <w:pStyle w:val="TOC2"/>
            <w:rPr>
              <w:rFonts w:asciiTheme="minorHAnsi" w:hAnsiTheme="minorHAnsi"/>
              <w:color w:val="auto"/>
              <w:kern w:val="2"/>
              <w:lang w:val="en-AU" w:eastAsia="en-AU"/>
              <w14:ligatures w14:val="standardContextual"/>
            </w:rPr>
          </w:pPr>
          <w:hyperlink w:anchor="_Toc236236229" w:history="1">
            <w:r w:rsidRPr="00B20FBE">
              <w:rPr>
                <w:rStyle w:val="Hyperlink"/>
              </w:rPr>
              <w:t>Addressing the structural exclusion of older Australians</w:t>
            </w:r>
            <w:r>
              <w:rPr>
                <w:webHidden/>
              </w:rPr>
              <w:tab/>
            </w:r>
            <w:r>
              <w:rPr>
                <w:webHidden/>
              </w:rPr>
              <w:fldChar w:fldCharType="begin"/>
            </w:r>
            <w:r>
              <w:rPr>
                <w:webHidden/>
              </w:rPr>
              <w:instrText xml:space="preserve"> PAGEREF _Toc236236229 \h </w:instrText>
            </w:r>
            <w:r>
              <w:rPr>
                <w:webHidden/>
              </w:rPr>
            </w:r>
            <w:r>
              <w:rPr>
                <w:webHidden/>
              </w:rPr>
              <w:fldChar w:fldCharType="separate"/>
            </w:r>
            <w:r>
              <w:rPr>
                <w:webHidden/>
              </w:rPr>
              <w:t>17</w:t>
            </w:r>
            <w:r>
              <w:rPr>
                <w:webHidden/>
              </w:rPr>
              <w:fldChar w:fldCharType="end"/>
            </w:r>
          </w:hyperlink>
        </w:p>
        <w:p w14:paraId="1C5E26E7" w14:textId="4A2D6723" w:rsidR="00D25904" w:rsidRDefault="00D25904">
          <w:pPr>
            <w:pStyle w:val="TOC1"/>
            <w:rPr>
              <w:rFonts w:asciiTheme="minorHAnsi" w:hAnsiTheme="minorHAnsi"/>
              <w:b w:val="0"/>
              <w:color w:val="auto"/>
              <w:kern w:val="2"/>
              <w:lang w:eastAsia="en-AU"/>
              <w14:ligatures w14:val="standardContextual"/>
            </w:rPr>
          </w:pPr>
          <w:hyperlink w:anchor="_Toc236236230" w:history="1">
            <w:r w:rsidRPr="00B20FBE">
              <w:rPr>
                <w:rStyle w:val="Hyperlink"/>
              </w:rPr>
              <w:t>Endnotes</w:t>
            </w:r>
            <w:r>
              <w:rPr>
                <w:webHidden/>
              </w:rPr>
              <w:tab/>
            </w:r>
            <w:r>
              <w:rPr>
                <w:webHidden/>
              </w:rPr>
              <w:fldChar w:fldCharType="begin"/>
            </w:r>
            <w:r>
              <w:rPr>
                <w:webHidden/>
              </w:rPr>
              <w:instrText xml:space="preserve"> PAGEREF _Toc236236230 \h </w:instrText>
            </w:r>
            <w:r>
              <w:rPr>
                <w:webHidden/>
              </w:rPr>
            </w:r>
            <w:r>
              <w:rPr>
                <w:webHidden/>
              </w:rPr>
              <w:fldChar w:fldCharType="separate"/>
            </w:r>
            <w:r>
              <w:rPr>
                <w:webHidden/>
              </w:rPr>
              <w:t>20</w:t>
            </w:r>
            <w:r>
              <w:rPr>
                <w:webHidden/>
              </w:rPr>
              <w:fldChar w:fldCharType="end"/>
            </w:r>
          </w:hyperlink>
        </w:p>
        <w:p w14:paraId="01A899BA" w14:textId="63073DF6" w:rsidR="00AA0C6A" w:rsidRPr="004C0B7E" w:rsidRDefault="0069742B" w:rsidP="00C214AA">
          <w:pPr>
            <w:pStyle w:val="TOC1"/>
          </w:pPr>
          <w:r>
            <w:rPr>
              <w:b w:val="0"/>
              <w:sz w:val="22"/>
            </w:rPr>
            <w:fldChar w:fldCharType="end"/>
          </w:r>
        </w:p>
      </w:sdtContent>
    </w:sdt>
    <w:p w14:paraId="3C1E2007" w14:textId="77777777" w:rsidR="00FE19D1" w:rsidRPr="00893A0F" w:rsidRDefault="00A11470" w:rsidP="00C214AA">
      <w:pPr>
        <w:pStyle w:val="Frontmatter"/>
      </w:pPr>
      <w:r w:rsidRPr="00893A0F">
        <w:t>Australian Human Rights Commission</w:t>
      </w:r>
      <w:r w:rsidR="00FE19D1" w:rsidRPr="00893A0F">
        <w:t xml:space="preserve"> </w:t>
      </w:r>
      <w:hyperlink r:id="rId15" w:history="1">
        <w:r w:rsidR="00FE19D1" w:rsidRPr="00893A0F">
          <w:rPr>
            <w:rStyle w:val="Hyperlink"/>
            <w:sz w:val="22"/>
          </w:rPr>
          <w:t>www.humanrights.gov.au</w:t>
        </w:r>
      </w:hyperlink>
      <w:r w:rsidR="00FE19D1" w:rsidRPr="00893A0F">
        <w:t xml:space="preserve"> </w:t>
      </w:r>
    </w:p>
    <w:p w14:paraId="6ABF93DE" w14:textId="77777777" w:rsidR="00FF6AEC" w:rsidRPr="00893A0F" w:rsidRDefault="00A11470" w:rsidP="00C214AA">
      <w:pPr>
        <w:pStyle w:val="Frontmatter"/>
      </w:pPr>
      <w:r w:rsidRPr="00893A0F">
        <w:t>ABN</w:t>
      </w:r>
      <w:r w:rsidR="00D81BD3" w:rsidRPr="00893A0F">
        <w:t xml:space="preserve"> 47 996 232 602</w:t>
      </w:r>
    </w:p>
    <w:p w14:paraId="5298A375" w14:textId="77777777" w:rsidR="00601842" w:rsidRPr="00893A0F" w:rsidRDefault="00D81BD3" w:rsidP="00C214AA">
      <w:pPr>
        <w:pStyle w:val="Frontmatter"/>
      </w:pPr>
      <w:r w:rsidRPr="00893A0F">
        <w:t xml:space="preserve">Level 3, 175 </w:t>
      </w:r>
      <w:r w:rsidR="00601842" w:rsidRPr="00893A0F">
        <w:t>Pitt Street, Sydney NSW 2000</w:t>
      </w:r>
      <w:r w:rsidR="00601842" w:rsidRPr="00893A0F">
        <w:br/>
        <w:t>GPO Box 5218 Sydney NSW 2001</w:t>
      </w:r>
    </w:p>
    <w:p w14:paraId="44C3AA5A" w14:textId="77777777" w:rsidR="009E6F98" w:rsidRPr="00893A0F" w:rsidRDefault="00FF6AEC" w:rsidP="00C214AA">
      <w:pPr>
        <w:pStyle w:val="Frontmatter"/>
      </w:pPr>
      <w:r w:rsidRPr="00893A0F">
        <w:t>For general enquiries, call us on 1300 369 711.</w:t>
      </w:r>
      <w:r w:rsidR="009E6F98" w:rsidRPr="00893A0F">
        <w:br/>
      </w:r>
      <w:r w:rsidRPr="00893A0F">
        <w:t>For complaints, call us on 1300 656 419</w:t>
      </w:r>
      <w:r w:rsidR="009E6F98" w:rsidRPr="00893A0F">
        <w:t>.</w:t>
      </w:r>
      <w:r w:rsidR="00FA2B1D" w:rsidRPr="00893A0F">
        <w:br/>
      </w:r>
      <w:r w:rsidR="009E6F98" w:rsidRPr="00893A0F">
        <w:t xml:space="preserve">For TTY, call </w:t>
      </w:r>
      <w:r w:rsidR="006F384B" w:rsidRPr="00893A0F">
        <w:t>1800 620 241.</w:t>
      </w:r>
    </w:p>
    <w:p w14:paraId="216B1949" w14:textId="77777777" w:rsidR="00A11470" w:rsidRPr="00FD0E91" w:rsidRDefault="00A11470" w:rsidP="00C214AA">
      <w:pPr>
        <w:pStyle w:val="Frontmatter"/>
      </w:pPr>
    </w:p>
    <w:p w14:paraId="24B5D026" w14:textId="77777777" w:rsidR="006842BC" w:rsidRDefault="006842BC" w:rsidP="00295318">
      <w:pPr>
        <w:pStyle w:val="Frontmatter"/>
      </w:pPr>
    </w:p>
    <w:p w14:paraId="6DFF1858" w14:textId="77777777" w:rsidR="006842BC" w:rsidRDefault="006842BC">
      <w:pPr>
        <w:numPr>
          <w:ilvl w:val="0"/>
          <w:numId w:val="0"/>
        </w:numPr>
        <w:spacing w:before="0" w:after="160" w:line="278" w:lineRule="auto"/>
        <w:rPr>
          <w:szCs w:val="22"/>
        </w:rPr>
      </w:pPr>
      <w:r>
        <w:br w:type="page"/>
      </w:r>
    </w:p>
    <w:p w14:paraId="6E55E04D" w14:textId="77777777" w:rsidR="006842BC" w:rsidRDefault="006842BC" w:rsidP="006842BC">
      <w:pPr>
        <w:pStyle w:val="Heading3"/>
      </w:pPr>
    </w:p>
    <w:p w14:paraId="6F8ADF62" w14:textId="77777777" w:rsidR="006D0CA3" w:rsidRPr="00F72720" w:rsidRDefault="006D0CA3" w:rsidP="00F72720">
      <w:pPr>
        <w:pStyle w:val="Heading3"/>
      </w:pPr>
      <w:r w:rsidRPr="00F72720">
        <w:t xml:space="preserve">Acknowledgement of Country </w:t>
      </w:r>
    </w:p>
    <w:p w14:paraId="3DA8A4B8" w14:textId="77777777" w:rsidR="006D0CA3" w:rsidRPr="006D0CA3" w:rsidRDefault="006D0CA3" w:rsidP="00F72720">
      <w:pPr>
        <w:numPr>
          <w:ilvl w:val="0"/>
          <w:numId w:val="0"/>
        </w:numPr>
        <w:rPr>
          <w:rFonts w:eastAsiaTheme="majorEastAsia"/>
        </w:rPr>
      </w:pPr>
      <w:r w:rsidRPr="006D0CA3">
        <w:rPr>
          <w:rFonts w:eastAsiaTheme="majorEastAsia"/>
        </w:rPr>
        <w:t xml:space="preserve">The Australian Human Rights Commission acknowledges the Traditional Custodians of Country throughout Australia, and recognise their continuing connection to land, waters and culture. We pay our respects to their Elders – past and present. </w:t>
      </w:r>
    </w:p>
    <w:p w14:paraId="09C3F2E6" w14:textId="77777777" w:rsidR="006842BC" w:rsidRDefault="006842BC" w:rsidP="006842BC">
      <w:pPr>
        <w:pStyle w:val="Heading3"/>
      </w:pPr>
    </w:p>
    <w:p w14:paraId="3D4A230B" w14:textId="77777777" w:rsidR="006842BC" w:rsidRPr="00365FFF" w:rsidRDefault="006842BC" w:rsidP="006842BC">
      <w:pPr>
        <w:pStyle w:val="Heading3"/>
      </w:pPr>
      <w:r w:rsidRPr="00365FFF">
        <w:t>About the Australian Human Rights Commission</w:t>
      </w:r>
    </w:p>
    <w:p w14:paraId="602F2D64" w14:textId="77777777" w:rsidR="000B6461" w:rsidRDefault="000B6461" w:rsidP="006842BC">
      <w:pPr>
        <w:pStyle w:val="Frontmatter"/>
      </w:pPr>
      <w:r w:rsidRPr="000B6461">
        <w:t>Our vision for Australia is one where everyone can live free and equal in dignity and rights as part of a strong, healthy democratic society.</w:t>
      </w:r>
    </w:p>
    <w:p w14:paraId="0CED51B6" w14:textId="77777777" w:rsidR="006842BC" w:rsidRPr="002D7DA0" w:rsidRDefault="00F347EC" w:rsidP="006842BC">
      <w:pPr>
        <w:pStyle w:val="Frontmatter"/>
      </w:pPr>
      <w:r>
        <w:t>We have</w:t>
      </w:r>
      <w:r w:rsidR="006842BC" w:rsidRPr="002D7DA0">
        <w:t xml:space="preserve"> </w:t>
      </w:r>
      <w:r w:rsidR="000B6461">
        <w:t>4 core</w:t>
      </w:r>
      <w:r w:rsidR="006842BC" w:rsidRPr="002D7DA0">
        <w:t xml:space="preserve"> functions</w:t>
      </w:r>
      <w:r w:rsidR="000B6461">
        <w:t xml:space="preserve"> under our legislation</w:t>
      </w:r>
      <w:r w:rsidR="006842BC" w:rsidRPr="002D7DA0">
        <w:t>:</w:t>
      </w:r>
    </w:p>
    <w:p w14:paraId="07647AAD" w14:textId="77777777" w:rsidR="006842BC" w:rsidRPr="002D7DA0" w:rsidRDefault="006842BC" w:rsidP="005F243E">
      <w:pPr>
        <w:pStyle w:val="Frontmatter"/>
        <w:ind w:left="720" w:hanging="720"/>
      </w:pPr>
      <w:r w:rsidRPr="002D7DA0">
        <w:t>•</w:t>
      </w:r>
      <w:r w:rsidRPr="002D7DA0">
        <w:tab/>
        <w:t>Access to justice: We help people to resolve complaints of discrimination and human rights</w:t>
      </w:r>
      <w:r w:rsidR="00E11EA5">
        <w:t xml:space="preserve"> breaches</w:t>
      </w:r>
      <w:r w:rsidR="000B6461">
        <w:t xml:space="preserve"> through our complaint handling services</w:t>
      </w:r>
      <w:r w:rsidRPr="002D7DA0">
        <w:t>.</w:t>
      </w:r>
    </w:p>
    <w:p w14:paraId="34C3043B" w14:textId="77777777" w:rsidR="006842BC" w:rsidRPr="002D7DA0" w:rsidRDefault="006842BC" w:rsidP="005F243E">
      <w:pPr>
        <w:pStyle w:val="Frontmatter"/>
        <w:ind w:left="720" w:hanging="720"/>
      </w:pPr>
      <w:r w:rsidRPr="002D7DA0">
        <w:t>•</w:t>
      </w:r>
      <w:r w:rsidRPr="002D7DA0">
        <w:tab/>
        <w:t>Fairer laws, policies and practices: We review existing and proposed laws, policies and practices and provide expert advice on how they can better protect people’s human rights. We help organisations to protect human rights in their work. We publish reports on human rights problems and how to fix them.</w:t>
      </w:r>
    </w:p>
    <w:p w14:paraId="38862CEB" w14:textId="77777777" w:rsidR="006842BC" w:rsidRPr="002D7DA0" w:rsidRDefault="006842BC" w:rsidP="005F243E">
      <w:pPr>
        <w:pStyle w:val="Frontmatter"/>
        <w:ind w:left="720" w:hanging="720"/>
      </w:pPr>
      <w:r w:rsidRPr="002D7DA0">
        <w:t>•</w:t>
      </w:r>
      <w:r w:rsidRPr="002D7DA0">
        <w:tab/>
        <w:t xml:space="preserve">Education and understanding: We </w:t>
      </w:r>
      <w:r>
        <w:t>promote</w:t>
      </w:r>
      <w:r w:rsidRPr="002D7DA0">
        <w:t xml:space="preserve"> understanding, acceptance and public discussion of human rights. We deliver workplace and community human rights education and training.</w:t>
      </w:r>
    </w:p>
    <w:p w14:paraId="0E75F2EA" w14:textId="77777777" w:rsidR="006842BC" w:rsidRPr="002D7DA0" w:rsidRDefault="006842BC" w:rsidP="005F243E">
      <w:pPr>
        <w:pStyle w:val="Frontmatter"/>
        <w:ind w:left="720" w:hanging="720"/>
      </w:pPr>
      <w:r w:rsidRPr="002D7DA0">
        <w:t>•</w:t>
      </w:r>
      <w:r w:rsidRPr="002D7DA0">
        <w:tab/>
        <w:t>Compliance: We are the regulator for positive duty laws requiring employers and others to address sexual harassment, sex discrimination and other unlawful conduct.</w:t>
      </w:r>
    </w:p>
    <w:p w14:paraId="5DF4AFAE" w14:textId="77777777" w:rsidR="006842BC" w:rsidRDefault="006842BC" w:rsidP="006842BC">
      <w:pPr>
        <w:pStyle w:val="Frontmatter"/>
      </w:pPr>
    </w:p>
    <w:p w14:paraId="0F049AA7" w14:textId="77777777" w:rsidR="006842BC" w:rsidRDefault="006842BC" w:rsidP="006842BC">
      <w:pPr>
        <w:pStyle w:val="Frontmatter"/>
      </w:pPr>
    </w:p>
    <w:p w14:paraId="3EADB67C" w14:textId="77777777" w:rsidR="006842BC" w:rsidRPr="00893A0F" w:rsidRDefault="006842BC" w:rsidP="006842BC">
      <w:pPr>
        <w:pStyle w:val="Frontmatter"/>
      </w:pPr>
      <w:r w:rsidRPr="00893A0F">
        <w:t xml:space="preserve">Australian Human Rights Commission </w:t>
      </w:r>
      <w:hyperlink r:id="rId16" w:history="1">
        <w:r w:rsidRPr="00893A0F">
          <w:rPr>
            <w:rStyle w:val="Hyperlink"/>
            <w:sz w:val="22"/>
          </w:rPr>
          <w:t>www.humanrights.gov.au</w:t>
        </w:r>
      </w:hyperlink>
      <w:r w:rsidRPr="00893A0F">
        <w:t xml:space="preserve"> </w:t>
      </w:r>
    </w:p>
    <w:p w14:paraId="293E8745" w14:textId="77777777" w:rsidR="006842BC" w:rsidRPr="00893A0F" w:rsidRDefault="006842BC" w:rsidP="006842BC">
      <w:pPr>
        <w:pStyle w:val="Frontmatter"/>
      </w:pPr>
      <w:r w:rsidRPr="00893A0F">
        <w:t>ABN 47 996 232 602</w:t>
      </w:r>
    </w:p>
    <w:p w14:paraId="5ED81BD6" w14:textId="77777777" w:rsidR="006842BC" w:rsidRPr="00893A0F" w:rsidRDefault="006842BC" w:rsidP="006842BC">
      <w:pPr>
        <w:pStyle w:val="Frontmatter"/>
      </w:pPr>
      <w:r w:rsidRPr="00893A0F">
        <w:t>GPO Box 5218 Sydney NSW 2001</w:t>
      </w:r>
    </w:p>
    <w:p w14:paraId="23B0BC4E" w14:textId="77777777" w:rsidR="006842BC" w:rsidRPr="00893A0F" w:rsidRDefault="006842BC" w:rsidP="006842BC">
      <w:pPr>
        <w:pStyle w:val="Frontmatter"/>
      </w:pPr>
      <w:r w:rsidRPr="00893A0F">
        <w:t>For general enquiries, call us on 1300 369 711.</w:t>
      </w:r>
      <w:r w:rsidRPr="00893A0F">
        <w:br/>
        <w:t>For complaints, call us on 1300 656 419.</w:t>
      </w:r>
      <w:r w:rsidRPr="00893A0F">
        <w:br/>
        <w:t>For TTY, call 1800 620 241.</w:t>
      </w:r>
    </w:p>
    <w:p w14:paraId="4E34D4D3" w14:textId="77777777" w:rsidR="006842BC" w:rsidRPr="00FD0E91" w:rsidRDefault="006842BC" w:rsidP="006842BC">
      <w:pPr>
        <w:pStyle w:val="Frontmatter"/>
      </w:pPr>
    </w:p>
    <w:p w14:paraId="5BD59059" w14:textId="77777777" w:rsidR="006842BC" w:rsidRDefault="006842BC" w:rsidP="00295318">
      <w:pPr>
        <w:pStyle w:val="Frontmatter"/>
      </w:pPr>
    </w:p>
    <w:p w14:paraId="2B0F7D2D" w14:textId="77777777" w:rsidR="006842BC" w:rsidRDefault="006842BC">
      <w:pPr>
        <w:numPr>
          <w:ilvl w:val="0"/>
          <w:numId w:val="0"/>
        </w:numPr>
        <w:spacing w:before="0" w:after="160" w:line="278" w:lineRule="auto"/>
        <w:rPr>
          <w:szCs w:val="22"/>
        </w:rPr>
      </w:pPr>
      <w:r>
        <w:lastRenderedPageBreak/>
        <w:br w:type="page"/>
      </w:r>
    </w:p>
    <w:bookmarkStart w:id="0" w:name="_Toc236236217" w:displacedByCustomXml="next"/>
    <w:sdt>
      <w:sdtPr>
        <w:id w:val="-1881473845"/>
        <w:placeholder>
          <w:docPart w:val="885683BD63C34DA193EF3FFFBC40A31F"/>
        </w:placeholder>
        <w:dataBinding w:prefixMappings="xmlns:ns0='http://AHRCheadings.htm' " w:xpath="/ns0:headings[1]/ns0:Overview[1]" w:storeItemID="{59E40458-85DB-4B58-AD7F-ED1E21A92441}"/>
        <w:text/>
      </w:sdtPr>
      <w:sdtEndPr/>
      <w:sdtContent>
        <w:p w14:paraId="58741FCB" w14:textId="77777777" w:rsidR="004024FD" w:rsidRPr="0036451C" w:rsidRDefault="004868AC" w:rsidP="00BC2634">
          <w:pPr>
            <w:pStyle w:val="Heading1unnumbered"/>
            <w:ind w:left="0" w:firstLine="0"/>
          </w:pPr>
          <w:r>
            <w:t>Executive summary</w:t>
          </w:r>
        </w:p>
      </w:sdtContent>
    </w:sdt>
    <w:bookmarkEnd w:id="0" w:displacedByCustomXml="prev"/>
    <w:p w14:paraId="79F49458" w14:textId="77777777" w:rsidR="0076477B" w:rsidRDefault="00323D1C" w:rsidP="0076477B">
      <w:r>
        <w:t xml:space="preserve">The Australian Human Rights Commission (Commission) welcomes the opportunity to provide this submission to the Department of Employment and Workplace Relations’ (the Department) consultation on the </w:t>
      </w:r>
      <w:r>
        <w:rPr>
          <w:i/>
          <w:iCs/>
        </w:rPr>
        <w:t>Shaping the future of employment services</w:t>
      </w:r>
      <w:r>
        <w:t xml:space="preserve"> discussion paper.</w:t>
      </w:r>
    </w:p>
    <w:p w14:paraId="3A366728" w14:textId="5F86B509" w:rsidR="1A6C487D" w:rsidRDefault="00323D1C">
      <w:r>
        <w:t xml:space="preserve">The Commission </w:t>
      </w:r>
      <w:r w:rsidR="1A6C487D">
        <w:t xml:space="preserve">has a </w:t>
      </w:r>
      <w:r w:rsidR="00C159AF">
        <w:t>long-standing</w:t>
      </w:r>
      <w:r w:rsidR="1A6C487D">
        <w:t xml:space="preserve"> commitment to ending discrimination in the workplace that inhibits the </w:t>
      </w:r>
      <w:r w:rsidR="6821FEB5">
        <w:t>recruitment</w:t>
      </w:r>
      <w:r w:rsidR="1A6C487D">
        <w:t xml:space="preserve"> and ret</w:t>
      </w:r>
      <w:r w:rsidR="59D5297B">
        <w:t>ent</w:t>
      </w:r>
      <w:r w:rsidR="1A6C487D">
        <w:t>ion of pe</w:t>
      </w:r>
      <w:r w:rsidR="4433C622">
        <w:t xml:space="preserve">ople, </w:t>
      </w:r>
      <w:r w:rsidR="00682007">
        <w:t>and especially</w:t>
      </w:r>
      <w:r w:rsidR="397A8520">
        <w:t xml:space="preserve"> discrimination based on age, </w:t>
      </w:r>
      <w:r w:rsidR="4DD5459C">
        <w:t>disability,</w:t>
      </w:r>
      <w:r w:rsidR="397A8520">
        <w:t xml:space="preserve"> race or gender. </w:t>
      </w:r>
      <w:r w:rsidR="00D96E8E">
        <w:t xml:space="preserve">We </w:t>
      </w:r>
      <w:r w:rsidR="6C1FB024">
        <w:t>ha</w:t>
      </w:r>
      <w:r w:rsidR="00D96E8E">
        <w:t>ve</w:t>
      </w:r>
      <w:r w:rsidR="6C1FB024">
        <w:t xml:space="preserve"> extensive work underway to </w:t>
      </w:r>
      <w:r w:rsidR="5F6705FC">
        <w:t>remove discrimination against older workers and workers with disability a</w:t>
      </w:r>
      <w:r w:rsidR="37A9F557">
        <w:t>n</w:t>
      </w:r>
      <w:r w:rsidR="5F6705FC">
        <w:t>d to</w:t>
      </w:r>
      <w:r w:rsidR="0CFAEC48">
        <w:t xml:space="preserve"> create inclusive</w:t>
      </w:r>
      <w:r w:rsidR="39F1AE0D">
        <w:t>, produc</w:t>
      </w:r>
      <w:r w:rsidR="1D1AAB61">
        <w:t>t</w:t>
      </w:r>
      <w:r w:rsidR="39F1AE0D">
        <w:t xml:space="preserve">ive </w:t>
      </w:r>
      <w:r w:rsidR="0CFAEC48">
        <w:t>workplaces across Australia.</w:t>
      </w:r>
    </w:p>
    <w:p w14:paraId="36EBFFDC" w14:textId="7006E5C7" w:rsidR="00323D1C" w:rsidRDefault="00A423FE" w:rsidP="00323D1C">
      <w:r>
        <w:t>We</w:t>
      </w:r>
      <w:r w:rsidR="00323D1C">
        <w:t xml:space="preserve"> support the vision of the discussion paper to create a more effective and responsive employment services system. </w:t>
      </w:r>
      <w:r w:rsidR="00AE1A19">
        <w:t>A</w:t>
      </w:r>
      <w:r w:rsidR="00323D1C">
        <w:t>chieving inclusive and sustainable employment outcomes for mature-age workers and workers with disability requires service delivery models that recognise</w:t>
      </w:r>
      <w:r w:rsidR="475304E1">
        <w:t>s</w:t>
      </w:r>
      <w:r w:rsidR="00323D1C">
        <w:t xml:space="preserve"> their skills, </w:t>
      </w:r>
      <w:r w:rsidR="005166AC">
        <w:t>remove</w:t>
      </w:r>
      <w:r w:rsidR="53A6ED5B">
        <w:t>s</w:t>
      </w:r>
      <w:r w:rsidR="005166AC">
        <w:t xml:space="preserve"> barriers to </w:t>
      </w:r>
      <w:r w:rsidR="001920CB">
        <w:t>participation in employment</w:t>
      </w:r>
      <w:r w:rsidR="00323D1C">
        <w:t xml:space="preserve"> and protects them from discrimination.</w:t>
      </w:r>
    </w:p>
    <w:p w14:paraId="16C3798F" w14:textId="0E95D440" w:rsidR="00323D1C" w:rsidRDefault="00323D1C" w:rsidP="0076477B">
      <w:r>
        <w:t xml:space="preserve">This submission identifies critical areas where reform of employment service settings </w:t>
      </w:r>
      <w:r w:rsidR="00787628">
        <w:t>can</w:t>
      </w:r>
      <w:r>
        <w:t xml:space="preserve"> meaningfully improve outcomes for </w:t>
      </w:r>
      <w:r w:rsidR="00A423FE">
        <w:t xml:space="preserve">workers, with a focus on </w:t>
      </w:r>
      <w:r>
        <w:t>older workers and people with disability.</w:t>
      </w:r>
    </w:p>
    <w:p w14:paraId="641B263C" w14:textId="4FCE965F" w:rsidR="003A13AA" w:rsidRDefault="003A13AA" w:rsidP="0076477B">
      <w:r>
        <w:t xml:space="preserve">Central to this submission is the view that discrimination law reform and targeted investment in employer capability are essential to building workplaces that are inclusive and accessible. </w:t>
      </w:r>
      <w:r w:rsidR="00A423FE">
        <w:t>This submission</w:t>
      </w:r>
      <w:r>
        <w:t xml:space="preserve"> emphasises that employment services cannot deliver sustainable outcomes for job seekers without a parallel commitment to addressing the demand-side conditions that continue to exclude older workers and people with disability from meaningful employment.</w:t>
      </w:r>
    </w:p>
    <w:p w14:paraId="0096A9FC" w14:textId="77777777" w:rsidR="004024FD" w:rsidRDefault="008E6114" w:rsidP="00F774CB">
      <w:pPr>
        <w:pStyle w:val="Heading2"/>
      </w:pPr>
      <w:bookmarkStart w:id="1" w:name="_Toc236236218"/>
      <w:r w:rsidRPr="40FC4559">
        <w:t>Recommendations</w:t>
      </w:r>
      <w:bookmarkEnd w:id="1"/>
    </w:p>
    <w:p w14:paraId="2F03E863" w14:textId="3CACB475" w:rsidR="006B6CA2" w:rsidRPr="000D328F" w:rsidRDefault="006B6CA2" w:rsidP="006B6CA2">
      <w:r>
        <w:t>The Commission makes the following recommendations.</w:t>
      </w:r>
    </w:p>
    <w:tbl>
      <w:tblPr>
        <w:tblStyle w:val="AHRCtable"/>
        <w:tblW w:w="5000" w:type="pct"/>
        <w:tblLook w:val="04A0" w:firstRow="1" w:lastRow="0" w:firstColumn="1" w:lastColumn="0" w:noHBand="0" w:noVBand="1"/>
      </w:tblPr>
      <w:tblGrid>
        <w:gridCol w:w="9026"/>
      </w:tblGrid>
      <w:tr w:rsidR="007A7B9C" w14:paraId="7329070B" w14:textId="77777777" w:rsidTr="007A7B9C">
        <w:trPr>
          <w:cnfStyle w:val="100000000000" w:firstRow="1" w:lastRow="0" w:firstColumn="0" w:lastColumn="0" w:oddVBand="0" w:evenVBand="0" w:oddHBand="0" w:evenHBand="0" w:firstRowFirstColumn="0" w:firstRowLastColumn="0" w:lastRowFirstColumn="0" w:lastRowLastColumn="0"/>
        </w:trPr>
        <w:tc>
          <w:tcPr>
            <w:tcW w:w="5000" w:type="pct"/>
          </w:tcPr>
          <w:p w14:paraId="43F6EE84" w14:textId="77777777" w:rsidR="007A7B9C" w:rsidRDefault="007A7B9C" w:rsidP="00D20DC1">
            <w:pPr>
              <w:pStyle w:val="Tableheading"/>
            </w:pPr>
            <w:r>
              <w:t>Recommendation</w:t>
            </w:r>
            <w:r w:rsidR="000737E1">
              <w:t>s</w:t>
            </w:r>
          </w:p>
        </w:tc>
      </w:tr>
      <w:tr w:rsidR="006B6CA2" w14:paraId="08A337C4" w14:textId="77777777" w:rsidTr="007A7B9C">
        <w:tblPrEx>
          <w:tblCellMar>
            <w:top w:w="0" w:type="dxa"/>
          </w:tblCellMar>
        </w:tblPrEx>
        <w:tc>
          <w:tcPr>
            <w:tcW w:w="5000" w:type="pct"/>
          </w:tcPr>
          <w:p w14:paraId="0800254A" w14:textId="753A646B" w:rsidR="006B6CA2" w:rsidRDefault="00E73C87" w:rsidP="006B6CA2">
            <w:pPr>
              <w:pStyle w:val="Tablelistnumbers"/>
            </w:pPr>
            <w:r w:rsidRPr="00E73C87">
              <w:t>The Department extend post-placement monitoring protocols to capture a broader range of job quality indicators at 12, 26 and 52 weeks post-placement. Current measures should be expanded to include access to training and professional development, adequacy of workplace adjustments, and hours worked relative to hours desired.</w:t>
            </w:r>
          </w:p>
        </w:tc>
      </w:tr>
      <w:tr w:rsidR="006B6CA2" w14:paraId="0941395C" w14:textId="77777777" w:rsidTr="007A7B9C">
        <w:tblPrEx>
          <w:tblCellMar>
            <w:top w:w="0" w:type="dxa"/>
          </w:tblCellMar>
        </w:tblPrEx>
        <w:tc>
          <w:tcPr>
            <w:tcW w:w="5000" w:type="pct"/>
          </w:tcPr>
          <w:p w14:paraId="789F104C" w14:textId="57CE90CC" w:rsidR="006B6CA2" w:rsidRPr="00B21331" w:rsidRDefault="00F9040D" w:rsidP="006932AB">
            <w:pPr>
              <w:pStyle w:val="Tablelistnumbers"/>
            </w:pPr>
            <w:r w:rsidRPr="00213447">
              <w:t>The Department provide targeted training to employment service providers to ensure the experiences of discrimination faced by job seekers are recognised as structural barriers.</w:t>
            </w:r>
          </w:p>
        </w:tc>
      </w:tr>
      <w:tr w:rsidR="006932AB" w14:paraId="55D446F7" w14:textId="77777777" w:rsidTr="007A7B9C">
        <w:tblPrEx>
          <w:tblCellMar>
            <w:top w:w="0" w:type="dxa"/>
          </w:tblCellMar>
        </w:tblPrEx>
        <w:tc>
          <w:tcPr>
            <w:tcW w:w="5000" w:type="pct"/>
          </w:tcPr>
          <w:p w14:paraId="26423ABE" w14:textId="2E1507C7" w:rsidR="006932AB" w:rsidRDefault="00412E6B" w:rsidP="006932AB">
            <w:pPr>
              <w:pStyle w:val="Tablelistnumbers"/>
            </w:pPr>
            <w:r w:rsidRPr="006932AB">
              <w:lastRenderedPageBreak/>
              <w:t xml:space="preserve">The Department expand wraparound support guidelines to incorporate referral pathways to affordable care services for </w:t>
            </w:r>
            <w:r w:rsidR="32B631FB">
              <w:t xml:space="preserve">workers </w:t>
            </w:r>
            <w:r w:rsidRPr="006932AB">
              <w:t>with care responsibilities.</w:t>
            </w:r>
          </w:p>
        </w:tc>
      </w:tr>
      <w:tr w:rsidR="006D519E" w14:paraId="3A32DD05" w14:textId="77777777" w:rsidTr="007A7B9C">
        <w:tblPrEx>
          <w:tblCellMar>
            <w:top w:w="0" w:type="dxa"/>
          </w:tblCellMar>
        </w:tblPrEx>
        <w:tc>
          <w:tcPr>
            <w:tcW w:w="5000" w:type="pct"/>
          </w:tcPr>
          <w:p w14:paraId="04873ABD" w14:textId="77777777" w:rsidR="00CF2A8F" w:rsidRDefault="00CF2A8F" w:rsidP="00CF2A8F">
            <w:pPr>
              <w:pStyle w:val="Tablelistnumbers"/>
            </w:pPr>
            <w:r>
              <w:t>T</w:t>
            </w:r>
            <w:r w:rsidRPr="00074DFF">
              <w:t>he</w:t>
            </w:r>
            <w:r>
              <w:t xml:space="preserve"> Australian Government reform:</w:t>
            </w:r>
          </w:p>
          <w:p w14:paraId="5DD3A333" w14:textId="3FEAC438" w:rsidR="00493639" w:rsidRDefault="00493639" w:rsidP="00493639">
            <w:pPr>
              <w:pStyle w:val="Tablelistnumbers"/>
              <w:numPr>
                <w:ilvl w:val="0"/>
                <w:numId w:val="38"/>
              </w:numPr>
            </w:pPr>
            <w:r>
              <w:t xml:space="preserve">The </w:t>
            </w:r>
            <w:r w:rsidR="00CF2A8F" w:rsidRPr="00074DFF">
              <w:rPr>
                <w:i/>
              </w:rPr>
              <w:t xml:space="preserve">Age Discrimination Act 2004 </w:t>
            </w:r>
            <w:r w:rsidR="00CF2A8F" w:rsidRPr="00074DFF">
              <w:t>(Cth),</w:t>
            </w:r>
            <w:r w:rsidR="00CF2A8F" w:rsidRPr="00074DFF">
              <w:rPr>
                <w:i/>
              </w:rPr>
              <w:t xml:space="preserve"> </w:t>
            </w:r>
            <w:r w:rsidR="00CF2A8F" w:rsidRPr="00074DFF">
              <w:t xml:space="preserve">the </w:t>
            </w:r>
            <w:r w:rsidR="00CF2A8F" w:rsidRPr="00074DFF">
              <w:rPr>
                <w:i/>
              </w:rPr>
              <w:t>Disability Discrimination Act 1992</w:t>
            </w:r>
            <w:r w:rsidR="00CF2A8F" w:rsidRPr="00074DFF">
              <w:t xml:space="preserve"> (Cth), and the </w:t>
            </w:r>
            <w:r w:rsidR="00CF2A8F" w:rsidRPr="00074DFF">
              <w:rPr>
                <w:i/>
              </w:rPr>
              <w:t xml:space="preserve">Racial Discrimination Act </w:t>
            </w:r>
            <w:r w:rsidR="00CF2A8F" w:rsidRPr="00074DFF">
              <w:t>1975 (Cth) by introducing a positive duty to prevent and eliminate all forms of discrimination in employment.</w:t>
            </w:r>
          </w:p>
          <w:p w14:paraId="4BB3578F" w14:textId="2C862163" w:rsidR="006D519E" w:rsidRDefault="00493639" w:rsidP="00493639">
            <w:pPr>
              <w:pStyle w:val="Tablelistnumbers"/>
              <w:numPr>
                <w:ilvl w:val="0"/>
                <w:numId w:val="38"/>
              </w:numPr>
            </w:pPr>
            <w:r>
              <w:t>T</w:t>
            </w:r>
            <w:r w:rsidR="00CF2A8F">
              <w:t xml:space="preserve">he </w:t>
            </w:r>
            <w:r w:rsidR="00CF2A8F">
              <w:rPr>
                <w:i/>
                <w:iCs/>
              </w:rPr>
              <w:t xml:space="preserve">Sex Discrimination Act 1984 </w:t>
            </w:r>
            <w:r w:rsidR="00CF2A8F">
              <w:t xml:space="preserve">(Cth) to expand the existing positive duty </w:t>
            </w:r>
            <w:proofErr w:type="gramStart"/>
            <w:r w:rsidR="00CF2A8F">
              <w:t>so as to</w:t>
            </w:r>
            <w:proofErr w:type="gramEnd"/>
            <w:r w:rsidR="00CF2A8F">
              <w:t xml:space="preserve"> cover all protected attributes.</w:t>
            </w:r>
          </w:p>
        </w:tc>
      </w:tr>
      <w:tr w:rsidR="006932AB" w14:paraId="14BFE5E6" w14:textId="77777777" w:rsidTr="007A7B9C">
        <w:tblPrEx>
          <w:tblCellMar>
            <w:top w:w="0" w:type="dxa"/>
          </w:tblCellMar>
        </w:tblPrEx>
        <w:tc>
          <w:tcPr>
            <w:tcW w:w="5000" w:type="pct"/>
          </w:tcPr>
          <w:p w14:paraId="4C55DB03" w14:textId="514F0710" w:rsidR="006932AB" w:rsidRPr="00192A3B" w:rsidRDefault="00412E6B" w:rsidP="00EA1D19">
            <w:pPr>
              <w:pStyle w:val="Tablelistnumbers"/>
            </w:pPr>
            <w:r w:rsidRPr="00043746">
              <w:t xml:space="preserve">The Australian Government </w:t>
            </w:r>
            <w:r>
              <w:t>implement specific</w:t>
            </w:r>
            <w:r w:rsidRPr="00043746">
              <w:t xml:space="preserve"> measures and dedicated funding to increase employer demand, capability, and the development of inclusive, accessible workplace cultures that uphold the rights and meet the needs of employees</w:t>
            </w:r>
            <w:r>
              <w:t>.</w:t>
            </w:r>
          </w:p>
        </w:tc>
      </w:tr>
      <w:tr w:rsidR="00EA1D19" w14:paraId="4CFDF433" w14:textId="77777777" w:rsidTr="007A7B9C">
        <w:tblPrEx>
          <w:tblCellMar>
            <w:top w:w="0" w:type="dxa"/>
          </w:tblCellMar>
        </w:tblPrEx>
        <w:tc>
          <w:tcPr>
            <w:tcW w:w="5000" w:type="pct"/>
          </w:tcPr>
          <w:p w14:paraId="20E359EF" w14:textId="702C42A1" w:rsidR="00EA1D19" w:rsidRPr="006932AB" w:rsidRDefault="004E1987" w:rsidP="009C50ED">
            <w:pPr>
              <w:pStyle w:val="Tablelistnumbers"/>
            </w:pPr>
            <w:r w:rsidRPr="004E1987">
              <w:t>The Department develop an age-inclusion strategy to drive age-inclusive employment practices in recruitment and retention of older workers.</w:t>
            </w:r>
          </w:p>
        </w:tc>
      </w:tr>
      <w:tr w:rsidR="009C50ED" w14:paraId="292DBD7E" w14:textId="77777777" w:rsidTr="007A7B9C">
        <w:tblPrEx>
          <w:tblCellMar>
            <w:top w:w="0" w:type="dxa"/>
          </w:tblCellMar>
        </w:tblPrEx>
        <w:tc>
          <w:tcPr>
            <w:tcW w:w="5000" w:type="pct"/>
          </w:tcPr>
          <w:p w14:paraId="2EE88471" w14:textId="17F83A93" w:rsidR="009C50ED" w:rsidRPr="009C50ED" w:rsidRDefault="004E1987" w:rsidP="006D519E">
            <w:pPr>
              <w:pStyle w:val="Tablelistnumbers"/>
            </w:pPr>
            <w:r w:rsidRPr="004E1987">
              <w:t>The Department fund, as a priority, a range of pilots or proof of concept initiatives to support best practice in the recruitment and retention of older workers.</w:t>
            </w:r>
          </w:p>
        </w:tc>
      </w:tr>
    </w:tbl>
    <w:p w14:paraId="458E2237" w14:textId="77777777" w:rsidR="00983065" w:rsidRDefault="00983065" w:rsidP="00965614">
      <w:pPr>
        <w:sectPr w:rsidR="00983065" w:rsidSect="003D23EE">
          <w:headerReference w:type="default" r:id="rId17"/>
          <w:footerReference w:type="default" r:id="rId18"/>
          <w:footerReference w:type="first" r:id="rId19"/>
          <w:endnotePr>
            <w:numFmt w:val="decimal"/>
          </w:endnotePr>
          <w:pgSz w:w="11906" w:h="16838" w:code="9"/>
          <w:pgMar w:top="1440" w:right="1440" w:bottom="1440" w:left="1440" w:header="720" w:footer="720" w:gutter="0"/>
          <w:cols w:space="720"/>
          <w:docGrid w:linePitch="360"/>
        </w:sectPr>
      </w:pPr>
    </w:p>
    <w:bookmarkStart w:id="2" w:name="_Toc236236219" w:displacedByCustomXml="next"/>
    <w:sdt>
      <w:sdtPr>
        <w:id w:val="-687982485"/>
        <w:placeholder>
          <w:docPart w:val="885683BD63C34DA193EF3FFFBC40A31F"/>
        </w:placeholder>
        <w:dataBinding w:prefixMappings="xmlns:ns0='http://AHRCheadings.htm' " w:xpath="/ns0:headings[1]/ns0:Topic1[1]" w:storeItemID="{59E40458-85DB-4B58-AD7F-ED1E21A92441}"/>
        <w:text/>
      </w:sdtPr>
      <w:sdtEndPr/>
      <w:sdtContent>
        <w:p w14:paraId="78C38213" w14:textId="77777777" w:rsidR="00FF3BE7" w:rsidRDefault="003A13AA" w:rsidP="00FF3BE7">
          <w:pPr>
            <w:pStyle w:val="Heading1"/>
          </w:pPr>
          <w:r>
            <w:t>Introduction</w:t>
          </w:r>
        </w:p>
      </w:sdtContent>
    </w:sdt>
    <w:bookmarkEnd w:id="2" w:displacedByCustomXml="prev"/>
    <w:p w14:paraId="7F621AE5" w14:textId="13658A9C" w:rsidR="00173196" w:rsidRPr="00173196" w:rsidRDefault="003A13AA" w:rsidP="00C214AA">
      <w:pPr>
        <w:pStyle w:val="Sectionsummarybody"/>
      </w:pPr>
      <w:r>
        <w:t xml:space="preserve">The right to work on an equal basis </w:t>
      </w:r>
      <w:r w:rsidR="00113B0F">
        <w:t>with others</w:t>
      </w:r>
      <w:r>
        <w:t xml:space="preserve"> is established in international human rights instruments and reflected in Australia’s federal anti-discrimination framework, yet significant gaps remain in how these protections are realised in practice. Current employment service models have consistently failed to deliver equitable outcomes for older workers and people with disability, reflecting structural shortcomings that this submission seeks to address.</w:t>
      </w:r>
    </w:p>
    <w:p w14:paraId="71AEB71A" w14:textId="77777777" w:rsidR="00655C57" w:rsidRPr="0058707A" w:rsidRDefault="003A13AA" w:rsidP="0058707A">
      <w:pPr>
        <w:pStyle w:val="Heading2"/>
      </w:pPr>
      <w:bookmarkStart w:id="3" w:name="_Toc236236220"/>
      <w:r>
        <w:t>The right to work</w:t>
      </w:r>
      <w:bookmarkEnd w:id="3"/>
    </w:p>
    <w:p w14:paraId="56B360A6" w14:textId="77777777" w:rsidR="00250E67" w:rsidRPr="003F74D0" w:rsidRDefault="003A13AA" w:rsidP="00250E67">
      <w:pPr>
        <w:pStyle w:val="Heading3"/>
      </w:pPr>
      <w:r>
        <w:t>International human rights obligations</w:t>
      </w:r>
    </w:p>
    <w:p w14:paraId="3A8F920D" w14:textId="56178BAB" w:rsidR="003A13AA" w:rsidRDefault="003A13AA" w:rsidP="003A13AA">
      <w:r>
        <w:t xml:space="preserve">The right to work on an equal basis with others is a fundamental universal human right recognised in international human rights treaties. It is inseparable from human dignity and is </w:t>
      </w:r>
      <w:r w:rsidR="006E43A1">
        <w:t>interdependent on</w:t>
      </w:r>
      <w:r>
        <w:t xml:space="preserve"> the realisation of other human rights, including the right</w:t>
      </w:r>
      <w:r w:rsidR="003038BD">
        <w:t>s</w:t>
      </w:r>
      <w:r>
        <w:t xml:space="preserve"> to an adequate standard of living, physical and mental health, and full participation in community life.</w:t>
      </w:r>
    </w:p>
    <w:p w14:paraId="6B47DB93" w14:textId="604B9FA4" w:rsidR="004B4322" w:rsidRDefault="003A13AA" w:rsidP="003A13AA">
      <w:r>
        <w:t>Th</w:t>
      </w:r>
      <w:r w:rsidR="009F1FCC">
        <w:t>e</w:t>
      </w:r>
      <w:r>
        <w:t xml:space="preserve"> right </w:t>
      </w:r>
      <w:r w:rsidR="009F1FCC">
        <w:t>to work</w:t>
      </w:r>
      <w:r>
        <w:t xml:space="preserve"> is affirmed across a range of international instruments to which Australia is a party. </w:t>
      </w:r>
      <w:r w:rsidRPr="009F1FCC">
        <w:t>The</w:t>
      </w:r>
      <w:r w:rsidRPr="0026273D">
        <w:rPr>
          <w:i/>
        </w:rPr>
        <w:t xml:space="preserve"> International Covenant on Economic, Social and Cultural Rights</w:t>
      </w:r>
      <w:r w:rsidRPr="00226640">
        <w:t xml:space="preserve"> provides the foundational basis for the right to work, guaranteeing all people the opportunity to earn a living through freely chosen work, free from discrimination, and with access to just and favourable working conditions.</w:t>
      </w:r>
      <w:r w:rsidRPr="002B1785">
        <w:rPr>
          <w:rStyle w:val="EndnoteReference"/>
        </w:rPr>
        <w:t xml:space="preserve"> </w:t>
      </w:r>
      <w:r w:rsidR="009F1FCC" w:rsidRPr="002B1785">
        <w:rPr>
          <w:rStyle w:val="EndnoteReference"/>
        </w:rPr>
        <w:endnoteReference w:id="2"/>
      </w:r>
      <w:r w:rsidRPr="00226640">
        <w:t xml:space="preserve"> </w:t>
      </w:r>
    </w:p>
    <w:p w14:paraId="30E2DD15" w14:textId="24E1C059" w:rsidR="003A13AA" w:rsidRDefault="003A13AA" w:rsidP="003A13AA">
      <w:r>
        <w:t xml:space="preserve">Thematic treaties, such as the United Nations </w:t>
      </w:r>
      <w:r w:rsidRPr="0004205A">
        <w:rPr>
          <w:i/>
          <w:iCs/>
        </w:rPr>
        <w:t>Convention on the Rights of Persons with Disabilities</w:t>
      </w:r>
      <w:r w:rsidR="00C873B4" w:rsidRPr="002B1785">
        <w:rPr>
          <w:rStyle w:val="EndnoteReference"/>
        </w:rPr>
        <w:endnoteReference w:id="3"/>
      </w:r>
      <w:r>
        <w:t xml:space="preserve"> and the United Nations </w:t>
      </w:r>
      <w:r>
        <w:rPr>
          <w:i/>
          <w:iCs/>
        </w:rPr>
        <w:t>Convention on the Elimination of All Forms of Discrimination against Women</w:t>
      </w:r>
      <w:r w:rsidR="0041386B" w:rsidRPr="002B1785">
        <w:rPr>
          <w:rStyle w:val="EndnoteReference"/>
        </w:rPr>
        <w:endnoteReference w:id="4"/>
      </w:r>
      <w:r>
        <w:t xml:space="preserve"> elaborat</w:t>
      </w:r>
      <w:r w:rsidR="000C527B">
        <w:t>e on</w:t>
      </w:r>
      <w:r>
        <w:t xml:space="preserve"> these protections with respect to disability and gender.</w:t>
      </w:r>
    </w:p>
    <w:p w14:paraId="0A4838BD" w14:textId="77777777" w:rsidR="003A13AA" w:rsidRDefault="003A13AA" w:rsidP="003A13AA">
      <w:pPr>
        <w:pStyle w:val="Heading3"/>
      </w:pPr>
      <w:r>
        <w:t>Australia’s federal anti-discrimination framework</w:t>
      </w:r>
    </w:p>
    <w:p w14:paraId="58B82F4F" w14:textId="4D1A3BE5" w:rsidR="00D90071" w:rsidRDefault="003A13AA" w:rsidP="003A13AA">
      <w:r>
        <w:t xml:space="preserve">Australia’s federal anti-discrimination framework </w:t>
      </w:r>
      <w:r w:rsidR="000C527B">
        <w:t>is</w:t>
      </w:r>
      <w:r>
        <w:t xml:space="preserve"> comprised of the </w:t>
      </w:r>
      <w:r>
        <w:rPr>
          <w:i/>
          <w:iCs/>
        </w:rPr>
        <w:t xml:space="preserve">Age Discrimination Act 2004 </w:t>
      </w:r>
      <w:r w:rsidRPr="009506EE">
        <w:t>(Cth),</w:t>
      </w:r>
      <w:r>
        <w:rPr>
          <w:i/>
          <w:iCs/>
        </w:rPr>
        <w:t xml:space="preserve"> </w:t>
      </w:r>
      <w:r>
        <w:t xml:space="preserve">the </w:t>
      </w:r>
      <w:r w:rsidRPr="00911400">
        <w:rPr>
          <w:i/>
          <w:iCs/>
        </w:rPr>
        <w:t>Disability Discrimination Act 1992</w:t>
      </w:r>
      <w:r>
        <w:t xml:space="preserve"> (Cth), the </w:t>
      </w:r>
      <w:r w:rsidRPr="00911400">
        <w:rPr>
          <w:i/>
          <w:iCs/>
        </w:rPr>
        <w:t>Sex Discrimination Act 1984</w:t>
      </w:r>
      <w:r>
        <w:t xml:space="preserve"> (Cth) and the </w:t>
      </w:r>
      <w:r w:rsidRPr="00911400">
        <w:rPr>
          <w:i/>
          <w:iCs/>
        </w:rPr>
        <w:t xml:space="preserve">Racial Discrimination Act </w:t>
      </w:r>
      <w:r>
        <w:t>1975 (Cth)</w:t>
      </w:r>
      <w:r w:rsidR="008A14B0">
        <w:t>. The framework</w:t>
      </w:r>
      <w:r>
        <w:t xml:space="preserve"> establishes foundational </w:t>
      </w:r>
      <w:r w:rsidR="00B31C82">
        <w:t>anti-discrimination</w:t>
      </w:r>
      <w:r>
        <w:t xml:space="preserve"> obligations for employers across the country. </w:t>
      </w:r>
      <w:r w:rsidR="00D90071">
        <w:t xml:space="preserve">Additional protections are contained in the </w:t>
      </w:r>
      <w:r w:rsidR="00D90071" w:rsidRPr="001E6928">
        <w:rPr>
          <w:i/>
          <w:iCs/>
        </w:rPr>
        <w:t>Fair Work Act 2009</w:t>
      </w:r>
      <w:r w:rsidR="00D90071">
        <w:t xml:space="preserve"> (Cth).</w:t>
      </w:r>
    </w:p>
    <w:p w14:paraId="4CAEF35B" w14:textId="36F74E70" w:rsidR="009D74F8" w:rsidRDefault="009D74F8" w:rsidP="00A24FB3">
      <w:pPr>
        <w:pStyle w:val="Heading3"/>
      </w:pPr>
      <w:r>
        <w:t>Recognising the intersecting dimensions of disadvantage in employment</w:t>
      </w:r>
    </w:p>
    <w:p w14:paraId="40B03A55" w14:textId="547DDBF9" w:rsidR="00947EBA" w:rsidRDefault="00947EBA" w:rsidP="003A13AA">
      <w:r>
        <w:t xml:space="preserve">The experience of discrimination in employment is rarely one-dimensional. Ageism and ableism frequently intersect, and for many people, these intersect </w:t>
      </w:r>
      <w:r>
        <w:lastRenderedPageBreak/>
        <w:t>further with gender, race and other characteristics to produc</w:t>
      </w:r>
      <w:r w:rsidR="00014D36">
        <w:t>e</w:t>
      </w:r>
      <w:r>
        <w:t xml:space="preserve"> compounding and distinct </w:t>
      </w:r>
      <w:r w:rsidR="009814E6">
        <w:t>barriers to employment</w:t>
      </w:r>
      <w:r>
        <w:t>.</w:t>
      </w:r>
    </w:p>
    <w:p w14:paraId="130693CC" w14:textId="4BBCB70B" w:rsidR="000E0E23" w:rsidRDefault="000E0E23" w:rsidP="003A13AA">
      <w:r>
        <w:t xml:space="preserve">Older women, for example, </w:t>
      </w:r>
      <w:r w:rsidR="00514690">
        <w:t>often</w:t>
      </w:r>
      <w:r>
        <w:t xml:space="preserve"> face specific structural barriers to financial security in employment, including the cumulative effects of gender-based workforce interruptions on superannuation, career progression and long-term economic participation.</w:t>
      </w:r>
      <w:r w:rsidR="00196126">
        <w:rPr>
          <w:rStyle w:val="EndnoteReference"/>
        </w:rPr>
        <w:endnoteReference w:id="5"/>
      </w:r>
      <w:r w:rsidR="003A67B1">
        <w:t xml:space="preserve"> First Nations people experience </w:t>
      </w:r>
      <w:r w:rsidR="00DA5993">
        <w:t xml:space="preserve">the impacts of ageing and </w:t>
      </w:r>
      <w:r w:rsidR="003A67B1">
        <w:t xml:space="preserve">age-related illness </w:t>
      </w:r>
      <w:r w:rsidR="00DA5993">
        <w:t>earlier than others.</w:t>
      </w:r>
      <w:r w:rsidR="00DD3E9F">
        <w:rPr>
          <w:rStyle w:val="EndnoteReference"/>
        </w:rPr>
        <w:endnoteReference w:id="6"/>
      </w:r>
    </w:p>
    <w:p w14:paraId="0D342A26" w14:textId="0C825E27" w:rsidR="00592E5B" w:rsidRDefault="0061248E" w:rsidP="003A13AA">
      <w:r>
        <w:t>For many job seekers</w:t>
      </w:r>
      <w:r w:rsidR="000C1F01">
        <w:t>, these intersecting factors can give rise to highly specific barriers that require tailored and culturally safe responses from employment services. An employment services framework that does not account for these intersect</w:t>
      </w:r>
      <w:r w:rsidR="00075BBA">
        <w:t xml:space="preserve">ing </w:t>
      </w:r>
      <w:r w:rsidR="003E666F">
        <w:t>experiences risks replicating, rather than remedying, structural inequality.</w:t>
      </w:r>
      <w:r w:rsidR="00075BBA">
        <w:t xml:space="preserve"> </w:t>
      </w:r>
    </w:p>
    <w:p w14:paraId="53314856" w14:textId="7A024833" w:rsidR="00E9483B" w:rsidRDefault="00A0324C" w:rsidP="00A24FB3">
      <w:pPr>
        <w:pStyle w:val="Heading3"/>
      </w:pPr>
      <w:r>
        <w:t>Embedding human rights in the design and delivery of employment services</w:t>
      </w:r>
    </w:p>
    <w:p w14:paraId="4C718F81" w14:textId="384F5AD3" w:rsidR="003E666F" w:rsidRDefault="00D90071" w:rsidP="003A13AA">
      <w:r>
        <w:t>E</w:t>
      </w:r>
      <w:r w:rsidR="003A13AA">
        <w:t xml:space="preserve">mployment services are a </w:t>
      </w:r>
      <w:r>
        <w:t xml:space="preserve">key </w:t>
      </w:r>
      <w:r w:rsidR="003A13AA">
        <w:t>mechanism for labour market participation</w:t>
      </w:r>
      <w:r>
        <w:t>, making them a</w:t>
      </w:r>
      <w:r w:rsidR="00F63C82">
        <w:t xml:space="preserve"> site </w:t>
      </w:r>
      <w:r w:rsidR="003A13AA">
        <w:t xml:space="preserve">at which human rights obligations are either upheld or undermined. A reformed employment services framework presents a significant opportunity to </w:t>
      </w:r>
      <w:r w:rsidR="00D4482C">
        <w:t>ensure</w:t>
      </w:r>
      <w:r w:rsidR="003A13AA">
        <w:t xml:space="preserve"> that services are designed and delivered </w:t>
      </w:r>
      <w:r w:rsidR="1DEEEA42">
        <w:t xml:space="preserve">without discrimination, </w:t>
      </w:r>
      <w:r w:rsidR="068C6552">
        <w:t xml:space="preserve">and in a manner that is </w:t>
      </w:r>
      <w:r w:rsidR="1DEEEA42">
        <w:t xml:space="preserve">person-centred </w:t>
      </w:r>
      <w:r w:rsidR="003A13AA">
        <w:t xml:space="preserve">and consistent with Australia’s </w:t>
      </w:r>
      <w:r w:rsidR="009703B9">
        <w:t xml:space="preserve">obligations </w:t>
      </w:r>
      <w:r w:rsidR="003A13AA">
        <w:t>under both domestic and international law</w:t>
      </w:r>
      <w:r w:rsidR="009703B9">
        <w:t>s</w:t>
      </w:r>
      <w:r w:rsidR="003A13AA">
        <w:t xml:space="preserve">. </w:t>
      </w:r>
    </w:p>
    <w:p w14:paraId="39DB2E0E" w14:textId="47D834E2" w:rsidR="003A13AA" w:rsidRDefault="004A36CE" w:rsidP="003A13AA">
      <w:r>
        <w:t>Critically, non-discrimination</w:t>
      </w:r>
      <w:r w:rsidR="00F75D8A">
        <w:t xml:space="preserve"> </w:t>
      </w:r>
      <w:r w:rsidR="00DE4A0F">
        <w:t xml:space="preserve">means </w:t>
      </w:r>
      <w:r w:rsidR="72606FB3">
        <w:t xml:space="preserve">being proactive by </w:t>
      </w:r>
      <w:r w:rsidR="00DE4A0F">
        <w:t xml:space="preserve">removing barriers to participation, rather than </w:t>
      </w:r>
      <w:r w:rsidR="67260D14">
        <w:t xml:space="preserve">being reactive and only </w:t>
      </w:r>
      <w:r w:rsidR="00DE4A0F">
        <w:t>av</w:t>
      </w:r>
      <w:r w:rsidR="00E031B9">
        <w:t xml:space="preserve">oiding discriminatory conduct. </w:t>
      </w:r>
      <w:r w:rsidR="003A13AA">
        <w:t>The extent to which the current system has met these standards, and the reforms necessary to ensure the proposed framework does so, are addressed in the sections that follow.</w:t>
      </w:r>
    </w:p>
    <w:p w14:paraId="23A9D504" w14:textId="33649A1C" w:rsidR="5176558E" w:rsidRDefault="5176558E">
      <w:r>
        <w:t>Changing</w:t>
      </w:r>
      <w:r w:rsidR="0343727E">
        <w:t xml:space="preserve"> employer</w:t>
      </w:r>
      <w:r>
        <w:t xml:space="preserve"> </w:t>
      </w:r>
      <w:r w:rsidR="0FE29C8B">
        <w:t>attitudes</w:t>
      </w:r>
      <w:r w:rsidR="08CC2EC3">
        <w:t>,</w:t>
      </w:r>
      <w:r w:rsidR="462E0B58">
        <w:t xml:space="preserve"> </w:t>
      </w:r>
      <w:r w:rsidR="561C2C8A">
        <w:t xml:space="preserve">including </w:t>
      </w:r>
      <w:r w:rsidR="1A6D7E1E">
        <w:t xml:space="preserve">removing </w:t>
      </w:r>
      <w:r w:rsidR="15B8DCCA">
        <w:t>ageism</w:t>
      </w:r>
      <w:r w:rsidR="1A6D7E1E">
        <w:t xml:space="preserve"> and </w:t>
      </w:r>
      <w:r w:rsidR="7FC52849">
        <w:t>ableism</w:t>
      </w:r>
      <w:r w:rsidR="1A6D7E1E">
        <w:t xml:space="preserve"> from </w:t>
      </w:r>
      <w:r w:rsidR="05C509E5">
        <w:t>workplaces</w:t>
      </w:r>
      <w:r w:rsidR="1A6D7E1E">
        <w:t xml:space="preserve">, </w:t>
      </w:r>
      <w:r w:rsidR="02F95753">
        <w:t xml:space="preserve">removing biases from </w:t>
      </w:r>
      <w:r w:rsidR="42BEA529">
        <w:t>recruitment</w:t>
      </w:r>
      <w:r>
        <w:t xml:space="preserve"> </w:t>
      </w:r>
      <w:r w:rsidR="2BD63A52">
        <w:t xml:space="preserve">practices </w:t>
      </w:r>
      <w:r w:rsidR="4AC4DFB1">
        <w:t>and changing workplace practices</w:t>
      </w:r>
      <w:r w:rsidR="4F9A32C8">
        <w:t xml:space="preserve"> and development opportunities</w:t>
      </w:r>
      <w:r w:rsidR="4AC4DFB1">
        <w:t xml:space="preserve"> </w:t>
      </w:r>
      <w:r>
        <w:t>will be critical</w:t>
      </w:r>
      <w:r w:rsidR="242B3460">
        <w:t xml:space="preserve"> to</w:t>
      </w:r>
      <w:r>
        <w:t xml:space="preserve"> </w:t>
      </w:r>
      <w:r w:rsidR="5154D77A">
        <w:t>achieving</w:t>
      </w:r>
      <w:r>
        <w:t xml:space="preserve"> sustained </w:t>
      </w:r>
      <w:r w:rsidR="13CEF98F">
        <w:t>placements</w:t>
      </w:r>
      <w:r>
        <w:t xml:space="preserve"> fo</w:t>
      </w:r>
      <w:r w:rsidR="645301ED">
        <w:t>r</w:t>
      </w:r>
      <w:r>
        <w:t xml:space="preserve"> older </w:t>
      </w:r>
      <w:r w:rsidR="6A36079B">
        <w:t>workers</w:t>
      </w:r>
      <w:r>
        <w:t xml:space="preserve"> </w:t>
      </w:r>
      <w:r w:rsidR="016EC72B">
        <w:t>and</w:t>
      </w:r>
      <w:r>
        <w:t xml:space="preserve"> workers with disability</w:t>
      </w:r>
      <w:r w:rsidR="3C490433">
        <w:t xml:space="preserve">. </w:t>
      </w:r>
    </w:p>
    <w:p w14:paraId="28829B5D" w14:textId="77777777" w:rsidR="00295247" w:rsidRDefault="00C40371" w:rsidP="00C40371">
      <w:pPr>
        <w:pStyle w:val="Heading2"/>
      </w:pPr>
      <w:bookmarkStart w:id="4" w:name="_Toc236236221"/>
      <w:r>
        <w:t>Employment service providers in Australia</w:t>
      </w:r>
      <w:bookmarkEnd w:id="4"/>
    </w:p>
    <w:p w14:paraId="358F152E" w14:textId="77777777" w:rsidR="00C40371" w:rsidRPr="00C40371" w:rsidRDefault="00C40371" w:rsidP="00C40371">
      <w:pPr>
        <w:pStyle w:val="Heading3"/>
      </w:pPr>
      <w:r>
        <w:t>Persistent gaps in service delivery</w:t>
      </w:r>
    </w:p>
    <w:p w14:paraId="4D2C49BF" w14:textId="35CA6FAA" w:rsidR="003A13AA" w:rsidRDefault="003A13AA" w:rsidP="003A13AA">
      <w:r>
        <w:t xml:space="preserve">The </w:t>
      </w:r>
      <w:r>
        <w:rPr>
          <w:i/>
          <w:iCs/>
        </w:rPr>
        <w:t>Shaping the Future of Employment Services</w:t>
      </w:r>
      <w:r>
        <w:t xml:space="preserve"> discussion paper articulates aspirations for targeted delivery and wraparound support – principles that also informed the 2022 transition from </w:t>
      </w:r>
      <w:proofErr w:type="spellStart"/>
      <w:r>
        <w:t>jobactive</w:t>
      </w:r>
      <w:proofErr w:type="spellEnd"/>
      <w:r>
        <w:t xml:space="preserve"> to Workforce Australia. To date, these aspirations have not translated into meaningful </w:t>
      </w:r>
      <w:r w:rsidR="002A0394">
        <w:t xml:space="preserve">workforce participation </w:t>
      </w:r>
      <w:r>
        <w:t xml:space="preserve">for older workers and people with disability. </w:t>
      </w:r>
    </w:p>
    <w:p w14:paraId="3715FB87" w14:textId="77777777" w:rsidR="003A13AA" w:rsidRDefault="003A13AA" w:rsidP="003A13AA">
      <w:r>
        <w:lastRenderedPageBreak/>
        <w:t xml:space="preserve">Discrimination in hiring practices, inadequate post-placement monitoring, inflexible service delivery models and a lack of demand-side employer interventions combine to create a system that fails to support sustainable employment outcomes for all job seekers. </w:t>
      </w:r>
    </w:p>
    <w:p w14:paraId="615F4D65" w14:textId="47F944F0" w:rsidR="003A13AA" w:rsidRDefault="003A13AA" w:rsidP="003A13AA">
      <w:r>
        <w:t>As job mobility declines with age</w:t>
      </w:r>
      <w:r w:rsidR="002B535C">
        <w:t>,</w:t>
      </w:r>
      <w:r w:rsidR="00C40371">
        <w:rPr>
          <w:rStyle w:val="EndnoteReference"/>
        </w:rPr>
        <w:endnoteReference w:id="7"/>
      </w:r>
      <w:r>
        <w:t xml:space="preserve"> older workers may remain in poor-quality placements that appear successful in short-term metrics while experiencing conditions that undermine long-term workforce participation, health and financial security. </w:t>
      </w:r>
    </w:p>
    <w:p w14:paraId="2029165A" w14:textId="571D9117" w:rsidR="00C40371" w:rsidRDefault="00C40371" w:rsidP="003A13AA">
      <w:r>
        <w:t>These systemic failures are particularly acute for people with disability, with Australia having one of the lowest employment rates for people with disability in the OECD</w:t>
      </w:r>
      <w:r w:rsidR="000B386D">
        <w:t>.</w:t>
      </w:r>
      <w:r w:rsidR="006B6CA2">
        <w:rPr>
          <w:rStyle w:val="EndnoteReference"/>
        </w:rPr>
        <w:endnoteReference w:id="8"/>
      </w:r>
      <w:r>
        <w:t xml:space="preserve"> Labour force participation rates of people with disability </w:t>
      </w:r>
      <w:r w:rsidR="00B412EA">
        <w:t xml:space="preserve">increased </w:t>
      </w:r>
      <w:r w:rsidR="00D86C33">
        <w:t>by 5.6% between 1993 and 2022, but remain</w:t>
      </w:r>
      <w:r w:rsidR="0061599E">
        <w:t xml:space="preserve"> significantly</w:t>
      </w:r>
      <w:r>
        <w:t xml:space="preserve"> low</w:t>
      </w:r>
      <w:r w:rsidR="00D86C33">
        <w:t>er</w:t>
      </w:r>
      <w:r w:rsidR="00462CD7">
        <w:t xml:space="preserve"> than people without disability</w:t>
      </w:r>
      <w:r w:rsidR="006B6CA2">
        <w:t>,</w:t>
      </w:r>
      <w:r>
        <w:rPr>
          <w:rStyle w:val="EndnoteReference"/>
        </w:rPr>
        <w:endnoteReference w:id="9"/>
      </w:r>
      <w:r w:rsidR="006B6CA2">
        <w:t xml:space="preserve"> reflecting the failure of workplaces and employment systems to accommodate and value their participation.</w:t>
      </w:r>
    </w:p>
    <w:p w14:paraId="3AC93BD2" w14:textId="28C61D54" w:rsidR="6DA09998" w:rsidRDefault="6DA09998">
      <w:r>
        <w:t>Labor force participation rates for older workers ha</w:t>
      </w:r>
      <w:r w:rsidR="00694BFC">
        <w:t>ve</w:t>
      </w:r>
      <w:r>
        <w:t xml:space="preserve"> been rising but too slowly to recognise the ageing of the </w:t>
      </w:r>
      <w:r w:rsidR="6DA6C8E5">
        <w:t>Australian</w:t>
      </w:r>
      <w:r>
        <w:t xml:space="preserve"> society,</w:t>
      </w:r>
      <w:r w:rsidR="2244CBE7">
        <w:t xml:space="preserve"> </w:t>
      </w:r>
      <w:r w:rsidR="5EA0C7BB">
        <w:t>address</w:t>
      </w:r>
      <w:r>
        <w:t xml:space="preserve"> workforce sho</w:t>
      </w:r>
      <w:r w:rsidR="02DEE648">
        <w:t>rtages</w:t>
      </w:r>
      <w:r w:rsidR="66E3EF69">
        <w:t xml:space="preserve"> particularly in the </w:t>
      </w:r>
      <w:r w:rsidR="2921D199">
        <w:t>c</w:t>
      </w:r>
      <w:r w:rsidR="66E3EF69">
        <w:t xml:space="preserve">are </w:t>
      </w:r>
      <w:r w:rsidR="3CD6958D">
        <w:t>e</w:t>
      </w:r>
      <w:r w:rsidR="66E3EF69">
        <w:t>conomy</w:t>
      </w:r>
      <w:r w:rsidR="01BCC4D5">
        <w:t>,</w:t>
      </w:r>
      <w:r w:rsidR="66E3EF69">
        <w:t xml:space="preserve"> </w:t>
      </w:r>
      <w:r w:rsidR="02DEE648">
        <w:t xml:space="preserve">and </w:t>
      </w:r>
      <w:r w:rsidR="74D9BFDD">
        <w:t>stem</w:t>
      </w:r>
      <w:r w:rsidR="1E6AEA4F">
        <w:t xml:space="preserve"> </w:t>
      </w:r>
      <w:r w:rsidR="02DEE648">
        <w:t xml:space="preserve">lost </w:t>
      </w:r>
      <w:r w:rsidR="201A723D">
        <w:t>productivity</w:t>
      </w:r>
      <w:r w:rsidR="02DEE648">
        <w:t xml:space="preserve"> though the loss of a skilled</w:t>
      </w:r>
      <w:r w:rsidR="1CACAEC3">
        <w:t xml:space="preserve"> and </w:t>
      </w:r>
      <w:r w:rsidR="658F0FC2">
        <w:t>experienced</w:t>
      </w:r>
      <w:r w:rsidR="02DEE648">
        <w:t xml:space="preserve"> </w:t>
      </w:r>
      <w:r w:rsidR="312E643C">
        <w:t>labour</w:t>
      </w:r>
      <w:r w:rsidR="02DEE648">
        <w:t xml:space="preserve"> pool.</w:t>
      </w:r>
      <w:r w:rsidR="01527D20">
        <w:t xml:space="preserve"> </w:t>
      </w:r>
    </w:p>
    <w:p w14:paraId="65DCE17C" w14:textId="590301A2" w:rsidR="01527D20" w:rsidRDefault="01527D20">
      <w:r>
        <w:t>The loss of opportunit</w:t>
      </w:r>
      <w:r w:rsidR="7AC55117">
        <w:t>i</w:t>
      </w:r>
      <w:r>
        <w:t>es for the recruitment and retention of older workers diminishes the ability of such people to</w:t>
      </w:r>
      <w:r w:rsidR="6F2D8374">
        <w:t xml:space="preserve"> enter older age in a financially secure position and to live long lives with security.</w:t>
      </w:r>
    </w:p>
    <w:p w14:paraId="634B3B6E" w14:textId="081C4A5F" w:rsidR="003A13AA" w:rsidRDefault="003A13AA" w:rsidP="003A13AA">
      <w:r>
        <w:t xml:space="preserve">Failure to address barriers </w:t>
      </w:r>
      <w:r w:rsidR="0098244C">
        <w:t xml:space="preserve">to </w:t>
      </w:r>
      <w:r w:rsidR="001666BF">
        <w:t>workforce participation</w:t>
      </w:r>
      <w:r>
        <w:t xml:space="preserve"> has significant economic and social consequences, including lost productivity</w:t>
      </w:r>
      <w:r w:rsidR="6900309D">
        <w:t xml:space="preserve"> national</w:t>
      </w:r>
      <w:r w:rsidR="006873B7">
        <w:t>ly</w:t>
      </w:r>
      <w:r w:rsidR="6900309D">
        <w:t xml:space="preserve"> and</w:t>
      </w:r>
      <w:r w:rsidR="006873B7">
        <w:t xml:space="preserve"> at</w:t>
      </w:r>
      <w:r w:rsidR="6900309D">
        <w:t xml:space="preserve"> firm level</w:t>
      </w:r>
      <w:r>
        <w:t xml:space="preserve">, heightened fiscal pressure on age pension expenditure, reduced tax revenue and poorer health outcomes for individuals forced into premature workforce exit. </w:t>
      </w:r>
    </w:p>
    <w:p w14:paraId="5833E8C4" w14:textId="33FC738F" w:rsidR="003A13AA" w:rsidRDefault="003A13AA" w:rsidP="003A13AA">
      <w:r>
        <w:t xml:space="preserve">These shortcomings are not isolated – they reflect a system that has not yet been designed with the full range of its participants’ rights and circumstances in </w:t>
      </w:r>
      <w:r w:rsidR="009C5F4B">
        <w:t>mind, nor</w:t>
      </w:r>
      <w:r w:rsidR="4E977B4F">
        <w:t xml:space="preserve"> adequate attention to the attitudes, practices and cultures within Australian workplaces.</w:t>
      </w:r>
      <w:r w:rsidR="7EA770A9">
        <w:t xml:space="preserve"> </w:t>
      </w:r>
      <w:r w:rsidR="009C5F4B">
        <w:t>A</w:t>
      </w:r>
      <w:r w:rsidR="7EA770A9">
        <w:t>ddressing these matters will reap large benefits for Australia and its people, both economically and socially.</w:t>
      </w:r>
    </w:p>
    <w:p w14:paraId="082BB45A" w14:textId="76E8297A" w:rsidR="2DC3CF67" w:rsidRDefault="2DC3CF67" w:rsidP="00487662">
      <w:pPr>
        <w:numPr>
          <w:ilvl w:val="0"/>
          <w:numId w:val="0"/>
        </w:numPr>
        <w:ind w:left="29"/>
      </w:pPr>
    </w:p>
    <w:bookmarkStart w:id="5" w:name="_Pre-set_styles" w:displacedByCustomXml="next"/>
    <w:bookmarkEnd w:id="5" w:displacedByCustomXml="next"/>
    <w:bookmarkStart w:id="6" w:name="_Toc236236222" w:displacedByCustomXml="next"/>
    <w:sdt>
      <w:sdtPr>
        <w:id w:val="843747021"/>
        <w:placeholder>
          <w:docPart w:val="885683BD63C34DA193EF3FFFBC40A31F"/>
        </w:placeholder>
        <w:dataBinding w:prefixMappings="xmlns:ns0='http://AHRCheadings.htm' " w:xpath="/ns0:headings[1]/ns0:Topic2[1]" w:storeItemID="{59E40458-85DB-4B58-AD7F-ED1E21A92441}"/>
        <w:text/>
      </w:sdtPr>
      <w:sdtEndPr/>
      <w:sdtContent>
        <w:p w14:paraId="5A758011" w14:textId="77777777" w:rsidR="00E142DE" w:rsidRDefault="006B6CA2" w:rsidP="0015672E">
          <w:pPr>
            <w:pStyle w:val="Heading1"/>
          </w:pPr>
          <w:r>
            <w:t>Measuring Sustainable Employment Outcomes</w:t>
          </w:r>
        </w:p>
      </w:sdtContent>
    </w:sdt>
    <w:bookmarkEnd w:id="6" w:displacedByCustomXml="prev"/>
    <w:p w14:paraId="68BEF659" w14:textId="77777777" w:rsidR="006B6CA2" w:rsidRPr="00173196" w:rsidRDefault="006B6CA2" w:rsidP="006B6CA2">
      <w:pPr>
        <w:pStyle w:val="Sectionsummarybody"/>
      </w:pPr>
      <w:r w:rsidRPr="00410844">
        <w:t>Current performance frameworks prioritise placement rates over job quality, creating accountability gaps that disproportionately affect older workers. We recommend extending mandatory post-placement monitoring to 52 weeks and incorporat</w:t>
      </w:r>
      <w:r>
        <w:t>ing</w:t>
      </w:r>
      <w:r w:rsidRPr="00410844">
        <w:t xml:space="preserve"> expanded job quality indicators to support placement longevity, enable timely intervention and redirect provider incentives. </w:t>
      </w:r>
    </w:p>
    <w:p w14:paraId="00FD9CF0" w14:textId="77777777" w:rsidR="006B6CA2" w:rsidRPr="004564A4" w:rsidRDefault="00D321EB" w:rsidP="00CA6AC6">
      <w:pPr>
        <w:pStyle w:val="Heading2"/>
        <w:ind w:left="0" w:firstLine="0"/>
      </w:pPr>
      <w:bookmarkStart w:id="7" w:name="_Toc236236223"/>
      <w:r>
        <w:t>Expanding job quality indicators to drive meaningful outcomes</w:t>
      </w:r>
      <w:bookmarkEnd w:id="7"/>
    </w:p>
    <w:p w14:paraId="1C7A462E" w14:textId="77777777" w:rsidR="006B6CA2" w:rsidRDefault="006B6CA2" w:rsidP="006B6CA2">
      <w:pPr>
        <w:pStyle w:val="Heading3"/>
      </w:pPr>
      <w:r>
        <w:t>Current performance framework limitations</w:t>
      </w:r>
    </w:p>
    <w:p w14:paraId="19E325E3" w14:textId="43DFEC51" w:rsidR="006B6CA2" w:rsidRDefault="006B6CA2" w:rsidP="006B6CA2">
      <w:r>
        <w:t xml:space="preserve">Current performance frameworks for employment service providers focus heavily on job placement as the primary success metric. </w:t>
      </w:r>
      <w:r w:rsidR="00696902">
        <w:t>D</w:t>
      </w:r>
      <w:r>
        <w:t>epending on their licence arrangement</w:t>
      </w:r>
      <w:r w:rsidR="00696902">
        <w:t>, some providers</w:t>
      </w:r>
      <w:r>
        <w:t xml:space="preserve"> are rated on job satisfaction at 12 and 26 weeks post-placement, </w:t>
      </w:r>
      <w:r w:rsidR="00984466">
        <w:t xml:space="preserve">but </w:t>
      </w:r>
      <w:r>
        <w:t xml:space="preserve">this is not universal across the </w:t>
      </w:r>
      <w:r w:rsidR="00984466">
        <w:t xml:space="preserve">employment service </w:t>
      </w:r>
      <w:r>
        <w:t xml:space="preserve">system and does not capture the full spectrum of </w:t>
      </w:r>
      <w:r w:rsidR="00984466">
        <w:t>measures of</w:t>
      </w:r>
      <w:r>
        <w:t xml:space="preserve"> employment quality. </w:t>
      </w:r>
    </w:p>
    <w:p w14:paraId="3A3125E8" w14:textId="2E85A3B2" w:rsidR="006B6CA2" w:rsidRDefault="00C40200" w:rsidP="006B6CA2">
      <w:r>
        <w:t>T</w:t>
      </w:r>
      <w:r w:rsidR="006B6CA2">
        <w:t xml:space="preserve">his </w:t>
      </w:r>
      <w:r w:rsidR="006B6CA2" w:rsidRPr="00AC65B9">
        <w:t>creates a significant gap in measurement and accountability because provid</w:t>
      </w:r>
      <w:r w:rsidR="006B6CA2">
        <w:t xml:space="preserve">ers are not required to demonstrate that placements are sustainable, appropriate to workers’ needs, or of sufficient quality to support long-term workforce participation. </w:t>
      </w:r>
    </w:p>
    <w:p w14:paraId="0A880C77" w14:textId="68D2FE4E" w:rsidR="00D321EB" w:rsidRDefault="00D321EB" w:rsidP="00D321EB">
      <w:r>
        <w:t>Given that job mobility declines sharply with age</w:t>
      </w:r>
      <w:r w:rsidR="00C40200">
        <w:t>,</w:t>
      </w:r>
      <w:r>
        <w:rPr>
          <w:rStyle w:val="EndnoteReference"/>
        </w:rPr>
        <w:endnoteReference w:id="10"/>
      </w:r>
      <w:r>
        <w:t xml:space="preserve"> older workers may remain in placements even when job quality is low and opportunities for professional development are limited. Under existing short-term metrics, these workers may appear as </w:t>
      </w:r>
      <w:r w:rsidR="00EE6E98">
        <w:t>having</w:t>
      </w:r>
      <w:r>
        <w:t xml:space="preserve"> ‘successful’ placements despite experiencing poor job fit that undermine long-term workforce participation. </w:t>
      </w:r>
    </w:p>
    <w:p w14:paraId="262E3029" w14:textId="77777777" w:rsidR="00D321EB" w:rsidRDefault="00D321EB" w:rsidP="00D321EB">
      <w:pPr>
        <w:pStyle w:val="Heading3"/>
      </w:pPr>
      <w:r>
        <w:t>Aligning performance frameworks with participant-directed goals</w:t>
      </w:r>
    </w:p>
    <w:p w14:paraId="54FA6B10" w14:textId="6355ACB6" w:rsidR="00D321EB" w:rsidRDefault="009B0D26" w:rsidP="00D321EB">
      <w:r>
        <w:t>We</w:t>
      </w:r>
      <w:r w:rsidR="00D321EB">
        <w:t xml:space="preserve"> welcome the discussion paper’s commitment to embedding a new</w:t>
      </w:r>
      <w:r w:rsidR="00D7510D">
        <w:t>,</w:t>
      </w:r>
      <w:r w:rsidR="00D321EB">
        <w:t xml:space="preserve"> meaningful goal plan at the centre of the participant experience, and the recognition that meaningful, individualised employment goals and tailored service pathways are essential to effective service delivery.</w:t>
      </w:r>
      <w:r w:rsidR="00C13252">
        <w:t xml:space="preserve"> This approach also reflects </w:t>
      </w:r>
      <w:r w:rsidR="003454B8">
        <w:t>the human right</w:t>
      </w:r>
      <w:r w:rsidR="009D40FF">
        <w:t>s</w:t>
      </w:r>
      <w:r w:rsidR="003454B8">
        <w:t xml:space="preserve"> principle of participation</w:t>
      </w:r>
      <w:r w:rsidR="00141F6D">
        <w:t>, or that people should be involved in decisions that affect their lives.</w:t>
      </w:r>
    </w:p>
    <w:p w14:paraId="25EA1A4F" w14:textId="18CC76BA" w:rsidR="00D321EB" w:rsidRDefault="009B0D26" w:rsidP="00D321EB">
      <w:r>
        <w:t>We</w:t>
      </w:r>
      <w:r w:rsidR="00D321EB">
        <w:t xml:space="preserve"> hope this commitment will translate into plans that are genuinely self-directed, where participants are empowered to define their own goals based on their unique needs, preferences and aspirations, rather than goals that are oriented toward rapid job placement.</w:t>
      </w:r>
      <w:r w:rsidR="00C13252">
        <w:t xml:space="preserve"> </w:t>
      </w:r>
    </w:p>
    <w:p w14:paraId="210005D8" w14:textId="77777777" w:rsidR="00D321EB" w:rsidRDefault="00D321EB" w:rsidP="00D321EB">
      <w:pPr>
        <w:pStyle w:val="Heading3"/>
      </w:pPr>
      <w:r>
        <w:lastRenderedPageBreak/>
        <w:t>Expanding job quality indicators to drive meaningful outcomes</w:t>
      </w:r>
    </w:p>
    <w:p w14:paraId="18ECEB57" w14:textId="75CBA4E9" w:rsidR="00B01196" w:rsidRDefault="00141F6D" w:rsidP="006B6CA2">
      <w:r>
        <w:t>P</w:t>
      </w:r>
      <w:r w:rsidR="00D321EB">
        <w:t xml:space="preserve">erformance frameworks </w:t>
      </w:r>
      <w:r>
        <w:t xml:space="preserve">should </w:t>
      </w:r>
      <w:r w:rsidR="00D321EB">
        <w:t xml:space="preserve">reinforce, rather than undermine, participant agency, which is why </w:t>
      </w:r>
      <w:r>
        <w:t>we</w:t>
      </w:r>
      <w:r w:rsidR="00D321EB">
        <w:t xml:space="preserve"> recommend expanding the </w:t>
      </w:r>
      <w:r w:rsidR="00B01196">
        <w:t>scope of job quality indicators and extending the post-placement monitoring horizon to 52 weeks.</w:t>
      </w:r>
    </w:p>
    <w:p w14:paraId="16BBBAA4" w14:textId="77777777" w:rsidR="006B6CA2" w:rsidRDefault="006B6CA2" w:rsidP="006B6CA2">
      <w:r>
        <w:t>Extending post-placement monitoring from 26 weeks to 52 weeks post-placement will help to identify sustained employment quality issues that short-term measures may overlook. This monitoring can be used to inform future placement strategies for similar cohorts, drive continuous improvement in provider practices and facilitate timely intervention to support placement quality and longevity.</w:t>
      </w:r>
    </w:p>
    <w:p w14:paraId="3AF3D10A" w14:textId="0D317A3B" w:rsidR="006B6CA2" w:rsidRDefault="00141F6D" w:rsidP="006B6CA2">
      <w:r>
        <w:t>Post-placement data capture should be broadened to include additional measures of job quality, including access to training and professional development, adequacy of workplace adjustments (where relevant)</w:t>
      </w:r>
      <w:r w:rsidR="007A0601">
        <w:t>,</w:t>
      </w:r>
      <w:r>
        <w:t xml:space="preserve"> and hours worked relative to hours desired. </w:t>
      </w:r>
      <w:r w:rsidR="006B6CA2">
        <w:t xml:space="preserve">These extended measures would provide a more accurate picture of employment outcomes for workers and create incentives for providers to prioritise sustainable, quality placements. </w:t>
      </w:r>
    </w:p>
    <w:p w14:paraId="785652CE" w14:textId="77777777" w:rsidR="002A595A" w:rsidRDefault="002A595A" w:rsidP="002A595A">
      <w:pPr>
        <w:numPr>
          <w:ilvl w:val="0"/>
          <w:numId w:val="0"/>
        </w:numPr>
        <w:rPr>
          <w:b/>
          <w:bCs/>
        </w:rPr>
      </w:pPr>
      <w:r w:rsidRPr="002A595A">
        <w:rPr>
          <w:b/>
          <w:bCs/>
        </w:rPr>
        <w:t>Recommendation 1: The Department extend post-placement monitoring protocols</w:t>
      </w:r>
      <w:r w:rsidR="00E60C00">
        <w:rPr>
          <w:b/>
          <w:bCs/>
        </w:rPr>
        <w:t xml:space="preserve"> to capture a broader range of job quality indicators at 1</w:t>
      </w:r>
      <w:r w:rsidR="0072226F">
        <w:rPr>
          <w:b/>
          <w:bCs/>
        </w:rPr>
        <w:t>2, 26 and 52 weeks post-placement. Current measures should be expanded to include access to training and professional development, adequacy of workplace adjustments, and hours worked relative to ho</w:t>
      </w:r>
      <w:r w:rsidR="00E73C87">
        <w:rPr>
          <w:b/>
          <w:bCs/>
        </w:rPr>
        <w:t xml:space="preserve">urs desired. </w:t>
      </w:r>
    </w:p>
    <w:p w14:paraId="468D0C91" w14:textId="666F2C50" w:rsidR="00B60EF4" w:rsidRDefault="00B60EF4">
      <w:pPr>
        <w:numPr>
          <w:ilvl w:val="0"/>
          <w:numId w:val="0"/>
        </w:numPr>
        <w:spacing w:before="0" w:after="160" w:line="278" w:lineRule="auto"/>
        <w:rPr>
          <w:b/>
          <w:bCs/>
        </w:rPr>
      </w:pPr>
      <w:r>
        <w:rPr>
          <w:b/>
          <w:bCs/>
        </w:rPr>
        <w:br w:type="page"/>
      </w:r>
    </w:p>
    <w:p w14:paraId="5FFE6949" w14:textId="77777777" w:rsidR="00B60EF4" w:rsidRDefault="00B60EF4" w:rsidP="00B60EF4">
      <w:pPr>
        <w:pStyle w:val="Heading1"/>
      </w:pPr>
      <w:bookmarkStart w:id="8" w:name="_Toc236236224"/>
      <w:r>
        <w:lastRenderedPageBreak/>
        <w:t>Employment Service Providers</w:t>
      </w:r>
      <w:bookmarkEnd w:id="8"/>
    </w:p>
    <w:p w14:paraId="3E1A0324" w14:textId="77777777" w:rsidR="00B60EF4" w:rsidRDefault="00B60EF4" w:rsidP="00B60EF4">
      <w:pPr>
        <w:pStyle w:val="Heading2"/>
        <w:ind w:left="0" w:firstLine="0"/>
      </w:pPr>
      <w:bookmarkStart w:id="9" w:name="_Toc236236225"/>
      <w:r>
        <w:t>Building the capability of employment service providers to deliver inclusive and responsive services</w:t>
      </w:r>
      <w:bookmarkEnd w:id="9"/>
    </w:p>
    <w:p w14:paraId="06F74BF5" w14:textId="77777777" w:rsidR="00B60EF4" w:rsidRDefault="00B60EF4" w:rsidP="00B60EF4">
      <w:pPr>
        <w:pStyle w:val="Heading3"/>
      </w:pPr>
      <w:r>
        <w:t>Equipping employment service providers to recognise structural barriers to participation</w:t>
      </w:r>
    </w:p>
    <w:p w14:paraId="58299B3E" w14:textId="77777777" w:rsidR="00B60EF4" w:rsidRDefault="00B60EF4" w:rsidP="00B60EF4">
      <w:r>
        <w:t xml:space="preserve">The discussion paper proposes a three-stream model in which job seekers are organised according to their assessed distance from the labour market. </w:t>
      </w:r>
    </w:p>
    <w:p w14:paraId="4F357DED" w14:textId="77777777" w:rsidR="00B60EF4" w:rsidRDefault="00B60EF4" w:rsidP="00B60EF4">
      <w:r>
        <w:t xml:space="preserve">While the three-stream model represents a significant change to how job seekers are assessed and supported, it needs to recognise and respond to the structural barriers that shape labour market participation. </w:t>
      </w:r>
    </w:p>
    <w:p w14:paraId="522CD639" w14:textId="77777777" w:rsidR="00B60EF4" w:rsidRDefault="00B60EF4" w:rsidP="00B60EF4">
      <w:r>
        <w:t>Employment service providers should be provided with appropriate training to ensure that the systemic experiences of discrimination that many job seekers face are not misread as indicators of distance from the labour market.</w:t>
      </w:r>
    </w:p>
    <w:p w14:paraId="1D231C7B" w14:textId="77777777" w:rsidR="00B60EF4" w:rsidRDefault="00B60EF4" w:rsidP="00B60EF4">
      <w:r>
        <w:t>Where employment service providers lack the capability to distinguish structural disadvantage from individual work readiness, the three-stream model risks reproducing, and potentially entrenching, the exclusion it is designed to address.</w:t>
      </w:r>
    </w:p>
    <w:p w14:paraId="67085101" w14:textId="1F91365A" w:rsidR="00B60EF4" w:rsidRPr="006D519E" w:rsidRDefault="00B60EF4" w:rsidP="00B60EF4">
      <w:pPr>
        <w:numPr>
          <w:ilvl w:val="0"/>
          <w:numId w:val="0"/>
        </w:numPr>
        <w:ind w:left="29"/>
        <w:rPr>
          <w:b/>
          <w:bCs/>
        </w:rPr>
      </w:pPr>
      <w:r w:rsidRPr="006D519E">
        <w:rPr>
          <w:b/>
          <w:bCs/>
        </w:rPr>
        <w:t xml:space="preserve">Recommendation </w:t>
      </w:r>
      <w:r w:rsidR="00A16174">
        <w:rPr>
          <w:b/>
          <w:bCs/>
        </w:rPr>
        <w:t>2</w:t>
      </w:r>
      <w:r w:rsidRPr="006D519E">
        <w:rPr>
          <w:b/>
          <w:bCs/>
        </w:rPr>
        <w:t xml:space="preserve">: The Department provide targeted training to employment service providers to ensure the experiences of discrimination faced by </w:t>
      </w:r>
      <w:r>
        <w:rPr>
          <w:b/>
          <w:bCs/>
        </w:rPr>
        <w:t>job seekers</w:t>
      </w:r>
      <w:r w:rsidRPr="006D519E">
        <w:rPr>
          <w:b/>
          <w:bCs/>
        </w:rPr>
        <w:t xml:space="preserve"> are recognised as structural barriers.</w:t>
      </w:r>
    </w:p>
    <w:p w14:paraId="451887A7" w14:textId="77777777" w:rsidR="00B60EF4" w:rsidRDefault="00B60EF4" w:rsidP="00B60EF4">
      <w:pPr>
        <w:pStyle w:val="Heading3"/>
      </w:pPr>
      <w:r>
        <w:t>Enabling employment service providers to connect job seekers with local support</w:t>
      </w:r>
    </w:p>
    <w:p w14:paraId="5918E7E9" w14:textId="5A9CAD96" w:rsidR="00B60EF4" w:rsidRDefault="00B60EF4" w:rsidP="00B60EF4">
      <w:r>
        <w:t xml:space="preserve">The discussion paper proposes a new approach to assessment of job seekers, which would entail gathering information about how personal circumstances </w:t>
      </w:r>
      <w:r w:rsidR="004A7E23">
        <w:t>(</w:t>
      </w:r>
      <w:r>
        <w:t>such as caring responsibilities, health conditions and other factors</w:t>
      </w:r>
      <w:r w:rsidR="004A7E23">
        <w:t>)</w:t>
      </w:r>
      <w:r>
        <w:t xml:space="preserve"> influence a participant’s capacity to look for work. </w:t>
      </w:r>
    </w:p>
    <w:p w14:paraId="2B85B21C" w14:textId="1D9FE5CD" w:rsidR="00B60EF4" w:rsidRDefault="00B60EF4" w:rsidP="00B60EF4">
      <w:r>
        <w:t>This is a welcome step, and we recommend that the capacity of employment service providers be built to respond meaningfully to this information</w:t>
      </w:r>
      <w:r w:rsidRPr="00B9358D">
        <w:t xml:space="preserve">, including through information and referral services to identify subsidised or community-based care </w:t>
      </w:r>
      <w:r w:rsidR="4DB172F2">
        <w:t xml:space="preserve">and support </w:t>
      </w:r>
      <w:r w:rsidRPr="00B9358D">
        <w:t xml:space="preserve">in their local area. </w:t>
      </w:r>
    </w:p>
    <w:p w14:paraId="430E9531" w14:textId="77777777" w:rsidR="00B60EF4" w:rsidRDefault="00B60EF4" w:rsidP="00B60EF4">
      <w:r w:rsidRPr="00B9358D">
        <w:t>Research consistently demonstrate</w:t>
      </w:r>
      <w:r>
        <w:t>s</w:t>
      </w:r>
      <w:r w:rsidRPr="00B9358D">
        <w:t xml:space="preserve"> that unpaid caring has substantial impacts on an individual’s capacity to work</w:t>
      </w:r>
      <w:r>
        <w:t>:</w:t>
      </w:r>
    </w:p>
    <w:p w14:paraId="217E5B69" w14:textId="51971CB2" w:rsidR="00B60EF4" w:rsidRDefault="00B60EF4" w:rsidP="00B60EF4">
      <w:pPr>
        <w:pStyle w:val="ListParagraph"/>
        <w:numPr>
          <w:ilvl w:val="0"/>
          <w:numId w:val="34"/>
        </w:numPr>
      </w:pPr>
      <w:proofErr w:type="gramStart"/>
      <w:r w:rsidRPr="00B9358D">
        <w:t>The majority of</w:t>
      </w:r>
      <w:proofErr w:type="gramEnd"/>
      <w:r w:rsidRPr="00B9358D">
        <w:t xml:space="preserve"> Australia’s carer</w:t>
      </w:r>
      <w:r w:rsidR="000F2E62">
        <w:t>s</w:t>
      </w:r>
      <w:r w:rsidRPr="00B9358D">
        <w:t xml:space="preserve"> are aged between 45 and </w:t>
      </w:r>
      <w:r>
        <w:t>6</w:t>
      </w:r>
      <w:r w:rsidRPr="00B9358D">
        <w:t>4 years</w:t>
      </w:r>
      <w:r>
        <w:t>.</w:t>
      </w:r>
      <w:r>
        <w:rPr>
          <w:rStyle w:val="EndnoteReference"/>
        </w:rPr>
        <w:endnoteReference w:id="11"/>
      </w:r>
    </w:p>
    <w:p w14:paraId="0785801F" w14:textId="77777777" w:rsidR="00B60EF4" w:rsidRDefault="00B60EF4" w:rsidP="00B60EF4">
      <w:pPr>
        <w:pStyle w:val="ListParagraph"/>
        <w:numPr>
          <w:ilvl w:val="0"/>
          <w:numId w:val="34"/>
        </w:numPr>
      </w:pPr>
      <w:r>
        <w:t>C</w:t>
      </w:r>
      <w:r w:rsidRPr="00B9358D">
        <w:t xml:space="preserve">aring responsibilities within this cohort are </w:t>
      </w:r>
      <w:r>
        <w:t>distinctly</w:t>
      </w:r>
      <w:r w:rsidRPr="00B9358D">
        <w:t xml:space="preserve"> gendered</w:t>
      </w:r>
      <w:r>
        <w:t>, with</w:t>
      </w:r>
      <w:r w:rsidRPr="00F263B7">
        <w:t xml:space="preserve"> </w:t>
      </w:r>
      <w:r>
        <w:t>o</w:t>
      </w:r>
      <w:r w:rsidRPr="00B9358D">
        <w:t xml:space="preserve">lder women significantly more likely than older men to have left the </w:t>
      </w:r>
      <w:r w:rsidRPr="00B9358D">
        <w:lastRenderedPageBreak/>
        <w:t>workforce due to caring responsibilities and to face compounding barriers to re-entry</w:t>
      </w:r>
      <w:r>
        <w:t>.</w:t>
      </w:r>
      <w:r>
        <w:rPr>
          <w:rStyle w:val="EndnoteReference"/>
        </w:rPr>
        <w:endnoteReference w:id="12"/>
      </w:r>
    </w:p>
    <w:p w14:paraId="2790E8D9" w14:textId="77777777" w:rsidR="00B60EF4" w:rsidRDefault="00B60EF4" w:rsidP="00B60EF4">
      <w:pPr>
        <w:pStyle w:val="ListParagraph"/>
        <w:numPr>
          <w:ilvl w:val="0"/>
          <w:numId w:val="34"/>
        </w:numPr>
      </w:pPr>
      <w:r>
        <w:t>A large proportion of older workers are also managing concurrent caring responsibilities, combining care for older relatives with care for dependent children and grandchildren.</w:t>
      </w:r>
      <w:r>
        <w:rPr>
          <w:rStyle w:val="EndnoteReference"/>
        </w:rPr>
        <w:endnoteReference w:id="13"/>
      </w:r>
      <w:r>
        <w:t xml:space="preserve"> </w:t>
      </w:r>
    </w:p>
    <w:p w14:paraId="7D41A086" w14:textId="57EDB138" w:rsidR="00B60EF4" w:rsidRDefault="00B60EF4" w:rsidP="002B1785">
      <w:pPr>
        <w:pStyle w:val="ListParagraph"/>
        <w:numPr>
          <w:ilvl w:val="0"/>
          <w:numId w:val="34"/>
        </w:numPr>
        <w:spacing w:after="240"/>
      </w:pPr>
      <w:r>
        <w:t>Of Australia’s 1.2 million primary carers, 43.8% have disability themselves, meaning that many are navigating the demands of caring while also managing their own participation barriers.</w:t>
      </w:r>
      <w:r>
        <w:rPr>
          <w:rStyle w:val="EndnoteReference"/>
        </w:rPr>
        <w:endnoteReference w:id="14"/>
      </w:r>
    </w:p>
    <w:p w14:paraId="59B830C2" w14:textId="77777777" w:rsidR="00B60EF4" w:rsidRPr="00B9358D" w:rsidRDefault="00B60EF4" w:rsidP="00B60EF4">
      <w:pPr>
        <w:pStyle w:val="ListParagraph"/>
        <w:ind w:left="29"/>
      </w:pPr>
      <w:r>
        <w:t>Recognising the impact of caring responsibilities on job seekers’ capacity to work</w:t>
      </w:r>
      <w:r w:rsidRPr="00B9358D">
        <w:t xml:space="preserve"> is essential to </w:t>
      </w:r>
      <w:r>
        <w:t xml:space="preserve">realising the potential of training programs </w:t>
      </w:r>
      <w:r w:rsidRPr="00B9358D">
        <w:t xml:space="preserve">and </w:t>
      </w:r>
      <w:r>
        <w:t xml:space="preserve">improving the accessibility of </w:t>
      </w:r>
      <w:r w:rsidRPr="00B9358D">
        <w:t>employment services.</w:t>
      </w:r>
      <w:r w:rsidRPr="00AB0DA1">
        <w:t xml:space="preserve"> </w:t>
      </w:r>
      <w:r w:rsidRPr="00B9358D">
        <w:t>Access to affordable early childhood education and care, disability and aged care services is fundamental to enabling workforce participation for people with care responsibilities.</w:t>
      </w:r>
      <w:r>
        <w:rPr>
          <w:rStyle w:val="EndnoteReference"/>
        </w:rPr>
        <w:endnoteReference w:id="15"/>
      </w:r>
      <w:r w:rsidRPr="00B9358D">
        <w:t xml:space="preserve"> </w:t>
      </w:r>
    </w:p>
    <w:p w14:paraId="5C36A142" w14:textId="33AE489F" w:rsidR="00B60EF4" w:rsidRPr="002A595A" w:rsidRDefault="00B60EF4" w:rsidP="00487662">
      <w:pPr>
        <w:numPr>
          <w:ilvl w:val="0"/>
          <w:numId w:val="0"/>
        </w:numPr>
        <w:ind w:left="29"/>
        <w:rPr>
          <w:b/>
          <w:bCs/>
        </w:rPr>
        <w:sectPr w:rsidR="00B60EF4" w:rsidRPr="002A595A" w:rsidSect="00B60EF4">
          <w:headerReference w:type="default" r:id="rId20"/>
          <w:endnotePr>
            <w:numFmt w:val="decimal"/>
          </w:endnotePr>
          <w:pgSz w:w="11906" w:h="16838" w:code="9"/>
          <w:pgMar w:top="1440" w:right="1440" w:bottom="1440" w:left="1440" w:header="720" w:footer="720" w:gutter="0"/>
          <w:cols w:space="720"/>
          <w:docGrid w:linePitch="360"/>
        </w:sectPr>
      </w:pPr>
      <w:r w:rsidRPr="00A02A2C">
        <w:rPr>
          <w:b/>
          <w:bCs/>
        </w:rPr>
        <w:t xml:space="preserve">Recommendation </w:t>
      </w:r>
      <w:r w:rsidR="006B23C7">
        <w:rPr>
          <w:b/>
          <w:bCs/>
        </w:rPr>
        <w:t>3</w:t>
      </w:r>
      <w:r w:rsidRPr="00A02A2C">
        <w:rPr>
          <w:b/>
          <w:bCs/>
        </w:rPr>
        <w:t>: The Department expand wraparound support guidelines to incorporate referral pathways to affordable care services for workers with care responsibilities.</w:t>
      </w:r>
    </w:p>
    <w:bookmarkStart w:id="10" w:name="_Toc236236226" w:displacedByCustomXml="next"/>
    <w:sdt>
      <w:sdtPr>
        <w:id w:val="790785454"/>
        <w:placeholder>
          <w:docPart w:val="885683BD63C34DA193EF3FFFBC40A31F"/>
        </w:placeholder>
        <w:dataBinding w:prefixMappings="xmlns:ns0='http://AHRCheadings.htm' " w:xpath="/ns0:headings[1]/ns0:Topic3[1]" w:storeItemID="{59E40458-85DB-4B58-AD7F-ED1E21A92441}"/>
        <w:text/>
      </w:sdtPr>
      <w:sdtEndPr/>
      <w:sdtContent>
        <w:p w14:paraId="2C27E32E" w14:textId="77777777" w:rsidR="0015672E" w:rsidRDefault="00E7420F" w:rsidP="0015672E">
          <w:pPr>
            <w:pStyle w:val="Heading1"/>
          </w:pPr>
          <w:r>
            <w:t>Shifting Employer Practices: Demand-Side Reform</w:t>
          </w:r>
        </w:p>
      </w:sdtContent>
    </w:sdt>
    <w:bookmarkEnd w:id="10" w:displacedByCustomXml="prev"/>
    <w:p w14:paraId="114320A6" w14:textId="2304EAB3" w:rsidR="00BB0F71" w:rsidRPr="00BB0F71" w:rsidRDefault="00E7420F" w:rsidP="00BB0F71">
      <w:pPr>
        <w:pStyle w:val="Sectionsummarybody"/>
      </w:pPr>
      <w:r>
        <w:t>Employment services reform will only deliver sustainable outcomes if it is matched by meaningful action on the demand side. This section outlines the Commission’s recommendations to reform Australia’s discrimination law framework, strengthen employer obligations and capability, and invest in the conditions that enable inclusive and accessible workplaces. A national age inclusion strategy is proposed as a necessary complement to employment services reform, recognising that older Australians face labour market barriers that required a dedicated and coordinated policy response.</w:t>
      </w:r>
    </w:p>
    <w:p w14:paraId="574837FA" w14:textId="5DD1A752" w:rsidR="00E7420F" w:rsidRDefault="00E7420F" w:rsidP="00CA6AC6">
      <w:pPr>
        <w:pStyle w:val="Heading2"/>
        <w:ind w:left="0" w:firstLine="0"/>
      </w:pPr>
      <w:bookmarkStart w:id="11" w:name="_Toc236236227"/>
      <w:r>
        <w:t>Reframing employment outcomes as a shared responsibility</w:t>
      </w:r>
      <w:r w:rsidR="005F05C9">
        <w:t xml:space="preserve"> </w:t>
      </w:r>
      <w:r>
        <w:t>between employment service providers and employers</w:t>
      </w:r>
      <w:bookmarkEnd w:id="11"/>
    </w:p>
    <w:p w14:paraId="08984A17" w14:textId="77777777" w:rsidR="00E7420F" w:rsidRDefault="00E7420F" w:rsidP="00D024A3">
      <w:pPr>
        <w:pStyle w:val="Heading3"/>
      </w:pPr>
      <w:r>
        <w:t>Supply-side focus has failed to address structural exclusion</w:t>
      </w:r>
    </w:p>
    <w:p w14:paraId="555F06C8" w14:textId="7A2373D8" w:rsidR="00D024A3" w:rsidRDefault="00D024A3" w:rsidP="00D024A3">
      <w:r>
        <w:t>Employment services in Australia have historically been supply-side focused</w:t>
      </w:r>
      <w:r>
        <w:rPr>
          <w:rStyle w:val="EndnoteReference"/>
        </w:rPr>
        <w:endnoteReference w:id="16"/>
      </w:r>
      <w:r>
        <w:t xml:space="preserve">, with primary interventions focused on making job seekers more employable through skills development, resume assistance and job-matching support. </w:t>
      </w:r>
      <w:r w:rsidR="00355156">
        <w:t>Supply side</w:t>
      </w:r>
      <w:r>
        <w:t xml:space="preserve"> interventions are necessary, </w:t>
      </w:r>
      <w:r w:rsidR="00355156">
        <w:t>but are</w:t>
      </w:r>
      <w:r>
        <w:t xml:space="preserve"> </w:t>
      </w:r>
      <w:r w:rsidR="00355156">
        <w:t>in</w:t>
      </w:r>
      <w:r>
        <w:t xml:space="preserve">sufficient to address discrimination in hiring, retention and development. </w:t>
      </w:r>
    </w:p>
    <w:p w14:paraId="399409DD" w14:textId="4E68FD70" w:rsidR="00D024A3" w:rsidRPr="00703FA9" w:rsidRDefault="00D024A3" w:rsidP="00D024A3">
      <w:r w:rsidRPr="00FB4DC4">
        <w:t xml:space="preserve">Effective employment policy must address both supply and demand. While current government initiatives largely focus on improving job seeker readiness and qualifications, the Royal Commission </w:t>
      </w:r>
      <w:r w:rsidR="00355156">
        <w:t xml:space="preserve">into Violence, Abuse, Neglect and Exploitation of People with Disability (Disability Royal Commission) </w:t>
      </w:r>
      <w:r w:rsidR="004B7DAF">
        <w:t>found that</w:t>
      </w:r>
      <w:r w:rsidRPr="00FB4DC4">
        <w:t xml:space="preserve"> pervasive negative attitudes and low expectations among employers had the most significant impact on the employment and life outcomes for people with disability.</w:t>
      </w:r>
      <w:r>
        <w:rPr>
          <w:rStyle w:val="EndnoteReference"/>
        </w:rPr>
        <w:endnoteReference w:id="17"/>
      </w:r>
    </w:p>
    <w:p w14:paraId="7F4B29A4" w14:textId="01BD0557" w:rsidR="00D024A3" w:rsidRDefault="00D024A3" w:rsidP="00D024A3">
      <w:pPr>
        <w:suppressAutoHyphens/>
        <w:spacing w:after="120"/>
      </w:pPr>
      <w:r>
        <w:t xml:space="preserve">Similarly, the evaluation of the first phase of the Commission’s </w:t>
      </w:r>
      <w:r w:rsidRPr="00614173">
        <w:rPr>
          <w:i/>
        </w:rPr>
        <w:t>Equality at Work</w:t>
      </w:r>
      <w:r>
        <w:t xml:space="preserve"> project (formerly IncludeAbility) found that ‘</w:t>
      </w:r>
      <w:r w:rsidRPr="00F52F77">
        <w:t>the biggest barrier for a person with disability is low expectations of the employer</w:t>
      </w:r>
      <w:r>
        <w:t>’.</w:t>
      </w:r>
      <w:r>
        <w:rPr>
          <w:rStyle w:val="EndnoteReference"/>
        </w:rPr>
        <w:endnoteReference w:id="18"/>
      </w:r>
      <w:r>
        <w:t xml:space="preserve"> The evaluation highlighted that </w:t>
      </w:r>
      <w:r w:rsidRPr="00F52F77">
        <w:t xml:space="preserve">a general lack of awareness about disability and lack of contact with people with disability </w:t>
      </w:r>
      <w:r>
        <w:t xml:space="preserve">frequently act </w:t>
      </w:r>
      <w:r w:rsidRPr="00F52F77">
        <w:t>as drivers of negative attitudes about their employment potential</w:t>
      </w:r>
      <w:r>
        <w:t>.</w:t>
      </w:r>
      <w:r>
        <w:rPr>
          <w:rStyle w:val="EndnoteReference"/>
        </w:rPr>
        <w:endnoteReference w:id="19"/>
      </w:r>
    </w:p>
    <w:p w14:paraId="018967ED" w14:textId="5D4074A0" w:rsidR="00D024A3" w:rsidRDefault="00D024A3" w:rsidP="00D024A3">
      <w:r>
        <w:t xml:space="preserve">The Disability Royal Commission </w:t>
      </w:r>
      <w:r w:rsidR="00C365CC">
        <w:t xml:space="preserve">also </w:t>
      </w:r>
      <w:r>
        <w:t xml:space="preserve">heard that </w:t>
      </w:r>
      <w:r w:rsidRPr="0095059F">
        <w:t xml:space="preserve">some people with disability who had worked in both </w:t>
      </w:r>
      <w:r w:rsidR="00A02A2C">
        <w:t>Australian Disability Enterprises (</w:t>
      </w:r>
      <w:r w:rsidRPr="0095059F">
        <w:t>ADE</w:t>
      </w:r>
      <w:r w:rsidR="00A02A2C">
        <w:t>s)</w:t>
      </w:r>
      <w:r w:rsidRPr="0095059F">
        <w:t xml:space="preserve"> and open employment chose to return to ADEs</w:t>
      </w:r>
      <w:r>
        <w:t xml:space="preserve">, </w:t>
      </w:r>
      <w:r w:rsidRPr="0095059F">
        <w:t>despite lower wages received</w:t>
      </w:r>
      <w:r>
        <w:t xml:space="preserve">, </w:t>
      </w:r>
      <w:r w:rsidRPr="0095059F">
        <w:t xml:space="preserve">because </w:t>
      </w:r>
      <w:r>
        <w:t xml:space="preserve">of the </w:t>
      </w:r>
      <w:r w:rsidRPr="00774A27">
        <w:t>harassment, discrimination and social isolation</w:t>
      </w:r>
      <w:r>
        <w:t xml:space="preserve"> </w:t>
      </w:r>
      <w:r w:rsidRPr="0095059F">
        <w:t>they experience</w:t>
      </w:r>
      <w:r>
        <w:t>d</w:t>
      </w:r>
      <w:r w:rsidRPr="0095059F">
        <w:t xml:space="preserve"> in open employment</w:t>
      </w:r>
      <w:r>
        <w:t>.</w:t>
      </w:r>
      <w:r>
        <w:rPr>
          <w:rStyle w:val="EndnoteReference"/>
        </w:rPr>
        <w:endnoteReference w:id="20"/>
      </w:r>
      <w:r>
        <w:t xml:space="preserve"> </w:t>
      </w:r>
    </w:p>
    <w:p w14:paraId="76A4445E" w14:textId="3596C48F" w:rsidR="00FB54A4" w:rsidRDefault="00D024A3" w:rsidP="00FB54A4">
      <w:r>
        <w:lastRenderedPageBreak/>
        <w:t xml:space="preserve">Similar discriminatory attitudes exist towards older workers: 28% of </w:t>
      </w:r>
      <w:r w:rsidR="004B7DAF">
        <w:t xml:space="preserve">Human Resource </w:t>
      </w:r>
      <w:r>
        <w:t>professionals in Australia cite reluctance to hire older workers on the basis that they ‘have too much experience’</w:t>
      </w:r>
      <w:r w:rsidR="004B7DAF">
        <w:t>.</w:t>
      </w:r>
      <w:r>
        <w:rPr>
          <w:rStyle w:val="EndnoteReference"/>
        </w:rPr>
        <w:endnoteReference w:id="21"/>
      </w:r>
      <w:r>
        <w:t xml:space="preserve"> </w:t>
      </w:r>
    </w:p>
    <w:p w14:paraId="224AB840" w14:textId="1D6C0502" w:rsidR="00D024A3" w:rsidRDefault="00D024A3" w:rsidP="00874570">
      <w:r>
        <w:t>Age discrimination is not confined to the hiring stage; it shapes the experience of older workers throughout the employment lifecycle. Once in employment, older workers often lack career support. In recent research, only 50% of older workers reported having the opportunity to participate in career development activities and only 18% had access to mentors.</w:t>
      </w:r>
      <w:r>
        <w:rPr>
          <w:rStyle w:val="EndnoteReference"/>
        </w:rPr>
        <w:endnoteReference w:id="22"/>
      </w:r>
      <w:r>
        <w:t xml:space="preserve"> </w:t>
      </w:r>
      <w:r w:rsidR="00FB54A4">
        <w:t>Further upskilling of older workers is unlikely to support employment outcomes if this is not matched with employer interventions.</w:t>
      </w:r>
    </w:p>
    <w:p w14:paraId="278B392B" w14:textId="25A7CD95" w:rsidR="00D024A3" w:rsidRDefault="00D024A3" w:rsidP="00D024A3">
      <w:r>
        <w:t xml:space="preserve">Taken together, these patterns suggest that ableist and ageist assumptions are a systemic feature of workplace cultures and require a proactive approach. </w:t>
      </w:r>
      <w:r w:rsidR="00391DF3">
        <w:t>We</w:t>
      </w:r>
      <w:r w:rsidR="00100C45">
        <w:t xml:space="preserve"> also acknowledge that </w:t>
      </w:r>
      <w:r w:rsidR="00F646BD">
        <w:t xml:space="preserve">racism and sexism remain ongoing barriers to workforce </w:t>
      </w:r>
      <w:r w:rsidR="009A25EC">
        <w:t xml:space="preserve">participation, reinforcing that discrimination in the workplace is systemic in nature and cannot be addressed through reactive measures alone. </w:t>
      </w:r>
      <w:r>
        <w:t>Stronger legal obligations have the potential to uplift employer capabilities in this regard.</w:t>
      </w:r>
    </w:p>
    <w:p w14:paraId="231CF483" w14:textId="77777777" w:rsidR="006D519E" w:rsidRDefault="006D519E" w:rsidP="006D519E">
      <w:pPr>
        <w:pStyle w:val="Heading3"/>
      </w:pPr>
      <w:r>
        <w:t>A positive duty to prevent discrimination would drive systemic change</w:t>
      </w:r>
    </w:p>
    <w:p w14:paraId="28DD052B" w14:textId="4839331F" w:rsidR="00DD46A5" w:rsidRDefault="00DD46A5" w:rsidP="00DD46A5">
      <w:r>
        <w:t>Existing federal discrimination law, built around reactive complaint-based mechanisms, has been unable to dismantle the systemic exclusion of older workers and people with disability from meaningful workplace participation.</w:t>
      </w:r>
    </w:p>
    <w:p w14:paraId="0ED78EC5" w14:textId="77777777" w:rsidR="009118C2" w:rsidRDefault="002D14C7" w:rsidP="009118C2">
      <w:r>
        <w:t>T</w:t>
      </w:r>
      <w:r w:rsidR="00F55266">
        <w:t xml:space="preserve">he discussion paper’s vision of a more effective and responsive employment services system </w:t>
      </w:r>
      <w:r w:rsidR="005D7121">
        <w:t xml:space="preserve">should be complemented by a strengthening of legal obligations to </w:t>
      </w:r>
      <w:r w:rsidR="005D7121" w:rsidRPr="002B1785">
        <w:t xml:space="preserve">shift </w:t>
      </w:r>
      <w:r w:rsidR="00DD46A5" w:rsidRPr="002B1785">
        <w:t>employer responsibility from reactive compliance toward the proactive prevention of discrimination</w:t>
      </w:r>
      <w:r w:rsidR="00140EBD" w:rsidRPr="002B1785">
        <w:t>.</w:t>
      </w:r>
    </w:p>
    <w:p w14:paraId="2EBAF9B8" w14:textId="766B5638" w:rsidR="00DD46A5" w:rsidRPr="009118C2" w:rsidRDefault="005D7121" w:rsidP="009118C2">
      <w:r w:rsidRPr="002B1785">
        <w:t>We</w:t>
      </w:r>
      <w:r w:rsidR="00DD46A5" w:rsidRPr="002B1785">
        <w:t xml:space="preserve"> reiterate </w:t>
      </w:r>
      <w:r w:rsidRPr="002B1785">
        <w:t>our</w:t>
      </w:r>
      <w:r w:rsidR="007C50BF" w:rsidRPr="002B1785">
        <w:t xml:space="preserve"> view </w:t>
      </w:r>
      <w:r w:rsidR="00DD46A5" w:rsidRPr="002B1785">
        <w:t>that a positive duty to take reasonable and proportionate measures</w:t>
      </w:r>
      <w:r w:rsidR="00DD46A5">
        <w:t xml:space="preserve"> to eliminate </w:t>
      </w:r>
      <w:r w:rsidR="002C5271">
        <w:t xml:space="preserve">all forms of </w:t>
      </w:r>
      <w:r w:rsidR="00DD46A5">
        <w:t>unlawful discrimination</w:t>
      </w:r>
      <w:r w:rsidR="00D93090">
        <w:t xml:space="preserve"> should be introduced into </w:t>
      </w:r>
      <w:r w:rsidR="002C0F0D">
        <w:t>all</w:t>
      </w:r>
      <w:r w:rsidR="00D93090">
        <w:t xml:space="preserve"> federal discrimination laws.</w:t>
      </w:r>
      <w:r w:rsidR="007C50BF">
        <w:rPr>
          <w:rStyle w:val="EndnoteReference"/>
        </w:rPr>
        <w:endnoteReference w:id="23"/>
      </w:r>
      <w:r w:rsidR="00D93090">
        <w:t xml:space="preserve"> </w:t>
      </w:r>
      <w:r w:rsidR="00DD46A5">
        <w:t xml:space="preserve">By placing this duty across all discrimination laws, clear </w:t>
      </w:r>
      <w:r w:rsidR="00D93090">
        <w:t>and consistent</w:t>
      </w:r>
      <w:r w:rsidR="00DD46A5">
        <w:t xml:space="preserve"> expectations would be set that employers and businesses act</w:t>
      </w:r>
      <w:r w:rsidR="002B6383">
        <w:t xml:space="preserve"> </w:t>
      </w:r>
      <w:r w:rsidR="5DEB7CBF">
        <w:t xml:space="preserve">without </w:t>
      </w:r>
      <w:r w:rsidR="00DD46A5">
        <w:t>discriminat</w:t>
      </w:r>
      <w:r w:rsidR="0DFCB974">
        <w:t xml:space="preserve">ion </w:t>
      </w:r>
      <w:r w:rsidR="00DD46A5">
        <w:t>and pre-emptively consider and address risks of discrimination before they arise.</w:t>
      </w:r>
      <w:r w:rsidR="00CF4563">
        <w:t xml:space="preserve"> </w:t>
      </w:r>
      <w:r w:rsidR="00D96519" w:rsidRPr="00152783">
        <w:t xml:space="preserve">We continue to advocate for a positive duty that would cover all areas of </w:t>
      </w:r>
      <w:r w:rsidR="005E2BD7" w:rsidRPr="00152783">
        <w:t xml:space="preserve">public </w:t>
      </w:r>
      <w:r w:rsidR="00D96519" w:rsidRPr="00152783">
        <w:t>life</w:t>
      </w:r>
      <w:r w:rsidR="00F437EB" w:rsidRPr="009118C2">
        <w:t xml:space="preserve"> that are protected under discrimination law, but</w:t>
      </w:r>
      <w:r w:rsidR="00152783" w:rsidRPr="009118C2">
        <w:t xml:space="preserve">, </w:t>
      </w:r>
      <w:proofErr w:type="gramStart"/>
      <w:r w:rsidR="00152783" w:rsidRPr="009118C2">
        <w:t>in light of</w:t>
      </w:r>
      <w:proofErr w:type="gramEnd"/>
      <w:r w:rsidR="00152783" w:rsidRPr="009118C2">
        <w:t xml:space="preserve"> the scope of this consultation, </w:t>
      </w:r>
      <w:r w:rsidR="00140EBD">
        <w:t xml:space="preserve">we </w:t>
      </w:r>
      <w:r w:rsidR="00152783" w:rsidRPr="009118C2">
        <w:t>limit our</w:t>
      </w:r>
      <w:r w:rsidR="00F437EB" w:rsidRPr="009118C2">
        <w:t xml:space="preserve"> </w:t>
      </w:r>
      <w:r w:rsidR="000C0868" w:rsidRPr="009118C2">
        <w:t>recommend</w:t>
      </w:r>
      <w:r w:rsidR="00152783" w:rsidRPr="009118C2">
        <w:t>ation to</w:t>
      </w:r>
      <w:r w:rsidR="000C0868" w:rsidRPr="009118C2">
        <w:t xml:space="preserve"> a positive duty in employment as a priority area.</w:t>
      </w:r>
    </w:p>
    <w:p w14:paraId="3AA69B5D" w14:textId="625B19DE" w:rsidR="00074DFF" w:rsidRDefault="006D519E" w:rsidP="009E353D">
      <w:pPr>
        <w:numPr>
          <w:ilvl w:val="0"/>
          <w:numId w:val="0"/>
        </w:numPr>
        <w:ind w:left="29"/>
        <w:rPr>
          <w:b/>
        </w:rPr>
      </w:pPr>
      <w:r w:rsidRPr="006D519E">
        <w:rPr>
          <w:b/>
          <w:bCs/>
        </w:rPr>
        <w:t xml:space="preserve">Recommendation </w:t>
      </w:r>
      <w:r w:rsidR="006B23C7">
        <w:rPr>
          <w:b/>
          <w:bCs/>
        </w:rPr>
        <w:t>4</w:t>
      </w:r>
      <w:r w:rsidRPr="006D519E">
        <w:rPr>
          <w:b/>
          <w:bCs/>
        </w:rPr>
        <w:t>: The Australian Government</w:t>
      </w:r>
      <w:r w:rsidR="00636223">
        <w:rPr>
          <w:b/>
        </w:rPr>
        <w:t xml:space="preserve"> </w:t>
      </w:r>
      <w:r w:rsidRPr="00015039">
        <w:rPr>
          <w:b/>
        </w:rPr>
        <w:t>reform</w:t>
      </w:r>
      <w:r w:rsidR="00CF2A8F">
        <w:rPr>
          <w:b/>
        </w:rPr>
        <w:t>:</w:t>
      </w:r>
      <w:r w:rsidR="009E353D">
        <w:rPr>
          <w:b/>
        </w:rPr>
        <w:t xml:space="preserve"> </w:t>
      </w:r>
    </w:p>
    <w:p w14:paraId="27CCAE33" w14:textId="0F961B6D" w:rsidR="00CF4563" w:rsidRPr="00074DFF" w:rsidRDefault="00B21331" w:rsidP="00074DFF">
      <w:pPr>
        <w:pStyle w:val="ListParagraph"/>
        <w:numPr>
          <w:ilvl w:val="0"/>
          <w:numId w:val="36"/>
        </w:numPr>
        <w:rPr>
          <w:b/>
        </w:rPr>
      </w:pPr>
      <w:r w:rsidRPr="00074DFF">
        <w:rPr>
          <w:b/>
        </w:rPr>
        <w:t xml:space="preserve">the </w:t>
      </w:r>
      <w:r w:rsidR="00D22BEB" w:rsidRPr="00074DFF">
        <w:rPr>
          <w:b/>
          <w:i/>
        </w:rPr>
        <w:t xml:space="preserve">Age Discrimination Act 2004 </w:t>
      </w:r>
      <w:r w:rsidR="00D22BEB" w:rsidRPr="00074DFF">
        <w:rPr>
          <w:b/>
        </w:rPr>
        <w:t>(Cth),</w:t>
      </w:r>
      <w:r w:rsidR="00D22BEB" w:rsidRPr="00074DFF">
        <w:rPr>
          <w:b/>
          <w:i/>
        </w:rPr>
        <w:t xml:space="preserve"> </w:t>
      </w:r>
      <w:r w:rsidR="00D22BEB" w:rsidRPr="00074DFF">
        <w:rPr>
          <w:b/>
        </w:rPr>
        <w:t xml:space="preserve">the </w:t>
      </w:r>
      <w:r w:rsidR="00D22BEB" w:rsidRPr="00074DFF">
        <w:rPr>
          <w:b/>
          <w:i/>
        </w:rPr>
        <w:t>Disability Discrimination Act 1992</w:t>
      </w:r>
      <w:r w:rsidR="00D22BEB" w:rsidRPr="00074DFF">
        <w:rPr>
          <w:b/>
        </w:rPr>
        <w:t xml:space="preserve"> (Cth), and the </w:t>
      </w:r>
      <w:r w:rsidR="00D22BEB" w:rsidRPr="00074DFF">
        <w:rPr>
          <w:b/>
          <w:i/>
        </w:rPr>
        <w:t xml:space="preserve">Racial Discrimination Act </w:t>
      </w:r>
      <w:r w:rsidR="00D22BEB" w:rsidRPr="00074DFF">
        <w:rPr>
          <w:b/>
        </w:rPr>
        <w:t>1975 (Cth)</w:t>
      </w:r>
      <w:r w:rsidR="006D519E" w:rsidRPr="00074DFF">
        <w:rPr>
          <w:b/>
        </w:rPr>
        <w:t xml:space="preserve"> by introducing a positive duty to prevent and eliminate all forms of discrimination</w:t>
      </w:r>
      <w:r w:rsidR="00547E90" w:rsidRPr="00074DFF">
        <w:rPr>
          <w:b/>
        </w:rPr>
        <w:t xml:space="preserve"> in employment</w:t>
      </w:r>
      <w:r w:rsidR="006D519E" w:rsidRPr="00074DFF">
        <w:rPr>
          <w:b/>
        </w:rPr>
        <w:t xml:space="preserve">. </w:t>
      </w:r>
    </w:p>
    <w:p w14:paraId="40BE55D8" w14:textId="3ADABDB1" w:rsidR="00091E6C" w:rsidRPr="009118C2" w:rsidRDefault="00091E6C" w:rsidP="009118C2">
      <w:pPr>
        <w:pStyle w:val="ListParagraph"/>
        <w:numPr>
          <w:ilvl w:val="0"/>
          <w:numId w:val="36"/>
        </w:numPr>
        <w:rPr>
          <w:b/>
        </w:rPr>
      </w:pPr>
      <w:r>
        <w:rPr>
          <w:b/>
        </w:rPr>
        <w:lastRenderedPageBreak/>
        <w:t xml:space="preserve">the </w:t>
      </w:r>
      <w:r>
        <w:rPr>
          <w:b/>
          <w:i/>
          <w:iCs/>
        </w:rPr>
        <w:t xml:space="preserve">Sex Discrimination Act 1984 </w:t>
      </w:r>
      <w:r>
        <w:rPr>
          <w:b/>
        </w:rPr>
        <w:t xml:space="preserve">(Cth) to </w:t>
      </w:r>
      <w:r w:rsidR="001E2399">
        <w:rPr>
          <w:b/>
        </w:rPr>
        <w:t xml:space="preserve">expand the </w:t>
      </w:r>
      <w:r w:rsidR="00F47ABF">
        <w:rPr>
          <w:b/>
        </w:rPr>
        <w:t xml:space="preserve">existing </w:t>
      </w:r>
      <w:r w:rsidR="001E2399">
        <w:rPr>
          <w:b/>
        </w:rPr>
        <w:t xml:space="preserve">positive duty </w:t>
      </w:r>
      <w:proofErr w:type="gramStart"/>
      <w:r w:rsidR="00000F22">
        <w:rPr>
          <w:b/>
        </w:rPr>
        <w:t>so as to</w:t>
      </w:r>
      <w:proofErr w:type="gramEnd"/>
      <w:r w:rsidR="00000F22">
        <w:rPr>
          <w:b/>
        </w:rPr>
        <w:t xml:space="preserve"> cover all protected attributes.</w:t>
      </w:r>
    </w:p>
    <w:p w14:paraId="46F6B0FC" w14:textId="77777777" w:rsidR="001E3B99" w:rsidRPr="00015039" w:rsidRDefault="001E3B99" w:rsidP="009118C2">
      <w:pPr>
        <w:numPr>
          <w:ilvl w:val="0"/>
          <w:numId w:val="0"/>
        </w:numPr>
        <w:ind w:left="29"/>
        <w:rPr>
          <w:b/>
        </w:rPr>
      </w:pPr>
    </w:p>
    <w:p w14:paraId="770B7013" w14:textId="77777777" w:rsidR="00E7420F" w:rsidRDefault="00E7420F" w:rsidP="00CA6AC6">
      <w:pPr>
        <w:pStyle w:val="Heading2"/>
        <w:ind w:left="0" w:firstLine="0"/>
      </w:pPr>
      <w:bookmarkStart w:id="12" w:name="_Toc236236228"/>
      <w:r>
        <w:t>Strengthening employer obligations and workplace capability</w:t>
      </w:r>
      <w:bookmarkEnd w:id="12"/>
    </w:p>
    <w:p w14:paraId="0CD78BF5" w14:textId="4595081E" w:rsidR="00E7420F" w:rsidRDefault="00E7420F" w:rsidP="00D62838">
      <w:pPr>
        <w:pStyle w:val="Heading3"/>
      </w:pPr>
      <w:r>
        <w:t xml:space="preserve">Reasonable </w:t>
      </w:r>
      <w:r w:rsidR="25E171DF">
        <w:t>adjustments</w:t>
      </w:r>
      <w:r>
        <w:t xml:space="preserve"> are inconsistently </w:t>
      </w:r>
      <w:r w:rsidR="00F62895">
        <w:t>provided by employers</w:t>
      </w:r>
    </w:p>
    <w:p w14:paraId="4420DDA4" w14:textId="06FC504C" w:rsidR="00EA1D19" w:rsidRDefault="00D62838" w:rsidP="00D62838">
      <w:r>
        <w:t xml:space="preserve">Employers have obligations under the </w:t>
      </w:r>
      <w:r w:rsidRPr="00263A7A">
        <w:rPr>
          <w:i/>
          <w:iCs/>
        </w:rPr>
        <w:t xml:space="preserve">Disability Discrimination Act 1992 </w:t>
      </w:r>
      <w:r>
        <w:t>(Cth) to provide reasonable adjustments to workers with disability</w:t>
      </w:r>
      <w:r w:rsidR="00565717">
        <w:t>.</w:t>
      </w:r>
      <w:r w:rsidR="00C82F1D">
        <w:rPr>
          <w:rStyle w:val="EndnoteReference"/>
        </w:rPr>
        <w:endnoteReference w:id="24"/>
      </w:r>
      <w:r>
        <w:t xml:space="preserve"> This applies to all workers </w:t>
      </w:r>
      <w:r w:rsidR="00733BE1">
        <w:t xml:space="preserve">with disability </w:t>
      </w:r>
      <w:r>
        <w:t xml:space="preserve">and is not limited to workers eligible for disability employment services (which are beyond the scope of this consultation). </w:t>
      </w:r>
    </w:p>
    <w:p w14:paraId="3BE3B9CA" w14:textId="14E33B19" w:rsidR="00D62838" w:rsidRDefault="00D62838" w:rsidP="00D62838">
      <w:r>
        <w:t>However, the Disability Royal Commission</w:t>
      </w:r>
      <w:r w:rsidR="0052710B">
        <w:rPr>
          <w:rStyle w:val="EndnoteReference"/>
        </w:rPr>
        <w:endnoteReference w:id="25"/>
      </w:r>
      <w:r>
        <w:t xml:space="preserve"> and other inquiries</w:t>
      </w:r>
      <w:r w:rsidR="00C202AE">
        <w:rPr>
          <w:rStyle w:val="EndnoteReference"/>
        </w:rPr>
        <w:endnoteReference w:id="26"/>
      </w:r>
      <w:r>
        <w:t xml:space="preserve"> evidenced the extent of discrimination in employment. Many employers across industries lack the knowledge, experience, and willingness to offer meaningful and safe workplaces and conditions to people who need adjustments. </w:t>
      </w:r>
    </w:p>
    <w:p w14:paraId="55FBBCF3" w14:textId="4F5DDCDA" w:rsidR="00AC777C" w:rsidRDefault="00D410F5" w:rsidP="006E5F11">
      <w:pPr>
        <w:pStyle w:val="Heading3"/>
      </w:pPr>
      <w:r>
        <w:t>Supporting older workers to sustain safe and productive employment</w:t>
      </w:r>
    </w:p>
    <w:p w14:paraId="0C8162F8" w14:textId="0F4BA694" w:rsidR="00D62838" w:rsidRDefault="61DD5D26" w:rsidP="00D62838">
      <w:r>
        <w:t>M</w:t>
      </w:r>
      <w:r w:rsidR="20F727DC">
        <w:t>any</w:t>
      </w:r>
      <w:r w:rsidR="00CA6217">
        <w:t xml:space="preserve"> older workers </w:t>
      </w:r>
      <w:r w:rsidR="00D13287">
        <w:t xml:space="preserve">require changes to how and when they work </w:t>
      </w:r>
      <w:r w:rsidR="00097176">
        <w:t>to</w:t>
      </w:r>
      <w:r w:rsidR="00D13287">
        <w:t xml:space="preserve"> sustain safe and productive employment, </w:t>
      </w:r>
      <w:r w:rsidR="26684F79">
        <w:t xml:space="preserve">but </w:t>
      </w:r>
      <w:r w:rsidR="00D13287">
        <w:t xml:space="preserve">employer capability and confidence to support this remains low. </w:t>
      </w:r>
      <w:r w:rsidR="00D62838">
        <w:t>For older workers in blue-collar and pink-collar roles in particular, the threshold of weekly hours beyond which mental health and vitality decline is 7-9 hours lower than for white-collar workers</w:t>
      </w:r>
      <w:r w:rsidR="00993C1F">
        <w:t>.</w:t>
      </w:r>
      <w:r w:rsidR="00D62838">
        <w:rPr>
          <w:rStyle w:val="EndnoteReference"/>
        </w:rPr>
        <w:endnoteReference w:id="27"/>
      </w:r>
      <w:r w:rsidR="00993C1F">
        <w:t xml:space="preserve"> </w:t>
      </w:r>
      <w:r w:rsidR="00D62838">
        <w:t>For this reason, many older workers require adjustments such as ergonomic modifications, flexible hours or modified duties to sustain employment. Access to such adaptations is associated with greater employee productivity, wellbeing</w:t>
      </w:r>
      <w:r w:rsidR="00D62838">
        <w:rPr>
          <w:rStyle w:val="EndnoteReference"/>
        </w:rPr>
        <w:endnoteReference w:id="28"/>
      </w:r>
      <w:r w:rsidR="00D62838">
        <w:t xml:space="preserve"> and mental health</w:t>
      </w:r>
      <w:r w:rsidR="00456C86">
        <w:t>.</w:t>
      </w:r>
      <w:r w:rsidR="00D62838">
        <w:rPr>
          <w:rStyle w:val="EndnoteReference"/>
        </w:rPr>
        <w:endnoteReference w:id="29"/>
      </w:r>
    </w:p>
    <w:p w14:paraId="5ABE7CD0" w14:textId="29434033" w:rsidR="00D62838" w:rsidRDefault="006E5F11" w:rsidP="00D62838">
      <w:r>
        <w:t>While</w:t>
      </w:r>
      <w:r w:rsidR="00D62838">
        <w:t xml:space="preserve"> the right to request flexible working arrangements </w:t>
      </w:r>
      <w:r>
        <w:t xml:space="preserve">exists </w:t>
      </w:r>
      <w:r w:rsidR="00EA1D19">
        <w:t xml:space="preserve">under the </w:t>
      </w:r>
      <w:r w:rsidR="00EA1D19" w:rsidRPr="00EA1D19">
        <w:rPr>
          <w:i/>
          <w:iCs/>
        </w:rPr>
        <w:t>Fair Work Act 2009</w:t>
      </w:r>
      <w:r w:rsidR="00EA1D19">
        <w:t xml:space="preserve"> (Cth)</w:t>
      </w:r>
      <w:r>
        <w:t>, it</w:t>
      </w:r>
      <w:r w:rsidR="00EA1D19">
        <w:t xml:space="preserve"> </w:t>
      </w:r>
      <w:r w:rsidR="00D62838">
        <w:t>does not automatically translate into successful workplace negotiations</w:t>
      </w:r>
      <w:r w:rsidR="00456C86">
        <w:t>,</w:t>
      </w:r>
      <w:r w:rsidR="00D62838">
        <w:rPr>
          <w:rStyle w:val="EndnoteReference"/>
        </w:rPr>
        <w:endnoteReference w:id="30"/>
      </w:r>
      <w:r w:rsidR="00D62838">
        <w:t xml:space="preserve"> particularly for job seekers who feel they have limited bargaining power or fear flexibility stigma</w:t>
      </w:r>
      <w:r w:rsidR="0053503B">
        <w:t>.</w:t>
      </w:r>
    </w:p>
    <w:p w14:paraId="58C724A8" w14:textId="13B235C0" w:rsidR="00D62838" w:rsidRDefault="00D62838" w:rsidP="00D62838">
      <w:r>
        <w:t xml:space="preserve">Building employer capability to meet obligations by creating inclusive and accessible employment should be part of the placement process from the outset. </w:t>
      </w:r>
      <w:r w:rsidR="00563A96">
        <w:t>S</w:t>
      </w:r>
      <w:r>
        <w:t xml:space="preserve">upports </w:t>
      </w:r>
      <w:r w:rsidR="00563A96">
        <w:t>for employers</w:t>
      </w:r>
      <w:r>
        <w:t xml:space="preserve"> will lead to more sustainable employment outcomes and reduce the risk of placements breaking down due to discrimination and unaddressed needs. </w:t>
      </w:r>
    </w:p>
    <w:p w14:paraId="6AD62CDA" w14:textId="77777777" w:rsidR="00931EFF" w:rsidRDefault="00931EFF" w:rsidP="00931EFF">
      <w:pPr>
        <w:pStyle w:val="Heading3"/>
      </w:pPr>
      <w:r>
        <w:lastRenderedPageBreak/>
        <w:t>Targeted pilot programs demonstrate what inclusive employer practice looks like in action</w:t>
      </w:r>
    </w:p>
    <w:p w14:paraId="35838FA5" w14:textId="11E6B444" w:rsidR="00931EFF" w:rsidRDefault="00931EFF" w:rsidP="00E7420F">
      <w:r>
        <w:t>The Commission’s own pilot programs</w:t>
      </w:r>
      <w:r w:rsidR="00E40C64">
        <w:t xml:space="preserve">, </w:t>
      </w:r>
      <w:r w:rsidR="0053132A">
        <w:t xml:space="preserve">including </w:t>
      </w:r>
      <w:r w:rsidR="00E40C64">
        <w:t xml:space="preserve">its </w:t>
      </w:r>
      <w:r w:rsidR="00E40C64" w:rsidRPr="00CA6AC6">
        <w:rPr>
          <w:i/>
          <w:iCs/>
        </w:rPr>
        <w:t>Equality at Work</w:t>
      </w:r>
      <w:r w:rsidR="00E40C64">
        <w:t xml:space="preserve"> project,</w:t>
      </w:r>
      <w:r>
        <w:t xml:space="preserve"> demonstrate that targeted, employer-facing investment can drive measurable improvements in placement quality and workplace inclusion for people with disability.</w:t>
      </w:r>
    </w:p>
    <w:p w14:paraId="132A8EE0" w14:textId="4572F18A" w:rsidR="00931EFF" w:rsidRPr="00143EE9" w:rsidRDefault="00E40C64" w:rsidP="00931EFF">
      <w:pPr>
        <w:rPr>
          <w:shd w:val="clear" w:color="auto" w:fill="FFFFFF"/>
          <w:lang w:val="en-US"/>
        </w:rPr>
      </w:pPr>
      <w:r w:rsidRPr="00CA6AC6">
        <w:rPr>
          <w:i/>
          <w:iCs/>
          <w:shd w:val="clear" w:color="auto" w:fill="FFFFFF"/>
          <w:lang w:val="en-US"/>
        </w:rPr>
        <w:t>Equality at Work</w:t>
      </w:r>
      <w:r w:rsidR="00931EFF" w:rsidRPr="00D71661">
        <w:rPr>
          <w:shd w:val="clear" w:color="auto" w:fill="FFFFFF"/>
          <w:lang w:val="en-US"/>
        </w:rPr>
        <w:t xml:space="preserve"> is co-designed with people with </w:t>
      </w:r>
      <w:proofErr w:type="gramStart"/>
      <w:r w:rsidR="00931EFF" w:rsidRPr="00D71661">
        <w:rPr>
          <w:shd w:val="clear" w:color="auto" w:fill="FFFFFF"/>
          <w:lang w:val="en-US"/>
        </w:rPr>
        <w:t>disability</w:t>
      </w:r>
      <w:proofErr w:type="gramEnd"/>
      <w:r w:rsidR="00931EFF" w:rsidRPr="00D71661">
        <w:rPr>
          <w:shd w:val="clear" w:color="auto" w:fill="FFFFFF"/>
          <w:lang w:val="en-US"/>
        </w:rPr>
        <w:t xml:space="preserve"> and leverages their expertise to inform employer practices and build inclusive workplace cultures.</w:t>
      </w:r>
      <w:r w:rsidR="00931EFF" w:rsidRPr="196BA5DD">
        <w:rPr>
          <w:shd w:val="clear" w:color="auto" w:fill="FFFFFF"/>
          <w:lang w:val="en-US"/>
        </w:rPr>
        <w:t xml:space="preserve"> All pilot employment opportunities are in open employment and offer competitive wages that are at or above the national minimum wage</w:t>
      </w:r>
      <w:r w:rsidR="00931EFF">
        <w:rPr>
          <w:shd w:val="clear" w:color="auto" w:fill="FFFFFF"/>
          <w:lang w:val="en-US"/>
        </w:rPr>
        <w:t>.</w:t>
      </w:r>
    </w:p>
    <w:p w14:paraId="62B7EA5C" w14:textId="4A6E6253" w:rsidR="00931EFF" w:rsidRPr="00143EE9" w:rsidRDefault="00E40C64" w:rsidP="00931EFF">
      <w:pPr>
        <w:rPr>
          <w:shd w:val="clear" w:color="auto" w:fill="FFFFFF"/>
          <w:lang w:val="en-US"/>
        </w:rPr>
      </w:pPr>
      <w:r>
        <w:rPr>
          <w:shd w:val="clear" w:color="auto" w:fill="FFFFFF"/>
          <w:lang w:val="en-US"/>
        </w:rPr>
        <w:t>Through the project, we</w:t>
      </w:r>
      <w:r w:rsidR="00931EFF" w:rsidRPr="00F75F48">
        <w:rPr>
          <w:shd w:val="clear" w:color="auto" w:fill="FFFFFF"/>
          <w:lang w:val="en-US"/>
        </w:rPr>
        <w:t xml:space="preserve"> provide tailored support to participating employers, drawing on </w:t>
      </w:r>
      <w:r>
        <w:rPr>
          <w:shd w:val="clear" w:color="auto" w:fill="FFFFFF"/>
          <w:lang w:val="en-US"/>
        </w:rPr>
        <w:t>our</w:t>
      </w:r>
      <w:r w:rsidRPr="00F75F48">
        <w:rPr>
          <w:shd w:val="clear" w:color="auto" w:fill="FFFFFF"/>
          <w:lang w:val="en-US"/>
        </w:rPr>
        <w:t xml:space="preserve"> </w:t>
      </w:r>
      <w:r w:rsidR="00931EFF" w:rsidRPr="00F75F48">
        <w:rPr>
          <w:shd w:val="clear" w:color="auto" w:fill="FFFFFF"/>
          <w:lang w:val="en-US"/>
        </w:rPr>
        <w:t xml:space="preserve">statutory expertise in human rights and </w:t>
      </w:r>
      <w:r>
        <w:rPr>
          <w:shd w:val="clear" w:color="auto" w:fill="FFFFFF"/>
          <w:lang w:val="en-US"/>
        </w:rPr>
        <w:t>our</w:t>
      </w:r>
      <w:r w:rsidRPr="00F75F48">
        <w:rPr>
          <w:shd w:val="clear" w:color="auto" w:fill="FFFFFF"/>
          <w:lang w:val="en-US"/>
        </w:rPr>
        <w:t xml:space="preserve"> </w:t>
      </w:r>
      <w:r w:rsidR="00931EFF" w:rsidRPr="00F75F48">
        <w:rPr>
          <w:shd w:val="clear" w:color="auto" w:fill="FFFFFF"/>
          <w:lang w:val="en-US"/>
        </w:rPr>
        <w:t xml:space="preserve">experience in conciliating disability discrimination complaints. This support includes </w:t>
      </w:r>
      <w:r w:rsidR="00931EFF">
        <w:rPr>
          <w:shd w:val="clear" w:color="auto" w:fill="FFFFFF"/>
          <w:lang w:val="en-US"/>
        </w:rPr>
        <w:t xml:space="preserve">training, </w:t>
      </w:r>
      <w:r w:rsidR="00931EFF" w:rsidRPr="00F75F48">
        <w:rPr>
          <w:shd w:val="clear" w:color="auto" w:fill="FFFFFF"/>
          <w:lang w:val="en-US"/>
        </w:rPr>
        <w:t>guidance on inclusive recruitment</w:t>
      </w:r>
      <w:r w:rsidR="00931EFF">
        <w:rPr>
          <w:shd w:val="clear" w:color="auto" w:fill="FFFFFF"/>
          <w:lang w:val="en-US"/>
        </w:rPr>
        <w:t xml:space="preserve"> and</w:t>
      </w:r>
      <w:r w:rsidR="00931EFF" w:rsidRPr="00F75F48">
        <w:rPr>
          <w:shd w:val="clear" w:color="auto" w:fill="FFFFFF"/>
          <w:lang w:val="en-US"/>
        </w:rPr>
        <w:t xml:space="preserve"> workplace adjustments. The pilots also </w:t>
      </w:r>
      <w:r w:rsidR="00931EFF">
        <w:rPr>
          <w:shd w:val="clear" w:color="auto" w:fill="FFFFFF"/>
          <w:lang w:val="en-US"/>
        </w:rPr>
        <w:t xml:space="preserve">establish </w:t>
      </w:r>
      <w:r w:rsidR="00931EFF" w:rsidRPr="00F75F48">
        <w:rPr>
          <w:shd w:val="clear" w:color="auto" w:fill="FFFFFF"/>
          <w:lang w:val="en-US"/>
        </w:rPr>
        <w:t>communities of practice, enabling employers to share insights and build sector-wide capa</w:t>
      </w:r>
      <w:r w:rsidR="00931EFF">
        <w:rPr>
          <w:shd w:val="clear" w:color="auto" w:fill="FFFFFF"/>
          <w:lang w:val="en-US"/>
        </w:rPr>
        <w:t>bil</w:t>
      </w:r>
      <w:r w:rsidR="00931EFF" w:rsidRPr="00F75F48">
        <w:rPr>
          <w:shd w:val="clear" w:color="auto" w:fill="FFFFFF"/>
          <w:lang w:val="en-US"/>
        </w:rPr>
        <w:t>ity.</w:t>
      </w:r>
    </w:p>
    <w:p w14:paraId="44A6B419" w14:textId="01C769A1" w:rsidR="00931EFF" w:rsidRDefault="00C01B5F" w:rsidP="00931EFF">
      <w:pPr>
        <w:rPr>
          <w:lang w:val="en-US"/>
        </w:rPr>
      </w:pPr>
      <w:r>
        <w:rPr>
          <w:shd w:val="clear" w:color="auto" w:fill="FFFFFF"/>
          <w:lang w:val="en-US"/>
        </w:rPr>
        <w:t xml:space="preserve">The </w:t>
      </w:r>
      <w:r w:rsidRPr="009118C2">
        <w:rPr>
          <w:i/>
          <w:iCs/>
          <w:shd w:val="clear" w:color="auto" w:fill="FFFFFF"/>
          <w:lang w:val="en-US"/>
        </w:rPr>
        <w:t>Equality at Work</w:t>
      </w:r>
      <w:r w:rsidR="00931EFF" w:rsidRPr="196BA5DD">
        <w:rPr>
          <w:shd w:val="clear" w:color="auto" w:fill="FFFFFF"/>
          <w:lang w:val="en-US"/>
        </w:rPr>
        <w:t xml:space="preserve"> pilots offer a practical prototype for </w:t>
      </w:r>
      <w:r w:rsidR="00931EFF">
        <w:rPr>
          <w:shd w:val="clear" w:color="auto" w:fill="FFFFFF"/>
          <w:lang w:val="en-US"/>
        </w:rPr>
        <w:t xml:space="preserve">addressing the barriers people with disability face </w:t>
      </w:r>
      <w:r w:rsidR="00EA1D19">
        <w:rPr>
          <w:shd w:val="clear" w:color="auto" w:fill="FFFFFF"/>
          <w:lang w:val="en-US"/>
        </w:rPr>
        <w:t xml:space="preserve">in </w:t>
      </w:r>
      <w:r w:rsidR="00931EFF">
        <w:rPr>
          <w:shd w:val="clear" w:color="auto" w:fill="FFFFFF"/>
          <w:lang w:val="en-US"/>
        </w:rPr>
        <w:t xml:space="preserve">accessing equal employment opportunities. They equip </w:t>
      </w:r>
      <w:r w:rsidR="00931EFF" w:rsidRPr="196BA5DD">
        <w:rPr>
          <w:shd w:val="clear" w:color="auto" w:fill="FFFFFF"/>
          <w:lang w:val="en-US"/>
        </w:rPr>
        <w:t xml:space="preserve">organisations </w:t>
      </w:r>
      <w:r w:rsidR="00931EFF">
        <w:rPr>
          <w:shd w:val="clear" w:color="auto" w:fill="FFFFFF"/>
          <w:lang w:val="en-US"/>
        </w:rPr>
        <w:t xml:space="preserve">to assess and improve </w:t>
      </w:r>
      <w:r w:rsidR="00931EFF" w:rsidRPr="196BA5DD">
        <w:rPr>
          <w:shd w:val="clear" w:color="auto" w:fill="FFFFFF"/>
          <w:lang w:val="en-US"/>
        </w:rPr>
        <w:t xml:space="preserve">their policies, practices and processes to uphold the rights of their employees with disability.  </w:t>
      </w:r>
    </w:p>
    <w:p w14:paraId="5DEF3D95" w14:textId="7E4514FF" w:rsidR="44F360D0" w:rsidRDefault="44F360D0" w:rsidP="2DC3CF67">
      <w:pPr>
        <w:rPr>
          <w:lang w:val="en-US"/>
        </w:rPr>
      </w:pPr>
      <w:r w:rsidRPr="2DC3CF67">
        <w:rPr>
          <w:lang w:val="en-US"/>
        </w:rPr>
        <w:t>Such pilots would equally benefit older workers.</w:t>
      </w:r>
    </w:p>
    <w:p w14:paraId="4A57F368" w14:textId="39A33331" w:rsidR="00EA1D19" w:rsidRPr="00EA1D19" w:rsidRDefault="00EA1D19" w:rsidP="00E854A5">
      <w:pPr>
        <w:numPr>
          <w:ilvl w:val="0"/>
          <w:numId w:val="0"/>
        </w:numPr>
        <w:ind w:left="29"/>
        <w:rPr>
          <w:b/>
        </w:rPr>
      </w:pPr>
      <w:r w:rsidRPr="00EA1D19">
        <w:rPr>
          <w:b/>
        </w:rPr>
        <w:t xml:space="preserve">Recommendation </w:t>
      </w:r>
      <w:r w:rsidR="001A032F">
        <w:rPr>
          <w:b/>
        </w:rPr>
        <w:t>5</w:t>
      </w:r>
      <w:r w:rsidRPr="00EA1D19">
        <w:rPr>
          <w:b/>
        </w:rPr>
        <w:t>: The Australian Government implement specific measures and dedicated funding to increase employer demand, capability, and the development of inclusive, accessible workplace cultures that uphold the rights and meet the needs of employees.</w:t>
      </w:r>
    </w:p>
    <w:p w14:paraId="45C9D60E" w14:textId="77777777" w:rsidR="00931EFF" w:rsidRDefault="00931EFF" w:rsidP="00931EFF">
      <w:pPr>
        <w:pStyle w:val="Heading2"/>
      </w:pPr>
      <w:bookmarkStart w:id="13" w:name="_Toc236236229"/>
      <w:r>
        <w:t>Addressing the structural exclusion of older Australians</w:t>
      </w:r>
      <w:bookmarkEnd w:id="13"/>
    </w:p>
    <w:p w14:paraId="6B25C275" w14:textId="77777777" w:rsidR="00931EFF" w:rsidRDefault="00931EFF" w:rsidP="00192A3B">
      <w:pPr>
        <w:pStyle w:val="Heading3"/>
      </w:pPr>
      <w:r>
        <w:t>A national age inclusion strategy would create the conditions for sustainable employment outcomes</w:t>
      </w:r>
    </w:p>
    <w:p w14:paraId="22A1E782" w14:textId="77777777" w:rsidR="00192A3B" w:rsidRDefault="00192A3B" w:rsidP="00192A3B">
      <w:r>
        <w:t>We recommend that the Department develop a national age-inclusion strategy to drive inclusive employment practices across recruitment, retention and reporting. Such a strategy should include:</w:t>
      </w:r>
    </w:p>
    <w:p w14:paraId="383B3A5F" w14:textId="1CB2A6D8" w:rsidR="00192A3B" w:rsidRDefault="00192A3B" w:rsidP="00192A3B">
      <w:pPr>
        <w:numPr>
          <w:ilvl w:val="0"/>
          <w:numId w:val="33"/>
        </w:numPr>
      </w:pPr>
      <w:r>
        <w:t xml:space="preserve">Partnering with employers that demonstrate positive job quality outcomes for older workers to understand supportive practices </w:t>
      </w:r>
    </w:p>
    <w:p w14:paraId="533B27AD" w14:textId="77777777" w:rsidR="00192A3B" w:rsidRDefault="00192A3B" w:rsidP="00192A3B">
      <w:pPr>
        <w:numPr>
          <w:ilvl w:val="0"/>
          <w:numId w:val="33"/>
        </w:numPr>
      </w:pPr>
      <w:r>
        <w:t>Age-inclusive recruitment guidance for employers, that includes information about common hiring practices that may embed ageist assumptions in the screening process</w:t>
      </w:r>
    </w:p>
    <w:p w14:paraId="38213127" w14:textId="3B0C6A58" w:rsidR="515D2C3A" w:rsidRDefault="515D2C3A" w:rsidP="2DC3CF67">
      <w:pPr>
        <w:numPr>
          <w:ilvl w:val="0"/>
          <w:numId w:val="33"/>
        </w:numPr>
      </w:pPr>
      <w:r>
        <w:lastRenderedPageBreak/>
        <w:t>Specific recognition of the need to provide ongoing upskilling</w:t>
      </w:r>
      <w:r w:rsidR="0AB7A009">
        <w:t>,</w:t>
      </w:r>
      <w:r>
        <w:t xml:space="preserve"> traini</w:t>
      </w:r>
      <w:r w:rsidR="05EC8DD3">
        <w:t>n</w:t>
      </w:r>
      <w:r>
        <w:t>g and opportunit</w:t>
      </w:r>
      <w:r w:rsidR="25313D56">
        <w:t>i</w:t>
      </w:r>
      <w:r>
        <w:t>es</w:t>
      </w:r>
      <w:r w:rsidR="61F0EA73">
        <w:t>,</w:t>
      </w:r>
      <w:r>
        <w:t xml:space="preserve"> especially in rel</w:t>
      </w:r>
      <w:r w:rsidR="185A5B3E">
        <w:t>a</w:t>
      </w:r>
      <w:r>
        <w:t xml:space="preserve">tion </w:t>
      </w:r>
      <w:r w:rsidR="2B4DDB8E">
        <w:t>to emerging technologies and AI</w:t>
      </w:r>
    </w:p>
    <w:p w14:paraId="1F6DF789" w14:textId="77777777" w:rsidR="00192A3B" w:rsidRDefault="00192A3B" w:rsidP="00192A3B">
      <w:pPr>
        <w:numPr>
          <w:ilvl w:val="0"/>
          <w:numId w:val="33"/>
        </w:numPr>
      </w:pPr>
      <w:r>
        <w:t>Reporting on age diversity metrics to enable transparency and accountability in hiring and retention practices.</w:t>
      </w:r>
    </w:p>
    <w:p w14:paraId="46656BE0" w14:textId="15FED056" w:rsidR="000451E9" w:rsidRDefault="00E3307B" w:rsidP="00192A3B">
      <w:r>
        <w:t xml:space="preserve">Critically, any national age inclusion strategy </w:t>
      </w:r>
      <w:r w:rsidR="005C0793">
        <w:t>sh</w:t>
      </w:r>
      <w:r>
        <w:t>ould adopt an intersectional focus, recognising that older workers do not experience</w:t>
      </w:r>
      <w:r w:rsidR="000451E9">
        <w:t xml:space="preserve"> age-related barriers to employment in isolation. Th</w:t>
      </w:r>
      <w:r w:rsidR="007C4DF4">
        <w:t>is</w:t>
      </w:r>
      <w:r w:rsidR="000451E9">
        <w:t xml:space="preserve"> strategy should also be designed to interface and align with existing and emerging national strategies addressing employment inclusion across disability, gender and race.</w:t>
      </w:r>
    </w:p>
    <w:p w14:paraId="58BDF485" w14:textId="54B58597" w:rsidR="00192A3B" w:rsidRDefault="00192A3B" w:rsidP="00192A3B">
      <w:r>
        <w:t xml:space="preserve">Beyond its practical function, a national age-inclusion strategy would send an important message about the value of older workers, establishing a model for businesses and industries to emulate. This </w:t>
      </w:r>
      <w:r w:rsidR="2D1671D1">
        <w:t>is</w:t>
      </w:r>
      <w:r>
        <w:t xml:space="preserve"> particularly important, given that age inclusion remains a conspicuous gap in most existing diversity and inclusion frameworks. </w:t>
      </w:r>
    </w:p>
    <w:p w14:paraId="6DA10105" w14:textId="77777777" w:rsidR="00CE3666" w:rsidRDefault="00192A3B" w:rsidP="00192A3B">
      <w:r>
        <w:t xml:space="preserve">This recommendation also aligns with the discussion paper’s emphasis on the role of government as a steward of service quality. The discussion paper frames government as an active steward of employment service quality, with responsibility for setting clear expectations and using contracting and incentive levers to shape provider and employer conduct. </w:t>
      </w:r>
    </w:p>
    <w:p w14:paraId="0A5A8389" w14:textId="206F6C78" w:rsidR="00192A3B" w:rsidRDefault="00192A3B" w:rsidP="00192A3B">
      <w:r>
        <w:t xml:space="preserve">An age-inclusion strategy sits squarely within this stewardship mandate. It reflects the recognition that employment services cannot deliver sustainable outcomes for older Australians without a parallel commitment to addressing the demand-side conditions that continue to see older workers excluded from meaningful employment outcomes. </w:t>
      </w:r>
    </w:p>
    <w:p w14:paraId="4D74E3DA" w14:textId="32B0F83E" w:rsidR="00931EFF" w:rsidRDefault="00931EFF" w:rsidP="00192A3B">
      <w:pPr>
        <w:pStyle w:val="Heading3"/>
      </w:pPr>
      <w:r>
        <w:t xml:space="preserve">Targeted pilot programs are needed to </w:t>
      </w:r>
      <w:r w:rsidR="568ABE2B">
        <w:t>support</w:t>
      </w:r>
      <w:r>
        <w:t xml:space="preserve"> older workers</w:t>
      </w:r>
    </w:p>
    <w:p w14:paraId="6AF1613C" w14:textId="77777777" w:rsidR="00DE7D2F" w:rsidRDefault="00192A3B" w:rsidP="00E7420F">
      <w:r>
        <w:t>Investing in targeted pilot programs would create pathways for older workers to develop emerging skills and connect with industries where their experience and contribution are most needed.</w:t>
      </w:r>
      <w:r w:rsidR="27DD908B">
        <w:t xml:space="preserve"> Such pilots could provide valuable evidence in respect of </w:t>
      </w:r>
      <w:proofErr w:type="gramStart"/>
      <w:r w:rsidR="27DD908B">
        <w:t>Proof of Concept</w:t>
      </w:r>
      <w:proofErr w:type="gramEnd"/>
      <w:r w:rsidR="27DD908B">
        <w:t xml:space="preserve"> initiatives that demonstrate</w:t>
      </w:r>
      <w:r w:rsidR="0029E7E2">
        <w:t xml:space="preserve"> </w:t>
      </w:r>
      <w:r w:rsidR="27DD908B">
        <w:t xml:space="preserve">best practice </w:t>
      </w:r>
      <w:r w:rsidR="4EDF2A9E">
        <w:t xml:space="preserve">in the </w:t>
      </w:r>
      <w:r w:rsidR="27DD908B">
        <w:t>recruit</w:t>
      </w:r>
      <w:r w:rsidR="2BC955E1">
        <w:t xml:space="preserve">ment </w:t>
      </w:r>
      <w:r w:rsidR="27DD908B">
        <w:t xml:space="preserve">and </w:t>
      </w:r>
      <w:r w:rsidR="0700A065">
        <w:t>retention</w:t>
      </w:r>
      <w:r w:rsidR="27DD908B">
        <w:t xml:space="preserve"> of older </w:t>
      </w:r>
      <w:r w:rsidR="723A8045">
        <w:t>w</w:t>
      </w:r>
      <w:r w:rsidR="27DD908B">
        <w:t>orkers.</w:t>
      </w:r>
      <w:r w:rsidR="59EB46FE">
        <w:t xml:space="preserve"> </w:t>
      </w:r>
    </w:p>
    <w:p w14:paraId="18560E2B" w14:textId="1F56ACBF" w:rsidR="00E7420F" w:rsidRDefault="00457E3B" w:rsidP="00E7420F">
      <w:r>
        <w:t xml:space="preserve">While </w:t>
      </w:r>
      <w:r w:rsidR="59EB46FE">
        <w:t xml:space="preserve">numerous </w:t>
      </w:r>
      <w:r w:rsidR="00F02FB2">
        <w:t>real-life</w:t>
      </w:r>
      <w:r w:rsidR="59EB46FE">
        <w:t xml:space="preserve"> approaches</w:t>
      </w:r>
      <w:r w:rsidR="00FC1A50">
        <w:t xml:space="preserve"> exist, the absence </w:t>
      </w:r>
      <w:r w:rsidR="003E5EEB">
        <w:t>of</w:t>
      </w:r>
      <w:r w:rsidR="289144FC">
        <w:t xml:space="preserve"> independent</w:t>
      </w:r>
      <w:r w:rsidR="003E5EEB">
        <w:t xml:space="preserve"> and</w:t>
      </w:r>
      <w:r w:rsidR="59EB46FE">
        <w:t xml:space="preserve"> robust </w:t>
      </w:r>
      <w:r w:rsidR="522FC452">
        <w:t>evaluation</w:t>
      </w:r>
      <w:r w:rsidR="003E5EEB">
        <w:t xml:space="preserve"> of these initiatives</w:t>
      </w:r>
      <w:r w:rsidR="7E02F02D">
        <w:t xml:space="preserve"> inhibits </w:t>
      </w:r>
      <w:r w:rsidR="0012252A">
        <w:t>the capacity of governments</w:t>
      </w:r>
      <w:r w:rsidR="0068678B">
        <w:t xml:space="preserve"> and industry to identify what works and invest with confidence in bringing effective approaches to</w:t>
      </w:r>
      <w:r w:rsidR="7E02F02D">
        <w:t xml:space="preserve"> scale.</w:t>
      </w:r>
      <w:r w:rsidR="0068678B">
        <w:t xml:space="preserve"> Targeted pilot programs</w:t>
      </w:r>
      <w:r w:rsidR="00E4781B">
        <w:t xml:space="preserve"> therefore </w:t>
      </w:r>
      <w:r w:rsidR="0029091A">
        <w:t xml:space="preserve">represent an important opportunity to address this gap, provided they are accompanied by robust </w:t>
      </w:r>
      <w:r w:rsidR="00AE489E">
        <w:t xml:space="preserve">evaluation mechanisms from the outset. </w:t>
      </w:r>
    </w:p>
    <w:p w14:paraId="386A57A5" w14:textId="7AFF367F" w:rsidR="00192A3B" w:rsidRDefault="00192A3B" w:rsidP="00192A3B">
      <w:r>
        <w:t xml:space="preserve">For example, these </w:t>
      </w:r>
      <w:r w:rsidR="073BC975">
        <w:t xml:space="preserve">pilots or initiatives </w:t>
      </w:r>
      <w:r>
        <w:t xml:space="preserve">could include providing training in emerging skills, such as artificial intelligence, and matching older workers to positions in industries with acute labour shortages. These pilots would serve a </w:t>
      </w:r>
      <w:r>
        <w:lastRenderedPageBreak/>
        <w:t>dual purpose in improving sustainable employment outcomes for participants, while also generating learnings for industries facing workforce shortages on effective approaches to recruitment and retention of mature age workers.</w:t>
      </w:r>
    </w:p>
    <w:p w14:paraId="2696FDA4" w14:textId="0BDEA9C0" w:rsidR="00192A3B" w:rsidRDefault="00192A3B" w:rsidP="009C50ED">
      <w:pPr>
        <w:numPr>
          <w:ilvl w:val="0"/>
          <w:numId w:val="0"/>
        </w:numPr>
        <w:ind w:left="29"/>
      </w:pPr>
      <w:r w:rsidRPr="00192A3B">
        <w:rPr>
          <w:b/>
          <w:bCs/>
        </w:rPr>
        <w:t xml:space="preserve">Recommendation </w:t>
      </w:r>
      <w:r w:rsidR="00C66239">
        <w:rPr>
          <w:b/>
          <w:bCs/>
        </w:rPr>
        <w:t>6</w:t>
      </w:r>
      <w:r w:rsidRPr="00192A3B">
        <w:rPr>
          <w:b/>
          <w:bCs/>
        </w:rPr>
        <w:t>: The Department develop an age-inclusion strategy to drive age-inclusive employment practices in recruitment and retention</w:t>
      </w:r>
      <w:r w:rsidR="6030EA51" w:rsidRPr="2DC3CF67">
        <w:rPr>
          <w:b/>
          <w:bCs/>
        </w:rPr>
        <w:t xml:space="preserve"> of older workers</w:t>
      </w:r>
      <w:r w:rsidRPr="2DC3CF67">
        <w:rPr>
          <w:b/>
          <w:bCs/>
        </w:rPr>
        <w:t>.</w:t>
      </w:r>
    </w:p>
    <w:p w14:paraId="49FE3F29" w14:textId="07912AF7" w:rsidR="00192A3B" w:rsidRDefault="1D226B9E" w:rsidP="009C50ED">
      <w:pPr>
        <w:numPr>
          <w:ilvl w:val="0"/>
          <w:numId w:val="0"/>
        </w:numPr>
        <w:ind w:left="29"/>
        <w:rPr>
          <w:b/>
          <w:bCs/>
        </w:rPr>
      </w:pPr>
      <w:r w:rsidRPr="2DC3CF67">
        <w:rPr>
          <w:b/>
          <w:bCs/>
        </w:rPr>
        <w:t>Recommendation 7:</w:t>
      </w:r>
      <w:r w:rsidR="009C50ED">
        <w:rPr>
          <w:b/>
          <w:bCs/>
        </w:rPr>
        <w:t xml:space="preserve"> </w:t>
      </w:r>
      <w:r w:rsidR="17BCF9EF" w:rsidRPr="2DC3CF67">
        <w:rPr>
          <w:b/>
          <w:bCs/>
        </w:rPr>
        <w:t xml:space="preserve">The </w:t>
      </w:r>
      <w:r w:rsidR="64D255BD" w:rsidRPr="2DC3CF67">
        <w:rPr>
          <w:b/>
          <w:bCs/>
        </w:rPr>
        <w:t xml:space="preserve">Department </w:t>
      </w:r>
      <w:r w:rsidR="001153A8">
        <w:rPr>
          <w:b/>
          <w:bCs/>
        </w:rPr>
        <w:t>fund</w:t>
      </w:r>
      <w:r w:rsidR="009C50ED">
        <w:rPr>
          <w:b/>
          <w:bCs/>
        </w:rPr>
        <w:t xml:space="preserve">, </w:t>
      </w:r>
      <w:r w:rsidR="17BCF9EF" w:rsidRPr="2DC3CF67">
        <w:rPr>
          <w:b/>
          <w:bCs/>
        </w:rPr>
        <w:t>as a priority, a range of pilots or proof of concept initiatives to support best practice in the recruitment and retention</w:t>
      </w:r>
      <w:r w:rsidR="009C50ED">
        <w:rPr>
          <w:b/>
          <w:bCs/>
        </w:rPr>
        <w:t xml:space="preserve"> of</w:t>
      </w:r>
      <w:r w:rsidR="17BCF9EF" w:rsidRPr="2DC3CF67">
        <w:rPr>
          <w:b/>
          <w:bCs/>
        </w:rPr>
        <w:t xml:space="preserve"> older workers.</w:t>
      </w:r>
    </w:p>
    <w:p w14:paraId="425100D8" w14:textId="724A31AE" w:rsidR="00192A3B" w:rsidRDefault="00A02A2C" w:rsidP="009C50ED">
      <w:pPr>
        <w:numPr>
          <w:ilvl w:val="0"/>
          <w:numId w:val="0"/>
        </w:numPr>
        <w:rPr>
          <w:b/>
          <w:bCs/>
        </w:rPr>
      </w:pPr>
      <w:r>
        <w:br/>
      </w:r>
    </w:p>
    <w:p w14:paraId="389A4858" w14:textId="77777777" w:rsidR="00A02A2C" w:rsidRDefault="00A02A2C" w:rsidP="00931EFF">
      <w:pPr>
        <w:numPr>
          <w:ilvl w:val="0"/>
          <w:numId w:val="0"/>
        </w:numPr>
        <w:ind w:left="29" w:hanging="29"/>
        <w:rPr>
          <w:b/>
          <w:bCs/>
        </w:rPr>
        <w:sectPr w:rsidR="00A02A2C" w:rsidSect="003D23EE">
          <w:headerReference w:type="default" r:id="rId21"/>
          <w:endnotePr>
            <w:numFmt w:val="decimal"/>
          </w:endnotePr>
          <w:pgSz w:w="11906" w:h="16838" w:code="9"/>
          <w:pgMar w:top="1440" w:right="1440" w:bottom="1440" w:left="1440" w:header="720" w:footer="720" w:gutter="0"/>
          <w:cols w:space="720"/>
          <w:docGrid w:linePitch="360"/>
        </w:sectPr>
      </w:pPr>
    </w:p>
    <w:bookmarkStart w:id="14" w:name="_Toc236236230" w:displacedByCustomXml="next"/>
    <w:sdt>
      <w:sdtPr>
        <w:id w:val="1184715988"/>
        <w:placeholder>
          <w:docPart w:val="885683BD63C34DA193EF3FFFBC40A31F"/>
        </w:placeholder>
        <w:dataBinding w:prefixMappings="xmlns:ns0='http://AHRCheadings.htm' " w:xpath="/ns0:headings[1]/ns0:Endnotes[1]" w:storeItemID="{59E40458-85DB-4B58-AD7F-ED1E21A92441}"/>
        <w:text/>
      </w:sdtPr>
      <w:sdtContent>
        <w:p w14:paraId="5846EE2C" w14:textId="77777777" w:rsidR="00882C52" w:rsidRDefault="00882C52" w:rsidP="00882C52">
          <w:pPr>
            <w:pStyle w:val="Heading1unnumbered"/>
          </w:pPr>
          <w:r>
            <w:t>Endnotes</w:t>
          </w:r>
        </w:p>
      </w:sdtContent>
    </w:sdt>
    <w:bookmarkEnd w:id="14" w:displacedByCustomXml="prev"/>
    <w:sectPr w:rsidR="00882C52" w:rsidSect="003D23EE">
      <w:headerReference w:type="default" r:id="rId22"/>
      <w:endnotePr>
        <w:numFmt w:val="decimal"/>
      </w:endnotePr>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88D07" w14:textId="77777777" w:rsidR="006E4187" w:rsidRPr="002D5036" w:rsidRDefault="006E4187" w:rsidP="002D5036">
      <w:pPr>
        <w:pStyle w:val="EndnoteText"/>
      </w:pPr>
      <w:r w:rsidRPr="002D5036">
        <w:separator/>
      </w:r>
    </w:p>
  </w:endnote>
  <w:endnote w:type="continuationSeparator" w:id="0">
    <w:p w14:paraId="1984B4C2" w14:textId="77777777" w:rsidR="006E4187" w:rsidRPr="007512F7" w:rsidRDefault="006E4187" w:rsidP="007512F7">
      <w:pPr>
        <w:pStyle w:val="EndnoteText"/>
      </w:pPr>
      <w:r w:rsidRPr="007512F7">
        <w:continuationSeparator/>
      </w:r>
    </w:p>
  </w:endnote>
  <w:endnote w:type="continuationNotice" w:id="1">
    <w:p w14:paraId="7B4100D8" w14:textId="77777777" w:rsidR="006E4187" w:rsidRDefault="006E4187" w:rsidP="002D5036">
      <w:pPr>
        <w:pStyle w:val="EndnoteText"/>
      </w:pPr>
    </w:p>
  </w:endnote>
  <w:endnote w:id="2">
    <w:p w14:paraId="6F108901" w14:textId="77777777" w:rsidR="009F1FCC" w:rsidRPr="00C20458" w:rsidRDefault="009F1FCC" w:rsidP="009F1FCC">
      <w:pPr>
        <w:pStyle w:val="EndnoteText"/>
      </w:pPr>
      <w:r>
        <w:rPr>
          <w:rStyle w:val="EndnoteReference"/>
        </w:rPr>
        <w:endnoteRef/>
      </w:r>
      <w:r>
        <w:t xml:space="preserve"> See International Covenant on Economic, Social and Cultural, GA RES 2200A (XXI) (entered into force 3 January 1976) arts 6, 7 and 8(1)</w:t>
      </w:r>
    </w:p>
  </w:endnote>
  <w:endnote w:id="3">
    <w:p w14:paraId="6139E458" w14:textId="0614060C" w:rsidR="00C873B4" w:rsidRPr="00C01A3E" w:rsidRDefault="00C873B4">
      <w:pPr>
        <w:pStyle w:val="EndnoteText"/>
        <w:rPr>
          <w:lang w:val="en-US"/>
        </w:rPr>
      </w:pPr>
      <w:r>
        <w:rPr>
          <w:rStyle w:val="EndnoteReference"/>
        </w:rPr>
        <w:endnoteRef/>
      </w:r>
      <w:r>
        <w:t xml:space="preserve"> </w:t>
      </w:r>
      <w:r w:rsidR="00BB2869" w:rsidRPr="00BB2869">
        <w:t>United Nations Convention on the Rights of Persons with Disabilities, opened for signature 30 March 2007, 2515 UNTS 3 (entered into force 3 May 2008) art</w:t>
      </w:r>
      <w:r w:rsidR="003C0612">
        <w:t> </w:t>
      </w:r>
      <w:r w:rsidR="00B646CF">
        <w:t>27</w:t>
      </w:r>
    </w:p>
  </w:endnote>
  <w:endnote w:id="4">
    <w:p w14:paraId="039CE157" w14:textId="51671A71" w:rsidR="0041386B" w:rsidRPr="00C01A3E" w:rsidRDefault="0041386B">
      <w:pPr>
        <w:pStyle w:val="EndnoteText"/>
        <w:rPr>
          <w:lang w:val="en-US"/>
        </w:rPr>
      </w:pPr>
      <w:r>
        <w:rPr>
          <w:rStyle w:val="EndnoteReference"/>
        </w:rPr>
        <w:endnoteRef/>
      </w:r>
      <w:r>
        <w:t xml:space="preserve"> </w:t>
      </w:r>
      <w:r>
        <w:rPr>
          <w:lang w:val="en-US"/>
        </w:rPr>
        <w:t>United Nations Convention on the Elimination of All Forms of Discrimination against Women</w:t>
      </w:r>
      <w:r w:rsidR="00505E2D">
        <w:rPr>
          <w:lang w:val="en-US"/>
        </w:rPr>
        <w:t xml:space="preserve">, GA RES </w:t>
      </w:r>
      <w:r w:rsidR="00830401">
        <w:rPr>
          <w:lang w:val="en-US"/>
        </w:rPr>
        <w:t>34/180</w:t>
      </w:r>
      <w:r w:rsidR="00EF53B7">
        <w:rPr>
          <w:lang w:val="en-US"/>
        </w:rPr>
        <w:t xml:space="preserve"> (entered into force 3 September 1981)</w:t>
      </w:r>
      <w:r w:rsidR="006E05A4">
        <w:rPr>
          <w:lang w:val="en-US"/>
        </w:rPr>
        <w:t xml:space="preserve"> art 11</w:t>
      </w:r>
    </w:p>
  </w:endnote>
  <w:endnote w:id="5">
    <w:p w14:paraId="630B6077" w14:textId="78100891" w:rsidR="00196126" w:rsidRPr="00A24FB3" w:rsidRDefault="00196126">
      <w:pPr>
        <w:pStyle w:val="EndnoteText"/>
        <w:rPr>
          <w:lang w:val="en-US"/>
        </w:rPr>
      </w:pPr>
      <w:r>
        <w:rPr>
          <w:rStyle w:val="EndnoteReference"/>
        </w:rPr>
        <w:endnoteRef/>
      </w:r>
      <w:r>
        <w:t xml:space="preserve"> M Baird, M Hamilton and A Williams, </w:t>
      </w:r>
      <w:r w:rsidRPr="00680343">
        <w:rPr>
          <w:i/>
          <w:iCs/>
          <w:lang w:val="en-US"/>
        </w:rPr>
        <w:t>The Multigenerational Workforce: Managing Age and Gender at Work</w:t>
      </w:r>
      <w:r>
        <w:rPr>
          <w:lang w:val="en-US"/>
        </w:rPr>
        <w:t>, Palgrave Macmillan, Singapore, 2024.</w:t>
      </w:r>
    </w:p>
  </w:endnote>
  <w:endnote w:id="6">
    <w:p w14:paraId="355B633C" w14:textId="169DD5F3" w:rsidR="00DD3E9F" w:rsidRPr="00A24FB3" w:rsidRDefault="00DD3E9F">
      <w:pPr>
        <w:pStyle w:val="EndnoteText"/>
        <w:rPr>
          <w:lang w:val="en-US"/>
        </w:rPr>
      </w:pPr>
      <w:r>
        <w:rPr>
          <w:rStyle w:val="EndnoteReference"/>
        </w:rPr>
        <w:endnoteRef/>
      </w:r>
      <w:r>
        <w:t xml:space="preserve"> </w:t>
      </w:r>
      <w:r w:rsidR="0049046A">
        <w:rPr>
          <w:lang w:val="en-US"/>
        </w:rPr>
        <w:t>J Coombes, C Lukaszyk, C Sherrington, L Keay, A Tiedmann, R Moore and R Ivers</w:t>
      </w:r>
      <w:r w:rsidR="008A4C9E">
        <w:rPr>
          <w:lang w:val="en-US"/>
        </w:rPr>
        <w:t xml:space="preserve">, </w:t>
      </w:r>
      <w:r w:rsidR="00494180">
        <w:rPr>
          <w:lang w:val="en-US"/>
        </w:rPr>
        <w:t>‘</w:t>
      </w:r>
      <w:hyperlink r:id="rId1" w:history="1">
        <w:r w:rsidR="00494180" w:rsidRPr="007E548C">
          <w:rPr>
            <w:rStyle w:val="Hyperlink"/>
            <w:lang w:val="en-US"/>
          </w:rPr>
          <w:t>First Nation Elders’ perspectives on healthy ageing in NSW Australia</w:t>
        </w:r>
      </w:hyperlink>
      <w:r w:rsidR="00494180">
        <w:rPr>
          <w:lang w:val="en-US"/>
        </w:rPr>
        <w:t>’</w:t>
      </w:r>
      <w:r w:rsidR="00BD5D2E">
        <w:rPr>
          <w:lang w:val="en-US"/>
        </w:rPr>
        <w:t xml:space="preserve">, </w:t>
      </w:r>
      <w:r w:rsidR="00BD5D2E">
        <w:rPr>
          <w:i/>
          <w:iCs/>
          <w:lang w:val="en-US"/>
        </w:rPr>
        <w:t>Australian and New Zealand Journal of Public Health</w:t>
      </w:r>
      <w:r w:rsidR="00BD5D2E">
        <w:rPr>
          <w:lang w:val="en-US"/>
        </w:rPr>
        <w:t>, 2018</w:t>
      </w:r>
      <w:r w:rsidR="007E548C">
        <w:rPr>
          <w:lang w:val="en-US"/>
        </w:rPr>
        <w:t>, 42(2): 361-364</w:t>
      </w:r>
    </w:p>
  </w:endnote>
  <w:endnote w:id="7">
    <w:p w14:paraId="59AF49D7" w14:textId="77777777" w:rsidR="00C40371" w:rsidRPr="00C40371" w:rsidRDefault="00C40371">
      <w:pPr>
        <w:pStyle w:val="EndnoteText"/>
        <w:rPr>
          <w:lang w:val="en-US"/>
        </w:rPr>
      </w:pPr>
      <w:r>
        <w:rPr>
          <w:rStyle w:val="EndnoteReference"/>
        </w:rPr>
        <w:endnoteRef/>
      </w:r>
      <w:r>
        <w:t xml:space="preserve"> Australian Bureau of Statistics (ABS), ‘</w:t>
      </w:r>
      <w:hyperlink r:id="rId2" w:history="1">
        <w:r w:rsidRPr="00BE0E51">
          <w:rPr>
            <w:rStyle w:val="Hyperlink"/>
          </w:rPr>
          <w:t>Job mobility</w:t>
        </w:r>
      </w:hyperlink>
      <w:r>
        <w:t>’, ABS website, 2025.</w:t>
      </w:r>
    </w:p>
  </w:endnote>
  <w:endnote w:id="8">
    <w:p w14:paraId="34B0B5E4" w14:textId="77777777" w:rsidR="006B6CA2" w:rsidRPr="006B6CA2" w:rsidRDefault="006B6CA2">
      <w:pPr>
        <w:pStyle w:val="EndnoteText"/>
        <w:rPr>
          <w:lang w:val="en-US"/>
        </w:rPr>
      </w:pPr>
      <w:r>
        <w:rPr>
          <w:rStyle w:val="EndnoteReference"/>
        </w:rPr>
        <w:endnoteRef/>
      </w:r>
      <w:r>
        <w:t xml:space="preserve"> </w:t>
      </w:r>
      <w:r w:rsidRPr="00C40371">
        <w:t>Australian Institute of Health and Welfare</w:t>
      </w:r>
      <w:r>
        <w:t xml:space="preserve"> (AIHW)</w:t>
      </w:r>
      <w:r w:rsidRPr="00C40371">
        <w:t>, ‘</w:t>
      </w:r>
      <w:hyperlink r:id="rId3" w:history="1">
        <w:r w:rsidRPr="00C40371">
          <w:rPr>
            <w:rStyle w:val="Hyperlink"/>
          </w:rPr>
          <w:t>People with Disability in Australia’, Labour Force Participation</w:t>
        </w:r>
      </w:hyperlink>
      <w:r>
        <w:t>, AIHW website, 2024.</w:t>
      </w:r>
    </w:p>
  </w:endnote>
  <w:endnote w:id="9">
    <w:p w14:paraId="7A3EBE2C" w14:textId="77777777" w:rsidR="00C40371" w:rsidRPr="00C40371" w:rsidRDefault="00C40371" w:rsidP="00C40371">
      <w:pPr>
        <w:pStyle w:val="EndnoteText"/>
        <w:ind w:left="0" w:firstLine="0"/>
        <w:rPr>
          <w:lang w:val="en-US"/>
        </w:rPr>
      </w:pPr>
      <w:r>
        <w:rPr>
          <w:rStyle w:val="EndnoteReference"/>
        </w:rPr>
        <w:endnoteRef/>
      </w:r>
      <w:r>
        <w:t xml:space="preserve"> </w:t>
      </w:r>
      <w:r w:rsidRPr="00C40371">
        <w:t>Australian Institute of Health and Welfare</w:t>
      </w:r>
      <w:r>
        <w:t xml:space="preserve"> (AIHW)</w:t>
      </w:r>
      <w:r w:rsidRPr="00C40371">
        <w:t>, ‘</w:t>
      </w:r>
      <w:hyperlink r:id="rId4" w:history="1">
        <w:r w:rsidRPr="00C40371">
          <w:rPr>
            <w:rStyle w:val="Hyperlink"/>
          </w:rPr>
          <w:t>People with Disability in Australia’, Labour Force Participation</w:t>
        </w:r>
      </w:hyperlink>
      <w:r>
        <w:t>, AIHW website, 2024.</w:t>
      </w:r>
      <w:r w:rsidRPr="00C40371">
        <w:t xml:space="preserve"> </w:t>
      </w:r>
    </w:p>
  </w:endnote>
  <w:endnote w:id="10">
    <w:p w14:paraId="54128FBA" w14:textId="77777777" w:rsidR="00D321EB" w:rsidRPr="0074454F" w:rsidRDefault="00D321EB" w:rsidP="00D321EB">
      <w:pPr>
        <w:pStyle w:val="EndnoteText"/>
        <w:rPr>
          <w:b/>
          <w:bCs/>
          <w:lang w:val="en-US"/>
        </w:rPr>
      </w:pPr>
      <w:r>
        <w:rPr>
          <w:rStyle w:val="EndnoteReference"/>
        </w:rPr>
        <w:endnoteRef/>
      </w:r>
      <w:r>
        <w:t xml:space="preserve"> Australian Bureau of Statistics (ABS), ‘</w:t>
      </w:r>
      <w:hyperlink r:id="rId5" w:history="1">
        <w:r w:rsidRPr="00BE0E51">
          <w:rPr>
            <w:rStyle w:val="Hyperlink"/>
          </w:rPr>
          <w:t>Job mobility</w:t>
        </w:r>
      </w:hyperlink>
      <w:r>
        <w:t xml:space="preserve">’, ABS website, 2025. </w:t>
      </w:r>
    </w:p>
  </w:endnote>
  <w:endnote w:id="11">
    <w:p w14:paraId="78F798DC" w14:textId="77777777" w:rsidR="00B60EF4" w:rsidRPr="00B9358D" w:rsidRDefault="00B60EF4" w:rsidP="00B60EF4">
      <w:pPr>
        <w:pStyle w:val="EndnoteText"/>
        <w:rPr>
          <w:lang w:val="en-US"/>
        </w:rPr>
      </w:pPr>
      <w:r>
        <w:rPr>
          <w:rStyle w:val="EndnoteReference"/>
        </w:rPr>
        <w:endnoteRef/>
      </w:r>
      <w:r>
        <w:t xml:space="preserve"> M Baird, M Hamilton and A Williams, </w:t>
      </w:r>
      <w:r w:rsidRPr="00680343">
        <w:rPr>
          <w:i/>
          <w:iCs/>
          <w:lang w:val="en-US"/>
        </w:rPr>
        <w:t>The Multigenerational Workforce: Managing Age and Gender at Work</w:t>
      </w:r>
      <w:r>
        <w:rPr>
          <w:lang w:val="en-US"/>
        </w:rPr>
        <w:t>, Palgrave Macmillan, Singapore, 2024.</w:t>
      </w:r>
    </w:p>
  </w:endnote>
  <w:endnote w:id="12">
    <w:p w14:paraId="4DB023FC" w14:textId="77777777" w:rsidR="00B60EF4" w:rsidRPr="00AE17A1" w:rsidRDefault="00B60EF4" w:rsidP="00B60EF4">
      <w:pPr>
        <w:pStyle w:val="EndnoteText"/>
        <w:rPr>
          <w:lang w:val="en-US"/>
        </w:rPr>
      </w:pPr>
      <w:r>
        <w:rPr>
          <w:rStyle w:val="EndnoteReference"/>
        </w:rPr>
        <w:endnoteRef/>
      </w:r>
      <w:r>
        <w:t xml:space="preserve"> </w:t>
      </w:r>
      <w:r w:rsidRPr="002D785E">
        <w:t>A</w:t>
      </w:r>
      <w:r>
        <w:t>ustralian Bureau of Statistics (AB</w:t>
      </w:r>
      <w:r w:rsidRPr="002D785E">
        <w:t>S</w:t>
      </w:r>
      <w:r>
        <w:t>), ‘</w:t>
      </w:r>
      <w:hyperlink r:id="rId6" w:history="1">
        <w:r w:rsidRPr="00AE17A1">
          <w:rPr>
            <w:rStyle w:val="Hyperlink"/>
          </w:rPr>
          <w:t>Disability, Ageing and Carers, Australia: Summary of Findings</w:t>
        </w:r>
      </w:hyperlink>
      <w:r>
        <w:t>’, ABS website, 2022.</w:t>
      </w:r>
    </w:p>
  </w:endnote>
  <w:endnote w:id="13">
    <w:p w14:paraId="79616252" w14:textId="77777777" w:rsidR="00B60EF4" w:rsidRPr="00BC363C" w:rsidRDefault="00B60EF4" w:rsidP="00B60EF4">
      <w:pPr>
        <w:pStyle w:val="EndnoteText"/>
        <w:rPr>
          <w:lang w:val="en-US"/>
        </w:rPr>
      </w:pPr>
      <w:r>
        <w:rPr>
          <w:rStyle w:val="EndnoteReference"/>
        </w:rPr>
        <w:endnoteRef/>
      </w:r>
      <w:r>
        <w:t xml:space="preserve"> </w:t>
      </w:r>
      <w:r>
        <w:rPr>
          <w:lang w:val="en-US"/>
        </w:rPr>
        <w:t xml:space="preserve">L Duxbury and C Higgins, </w:t>
      </w:r>
      <w:r w:rsidRPr="00E15524">
        <w:rPr>
          <w:i/>
          <w:iCs/>
          <w:lang w:val="en-US"/>
        </w:rPr>
        <w:t>Something’s got to give: Balancing work, childcare and eldercare</w:t>
      </w:r>
      <w:r>
        <w:rPr>
          <w:lang w:val="en-US"/>
        </w:rPr>
        <w:t>, University of Toronto Press, 2017.</w:t>
      </w:r>
    </w:p>
  </w:endnote>
  <w:endnote w:id="14">
    <w:p w14:paraId="2805D395" w14:textId="77777777" w:rsidR="00B60EF4" w:rsidRPr="00E4347A" w:rsidRDefault="00B60EF4" w:rsidP="00B60EF4">
      <w:pPr>
        <w:pStyle w:val="EndnoteText"/>
        <w:rPr>
          <w:lang w:val="en-US"/>
        </w:rPr>
      </w:pPr>
      <w:r>
        <w:rPr>
          <w:rStyle w:val="EndnoteReference"/>
        </w:rPr>
        <w:endnoteRef/>
      </w:r>
      <w:r>
        <w:t xml:space="preserve"> </w:t>
      </w:r>
      <w:r w:rsidRPr="002D785E">
        <w:t>A</w:t>
      </w:r>
      <w:r>
        <w:t>ustralian Bureau of Statistics (AB</w:t>
      </w:r>
      <w:r w:rsidRPr="002D785E">
        <w:t>S</w:t>
      </w:r>
      <w:r>
        <w:t>), ‘</w:t>
      </w:r>
      <w:hyperlink r:id="rId7" w:history="1">
        <w:r w:rsidRPr="00AE17A1">
          <w:rPr>
            <w:rStyle w:val="Hyperlink"/>
          </w:rPr>
          <w:t>Disability, Ageing and Carers, Australia: Summary of Findings</w:t>
        </w:r>
      </w:hyperlink>
      <w:r>
        <w:t>’, ABS website, 2022.</w:t>
      </w:r>
    </w:p>
  </w:endnote>
  <w:endnote w:id="15">
    <w:p w14:paraId="0292D546" w14:textId="77777777" w:rsidR="00B60EF4" w:rsidRPr="00AE17A1" w:rsidRDefault="00B60EF4" w:rsidP="00B60EF4">
      <w:pPr>
        <w:pStyle w:val="EndnoteText"/>
        <w:rPr>
          <w:lang w:val="en-US"/>
        </w:rPr>
      </w:pPr>
      <w:r>
        <w:rPr>
          <w:rStyle w:val="EndnoteReference"/>
        </w:rPr>
        <w:endnoteRef/>
      </w:r>
      <w:r>
        <w:t xml:space="preserve"> M Baird, M Hamilton and A Williams, </w:t>
      </w:r>
      <w:r w:rsidRPr="00680343">
        <w:rPr>
          <w:i/>
          <w:iCs/>
          <w:lang w:val="en-US"/>
        </w:rPr>
        <w:t>The Multigenerational Workforce: Managing Age and Gender at Work</w:t>
      </w:r>
      <w:r>
        <w:rPr>
          <w:lang w:val="en-US"/>
        </w:rPr>
        <w:t>, Palgrave Macmillan, Singapore, 2024.</w:t>
      </w:r>
    </w:p>
  </w:endnote>
  <w:endnote w:id="16">
    <w:p w14:paraId="6720A238" w14:textId="77777777" w:rsidR="00D024A3" w:rsidRPr="00363BC2" w:rsidRDefault="00D024A3" w:rsidP="00D024A3">
      <w:pPr>
        <w:pStyle w:val="EndnoteText"/>
        <w:rPr>
          <w:lang w:val="en-US"/>
        </w:rPr>
      </w:pPr>
      <w:r>
        <w:rPr>
          <w:rStyle w:val="EndnoteReference"/>
        </w:rPr>
        <w:endnoteRef/>
      </w:r>
      <w:r>
        <w:t xml:space="preserve"> M Baird, M Hamilton and A Williams, </w:t>
      </w:r>
      <w:r w:rsidRPr="00680343">
        <w:rPr>
          <w:i/>
          <w:iCs/>
          <w:lang w:val="en-US"/>
        </w:rPr>
        <w:t>The Multigenerational Workforce: Managing Age and Gender at Work</w:t>
      </w:r>
      <w:r>
        <w:rPr>
          <w:lang w:val="en-US"/>
        </w:rPr>
        <w:t>, Palgrave Macmillan, Singapore, 2024.</w:t>
      </w:r>
    </w:p>
  </w:endnote>
  <w:endnote w:id="17">
    <w:p w14:paraId="69FC1B67" w14:textId="77777777" w:rsidR="00D024A3" w:rsidRPr="00C80B1A" w:rsidRDefault="00D024A3" w:rsidP="00D024A3">
      <w:pPr>
        <w:pStyle w:val="EndnoteText"/>
        <w:rPr>
          <w:i/>
          <w:iCs/>
        </w:rPr>
      </w:pPr>
      <w:r>
        <w:rPr>
          <w:rStyle w:val="EndnoteReference"/>
        </w:rPr>
        <w:endnoteRef/>
      </w:r>
      <w:r>
        <w:t xml:space="preserve"> See </w:t>
      </w:r>
      <w:r>
        <w:rPr>
          <w:i/>
          <w:iCs/>
        </w:rPr>
        <w:t xml:space="preserve">Royal Commission into Violence, Abuse, Neglect and Exploitation of People with Disability </w:t>
      </w:r>
      <w:r>
        <w:t xml:space="preserve">(Final Report, September 2023) vol 7(b) 382-5, 486, 507-10.  </w:t>
      </w:r>
    </w:p>
  </w:endnote>
  <w:endnote w:id="18">
    <w:p w14:paraId="07B42F30" w14:textId="77777777" w:rsidR="00D024A3" w:rsidRPr="005722F5" w:rsidRDefault="00D024A3" w:rsidP="00D024A3">
      <w:pPr>
        <w:pStyle w:val="EndnoteText"/>
      </w:pPr>
      <w:r>
        <w:rPr>
          <w:rStyle w:val="EndnoteReference"/>
        </w:rPr>
        <w:endnoteRef/>
      </w:r>
      <w:r>
        <w:t xml:space="preserve"> Jenny Crosbies and Erin Wilson, Centre for Social Impact, </w:t>
      </w:r>
      <w:r>
        <w:rPr>
          <w:i/>
          <w:iCs/>
        </w:rPr>
        <w:t xml:space="preserve">Evaluation of the Australian Human Rights Commission ‘IncludeAbility’ Project 2020-2023 </w:t>
      </w:r>
      <w:r>
        <w:t>(Key findings, September 2023) 14 &lt;</w:t>
      </w:r>
      <w:hyperlink r:id="rId8" w:history="1">
        <w:r w:rsidRPr="004466D0">
          <w:rPr>
            <w:rStyle w:val="Hyperlink"/>
          </w:rPr>
          <w:t>https://humanrights.gov.au/our-work/disability-rights/includeability-evaluation</w:t>
        </w:r>
      </w:hyperlink>
      <w:r>
        <w:t>&gt; (‘</w:t>
      </w:r>
      <w:r>
        <w:rPr>
          <w:i/>
          <w:iCs/>
        </w:rPr>
        <w:t>IncludeAbility Evaluation 2020-2023</w:t>
      </w:r>
      <w:r>
        <w:t>’)</w:t>
      </w:r>
    </w:p>
  </w:endnote>
  <w:endnote w:id="19">
    <w:p w14:paraId="26830614" w14:textId="77777777" w:rsidR="00D024A3" w:rsidRPr="00A86E80" w:rsidRDefault="00D024A3" w:rsidP="00D024A3">
      <w:pPr>
        <w:pStyle w:val="EndnoteText"/>
        <w:ind w:left="0" w:firstLine="0"/>
      </w:pPr>
      <w:r>
        <w:rPr>
          <w:rStyle w:val="EndnoteReference"/>
        </w:rPr>
        <w:endnoteRef/>
      </w:r>
      <w:r>
        <w:t xml:space="preserve"> Ibid 13-15.</w:t>
      </w:r>
    </w:p>
  </w:endnote>
  <w:endnote w:id="20">
    <w:p w14:paraId="0B8CE53E" w14:textId="77777777" w:rsidR="00D024A3" w:rsidRDefault="00D024A3" w:rsidP="00D024A3">
      <w:pPr>
        <w:pStyle w:val="EndnoteText"/>
      </w:pPr>
      <w:r>
        <w:rPr>
          <w:rStyle w:val="EndnoteReference"/>
        </w:rPr>
        <w:endnoteRef/>
      </w:r>
      <w:r>
        <w:t xml:space="preserve"> See Royal Commission into Violence, Abuse, Neglect and Exploitation of People with Disability, </w:t>
      </w:r>
      <w:r>
        <w:rPr>
          <w:i/>
          <w:iCs/>
        </w:rPr>
        <w:t xml:space="preserve">Overview of responses to the Employment Issues Paper </w:t>
      </w:r>
      <w:r>
        <w:t>(Report, March 2021) 6 &lt;</w:t>
      </w:r>
      <w:r w:rsidRPr="00A6041B">
        <w:t>https://disability.royalcommission.gov.au/system/files/2022-03/Overview%20of%20responses%20to%20the%20Employment%20Issues%20paper.pdf</w:t>
      </w:r>
      <w:r>
        <w:t xml:space="preserve">&gt;; See also </w:t>
      </w:r>
      <w:r>
        <w:rPr>
          <w:i/>
          <w:iCs/>
        </w:rPr>
        <w:t xml:space="preserve">Royal Commission into Violence, Abuse, Neglect and Exploitation of People with Disability </w:t>
      </w:r>
      <w:r>
        <w:t xml:space="preserve">(Final Report, September 2023) vol 7(b) 383, 469. </w:t>
      </w:r>
    </w:p>
  </w:endnote>
  <w:endnote w:id="21">
    <w:p w14:paraId="374322F0" w14:textId="77777777" w:rsidR="00D024A3" w:rsidRPr="00E35F41" w:rsidRDefault="00D024A3" w:rsidP="00D024A3">
      <w:pPr>
        <w:pStyle w:val="EndnoteText"/>
        <w:rPr>
          <w:lang w:val="en-US"/>
        </w:rPr>
      </w:pPr>
      <w:r>
        <w:rPr>
          <w:rStyle w:val="EndnoteReference"/>
        </w:rPr>
        <w:endnoteRef/>
      </w:r>
      <w:r>
        <w:t xml:space="preserve"> </w:t>
      </w:r>
      <w:r>
        <w:rPr>
          <w:lang w:val="en-US"/>
        </w:rPr>
        <w:t xml:space="preserve">Australian HR Institute (AHRI) and Australian Human Rights Commission (AHRC), </w:t>
      </w:r>
      <w:hyperlink r:id="rId9" w:history="1">
        <w:r w:rsidRPr="003C4703">
          <w:rPr>
            <w:rStyle w:val="Hyperlink"/>
            <w:i/>
            <w:iCs/>
            <w:lang w:val="en-US"/>
          </w:rPr>
          <w:t>Older and Younger Workers: What Do Employers Think?</w:t>
        </w:r>
      </w:hyperlink>
      <w:r>
        <w:rPr>
          <w:lang w:val="en-US"/>
        </w:rPr>
        <w:t>, 2025.</w:t>
      </w:r>
    </w:p>
  </w:endnote>
  <w:endnote w:id="22">
    <w:p w14:paraId="25A0197F" w14:textId="77777777" w:rsidR="00D024A3" w:rsidRPr="00A430D3" w:rsidRDefault="00D024A3" w:rsidP="00D024A3">
      <w:pPr>
        <w:pStyle w:val="EndnoteText"/>
        <w:rPr>
          <w:lang w:val="en-US"/>
        </w:rPr>
      </w:pPr>
      <w:r>
        <w:rPr>
          <w:rStyle w:val="EndnoteReference"/>
        </w:rPr>
        <w:endnoteRef/>
      </w:r>
      <w:r>
        <w:t xml:space="preserve"> </w:t>
      </w:r>
      <w:r>
        <w:rPr>
          <w:lang w:val="en-US"/>
        </w:rPr>
        <w:t xml:space="preserve">Australian Human Rights Commission (AHRC) and Diversity Council Australia (DCA), </w:t>
      </w:r>
      <w:hyperlink r:id="rId10" w:history="1">
        <w:r w:rsidRPr="004A280D">
          <w:rPr>
            <w:rStyle w:val="Hyperlink"/>
            <w:i/>
            <w:iCs/>
            <w:lang w:val="en-US"/>
          </w:rPr>
          <w:t>‘Age, assumptions and access at work: Employee experiences of age inclusion in the workplace’</w:t>
        </w:r>
      </w:hyperlink>
      <w:r>
        <w:rPr>
          <w:lang w:val="en-US"/>
        </w:rPr>
        <w:t>, AHRC, 2026.</w:t>
      </w:r>
    </w:p>
  </w:endnote>
  <w:endnote w:id="23">
    <w:p w14:paraId="09FEDB7B" w14:textId="77777777" w:rsidR="007C50BF" w:rsidRPr="00A14A2F" w:rsidRDefault="007C50BF" w:rsidP="007C50BF">
      <w:pPr>
        <w:pStyle w:val="EndnoteText"/>
        <w:rPr>
          <w:lang w:val="en-US"/>
        </w:rPr>
      </w:pPr>
      <w:r>
        <w:rPr>
          <w:rStyle w:val="EndnoteReference"/>
        </w:rPr>
        <w:endnoteRef/>
      </w:r>
      <w:r>
        <w:t xml:space="preserve"> </w:t>
      </w:r>
      <w:r w:rsidRPr="00A14A2F">
        <w:t>Australian Human Rights Commission</w:t>
      </w:r>
      <w:r>
        <w:t xml:space="preserve"> (AHRC)</w:t>
      </w:r>
      <w:r w:rsidRPr="00A14A2F">
        <w:t xml:space="preserve">, </w:t>
      </w:r>
      <w:r>
        <w:t>‘</w:t>
      </w:r>
      <w:hyperlink r:id="rId11" w:history="1">
        <w:r w:rsidRPr="007C50BF">
          <w:rPr>
            <w:rStyle w:val="Hyperlink"/>
          </w:rPr>
          <w:t>Free and Equal: An Australian conversation on human rights’</w:t>
        </w:r>
      </w:hyperlink>
      <w:r>
        <w:t xml:space="preserve">, AHRC website, 2019. </w:t>
      </w:r>
    </w:p>
  </w:endnote>
  <w:endnote w:id="24">
    <w:p w14:paraId="0EEC93B2" w14:textId="1E7D6E78" w:rsidR="00C82F1D" w:rsidRPr="00CA6AC6" w:rsidRDefault="00C82F1D">
      <w:pPr>
        <w:pStyle w:val="EndnoteText"/>
        <w:rPr>
          <w:lang w:val="en-US"/>
        </w:rPr>
      </w:pPr>
      <w:r>
        <w:rPr>
          <w:rStyle w:val="EndnoteReference"/>
        </w:rPr>
        <w:endnoteRef/>
      </w:r>
      <w:r>
        <w:t xml:space="preserve"> </w:t>
      </w:r>
      <w:r w:rsidRPr="00CA6AC6">
        <w:rPr>
          <w:i/>
          <w:iCs/>
        </w:rPr>
        <w:t>Disability Discrimination Act 1992</w:t>
      </w:r>
      <w:r w:rsidRPr="00C82F1D">
        <w:t xml:space="preserve"> (Cth) ss 5, 6, 15-21B.</w:t>
      </w:r>
    </w:p>
  </w:endnote>
  <w:endnote w:id="25">
    <w:p w14:paraId="73330A30" w14:textId="596F2CCE" w:rsidR="0052710B" w:rsidRPr="00CA6AC6" w:rsidRDefault="0052710B" w:rsidP="0052710B">
      <w:pPr>
        <w:pStyle w:val="EndnoteText"/>
        <w:rPr>
          <w:lang w:val="en-US"/>
        </w:rPr>
      </w:pPr>
      <w:r>
        <w:rPr>
          <w:rStyle w:val="EndnoteReference"/>
        </w:rPr>
        <w:endnoteRef/>
      </w:r>
      <w:r>
        <w:t xml:space="preserve"> </w:t>
      </w:r>
      <w:r w:rsidRPr="00587EF8">
        <w:t>Royal Commission into Violence, Abuse, Neglect and Exploitation of People with Disability (Final Report, September 2023) vol 7(b)</w:t>
      </w:r>
    </w:p>
  </w:endnote>
  <w:endnote w:id="26">
    <w:p w14:paraId="20E23371" w14:textId="34B738FE" w:rsidR="00C202AE" w:rsidRPr="00CA6AC6" w:rsidRDefault="00C202AE">
      <w:pPr>
        <w:pStyle w:val="EndnoteText"/>
        <w:rPr>
          <w:lang w:val="en-US"/>
        </w:rPr>
      </w:pPr>
      <w:r>
        <w:rPr>
          <w:rStyle w:val="EndnoteReference"/>
        </w:rPr>
        <w:endnoteRef/>
      </w:r>
      <w:r>
        <w:t xml:space="preserve"> </w:t>
      </w:r>
      <w:r w:rsidRPr="00C202AE">
        <w:t xml:space="preserve">Australian Human Rights Commission, </w:t>
      </w:r>
      <w:hyperlink r:id="rId12" w:history="1">
        <w:r w:rsidRPr="00CA6AC6">
          <w:rPr>
            <w:rStyle w:val="Hyperlink"/>
            <w:i/>
            <w:iCs/>
          </w:rPr>
          <w:t>Willing to Work: National Inquiry into Employment Discrimination Against Older Australians and Australians with Disability</w:t>
        </w:r>
      </w:hyperlink>
      <w:r w:rsidRPr="00C202AE">
        <w:t xml:space="preserve"> (Final Report, May 2016)</w:t>
      </w:r>
    </w:p>
  </w:endnote>
  <w:endnote w:id="27">
    <w:p w14:paraId="7AEF3B49" w14:textId="77777777" w:rsidR="00D62838" w:rsidRPr="00934508" w:rsidRDefault="00D62838" w:rsidP="00D62838">
      <w:pPr>
        <w:pStyle w:val="EndnoteText"/>
        <w:rPr>
          <w:lang w:val="en-US"/>
        </w:rPr>
      </w:pPr>
      <w:r>
        <w:rPr>
          <w:rStyle w:val="EndnoteReference"/>
        </w:rPr>
        <w:endnoteRef/>
      </w:r>
      <w:r>
        <w:t xml:space="preserve"> </w:t>
      </w:r>
      <w:r>
        <w:rPr>
          <w:lang w:val="en-US"/>
        </w:rPr>
        <w:t>T Doan, C Labond, A Yazidjoglou, P Timmins, P Y and L Strazdins, ‘</w:t>
      </w:r>
      <w:hyperlink r:id="rId13" w:history="1">
        <w:r w:rsidRPr="005A691E">
          <w:rPr>
            <w:rStyle w:val="Hyperlink"/>
            <w:lang w:val="en-US"/>
          </w:rPr>
          <w:t>Health and occupation: the limits to older adults’ work hours’</w:t>
        </w:r>
      </w:hyperlink>
      <w:r>
        <w:rPr>
          <w:lang w:val="en-US"/>
        </w:rPr>
        <w:t xml:space="preserve">, </w:t>
      </w:r>
      <w:r w:rsidRPr="006227C3">
        <w:rPr>
          <w:i/>
          <w:iCs/>
          <w:lang w:val="en-US"/>
        </w:rPr>
        <w:t>Ageing &amp; Society</w:t>
      </w:r>
      <w:r>
        <w:rPr>
          <w:lang w:val="en-US"/>
        </w:rPr>
        <w:t>, 2022, 44(4): 743-771.</w:t>
      </w:r>
    </w:p>
  </w:endnote>
  <w:endnote w:id="28">
    <w:p w14:paraId="46C26411" w14:textId="77777777" w:rsidR="00D62838" w:rsidRPr="00966D87" w:rsidRDefault="00D62838" w:rsidP="00D62838">
      <w:pPr>
        <w:pStyle w:val="EndnoteText"/>
        <w:rPr>
          <w:lang w:val="en-US"/>
        </w:rPr>
      </w:pPr>
      <w:r>
        <w:rPr>
          <w:rStyle w:val="EndnoteReference"/>
        </w:rPr>
        <w:endnoteRef/>
      </w:r>
      <w:r>
        <w:t xml:space="preserve"> </w:t>
      </w:r>
      <w:r>
        <w:rPr>
          <w:lang w:val="en-US"/>
        </w:rPr>
        <w:t>P Moen, E Kelly, E Fan, S Lee, D Almeida, E Kossek and O Buxton, ‘</w:t>
      </w:r>
      <w:hyperlink r:id="rId14" w:history="1">
        <w:r w:rsidRPr="00065204">
          <w:rPr>
            <w:rStyle w:val="Hyperlink"/>
            <w:lang w:val="en-US"/>
          </w:rPr>
          <w:t>Does a flexibility/ support organizational initiative improve high-tech employees’ wellbeing? Evidence from the work, family, and health network</w:t>
        </w:r>
      </w:hyperlink>
      <w:r>
        <w:rPr>
          <w:lang w:val="en-US"/>
        </w:rPr>
        <w:t xml:space="preserve">’, </w:t>
      </w:r>
      <w:r>
        <w:rPr>
          <w:i/>
          <w:iCs/>
          <w:lang w:val="en-US"/>
        </w:rPr>
        <w:t>American Sociological Review</w:t>
      </w:r>
      <w:r>
        <w:rPr>
          <w:lang w:val="en-US"/>
        </w:rPr>
        <w:t>, 81(1):134-164.</w:t>
      </w:r>
    </w:p>
  </w:endnote>
  <w:endnote w:id="29">
    <w:p w14:paraId="2A85C674" w14:textId="77777777" w:rsidR="00D62838" w:rsidRPr="00065204" w:rsidRDefault="00D62838" w:rsidP="00D62838">
      <w:pPr>
        <w:pStyle w:val="EndnoteText"/>
        <w:rPr>
          <w:lang w:val="en-US"/>
        </w:rPr>
      </w:pPr>
      <w:r>
        <w:rPr>
          <w:rStyle w:val="EndnoteReference"/>
        </w:rPr>
        <w:endnoteRef/>
      </w:r>
      <w:r>
        <w:t xml:space="preserve"> </w:t>
      </w:r>
      <w:r>
        <w:rPr>
          <w:lang w:val="en-US"/>
        </w:rPr>
        <w:t xml:space="preserve">J Parry, Z Young, S Bevan, M Veliziotis, Y Baruch, M Beigi, Z Bajorek, E Salter and C Tochia, </w:t>
      </w:r>
      <w:hyperlink r:id="rId15" w:history="1">
        <w:r w:rsidRPr="00936A99">
          <w:rPr>
            <w:rStyle w:val="Hyperlink"/>
            <w:lang w:val="en-US"/>
          </w:rPr>
          <w:t>‘Working from home under COVID-19 lockdown: Transitions and tensions</w:t>
        </w:r>
      </w:hyperlink>
      <w:r>
        <w:rPr>
          <w:lang w:val="en-US"/>
        </w:rPr>
        <w:t>’, University of Southampton, 2021.</w:t>
      </w:r>
    </w:p>
  </w:endnote>
  <w:endnote w:id="30">
    <w:p w14:paraId="691B27A8" w14:textId="77777777" w:rsidR="00D62838" w:rsidRPr="007B1303" w:rsidRDefault="00D62838" w:rsidP="00D62838">
      <w:pPr>
        <w:pStyle w:val="EndnoteText"/>
        <w:rPr>
          <w:lang w:val="en-US"/>
        </w:rPr>
      </w:pPr>
      <w:r>
        <w:rPr>
          <w:rStyle w:val="EndnoteReference"/>
        </w:rPr>
        <w:endnoteRef/>
      </w:r>
      <w:r>
        <w:t xml:space="preserve"> </w:t>
      </w:r>
      <w:r>
        <w:rPr>
          <w:lang w:val="en-US"/>
        </w:rPr>
        <w:t xml:space="preserve">R Cooper and M Baird, </w:t>
      </w:r>
      <w:hyperlink r:id="rId16" w:history="1">
        <w:r w:rsidRPr="00720E83">
          <w:rPr>
            <w:rStyle w:val="Hyperlink"/>
            <w:lang w:val="en-US"/>
          </w:rPr>
          <w:t>‘Bringing the “right to request” flexible working arrangements to life: from policies to practices’</w:t>
        </w:r>
      </w:hyperlink>
      <w:r>
        <w:rPr>
          <w:lang w:val="en-US"/>
        </w:rPr>
        <w:t>, Employee Relations, 2015, 37(5): 568-581.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0000000000000000000"/>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661636"/>
      <w:docPartObj>
        <w:docPartGallery w:val="Page Numbers (Bottom of Page)"/>
        <w:docPartUnique/>
      </w:docPartObj>
    </w:sdtPr>
    <w:sdtEndPr>
      <w:rPr>
        <w:noProof/>
      </w:rPr>
    </w:sdtEndPr>
    <w:sdtContent>
      <w:p w14:paraId="07250D5D" w14:textId="77777777" w:rsidR="004024FD" w:rsidRPr="00A418E2" w:rsidRDefault="004024FD" w:rsidP="00861142">
        <w:pPr>
          <w:pStyle w:val="Footer"/>
        </w:pPr>
        <w:r w:rsidRPr="004024FD">
          <w:t>Australian Human Rights Commission</w:t>
        </w: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670E" w14:textId="77777777" w:rsidR="00FD2D8A" w:rsidRPr="00FD2D8A" w:rsidRDefault="00FD2D8A" w:rsidP="00861142">
    <w:pPr>
      <w:pStyle w:val="Footer"/>
    </w:pPr>
    <w:r>
      <w:t>Australian Human Rights Commission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5A652" w14:textId="77777777" w:rsidR="006E4187" w:rsidRDefault="006E4187" w:rsidP="00965614">
      <w:r>
        <w:separator/>
      </w:r>
    </w:p>
  </w:footnote>
  <w:footnote w:type="continuationSeparator" w:id="0">
    <w:p w14:paraId="56DEFBF1" w14:textId="77777777" w:rsidR="006E4187" w:rsidRDefault="006E4187" w:rsidP="00965614">
      <w:r>
        <w:continuationSeparator/>
      </w:r>
    </w:p>
  </w:footnote>
  <w:footnote w:type="continuationNotice" w:id="1">
    <w:p w14:paraId="5CAEFC71" w14:textId="77777777" w:rsidR="006E4187" w:rsidRDefault="006E4187" w:rsidP="009656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098685"/>
      <w:placeholder>
        <w:docPart w:val="885683BD63C34DA193EF3FFFBC40A31F"/>
      </w:placeholder>
      <w:dataBinding w:prefixMappings="xmlns:ns0='http://AHRCheadings.htm' " w:xpath="/ns0:headings[1]/ns0:Overview[1]" w:storeItemID="{59E40458-85DB-4B58-AD7F-ED1E21A92441}"/>
      <w:text/>
    </w:sdtPr>
    <w:sdtEndPr/>
    <w:sdtContent>
      <w:p w14:paraId="5D091259" w14:textId="77777777" w:rsidR="00F14523" w:rsidRPr="0015672E" w:rsidRDefault="004868AC" w:rsidP="00965614">
        <w:pPr>
          <w:pStyle w:val="Header"/>
        </w:pPr>
        <w:r>
          <w:t>Executive summary</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631459"/>
      <w:placeholder>
        <w:docPart w:val="885683BD63C34DA193EF3FFFBC40A31F"/>
      </w:placeholder>
      <w:dataBinding w:prefixMappings="xmlns:ns0='http://AHRCheadings.htm' " w:xpath="/ns0:headings[1]/ns0:Topic2[1]" w:storeItemID="{59E40458-85DB-4B58-AD7F-ED1E21A92441}"/>
      <w:text/>
    </w:sdtPr>
    <w:sdtEndPr/>
    <w:sdtContent>
      <w:p w14:paraId="2767303F" w14:textId="77777777" w:rsidR="00FF3BE7" w:rsidRPr="0015672E" w:rsidRDefault="00D321EB" w:rsidP="0015672E">
        <w:pPr>
          <w:pStyle w:val="Header"/>
        </w:pPr>
        <w:r>
          <w:t>Measuring Sustainable Employment Outcomes</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809933"/>
      <w:placeholder>
        <w:docPart w:val="885683BD63C34DA193EF3FFFBC40A31F"/>
      </w:placeholder>
      <w:dataBinding w:prefixMappings="xmlns:ns0='http://AHRCheadings.htm' " w:xpath="/ns0:headings[1]/ns0:Topic3[1]" w:storeItemID="{59E40458-85DB-4B58-AD7F-ED1E21A92441}"/>
      <w:text/>
    </w:sdtPr>
    <w:sdtEndPr/>
    <w:sdtContent>
      <w:p w14:paraId="2DC3D97D" w14:textId="77777777" w:rsidR="00FF3BE7" w:rsidRPr="0015672E" w:rsidRDefault="00E7420F" w:rsidP="0015672E">
        <w:pPr>
          <w:pStyle w:val="Header"/>
        </w:pPr>
        <w:r>
          <w:t>Shifting Employer Practices: Demand-Side Reform</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230751"/>
      <w:placeholder>
        <w:docPart w:val="885683BD63C34DA193EF3FFFBC40A31F"/>
      </w:placeholder>
      <w:dataBinding w:prefixMappings="xmlns:ns0='http://AHRCheadings.htm' " w:xpath="/ns0:headings[1]/ns0:Endnotes[1]" w:storeItemID="{59E40458-85DB-4B58-AD7F-ED1E21A92441}"/>
      <w:text/>
    </w:sdtPr>
    <w:sdtEndPr/>
    <w:sdtContent>
      <w:p w14:paraId="0F944E5C" w14:textId="77777777" w:rsidR="0015672E" w:rsidRPr="0015672E" w:rsidRDefault="00FF3BE7" w:rsidP="0015672E">
        <w:pPr>
          <w:pStyle w:val="Header"/>
        </w:pPr>
        <w:r>
          <w:t>Endnotes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 o:bullet="t">
        <v:imagedata r:id="rId1" o:title="Globe Australia"/>
      </v:shape>
    </w:pict>
  </w:numPicBullet>
  <w:abstractNum w:abstractNumId="0" w15:restartNumberingAfterBreak="0">
    <w:nsid w:val="070633C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347C29"/>
    <w:multiLevelType w:val="hybridMultilevel"/>
    <w:tmpl w:val="2D36E5A4"/>
    <w:lvl w:ilvl="0" w:tplc="BCD6F2F2">
      <w:start w:val="4"/>
      <w:numFmt w:val="bullet"/>
      <w:lvlText w:val="-"/>
      <w:lvlJc w:val="left"/>
      <w:pPr>
        <w:ind w:left="720" w:hanging="360"/>
      </w:pPr>
      <w:rPr>
        <w:rFonts w:ascii="Open Sans" w:eastAsia="Open Sans"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BF3806"/>
    <w:multiLevelType w:val="hybridMultilevel"/>
    <w:tmpl w:val="677ED5D0"/>
    <w:lvl w:ilvl="0" w:tplc="0C090001">
      <w:start w:val="1"/>
      <w:numFmt w:val="bullet"/>
      <w:lvlText w:val=""/>
      <w:lvlJc w:val="left"/>
      <w:pPr>
        <w:ind w:left="720" w:hanging="360"/>
      </w:pPr>
      <w:rPr>
        <w:rFonts w:ascii="Symbol" w:hAnsi="Symbol" w:hint="default"/>
        <w:color w:val="404041"/>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544173"/>
    <w:multiLevelType w:val="hybridMultilevel"/>
    <w:tmpl w:val="97B0DC08"/>
    <w:lvl w:ilvl="0" w:tplc="D4AA12A0">
      <w:start w:val="1"/>
      <w:numFmt w:val="decimal"/>
      <w:lvlText w:val="%1."/>
      <w:lvlJc w:val="left"/>
      <w:pPr>
        <w:ind w:left="360" w:hanging="360"/>
      </w:pPr>
      <w:rPr>
        <w:rFonts w:hint="default"/>
        <w:color w:val="143C65" w:themeColor="accen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CEA138C"/>
    <w:multiLevelType w:val="hybridMultilevel"/>
    <w:tmpl w:val="B212100A"/>
    <w:lvl w:ilvl="0" w:tplc="A90493EE">
      <w:start w:val="1"/>
      <w:numFmt w:val="bullet"/>
      <w:lvlText w:val=""/>
      <w:lvlPicBulletId w:val="0"/>
      <w:lvlJc w:val="left"/>
      <w:pPr>
        <w:ind w:left="360" w:hanging="360"/>
      </w:pPr>
      <w:rPr>
        <w:rFonts w:ascii="Symbol" w:hAnsi="Symbol" w:hint="default"/>
        <w:color w:val="auto"/>
        <w:sz w:val="28"/>
        <w:szCs w:val="2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15A6DAF"/>
    <w:multiLevelType w:val="multilevel"/>
    <w:tmpl w:val="23CA5D00"/>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4930905"/>
    <w:multiLevelType w:val="hybridMultilevel"/>
    <w:tmpl w:val="719A8ABE"/>
    <w:lvl w:ilvl="0" w:tplc="2A72A808">
      <w:start w:val="1"/>
      <w:numFmt w:val="bullet"/>
      <w:pStyle w:val="Tablelistbullets"/>
      <w:lvlText w:val=""/>
      <w:lvlJc w:val="left"/>
      <w:pPr>
        <w:ind w:left="360" w:hanging="360"/>
      </w:pPr>
      <w:rPr>
        <w:rFonts w:ascii="Symbol" w:hAnsi="Symbol" w:hint="default"/>
        <w:color w:val="143C65"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E333FC3"/>
    <w:multiLevelType w:val="multilevel"/>
    <w:tmpl w:val="6C9AC8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F895F77"/>
    <w:multiLevelType w:val="multilevel"/>
    <w:tmpl w:val="2116C8C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761178B"/>
    <w:multiLevelType w:val="hybridMultilevel"/>
    <w:tmpl w:val="5CB282BE"/>
    <w:lvl w:ilvl="0" w:tplc="844CD508">
      <w:start w:val="1"/>
      <w:numFmt w:val="decimal"/>
      <w:pStyle w:val="Tablelistnumbers"/>
      <w:lvlText w:val="%1."/>
      <w:lvlJc w:val="left"/>
      <w:pPr>
        <w:ind w:left="360" w:hanging="360"/>
      </w:pPr>
      <w:rPr>
        <w:color w:val="143C65" w:themeColor="accen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81342D2"/>
    <w:multiLevelType w:val="hybridMultilevel"/>
    <w:tmpl w:val="608AF268"/>
    <w:lvl w:ilvl="0" w:tplc="0F4C13EE">
      <w:start w:val="1"/>
      <w:numFmt w:val="decimal"/>
      <w:pStyle w:val="Normal"/>
      <w:lvlText w:val="%1."/>
      <w:lvlJc w:val="left"/>
      <w:pPr>
        <w:ind w:left="720" w:hanging="360"/>
      </w:pPr>
      <w:rPr>
        <w:rFonts w:hint="default"/>
        <w:color w:val="40404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835698F"/>
    <w:multiLevelType w:val="multilevel"/>
    <w:tmpl w:val="793A09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D06F31"/>
    <w:multiLevelType w:val="hybridMultilevel"/>
    <w:tmpl w:val="E0EE88DE"/>
    <w:lvl w:ilvl="0" w:tplc="0ACC7EFA">
      <w:start w:val="2026"/>
      <w:numFmt w:val="bullet"/>
      <w:lvlText w:val="-"/>
      <w:lvlJc w:val="left"/>
      <w:pPr>
        <w:ind w:left="389" w:hanging="360"/>
      </w:pPr>
      <w:rPr>
        <w:rFonts w:ascii="Open Sans" w:eastAsiaTheme="minorEastAsia" w:hAnsi="Open Sans" w:cs="Open Sans" w:hint="default"/>
      </w:rPr>
    </w:lvl>
    <w:lvl w:ilvl="1" w:tplc="0C090003" w:tentative="1">
      <w:start w:val="1"/>
      <w:numFmt w:val="bullet"/>
      <w:lvlText w:val="o"/>
      <w:lvlJc w:val="left"/>
      <w:pPr>
        <w:ind w:left="1109" w:hanging="360"/>
      </w:pPr>
      <w:rPr>
        <w:rFonts w:ascii="Courier New" w:hAnsi="Courier New" w:cs="Courier New" w:hint="default"/>
      </w:rPr>
    </w:lvl>
    <w:lvl w:ilvl="2" w:tplc="0C090005" w:tentative="1">
      <w:start w:val="1"/>
      <w:numFmt w:val="bullet"/>
      <w:lvlText w:val=""/>
      <w:lvlJc w:val="left"/>
      <w:pPr>
        <w:ind w:left="1829" w:hanging="360"/>
      </w:pPr>
      <w:rPr>
        <w:rFonts w:ascii="Wingdings" w:hAnsi="Wingdings" w:hint="default"/>
      </w:rPr>
    </w:lvl>
    <w:lvl w:ilvl="3" w:tplc="0C090001" w:tentative="1">
      <w:start w:val="1"/>
      <w:numFmt w:val="bullet"/>
      <w:lvlText w:val=""/>
      <w:lvlJc w:val="left"/>
      <w:pPr>
        <w:ind w:left="2549" w:hanging="360"/>
      </w:pPr>
      <w:rPr>
        <w:rFonts w:ascii="Symbol" w:hAnsi="Symbol" w:hint="default"/>
      </w:rPr>
    </w:lvl>
    <w:lvl w:ilvl="4" w:tplc="0C090003" w:tentative="1">
      <w:start w:val="1"/>
      <w:numFmt w:val="bullet"/>
      <w:lvlText w:val="o"/>
      <w:lvlJc w:val="left"/>
      <w:pPr>
        <w:ind w:left="3269" w:hanging="360"/>
      </w:pPr>
      <w:rPr>
        <w:rFonts w:ascii="Courier New" w:hAnsi="Courier New" w:cs="Courier New" w:hint="default"/>
      </w:rPr>
    </w:lvl>
    <w:lvl w:ilvl="5" w:tplc="0C090005" w:tentative="1">
      <w:start w:val="1"/>
      <w:numFmt w:val="bullet"/>
      <w:lvlText w:val=""/>
      <w:lvlJc w:val="left"/>
      <w:pPr>
        <w:ind w:left="3989" w:hanging="360"/>
      </w:pPr>
      <w:rPr>
        <w:rFonts w:ascii="Wingdings" w:hAnsi="Wingdings" w:hint="default"/>
      </w:rPr>
    </w:lvl>
    <w:lvl w:ilvl="6" w:tplc="0C090001" w:tentative="1">
      <w:start w:val="1"/>
      <w:numFmt w:val="bullet"/>
      <w:lvlText w:val=""/>
      <w:lvlJc w:val="left"/>
      <w:pPr>
        <w:ind w:left="4709" w:hanging="360"/>
      </w:pPr>
      <w:rPr>
        <w:rFonts w:ascii="Symbol" w:hAnsi="Symbol" w:hint="default"/>
      </w:rPr>
    </w:lvl>
    <w:lvl w:ilvl="7" w:tplc="0C090003" w:tentative="1">
      <w:start w:val="1"/>
      <w:numFmt w:val="bullet"/>
      <w:lvlText w:val="o"/>
      <w:lvlJc w:val="left"/>
      <w:pPr>
        <w:ind w:left="5429" w:hanging="360"/>
      </w:pPr>
      <w:rPr>
        <w:rFonts w:ascii="Courier New" w:hAnsi="Courier New" w:cs="Courier New" w:hint="default"/>
      </w:rPr>
    </w:lvl>
    <w:lvl w:ilvl="8" w:tplc="0C090005" w:tentative="1">
      <w:start w:val="1"/>
      <w:numFmt w:val="bullet"/>
      <w:lvlText w:val=""/>
      <w:lvlJc w:val="left"/>
      <w:pPr>
        <w:ind w:left="6149" w:hanging="360"/>
      </w:pPr>
      <w:rPr>
        <w:rFonts w:ascii="Wingdings" w:hAnsi="Wingdings" w:hint="default"/>
      </w:rPr>
    </w:lvl>
  </w:abstractNum>
  <w:abstractNum w:abstractNumId="13" w15:restartNumberingAfterBreak="0">
    <w:nsid w:val="542B41D3"/>
    <w:multiLevelType w:val="hybridMultilevel"/>
    <w:tmpl w:val="3460D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47493A"/>
    <w:multiLevelType w:val="hybridMultilevel"/>
    <w:tmpl w:val="F71ED942"/>
    <w:lvl w:ilvl="0" w:tplc="9BDE0DF0">
      <w:numFmt w:val="bullet"/>
      <w:lvlText w:val="-"/>
      <w:lvlJc w:val="left"/>
      <w:pPr>
        <w:ind w:left="720" w:hanging="360"/>
      </w:pPr>
      <w:rPr>
        <w:rFonts w:ascii="Open Sans" w:eastAsia="Times New Roman"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2C5CBF"/>
    <w:multiLevelType w:val="hybridMultilevel"/>
    <w:tmpl w:val="59569332"/>
    <w:lvl w:ilvl="0" w:tplc="7D56C5C6">
      <w:start w:val="1"/>
      <w:numFmt w:val="decimal"/>
      <w:pStyle w:val="Bodylistnumbers"/>
      <w:lvlText w:val="%1."/>
      <w:lvlJc w:val="left"/>
      <w:pPr>
        <w:ind w:left="-320" w:hanging="360"/>
      </w:pPr>
      <w:rPr>
        <w:color w:val="143C65" w:themeColor="accent1"/>
      </w:rPr>
    </w:lvl>
    <w:lvl w:ilvl="1" w:tplc="0C090019" w:tentative="1">
      <w:start w:val="1"/>
      <w:numFmt w:val="lowerLetter"/>
      <w:lvlText w:val="%2."/>
      <w:lvlJc w:val="left"/>
      <w:pPr>
        <w:ind w:left="400" w:hanging="360"/>
      </w:pPr>
    </w:lvl>
    <w:lvl w:ilvl="2" w:tplc="0C09001B" w:tentative="1">
      <w:start w:val="1"/>
      <w:numFmt w:val="lowerRoman"/>
      <w:lvlText w:val="%3."/>
      <w:lvlJc w:val="right"/>
      <w:pPr>
        <w:ind w:left="1120" w:hanging="180"/>
      </w:pPr>
    </w:lvl>
    <w:lvl w:ilvl="3" w:tplc="0C09000F" w:tentative="1">
      <w:start w:val="1"/>
      <w:numFmt w:val="decimal"/>
      <w:lvlText w:val="%4."/>
      <w:lvlJc w:val="left"/>
      <w:pPr>
        <w:ind w:left="1840" w:hanging="360"/>
      </w:pPr>
    </w:lvl>
    <w:lvl w:ilvl="4" w:tplc="0C090019" w:tentative="1">
      <w:start w:val="1"/>
      <w:numFmt w:val="lowerLetter"/>
      <w:lvlText w:val="%5."/>
      <w:lvlJc w:val="left"/>
      <w:pPr>
        <w:ind w:left="2560" w:hanging="360"/>
      </w:pPr>
    </w:lvl>
    <w:lvl w:ilvl="5" w:tplc="0C09001B" w:tentative="1">
      <w:start w:val="1"/>
      <w:numFmt w:val="lowerRoman"/>
      <w:lvlText w:val="%6."/>
      <w:lvlJc w:val="right"/>
      <w:pPr>
        <w:ind w:left="3280" w:hanging="180"/>
      </w:pPr>
    </w:lvl>
    <w:lvl w:ilvl="6" w:tplc="0C09000F" w:tentative="1">
      <w:start w:val="1"/>
      <w:numFmt w:val="decimal"/>
      <w:lvlText w:val="%7."/>
      <w:lvlJc w:val="left"/>
      <w:pPr>
        <w:ind w:left="4000" w:hanging="360"/>
      </w:pPr>
    </w:lvl>
    <w:lvl w:ilvl="7" w:tplc="0C090019" w:tentative="1">
      <w:start w:val="1"/>
      <w:numFmt w:val="lowerLetter"/>
      <w:lvlText w:val="%8."/>
      <w:lvlJc w:val="left"/>
      <w:pPr>
        <w:ind w:left="4720" w:hanging="360"/>
      </w:pPr>
    </w:lvl>
    <w:lvl w:ilvl="8" w:tplc="0C09001B" w:tentative="1">
      <w:start w:val="1"/>
      <w:numFmt w:val="lowerRoman"/>
      <w:lvlText w:val="%9."/>
      <w:lvlJc w:val="right"/>
      <w:pPr>
        <w:ind w:left="5440" w:hanging="180"/>
      </w:pPr>
    </w:lvl>
  </w:abstractNum>
  <w:abstractNum w:abstractNumId="16" w15:restartNumberingAfterBreak="0">
    <w:nsid w:val="6EC82C6C"/>
    <w:multiLevelType w:val="hybridMultilevel"/>
    <w:tmpl w:val="103AE250"/>
    <w:lvl w:ilvl="0" w:tplc="BDECA6B6">
      <w:start w:val="1"/>
      <w:numFmt w:val="bullet"/>
      <w:pStyle w:val="Bodylistbullets"/>
      <w:lvlText w:val=""/>
      <w:lvlJc w:val="left"/>
      <w:pPr>
        <w:ind w:left="360" w:hanging="360"/>
      </w:pPr>
      <w:rPr>
        <w:rFonts w:ascii="Symbol" w:hAnsi="Symbol" w:hint="default"/>
        <w:color w:val="143C65"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CCC7F89"/>
    <w:multiLevelType w:val="hybridMultilevel"/>
    <w:tmpl w:val="BCF472AE"/>
    <w:lvl w:ilvl="0" w:tplc="C7F81D9E">
      <w:numFmt w:val="bullet"/>
      <w:lvlText w:val="-"/>
      <w:lvlJc w:val="left"/>
      <w:pPr>
        <w:ind w:left="389" w:hanging="360"/>
      </w:pPr>
      <w:rPr>
        <w:rFonts w:ascii="Open Sans" w:eastAsiaTheme="minorEastAsia" w:hAnsi="Open Sans" w:cs="Open Sans" w:hint="default"/>
      </w:rPr>
    </w:lvl>
    <w:lvl w:ilvl="1" w:tplc="0C090003" w:tentative="1">
      <w:start w:val="1"/>
      <w:numFmt w:val="bullet"/>
      <w:lvlText w:val="o"/>
      <w:lvlJc w:val="left"/>
      <w:pPr>
        <w:ind w:left="1109" w:hanging="360"/>
      </w:pPr>
      <w:rPr>
        <w:rFonts w:ascii="Courier New" w:hAnsi="Courier New" w:cs="Courier New" w:hint="default"/>
      </w:rPr>
    </w:lvl>
    <w:lvl w:ilvl="2" w:tplc="0C090005" w:tentative="1">
      <w:start w:val="1"/>
      <w:numFmt w:val="bullet"/>
      <w:lvlText w:val=""/>
      <w:lvlJc w:val="left"/>
      <w:pPr>
        <w:ind w:left="1829" w:hanging="360"/>
      </w:pPr>
      <w:rPr>
        <w:rFonts w:ascii="Wingdings" w:hAnsi="Wingdings" w:hint="default"/>
      </w:rPr>
    </w:lvl>
    <w:lvl w:ilvl="3" w:tplc="0C090001" w:tentative="1">
      <w:start w:val="1"/>
      <w:numFmt w:val="bullet"/>
      <w:lvlText w:val=""/>
      <w:lvlJc w:val="left"/>
      <w:pPr>
        <w:ind w:left="2549" w:hanging="360"/>
      </w:pPr>
      <w:rPr>
        <w:rFonts w:ascii="Symbol" w:hAnsi="Symbol" w:hint="default"/>
      </w:rPr>
    </w:lvl>
    <w:lvl w:ilvl="4" w:tplc="0C090003" w:tentative="1">
      <w:start w:val="1"/>
      <w:numFmt w:val="bullet"/>
      <w:lvlText w:val="o"/>
      <w:lvlJc w:val="left"/>
      <w:pPr>
        <w:ind w:left="3269" w:hanging="360"/>
      </w:pPr>
      <w:rPr>
        <w:rFonts w:ascii="Courier New" w:hAnsi="Courier New" w:cs="Courier New" w:hint="default"/>
      </w:rPr>
    </w:lvl>
    <w:lvl w:ilvl="5" w:tplc="0C090005" w:tentative="1">
      <w:start w:val="1"/>
      <w:numFmt w:val="bullet"/>
      <w:lvlText w:val=""/>
      <w:lvlJc w:val="left"/>
      <w:pPr>
        <w:ind w:left="3989" w:hanging="360"/>
      </w:pPr>
      <w:rPr>
        <w:rFonts w:ascii="Wingdings" w:hAnsi="Wingdings" w:hint="default"/>
      </w:rPr>
    </w:lvl>
    <w:lvl w:ilvl="6" w:tplc="0C090001" w:tentative="1">
      <w:start w:val="1"/>
      <w:numFmt w:val="bullet"/>
      <w:lvlText w:val=""/>
      <w:lvlJc w:val="left"/>
      <w:pPr>
        <w:ind w:left="4709" w:hanging="360"/>
      </w:pPr>
      <w:rPr>
        <w:rFonts w:ascii="Symbol" w:hAnsi="Symbol" w:hint="default"/>
      </w:rPr>
    </w:lvl>
    <w:lvl w:ilvl="7" w:tplc="0C090003" w:tentative="1">
      <w:start w:val="1"/>
      <w:numFmt w:val="bullet"/>
      <w:lvlText w:val="o"/>
      <w:lvlJc w:val="left"/>
      <w:pPr>
        <w:ind w:left="5429" w:hanging="360"/>
      </w:pPr>
      <w:rPr>
        <w:rFonts w:ascii="Courier New" w:hAnsi="Courier New" w:cs="Courier New" w:hint="default"/>
      </w:rPr>
    </w:lvl>
    <w:lvl w:ilvl="8" w:tplc="0C090005" w:tentative="1">
      <w:start w:val="1"/>
      <w:numFmt w:val="bullet"/>
      <w:lvlText w:val=""/>
      <w:lvlJc w:val="left"/>
      <w:pPr>
        <w:ind w:left="6149" w:hanging="360"/>
      </w:pPr>
      <w:rPr>
        <w:rFonts w:ascii="Wingdings" w:hAnsi="Wingdings" w:hint="default"/>
      </w:rPr>
    </w:lvl>
  </w:abstractNum>
  <w:num w:numId="1" w16cid:durableId="284116966">
    <w:abstractNumId w:val="6"/>
  </w:num>
  <w:num w:numId="2" w16cid:durableId="1576890948">
    <w:abstractNumId w:val="15"/>
  </w:num>
  <w:num w:numId="3" w16cid:durableId="1411004709">
    <w:abstractNumId w:val="16"/>
  </w:num>
  <w:num w:numId="4" w16cid:durableId="825244839">
    <w:abstractNumId w:val="4"/>
  </w:num>
  <w:num w:numId="5" w16cid:durableId="1025209766">
    <w:abstractNumId w:val="15"/>
    <w:lvlOverride w:ilvl="0">
      <w:startOverride w:val="1"/>
    </w:lvlOverride>
  </w:num>
  <w:num w:numId="6" w16cid:durableId="939065618">
    <w:abstractNumId w:val="9"/>
  </w:num>
  <w:num w:numId="7" w16cid:durableId="717818606">
    <w:abstractNumId w:val="3"/>
  </w:num>
  <w:num w:numId="8" w16cid:durableId="1196507562">
    <w:abstractNumId w:val="11"/>
  </w:num>
  <w:num w:numId="9" w16cid:durableId="1803845371">
    <w:abstractNumId w:val="0"/>
  </w:num>
  <w:num w:numId="10" w16cid:durableId="560750613">
    <w:abstractNumId w:val="11"/>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733509586">
    <w:abstractNumId w:val="3"/>
    <w:lvlOverride w:ilvl="0">
      <w:startOverride w:val="1"/>
    </w:lvlOverride>
  </w:num>
  <w:num w:numId="12" w16cid:durableId="1012686430">
    <w:abstractNumId w:val="11"/>
    <w:lvlOverride w:ilvl="0">
      <w:startOverride w:val="1"/>
      <w:lvl w:ilvl="0">
        <w:start w:val="1"/>
        <w:numFmt w:val="decimal"/>
        <w:lvlText w:val="%1."/>
        <w:lvlJc w:val="left"/>
        <w:pPr>
          <w:ind w:left="567" w:hanging="567"/>
        </w:pPr>
        <w:rPr>
          <w:rFonts w:hint="default"/>
        </w:rPr>
      </w:lvl>
    </w:lvlOverride>
    <w:lvlOverride w:ilvl="1">
      <w:startOverride w:val="1"/>
      <w:lvl w:ilvl="1">
        <w:start w:val="1"/>
        <w:numFmt w:val="decimal"/>
        <w:lvlText w:val="%1.%2"/>
        <w:lvlJc w:val="left"/>
        <w:pPr>
          <w:ind w:left="567" w:hanging="567"/>
        </w:pPr>
        <w:rPr>
          <w:rFonts w:hint="default"/>
        </w:rPr>
      </w:lvl>
    </w:lvlOverride>
    <w:lvlOverride w:ilvl="2">
      <w:startOverride w:val="1"/>
      <w:lvl w:ilvl="2">
        <w:start w:val="1"/>
        <w:numFmt w:val="decimal"/>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13" w16cid:durableId="288821952">
    <w:abstractNumId w:val="8"/>
  </w:num>
  <w:num w:numId="14" w16cid:durableId="1833833636">
    <w:abstractNumId w:val="7"/>
  </w:num>
  <w:num w:numId="15" w16cid:durableId="529102834">
    <w:abstractNumId w:val="16"/>
  </w:num>
  <w:num w:numId="16" w16cid:durableId="1084760115">
    <w:abstractNumId w:val="16"/>
  </w:num>
  <w:num w:numId="17" w16cid:durableId="128208228">
    <w:abstractNumId w:val="15"/>
  </w:num>
  <w:num w:numId="18" w16cid:durableId="1266304166">
    <w:abstractNumId w:val="16"/>
  </w:num>
  <w:num w:numId="19" w16cid:durableId="1349524145">
    <w:abstractNumId w:val="5"/>
  </w:num>
  <w:num w:numId="20" w16cid:durableId="1920551438">
    <w:abstractNumId w:val="5"/>
  </w:num>
  <w:num w:numId="21" w16cid:durableId="945039616">
    <w:abstractNumId w:val="5"/>
  </w:num>
  <w:num w:numId="22" w16cid:durableId="684017697">
    <w:abstractNumId w:val="5"/>
  </w:num>
  <w:num w:numId="23" w16cid:durableId="1320958273">
    <w:abstractNumId w:val="5"/>
  </w:num>
  <w:num w:numId="24" w16cid:durableId="718431559">
    <w:abstractNumId w:val="5"/>
  </w:num>
  <w:num w:numId="25" w16cid:durableId="254556642">
    <w:abstractNumId w:val="5"/>
  </w:num>
  <w:num w:numId="26" w16cid:durableId="1248878576">
    <w:abstractNumId w:val="5"/>
  </w:num>
  <w:num w:numId="27" w16cid:durableId="840240824">
    <w:abstractNumId w:val="4"/>
  </w:num>
  <w:num w:numId="28" w16cid:durableId="1294823578">
    <w:abstractNumId w:val="6"/>
  </w:num>
  <w:num w:numId="29" w16cid:durableId="114954980">
    <w:abstractNumId w:val="9"/>
  </w:num>
  <w:num w:numId="30" w16cid:durableId="703598111">
    <w:abstractNumId w:val="9"/>
    <w:lvlOverride w:ilvl="0">
      <w:startOverride w:val="1"/>
    </w:lvlOverride>
  </w:num>
  <w:num w:numId="31" w16cid:durableId="1952469592">
    <w:abstractNumId w:val="9"/>
    <w:lvlOverride w:ilvl="0">
      <w:startOverride w:val="1"/>
    </w:lvlOverride>
  </w:num>
  <w:num w:numId="32" w16cid:durableId="34045168">
    <w:abstractNumId w:val="10"/>
  </w:num>
  <w:num w:numId="33" w16cid:durableId="2068914539">
    <w:abstractNumId w:val="2"/>
  </w:num>
  <w:num w:numId="34" w16cid:durableId="1333291684">
    <w:abstractNumId w:val="13"/>
  </w:num>
  <w:num w:numId="35" w16cid:durableId="937055853">
    <w:abstractNumId w:val="17"/>
  </w:num>
  <w:num w:numId="36" w16cid:durableId="1058434588">
    <w:abstractNumId w:val="12"/>
  </w:num>
  <w:num w:numId="37" w16cid:durableId="1890144559">
    <w:abstractNumId w:val="14"/>
  </w:num>
  <w:num w:numId="38" w16cid:durableId="2059934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14A"/>
    <w:rsid w:val="00000F22"/>
    <w:rsid w:val="00001B1B"/>
    <w:rsid w:val="00003CB9"/>
    <w:rsid w:val="00004092"/>
    <w:rsid w:val="0001084E"/>
    <w:rsid w:val="00014D36"/>
    <w:rsid w:val="00014EE1"/>
    <w:rsid w:val="00015039"/>
    <w:rsid w:val="0001522D"/>
    <w:rsid w:val="00016D23"/>
    <w:rsid w:val="00020AD1"/>
    <w:rsid w:val="00020D5F"/>
    <w:rsid w:val="000227C5"/>
    <w:rsid w:val="00023AF9"/>
    <w:rsid w:val="00033CB0"/>
    <w:rsid w:val="00035348"/>
    <w:rsid w:val="00037294"/>
    <w:rsid w:val="00041A25"/>
    <w:rsid w:val="000451E9"/>
    <w:rsid w:val="00046E8D"/>
    <w:rsid w:val="0005144E"/>
    <w:rsid w:val="000541C3"/>
    <w:rsid w:val="00055030"/>
    <w:rsid w:val="00060537"/>
    <w:rsid w:val="00062F4A"/>
    <w:rsid w:val="00063FFB"/>
    <w:rsid w:val="00066554"/>
    <w:rsid w:val="00066648"/>
    <w:rsid w:val="00071042"/>
    <w:rsid w:val="000737E1"/>
    <w:rsid w:val="00074DFF"/>
    <w:rsid w:val="00075BBA"/>
    <w:rsid w:val="0007658D"/>
    <w:rsid w:val="000812B0"/>
    <w:rsid w:val="000817D9"/>
    <w:rsid w:val="00084F8C"/>
    <w:rsid w:val="00090A5D"/>
    <w:rsid w:val="00090AC7"/>
    <w:rsid w:val="00091E6C"/>
    <w:rsid w:val="000936A1"/>
    <w:rsid w:val="00093784"/>
    <w:rsid w:val="00097176"/>
    <w:rsid w:val="000A08D9"/>
    <w:rsid w:val="000A2811"/>
    <w:rsid w:val="000A2E5F"/>
    <w:rsid w:val="000A307B"/>
    <w:rsid w:val="000A63DC"/>
    <w:rsid w:val="000B0B6B"/>
    <w:rsid w:val="000B193F"/>
    <w:rsid w:val="000B386D"/>
    <w:rsid w:val="000B3AB3"/>
    <w:rsid w:val="000B47FA"/>
    <w:rsid w:val="000B58F9"/>
    <w:rsid w:val="000B5E94"/>
    <w:rsid w:val="000B6461"/>
    <w:rsid w:val="000B7C71"/>
    <w:rsid w:val="000C0868"/>
    <w:rsid w:val="000C0B33"/>
    <w:rsid w:val="000C1F01"/>
    <w:rsid w:val="000C340F"/>
    <w:rsid w:val="000C36A5"/>
    <w:rsid w:val="000C48D4"/>
    <w:rsid w:val="000C527B"/>
    <w:rsid w:val="000D1B6B"/>
    <w:rsid w:val="000D267C"/>
    <w:rsid w:val="000D28DD"/>
    <w:rsid w:val="000D30AA"/>
    <w:rsid w:val="000E0E23"/>
    <w:rsid w:val="000E2F6F"/>
    <w:rsid w:val="000E341B"/>
    <w:rsid w:val="000E42DF"/>
    <w:rsid w:val="000F12BA"/>
    <w:rsid w:val="000F19DA"/>
    <w:rsid w:val="000F2E62"/>
    <w:rsid w:val="000F3712"/>
    <w:rsid w:val="000F3EB8"/>
    <w:rsid w:val="000F4FFF"/>
    <w:rsid w:val="00100C45"/>
    <w:rsid w:val="00102139"/>
    <w:rsid w:val="00105906"/>
    <w:rsid w:val="0011348F"/>
    <w:rsid w:val="00113B0F"/>
    <w:rsid w:val="001153A8"/>
    <w:rsid w:val="001173A0"/>
    <w:rsid w:val="00121865"/>
    <w:rsid w:val="0012252A"/>
    <w:rsid w:val="00122F68"/>
    <w:rsid w:val="00124405"/>
    <w:rsid w:val="001311F0"/>
    <w:rsid w:val="00135663"/>
    <w:rsid w:val="00140EBD"/>
    <w:rsid w:val="00141E5D"/>
    <w:rsid w:val="00141F6D"/>
    <w:rsid w:val="0014797F"/>
    <w:rsid w:val="001506AF"/>
    <w:rsid w:val="001525FA"/>
    <w:rsid w:val="00152783"/>
    <w:rsid w:val="001544E2"/>
    <w:rsid w:val="00154F9D"/>
    <w:rsid w:val="0015672E"/>
    <w:rsid w:val="00160791"/>
    <w:rsid w:val="00161404"/>
    <w:rsid w:val="00163B06"/>
    <w:rsid w:val="00165E95"/>
    <w:rsid w:val="001666BF"/>
    <w:rsid w:val="00166F48"/>
    <w:rsid w:val="00167765"/>
    <w:rsid w:val="001677CC"/>
    <w:rsid w:val="00173196"/>
    <w:rsid w:val="00173A76"/>
    <w:rsid w:val="00176482"/>
    <w:rsid w:val="00176BE5"/>
    <w:rsid w:val="0018026E"/>
    <w:rsid w:val="00183491"/>
    <w:rsid w:val="00183E76"/>
    <w:rsid w:val="00183F3A"/>
    <w:rsid w:val="00186CA4"/>
    <w:rsid w:val="00187177"/>
    <w:rsid w:val="00191505"/>
    <w:rsid w:val="001920CB"/>
    <w:rsid w:val="001927E7"/>
    <w:rsid w:val="00192A3B"/>
    <w:rsid w:val="00192F4A"/>
    <w:rsid w:val="0019345F"/>
    <w:rsid w:val="00194D5D"/>
    <w:rsid w:val="00195BE6"/>
    <w:rsid w:val="00196126"/>
    <w:rsid w:val="00196DBB"/>
    <w:rsid w:val="001A032F"/>
    <w:rsid w:val="001A2F75"/>
    <w:rsid w:val="001A6444"/>
    <w:rsid w:val="001B027C"/>
    <w:rsid w:val="001B1015"/>
    <w:rsid w:val="001B1183"/>
    <w:rsid w:val="001B17C9"/>
    <w:rsid w:val="001B438A"/>
    <w:rsid w:val="001B5122"/>
    <w:rsid w:val="001C1AAC"/>
    <w:rsid w:val="001C6072"/>
    <w:rsid w:val="001C75D8"/>
    <w:rsid w:val="001C7A60"/>
    <w:rsid w:val="001D0A36"/>
    <w:rsid w:val="001D0B40"/>
    <w:rsid w:val="001D4002"/>
    <w:rsid w:val="001D6115"/>
    <w:rsid w:val="001E2399"/>
    <w:rsid w:val="001E32BD"/>
    <w:rsid w:val="001E3B99"/>
    <w:rsid w:val="001E6928"/>
    <w:rsid w:val="001E6B0C"/>
    <w:rsid w:val="001F0E51"/>
    <w:rsid w:val="001F214C"/>
    <w:rsid w:val="001F36A7"/>
    <w:rsid w:val="001F39F2"/>
    <w:rsid w:val="001F4064"/>
    <w:rsid w:val="001F5638"/>
    <w:rsid w:val="001F600A"/>
    <w:rsid w:val="00202788"/>
    <w:rsid w:val="0020608C"/>
    <w:rsid w:val="00211997"/>
    <w:rsid w:val="00212682"/>
    <w:rsid w:val="00213447"/>
    <w:rsid w:val="002141FD"/>
    <w:rsid w:val="00215DBC"/>
    <w:rsid w:val="00215DF4"/>
    <w:rsid w:val="00217F2D"/>
    <w:rsid w:val="00221879"/>
    <w:rsid w:val="00223253"/>
    <w:rsid w:val="002247F3"/>
    <w:rsid w:val="002259CE"/>
    <w:rsid w:val="00232433"/>
    <w:rsid w:val="00234EAC"/>
    <w:rsid w:val="002412D5"/>
    <w:rsid w:val="00250E67"/>
    <w:rsid w:val="00253D44"/>
    <w:rsid w:val="00255953"/>
    <w:rsid w:val="002566C5"/>
    <w:rsid w:val="00257142"/>
    <w:rsid w:val="0026273D"/>
    <w:rsid w:val="00265923"/>
    <w:rsid w:val="00266562"/>
    <w:rsid w:val="0026727A"/>
    <w:rsid w:val="00270F4A"/>
    <w:rsid w:val="002725B6"/>
    <w:rsid w:val="002779E5"/>
    <w:rsid w:val="00277D68"/>
    <w:rsid w:val="00277E24"/>
    <w:rsid w:val="00283ACB"/>
    <w:rsid w:val="002863B6"/>
    <w:rsid w:val="0029091A"/>
    <w:rsid w:val="00295247"/>
    <w:rsid w:val="00295318"/>
    <w:rsid w:val="00296DA4"/>
    <w:rsid w:val="0029741C"/>
    <w:rsid w:val="0029E7E2"/>
    <w:rsid w:val="002A0394"/>
    <w:rsid w:val="002A5515"/>
    <w:rsid w:val="002A595A"/>
    <w:rsid w:val="002B035E"/>
    <w:rsid w:val="002B1785"/>
    <w:rsid w:val="002B535C"/>
    <w:rsid w:val="002B6383"/>
    <w:rsid w:val="002B71B8"/>
    <w:rsid w:val="002C0F0D"/>
    <w:rsid w:val="002C327E"/>
    <w:rsid w:val="002C5271"/>
    <w:rsid w:val="002C5572"/>
    <w:rsid w:val="002D14C7"/>
    <w:rsid w:val="002D1E1A"/>
    <w:rsid w:val="002D5036"/>
    <w:rsid w:val="002D5756"/>
    <w:rsid w:val="002D67BB"/>
    <w:rsid w:val="002E0E2E"/>
    <w:rsid w:val="002E29EA"/>
    <w:rsid w:val="002E2F2F"/>
    <w:rsid w:val="002E31B2"/>
    <w:rsid w:val="002E5C36"/>
    <w:rsid w:val="002E760A"/>
    <w:rsid w:val="002F21F7"/>
    <w:rsid w:val="002F2308"/>
    <w:rsid w:val="002F746D"/>
    <w:rsid w:val="00302D2C"/>
    <w:rsid w:val="003038BD"/>
    <w:rsid w:val="0030687B"/>
    <w:rsid w:val="003073FE"/>
    <w:rsid w:val="00307A3A"/>
    <w:rsid w:val="00310B25"/>
    <w:rsid w:val="00315E66"/>
    <w:rsid w:val="00316B9F"/>
    <w:rsid w:val="003230B9"/>
    <w:rsid w:val="0032348A"/>
    <w:rsid w:val="00323621"/>
    <w:rsid w:val="00323D1C"/>
    <w:rsid w:val="0032408E"/>
    <w:rsid w:val="00325900"/>
    <w:rsid w:val="00327B08"/>
    <w:rsid w:val="00332BE4"/>
    <w:rsid w:val="0033368F"/>
    <w:rsid w:val="0033481E"/>
    <w:rsid w:val="00334928"/>
    <w:rsid w:val="0033613E"/>
    <w:rsid w:val="003368D0"/>
    <w:rsid w:val="00337319"/>
    <w:rsid w:val="00340955"/>
    <w:rsid w:val="00340FE0"/>
    <w:rsid w:val="003422E6"/>
    <w:rsid w:val="003427AB"/>
    <w:rsid w:val="00344EA9"/>
    <w:rsid w:val="003454B8"/>
    <w:rsid w:val="0034625F"/>
    <w:rsid w:val="003508A7"/>
    <w:rsid w:val="00351F58"/>
    <w:rsid w:val="00352088"/>
    <w:rsid w:val="00355156"/>
    <w:rsid w:val="003552EF"/>
    <w:rsid w:val="003561FD"/>
    <w:rsid w:val="00360375"/>
    <w:rsid w:val="0036065F"/>
    <w:rsid w:val="0036451C"/>
    <w:rsid w:val="00364C02"/>
    <w:rsid w:val="00372EE7"/>
    <w:rsid w:val="00373957"/>
    <w:rsid w:val="0037428E"/>
    <w:rsid w:val="00374844"/>
    <w:rsid w:val="00375820"/>
    <w:rsid w:val="00376624"/>
    <w:rsid w:val="003773BE"/>
    <w:rsid w:val="00383153"/>
    <w:rsid w:val="00385CAD"/>
    <w:rsid w:val="00386C1A"/>
    <w:rsid w:val="003905D0"/>
    <w:rsid w:val="00391DF3"/>
    <w:rsid w:val="00394C93"/>
    <w:rsid w:val="003A0485"/>
    <w:rsid w:val="003A13AA"/>
    <w:rsid w:val="003A1A65"/>
    <w:rsid w:val="003A5C90"/>
    <w:rsid w:val="003A6577"/>
    <w:rsid w:val="003A67B1"/>
    <w:rsid w:val="003A6F61"/>
    <w:rsid w:val="003A79FD"/>
    <w:rsid w:val="003B3331"/>
    <w:rsid w:val="003B4D3D"/>
    <w:rsid w:val="003B5AD0"/>
    <w:rsid w:val="003B6F45"/>
    <w:rsid w:val="003C0612"/>
    <w:rsid w:val="003C54B5"/>
    <w:rsid w:val="003C5C39"/>
    <w:rsid w:val="003C5DC5"/>
    <w:rsid w:val="003C6D75"/>
    <w:rsid w:val="003C7C08"/>
    <w:rsid w:val="003D23EE"/>
    <w:rsid w:val="003D51B6"/>
    <w:rsid w:val="003E0719"/>
    <w:rsid w:val="003E393B"/>
    <w:rsid w:val="003E5182"/>
    <w:rsid w:val="003E5EEB"/>
    <w:rsid w:val="003E666F"/>
    <w:rsid w:val="003E686A"/>
    <w:rsid w:val="003F014A"/>
    <w:rsid w:val="003F48EC"/>
    <w:rsid w:val="003F7BBF"/>
    <w:rsid w:val="004024FD"/>
    <w:rsid w:val="004030CF"/>
    <w:rsid w:val="00404018"/>
    <w:rsid w:val="00404DA9"/>
    <w:rsid w:val="00410FB2"/>
    <w:rsid w:val="00411D12"/>
    <w:rsid w:val="00412E6B"/>
    <w:rsid w:val="0041386B"/>
    <w:rsid w:val="00413AF7"/>
    <w:rsid w:val="00413E77"/>
    <w:rsid w:val="00415EE6"/>
    <w:rsid w:val="00420A58"/>
    <w:rsid w:val="0042265D"/>
    <w:rsid w:val="00423458"/>
    <w:rsid w:val="00430138"/>
    <w:rsid w:val="00432A5C"/>
    <w:rsid w:val="00433C1C"/>
    <w:rsid w:val="004343D2"/>
    <w:rsid w:val="004363A8"/>
    <w:rsid w:val="00440743"/>
    <w:rsid w:val="00440B78"/>
    <w:rsid w:val="00441130"/>
    <w:rsid w:val="00441C84"/>
    <w:rsid w:val="00442456"/>
    <w:rsid w:val="004437A6"/>
    <w:rsid w:val="004463F9"/>
    <w:rsid w:val="00456C86"/>
    <w:rsid w:val="00457E3B"/>
    <w:rsid w:val="00462CD7"/>
    <w:rsid w:val="0046480D"/>
    <w:rsid w:val="00472643"/>
    <w:rsid w:val="00476318"/>
    <w:rsid w:val="004771C0"/>
    <w:rsid w:val="00477DBF"/>
    <w:rsid w:val="00480104"/>
    <w:rsid w:val="0048222D"/>
    <w:rsid w:val="00483D0E"/>
    <w:rsid w:val="0048457D"/>
    <w:rsid w:val="004852F3"/>
    <w:rsid w:val="00485BF2"/>
    <w:rsid w:val="00485D97"/>
    <w:rsid w:val="004868AC"/>
    <w:rsid w:val="00486A2A"/>
    <w:rsid w:val="00487381"/>
    <w:rsid w:val="00487662"/>
    <w:rsid w:val="00487CD1"/>
    <w:rsid w:val="0049046A"/>
    <w:rsid w:val="0049235C"/>
    <w:rsid w:val="00493639"/>
    <w:rsid w:val="00494180"/>
    <w:rsid w:val="004961FB"/>
    <w:rsid w:val="00496CBC"/>
    <w:rsid w:val="004A0857"/>
    <w:rsid w:val="004A36CE"/>
    <w:rsid w:val="004A6B69"/>
    <w:rsid w:val="004A7E23"/>
    <w:rsid w:val="004B2C90"/>
    <w:rsid w:val="004B4322"/>
    <w:rsid w:val="004B4674"/>
    <w:rsid w:val="004B6DFD"/>
    <w:rsid w:val="004B6EFF"/>
    <w:rsid w:val="004B7DAF"/>
    <w:rsid w:val="004C0B7E"/>
    <w:rsid w:val="004C5CFC"/>
    <w:rsid w:val="004C61B7"/>
    <w:rsid w:val="004D1258"/>
    <w:rsid w:val="004D3359"/>
    <w:rsid w:val="004D77A7"/>
    <w:rsid w:val="004E1987"/>
    <w:rsid w:val="004E3520"/>
    <w:rsid w:val="004E3A82"/>
    <w:rsid w:val="004E4695"/>
    <w:rsid w:val="004E6D68"/>
    <w:rsid w:val="004F2377"/>
    <w:rsid w:val="004F2B30"/>
    <w:rsid w:val="004F382C"/>
    <w:rsid w:val="004F5490"/>
    <w:rsid w:val="004F55C9"/>
    <w:rsid w:val="004F6254"/>
    <w:rsid w:val="004F6B40"/>
    <w:rsid w:val="00500864"/>
    <w:rsid w:val="0050155F"/>
    <w:rsid w:val="00505E2D"/>
    <w:rsid w:val="00507BFF"/>
    <w:rsid w:val="00510BD9"/>
    <w:rsid w:val="00512496"/>
    <w:rsid w:val="00513824"/>
    <w:rsid w:val="00514690"/>
    <w:rsid w:val="00515E08"/>
    <w:rsid w:val="005166AC"/>
    <w:rsid w:val="00522B43"/>
    <w:rsid w:val="0052358C"/>
    <w:rsid w:val="0052710B"/>
    <w:rsid w:val="005273AE"/>
    <w:rsid w:val="0053132A"/>
    <w:rsid w:val="00533B4F"/>
    <w:rsid w:val="00534B2F"/>
    <w:rsid w:val="0053503B"/>
    <w:rsid w:val="005413BD"/>
    <w:rsid w:val="005422C9"/>
    <w:rsid w:val="00542DFD"/>
    <w:rsid w:val="005455E3"/>
    <w:rsid w:val="005463C9"/>
    <w:rsid w:val="00547E90"/>
    <w:rsid w:val="005506DA"/>
    <w:rsid w:val="00550BC5"/>
    <w:rsid w:val="005516C9"/>
    <w:rsid w:val="00554277"/>
    <w:rsid w:val="005546AD"/>
    <w:rsid w:val="00554B93"/>
    <w:rsid w:val="005574F0"/>
    <w:rsid w:val="005617E5"/>
    <w:rsid w:val="00563A96"/>
    <w:rsid w:val="00565717"/>
    <w:rsid w:val="00574F6D"/>
    <w:rsid w:val="0057598E"/>
    <w:rsid w:val="0058707A"/>
    <w:rsid w:val="005874B9"/>
    <w:rsid w:val="00587EF8"/>
    <w:rsid w:val="0059131B"/>
    <w:rsid w:val="00592DC7"/>
    <w:rsid w:val="00592E5B"/>
    <w:rsid w:val="00594541"/>
    <w:rsid w:val="0059486E"/>
    <w:rsid w:val="00594B60"/>
    <w:rsid w:val="00595A8A"/>
    <w:rsid w:val="005973BB"/>
    <w:rsid w:val="005A248B"/>
    <w:rsid w:val="005A3031"/>
    <w:rsid w:val="005A353E"/>
    <w:rsid w:val="005A3BF6"/>
    <w:rsid w:val="005B0641"/>
    <w:rsid w:val="005B3800"/>
    <w:rsid w:val="005C0793"/>
    <w:rsid w:val="005C1186"/>
    <w:rsid w:val="005C3218"/>
    <w:rsid w:val="005C4CAB"/>
    <w:rsid w:val="005C5946"/>
    <w:rsid w:val="005D395A"/>
    <w:rsid w:val="005D3B1F"/>
    <w:rsid w:val="005D50FD"/>
    <w:rsid w:val="005D5D9F"/>
    <w:rsid w:val="005D6293"/>
    <w:rsid w:val="005D6C64"/>
    <w:rsid w:val="005D701D"/>
    <w:rsid w:val="005D7121"/>
    <w:rsid w:val="005E2BD7"/>
    <w:rsid w:val="005E2E14"/>
    <w:rsid w:val="005E51E6"/>
    <w:rsid w:val="005F05C9"/>
    <w:rsid w:val="005F07F8"/>
    <w:rsid w:val="005F0946"/>
    <w:rsid w:val="005F1ED1"/>
    <w:rsid w:val="005F243E"/>
    <w:rsid w:val="005F3503"/>
    <w:rsid w:val="0060028A"/>
    <w:rsid w:val="006016F9"/>
    <w:rsid w:val="00601842"/>
    <w:rsid w:val="0060268B"/>
    <w:rsid w:val="006031A0"/>
    <w:rsid w:val="006052B7"/>
    <w:rsid w:val="00605764"/>
    <w:rsid w:val="0061248E"/>
    <w:rsid w:val="00613164"/>
    <w:rsid w:val="006139FD"/>
    <w:rsid w:val="0061599E"/>
    <w:rsid w:val="0061661C"/>
    <w:rsid w:val="00617547"/>
    <w:rsid w:val="0062022E"/>
    <w:rsid w:val="00621FE0"/>
    <w:rsid w:val="00623B35"/>
    <w:rsid w:val="00630F52"/>
    <w:rsid w:val="006327A0"/>
    <w:rsid w:val="00636223"/>
    <w:rsid w:val="00636F9D"/>
    <w:rsid w:val="006376D5"/>
    <w:rsid w:val="00637ED2"/>
    <w:rsid w:val="006402B5"/>
    <w:rsid w:val="00640F68"/>
    <w:rsid w:val="00641598"/>
    <w:rsid w:val="00641C9D"/>
    <w:rsid w:val="00644714"/>
    <w:rsid w:val="006460B8"/>
    <w:rsid w:val="00650EEA"/>
    <w:rsid w:val="006513CE"/>
    <w:rsid w:val="006521C1"/>
    <w:rsid w:val="0065287F"/>
    <w:rsid w:val="00655301"/>
    <w:rsid w:val="00655C57"/>
    <w:rsid w:val="00656A15"/>
    <w:rsid w:val="00656E6D"/>
    <w:rsid w:val="006575C3"/>
    <w:rsid w:val="0065785D"/>
    <w:rsid w:val="00662622"/>
    <w:rsid w:val="00662699"/>
    <w:rsid w:val="00666294"/>
    <w:rsid w:val="00666B68"/>
    <w:rsid w:val="00676A3D"/>
    <w:rsid w:val="00682007"/>
    <w:rsid w:val="00683BBE"/>
    <w:rsid w:val="00683E20"/>
    <w:rsid w:val="006842BC"/>
    <w:rsid w:val="0068678B"/>
    <w:rsid w:val="006873B7"/>
    <w:rsid w:val="0069004A"/>
    <w:rsid w:val="00690785"/>
    <w:rsid w:val="00690A2D"/>
    <w:rsid w:val="00691D72"/>
    <w:rsid w:val="006932AB"/>
    <w:rsid w:val="00694BFC"/>
    <w:rsid w:val="00694F00"/>
    <w:rsid w:val="00695849"/>
    <w:rsid w:val="00696902"/>
    <w:rsid w:val="0069742B"/>
    <w:rsid w:val="00697651"/>
    <w:rsid w:val="006A25DE"/>
    <w:rsid w:val="006A5F23"/>
    <w:rsid w:val="006B23C7"/>
    <w:rsid w:val="006B41A8"/>
    <w:rsid w:val="006B473B"/>
    <w:rsid w:val="006B6C04"/>
    <w:rsid w:val="006B6CA2"/>
    <w:rsid w:val="006C099A"/>
    <w:rsid w:val="006C4F7A"/>
    <w:rsid w:val="006C614B"/>
    <w:rsid w:val="006C7421"/>
    <w:rsid w:val="006C7DD7"/>
    <w:rsid w:val="006D0CA3"/>
    <w:rsid w:val="006D1132"/>
    <w:rsid w:val="006D2DBE"/>
    <w:rsid w:val="006D46A6"/>
    <w:rsid w:val="006D519E"/>
    <w:rsid w:val="006D557A"/>
    <w:rsid w:val="006E05A4"/>
    <w:rsid w:val="006E0683"/>
    <w:rsid w:val="006E4187"/>
    <w:rsid w:val="006E43A1"/>
    <w:rsid w:val="006E5F11"/>
    <w:rsid w:val="006F27C8"/>
    <w:rsid w:val="006F28A5"/>
    <w:rsid w:val="006F384B"/>
    <w:rsid w:val="006F4DC7"/>
    <w:rsid w:val="006F6DAA"/>
    <w:rsid w:val="00700D25"/>
    <w:rsid w:val="00701270"/>
    <w:rsid w:val="00703FFD"/>
    <w:rsid w:val="00704153"/>
    <w:rsid w:val="00704267"/>
    <w:rsid w:val="00706B83"/>
    <w:rsid w:val="007070F5"/>
    <w:rsid w:val="00707D15"/>
    <w:rsid w:val="00710AB0"/>
    <w:rsid w:val="00714A06"/>
    <w:rsid w:val="00716F3E"/>
    <w:rsid w:val="00720DBF"/>
    <w:rsid w:val="0072226F"/>
    <w:rsid w:val="007227B8"/>
    <w:rsid w:val="007230B0"/>
    <w:rsid w:val="0072582C"/>
    <w:rsid w:val="00726370"/>
    <w:rsid w:val="0073145E"/>
    <w:rsid w:val="007334DA"/>
    <w:rsid w:val="00733BE1"/>
    <w:rsid w:val="00735962"/>
    <w:rsid w:val="00736729"/>
    <w:rsid w:val="00737BA8"/>
    <w:rsid w:val="00740568"/>
    <w:rsid w:val="00743E71"/>
    <w:rsid w:val="007446AB"/>
    <w:rsid w:val="00744DAD"/>
    <w:rsid w:val="0074522F"/>
    <w:rsid w:val="00745917"/>
    <w:rsid w:val="007512F7"/>
    <w:rsid w:val="0075150D"/>
    <w:rsid w:val="007549FF"/>
    <w:rsid w:val="0076477B"/>
    <w:rsid w:val="0076690D"/>
    <w:rsid w:val="00766934"/>
    <w:rsid w:val="00766ED3"/>
    <w:rsid w:val="00767030"/>
    <w:rsid w:val="00767341"/>
    <w:rsid w:val="007725DE"/>
    <w:rsid w:val="00775AC9"/>
    <w:rsid w:val="007804DE"/>
    <w:rsid w:val="00780E60"/>
    <w:rsid w:val="00781D5E"/>
    <w:rsid w:val="00787628"/>
    <w:rsid w:val="0079003F"/>
    <w:rsid w:val="00790205"/>
    <w:rsid w:val="00794E0F"/>
    <w:rsid w:val="00796304"/>
    <w:rsid w:val="007A0601"/>
    <w:rsid w:val="007A6505"/>
    <w:rsid w:val="007A7837"/>
    <w:rsid w:val="007A7B9C"/>
    <w:rsid w:val="007B0E86"/>
    <w:rsid w:val="007B0FE4"/>
    <w:rsid w:val="007B2A3B"/>
    <w:rsid w:val="007B2DB2"/>
    <w:rsid w:val="007B3C1A"/>
    <w:rsid w:val="007B4782"/>
    <w:rsid w:val="007B7231"/>
    <w:rsid w:val="007C09E7"/>
    <w:rsid w:val="007C1C61"/>
    <w:rsid w:val="007C2441"/>
    <w:rsid w:val="007C4DF4"/>
    <w:rsid w:val="007C50BF"/>
    <w:rsid w:val="007C73E5"/>
    <w:rsid w:val="007D2A32"/>
    <w:rsid w:val="007D3639"/>
    <w:rsid w:val="007D42A6"/>
    <w:rsid w:val="007D5A39"/>
    <w:rsid w:val="007D7D18"/>
    <w:rsid w:val="007E1D2E"/>
    <w:rsid w:val="007E43A5"/>
    <w:rsid w:val="007E548C"/>
    <w:rsid w:val="007E68BB"/>
    <w:rsid w:val="007E76B3"/>
    <w:rsid w:val="007E7829"/>
    <w:rsid w:val="007F15FC"/>
    <w:rsid w:val="007F22B0"/>
    <w:rsid w:val="007F651E"/>
    <w:rsid w:val="00810E09"/>
    <w:rsid w:val="00812BAF"/>
    <w:rsid w:val="008212B6"/>
    <w:rsid w:val="008254E0"/>
    <w:rsid w:val="00830401"/>
    <w:rsid w:val="00833CF6"/>
    <w:rsid w:val="00835F8E"/>
    <w:rsid w:val="00837613"/>
    <w:rsid w:val="00837826"/>
    <w:rsid w:val="00841B2E"/>
    <w:rsid w:val="008435D3"/>
    <w:rsid w:val="00844328"/>
    <w:rsid w:val="008467D1"/>
    <w:rsid w:val="008469B7"/>
    <w:rsid w:val="00846D6A"/>
    <w:rsid w:val="00852A42"/>
    <w:rsid w:val="00853E05"/>
    <w:rsid w:val="00854D03"/>
    <w:rsid w:val="00854DEB"/>
    <w:rsid w:val="0085666D"/>
    <w:rsid w:val="00861142"/>
    <w:rsid w:val="008624C2"/>
    <w:rsid w:val="008630A4"/>
    <w:rsid w:val="00863E61"/>
    <w:rsid w:val="00863EFA"/>
    <w:rsid w:val="00866D78"/>
    <w:rsid w:val="00867556"/>
    <w:rsid w:val="00870475"/>
    <w:rsid w:val="00872306"/>
    <w:rsid w:val="00874375"/>
    <w:rsid w:val="00874570"/>
    <w:rsid w:val="00874F25"/>
    <w:rsid w:val="0087541B"/>
    <w:rsid w:val="00881A42"/>
    <w:rsid w:val="00882C52"/>
    <w:rsid w:val="00884427"/>
    <w:rsid w:val="00886A48"/>
    <w:rsid w:val="008914BE"/>
    <w:rsid w:val="00891786"/>
    <w:rsid w:val="00891F35"/>
    <w:rsid w:val="0089258C"/>
    <w:rsid w:val="00892836"/>
    <w:rsid w:val="008939C4"/>
    <w:rsid w:val="00893A0F"/>
    <w:rsid w:val="00894385"/>
    <w:rsid w:val="00894CC1"/>
    <w:rsid w:val="008A14B0"/>
    <w:rsid w:val="008A3C93"/>
    <w:rsid w:val="008A4C0A"/>
    <w:rsid w:val="008A4C9E"/>
    <w:rsid w:val="008A4DBB"/>
    <w:rsid w:val="008A635B"/>
    <w:rsid w:val="008B05FF"/>
    <w:rsid w:val="008B0D30"/>
    <w:rsid w:val="008B11DE"/>
    <w:rsid w:val="008B133C"/>
    <w:rsid w:val="008B2F96"/>
    <w:rsid w:val="008B3FD8"/>
    <w:rsid w:val="008B402D"/>
    <w:rsid w:val="008B4075"/>
    <w:rsid w:val="008B66F4"/>
    <w:rsid w:val="008C0507"/>
    <w:rsid w:val="008C1C3C"/>
    <w:rsid w:val="008C2F6E"/>
    <w:rsid w:val="008C4F64"/>
    <w:rsid w:val="008C60B9"/>
    <w:rsid w:val="008C61AA"/>
    <w:rsid w:val="008C65A8"/>
    <w:rsid w:val="008C664C"/>
    <w:rsid w:val="008C7C31"/>
    <w:rsid w:val="008D1EB3"/>
    <w:rsid w:val="008D4109"/>
    <w:rsid w:val="008D6E36"/>
    <w:rsid w:val="008E13F7"/>
    <w:rsid w:val="008E1C6E"/>
    <w:rsid w:val="008E1F68"/>
    <w:rsid w:val="008E3BAD"/>
    <w:rsid w:val="008E6114"/>
    <w:rsid w:val="008F2654"/>
    <w:rsid w:val="008F3147"/>
    <w:rsid w:val="008F4EC1"/>
    <w:rsid w:val="008F5493"/>
    <w:rsid w:val="008F704B"/>
    <w:rsid w:val="00900FB7"/>
    <w:rsid w:val="00901AFA"/>
    <w:rsid w:val="00910379"/>
    <w:rsid w:val="009118C2"/>
    <w:rsid w:val="00912123"/>
    <w:rsid w:val="009127EA"/>
    <w:rsid w:val="00912E7B"/>
    <w:rsid w:val="00913185"/>
    <w:rsid w:val="00914537"/>
    <w:rsid w:val="0091668B"/>
    <w:rsid w:val="00916C37"/>
    <w:rsid w:val="00922410"/>
    <w:rsid w:val="00931AF3"/>
    <w:rsid w:val="00931EFF"/>
    <w:rsid w:val="00933BA5"/>
    <w:rsid w:val="00935C10"/>
    <w:rsid w:val="009377FB"/>
    <w:rsid w:val="00937E4F"/>
    <w:rsid w:val="009400B1"/>
    <w:rsid w:val="0094279D"/>
    <w:rsid w:val="00942AE6"/>
    <w:rsid w:val="009458B7"/>
    <w:rsid w:val="00947EBA"/>
    <w:rsid w:val="00952945"/>
    <w:rsid w:val="0095314E"/>
    <w:rsid w:val="00953666"/>
    <w:rsid w:val="00956FFA"/>
    <w:rsid w:val="0096174D"/>
    <w:rsid w:val="00961966"/>
    <w:rsid w:val="00964474"/>
    <w:rsid w:val="00965614"/>
    <w:rsid w:val="00966A48"/>
    <w:rsid w:val="009703B9"/>
    <w:rsid w:val="00973AB2"/>
    <w:rsid w:val="009744D6"/>
    <w:rsid w:val="009811CD"/>
    <w:rsid w:val="009814E6"/>
    <w:rsid w:val="0098244C"/>
    <w:rsid w:val="009825F3"/>
    <w:rsid w:val="00983065"/>
    <w:rsid w:val="00983C8F"/>
    <w:rsid w:val="00984466"/>
    <w:rsid w:val="00984CA3"/>
    <w:rsid w:val="00985B9A"/>
    <w:rsid w:val="00987A7D"/>
    <w:rsid w:val="00993C1F"/>
    <w:rsid w:val="009958A9"/>
    <w:rsid w:val="009977FA"/>
    <w:rsid w:val="009A25EC"/>
    <w:rsid w:val="009A3598"/>
    <w:rsid w:val="009A3FE2"/>
    <w:rsid w:val="009A58D9"/>
    <w:rsid w:val="009B069B"/>
    <w:rsid w:val="009B0A85"/>
    <w:rsid w:val="009B0D26"/>
    <w:rsid w:val="009B3033"/>
    <w:rsid w:val="009B4099"/>
    <w:rsid w:val="009B4F90"/>
    <w:rsid w:val="009B5AB4"/>
    <w:rsid w:val="009B7A5A"/>
    <w:rsid w:val="009C0DCC"/>
    <w:rsid w:val="009C1F59"/>
    <w:rsid w:val="009C50ED"/>
    <w:rsid w:val="009C5F4B"/>
    <w:rsid w:val="009C636C"/>
    <w:rsid w:val="009C6D0B"/>
    <w:rsid w:val="009D02B3"/>
    <w:rsid w:val="009D267F"/>
    <w:rsid w:val="009D40FF"/>
    <w:rsid w:val="009D74F8"/>
    <w:rsid w:val="009E2D06"/>
    <w:rsid w:val="009E2D84"/>
    <w:rsid w:val="009E353D"/>
    <w:rsid w:val="009E601B"/>
    <w:rsid w:val="009E68CD"/>
    <w:rsid w:val="009E6F98"/>
    <w:rsid w:val="009F0F18"/>
    <w:rsid w:val="009F1FCC"/>
    <w:rsid w:val="009F2523"/>
    <w:rsid w:val="009F3C2A"/>
    <w:rsid w:val="009F5A9B"/>
    <w:rsid w:val="00A00B33"/>
    <w:rsid w:val="00A018C4"/>
    <w:rsid w:val="00A02757"/>
    <w:rsid w:val="00A02A2C"/>
    <w:rsid w:val="00A0324C"/>
    <w:rsid w:val="00A03746"/>
    <w:rsid w:val="00A04ED7"/>
    <w:rsid w:val="00A06671"/>
    <w:rsid w:val="00A11470"/>
    <w:rsid w:val="00A12029"/>
    <w:rsid w:val="00A14A2F"/>
    <w:rsid w:val="00A1561E"/>
    <w:rsid w:val="00A16174"/>
    <w:rsid w:val="00A16210"/>
    <w:rsid w:val="00A212B2"/>
    <w:rsid w:val="00A21DC2"/>
    <w:rsid w:val="00A24FB3"/>
    <w:rsid w:val="00A25508"/>
    <w:rsid w:val="00A269BD"/>
    <w:rsid w:val="00A269E6"/>
    <w:rsid w:val="00A36247"/>
    <w:rsid w:val="00A37524"/>
    <w:rsid w:val="00A40492"/>
    <w:rsid w:val="00A418E2"/>
    <w:rsid w:val="00A423FE"/>
    <w:rsid w:val="00A42CD5"/>
    <w:rsid w:val="00A44C5A"/>
    <w:rsid w:val="00A450C2"/>
    <w:rsid w:val="00A461A5"/>
    <w:rsid w:val="00A466C2"/>
    <w:rsid w:val="00A469A3"/>
    <w:rsid w:val="00A46E6F"/>
    <w:rsid w:val="00A476A2"/>
    <w:rsid w:val="00A50518"/>
    <w:rsid w:val="00A51407"/>
    <w:rsid w:val="00A546C2"/>
    <w:rsid w:val="00A54FB0"/>
    <w:rsid w:val="00A558C3"/>
    <w:rsid w:val="00A568C5"/>
    <w:rsid w:val="00A61430"/>
    <w:rsid w:val="00A66B99"/>
    <w:rsid w:val="00A760B0"/>
    <w:rsid w:val="00A817D5"/>
    <w:rsid w:val="00A848E4"/>
    <w:rsid w:val="00A8521C"/>
    <w:rsid w:val="00A854BE"/>
    <w:rsid w:val="00A87B18"/>
    <w:rsid w:val="00A90968"/>
    <w:rsid w:val="00A90A45"/>
    <w:rsid w:val="00A92688"/>
    <w:rsid w:val="00A9402B"/>
    <w:rsid w:val="00A940B6"/>
    <w:rsid w:val="00A96FE2"/>
    <w:rsid w:val="00A97614"/>
    <w:rsid w:val="00A978CC"/>
    <w:rsid w:val="00A97AB2"/>
    <w:rsid w:val="00AA0C6A"/>
    <w:rsid w:val="00AA1F78"/>
    <w:rsid w:val="00AA232A"/>
    <w:rsid w:val="00AA47D2"/>
    <w:rsid w:val="00AA6BAC"/>
    <w:rsid w:val="00AB109C"/>
    <w:rsid w:val="00AB368E"/>
    <w:rsid w:val="00AB5CBA"/>
    <w:rsid w:val="00AB7342"/>
    <w:rsid w:val="00AC200D"/>
    <w:rsid w:val="00AC2780"/>
    <w:rsid w:val="00AC3505"/>
    <w:rsid w:val="00AC3F25"/>
    <w:rsid w:val="00AC5695"/>
    <w:rsid w:val="00AC61AA"/>
    <w:rsid w:val="00AC777C"/>
    <w:rsid w:val="00AC7EAC"/>
    <w:rsid w:val="00AD0C4A"/>
    <w:rsid w:val="00AD380E"/>
    <w:rsid w:val="00AE19FC"/>
    <w:rsid w:val="00AE1A19"/>
    <w:rsid w:val="00AE3467"/>
    <w:rsid w:val="00AE489E"/>
    <w:rsid w:val="00AE68F2"/>
    <w:rsid w:val="00AE6CB7"/>
    <w:rsid w:val="00AF1939"/>
    <w:rsid w:val="00AF5609"/>
    <w:rsid w:val="00B01196"/>
    <w:rsid w:val="00B01482"/>
    <w:rsid w:val="00B03EAD"/>
    <w:rsid w:val="00B05792"/>
    <w:rsid w:val="00B10645"/>
    <w:rsid w:val="00B21331"/>
    <w:rsid w:val="00B24697"/>
    <w:rsid w:val="00B24F5B"/>
    <w:rsid w:val="00B269B2"/>
    <w:rsid w:val="00B2709B"/>
    <w:rsid w:val="00B303EA"/>
    <w:rsid w:val="00B31C82"/>
    <w:rsid w:val="00B3307F"/>
    <w:rsid w:val="00B3380D"/>
    <w:rsid w:val="00B3387B"/>
    <w:rsid w:val="00B412EA"/>
    <w:rsid w:val="00B435FD"/>
    <w:rsid w:val="00B45F58"/>
    <w:rsid w:val="00B56913"/>
    <w:rsid w:val="00B60EF4"/>
    <w:rsid w:val="00B60FDE"/>
    <w:rsid w:val="00B646CF"/>
    <w:rsid w:val="00B677DB"/>
    <w:rsid w:val="00B70E79"/>
    <w:rsid w:val="00B713FF"/>
    <w:rsid w:val="00B718BC"/>
    <w:rsid w:val="00B71C9B"/>
    <w:rsid w:val="00B71D7E"/>
    <w:rsid w:val="00B72A98"/>
    <w:rsid w:val="00B76141"/>
    <w:rsid w:val="00B801B3"/>
    <w:rsid w:val="00B8449B"/>
    <w:rsid w:val="00B87D36"/>
    <w:rsid w:val="00B91E9F"/>
    <w:rsid w:val="00B932C9"/>
    <w:rsid w:val="00B955FB"/>
    <w:rsid w:val="00B96FA2"/>
    <w:rsid w:val="00BA696B"/>
    <w:rsid w:val="00BB0F71"/>
    <w:rsid w:val="00BB16A5"/>
    <w:rsid w:val="00BB2869"/>
    <w:rsid w:val="00BB3419"/>
    <w:rsid w:val="00BB4224"/>
    <w:rsid w:val="00BB5E09"/>
    <w:rsid w:val="00BB7C44"/>
    <w:rsid w:val="00BC0907"/>
    <w:rsid w:val="00BC1D48"/>
    <w:rsid w:val="00BC2634"/>
    <w:rsid w:val="00BC5CC4"/>
    <w:rsid w:val="00BC73E9"/>
    <w:rsid w:val="00BD21FA"/>
    <w:rsid w:val="00BD38E8"/>
    <w:rsid w:val="00BD5CAF"/>
    <w:rsid w:val="00BD5D2E"/>
    <w:rsid w:val="00BD5D5A"/>
    <w:rsid w:val="00BE0ED0"/>
    <w:rsid w:val="00BE2B42"/>
    <w:rsid w:val="00BE6859"/>
    <w:rsid w:val="00BE6B51"/>
    <w:rsid w:val="00BF04C6"/>
    <w:rsid w:val="00BF0FE3"/>
    <w:rsid w:val="00BF168D"/>
    <w:rsid w:val="00BF348B"/>
    <w:rsid w:val="00BF543A"/>
    <w:rsid w:val="00C00EDB"/>
    <w:rsid w:val="00C011D0"/>
    <w:rsid w:val="00C019A3"/>
    <w:rsid w:val="00C01A3E"/>
    <w:rsid w:val="00C01B5F"/>
    <w:rsid w:val="00C034D9"/>
    <w:rsid w:val="00C03886"/>
    <w:rsid w:val="00C0769E"/>
    <w:rsid w:val="00C11552"/>
    <w:rsid w:val="00C11673"/>
    <w:rsid w:val="00C116E5"/>
    <w:rsid w:val="00C125F2"/>
    <w:rsid w:val="00C13252"/>
    <w:rsid w:val="00C159AF"/>
    <w:rsid w:val="00C17CA0"/>
    <w:rsid w:val="00C202AE"/>
    <w:rsid w:val="00C20458"/>
    <w:rsid w:val="00C214AA"/>
    <w:rsid w:val="00C261A5"/>
    <w:rsid w:val="00C265BB"/>
    <w:rsid w:val="00C319A8"/>
    <w:rsid w:val="00C342F8"/>
    <w:rsid w:val="00C365CC"/>
    <w:rsid w:val="00C36FFD"/>
    <w:rsid w:val="00C37DB8"/>
    <w:rsid w:val="00C40200"/>
    <w:rsid w:val="00C40371"/>
    <w:rsid w:val="00C51717"/>
    <w:rsid w:val="00C536AA"/>
    <w:rsid w:val="00C53832"/>
    <w:rsid w:val="00C606AD"/>
    <w:rsid w:val="00C6158F"/>
    <w:rsid w:val="00C61F15"/>
    <w:rsid w:val="00C62D6E"/>
    <w:rsid w:val="00C644B8"/>
    <w:rsid w:val="00C64681"/>
    <w:rsid w:val="00C66239"/>
    <w:rsid w:val="00C71BFE"/>
    <w:rsid w:val="00C75239"/>
    <w:rsid w:val="00C766C7"/>
    <w:rsid w:val="00C77173"/>
    <w:rsid w:val="00C77B7B"/>
    <w:rsid w:val="00C77D93"/>
    <w:rsid w:val="00C80314"/>
    <w:rsid w:val="00C82F1D"/>
    <w:rsid w:val="00C848F4"/>
    <w:rsid w:val="00C86966"/>
    <w:rsid w:val="00C873B4"/>
    <w:rsid w:val="00CA4958"/>
    <w:rsid w:val="00CA6217"/>
    <w:rsid w:val="00CA6AC6"/>
    <w:rsid w:val="00CB44C9"/>
    <w:rsid w:val="00CC3E2A"/>
    <w:rsid w:val="00CC71B4"/>
    <w:rsid w:val="00CD1EDD"/>
    <w:rsid w:val="00CD2779"/>
    <w:rsid w:val="00CE07FD"/>
    <w:rsid w:val="00CE1867"/>
    <w:rsid w:val="00CE3666"/>
    <w:rsid w:val="00CE381F"/>
    <w:rsid w:val="00CE4F0E"/>
    <w:rsid w:val="00CF2A8F"/>
    <w:rsid w:val="00CF43B1"/>
    <w:rsid w:val="00CF4563"/>
    <w:rsid w:val="00CF65AE"/>
    <w:rsid w:val="00CF6FB4"/>
    <w:rsid w:val="00D00E43"/>
    <w:rsid w:val="00D01801"/>
    <w:rsid w:val="00D024A3"/>
    <w:rsid w:val="00D050BC"/>
    <w:rsid w:val="00D0514A"/>
    <w:rsid w:val="00D07F6E"/>
    <w:rsid w:val="00D10861"/>
    <w:rsid w:val="00D12F04"/>
    <w:rsid w:val="00D130B3"/>
    <w:rsid w:val="00D13287"/>
    <w:rsid w:val="00D135A6"/>
    <w:rsid w:val="00D13727"/>
    <w:rsid w:val="00D13905"/>
    <w:rsid w:val="00D1436B"/>
    <w:rsid w:val="00D16A2F"/>
    <w:rsid w:val="00D170DE"/>
    <w:rsid w:val="00D17525"/>
    <w:rsid w:val="00D20698"/>
    <w:rsid w:val="00D20DC1"/>
    <w:rsid w:val="00D22BEB"/>
    <w:rsid w:val="00D25904"/>
    <w:rsid w:val="00D27007"/>
    <w:rsid w:val="00D3150B"/>
    <w:rsid w:val="00D3185F"/>
    <w:rsid w:val="00D321A5"/>
    <w:rsid w:val="00D321EB"/>
    <w:rsid w:val="00D325C8"/>
    <w:rsid w:val="00D34AA2"/>
    <w:rsid w:val="00D357DC"/>
    <w:rsid w:val="00D40AF7"/>
    <w:rsid w:val="00D40EE6"/>
    <w:rsid w:val="00D410F5"/>
    <w:rsid w:val="00D425F6"/>
    <w:rsid w:val="00D42B14"/>
    <w:rsid w:val="00D4482C"/>
    <w:rsid w:val="00D44A55"/>
    <w:rsid w:val="00D47136"/>
    <w:rsid w:val="00D50B01"/>
    <w:rsid w:val="00D53CB2"/>
    <w:rsid w:val="00D556DA"/>
    <w:rsid w:val="00D56840"/>
    <w:rsid w:val="00D5697C"/>
    <w:rsid w:val="00D600C0"/>
    <w:rsid w:val="00D60224"/>
    <w:rsid w:val="00D60FA1"/>
    <w:rsid w:val="00D623FA"/>
    <w:rsid w:val="00D62838"/>
    <w:rsid w:val="00D64265"/>
    <w:rsid w:val="00D65C51"/>
    <w:rsid w:val="00D67A9A"/>
    <w:rsid w:val="00D744E7"/>
    <w:rsid w:val="00D7510D"/>
    <w:rsid w:val="00D7586C"/>
    <w:rsid w:val="00D75D59"/>
    <w:rsid w:val="00D77273"/>
    <w:rsid w:val="00D80495"/>
    <w:rsid w:val="00D81BD3"/>
    <w:rsid w:val="00D820E8"/>
    <w:rsid w:val="00D86B46"/>
    <w:rsid w:val="00D86C33"/>
    <w:rsid w:val="00D90071"/>
    <w:rsid w:val="00D9188D"/>
    <w:rsid w:val="00D9284D"/>
    <w:rsid w:val="00D93090"/>
    <w:rsid w:val="00D939FB"/>
    <w:rsid w:val="00D9444F"/>
    <w:rsid w:val="00D94551"/>
    <w:rsid w:val="00D96519"/>
    <w:rsid w:val="00D96E8E"/>
    <w:rsid w:val="00DA3FFA"/>
    <w:rsid w:val="00DA448F"/>
    <w:rsid w:val="00DA5993"/>
    <w:rsid w:val="00DA59D3"/>
    <w:rsid w:val="00DB170C"/>
    <w:rsid w:val="00DB1E0B"/>
    <w:rsid w:val="00DB6AD3"/>
    <w:rsid w:val="00DB75CB"/>
    <w:rsid w:val="00DC07EF"/>
    <w:rsid w:val="00DC34A2"/>
    <w:rsid w:val="00DC58DD"/>
    <w:rsid w:val="00DD268B"/>
    <w:rsid w:val="00DD3E9F"/>
    <w:rsid w:val="00DD4636"/>
    <w:rsid w:val="00DD46A5"/>
    <w:rsid w:val="00DD6419"/>
    <w:rsid w:val="00DD7B04"/>
    <w:rsid w:val="00DE1842"/>
    <w:rsid w:val="00DE35C8"/>
    <w:rsid w:val="00DE4A0F"/>
    <w:rsid w:val="00DE7D2F"/>
    <w:rsid w:val="00DF0DCC"/>
    <w:rsid w:val="00DF4E84"/>
    <w:rsid w:val="00DF7A0F"/>
    <w:rsid w:val="00DF7E23"/>
    <w:rsid w:val="00DF7E4F"/>
    <w:rsid w:val="00E01581"/>
    <w:rsid w:val="00E031B9"/>
    <w:rsid w:val="00E034A0"/>
    <w:rsid w:val="00E05CE7"/>
    <w:rsid w:val="00E061AF"/>
    <w:rsid w:val="00E11EA5"/>
    <w:rsid w:val="00E13546"/>
    <w:rsid w:val="00E142DE"/>
    <w:rsid w:val="00E16F6B"/>
    <w:rsid w:val="00E17F8E"/>
    <w:rsid w:val="00E21C0A"/>
    <w:rsid w:val="00E22F84"/>
    <w:rsid w:val="00E25F21"/>
    <w:rsid w:val="00E26C01"/>
    <w:rsid w:val="00E26DBF"/>
    <w:rsid w:val="00E27CFA"/>
    <w:rsid w:val="00E3307B"/>
    <w:rsid w:val="00E34505"/>
    <w:rsid w:val="00E35E9E"/>
    <w:rsid w:val="00E40C64"/>
    <w:rsid w:val="00E41669"/>
    <w:rsid w:val="00E42B52"/>
    <w:rsid w:val="00E4619C"/>
    <w:rsid w:val="00E464BD"/>
    <w:rsid w:val="00E4781B"/>
    <w:rsid w:val="00E5336D"/>
    <w:rsid w:val="00E566EC"/>
    <w:rsid w:val="00E574D5"/>
    <w:rsid w:val="00E60C00"/>
    <w:rsid w:val="00E66213"/>
    <w:rsid w:val="00E71225"/>
    <w:rsid w:val="00E73C87"/>
    <w:rsid w:val="00E7420F"/>
    <w:rsid w:val="00E7491A"/>
    <w:rsid w:val="00E74A1E"/>
    <w:rsid w:val="00E7698F"/>
    <w:rsid w:val="00E823B6"/>
    <w:rsid w:val="00E854A5"/>
    <w:rsid w:val="00E8562E"/>
    <w:rsid w:val="00E867BE"/>
    <w:rsid w:val="00E869D9"/>
    <w:rsid w:val="00E9483B"/>
    <w:rsid w:val="00E96A62"/>
    <w:rsid w:val="00E9759A"/>
    <w:rsid w:val="00E97D6B"/>
    <w:rsid w:val="00EA1D19"/>
    <w:rsid w:val="00EA2135"/>
    <w:rsid w:val="00EA221B"/>
    <w:rsid w:val="00EA2432"/>
    <w:rsid w:val="00EA45B7"/>
    <w:rsid w:val="00EA5777"/>
    <w:rsid w:val="00EA5AB5"/>
    <w:rsid w:val="00EA723B"/>
    <w:rsid w:val="00EB32E5"/>
    <w:rsid w:val="00EB38E6"/>
    <w:rsid w:val="00EB435C"/>
    <w:rsid w:val="00EC0CB2"/>
    <w:rsid w:val="00EC1293"/>
    <w:rsid w:val="00EC1EB9"/>
    <w:rsid w:val="00EC4234"/>
    <w:rsid w:val="00EC42FF"/>
    <w:rsid w:val="00EC6CD8"/>
    <w:rsid w:val="00EC7738"/>
    <w:rsid w:val="00ED0201"/>
    <w:rsid w:val="00ED14FD"/>
    <w:rsid w:val="00ED31BB"/>
    <w:rsid w:val="00ED3F8B"/>
    <w:rsid w:val="00ED4271"/>
    <w:rsid w:val="00ED767E"/>
    <w:rsid w:val="00EE0894"/>
    <w:rsid w:val="00EE1B66"/>
    <w:rsid w:val="00EE2769"/>
    <w:rsid w:val="00EE533F"/>
    <w:rsid w:val="00EE59C9"/>
    <w:rsid w:val="00EE6E98"/>
    <w:rsid w:val="00EE7A0C"/>
    <w:rsid w:val="00EE7F62"/>
    <w:rsid w:val="00EF0658"/>
    <w:rsid w:val="00EF1B48"/>
    <w:rsid w:val="00EF53B7"/>
    <w:rsid w:val="00F02FB2"/>
    <w:rsid w:val="00F040E9"/>
    <w:rsid w:val="00F0587D"/>
    <w:rsid w:val="00F0786E"/>
    <w:rsid w:val="00F14523"/>
    <w:rsid w:val="00F200A0"/>
    <w:rsid w:val="00F20C74"/>
    <w:rsid w:val="00F20EAB"/>
    <w:rsid w:val="00F223EC"/>
    <w:rsid w:val="00F24490"/>
    <w:rsid w:val="00F26DFE"/>
    <w:rsid w:val="00F2716F"/>
    <w:rsid w:val="00F30101"/>
    <w:rsid w:val="00F3130C"/>
    <w:rsid w:val="00F347EC"/>
    <w:rsid w:val="00F35468"/>
    <w:rsid w:val="00F4144F"/>
    <w:rsid w:val="00F42BF0"/>
    <w:rsid w:val="00F42CEE"/>
    <w:rsid w:val="00F437EB"/>
    <w:rsid w:val="00F4470C"/>
    <w:rsid w:val="00F47472"/>
    <w:rsid w:val="00F47ABF"/>
    <w:rsid w:val="00F511E5"/>
    <w:rsid w:val="00F530B9"/>
    <w:rsid w:val="00F55266"/>
    <w:rsid w:val="00F5643E"/>
    <w:rsid w:val="00F5665B"/>
    <w:rsid w:val="00F57486"/>
    <w:rsid w:val="00F60F86"/>
    <w:rsid w:val="00F62895"/>
    <w:rsid w:val="00F63C82"/>
    <w:rsid w:val="00F646BD"/>
    <w:rsid w:val="00F64FBC"/>
    <w:rsid w:val="00F67824"/>
    <w:rsid w:val="00F72720"/>
    <w:rsid w:val="00F74F95"/>
    <w:rsid w:val="00F75D8A"/>
    <w:rsid w:val="00F774CB"/>
    <w:rsid w:val="00F807B7"/>
    <w:rsid w:val="00F82E3C"/>
    <w:rsid w:val="00F8305D"/>
    <w:rsid w:val="00F85CB3"/>
    <w:rsid w:val="00F9040D"/>
    <w:rsid w:val="00F90989"/>
    <w:rsid w:val="00F933B7"/>
    <w:rsid w:val="00F975AD"/>
    <w:rsid w:val="00FA1515"/>
    <w:rsid w:val="00FA1BB8"/>
    <w:rsid w:val="00FA23F0"/>
    <w:rsid w:val="00FA2B1D"/>
    <w:rsid w:val="00FA7E70"/>
    <w:rsid w:val="00FB3D73"/>
    <w:rsid w:val="00FB5002"/>
    <w:rsid w:val="00FB54A4"/>
    <w:rsid w:val="00FB71F2"/>
    <w:rsid w:val="00FC0A7B"/>
    <w:rsid w:val="00FC15F1"/>
    <w:rsid w:val="00FC1A50"/>
    <w:rsid w:val="00FC7932"/>
    <w:rsid w:val="00FD0E91"/>
    <w:rsid w:val="00FD2D8A"/>
    <w:rsid w:val="00FD34A3"/>
    <w:rsid w:val="00FD5341"/>
    <w:rsid w:val="00FD628D"/>
    <w:rsid w:val="00FE047A"/>
    <w:rsid w:val="00FE0D82"/>
    <w:rsid w:val="00FE19D1"/>
    <w:rsid w:val="00FE47F5"/>
    <w:rsid w:val="00FE7BD3"/>
    <w:rsid w:val="00FF1E7B"/>
    <w:rsid w:val="00FF2F2A"/>
    <w:rsid w:val="00FF3BE7"/>
    <w:rsid w:val="00FF64C5"/>
    <w:rsid w:val="00FF6AEC"/>
    <w:rsid w:val="01527D20"/>
    <w:rsid w:val="01649DE8"/>
    <w:rsid w:val="016EC72B"/>
    <w:rsid w:val="01BCC4D5"/>
    <w:rsid w:val="02584D13"/>
    <w:rsid w:val="02DEE648"/>
    <w:rsid w:val="02F95753"/>
    <w:rsid w:val="030B26A1"/>
    <w:rsid w:val="0317555C"/>
    <w:rsid w:val="0343727E"/>
    <w:rsid w:val="034DCF9A"/>
    <w:rsid w:val="05C4DB3F"/>
    <w:rsid w:val="05C509E5"/>
    <w:rsid w:val="05EC8DD3"/>
    <w:rsid w:val="06000BAF"/>
    <w:rsid w:val="0644F82E"/>
    <w:rsid w:val="068C6552"/>
    <w:rsid w:val="068EF953"/>
    <w:rsid w:val="0700A065"/>
    <w:rsid w:val="073BC975"/>
    <w:rsid w:val="07B9FEF1"/>
    <w:rsid w:val="08CC2EC3"/>
    <w:rsid w:val="0AB7A009"/>
    <w:rsid w:val="0C355824"/>
    <w:rsid w:val="0CFAEC48"/>
    <w:rsid w:val="0DFCB974"/>
    <w:rsid w:val="0E01B9D5"/>
    <w:rsid w:val="0EE95DAA"/>
    <w:rsid w:val="0FBE65A7"/>
    <w:rsid w:val="0FE29C8B"/>
    <w:rsid w:val="11904828"/>
    <w:rsid w:val="12C886EB"/>
    <w:rsid w:val="13A1C116"/>
    <w:rsid w:val="13ABEB8B"/>
    <w:rsid w:val="13CEF98F"/>
    <w:rsid w:val="149E441C"/>
    <w:rsid w:val="152F41DB"/>
    <w:rsid w:val="15B8DCCA"/>
    <w:rsid w:val="15D81158"/>
    <w:rsid w:val="179783AF"/>
    <w:rsid w:val="17BCF9EF"/>
    <w:rsid w:val="185A5B3E"/>
    <w:rsid w:val="188B6379"/>
    <w:rsid w:val="18FCABB4"/>
    <w:rsid w:val="1A6C487D"/>
    <w:rsid w:val="1A6D7E1E"/>
    <w:rsid w:val="1A8B5A1A"/>
    <w:rsid w:val="1AC06B66"/>
    <w:rsid w:val="1BADB3A9"/>
    <w:rsid w:val="1CACAEC3"/>
    <w:rsid w:val="1D1AAB61"/>
    <w:rsid w:val="1D226B9E"/>
    <w:rsid w:val="1D398A36"/>
    <w:rsid w:val="1D59F873"/>
    <w:rsid w:val="1D67DA6C"/>
    <w:rsid w:val="1DEEEA42"/>
    <w:rsid w:val="1E10D7D2"/>
    <w:rsid w:val="1E528DD6"/>
    <w:rsid w:val="1E6AEA4F"/>
    <w:rsid w:val="1EFD3132"/>
    <w:rsid w:val="1F15F041"/>
    <w:rsid w:val="1F5160F7"/>
    <w:rsid w:val="201A723D"/>
    <w:rsid w:val="20F727DC"/>
    <w:rsid w:val="217984D5"/>
    <w:rsid w:val="21824410"/>
    <w:rsid w:val="219EE2EE"/>
    <w:rsid w:val="2233459E"/>
    <w:rsid w:val="2244CBE7"/>
    <w:rsid w:val="2316DF48"/>
    <w:rsid w:val="242B3460"/>
    <w:rsid w:val="244A4338"/>
    <w:rsid w:val="24927815"/>
    <w:rsid w:val="25313D56"/>
    <w:rsid w:val="25E171DF"/>
    <w:rsid w:val="26684F79"/>
    <w:rsid w:val="27DD908B"/>
    <w:rsid w:val="27E8F1C5"/>
    <w:rsid w:val="284F2756"/>
    <w:rsid w:val="289144FC"/>
    <w:rsid w:val="2921D199"/>
    <w:rsid w:val="29D336AE"/>
    <w:rsid w:val="29FB786F"/>
    <w:rsid w:val="2B4DDB8E"/>
    <w:rsid w:val="2BC955E1"/>
    <w:rsid w:val="2BD63A52"/>
    <w:rsid w:val="2C2CA998"/>
    <w:rsid w:val="2CCD4069"/>
    <w:rsid w:val="2D1671D1"/>
    <w:rsid w:val="2D787274"/>
    <w:rsid w:val="2D8C3FD1"/>
    <w:rsid w:val="2D915723"/>
    <w:rsid w:val="2DA31263"/>
    <w:rsid w:val="2DA6A096"/>
    <w:rsid w:val="2DC3CF67"/>
    <w:rsid w:val="2E3BECE4"/>
    <w:rsid w:val="2F4FBCA6"/>
    <w:rsid w:val="303252B5"/>
    <w:rsid w:val="30EBE30C"/>
    <w:rsid w:val="310D68FD"/>
    <w:rsid w:val="312E643C"/>
    <w:rsid w:val="31349E99"/>
    <w:rsid w:val="31A16843"/>
    <w:rsid w:val="31B83E82"/>
    <w:rsid w:val="32B631FB"/>
    <w:rsid w:val="34423344"/>
    <w:rsid w:val="34976E12"/>
    <w:rsid w:val="35EB6EB2"/>
    <w:rsid w:val="37586262"/>
    <w:rsid w:val="37A9F557"/>
    <w:rsid w:val="381383BB"/>
    <w:rsid w:val="38F4248E"/>
    <w:rsid w:val="3972CC36"/>
    <w:rsid w:val="397786C4"/>
    <w:rsid w:val="397A8520"/>
    <w:rsid w:val="39F1AE0D"/>
    <w:rsid w:val="3BE99F9C"/>
    <w:rsid w:val="3C264BD5"/>
    <w:rsid w:val="3C490433"/>
    <w:rsid w:val="3C903689"/>
    <w:rsid w:val="3CAFA548"/>
    <w:rsid w:val="3CD6958D"/>
    <w:rsid w:val="3CFC310A"/>
    <w:rsid w:val="3D34F18E"/>
    <w:rsid w:val="3DF3DA79"/>
    <w:rsid w:val="3E46FF96"/>
    <w:rsid w:val="3F68C0F0"/>
    <w:rsid w:val="40603D4B"/>
    <w:rsid w:val="40FC4559"/>
    <w:rsid w:val="423986D3"/>
    <w:rsid w:val="42BEA529"/>
    <w:rsid w:val="43AA1C0A"/>
    <w:rsid w:val="4433C622"/>
    <w:rsid w:val="447AEE6A"/>
    <w:rsid w:val="44F360D0"/>
    <w:rsid w:val="45585C22"/>
    <w:rsid w:val="455FB061"/>
    <w:rsid w:val="45B7B380"/>
    <w:rsid w:val="462E0B58"/>
    <w:rsid w:val="46C64FF6"/>
    <w:rsid w:val="475304E1"/>
    <w:rsid w:val="478F6EAE"/>
    <w:rsid w:val="47CD56C6"/>
    <w:rsid w:val="48E75AD9"/>
    <w:rsid w:val="48F21C9B"/>
    <w:rsid w:val="493AB0D1"/>
    <w:rsid w:val="4945CE93"/>
    <w:rsid w:val="49E6E3BE"/>
    <w:rsid w:val="4A9495EA"/>
    <w:rsid w:val="4AC4DFB1"/>
    <w:rsid w:val="4B3AFB30"/>
    <w:rsid w:val="4B64B2C9"/>
    <w:rsid w:val="4B77465F"/>
    <w:rsid w:val="4B833C32"/>
    <w:rsid w:val="4C302BC8"/>
    <w:rsid w:val="4D16E527"/>
    <w:rsid w:val="4DB172F2"/>
    <w:rsid w:val="4DB6D75E"/>
    <w:rsid w:val="4DC7028B"/>
    <w:rsid w:val="4DD5459C"/>
    <w:rsid w:val="4E4F896C"/>
    <w:rsid w:val="4E5C9133"/>
    <w:rsid w:val="4E977B4F"/>
    <w:rsid w:val="4EDF2A9E"/>
    <w:rsid w:val="4EDFBCC5"/>
    <w:rsid w:val="4F9A32C8"/>
    <w:rsid w:val="4FDF19D8"/>
    <w:rsid w:val="4FF5936A"/>
    <w:rsid w:val="505071A9"/>
    <w:rsid w:val="5154D77A"/>
    <w:rsid w:val="515D2C3A"/>
    <w:rsid w:val="5176558E"/>
    <w:rsid w:val="51957293"/>
    <w:rsid w:val="51CF4233"/>
    <w:rsid w:val="51D03D5F"/>
    <w:rsid w:val="522FC452"/>
    <w:rsid w:val="52502968"/>
    <w:rsid w:val="5273AD87"/>
    <w:rsid w:val="5378B96E"/>
    <w:rsid w:val="53A6ED5B"/>
    <w:rsid w:val="53E4F6DB"/>
    <w:rsid w:val="54096BA8"/>
    <w:rsid w:val="555B73DE"/>
    <w:rsid w:val="561C2C8A"/>
    <w:rsid w:val="56804D17"/>
    <w:rsid w:val="568ABE2B"/>
    <w:rsid w:val="57CEBA4C"/>
    <w:rsid w:val="57D79851"/>
    <w:rsid w:val="581812C0"/>
    <w:rsid w:val="583963A8"/>
    <w:rsid w:val="584A36F9"/>
    <w:rsid w:val="5993AD16"/>
    <w:rsid w:val="59D5297B"/>
    <w:rsid w:val="59EB46FE"/>
    <w:rsid w:val="5AC940B2"/>
    <w:rsid w:val="5ACBAE71"/>
    <w:rsid w:val="5BA0CBB1"/>
    <w:rsid w:val="5BE46E8F"/>
    <w:rsid w:val="5C261875"/>
    <w:rsid w:val="5DEB7CBF"/>
    <w:rsid w:val="5E0C1B65"/>
    <w:rsid w:val="5E186A45"/>
    <w:rsid w:val="5EA0C7BB"/>
    <w:rsid w:val="5F6705FC"/>
    <w:rsid w:val="5FB943AB"/>
    <w:rsid w:val="6030EA51"/>
    <w:rsid w:val="60F215F0"/>
    <w:rsid w:val="61168702"/>
    <w:rsid w:val="612BC304"/>
    <w:rsid w:val="6149E973"/>
    <w:rsid w:val="61A1764F"/>
    <w:rsid w:val="61DD5D26"/>
    <w:rsid w:val="61F0EA73"/>
    <w:rsid w:val="620453EE"/>
    <w:rsid w:val="6348EDBF"/>
    <w:rsid w:val="6419DE0C"/>
    <w:rsid w:val="64427C49"/>
    <w:rsid w:val="645301ED"/>
    <w:rsid w:val="6462E0A7"/>
    <w:rsid w:val="64D255BD"/>
    <w:rsid w:val="651E59EA"/>
    <w:rsid w:val="654D455F"/>
    <w:rsid w:val="658F0FC2"/>
    <w:rsid w:val="66A9FADB"/>
    <w:rsid w:val="66DDC5F9"/>
    <w:rsid w:val="66E3EF69"/>
    <w:rsid w:val="67260D14"/>
    <w:rsid w:val="68014458"/>
    <w:rsid w:val="6806C018"/>
    <w:rsid w:val="6821FEB5"/>
    <w:rsid w:val="68B009F2"/>
    <w:rsid w:val="68FAEAEA"/>
    <w:rsid w:val="6900309D"/>
    <w:rsid w:val="690D27C9"/>
    <w:rsid w:val="69894A94"/>
    <w:rsid w:val="6A36079B"/>
    <w:rsid w:val="6C1FB024"/>
    <w:rsid w:val="6C72D903"/>
    <w:rsid w:val="6C905883"/>
    <w:rsid w:val="6CA05471"/>
    <w:rsid w:val="6D517647"/>
    <w:rsid w:val="6DA09998"/>
    <w:rsid w:val="6DA6C8E5"/>
    <w:rsid w:val="6F2D8374"/>
    <w:rsid w:val="723A8045"/>
    <w:rsid w:val="72606FB3"/>
    <w:rsid w:val="729615E3"/>
    <w:rsid w:val="7334F24C"/>
    <w:rsid w:val="74BD55CE"/>
    <w:rsid w:val="74D9BFDD"/>
    <w:rsid w:val="75167D8A"/>
    <w:rsid w:val="76336411"/>
    <w:rsid w:val="77E81B51"/>
    <w:rsid w:val="78548364"/>
    <w:rsid w:val="7860ADE8"/>
    <w:rsid w:val="7AC55117"/>
    <w:rsid w:val="7C22813A"/>
    <w:rsid w:val="7D7F5CB3"/>
    <w:rsid w:val="7E02F02D"/>
    <w:rsid w:val="7E6A7886"/>
    <w:rsid w:val="7EA4537D"/>
    <w:rsid w:val="7EA770A9"/>
    <w:rsid w:val="7EFE97B3"/>
    <w:rsid w:val="7F8128CE"/>
    <w:rsid w:val="7FC29923"/>
    <w:rsid w:val="7FC528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42807"/>
  <w15:chartTrackingRefBased/>
  <w15:docId w15:val="{5DE19BE5-24C5-4AD8-90D6-4255ECCC9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uiPriority="4"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unhideWhenUsed="1"/>
    <w:lsdException w:name="page number" w:semiHidden="1"/>
    <w:lsdException w:name="endnote reference" w:semiHidden="1" w:unhideWhenUsed="1" w:qFormat="1"/>
    <w:lsdException w:name="endnote text" w:semiHidden="1" w:unhideWhenUsed="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uiPriority="6"/>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 text"/>
    <w:qFormat/>
    <w:rsid w:val="00D07F6E"/>
    <w:pPr>
      <w:numPr>
        <w:numId w:val="32"/>
      </w:numPr>
      <w:spacing w:before="120" w:after="0" w:line="280" w:lineRule="atLeast"/>
      <w:ind w:left="29" w:hanging="709"/>
    </w:pPr>
    <w:rPr>
      <w:rFonts w:ascii="Open Sans" w:hAnsi="Open Sans"/>
      <w:color w:val="000000" w:themeColor="text1"/>
      <w:lang w:val="en-AU"/>
    </w:rPr>
  </w:style>
  <w:style w:type="paragraph" w:styleId="Heading1">
    <w:name w:val="heading 1"/>
    <w:next w:val="Normal"/>
    <w:link w:val="Heading1Char"/>
    <w:uiPriority w:val="2"/>
    <w:qFormat/>
    <w:rsid w:val="00FF3BE7"/>
    <w:pPr>
      <w:keepNext/>
      <w:keepLines/>
      <w:pageBreakBefore/>
      <w:numPr>
        <w:numId w:val="26"/>
      </w:numPr>
      <w:spacing w:before="240" w:after="0" w:line="400" w:lineRule="atLeast"/>
      <w:ind w:left="431" w:hanging="431"/>
      <w:outlineLvl w:val="0"/>
    </w:pPr>
    <w:rPr>
      <w:rFonts w:asciiTheme="majorHAnsi" w:eastAsiaTheme="majorEastAsia" w:hAnsiTheme="majorHAnsi" w:cstheme="majorBidi"/>
      <w:b/>
      <w:color w:val="143C65" w:themeColor="accent1"/>
      <w:sz w:val="40"/>
      <w:szCs w:val="44"/>
      <w:lang w:val="en-AU"/>
    </w:rPr>
  </w:style>
  <w:style w:type="paragraph" w:styleId="Heading2">
    <w:name w:val="heading 2"/>
    <w:next w:val="Normal"/>
    <w:link w:val="Heading2Char"/>
    <w:uiPriority w:val="2"/>
    <w:qFormat/>
    <w:rsid w:val="0058707A"/>
    <w:pPr>
      <w:keepNext/>
      <w:keepLines/>
      <w:spacing w:before="240" w:after="0" w:line="320" w:lineRule="atLeast"/>
      <w:ind w:left="578" w:hanging="578"/>
      <w:outlineLvl w:val="1"/>
    </w:pPr>
    <w:rPr>
      <w:rFonts w:asciiTheme="majorHAnsi" w:eastAsiaTheme="majorEastAsia" w:hAnsiTheme="majorHAnsi" w:cstheme="majorBidi"/>
      <w:b/>
      <w:color w:val="0B78BE" w:themeColor="accent2"/>
      <w:sz w:val="30"/>
      <w:szCs w:val="30"/>
      <w:lang w:val="en-AU"/>
    </w:rPr>
  </w:style>
  <w:style w:type="paragraph" w:styleId="Heading3">
    <w:name w:val="heading 3"/>
    <w:next w:val="Normal"/>
    <w:link w:val="Heading3Char"/>
    <w:uiPriority w:val="2"/>
    <w:qFormat/>
    <w:rsid w:val="00B01482"/>
    <w:pPr>
      <w:keepNext/>
      <w:keepLines/>
      <w:spacing w:before="240" w:after="0" w:line="280" w:lineRule="atLeast"/>
      <w:outlineLvl w:val="2"/>
    </w:pPr>
    <w:rPr>
      <w:rFonts w:ascii="Open Sans" w:eastAsiaTheme="majorEastAsia" w:hAnsi="Open Sans" w:cstheme="majorBidi"/>
      <w:b/>
      <w:color w:val="000000" w:themeColor="text1"/>
      <w:szCs w:val="28"/>
      <w:lang w:val="en-AU"/>
    </w:rPr>
  </w:style>
  <w:style w:type="paragraph" w:styleId="Heading4">
    <w:name w:val="heading 4"/>
    <w:basedOn w:val="Normal"/>
    <w:next w:val="Normal"/>
    <w:link w:val="Heading4Char"/>
    <w:uiPriority w:val="99"/>
    <w:semiHidden/>
    <w:qFormat/>
    <w:rsid w:val="001A6444"/>
    <w:pPr>
      <w:keepNext/>
      <w:keepLines/>
      <w:numPr>
        <w:ilvl w:val="3"/>
        <w:numId w:val="26"/>
      </w:numPr>
      <w:spacing w:before="80" w:after="40"/>
      <w:outlineLvl w:val="3"/>
    </w:pPr>
    <w:rPr>
      <w:rFonts w:eastAsiaTheme="majorEastAsia" w:cstheme="majorBidi"/>
      <w:i/>
      <w:iCs/>
      <w:color w:val="0F2C4B" w:themeColor="accent1" w:themeShade="BF"/>
    </w:rPr>
  </w:style>
  <w:style w:type="paragraph" w:styleId="Heading5">
    <w:name w:val="heading 5"/>
    <w:basedOn w:val="Normal"/>
    <w:next w:val="Normal"/>
    <w:link w:val="Heading5Char"/>
    <w:uiPriority w:val="99"/>
    <w:semiHidden/>
    <w:qFormat/>
    <w:rsid w:val="001A6444"/>
    <w:pPr>
      <w:keepNext/>
      <w:keepLines/>
      <w:numPr>
        <w:ilvl w:val="4"/>
        <w:numId w:val="26"/>
      </w:numPr>
      <w:spacing w:before="80" w:after="40"/>
      <w:outlineLvl w:val="4"/>
    </w:pPr>
    <w:rPr>
      <w:rFonts w:eastAsiaTheme="majorEastAsia" w:cstheme="majorBidi"/>
      <w:color w:val="0F2C4B" w:themeColor="accent1" w:themeShade="BF"/>
    </w:rPr>
  </w:style>
  <w:style w:type="paragraph" w:styleId="Heading6">
    <w:name w:val="heading 6"/>
    <w:basedOn w:val="Normal"/>
    <w:next w:val="Normal"/>
    <w:link w:val="Heading6Char"/>
    <w:uiPriority w:val="99"/>
    <w:semiHidden/>
    <w:qFormat/>
    <w:rsid w:val="001A6444"/>
    <w:pPr>
      <w:keepNext/>
      <w:keepLines/>
      <w:numPr>
        <w:ilvl w:val="5"/>
        <w:numId w:val="26"/>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qFormat/>
    <w:rsid w:val="001A6444"/>
    <w:pPr>
      <w:keepNext/>
      <w:keepLines/>
      <w:numPr>
        <w:ilvl w:val="6"/>
        <w:numId w:val="26"/>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qFormat/>
    <w:rsid w:val="001A6444"/>
    <w:pPr>
      <w:keepNext/>
      <w:keepLines/>
      <w:numPr>
        <w:ilvl w:val="7"/>
        <w:numId w:val="26"/>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qFormat/>
    <w:rsid w:val="001A6444"/>
    <w:pPr>
      <w:keepNext/>
      <w:keepLines/>
      <w:numPr>
        <w:ilvl w:val="8"/>
        <w:numId w:val="26"/>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F3BE7"/>
    <w:rPr>
      <w:rFonts w:asciiTheme="majorHAnsi" w:eastAsiaTheme="majorEastAsia" w:hAnsiTheme="majorHAnsi" w:cstheme="majorBidi"/>
      <w:b/>
      <w:color w:val="143C65" w:themeColor="accent1"/>
      <w:sz w:val="40"/>
      <w:szCs w:val="44"/>
      <w:lang w:val="en-AU"/>
    </w:rPr>
  </w:style>
  <w:style w:type="character" w:customStyle="1" w:styleId="Heading2Char">
    <w:name w:val="Heading 2 Char"/>
    <w:basedOn w:val="DefaultParagraphFont"/>
    <w:link w:val="Heading2"/>
    <w:uiPriority w:val="2"/>
    <w:rsid w:val="0058707A"/>
    <w:rPr>
      <w:rFonts w:asciiTheme="majorHAnsi" w:eastAsiaTheme="majorEastAsia" w:hAnsiTheme="majorHAnsi" w:cstheme="majorBidi"/>
      <w:b/>
      <w:color w:val="0B78BE" w:themeColor="accent2"/>
      <w:sz w:val="30"/>
      <w:szCs w:val="30"/>
      <w:lang w:val="en-AU"/>
    </w:rPr>
  </w:style>
  <w:style w:type="character" w:customStyle="1" w:styleId="Heading3Char">
    <w:name w:val="Heading 3 Char"/>
    <w:basedOn w:val="DefaultParagraphFont"/>
    <w:link w:val="Heading3"/>
    <w:uiPriority w:val="2"/>
    <w:rsid w:val="006F28A5"/>
    <w:rPr>
      <w:rFonts w:ascii="Open Sans" w:eastAsiaTheme="majorEastAsia" w:hAnsi="Open Sans" w:cstheme="majorBidi"/>
      <w:b/>
      <w:color w:val="000000" w:themeColor="text1"/>
      <w:szCs w:val="28"/>
      <w:lang w:val="en-AU"/>
    </w:rPr>
  </w:style>
  <w:style w:type="character" w:customStyle="1" w:styleId="Heading4Char">
    <w:name w:val="Heading 4 Char"/>
    <w:basedOn w:val="DefaultParagraphFont"/>
    <w:link w:val="Heading4"/>
    <w:uiPriority w:val="99"/>
    <w:semiHidden/>
    <w:rsid w:val="001A6444"/>
    <w:rPr>
      <w:rFonts w:ascii="Open Sans" w:eastAsiaTheme="majorEastAsia" w:hAnsi="Open Sans" w:cstheme="majorBidi"/>
      <w:i/>
      <w:iCs/>
      <w:color w:val="0F2C4B" w:themeColor="accent1" w:themeShade="BF"/>
      <w:lang w:val="en-AU"/>
    </w:rPr>
  </w:style>
  <w:style w:type="character" w:customStyle="1" w:styleId="Heading5Char">
    <w:name w:val="Heading 5 Char"/>
    <w:basedOn w:val="DefaultParagraphFont"/>
    <w:link w:val="Heading5"/>
    <w:uiPriority w:val="99"/>
    <w:semiHidden/>
    <w:rsid w:val="001A6444"/>
    <w:rPr>
      <w:rFonts w:ascii="Open Sans" w:eastAsiaTheme="majorEastAsia" w:hAnsi="Open Sans" w:cstheme="majorBidi"/>
      <w:color w:val="0F2C4B" w:themeColor="accent1" w:themeShade="BF"/>
      <w:lang w:val="en-AU"/>
    </w:rPr>
  </w:style>
  <w:style w:type="character" w:customStyle="1" w:styleId="Heading6Char">
    <w:name w:val="Heading 6 Char"/>
    <w:basedOn w:val="DefaultParagraphFont"/>
    <w:link w:val="Heading6"/>
    <w:uiPriority w:val="99"/>
    <w:semiHidden/>
    <w:rsid w:val="001A6444"/>
    <w:rPr>
      <w:rFonts w:ascii="Open Sans" w:eastAsiaTheme="majorEastAsia" w:hAnsi="Open Sans" w:cstheme="majorBidi"/>
      <w:i/>
      <w:iCs/>
      <w:color w:val="595959" w:themeColor="text1" w:themeTint="A6"/>
      <w:lang w:val="en-AU"/>
    </w:rPr>
  </w:style>
  <w:style w:type="character" w:customStyle="1" w:styleId="Heading7Char">
    <w:name w:val="Heading 7 Char"/>
    <w:basedOn w:val="DefaultParagraphFont"/>
    <w:link w:val="Heading7"/>
    <w:uiPriority w:val="99"/>
    <w:semiHidden/>
    <w:rsid w:val="001A6444"/>
    <w:rPr>
      <w:rFonts w:ascii="Open Sans" w:eastAsiaTheme="majorEastAsia" w:hAnsi="Open Sans" w:cstheme="majorBidi"/>
      <w:color w:val="595959" w:themeColor="text1" w:themeTint="A6"/>
      <w:lang w:val="en-AU"/>
    </w:rPr>
  </w:style>
  <w:style w:type="character" w:customStyle="1" w:styleId="Heading8Char">
    <w:name w:val="Heading 8 Char"/>
    <w:basedOn w:val="DefaultParagraphFont"/>
    <w:link w:val="Heading8"/>
    <w:uiPriority w:val="99"/>
    <w:semiHidden/>
    <w:rsid w:val="001A6444"/>
    <w:rPr>
      <w:rFonts w:ascii="Open Sans" w:eastAsiaTheme="majorEastAsia" w:hAnsi="Open Sans" w:cstheme="majorBidi"/>
      <w:i/>
      <w:iCs/>
      <w:color w:val="272727" w:themeColor="text1" w:themeTint="D8"/>
      <w:lang w:val="en-AU"/>
    </w:rPr>
  </w:style>
  <w:style w:type="character" w:customStyle="1" w:styleId="Heading9Char">
    <w:name w:val="Heading 9 Char"/>
    <w:basedOn w:val="DefaultParagraphFont"/>
    <w:link w:val="Heading9"/>
    <w:uiPriority w:val="99"/>
    <w:semiHidden/>
    <w:rsid w:val="001A6444"/>
    <w:rPr>
      <w:rFonts w:ascii="Open Sans" w:eastAsiaTheme="majorEastAsia" w:hAnsi="Open Sans" w:cstheme="majorBidi"/>
      <w:color w:val="272727" w:themeColor="text1" w:themeTint="D8"/>
      <w:lang w:val="en-AU"/>
    </w:rPr>
  </w:style>
  <w:style w:type="character" w:customStyle="1" w:styleId="TitleChar">
    <w:name w:val="Title Char"/>
    <w:basedOn w:val="DefaultParagraphFont"/>
    <w:link w:val="Title"/>
    <w:uiPriority w:val="12"/>
    <w:rsid w:val="006F28A5"/>
    <w:rPr>
      <w:rFonts w:asciiTheme="majorHAnsi" w:eastAsiaTheme="majorEastAsia" w:hAnsiTheme="majorHAnsi" w:cstheme="majorBidi"/>
      <w:b/>
      <w:color w:val="143C65" w:themeColor="accent1"/>
      <w:spacing w:val="-10"/>
      <w:kern w:val="28"/>
      <w:sz w:val="48"/>
      <w:szCs w:val="56"/>
    </w:rPr>
  </w:style>
  <w:style w:type="paragraph" w:styleId="Title">
    <w:name w:val="Title"/>
    <w:next w:val="Subtitle"/>
    <w:link w:val="TitleChar"/>
    <w:uiPriority w:val="12"/>
    <w:qFormat/>
    <w:rsid w:val="001A6444"/>
    <w:pPr>
      <w:spacing w:before="3000" w:after="0" w:line="520" w:lineRule="atLeast"/>
      <w:contextualSpacing/>
    </w:pPr>
    <w:rPr>
      <w:rFonts w:asciiTheme="majorHAnsi" w:eastAsiaTheme="majorEastAsia" w:hAnsiTheme="majorHAnsi" w:cstheme="majorBidi"/>
      <w:b/>
      <w:color w:val="143C65" w:themeColor="accent1"/>
      <w:spacing w:val="-10"/>
      <w:kern w:val="28"/>
      <w:sz w:val="48"/>
      <w:szCs w:val="56"/>
    </w:rPr>
  </w:style>
  <w:style w:type="character" w:customStyle="1" w:styleId="SubtitleChar">
    <w:name w:val="Subtitle Char"/>
    <w:basedOn w:val="DefaultParagraphFont"/>
    <w:link w:val="Subtitle"/>
    <w:uiPriority w:val="12"/>
    <w:rsid w:val="006F28A5"/>
    <w:rPr>
      <w:rFonts w:ascii="Open Sans" w:eastAsiaTheme="majorEastAsia" w:hAnsi="Open Sans" w:cstheme="majorBidi"/>
      <w:color w:val="0B78BE" w:themeColor="accent2"/>
      <w:spacing w:val="15"/>
      <w:sz w:val="36"/>
      <w:szCs w:val="28"/>
      <w:lang w:val="en-AU"/>
    </w:rPr>
  </w:style>
  <w:style w:type="paragraph" w:styleId="Subtitle">
    <w:name w:val="Subtitle"/>
    <w:next w:val="Normal"/>
    <w:link w:val="SubtitleChar"/>
    <w:uiPriority w:val="12"/>
    <w:qFormat/>
    <w:rsid w:val="00C214AA"/>
    <w:pPr>
      <w:numPr>
        <w:ilvl w:val="1"/>
      </w:numPr>
      <w:spacing w:before="120" w:after="0" w:line="400" w:lineRule="atLeast"/>
    </w:pPr>
    <w:rPr>
      <w:rFonts w:ascii="Open Sans" w:eastAsiaTheme="majorEastAsia" w:hAnsi="Open Sans" w:cstheme="majorBidi"/>
      <w:color w:val="0B78BE" w:themeColor="accent2"/>
      <w:spacing w:val="15"/>
      <w:sz w:val="36"/>
      <w:szCs w:val="28"/>
      <w:lang w:val="en-AU"/>
    </w:rPr>
  </w:style>
  <w:style w:type="character" w:styleId="IntenseEmphasis">
    <w:name w:val="Intense Emphasis"/>
    <w:basedOn w:val="DefaultParagraphFont"/>
    <w:uiPriority w:val="99"/>
    <w:semiHidden/>
    <w:qFormat/>
    <w:rsid w:val="001A6444"/>
    <w:rPr>
      <w:i/>
      <w:iCs/>
      <w:color w:val="0F2C4B" w:themeColor="accent1" w:themeShade="BF"/>
    </w:rPr>
  </w:style>
  <w:style w:type="character" w:customStyle="1" w:styleId="QuoteChar">
    <w:name w:val="Quote Char"/>
    <w:basedOn w:val="DefaultParagraphFont"/>
    <w:link w:val="Quote"/>
    <w:uiPriority w:val="99"/>
    <w:semiHidden/>
    <w:rsid w:val="001A6444"/>
    <w:rPr>
      <w:rFonts w:ascii="Open Sans" w:hAnsi="Open Sans"/>
      <w:i/>
      <w:iCs/>
      <w:color w:val="404040" w:themeColor="text1" w:themeTint="BF"/>
      <w:lang w:val="en-AU"/>
    </w:rPr>
  </w:style>
  <w:style w:type="paragraph" w:styleId="Quote">
    <w:name w:val="Quote"/>
    <w:basedOn w:val="Normal"/>
    <w:next w:val="Normal"/>
    <w:link w:val="QuoteChar"/>
    <w:uiPriority w:val="99"/>
    <w:semiHidden/>
    <w:qFormat/>
    <w:rsid w:val="001A6444"/>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99"/>
    <w:semiHidden/>
    <w:rsid w:val="001A6444"/>
    <w:rPr>
      <w:rFonts w:ascii="Open Sans" w:hAnsi="Open Sans"/>
      <w:i/>
      <w:iCs/>
      <w:color w:val="0F2C4B" w:themeColor="accent1" w:themeShade="BF"/>
      <w:lang w:val="en-AU"/>
    </w:rPr>
  </w:style>
  <w:style w:type="paragraph" w:styleId="IntenseQuote">
    <w:name w:val="Intense Quote"/>
    <w:basedOn w:val="Normal"/>
    <w:next w:val="Normal"/>
    <w:link w:val="IntenseQuoteChar"/>
    <w:uiPriority w:val="99"/>
    <w:semiHidden/>
    <w:qFormat/>
    <w:rsid w:val="001A6444"/>
    <w:pPr>
      <w:pBdr>
        <w:top w:val="single" w:sz="4" w:space="10" w:color="0F2C4B" w:themeColor="accent1" w:themeShade="BF"/>
        <w:bottom w:val="single" w:sz="4" w:space="10" w:color="0F2C4B" w:themeColor="accent1" w:themeShade="BF"/>
      </w:pBdr>
      <w:spacing w:before="360" w:after="360"/>
      <w:ind w:left="864" w:right="864"/>
      <w:jc w:val="center"/>
    </w:pPr>
    <w:rPr>
      <w:i/>
      <w:iCs/>
      <w:color w:val="0F2C4B" w:themeColor="accent1" w:themeShade="BF"/>
    </w:rPr>
  </w:style>
  <w:style w:type="character" w:styleId="IntenseReference">
    <w:name w:val="Intense Reference"/>
    <w:basedOn w:val="DefaultParagraphFont"/>
    <w:uiPriority w:val="99"/>
    <w:semiHidden/>
    <w:qFormat/>
    <w:rsid w:val="001A6444"/>
    <w:rPr>
      <w:b/>
      <w:bCs/>
      <w:smallCaps/>
      <w:color w:val="0F2C4B" w:themeColor="accent1" w:themeShade="BF"/>
      <w:spacing w:val="5"/>
    </w:rPr>
  </w:style>
  <w:style w:type="paragraph" w:styleId="TOCHeading">
    <w:name w:val="TOC Heading"/>
    <w:next w:val="Normal"/>
    <w:uiPriority w:val="13"/>
    <w:qFormat/>
    <w:rsid w:val="001A6444"/>
    <w:pPr>
      <w:pageBreakBefore/>
      <w:spacing w:before="240" w:after="0" w:line="400" w:lineRule="atLeast"/>
    </w:pPr>
    <w:rPr>
      <w:rFonts w:asciiTheme="majorHAnsi" w:eastAsiaTheme="majorEastAsia" w:hAnsiTheme="majorHAnsi" w:cstheme="majorBidi"/>
      <w:b/>
      <w:color w:val="0F2C4B" w:themeColor="accent1" w:themeShade="BF"/>
      <w:sz w:val="40"/>
      <w:szCs w:val="36"/>
      <w:lang w:eastAsia="en-US"/>
    </w:rPr>
  </w:style>
  <w:style w:type="paragraph" w:styleId="TOC1">
    <w:name w:val="toc 1"/>
    <w:next w:val="Normal"/>
    <w:autoRedefine/>
    <w:uiPriority w:val="39"/>
    <w:rsid w:val="002E31B2"/>
    <w:pPr>
      <w:tabs>
        <w:tab w:val="left" w:pos="284"/>
        <w:tab w:val="right" w:pos="9072"/>
      </w:tabs>
      <w:spacing w:before="60" w:after="0" w:line="260" w:lineRule="atLeast"/>
    </w:pPr>
    <w:rPr>
      <w:rFonts w:ascii="Open Sans" w:hAnsi="Open Sans"/>
      <w:b/>
      <w:noProof/>
      <w:color w:val="143C65" w:themeColor="accent1"/>
      <w:lang w:val="en-AU"/>
    </w:rPr>
  </w:style>
  <w:style w:type="paragraph" w:styleId="TOC2">
    <w:name w:val="toc 2"/>
    <w:next w:val="Normal"/>
    <w:autoRedefine/>
    <w:uiPriority w:val="39"/>
    <w:rsid w:val="002E31B2"/>
    <w:pPr>
      <w:tabs>
        <w:tab w:val="right" w:pos="9072"/>
      </w:tabs>
      <w:spacing w:before="60" w:after="0" w:line="260" w:lineRule="atLeast"/>
      <w:ind w:left="238"/>
    </w:pPr>
    <w:rPr>
      <w:rFonts w:ascii="Open Sans" w:hAnsi="Open Sans"/>
      <w:noProof/>
      <w:color w:val="0B78BE" w:themeColor="accent2"/>
    </w:rPr>
  </w:style>
  <w:style w:type="paragraph" w:styleId="TOC3">
    <w:name w:val="toc 3"/>
    <w:basedOn w:val="Normal"/>
    <w:next w:val="Normal"/>
    <w:autoRedefine/>
    <w:uiPriority w:val="99"/>
    <w:semiHidden/>
    <w:rsid w:val="001A6444"/>
    <w:pPr>
      <w:spacing w:after="100"/>
      <w:ind w:left="480"/>
    </w:pPr>
  </w:style>
  <w:style w:type="character" w:styleId="Hyperlink">
    <w:name w:val="Hyperlink"/>
    <w:basedOn w:val="DefaultParagraphFont"/>
    <w:uiPriority w:val="99"/>
    <w:rsid w:val="001A6444"/>
    <w:rPr>
      <w:color w:val="143C65" w:themeColor="hyperlink"/>
      <w:u w:val="single"/>
    </w:rPr>
  </w:style>
  <w:style w:type="paragraph" w:styleId="Header">
    <w:name w:val="header"/>
    <w:link w:val="HeaderChar"/>
    <w:uiPriority w:val="14"/>
    <w:rsid w:val="00C214AA"/>
    <w:pPr>
      <w:tabs>
        <w:tab w:val="center" w:pos="4513"/>
        <w:tab w:val="right" w:pos="9026"/>
      </w:tabs>
      <w:spacing w:after="0" w:line="240" w:lineRule="atLeast"/>
    </w:pPr>
    <w:rPr>
      <w:rFonts w:ascii="Open Sans" w:hAnsi="Open Sans"/>
      <w:color w:val="143C65" w:themeColor="accent1"/>
      <w:sz w:val="20"/>
      <w:lang w:val="en-AU"/>
    </w:rPr>
  </w:style>
  <w:style w:type="character" w:customStyle="1" w:styleId="HeaderChar">
    <w:name w:val="Header Char"/>
    <w:basedOn w:val="DefaultParagraphFont"/>
    <w:link w:val="Header"/>
    <w:uiPriority w:val="14"/>
    <w:rsid w:val="006F28A5"/>
    <w:rPr>
      <w:rFonts w:ascii="Open Sans" w:hAnsi="Open Sans"/>
      <w:color w:val="143C65" w:themeColor="accent1"/>
      <w:sz w:val="20"/>
      <w:lang w:val="en-AU"/>
    </w:rPr>
  </w:style>
  <w:style w:type="paragraph" w:styleId="Footer">
    <w:name w:val="footer"/>
    <w:link w:val="FooterChar"/>
    <w:uiPriority w:val="14"/>
    <w:rsid w:val="00C214AA"/>
    <w:pPr>
      <w:tabs>
        <w:tab w:val="center" w:pos="4513"/>
        <w:tab w:val="right" w:pos="9026"/>
      </w:tabs>
      <w:spacing w:after="0" w:line="240" w:lineRule="atLeast"/>
    </w:pPr>
    <w:rPr>
      <w:rFonts w:ascii="Open Sans" w:hAnsi="Open Sans"/>
      <w:color w:val="143C65" w:themeColor="accent1"/>
      <w:sz w:val="20"/>
      <w:lang w:val="en-AU"/>
    </w:rPr>
  </w:style>
  <w:style w:type="character" w:customStyle="1" w:styleId="FooterChar">
    <w:name w:val="Footer Char"/>
    <w:basedOn w:val="DefaultParagraphFont"/>
    <w:link w:val="Footer"/>
    <w:uiPriority w:val="14"/>
    <w:rsid w:val="006F28A5"/>
    <w:rPr>
      <w:rFonts w:ascii="Open Sans" w:hAnsi="Open Sans"/>
      <w:color w:val="143C65" w:themeColor="accent1"/>
      <w:sz w:val="20"/>
      <w:lang w:val="en-AU"/>
    </w:rPr>
  </w:style>
  <w:style w:type="table" w:customStyle="1" w:styleId="AHRCtable">
    <w:name w:val="AHRC table"/>
    <w:basedOn w:val="TableNormal"/>
    <w:uiPriority w:val="99"/>
    <w:rsid w:val="00F67824"/>
    <w:pPr>
      <w:spacing w:after="0" w:line="240" w:lineRule="atLeast"/>
    </w:pPr>
    <w:rPr>
      <w:rFonts w:ascii="Open Sans" w:eastAsia="Times New Roman" w:hAnsi="Open Sans"/>
      <w:kern w:val="2"/>
      <w:szCs w:val="16"/>
      <w:lang w:val="en-AU"/>
      <w14:ligatures w14:val="standardContextual"/>
    </w:rPr>
    <w:tblPr>
      <w:tblBorders>
        <w:insideH w:val="single" w:sz="4" w:space="0" w:color="929497" w:themeColor="accent6"/>
        <w:insideV w:val="single" w:sz="4" w:space="0" w:color="929497" w:themeColor="accent6"/>
      </w:tblBorders>
      <w:tblCellMar>
        <w:bottom w:w="108" w:type="dxa"/>
      </w:tblCellMar>
    </w:tblPr>
    <w:tcPr>
      <w:shd w:val="clear" w:color="auto" w:fill="auto"/>
    </w:tcPr>
    <w:tblStylePr w:type="firstRow">
      <w:pPr>
        <w:wordWrap/>
        <w:spacing w:beforeLines="0" w:before="0" w:beforeAutospacing="0" w:line="240" w:lineRule="atLeast"/>
        <w:ind w:leftChars="0" w:left="0" w:rightChars="0" w:right="0" w:firstLineChars="0" w:firstLine="0"/>
        <w:jc w:val="left"/>
        <w:outlineLvl w:val="9"/>
      </w:pPr>
      <w:rPr>
        <w:rFonts w:ascii="Bernard MT Condensed" w:hAnsi="Bernard MT Condensed"/>
        <w:b w:val="0"/>
        <w:i w:val="0"/>
        <w:color w:val="000000" w:themeColor="text1"/>
        <w:sz w:val="24"/>
      </w:rPr>
      <w:tblPr>
        <w:tblCellMar>
          <w:top w:w="108" w:type="dxa"/>
          <w:left w:w="108" w:type="dxa"/>
          <w:bottom w:w="108" w:type="dxa"/>
          <w:right w:w="108" w:type="dxa"/>
        </w:tblCellMar>
      </w:tblPr>
      <w:tcPr>
        <w:shd w:val="clear" w:color="auto" w:fill="EBE9E8" w:themeFill="background2"/>
      </w:tcPr>
    </w:tblStylePr>
    <w:tblStylePr w:type="lastRow">
      <w:rPr>
        <w:rFonts w:ascii="Bernard MT Condensed" w:hAnsi="Bernard MT Condensed"/>
      </w:rPr>
    </w:tblStylePr>
  </w:style>
  <w:style w:type="table" w:styleId="TableGrid">
    <w:name w:val="Table Grid"/>
    <w:basedOn w:val="TableNormal"/>
    <w:uiPriority w:val="39"/>
    <w:rsid w:val="001A6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uiPriority w:val="3"/>
    <w:qFormat/>
    <w:rsid w:val="00B01482"/>
    <w:pPr>
      <w:spacing w:before="60" w:after="0" w:line="260" w:lineRule="atLeast"/>
    </w:pPr>
    <w:rPr>
      <w:rFonts w:ascii="Open Sans" w:eastAsia="Times New Roman" w:hAnsi="Open Sans"/>
      <w:b/>
      <w:color w:val="143C65" w:themeColor="accent1"/>
      <w:kern w:val="2"/>
      <w:szCs w:val="16"/>
      <w:lang w:val="en-AU"/>
      <w14:ligatures w14:val="standardContextual"/>
    </w:rPr>
  </w:style>
  <w:style w:type="paragraph" w:customStyle="1" w:styleId="Tabletext">
    <w:name w:val="Table text"/>
    <w:uiPriority w:val="3"/>
    <w:qFormat/>
    <w:rsid w:val="00B01482"/>
    <w:pPr>
      <w:spacing w:before="60" w:after="0" w:line="280" w:lineRule="atLeast"/>
    </w:pPr>
    <w:rPr>
      <w:rFonts w:ascii="Open Sans" w:eastAsia="Times New Roman" w:hAnsi="Open Sans"/>
      <w:color w:val="000000" w:themeColor="text1"/>
      <w:kern w:val="2"/>
      <w:szCs w:val="16"/>
      <w:lang w:val="en-AU"/>
      <w14:ligatures w14:val="standardContextual"/>
    </w:rPr>
  </w:style>
  <w:style w:type="paragraph" w:customStyle="1" w:styleId="Tablelistbullets">
    <w:name w:val="Table list bullets"/>
    <w:uiPriority w:val="3"/>
    <w:qFormat/>
    <w:rsid w:val="00B01482"/>
    <w:pPr>
      <w:numPr>
        <w:numId w:val="28"/>
      </w:numPr>
      <w:spacing w:after="0" w:line="260" w:lineRule="atLeast"/>
    </w:pPr>
    <w:rPr>
      <w:rFonts w:ascii="Open Sans" w:eastAsia="Times New Roman" w:hAnsi="Open Sans"/>
      <w:color w:val="000000" w:themeColor="text1"/>
      <w:kern w:val="2"/>
      <w:szCs w:val="16"/>
      <w:lang w:val="en-AU"/>
      <w14:ligatures w14:val="standardContextual"/>
    </w:rPr>
  </w:style>
  <w:style w:type="paragraph" w:styleId="EndnoteText">
    <w:name w:val="endnote text"/>
    <w:aliases w:val="2_G"/>
    <w:link w:val="EndnoteTextChar"/>
    <w:uiPriority w:val="13"/>
    <w:qFormat/>
    <w:rsid w:val="00C214AA"/>
    <w:pPr>
      <w:spacing w:before="120" w:after="0" w:line="280" w:lineRule="atLeast"/>
      <w:ind w:left="170" w:hanging="170"/>
    </w:pPr>
    <w:rPr>
      <w:rFonts w:ascii="Open Sans" w:hAnsi="Open Sans"/>
      <w:color w:val="000000" w:themeColor="text1"/>
      <w:szCs w:val="20"/>
      <w:lang w:val="en-AU"/>
    </w:rPr>
  </w:style>
  <w:style w:type="character" w:customStyle="1" w:styleId="EndnoteTextChar">
    <w:name w:val="Endnote Text Char"/>
    <w:aliases w:val="2_G Char"/>
    <w:basedOn w:val="DefaultParagraphFont"/>
    <w:link w:val="EndnoteText"/>
    <w:uiPriority w:val="13"/>
    <w:rsid w:val="006F28A5"/>
    <w:rPr>
      <w:rFonts w:ascii="Open Sans" w:hAnsi="Open Sans"/>
      <w:color w:val="000000" w:themeColor="text1"/>
      <w:szCs w:val="20"/>
      <w:lang w:val="en-AU"/>
    </w:rPr>
  </w:style>
  <w:style w:type="character" w:styleId="EndnoteReference">
    <w:name w:val="endnote reference"/>
    <w:aliases w:val="QUOTE,1_G,Quote1"/>
    <w:basedOn w:val="DefaultParagraphFont"/>
    <w:uiPriority w:val="99"/>
    <w:qFormat/>
    <w:rsid w:val="001A6444"/>
    <w:rPr>
      <w:vertAlign w:val="superscript"/>
    </w:rPr>
  </w:style>
  <w:style w:type="paragraph" w:styleId="ListParagraph">
    <w:name w:val="List Paragraph"/>
    <w:basedOn w:val="Normal"/>
    <w:uiPriority w:val="99"/>
    <w:semiHidden/>
    <w:qFormat/>
    <w:rsid w:val="001A6444"/>
    <w:pPr>
      <w:ind w:left="720"/>
      <w:contextualSpacing/>
    </w:pPr>
  </w:style>
  <w:style w:type="paragraph" w:customStyle="1" w:styleId="Bodylistbullets">
    <w:name w:val="Body list bullets"/>
    <w:basedOn w:val="ListParagraph"/>
    <w:uiPriority w:val="1"/>
    <w:qFormat/>
    <w:rsid w:val="0059486E"/>
    <w:pPr>
      <w:numPr>
        <w:numId w:val="18"/>
      </w:numPr>
      <w:spacing w:before="0"/>
      <w:ind w:left="357" w:hanging="357"/>
    </w:pPr>
  </w:style>
  <w:style w:type="paragraph" w:customStyle="1" w:styleId="Tablelistnumbers">
    <w:name w:val="Table list numbers"/>
    <w:uiPriority w:val="3"/>
    <w:qFormat/>
    <w:rsid w:val="00B01482"/>
    <w:pPr>
      <w:numPr>
        <w:numId w:val="29"/>
      </w:numPr>
      <w:spacing w:after="0" w:line="260" w:lineRule="atLeast"/>
    </w:pPr>
    <w:rPr>
      <w:rFonts w:ascii="Open Sans" w:eastAsia="Times New Roman" w:hAnsi="Open Sans"/>
      <w:color w:val="000000" w:themeColor="text1"/>
      <w:kern w:val="2"/>
      <w:szCs w:val="16"/>
      <w:lang w:val="en-AU"/>
      <w14:ligatures w14:val="standardContextual"/>
    </w:rPr>
  </w:style>
  <w:style w:type="paragraph" w:customStyle="1" w:styleId="Bodylistnumbers">
    <w:name w:val="Body list numbers"/>
    <w:uiPriority w:val="1"/>
    <w:qFormat/>
    <w:rsid w:val="0059486E"/>
    <w:pPr>
      <w:numPr>
        <w:numId w:val="17"/>
      </w:numPr>
      <w:spacing w:after="0" w:line="280" w:lineRule="atLeast"/>
      <w:ind w:left="357" w:hanging="357"/>
    </w:pPr>
    <w:rPr>
      <w:rFonts w:ascii="Open Sans" w:eastAsia="Times New Roman" w:hAnsi="Open Sans"/>
      <w:color w:val="000000" w:themeColor="text1"/>
      <w:kern w:val="2"/>
      <w:szCs w:val="16"/>
      <w:lang w:val="en-AU"/>
      <w14:ligatures w14:val="standardContextual"/>
    </w:rPr>
  </w:style>
  <w:style w:type="character" w:styleId="UnresolvedMention">
    <w:name w:val="Unresolved Mention"/>
    <w:basedOn w:val="DefaultParagraphFont"/>
    <w:uiPriority w:val="99"/>
    <w:semiHidden/>
    <w:rsid w:val="001A6444"/>
    <w:rPr>
      <w:color w:val="605E5C"/>
      <w:shd w:val="clear" w:color="auto" w:fill="E1DFDD"/>
    </w:rPr>
  </w:style>
  <w:style w:type="paragraph" w:customStyle="1" w:styleId="Blockquote">
    <w:name w:val="Block quote"/>
    <w:next w:val="Normal"/>
    <w:uiPriority w:val="10"/>
    <w:qFormat/>
    <w:rsid w:val="00683E20"/>
    <w:pPr>
      <w:spacing w:before="120" w:after="0" w:line="280" w:lineRule="atLeast"/>
      <w:ind w:left="567"/>
    </w:pPr>
    <w:rPr>
      <w:rFonts w:ascii="Open Sans" w:hAnsi="Open Sans"/>
      <w:color w:val="000000" w:themeColor="text1"/>
      <w:lang w:val="en-AU"/>
    </w:rPr>
  </w:style>
  <w:style w:type="paragraph" w:styleId="Caption">
    <w:name w:val="caption"/>
    <w:next w:val="Normal"/>
    <w:uiPriority w:val="10"/>
    <w:qFormat/>
    <w:rsid w:val="00C214AA"/>
    <w:pPr>
      <w:spacing w:before="120" w:after="0" w:line="280" w:lineRule="atLeast"/>
    </w:pPr>
    <w:rPr>
      <w:rFonts w:ascii="Open Sans" w:hAnsi="Open Sans"/>
      <w:iCs/>
      <w:color w:val="143C65" w:themeColor="accent1"/>
      <w:szCs w:val="18"/>
      <w:lang w:val="en-AU"/>
    </w:rPr>
  </w:style>
  <w:style w:type="character" w:styleId="CommentReference">
    <w:name w:val="annotation reference"/>
    <w:basedOn w:val="DefaultParagraphFont"/>
    <w:uiPriority w:val="99"/>
    <w:semiHidden/>
    <w:rsid w:val="001A6444"/>
    <w:rPr>
      <w:sz w:val="16"/>
      <w:szCs w:val="16"/>
    </w:rPr>
  </w:style>
  <w:style w:type="paragraph" w:styleId="CommentText">
    <w:name w:val="annotation text"/>
    <w:basedOn w:val="Normal"/>
    <w:link w:val="CommentTextChar"/>
    <w:uiPriority w:val="99"/>
    <w:semiHidden/>
    <w:rsid w:val="001A6444"/>
    <w:pPr>
      <w:spacing w:line="240" w:lineRule="auto"/>
    </w:pPr>
    <w:rPr>
      <w:sz w:val="20"/>
      <w:szCs w:val="20"/>
    </w:rPr>
  </w:style>
  <w:style w:type="character" w:customStyle="1" w:styleId="CommentTextChar">
    <w:name w:val="Comment Text Char"/>
    <w:basedOn w:val="DefaultParagraphFont"/>
    <w:link w:val="CommentText"/>
    <w:uiPriority w:val="99"/>
    <w:semiHidden/>
    <w:rsid w:val="001A6444"/>
    <w:rPr>
      <w:rFonts w:ascii="Open Sans" w:hAnsi="Open Sans"/>
      <w:color w:val="000000" w:themeColor="text1"/>
      <w:sz w:val="20"/>
      <w:szCs w:val="20"/>
      <w:lang w:val="en-AU"/>
    </w:rPr>
  </w:style>
  <w:style w:type="paragraph" w:styleId="CommentSubject">
    <w:name w:val="annotation subject"/>
    <w:basedOn w:val="CommentText"/>
    <w:next w:val="CommentText"/>
    <w:link w:val="CommentSubjectChar"/>
    <w:uiPriority w:val="99"/>
    <w:semiHidden/>
    <w:rsid w:val="001A6444"/>
    <w:rPr>
      <w:b/>
      <w:bCs/>
    </w:rPr>
  </w:style>
  <w:style w:type="character" w:customStyle="1" w:styleId="CommentSubjectChar">
    <w:name w:val="Comment Subject Char"/>
    <w:basedOn w:val="CommentTextChar"/>
    <w:link w:val="CommentSubject"/>
    <w:uiPriority w:val="99"/>
    <w:semiHidden/>
    <w:rsid w:val="001A6444"/>
    <w:rPr>
      <w:rFonts w:ascii="Open Sans" w:hAnsi="Open Sans"/>
      <w:b/>
      <w:bCs/>
      <w:color w:val="000000" w:themeColor="text1"/>
      <w:sz w:val="20"/>
      <w:szCs w:val="20"/>
      <w:lang w:val="en-AU"/>
    </w:rPr>
  </w:style>
  <w:style w:type="character" w:styleId="Mention">
    <w:name w:val="Mention"/>
    <w:basedOn w:val="DefaultParagraphFont"/>
    <w:uiPriority w:val="99"/>
    <w:semiHidden/>
    <w:rsid w:val="000817D9"/>
    <w:rPr>
      <w:color w:val="2B579A"/>
      <w:shd w:val="clear" w:color="auto" w:fill="E1DFDD"/>
    </w:rPr>
  </w:style>
  <w:style w:type="paragraph" w:customStyle="1" w:styleId="Blockquotelistbullets">
    <w:name w:val="Block quote list bullets"/>
    <w:basedOn w:val="Bodylistbullets"/>
    <w:uiPriority w:val="10"/>
    <w:qFormat/>
    <w:rsid w:val="00683E20"/>
    <w:pPr>
      <w:ind w:left="924"/>
    </w:pPr>
  </w:style>
  <w:style w:type="paragraph" w:customStyle="1" w:styleId="Sectionsummarybody">
    <w:name w:val="Section summary body"/>
    <w:uiPriority w:val="6"/>
    <w:qFormat/>
    <w:rsid w:val="00C214AA"/>
    <w:pPr>
      <w:pBdr>
        <w:top w:val="single" w:sz="8" w:space="1" w:color="EBE9E8" w:themeColor="background2"/>
        <w:left w:val="single" w:sz="8" w:space="4" w:color="EBE9E8" w:themeColor="background2"/>
        <w:bottom w:val="single" w:sz="8" w:space="1" w:color="EBE9E8" w:themeColor="background2"/>
        <w:right w:val="single" w:sz="8" w:space="4" w:color="EBE9E8" w:themeColor="background2"/>
      </w:pBdr>
      <w:shd w:val="clear" w:color="auto" w:fill="EBE9E8" w:themeFill="background2"/>
      <w:spacing w:before="120" w:after="0" w:line="280" w:lineRule="atLeast"/>
    </w:pPr>
    <w:rPr>
      <w:rFonts w:ascii="Open Sans" w:hAnsi="Open Sans"/>
      <w:color w:val="000000" w:themeColor="text1"/>
      <w:lang w:val="en-AU"/>
    </w:rPr>
  </w:style>
  <w:style w:type="paragraph" w:customStyle="1" w:styleId="Coremessagelistbullets">
    <w:name w:val="Core message list bullets"/>
    <w:basedOn w:val="Bodylistbullets"/>
    <w:uiPriority w:val="99"/>
    <w:semiHidden/>
    <w:qFormat/>
    <w:rsid w:val="001A6444"/>
    <w:pPr>
      <w:pBdr>
        <w:top w:val="single" w:sz="8" w:space="1" w:color="EBE9E8" w:themeColor="background2"/>
        <w:left w:val="single" w:sz="8" w:space="4" w:color="EBE9E8" w:themeColor="background2"/>
        <w:bottom w:val="single" w:sz="8" w:space="1" w:color="EBE9E8" w:themeColor="background2"/>
        <w:right w:val="single" w:sz="8" w:space="4" w:color="EBE9E8" w:themeColor="background2"/>
      </w:pBdr>
      <w:shd w:val="clear" w:color="auto" w:fill="EBE9E8" w:themeFill="background2"/>
    </w:pPr>
  </w:style>
  <w:style w:type="paragraph" w:customStyle="1" w:styleId="Heading1unnumbered">
    <w:name w:val="Heading 1 unnumbered"/>
    <w:basedOn w:val="Heading1"/>
    <w:next w:val="Normal"/>
    <w:uiPriority w:val="2"/>
    <w:qFormat/>
    <w:rsid w:val="001A6444"/>
    <w:pPr>
      <w:numPr>
        <w:numId w:val="0"/>
      </w:numPr>
      <w:ind w:left="431" w:hanging="431"/>
    </w:pPr>
  </w:style>
  <w:style w:type="paragraph" w:customStyle="1" w:styleId="Heading2unnumbered">
    <w:name w:val="Heading 2 unnumbered"/>
    <w:basedOn w:val="Heading2"/>
    <w:next w:val="Normal"/>
    <w:uiPriority w:val="2"/>
    <w:semiHidden/>
    <w:qFormat/>
    <w:rsid w:val="00C265BB"/>
  </w:style>
  <w:style w:type="paragraph" w:styleId="Revision">
    <w:name w:val="Revision"/>
    <w:hidden/>
    <w:uiPriority w:val="99"/>
    <w:semiHidden/>
    <w:rsid w:val="00A8521C"/>
    <w:pPr>
      <w:spacing w:after="0" w:line="240" w:lineRule="auto"/>
    </w:pPr>
    <w:rPr>
      <w:rFonts w:ascii="Open Sans" w:hAnsi="Open Sans"/>
      <w:color w:val="000000" w:themeColor="text1"/>
      <w:lang w:val="en-AU"/>
    </w:rPr>
  </w:style>
  <w:style w:type="character" w:styleId="FollowedHyperlink">
    <w:name w:val="FollowedHyperlink"/>
    <w:basedOn w:val="DefaultParagraphFont"/>
    <w:uiPriority w:val="15"/>
    <w:rsid w:val="004D3359"/>
    <w:rPr>
      <w:color w:val="61136C" w:themeColor="followedHyperlink"/>
      <w:u w:val="single"/>
    </w:rPr>
  </w:style>
  <w:style w:type="paragraph" w:customStyle="1" w:styleId="Sectionsummarylistbullets">
    <w:name w:val="Section summary list bullets"/>
    <w:basedOn w:val="Coremessagelistbullets"/>
    <w:uiPriority w:val="6"/>
    <w:qFormat/>
    <w:rsid w:val="00CA4958"/>
  </w:style>
  <w:style w:type="paragraph" w:customStyle="1" w:styleId="Frontmatter">
    <w:name w:val="Front matter"/>
    <w:uiPriority w:val="10"/>
    <w:qFormat/>
    <w:rsid w:val="00C214AA"/>
    <w:pPr>
      <w:spacing w:before="120" w:after="0" w:line="280" w:lineRule="atLeast"/>
    </w:pPr>
    <w:rPr>
      <w:rFonts w:ascii="Open Sans" w:hAnsi="Open Sans"/>
      <w:color w:val="000000" w:themeColor="text1"/>
      <w:szCs w:val="22"/>
      <w:lang w:val="en-AU"/>
    </w:rPr>
  </w:style>
  <w:style w:type="table" w:customStyle="1" w:styleId="AHRCfirstcolumn">
    <w:name w:val="AHRC first column"/>
    <w:basedOn w:val="TableNormal"/>
    <w:uiPriority w:val="99"/>
    <w:rsid w:val="00F67824"/>
    <w:pPr>
      <w:spacing w:after="0" w:line="240" w:lineRule="auto"/>
    </w:pPr>
    <w:tblPr>
      <w:tblBorders>
        <w:insideH w:val="single" w:sz="4" w:space="0" w:color="929497" w:themeColor="accent6"/>
        <w:insideV w:val="single" w:sz="4" w:space="0" w:color="929497" w:themeColor="accent6"/>
      </w:tblBorders>
      <w:tblCellMar>
        <w:bottom w:w="108" w:type="dxa"/>
      </w:tblCellMar>
    </w:tblPr>
    <w:tblStylePr w:type="firstCol">
      <w:tblPr/>
      <w:tcPr>
        <w:shd w:val="clear" w:color="auto" w:fill="EBE9E8" w:themeFill="background2"/>
      </w:tcPr>
    </w:tblStylePr>
  </w:style>
  <w:style w:type="character" w:styleId="PlaceholderText">
    <w:name w:val="Placeholder Text"/>
    <w:basedOn w:val="DefaultParagraphFont"/>
    <w:uiPriority w:val="99"/>
    <w:semiHidden/>
    <w:rsid w:val="00FF3B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humanrights.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humanrights.gov.au" TargetMode="Externa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4.xml"/></Relationships>
</file>

<file path=word/_rels/endnotes.xml.rels><?xml version="1.0" encoding="UTF-8" standalone="yes"?>
<Relationships xmlns="http://schemas.openxmlformats.org/package/2006/relationships"><Relationship Id="rId8" Type="http://schemas.openxmlformats.org/officeDocument/2006/relationships/hyperlink" Target="https://humanrights.gov.au/our-work/disability-rights/includeability-evaluation" TargetMode="External"/><Relationship Id="rId13" Type="http://schemas.openxmlformats.org/officeDocument/2006/relationships/hyperlink" Target="https://www.cambridge.org/core/journals/ageing-and-society/article/abs/health-and-occupation-the-limits-to-older-adults-work-hours/D5ACEF9390B2E701727ED3E4CDDE87EE" TargetMode="External"/><Relationship Id="rId3" Type="http://schemas.openxmlformats.org/officeDocument/2006/relationships/hyperlink" Target="https://www.aihw.gov.au/reports/disability/people-with-disability-in-australia/contents/employment/labour-force-participation" TargetMode="External"/><Relationship Id="rId7" Type="http://schemas.openxmlformats.org/officeDocument/2006/relationships/hyperlink" Target="https://www.abs.gov.au/statistics/health/disability/disability-ageing-and-carers-australia-summary-findings/latest-release" TargetMode="External"/><Relationship Id="rId12" Type="http://schemas.openxmlformats.org/officeDocument/2006/relationships/hyperlink" Target="https://australianhrc.sharepoint.com/sites/ADT/ADT_Submissions/Submission%20on%20Shaping%20the%20future%20of%20employment%20services%20Discussion%20Paper/%3chttps:/humanrights.gov.au/our-work/disability-rights/publications/willing-work-national" TargetMode="External"/><Relationship Id="rId2" Type="http://schemas.openxmlformats.org/officeDocument/2006/relationships/hyperlink" Target="https://www.abs.gov.au/statistics/labour/jobs/job-mobility/latest-release" TargetMode="External"/><Relationship Id="rId16" Type="http://schemas.openxmlformats.org/officeDocument/2006/relationships/hyperlink" Target="https://www.emerald.com/er/article-abstract/37/5/568/37864/Bringing-the-right-to-request-flexible-working?redirectedFrom=fulltext" TargetMode="External"/><Relationship Id="rId1" Type="http://schemas.openxmlformats.org/officeDocument/2006/relationships/hyperlink" Target="https://www.sciencedirect.com/science/article/pii/S1326020023051968" TargetMode="External"/><Relationship Id="rId6" Type="http://schemas.openxmlformats.org/officeDocument/2006/relationships/hyperlink" Target="https://www.abs.gov.au/statistics/health/disability/disability-ageing-and-carers-australia-summary-findings/latest-release" TargetMode="External"/><Relationship Id="rId11" Type="http://schemas.openxmlformats.org/officeDocument/2006/relationships/hyperlink" Target="https://humanrights.gov.au/resource-hub/search-all-our-publications/reports-and-projects/projects/free-and-equal" TargetMode="External"/><Relationship Id="rId5" Type="http://schemas.openxmlformats.org/officeDocument/2006/relationships/hyperlink" Target="https://www.abs.gov.au/statistics/labour/jobs/job-mobility/latest-release" TargetMode="External"/><Relationship Id="rId15" Type="http://schemas.openxmlformats.org/officeDocument/2006/relationships/hyperlink" Target="https://static1.squarespace.com/static/5f5654b537cea057c500f59e/t/60143f05a2117e3eec3c3243/1611939604505/Wal+Bulletin+1.pdf" TargetMode="External"/><Relationship Id="rId10" Type="http://schemas.openxmlformats.org/officeDocument/2006/relationships/hyperlink" Target="https://humanrights.gov.au/resource-hub/older-peoples-rights/age,-assumptions-and-access-at-work-employee-experiences-of-age-inclusionin-the-workplace" TargetMode="External"/><Relationship Id="rId4" Type="http://schemas.openxmlformats.org/officeDocument/2006/relationships/hyperlink" Target="https://www.aihw.gov.au/reports/disability/people-with-disability-in-australia/contents/employment/labour-force-participation" TargetMode="External"/><Relationship Id="rId9" Type="http://schemas.openxmlformats.org/officeDocument/2006/relationships/hyperlink" Target="https://www.ahri.com.au/wp-content/uploads/Older-Younger-Workers-Report-2025-FINAL.pdf" TargetMode="External"/><Relationship Id="rId14" Type="http://schemas.openxmlformats.org/officeDocument/2006/relationships/hyperlink" Target="https://journals.sagepub.com/doi/10.1177/0003122415622391?__cf_chl_f_tk=NBjImInqJIXsDlEzTowh_x4_iqiSNy2N8jRDiALo12w-1783300847-1.0.1.1-Uicx.XFR98TeDuyGHk_4Rk235rglGvyn8vkNtEo2CS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5683BD63C34DA193EF3FFFBC40A31F"/>
        <w:category>
          <w:name w:val="General"/>
          <w:gallery w:val="placeholder"/>
        </w:category>
        <w:types>
          <w:type w:val="bbPlcHdr"/>
        </w:types>
        <w:behaviors>
          <w:behavior w:val="content"/>
        </w:behaviors>
        <w:guid w:val="{C50268C4-DA1C-4070-9124-F7ABA205722C}"/>
      </w:docPartPr>
      <w:docPartBody>
        <w:p w:rsidR="00810E09" w:rsidRDefault="00810E09">
          <w:pPr>
            <w:pStyle w:val="885683BD63C34DA193EF3FFFBC40A31F"/>
          </w:pPr>
          <w:r w:rsidRPr="00AD05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0000000000000000000"/>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ernard MT Condensed">
    <w:panose1 w:val="020508060609050204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09"/>
    <w:rsid w:val="002D4254"/>
    <w:rsid w:val="003C7C08"/>
    <w:rsid w:val="004E1417"/>
    <w:rsid w:val="006163C7"/>
    <w:rsid w:val="0065287F"/>
    <w:rsid w:val="007D4E85"/>
    <w:rsid w:val="00810E09"/>
    <w:rsid w:val="00D64265"/>
    <w:rsid w:val="00D876F2"/>
    <w:rsid w:val="00E823B6"/>
    <w:rsid w:val="00E867BE"/>
    <w:rsid w:val="00EA577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885683BD63C34DA193EF3FFFBC40A31F">
    <w:name w:val="885683BD63C34DA193EF3FFFBC40A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HRC">
      <a:dk1>
        <a:sysClr val="windowText" lastClr="000000"/>
      </a:dk1>
      <a:lt1>
        <a:sysClr val="window" lastClr="FFFFFF"/>
      </a:lt1>
      <a:dk2>
        <a:srgbClr val="404041"/>
      </a:dk2>
      <a:lt2>
        <a:srgbClr val="EBE9E8"/>
      </a:lt2>
      <a:accent1>
        <a:srgbClr val="143C65"/>
      </a:accent1>
      <a:accent2>
        <a:srgbClr val="0B78BE"/>
      </a:accent2>
      <a:accent3>
        <a:srgbClr val="AD1F24"/>
      </a:accent3>
      <a:accent4>
        <a:srgbClr val="61136C"/>
      </a:accent4>
      <a:accent5>
        <a:srgbClr val="016735"/>
      </a:accent5>
      <a:accent6>
        <a:srgbClr val="929497"/>
      </a:accent6>
      <a:hlink>
        <a:srgbClr val="143C65"/>
      </a:hlink>
      <a:folHlink>
        <a:srgbClr val="61136C"/>
      </a:folHlink>
    </a:clrScheme>
    <a:fontScheme name="AHRC">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8DC6F138B2B46888D2E9D5FF85B56" ma:contentTypeVersion="7" ma:contentTypeDescription="Create a new document." ma:contentTypeScope="" ma:versionID="7f1e3b6ad8bf94724cd1bde419652405">
  <xsd:schema xmlns:xsd="http://www.w3.org/2001/XMLSchema" xmlns:xs="http://www.w3.org/2001/XMLSchema" xmlns:p="http://schemas.microsoft.com/office/2006/metadata/properties" xmlns:ns2="6500fe01-343b-4fb9-a1b0-68ac19d62e01" xmlns:ns3="a8f62c0c-c8c9-4900-856b-edb80e615800" xmlns:ns4="ab22e351-b885-4063-af26-8fae89475d14" targetNamespace="http://schemas.microsoft.com/office/2006/metadata/properties" ma:root="true" ma:fieldsID="5b34c2384e1de8a257da278a1a50dab9" ns2:_="" ns3:_="" ns4:_="">
    <xsd:import namespace="6500fe01-343b-4fb9-a1b0-68ac19d62e01"/>
    <xsd:import namespace="a8f62c0c-c8c9-4900-856b-edb80e615800"/>
    <xsd:import namespace="ab22e351-b885-4063-af26-8fae89475d14"/>
    <xsd:element name="properties">
      <xsd:complexType>
        <xsd:sequence>
          <xsd:element name="documentManagement">
            <xsd:complexType>
              <xsd:all>
                <xsd:element ref="ns2:TaxKeywordTaxHTField" minOccurs="0"/>
                <xsd:element ref="ns2:TaxCatchAll" minOccurs="0"/>
                <xsd:element ref="ns2:TaxCatchAllLabel" minOccurs="0"/>
                <xsd:element ref="ns2:Divider"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f58ec233-fb9c-4fd6-9ee9-977b8c8722c7}" ma:internalName="TaxCatchAll" ma:showField="CatchAllData" ma:web="ab22e351-b885-4063-af26-8fae89475d1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58ec233-fb9c-4fd6-9ee9-977b8c8722c7}" ma:internalName="TaxCatchAllLabel" ma:readOnly="true" ma:showField="CatchAllDataLabel" ma:web="ab22e351-b885-4063-af26-8fae89475d14">
      <xsd:complexType>
        <xsd:complexContent>
          <xsd:extension base="dms:MultiChoiceLookup">
            <xsd:sequence>
              <xsd:element name="Value" type="dms:Lookup" maxOccurs="unbounded" minOccurs="0" nillable="true"/>
            </xsd:sequence>
          </xsd:extension>
        </xsd:complexContent>
      </xsd:complexType>
    </xsd:element>
    <xsd:element name="Divider" ma:index="12" nillable="true" ma:displayName="Divider" ma:internalName="Divider">
      <xsd:simpleType>
        <xsd:restriction base="dms:Text">
          <xsd:maxLength value="255"/>
        </xsd:restriction>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f62c0c-c8c9-4900-856b-edb80e615800"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22e351-b885-4063-af26-8fae89475d1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Divider xmlns="6500fe01-343b-4fb9-a1b0-68ac19d62e01" xsi:nil="true"/>
    <TaxKeywordTaxHTField xmlns="6500fe01-343b-4fb9-a1b0-68ac19d62e01">
      <Terms xmlns="http://schemas.microsoft.com/office/infopath/2007/PartnerControls"/>
    </TaxKeywordTaxHTField>
    <_dlc_DocId xmlns="6500fe01-343b-4fb9-a1b0-68ac19d62e01">W3FJNH5F2V6D-1783767180-483</_dlc_DocId>
    <_dlc_DocIdUrl xmlns="6500fe01-343b-4fb9-a1b0-68ac19d62e01">
      <Url>https://australianhrc.sharepoint.com/sites/ADT/_layouts/15/DocIdRedir.aspx?ID=W3FJNH5F2V6D-1783767180-483</Url>
      <Description>W3FJNH5F2V6D-1783767180-483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headings xmlns="http://AHRCheadings.htm">
  <Overview>Executive summary</Overview>
  <Topic1>Introduction</Topic1>
  <Topic2>Measuring Sustainable Employment Outcomes</Topic2>
  <Topic3>Shifting Employer Practices: Demand-Side Reform</Topic3>
  <Topic4>Topic 4</Topic4>
  <Topic5>Topic 5</Topic5>
  <Topic6>Context</Topic6>
  <Endnotes>Endnotes</Endnotes>
</headings>
</file>

<file path=customXml/item7.xml><?xml version="1.0" encoding="utf-8"?>
<?mso-contentType ?>
<SharedContentType xmlns="Microsoft.SharePoint.Taxonomy.ContentTypeSync" SourceId="975c5ac6-a0cc-43ed-b850-4a2ae59237b6" ContentTypeId="0x0101" PreviousValue="false" LastSyncTimeStamp="2019-01-22T02:06:15.047Z"/>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2ABB6F-323D-42D8-9DAF-A21347A29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a8f62c0c-c8c9-4900-856b-edb80e615800"/>
    <ds:schemaRef ds:uri="ab22e351-b885-4063-af26-8fae89475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BCF49C-9574-490D-9FA0-31A2375C306F}">
  <ds:schemaRefs>
    <ds:schemaRef ds:uri="http://schemas.microsoft.com/office/2006/metadata/customXsn"/>
  </ds:schemaRefs>
</ds:datastoreItem>
</file>

<file path=customXml/itemProps3.xml><?xml version="1.0" encoding="utf-8"?>
<ds:datastoreItem xmlns:ds="http://schemas.openxmlformats.org/officeDocument/2006/customXml" ds:itemID="{59F97394-0F22-4A82-A234-3D4F685BB319}">
  <ds:schemaRefs>
    <ds:schemaRef ds:uri="http://schemas.microsoft.com/office/2006/metadata/properties"/>
    <ds:schemaRef ds:uri="http://schemas.microsoft.com/office/infopath/2007/PartnerControls"/>
    <ds:schemaRef ds:uri="6500fe01-343b-4fb9-a1b0-68ac19d62e01"/>
  </ds:schemaRefs>
</ds:datastoreItem>
</file>

<file path=customXml/itemProps4.xml><?xml version="1.0" encoding="utf-8"?>
<ds:datastoreItem xmlns:ds="http://schemas.openxmlformats.org/officeDocument/2006/customXml" ds:itemID="{CF14DE90-639F-4BC8-AE29-34AB534813D7}">
  <ds:schemaRefs>
    <ds:schemaRef ds:uri="http://schemas.microsoft.com/sharepoint/events"/>
  </ds:schemaRefs>
</ds:datastoreItem>
</file>

<file path=customXml/itemProps5.xml><?xml version="1.0" encoding="utf-8"?>
<ds:datastoreItem xmlns:ds="http://schemas.openxmlformats.org/officeDocument/2006/customXml" ds:itemID="{370851D4-7662-4D2B-8353-54575E8FC8AC}">
  <ds:schemaRefs>
    <ds:schemaRef ds:uri="http://schemas.openxmlformats.org/officeDocument/2006/bibliography"/>
  </ds:schemaRefs>
</ds:datastoreItem>
</file>

<file path=customXml/itemProps6.xml><?xml version="1.0" encoding="utf-8"?>
<ds:datastoreItem xmlns:ds="http://schemas.openxmlformats.org/officeDocument/2006/customXml" ds:itemID="{59E40458-85DB-4B58-AD7F-ED1E21A92441}">
  <ds:schemaRefs>
    <ds:schemaRef ds:uri="http://AHRCheadings.htm"/>
  </ds:schemaRefs>
</ds:datastoreItem>
</file>

<file path=customXml/itemProps7.xml><?xml version="1.0" encoding="utf-8"?>
<ds:datastoreItem xmlns:ds="http://schemas.openxmlformats.org/officeDocument/2006/customXml" ds:itemID="{BD8C5BCB-E34F-4952-96C1-EFEB5027A3B8}">
  <ds:schemaRefs>
    <ds:schemaRef ds:uri="Microsoft.SharePoint.Taxonomy.ContentTypeSync"/>
  </ds:schemaRefs>
</ds:datastoreItem>
</file>

<file path=customXml/itemProps8.xml><?xml version="1.0" encoding="utf-8"?>
<ds:datastoreItem xmlns:ds="http://schemas.openxmlformats.org/officeDocument/2006/customXml" ds:itemID="{A1019F2E-9041-4D34-AB0B-CD7844C5B1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5042</Words>
  <Characters>28339</Characters>
  <Application>Microsoft Office Word</Application>
  <DocSecurity>0</DocSecurity>
  <Lines>616</Lines>
  <Paragraphs>337</Paragraphs>
  <ScaleCrop>false</ScaleCrop>
  <Company/>
  <LinksUpToDate>false</LinksUpToDate>
  <CharactersWithSpaces>33044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Ryan</dc:creator>
  <cp:keywords/>
  <dc:description/>
  <cp:lastModifiedBy>Charlotte Ryan</cp:lastModifiedBy>
  <cp:revision>2</cp:revision>
  <cp:lastPrinted>2025-05-14T18:22:00Z</cp:lastPrinted>
  <dcterms:created xsi:type="dcterms:W3CDTF">2026-08-13T00:10:00Z</dcterms:created>
  <dcterms:modified xsi:type="dcterms:W3CDTF">2026-08-13T00:10:00Z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0x010100E898DC6F138B2B46888D2E9D5FF85B56</vt:lpwstr>
  </property>
  <property fmtid="{D5CDD505-2E9C-101B-9397-08002B2CF9AE}" pid="3" name="MediaServiceImageTags">
    <vt:lpwstr/>
  </property>
  <property fmtid="{D5CDD505-2E9C-101B-9397-08002B2CF9AE}" pid="4" name="_dlc_DocIdItemGuid">
    <vt:lpwstr>0e3217a2-41c6-4385-91b2-ed1ef05e608c</vt:lpwstr>
  </property>
  <property fmtid="{D5CDD505-2E9C-101B-9397-08002B2CF9AE}" pid="5" name="TaxKeyword">
    <vt:lpwstr/>
  </property>
  <property fmtid="{D5CDD505-2E9C-101B-9397-08002B2CF9AE}" pid="6" name="Document_x0020_Type">
    <vt:lpwstr/>
  </property>
  <property fmtid="{D5CDD505-2E9C-101B-9397-08002B2CF9AE}" pid="7" name="Document Type">
    <vt:lpwstr/>
  </property>
  <property fmtid="{D5CDD505-2E9C-101B-9397-08002B2CF9AE}" pid="8" name="Order">
    <vt:r8>24600</vt:r8>
  </property>
  <property fmtid="{D5CDD505-2E9C-101B-9397-08002B2CF9AE}" pid="9" name="Review">
    <vt:bool>true</vt:bool>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