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A5EC" w14:textId="2EA2D73D" w:rsidR="007B2DB2" w:rsidRPr="004C0B7E" w:rsidRDefault="0096174D" w:rsidP="006842BC">
      <w:pPr>
        <w:pStyle w:val="Title"/>
        <w:jc w:val="right"/>
        <w:rPr>
          <w:lang w:val="en-AU"/>
        </w:rPr>
      </w:pPr>
      <w:r>
        <w:rPr>
          <w:noProof/>
          <w:lang w:val="en-AU"/>
        </w:rPr>
        <w:drawing>
          <wp:anchor distT="0" distB="0" distL="114300" distR="114300" simplePos="0" relativeHeight="251658240" behindDoc="1" locked="0" layoutInCell="1" allowOverlap="1" wp14:anchorId="455C5201" wp14:editId="109E3FA2">
            <wp:simplePos x="0" y="0"/>
            <wp:positionH relativeFrom="page">
              <wp:posOffset>-7620</wp:posOffset>
            </wp:positionH>
            <wp:positionV relativeFrom="page">
              <wp:align>top</wp:align>
            </wp:positionV>
            <wp:extent cx="7552800" cy="10688400"/>
            <wp:effectExtent l="0" t="0" r="0" b="0"/>
            <wp:wrapNone/>
            <wp:docPr id="524182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2800" cy="10688400"/>
                    </a:xfrm>
                    <a:prstGeom prst="rect">
                      <a:avLst/>
                    </a:prstGeom>
                    <a:noFill/>
                  </pic:spPr>
                </pic:pic>
              </a:graphicData>
            </a:graphic>
            <wp14:sizeRelH relativeFrom="page">
              <wp14:pctWidth>0</wp14:pctWidth>
            </wp14:sizeRelH>
            <wp14:sizeRelV relativeFrom="page">
              <wp14:pctHeight>0</wp14:pctHeight>
            </wp14:sizeRelV>
          </wp:anchor>
        </w:drawing>
      </w:r>
      <w:r w:rsidR="00823EF2">
        <w:rPr>
          <w:lang w:val="en-AU"/>
        </w:rPr>
        <w:t>Supported decision-making in NSW</w:t>
      </w:r>
    </w:p>
    <w:p w14:paraId="57024040" w14:textId="6719A999" w:rsidR="00D425F6" w:rsidRDefault="00C53832" w:rsidP="0096174D">
      <w:pPr>
        <w:pStyle w:val="Subtitle"/>
        <w:jc w:val="right"/>
      </w:pPr>
      <w:r>
        <w:t xml:space="preserve">Submission to </w:t>
      </w:r>
      <w:r w:rsidR="00D425F6">
        <w:t xml:space="preserve">the </w:t>
      </w:r>
      <w:r w:rsidR="00823EF2">
        <w:t>NSW Committee on Ageing and Disability</w:t>
      </w:r>
    </w:p>
    <w:p w14:paraId="0C67B836" w14:textId="30C779D4" w:rsidR="0036065F" w:rsidRPr="004C0B7E" w:rsidRDefault="00823EF2" w:rsidP="0096174D">
      <w:pPr>
        <w:pStyle w:val="Subtitle"/>
        <w:jc w:val="right"/>
      </w:pPr>
      <w:r>
        <w:t>13</w:t>
      </w:r>
      <w:r w:rsidR="654D455F" w:rsidRPr="4B833C32">
        <w:t xml:space="preserve"> </w:t>
      </w:r>
      <w:r>
        <w:t>March</w:t>
      </w:r>
      <w:r w:rsidR="00C53832" w:rsidRPr="4B833C32">
        <w:t xml:space="preserve"> </w:t>
      </w:r>
      <w:r>
        <w:t>2026</w:t>
      </w:r>
    </w:p>
    <w:sdt>
      <w:sdtPr>
        <w:rPr>
          <w:rFonts w:ascii="Open Sans" w:eastAsiaTheme="minorEastAsia" w:hAnsi="Open Sans" w:cstheme="minorBidi"/>
          <w:b w:val="0"/>
          <w:noProof/>
          <w:color w:val="000000" w:themeColor="text1"/>
          <w:sz w:val="24"/>
          <w:szCs w:val="24"/>
          <w:lang w:val="en-AU" w:eastAsia="ja-JP"/>
        </w:rPr>
        <w:id w:val="672380359"/>
        <w:docPartObj>
          <w:docPartGallery w:val="Table of Contents"/>
          <w:docPartUnique/>
        </w:docPartObj>
      </w:sdtPr>
      <w:sdtEndPr>
        <w:rPr>
          <w:b/>
          <w:bCs/>
          <w:color w:val="143C65" w:themeColor="accent1"/>
        </w:rPr>
      </w:sdtEndPr>
      <w:sdtContent>
        <w:p w14:paraId="0212A4BF" w14:textId="77777777" w:rsidR="00AA0C6A" w:rsidRPr="004C0B7E" w:rsidRDefault="00AA0C6A" w:rsidP="008E6114">
          <w:pPr>
            <w:pStyle w:val="TOCHeading"/>
            <w:rPr>
              <w:lang w:val="en-AU"/>
            </w:rPr>
          </w:pPr>
          <w:r w:rsidRPr="004C0B7E">
            <w:rPr>
              <w:lang w:val="en-AU"/>
            </w:rPr>
            <w:t>Contents</w:t>
          </w:r>
        </w:p>
        <w:p w14:paraId="6F4CFF3B" w14:textId="680B9A4C" w:rsidR="00B430EE" w:rsidRDefault="0069742B">
          <w:pPr>
            <w:pStyle w:val="TOC1"/>
            <w:rPr>
              <w:rFonts w:asciiTheme="minorHAnsi" w:hAnsiTheme="minorHAnsi"/>
              <w:b w:val="0"/>
              <w:color w:val="auto"/>
              <w:kern w:val="2"/>
              <w:lang w:eastAsia="en-AU"/>
              <w14:ligatures w14:val="standardContextual"/>
            </w:rPr>
          </w:pPr>
          <w:r>
            <w:rPr>
              <w:b w:val="0"/>
              <w:sz w:val="22"/>
            </w:rPr>
            <w:fldChar w:fldCharType="begin"/>
          </w:r>
          <w:r>
            <w:rPr>
              <w:b w:val="0"/>
              <w:sz w:val="22"/>
            </w:rPr>
            <w:instrText xml:space="preserve"> TOC \o "1-1" \h \z \t "Heading 2,2" </w:instrText>
          </w:r>
          <w:r>
            <w:rPr>
              <w:b w:val="0"/>
              <w:sz w:val="22"/>
            </w:rPr>
            <w:fldChar w:fldCharType="separate"/>
          </w:r>
          <w:hyperlink w:anchor="_Toc223446751" w:history="1">
            <w:r w:rsidR="00B430EE" w:rsidRPr="008144F2">
              <w:rPr>
                <w:rStyle w:val="Hyperlink"/>
              </w:rPr>
              <w:t>Overview</w:t>
            </w:r>
            <w:r w:rsidR="00B430EE">
              <w:rPr>
                <w:webHidden/>
              </w:rPr>
              <w:tab/>
            </w:r>
            <w:r w:rsidR="00B430EE">
              <w:rPr>
                <w:webHidden/>
              </w:rPr>
              <w:fldChar w:fldCharType="begin"/>
            </w:r>
            <w:r w:rsidR="00B430EE">
              <w:rPr>
                <w:webHidden/>
              </w:rPr>
              <w:instrText xml:space="preserve"> PAGEREF _Toc223446751 \h </w:instrText>
            </w:r>
            <w:r w:rsidR="00B430EE">
              <w:rPr>
                <w:webHidden/>
              </w:rPr>
            </w:r>
            <w:r w:rsidR="00B430EE">
              <w:rPr>
                <w:webHidden/>
              </w:rPr>
              <w:fldChar w:fldCharType="separate"/>
            </w:r>
            <w:r w:rsidR="00B430EE">
              <w:rPr>
                <w:webHidden/>
              </w:rPr>
              <w:t>4</w:t>
            </w:r>
            <w:r w:rsidR="00B430EE">
              <w:rPr>
                <w:webHidden/>
              </w:rPr>
              <w:fldChar w:fldCharType="end"/>
            </w:r>
          </w:hyperlink>
        </w:p>
        <w:p w14:paraId="77E86341" w14:textId="364EE35A" w:rsidR="00B430EE" w:rsidRDefault="00B430EE">
          <w:pPr>
            <w:pStyle w:val="TOC2"/>
            <w:rPr>
              <w:rFonts w:asciiTheme="minorHAnsi" w:hAnsiTheme="minorHAnsi"/>
              <w:color w:val="auto"/>
              <w:kern w:val="2"/>
              <w:lang w:val="en-AU" w:eastAsia="en-AU"/>
              <w14:ligatures w14:val="standardContextual"/>
            </w:rPr>
          </w:pPr>
          <w:hyperlink w:anchor="_Toc223446752" w:history="1">
            <w:r w:rsidRPr="008144F2">
              <w:rPr>
                <w:rStyle w:val="Hyperlink"/>
              </w:rPr>
              <w:t>Introduction</w:t>
            </w:r>
            <w:r>
              <w:rPr>
                <w:webHidden/>
              </w:rPr>
              <w:tab/>
            </w:r>
            <w:r>
              <w:rPr>
                <w:webHidden/>
              </w:rPr>
              <w:fldChar w:fldCharType="begin"/>
            </w:r>
            <w:r>
              <w:rPr>
                <w:webHidden/>
              </w:rPr>
              <w:instrText xml:space="preserve"> PAGEREF _Toc223446752 \h </w:instrText>
            </w:r>
            <w:r>
              <w:rPr>
                <w:webHidden/>
              </w:rPr>
            </w:r>
            <w:r>
              <w:rPr>
                <w:webHidden/>
              </w:rPr>
              <w:fldChar w:fldCharType="separate"/>
            </w:r>
            <w:r>
              <w:rPr>
                <w:webHidden/>
              </w:rPr>
              <w:t>4</w:t>
            </w:r>
            <w:r>
              <w:rPr>
                <w:webHidden/>
              </w:rPr>
              <w:fldChar w:fldCharType="end"/>
            </w:r>
          </w:hyperlink>
        </w:p>
        <w:p w14:paraId="2934B950" w14:textId="19F27E79" w:rsidR="00B430EE" w:rsidRDefault="00B430EE">
          <w:pPr>
            <w:pStyle w:val="TOC2"/>
            <w:rPr>
              <w:rFonts w:asciiTheme="minorHAnsi" w:hAnsiTheme="minorHAnsi"/>
              <w:color w:val="auto"/>
              <w:kern w:val="2"/>
              <w:lang w:val="en-AU" w:eastAsia="en-AU"/>
              <w14:ligatures w14:val="standardContextual"/>
            </w:rPr>
          </w:pPr>
          <w:hyperlink w:anchor="_Toc223446753" w:history="1">
            <w:r w:rsidRPr="008144F2">
              <w:rPr>
                <w:rStyle w:val="Hyperlink"/>
              </w:rPr>
              <w:t>Recommendations</w:t>
            </w:r>
            <w:r>
              <w:rPr>
                <w:webHidden/>
              </w:rPr>
              <w:tab/>
            </w:r>
            <w:r>
              <w:rPr>
                <w:webHidden/>
              </w:rPr>
              <w:fldChar w:fldCharType="begin"/>
            </w:r>
            <w:r>
              <w:rPr>
                <w:webHidden/>
              </w:rPr>
              <w:instrText xml:space="preserve"> PAGEREF _Toc223446753 \h </w:instrText>
            </w:r>
            <w:r>
              <w:rPr>
                <w:webHidden/>
              </w:rPr>
            </w:r>
            <w:r>
              <w:rPr>
                <w:webHidden/>
              </w:rPr>
              <w:fldChar w:fldCharType="separate"/>
            </w:r>
            <w:r>
              <w:rPr>
                <w:webHidden/>
              </w:rPr>
              <w:t>4</w:t>
            </w:r>
            <w:r>
              <w:rPr>
                <w:webHidden/>
              </w:rPr>
              <w:fldChar w:fldCharType="end"/>
            </w:r>
          </w:hyperlink>
        </w:p>
        <w:p w14:paraId="66B5FFE9" w14:textId="713A246A" w:rsidR="00B430EE" w:rsidRDefault="00B430EE">
          <w:pPr>
            <w:pStyle w:val="TOC1"/>
            <w:rPr>
              <w:rFonts w:asciiTheme="minorHAnsi" w:hAnsiTheme="minorHAnsi"/>
              <w:b w:val="0"/>
              <w:color w:val="auto"/>
              <w:kern w:val="2"/>
              <w:lang w:eastAsia="en-AU"/>
              <w14:ligatures w14:val="standardContextual"/>
            </w:rPr>
          </w:pPr>
          <w:hyperlink w:anchor="_Toc223446754" w:history="1">
            <w:r w:rsidRPr="008144F2">
              <w:rPr>
                <w:rStyle w:val="Hyperlink"/>
              </w:rPr>
              <w:t>1</w:t>
            </w:r>
            <w:r>
              <w:rPr>
                <w:rFonts w:asciiTheme="minorHAnsi" w:hAnsiTheme="minorHAnsi"/>
                <w:b w:val="0"/>
                <w:color w:val="auto"/>
                <w:kern w:val="2"/>
                <w:lang w:eastAsia="en-AU"/>
                <w14:ligatures w14:val="standardContextual"/>
              </w:rPr>
              <w:tab/>
            </w:r>
            <w:r w:rsidRPr="008144F2">
              <w:rPr>
                <w:rStyle w:val="Hyperlink"/>
              </w:rPr>
              <w:t>Supported decision-making</w:t>
            </w:r>
            <w:r>
              <w:rPr>
                <w:webHidden/>
              </w:rPr>
              <w:tab/>
            </w:r>
            <w:r>
              <w:rPr>
                <w:webHidden/>
              </w:rPr>
              <w:fldChar w:fldCharType="begin"/>
            </w:r>
            <w:r>
              <w:rPr>
                <w:webHidden/>
              </w:rPr>
              <w:instrText xml:space="preserve"> PAGEREF _Toc223446754 \h </w:instrText>
            </w:r>
            <w:r>
              <w:rPr>
                <w:webHidden/>
              </w:rPr>
            </w:r>
            <w:r>
              <w:rPr>
                <w:webHidden/>
              </w:rPr>
              <w:fldChar w:fldCharType="separate"/>
            </w:r>
            <w:r>
              <w:rPr>
                <w:webHidden/>
              </w:rPr>
              <w:t>6</w:t>
            </w:r>
            <w:r>
              <w:rPr>
                <w:webHidden/>
              </w:rPr>
              <w:fldChar w:fldCharType="end"/>
            </w:r>
          </w:hyperlink>
        </w:p>
        <w:p w14:paraId="6F278348" w14:textId="6E668AAF" w:rsidR="00B430EE" w:rsidRDefault="00B430EE">
          <w:pPr>
            <w:pStyle w:val="TOC2"/>
            <w:rPr>
              <w:rFonts w:asciiTheme="minorHAnsi" w:hAnsiTheme="minorHAnsi"/>
              <w:color w:val="auto"/>
              <w:kern w:val="2"/>
              <w:lang w:val="en-AU" w:eastAsia="en-AU"/>
              <w14:ligatures w14:val="standardContextual"/>
            </w:rPr>
          </w:pPr>
          <w:hyperlink w:anchor="_Toc223446755" w:history="1">
            <w:r w:rsidRPr="008144F2">
              <w:rPr>
                <w:rStyle w:val="Hyperlink"/>
              </w:rPr>
              <w:t>Role and functions of the Ageing and Disability Commission</w:t>
            </w:r>
            <w:r>
              <w:rPr>
                <w:webHidden/>
              </w:rPr>
              <w:tab/>
            </w:r>
            <w:r>
              <w:rPr>
                <w:webHidden/>
              </w:rPr>
              <w:fldChar w:fldCharType="begin"/>
            </w:r>
            <w:r>
              <w:rPr>
                <w:webHidden/>
              </w:rPr>
              <w:instrText xml:space="preserve"> PAGEREF _Toc223446755 \h </w:instrText>
            </w:r>
            <w:r>
              <w:rPr>
                <w:webHidden/>
              </w:rPr>
            </w:r>
            <w:r>
              <w:rPr>
                <w:webHidden/>
              </w:rPr>
              <w:fldChar w:fldCharType="separate"/>
            </w:r>
            <w:r>
              <w:rPr>
                <w:webHidden/>
              </w:rPr>
              <w:t>7</w:t>
            </w:r>
            <w:r>
              <w:rPr>
                <w:webHidden/>
              </w:rPr>
              <w:fldChar w:fldCharType="end"/>
            </w:r>
          </w:hyperlink>
        </w:p>
        <w:p w14:paraId="59E441BD" w14:textId="234D52BB" w:rsidR="00B430EE" w:rsidRDefault="00B430EE">
          <w:pPr>
            <w:pStyle w:val="TOC2"/>
            <w:rPr>
              <w:rFonts w:asciiTheme="minorHAnsi" w:hAnsiTheme="minorHAnsi"/>
              <w:color w:val="auto"/>
              <w:kern w:val="2"/>
              <w:lang w:val="en-AU" w:eastAsia="en-AU"/>
              <w14:ligatures w14:val="standardContextual"/>
            </w:rPr>
          </w:pPr>
          <w:hyperlink w:anchor="_Toc223446756" w:history="1">
            <w:r w:rsidRPr="008144F2">
              <w:rPr>
                <w:rStyle w:val="Hyperlink"/>
              </w:rPr>
              <w:t>Experiences of people seeking decision-making support</w:t>
            </w:r>
            <w:r>
              <w:rPr>
                <w:webHidden/>
              </w:rPr>
              <w:tab/>
            </w:r>
            <w:r>
              <w:rPr>
                <w:webHidden/>
              </w:rPr>
              <w:fldChar w:fldCharType="begin"/>
            </w:r>
            <w:r>
              <w:rPr>
                <w:webHidden/>
              </w:rPr>
              <w:instrText xml:space="preserve"> PAGEREF _Toc223446756 \h </w:instrText>
            </w:r>
            <w:r>
              <w:rPr>
                <w:webHidden/>
              </w:rPr>
            </w:r>
            <w:r>
              <w:rPr>
                <w:webHidden/>
              </w:rPr>
              <w:fldChar w:fldCharType="separate"/>
            </w:r>
            <w:r>
              <w:rPr>
                <w:webHidden/>
              </w:rPr>
              <w:t>7</w:t>
            </w:r>
            <w:r>
              <w:rPr>
                <w:webHidden/>
              </w:rPr>
              <w:fldChar w:fldCharType="end"/>
            </w:r>
          </w:hyperlink>
        </w:p>
        <w:p w14:paraId="24BACEBF" w14:textId="7FCB22BE" w:rsidR="00B430EE" w:rsidRDefault="00B430EE">
          <w:pPr>
            <w:pStyle w:val="TOC2"/>
            <w:rPr>
              <w:rFonts w:asciiTheme="minorHAnsi" w:hAnsiTheme="minorHAnsi"/>
              <w:color w:val="auto"/>
              <w:kern w:val="2"/>
              <w:lang w:val="en-AU" w:eastAsia="en-AU"/>
              <w14:ligatures w14:val="standardContextual"/>
            </w:rPr>
          </w:pPr>
          <w:hyperlink w:anchor="_Toc223446757" w:history="1">
            <w:r w:rsidRPr="008144F2">
              <w:rPr>
                <w:rStyle w:val="Hyperlink"/>
              </w:rPr>
              <w:t>Supported decision-making in NSW</w:t>
            </w:r>
            <w:r>
              <w:rPr>
                <w:webHidden/>
              </w:rPr>
              <w:tab/>
            </w:r>
            <w:r>
              <w:rPr>
                <w:webHidden/>
              </w:rPr>
              <w:fldChar w:fldCharType="begin"/>
            </w:r>
            <w:r>
              <w:rPr>
                <w:webHidden/>
              </w:rPr>
              <w:instrText xml:space="preserve"> PAGEREF _Toc223446757 \h </w:instrText>
            </w:r>
            <w:r>
              <w:rPr>
                <w:webHidden/>
              </w:rPr>
            </w:r>
            <w:r>
              <w:rPr>
                <w:webHidden/>
              </w:rPr>
              <w:fldChar w:fldCharType="separate"/>
            </w:r>
            <w:r>
              <w:rPr>
                <w:webHidden/>
              </w:rPr>
              <w:t>8</w:t>
            </w:r>
            <w:r>
              <w:rPr>
                <w:webHidden/>
              </w:rPr>
              <w:fldChar w:fldCharType="end"/>
            </w:r>
          </w:hyperlink>
        </w:p>
        <w:p w14:paraId="2D9A3C1F" w14:textId="4F40D7F8" w:rsidR="00B430EE" w:rsidRDefault="00B430EE">
          <w:pPr>
            <w:pStyle w:val="TOC2"/>
            <w:rPr>
              <w:rFonts w:asciiTheme="minorHAnsi" w:hAnsiTheme="minorHAnsi"/>
              <w:color w:val="auto"/>
              <w:kern w:val="2"/>
              <w:lang w:val="en-AU" w:eastAsia="en-AU"/>
              <w14:ligatures w14:val="standardContextual"/>
            </w:rPr>
          </w:pPr>
          <w:hyperlink w:anchor="_Toc223446758" w:history="1">
            <w:r w:rsidRPr="008144F2">
              <w:rPr>
                <w:rStyle w:val="Hyperlink"/>
              </w:rPr>
              <w:t>Barriers to implementation across systems</w:t>
            </w:r>
            <w:r>
              <w:rPr>
                <w:webHidden/>
              </w:rPr>
              <w:tab/>
            </w:r>
            <w:r>
              <w:rPr>
                <w:webHidden/>
              </w:rPr>
              <w:fldChar w:fldCharType="begin"/>
            </w:r>
            <w:r>
              <w:rPr>
                <w:webHidden/>
              </w:rPr>
              <w:instrText xml:space="preserve"> PAGEREF _Toc223446758 \h </w:instrText>
            </w:r>
            <w:r>
              <w:rPr>
                <w:webHidden/>
              </w:rPr>
            </w:r>
            <w:r>
              <w:rPr>
                <w:webHidden/>
              </w:rPr>
              <w:fldChar w:fldCharType="separate"/>
            </w:r>
            <w:r>
              <w:rPr>
                <w:webHidden/>
              </w:rPr>
              <w:t>8</w:t>
            </w:r>
            <w:r>
              <w:rPr>
                <w:webHidden/>
              </w:rPr>
              <w:fldChar w:fldCharType="end"/>
            </w:r>
          </w:hyperlink>
        </w:p>
        <w:p w14:paraId="110136B9" w14:textId="6C6E519A" w:rsidR="00B430EE" w:rsidRDefault="00B430EE">
          <w:pPr>
            <w:pStyle w:val="TOC1"/>
            <w:rPr>
              <w:rFonts w:asciiTheme="minorHAnsi" w:hAnsiTheme="minorHAnsi"/>
              <w:b w:val="0"/>
              <w:color w:val="auto"/>
              <w:kern w:val="2"/>
              <w:lang w:eastAsia="en-AU"/>
              <w14:ligatures w14:val="standardContextual"/>
            </w:rPr>
          </w:pPr>
          <w:hyperlink w:anchor="_Toc223446759" w:history="1">
            <w:r w:rsidRPr="008144F2">
              <w:rPr>
                <w:rStyle w:val="Hyperlink"/>
              </w:rPr>
              <w:t>2</w:t>
            </w:r>
            <w:r>
              <w:rPr>
                <w:rFonts w:asciiTheme="minorHAnsi" w:hAnsiTheme="minorHAnsi"/>
                <w:b w:val="0"/>
                <w:color w:val="auto"/>
                <w:kern w:val="2"/>
                <w:lang w:eastAsia="en-AU"/>
                <w14:ligatures w14:val="standardContextual"/>
              </w:rPr>
              <w:tab/>
            </w:r>
            <w:r w:rsidRPr="008144F2">
              <w:rPr>
                <w:rStyle w:val="Hyperlink"/>
              </w:rPr>
              <w:t>Embedding supported decision-making in NSW systems</w:t>
            </w:r>
            <w:r>
              <w:rPr>
                <w:webHidden/>
              </w:rPr>
              <w:tab/>
            </w:r>
            <w:r>
              <w:rPr>
                <w:webHidden/>
              </w:rPr>
              <w:fldChar w:fldCharType="begin"/>
            </w:r>
            <w:r>
              <w:rPr>
                <w:webHidden/>
              </w:rPr>
              <w:instrText xml:space="preserve"> PAGEREF _Toc223446759 \h </w:instrText>
            </w:r>
            <w:r>
              <w:rPr>
                <w:webHidden/>
              </w:rPr>
            </w:r>
            <w:r>
              <w:rPr>
                <w:webHidden/>
              </w:rPr>
              <w:fldChar w:fldCharType="separate"/>
            </w:r>
            <w:r>
              <w:rPr>
                <w:webHidden/>
              </w:rPr>
              <w:t>10</w:t>
            </w:r>
            <w:r>
              <w:rPr>
                <w:webHidden/>
              </w:rPr>
              <w:fldChar w:fldCharType="end"/>
            </w:r>
          </w:hyperlink>
        </w:p>
        <w:p w14:paraId="769D194A" w14:textId="556B024E" w:rsidR="00B430EE" w:rsidRDefault="00B430EE">
          <w:pPr>
            <w:pStyle w:val="TOC2"/>
            <w:rPr>
              <w:rFonts w:asciiTheme="minorHAnsi" w:hAnsiTheme="minorHAnsi"/>
              <w:color w:val="auto"/>
              <w:kern w:val="2"/>
              <w:lang w:val="en-AU" w:eastAsia="en-AU"/>
              <w14:ligatures w14:val="standardContextual"/>
            </w:rPr>
          </w:pPr>
          <w:hyperlink w:anchor="_Toc223446760" w:history="1">
            <w:r w:rsidRPr="008144F2">
              <w:rPr>
                <w:rStyle w:val="Hyperlink"/>
              </w:rPr>
              <w:t>Changes to the Ageing and Disability Commission’s functions or Act</w:t>
            </w:r>
            <w:r>
              <w:rPr>
                <w:webHidden/>
              </w:rPr>
              <w:tab/>
            </w:r>
            <w:r>
              <w:rPr>
                <w:webHidden/>
              </w:rPr>
              <w:fldChar w:fldCharType="begin"/>
            </w:r>
            <w:r>
              <w:rPr>
                <w:webHidden/>
              </w:rPr>
              <w:instrText xml:space="preserve"> PAGEREF _Toc223446760 \h </w:instrText>
            </w:r>
            <w:r>
              <w:rPr>
                <w:webHidden/>
              </w:rPr>
            </w:r>
            <w:r>
              <w:rPr>
                <w:webHidden/>
              </w:rPr>
              <w:fldChar w:fldCharType="separate"/>
            </w:r>
            <w:r>
              <w:rPr>
                <w:webHidden/>
              </w:rPr>
              <w:t>10</w:t>
            </w:r>
            <w:r>
              <w:rPr>
                <w:webHidden/>
              </w:rPr>
              <w:fldChar w:fldCharType="end"/>
            </w:r>
          </w:hyperlink>
        </w:p>
        <w:p w14:paraId="03E03408" w14:textId="2B45327D" w:rsidR="00B430EE" w:rsidRDefault="00B430EE">
          <w:pPr>
            <w:pStyle w:val="TOC2"/>
            <w:rPr>
              <w:rFonts w:asciiTheme="minorHAnsi" w:hAnsiTheme="minorHAnsi"/>
              <w:color w:val="auto"/>
              <w:kern w:val="2"/>
              <w:lang w:val="en-AU" w:eastAsia="en-AU"/>
              <w14:ligatures w14:val="standardContextual"/>
            </w:rPr>
          </w:pPr>
          <w:hyperlink w:anchor="_Toc223446761" w:history="1">
            <w:r w:rsidRPr="008144F2">
              <w:rPr>
                <w:rStyle w:val="Hyperlink"/>
              </w:rPr>
              <w:t>Appropriate and limited use of substitute decision-making</w:t>
            </w:r>
            <w:r>
              <w:rPr>
                <w:webHidden/>
              </w:rPr>
              <w:tab/>
            </w:r>
            <w:r>
              <w:rPr>
                <w:webHidden/>
              </w:rPr>
              <w:fldChar w:fldCharType="begin"/>
            </w:r>
            <w:r>
              <w:rPr>
                <w:webHidden/>
              </w:rPr>
              <w:instrText xml:space="preserve"> PAGEREF _Toc223446761 \h </w:instrText>
            </w:r>
            <w:r>
              <w:rPr>
                <w:webHidden/>
              </w:rPr>
            </w:r>
            <w:r>
              <w:rPr>
                <w:webHidden/>
              </w:rPr>
              <w:fldChar w:fldCharType="separate"/>
            </w:r>
            <w:r>
              <w:rPr>
                <w:webHidden/>
              </w:rPr>
              <w:t>12</w:t>
            </w:r>
            <w:r>
              <w:rPr>
                <w:webHidden/>
              </w:rPr>
              <w:fldChar w:fldCharType="end"/>
            </w:r>
          </w:hyperlink>
        </w:p>
        <w:p w14:paraId="4B38CC08" w14:textId="0208B625" w:rsidR="00B430EE" w:rsidRDefault="00B430EE">
          <w:pPr>
            <w:pStyle w:val="TOC2"/>
            <w:rPr>
              <w:rFonts w:asciiTheme="minorHAnsi" w:hAnsiTheme="minorHAnsi"/>
              <w:color w:val="auto"/>
              <w:kern w:val="2"/>
              <w:lang w:val="en-AU" w:eastAsia="en-AU"/>
              <w14:ligatures w14:val="standardContextual"/>
            </w:rPr>
          </w:pPr>
          <w:hyperlink w:anchor="_Toc223446762" w:history="1">
            <w:r w:rsidRPr="008144F2">
              <w:rPr>
                <w:rStyle w:val="Hyperlink"/>
              </w:rPr>
              <w:t>Other related matters</w:t>
            </w:r>
            <w:r>
              <w:rPr>
                <w:webHidden/>
              </w:rPr>
              <w:tab/>
            </w:r>
            <w:r>
              <w:rPr>
                <w:webHidden/>
              </w:rPr>
              <w:fldChar w:fldCharType="begin"/>
            </w:r>
            <w:r>
              <w:rPr>
                <w:webHidden/>
              </w:rPr>
              <w:instrText xml:space="preserve"> PAGEREF _Toc223446762 \h </w:instrText>
            </w:r>
            <w:r>
              <w:rPr>
                <w:webHidden/>
              </w:rPr>
            </w:r>
            <w:r>
              <w:rPr>
                <w:webHidden/>
              </w:rPr>
              <w:fldChar w:fldCharType="separate"/>
            </w:r>
            <w:r>
              <w:rPr>
                <w:webHidden/>
              </w:rPr>
              <w:t>13</w:t>
            </w:r>
            <w:r>
              <w:rPr>
                <w:webHidden/>
              </w:rPr>
              <w:fldChar w:fldCharType="end"/>
            </w:r>
          </w:hyperlink>
        </w:p>
        <w:p w14:paraId="5CF8206D" w14:textId="743437D5" w:rsidR="00B430EE" w:rsidRDefault="00B430EE">
          <w:pPr>
            <w:pStyle w:val="TOC1"/>
            <w:rPr>
              <w:rFonts w:asciiTheme="minorHAnsi" w:hAnsiTheme="minorHAnsi"/>
              <w:b w:val="0"/>
              <w:color w:val="auto"/>
              <w:kern w:val="2"/>
              <w:lang w:eastAsia="en-AU"/>
              <w14:ligatures w14:val="standardContextual"/>
            </w:rPr>
          </w:pPr>
          <w:hyperlink w:anchor="_Toc223446763" w:history="1">
            <w:r w:rsidRPr="008144F2">
              <w:rPr>
                <w:rStyle w:val="Hyperlink"/>
              </w:rPr>
              <w:t>Endnotes</w:t>
            </w:r>
            <w:r>
              <w:rPr>
                <w:webHidden/>
              </w:rPr>
              <w:tab/>
            </w:r>
            <w:r>
              <w:rPr>
                <w:webHidden/>
              </w:rPr>
              <w:fldChar w:fldCharType="begin"/>
            </w:r>
            <w:r>
              <w:rPr>
                <w:webHidden/>
              </w:rPr>
              <w:instrText xml:space="preserve"> PAGEREF _Toc223446763 \h </w:instrText>
            </w:r>
            <w:r>
              <w:rPr>
                <w:webHidden/>
              </w:rPr>
            </w:r>
            <w:r>
              <w:rPr>
                <w:webHidden/>
              </w:rPr>
              <w:fldChar w:fldCharType="separate"/>
            </w:r>
            <w:r>
              <w:rPr>
                <w:webHidden/>
              </w:rPr>
              <w:t>14</w:t>
            </w:r>
            <w:r>
              <w:rPr>
                <w:webHidden/>
              </w:rPr>
              <w:fldChar w:fldCharType="end"/>
            </w:r>
          </w:hyperlink>
        </w:p>
        <w:p w14:paraId="46500BF7" w14:textId="3600E76A" w:rsidR="00AA0C6A" w:rsidRPr="004C0B7E" w:rsidRDefault="0069742B" w:rsidP="00C214AA">
          <w:pPr>
            <w:pStyle w:val="TOC1"/>
          </w:pPr>
          <w:r>
            <w:rPr>
              <w:b w:val="0"/>
              <w:sz w:val="22"/>
            </w:rPr>
            <w:fldChar w:fldCharType="end"/>
          </w:r>
        </w:p>
      </w:sdtContent>
    </w:sdt>
    <w:p w14:paraId="07E7CB57" w14:textId="77777777" w:rsidR="00FE19D1" w:rsidRPr="00893A0F" w:rsidRDefault="00A11470" w:rsidP="00C214AA">
      <w:pPr>
        <w:pStyle w:val="Frontmatter"/>
      </w:pPr>
      <w:r w:rsidRPr="00893A0F">
        <w:t>Australian Human Rights Commission</w:t>
      </w:r>
      <w:r w:rsidR="00FE19D1" w:rsidRPr="00893A0F">
        <w:t xml:space="preserve"> </w:t>
      </w:r>
      <w:hyperlink r:id="rId16" w:history="1">
        <w:r w:rsidR="00FE19D1" w:rsidRPr="00893A0F">
          <w:rPr>
            <w:rStyle w:val="Hyperlink"/>
            <w:sz w:val="22"/>
          </w:rPr>
          <w:t>www.humanrights.gov.au</w:t>
        </w:r>
      </w:hyperlink>
      <w:r w:rsidR="00FE19D1" w:rsidRPr="00893A0F">
        <w:t xml:space="preserve"> </w:t>
      </w:r>
    </w:p>
    <w:p w14:paraId="62707C74" w14:textId="77777777" w:rsidR="00FF6AEC" w:rsidRPr="00893A0F" w:rsidRDefault="00A11470" w:rsidP="00C214AA">
      <w:pPr>
        <w:pStyle w:val="Frontmatter"/>
      </w:pPr>
      <w:r w:rsidRPr="00893A0F">
        <w:t>ABN</w:t>
      </w:r>
      <w:r w:rsidR="00D81BD3" w:rsidRPr="00893A0F">
        <w:t xml:space="preserve"> 47 996 232 602</w:t>
      </w:r>
    </w:p>
    <w:p w14:paraId="106362A8" w14:textId="77777777" w:rsidR="00601842" w:rsidRPr="00893A0F" w:rsidRDefault="00D81BD3" w:rsidP="00C214AA">
      <w:pPr>
        <w:pStyle w:val="Frontmatter"/>
      </w:pPr>
      <w:r w:rsidRPr="00893A0F">
        <w:t xml:space="preserve">Level 3, 175 </w:t>
      </w:r>
      <w:r w:rsidR="00601842" w:rsidRPr="00893A0F">
        <w:t>Pitt Street, Sydney NSW 2000</w:t>
      </w:r>
      <w:r w:rsidR="00601842" w:rsidRPr="00893A0F">
        <w:br/>
        <w:t>GPO Box 5218 Sydney NSW 2001</w:t>
      </w:r>
    </w:p>
    <w:p w14:paraId="4FCC8BD1" w14:textId="77777777" w:rsidR="009E6F98" w:rsidRPr="00893A0F" w:rsidRDefault="00FF6AEC" w:rsidP="00C214AA">
      <w:pPr>
        <w:pStyle w:val="Frontmatter"/>
      </w:pPr>
      <w:r w:rsidRPr="00893A0F">
        <w:t>For general enquiries, call us on 1300 369 711.</w:t>
      </w:r>
      <w:r w:rsidR="009E6F98" w:rsidRPr="00893A0F">
        <w:br/>
      </w:r>
      <w:r w:rsidRPr="00893A0F">
        <w:t>For complaints, call us on 1300 656 419</w:t>
      </w:r>
      <w:r w:rsidR="009E6F98" w:rsidRPr="00893A0F">
        <w:t>.</w:t>
      </w:r>
      <w:r w:rsidR="00FA2B1D" w:rsidRPr="00893A0F">
        <w:br/>
      </w:r>
      <w:r w:rsidR="009E6F98" w:rsidRPr="00893A0F">
        <w:t xml:space="preserve">For TTY, call </w:t>
      </w:r>
      <w:r w:rsidR="006F384B" w:rsidRPr="00893A0F">
        <w:t>1800 620 241.</w:t>
      </w:r>
    </w:p>
    <w:p w14:paraId="751CA105" w14:textId="77777777" w:rsidR="00A11470" w:rsidRPr="00FD0E91" w:rsidRDefault="00A11470" w:rsidP="00C214AA">
      <w:pPr>
        <w:pStyle w:val="Frontmatter"/>
      </w:pPr>
    </w:p>
    <w:p w14:paraId="665A43AF" w14:textId="77777777" w:rsidR="006842BC" w:rsidRDefault="006842BC" w:rsidP="00295318">
      <w:pPr>
        <w:pStyle w:val="Frontmatter"/>
      </w:pPr>
    </w:p>
    <w:p w14:paraId="2FE38EFB" w14:textId="77777777" w:rsidR="006842BC" w:rsidRDefault="006842BC">
      <w:pPr>
        <w:numPr>
          <w:ilvl w:val="0"/>
          <w:numId w:val="0"/>
        </w:numPr>
        <w:spacing w:before="0" w:after="160" w:line="278" w:lineRule="auto"/>
        <w:rPr>
          <w:szCs w:val="22"/>
        </w:rPr>
      </w:pPr>
      <w:r>
        <w:br w:type="page"/>
      </w:r>
    </w:p>
    <w:p w14:paraId="47F0F712" w14:textId="77777777" w:rsidR="006842BC" w:rsidRDefault="006842BC" w:rsidP="006842BC">
      <w:pPr>
        <w:pStyle w:val="Heading3"/>
      </w:pPr>
    </w:p>
    <w:p w14:paraId="024336C0" w14:textId="77777777" w:rsidR="006842BC" w:rsidRDefault="006842BC" w:rsidP="006842BC">
      <w:pPr>
        <w:pStyle w:val="Heading3"/>
      </w:pPr>
    </w:p>
    <w:p w14:paraId="6798029E" w14:textId="77777777" w:rsidR="006842BC" w:rsidRPr="00365FFF" w:rsidRDefault="006842BC" w:rsidP="006842BC">
      <w:pPr>
        <w:pStyle w:val="Heading3"/>
      </w:pPr>
      <w:r w:rsidRPr="00365FFF">
        <w:t>About the Australian Human Rights Commission</w:t>
      </w:r>
    </w:p>
    <w:p w14:paraId="4DA9614F" w14:textId="77777777" w:rsidR="000B6461" w:rsidRDefault="000B6461" w:rsidP="006842BC">
      <w:pPr>
        <w:pStyle w:val="Frontmatter"/>
      </w:pPr>
      <w:r w:rsidRPr="000B6461">
        <w:t>Our vision for Australia is one where everyone can live free and equal in dignity and rights as part of a strong, healthy democratic society.</w:t>
      </w:r>
    </w:p>
    <w:p w14:paraId="7606F27B" w14:textId="77777777" w:rsidR="006842BC" w:rsidRPr="002D7DA0" w:rsidRDefault="00F347EC" w:rsidP="006842BC">
      <w:pPr>
        <w:pStyle w:val="Frontmatter"/>
      </w:pPr>
      <w:r>
        <w:t>We have</w:t>
      </w:r>
      <w:r w:rsidR="006842BC" w:rsidRPr="002D7DA0">
        <w:t xml:space="preserve"> </w:t>
      </w:r>
      <w:r w:rsidR="000B6461">
        <w:t>4 core</w:t>
      </w:r>
      <w:r w:rsidR="006842BC" w:rsidRPr="002D7DA0">
        <w:t xml:space="preserve"> functions</w:t>
      </w:r>
      <w:r w:rsidR="000B6461">
        <w:t xml:space="preserve"> under our legislation</w:t>
      </w:r>
      <w:r w:rsidR="006842BC" w:rsidRPr="002D7DA0">
        <w:t>:</w:t>
      </w:r>
    </w:p>
    <w:p w14:paraId="03915046" w14:textId="77777777" w:rsidR="006842BC" w:rsidRPr="002D7DA0" w:rsidRDefault="006842BC" w:rsidP="005F243E">
      <w:pPr>
        <w:pStyle w:val="Frontmatter"/>
        <w:ind w:left="720" w:hanging="720"/>
      </w:pPr>
      <w:r w:rsidRPr="002D7DA0">
        <w:t>•</w:t>
      </w:r>
      <w:r w:rsidRPr="002D7DA0">
        <w:tab/>
        <w:t>Access to justice: We help people to resolve complaints of discrimination and human rights</w:t>
      </w:r>
      <w:r w:rsidR="00E11EA5">
        <w:t xml:space="preserve"> breaches</w:t>
      </w:r>
      <w:r w:rsidR="000B6461">
        <w:t xml:space="preserve"> through our complaint handling services</w:t>
      </w:r>
      <w:r w:rsidRPr="002D7DA0">
        <w:t>.</w:t>
      </w:r>
    </w:p>
    <w:p w14:paraId="78C13D02" w14:textId="77777777" w:rsidR="006842BC" w:rsidRPr="002D7DA0" w:rsidRDefault="006842BC" w:rsidP="005F243E">
      <w:pPr>
        <w:pStyle w:val="Frontmatter"/>
        <w:ind w:left="720" w:hanging="720"/>
      </w:pPr>
      <w:r w:rsidRPr="002D7DA0">
        <w:t>•</w:t>
      </w:r>
      <w:r w:rsidRPr="002D7DA0">
        <w:tab/>
        <w:t>Fairer laws, policies and practices: We review existing and proposed laws, policies and practices and provide expert advice on how they can better protect people’s human rights. We help organisations to protect human rights in their work. We publish reports on human rights problems and how to fix them.</w:t>
      </w:r>
    </w:p>
    <w:p w14:paraId="284E5CAE" w14:textId="77777777" w:rsidR="006842BC" w:rsidRPr="002D7DA0" w:rsidRDefault="006842BC" w:rsidP="005F243E">
      <w:pPr>
        <w:pStyle w:val="Frontmatter"/>
        <w:ind w:left="720" w:hanging="720"/>
      </w:pPr>
      <w:r w:rsidRPr="002D7DA0">
        <w:t>•</w:t>
      </w:r>
      <w:r w:rsidRPr="002D7DA0">
        <w:tab/>
        <w:t xml:space="preserve">Education and understanding: We </w:t>
      </w:r>
      <w:r>
        <w:t>promote</w:t>
      </w:r>
      <w:r w:rsidRPr="002D7DA0">
        <w:t xml:space="preserve"> understanding, acceptance and public discussion of human rights. We deliver workplace and community human rights education and training.</w:t>
      </w:r>
    </w:p>
    <w:p w14:paraId="614648DD" w14:textId="77777777" w:rsidR="006842BC" w:rsidRPr="002D7DA0" w:rsidRDefault="006842BC" w:rsidP="005F243E">
      <w:pPr>
        <w:pStyle w:val="Frontmatter"/>
        <w:ind w:left="720" w:hanging="720"/>
      </w:pPr>
      <w:r w:rsidRPr="002D7DA0">
        <w:t>•</w:t>
      </w:r>
      <w:r w:rsidRPr="002D7DA0">
        <w:tab/>
        <w:t>Compliance: We are the regulator for positive duty laws requiring employers and others to address sexual harassment, sex discrimination and other unlawful conduct.</w:t>
      </w:r>
    </w:p>
    <w:p w14:paraId="60663554" w14:textId="77777777" w:rsidR="006842BC" w:rsidRDefault="006842BC" w:rsidP="006842BC">
      <w:pPr>
        <w:pStyle w:val="Frontmatter"/>
      </w:pPr>
    </w:p>
    <w:p w14:paraId="4C18B8B2" w14:textId="77777777" w:rsidR="006842BC" w:rsidRDefault="006842BC" w:rsidP="006842BC">
      <w:pPr>
        <w:pStyle w:val="Frontmatter"/>
      </w:pPr>
    </w:p>
    <w:p w14:paraId="6B72750E" w14:textId="77777777" w:rsidR="006842BC" w:rsidRPr="00893A0F" w:rsidRDefault="006842BC" w:rsidP="006842BC">
      <w:pPr>
        <w:pStyle w:val="Frontmatter"/>
      </w:pPr>
      <w:r w:rsidRPr="00893A0F">
        <w:t xml:space="preserve">Australian Human Rights Commission </w:t>
      </w:r>
      <w:hyperlink r:id="rId17" w:history="1">
        <w:r w:rsidRPr="00893A0F">
          <w:rPr>
            <w:rStyle w:val="Hyperlink"/>
            <w:sz w:val="22"/>
          </w:rPr>
          <w:t>www.humanrights.gov.au</w:t>
        </w:r>
      </w:hyperlink>
      <w:r w:rsidRPr="00893A0F">
        <w:t xml:space="preserve"> </w:t>
      </w:r>
    </w:p>
    <w:p w14:paraId="2101859C" w14:textId="77777777" w:rsidR="006842BC" w:rsidRPr="00893A0F" w:rsidRDefault="006842BC" w:rsidP="006842BC">
      <w:pPr>
        <w:pStyle w:val="Frontmatter"/>
      </w:pPr>
      <w:r w:rsidRPr="00893A0F">
        <w:t>ABN 47 996 232 602</w:t>
      </w:r>
    </w:p>
    <w:p w14:paraId="526F7E53" w14:textId="77777777" w:rsidR="006842BC" w:rsidRPr="00893A0F" w:rsidRDefault="006842BC" w:rsidP="006842BC">
      <w:pPr>
        <w:pStyle w:val="Frontmatter"/>
      </w:pPr>
      <w:r w:rsidRPr="00893A0F">
        <w:t>GPO Box 5218 Sydney NSW 2001</w:t>
      </w:r>
    </w:p>
    <w:p w14:paraId="1A4E0907" w14:textId="77777777" w:rsidR="006842BC" w:rsidRPr="00893A0F" w:rsidRDefault="006842BC" w:rsidP="006842BC">
      <w:pPr>
        <w:pStyle w:val="Frontmatter"/>
      </w:pPr>
      <w:r w:rsidRPr="00893A0F">
        <w:t>For general enquiries, call us on 1300 369 711.</w:t>
      </w:r>
      <w:r w:rsidRPr="00893A0F">
        <w:br/>
        <w:t>For complaints, call us on 1300 656 419.</w:t>
      </w:r>
      <w:r w:rsidRPr="00893A0F">
        <w:br/>
        <w:t>For TTY, call 1800 620 241.</w:t>
      </w:r>
    </w:p>
    <w:p w14:paraId="3EBD00F9" w14:textId="77777777" w:rsidR="006842BC" w:rsidRPr="00FD0E91" w:rsidRDefault="006842BC" w:rsidP="006842BC">
      <w:pPr>
        <w:pStyle w:val="Frontmatter"/>
      </w:pPr>
    </w:p>
    <w:p w14:paraId="73DB2978" w14:textId="77777777" w:rsidR="006842BC" w:rsidRDefault="006842BC" w:rsidP="00295318">
      <w:pPr>
        <w:pStyle w:val="Frontmatter"/>
      </w:pPr>
    </w:p>
    <w:p w14:paraId="39D2D8B4" w14:textId="77777777" w:rsidR="006842BC" w:rsidRDefault="006842BC">
      <w:pPr>
        <w:numPr>
          <w:ilvl w:val="0"/>
          <w:numId w:val="0"/>
        </w:numPr>
        <w:spacing w:before="0" w:after="160" w:line="278" w:lineRule="auto"/>
        <w:rPr>
          <w:szCs w:val="22"/>
        </w:rPr>
      </w:pPr>
      <w:r>
        <w:br w:type="page"/>
      </w:r>
    </w:p>
    <w:p w14:paraId="68D051D2" w14:textId="77777777" w:rsidR="00A418E2" w:rsidRPr="00FD0E91" w:rsidRDefault="00A418E2" w:rsidP="00295318">
      <w:pPr>
        <w:pStyle w:val="Frontmatter"/>
        <w:sectPr w:rsidR="00A418E2" w:rsidRPr="00FD0E91" w:rsidSect="003D23EE">
          <w:headerReference w:type="first" r:id="rId18"/>
          <w:endnotePr>
            <w:numFmt w:val="decimal"/>
          </w:endnotePr>
          <w:pgSz w:w="11906" w:h="16838" w:code="9"/>
          <w:pgMar w:top="1440" w:right="1440" w:bottom="1440" w:left="1440" w:header="720" w:footer="720" w:gutter="0"/>
          <w:cols w:space="720"/>
          <w:titlePg/>
          <w:docGrid w:linePitch="360"/>
        </w:sectPr>
      </w:pPr>
    </w:p>
    <w:bookmarkStart w:id="0" w:name="_Toc223446751" w:displacedByCustomXml="next"/>
    <w:sdt>
      <w:sdtPr>
        <w:id w:val="-1881473845"/>
        <w:placeholder>
          <w:docPart w:val="005289C0DAC444C9B6829ECE00F5D232"/>
        </w:placeholder>
        <w:dataBinding w:prefixMappings="xmlns:ns0='http://AHRCheadings.htm' " w:xpath="/ns0:headings[1]/ns0:Overview[1]" w:storeItemID="{59E40458-85DB-4B58-AD7F-ED1E21A92441}"/>
        <w:text/>
      </w:sdtPr>
      <w:sdtContent>
        <w:p w14:paraId="1ADFDCBA" w14:textId="77777777" w:rsidR="004024FD" w:rsidRPr="0036451C" w:rsidRDefault="00FF3BE7" w:rsidP="00983065">
          <w:pPr>
            <w:pStyle w:val="Heading1unnumbered"/>
          </w:pPr>
          <w:r>
            <w:t>Overview</w:t>
          </w:r>
        </w:p>
      </w:sdtContent>
    </w:sdt>
    <w:bookmarkEnd w:id="0" w:displacedByCustomXml="prev"/>
    <w:p w14:paraId="04E15D9A" w14:textId="6A420071" w:rsidR="0059131B" w:rsidRDefault="007928F7" w:rsidP="00965614">
      <w:r>
        <w:rPr>
          <w:color w:val="auto"/>
        </w:rPr>
        <w:t xml:space="preserve">Equal recognition before the law </w:t>
      </w:r>
      <w:r w:rsidR="00900BA4" w:rsidRPr="006A2E5A">
        <w:rPr>
          <w:color w:val="auto"/>
        </w:rPr>
        <w:t>is a human right that enhances autonomy, dignity and protects from harm.</w:t>
      </w:r>
      <w:r w:rsidR="00900BA4" w:rsidRPr="006A2E5A">
        <w:rPr>
          <w:rStyle w:val="EndnoteReference"/>
          <w:color w:val="auto"/>
        </w:rPr>
        <w:endnoteReference w:id="2"/>
      </w:r>
      <w:r w:rsidR="00900BA4" w:rsidRPr="006A2E5A">
        <w:rPr>
          <w:color w:val="auto"/>
        </w:rPr>
        <w:t xml:space="preserve"> </w:t>
      </w:r>
      <w:r w:rsidR="00205D0D">
        <w:rPr>
          <w:color w:val="auto"/>
        </w:rPr>
        <w:t xml:space="preserve">Supported decision-making </w:t>
      </w:r>
      <w:r w:rsidR="00F40754">
        <w:rPr>
          <w:color w:val="auto"/>
        </w:rPr>
        <w:t>is a f</w:t>
      </w:r>
      <w:r w:rsidR="00F40754" w:rsidRPr="00F40754">
        <w:rPr>
          <w:color w:val="auto"/>
        </w:rPr>
        <w:t>undamental aspect of the universal standard of legal capacity</w:t>
      </w:r>
      <w:r w:rsidR="00F40754">
        <w:rPr>
          <w:color w:val="auto"/>
        </w:rPr>
        <w:t xml:space="preserve">. </w:t>
      </w:r>
      <w:r w:rsidR="00900BA4" w:rsidRPr="006A2E5A">
        <w:rPr>
          <w:color w:val="auto"/>
        </w:rPr>
        <w:t>While</w:t>
      </w:r>
      <w:r w:rsidR="00900BA4" w:rsidRPr="002E55FA">
        <w:rPr>
          <w:color w:val="auto"/>
        </w:rPr>
        <w:t xml:space="preserve"> </w:t>
      </w:r>
      <w:r w:rsidR="00900BA4" w:rsidRPr="006A2E5A">
        <w:rPr>
          <w:color w:val="auto"/>
        </w:rPr>
        <w:t xml:space="preserve">supported decision-making practices are implicitly embedded in the NSW Ageing and Disability Commission’s work, this submission investigates the importance of clarifying and strengthening </w:t>
      </w:r>
      <w:r w:rsidR="00900BA4">
        <w:rPr>
          <w:color w:val="auto"/>
        </w:rPr>
        <w:t xml:space="preserve">the role of the </w:t>
      </w:r>
      <w:r w:rsidR="00900BA4" w:rsidRPr="00F01B39">
        <w:rPr>
          <w:color w:val="auto"/>
        </w:rPr>
        <w:t xml:space="preserve">Ageing </w:t>
      </w:r>
      <w:r w:rsidR="00FC7CF5">
        <w:rPr>
          <w:color w:val="auto"/>
        </w:rPr>
        <w:t>and</w:t>
      </w:r>
      <w:r w:rsidR="00900BA4" w:rsidRPr="00F01B39">
        <w:rPr>
          <w:color w:val="auto"/>
        </w:rPr>
        <w:t xml:space="preserve"> Disability Commission</w:t>
      </w:r>
      <w:r w:rsidR="00900BA4" w:rsidRPr="006A2E5A">
        <w:rPr>
          <w:color w:val="auto"/>
        </w:rPr>
        <w:t>.</w:t>
      </w:r>
    </w:p>
    <w:p w14:paraId="54D07F56" w14:textId="77777777" w:rsidR="00D20DC1" w:rsidRPr="00780E60" w:rsidRDefault="00084F8C" w:rsidP="00F774CB">
      <w:pPr>
        <w:pStyle w:val="Heading2"/>
      </w:pPr>
      <w:bookmarkStart w:id="1" w:name="_Toc223446752"/>
      <w:r w:rsidRPr="00780E60">
        <w:t>Introduction</w:t>
      </w:r>
      <w:bookmarkEnd w:id="1"/>
    </w:p>
    <w:p w14:paraId="3919190B" w14:textId="359A1721" w:rsidR="008319AD" w:rsidRDefault="003E54B9" w:rsidP="008319AD">
      <w:r>
        <w:rPr>
          <w:color w:val="auto"/>
        </w:rPr>
        <w:t>S</w:t>
      </w:r>
      <w:r w:rsidR="008319AD">
        <w:rPr>
          <w:color w:val="auto"/>
        </w:rPr>
        <w:t>upported decision-making</w:t>
      </w:r>
      <w:r w:rsidR="008319AD">
        <w:t xml:space="preserve"> enables people to</w:t>
      </w:r>
      <w:r w:rsidRPr="003E54B9">
        <w:t xml:space="preserve"> </w:t>
      </w:r>
      <w:r>
        <w:t>express their will and preferences and</w:t>
      </w:r>
      <w:r w:rsidR="008319AD">
        <w:t xml:space="preserve"> understand the choices that impact their lives. In NSW, </w:t>
      </w:r>
      <w:r w:rsidR="008319AD" w:rsidRPr="006A2E5A">
        <w:rPr>
          <w:color w:val="auto"/>
        </w:rPr>
        <w:t>supported decision-making</w:t>
      </w:r>
      <w:r w:rsidR="008319AD">
        <w:t xml:space="preserve"> is not yet consistently recognised or implemented, leaving many people with disability and older people without the support they need to participate in decisions about their lives. </w:t>
      </w:r>
    </w:p>
    <w:p w14:paraId="6329BF93" w14:textId="6AD35F26" w:rsidR="0076477B" w:rsidRDefault="008319AD" w:rsidP="008319AD">
      <w:r>
        <w:t xml:space="preserve">Strengthening </w:t>
      </w:r>
      <w:r>
        <w:rPr>
          <w:color w:val="auto"/>
        </w:rPr>
        <w:t>s</w:t>
      </w:r>
      <w:r w:rsidRPr="006A2E5A">
        <w:rPr>
          <w:color w:val="auto"/>
        </w:rPr>
        <w:t>upported decision-making</w:t>
      </w:r>
      <w:r>
        <w:t xml:space="preserve"> practices improves people’s ability to stay safe, engage with services, and maintain control over key decisions. </w:t>
      </w:r>
      <w:r w:rsidRPr="008B6A67">
        <w:t>It also supports more responsive service systems across disability, aged care, health and justice.</w:t>
      </w:r>
      <w:r>
        <w:t xml:space="preserve"> As other jurisdictions progress </w:t>
      </w:r>
      <w:r>
        <w:rPr>
          <w:color w:val="auto"/>
        </w:rPr>
        <w:t>s</w:t>
      </w:r>
      <w:r w:rsidRPr="006A2E5A">
        <w:rPr>
          <w:color w:val="auto"/>
        </w:rPr>
        <w:t>upported decision-making</w:t>
      </w:r>
      <w:r>
        <w:t xml:space="preserve"> reforms, NSW now has an opportunity to build on the many tools and resources available</w:t>
      </w:r>
      <w:r w:rsidR="000F7A45">
        <w:rPr>
          <w:rStyle w:val="EndnoteReference"/>
        </w:rPr>
        <w:endnoteReference w:id="3"/>
      </w:r>
      <w:r>
        <w:t xml:space="preserve"> to ensure people are empowered, not excluded, to make the decisions that shape their wellbeing.</w:t>
      </w:r>
      <w:r w:rsidR="00D321A5">
        <w:t xml:space="preserve"> </w:t>
      </w:r>
    </w:p>
    <w:p w14:paraId="53A757CC" w14:textId="77777777" w:rsidR="004024FD" w:rsidRDefault="008E6114" w:rsidP="00F774CB">
      <w:pPr>
        <w:pStyle w:val="Heading2"/>
      </w:pPr>
      <w:bookmarkStart w:id="2" w:name="_Toc223446753"/>
      <w:r w:rsidRPr="40FC4559">
        <w:t>Recommendations</w:t>
      </w:r>
      <w:bookmarkEnd w:id="2"/>
    </w:p>
    <w:p w14:paraId="55E00E71" w14:textId="17731BDC" w:rsidR="00D77273" w:rsidRPr="00D77273" w:rsidRDefault="008F6274" w:rsidP="00F64FBC">
      <w:pPr>
        <w:spacing w:after="120"/>
      </w:pPr>
      <w:r>
        <w:t xml:space="preserve">The following are the Australian Human Rights Commission’s recommendations for the </w:t>
      </w:r>
      <w:r w:rsidR="00F96098">
        <w:t>inquiry on supported decision-making in NSW.</w:t>
      </w:r>
    </w:p>
    <w:tbl>
      <w:tblPr>
        <w:tblStyle w:val="AHRCtable"/>
        <w:tblW w:w="5000" w:type="pct"/>
        <w:tblLook w:val="04A0" w:firstRow="1" w:lastRow="0" w:firstColumn="1" w:lastColumn="0" w:noHBand="0" w:noVBand="1"/>
      </w:tblPr>
      <w:tblGrid>
        <w:gridCol w:w="9026"/>
      </w:tblGrid>
      <w:tr w:rsidR="007A7B9C" w14:paraId="29A9C5BC" w14:textId="77777777" w:rsidTr="007A7B9C">
        <w:trPr>
          <w:cnfStyle w:val="100000000000" w:firstRow="1" w:lastRow="0" w:firstColumn="0" w:lastColumn="0" w:oddVBand="0" w:evenVBand="0" w:oddHBand="0" w:evenHBand="0" w:firstRowFirstColumn="0" w:firstRowLastColumn="0" w:lastRowFirstColumn="0" w:lastRowLastColumn="0"/>
        </w:trPr>
        <w:tc>
          <w:tcPr>
            <w:tcW w:w="5000" w:type="pct"/>
          </w:tcPr>
          <w:p w14:paraId="0F96DD05" w14:textId="77777777" w:rsidR="007A7B9C" w:rsidRDefault="007A7B9C" w:rsidP="00D20DC1">
            <w:pPr>
              <w:pStyle w:val="Tableheading"/>
            </w:pPr>
            <w:r>
              <w:t>Recommendation</w:t>
            </w:r>
            <w:r w:rsidR="000737E1">
              <w:t>s</w:t>
            </w:r>
          </w:p>
        </w:tc>
      </w:tr>
      <w:tr w:rsidR="00472643" w14:paraId="15B9E0FD" w14:textId="77777777" w:rsidTr="007A7B9C">
        <w:tblPrEx>
          <w:tblCellMar>
            <w:top w:w="0" w:type="dxa"/>
          </w:tblCellMar>
        </w:tblPrEx>
        <w:tc>
          <w:tcPr>
            <w:tcW w:w="5000" w:type="pct"/>
          </w:tcPr>
          <w:p w14:paraId="7832144C" w14:textId="3FF3F084" w:rsidR="00472643" w:rsidRPr="00E352A8" w:rsidRDefault="008F6274" w:rsidP="00472643">
            <w:pPr>
              <w:pStyle w:val="Tablelistnumbers"/>
            </w:pPr>
            <w:r w:rsidRPr="00F341F2">
              <w:rPr>
                <w:color w:val="auto"/>
              </w:rPr>
              <w:t xml:space="preserve">The NSW </w:t>
            </w:r>
            <w:r>
              <w:rPr>
                <w:color w:val="auto"/>
              </w:rPr>
              <w:t>G</w:t>
            </w:r>
            <w:r w:rsidRPr="00F341F2">
              <w:rPr>
                <w:color w:val="auto"/>
              </w:rPr>
              <w:t xml:space="preserve">overnment amend s12 of the </w:t>
            </w:r>
            <w:r w:rsidRPr="00F341F2">
              <w:rPr>
                <w:i/>
                <w:iCs/>
                <w:color w:val="auto"/>
              </w:rPr>
              <w:t>Ageing and Disability Commissioner A</w:t>
            </w:r>
            <w:r>
              <w:rPr>
                <w:i/>
                <w:iCs/>
                <w:color w:val="auto"/>
              </w:rPr>
              <w:t>c</w:t>
            </w:r>
            <w:r w:rsidRPr="00F341F2">
              <w:rPr>
                <w:i/>
                <w:iCs/>
                <w:color w:val="auto"/>
              </w:rPr>
              <w:t xml:space="preserve">t 2019 </w:t>
            </w:r>
            <w:r w:rsidR="004A40BE">
              <w:rPr>
                <w:color w:val="auto"/>
              </w:rPr>
              <w:t xml:space="preserve">(NSW) </w:t>
            </w:r>
            <w:r w:rsidRPr="00F341F2">
              <w:rPr>
                <w:color w:val="auto"/>
              </w:rPr>
              <w:t xml:space="preserve">to </w:t>
            </w:r>
            <w:r w:rsidR="00F86519">
              <w:rPr>
                <w:color w:val="auto"/>
              </w:rPr>
              <w:t>introduce</w:t>
            </w:r>
            <w:r w:rsidRPr="00F341F2">
              <w:rPr>
                <w:color w:val="auto"/>
              </w:rPr>
              <w:t xml:space="preserve"> a </w:t>
            </w:r>
            <w:r w:rsidR="00F86519">
              <w:rPr>
                <w:color w:val="auto"/>
              </w:rPr>
              <w:t xml:space="preserve">new </w:t>
            </w:r>
            <w:r w:rsidRPr="00F341F2">
              <w:rPr>
                <w:color w:val="auto"/>
              </w:rPr>
              <w:t xml:space="preserve">function </w:t>
            </w:r>
            <w:r w:rsidR="00F86519">
              <w:rPr>
                <w:color w:val="auto"/>
              </w:rPr>
              <w:t>of</w:t>
            </w:r>
            <w:r w:rsidRPr="00F341F2">
              <w:rPr>
                <w:color w:val="auto"/>
              </w:rPr>
              <w:t xml:space="preserve"> the</w:t>
            </w:r>
            <w:r>
              <w:rPr>
                <w:color w:val="auto"/>
              </w:rPr>
              <w:t xml:space="preserve"> Ageing and Disability </w:t>
            </w:r>
            <w:r w:rsidRPr="00F341F2">
              <w:rPr>
                <w:color w:val="auto"/>
              </w:rPr>
              <w:t>Commissioner ‘to raise awareness and educate the public about supported decision-making principles and practice as a pr</w:t>
            </w:r>
            <w:r>
              <w:rPr>
                <w:color w:val="auto"/>
              </w:rPr>
              <w:t>oactive</w:t>
            </w:r>
            <w:r w:rsidRPr="00F341F2">
              <w:rPr>
                <w:color w:val="auto"/>
              </w:rPr>
              <w:t xml:space="preserve"> strategy, and to guide sectors across NSW on: (i) the equal right to make decisions, (ii) support in decision-making, (iii) will, preferences and rights and (iv) safeguards.’</w:t>
            </w:r>
          </w:p>
          <w:p w14:paraId="4F7C6509" w14:textId="5B77DB04" w:rsidR="00E352A8" w:rsidRPr="001037EE" w:rsidRDefault="008F6274" w:rsidP="00472643">
            <w:pPr>
              <w:pStyle w:val="Tablelistnumbers"/>
            </w:pPr>
            <w:r w:rsidRPr="001E622C">
              <w:t xml:space="preserve">The </w:t>
            </w:r>
            <w:r>
              <w:t>Ageing and Disability Commission</w:t>
            </w:r>
            <w:r w:rsidRPr="001E622C">
              <w:t xml:space="preserve"> </w:t>
            </w:r>
            <w:r>
              <w:t xml:space="preserve">develop public-facing guidance and education to build understanding of </w:t>
            </w:r>
            <w:r>
              <w:rPr>
                <w:color w:val="auto"/>
              </w:rPr>
              <w:t>s</w:t>
            </w:r>
            <w:r w:rsidRPr="006A2E5A">
              <w:rPr>
                <w:color w:val="auto"/>
              </w:rPr>
              <w:t>upported decision-making</w:t>
            </w:r>
            <w:r>
              <w:t xml:space="preserve"> among families, communities and informal supporters.</w:t>
            </w:r>
          </w:p>
          <w:p w14:paraId="3637CAF0" w14:textId="73A5B588" w:rsidR="001037EE" w:rsidRDefault="008F6274" w:rsidP="00472643">
            <w:pPr>
              <w:pStyle w:val="Tablelistnumbers"/>
            </w:pPr>
            <w:r w:rsidRPr="008F6274">
              <w:t xml:space="preserve">The Ageing and Disability Commission develop context specific, cross-sector supported decision-making guidance to support consistent </w:t>
            </w:r>
            <w:r w:rsidRPr="008F6274">
              <w:lastRenderedPageBreak/>
              <w:t>implementation of supported decision-making across key service systems and frontline practice.</w:t>
            </w:r>
          </w:p>
          <w:p w14:paraId="4824EDB2" w14:textId="17CD1AB6" w:rsidR="001037EE" w:rsidRPr="00E53736" w:rsidRDefault="008F6274" w:rsidP="00472643">
            <w:pPr>
              <w:pStyle w:val="Tablelistnumbers"/>
            </w:pPr>
            <w:r w:rsidRPr="008F6274">
              <w:rPr>
                <w:color w:val="auto"/>
              </w:rPr>
              <w:t>The NSW Government provide the Ageing and Disability Commission the appropriate and ongoing resources needed to deliver expanded supported decision-making functions, including training, guidance, community education and cross</w:t>
            </w:r>
            <w:r w:rsidRPr="008F6274">
              <w:rPr>
                <w:rFonts w:ascii="Cambria Math" w:hAnsi="Cambria Math" w:cs="Cambria Math"/>
                <w:color w:val="auto"/>
              </w:rPr>
              <w:t>‑</w:t>
            </w:r>
            <w:r w:rsidRPr="008F6274">
              <w:rPr>
                <w:color w:val="auto"/>
              </w:rPr>
              <w:t>sector engagement.</w:t>
            </w:r>
          </w:p>
          <w:p w14:paraId="71138A9F" w14:textId="543AE769" w:rsidR="00E53736" w:rsidRDefault="008F6274" w:rsidP="00472643">
            <w:pPr>
              <w:pStyle w:val="Tablelistnumbers"/>
            </w:pPr>
            <w:r w:rsidRPr="008F6274">
              <w:rPr>
                <w:color w:val="auto"/>
              </w:rPr>
              <w:t>The Ageing and Disability Commission adopt the Australian Law Reform Commission’s National Decision-Making Principle #3, which requires that decisions be directed by the will, preferences and rights of people who require decision-making support.</w:t>
            </w:r>
          </w:p>
        </w:tc>
      </w:tr>
    </w:tbl>
    <w:p w14:paraId="55D7AD38" w14:textId="77777777" w:rsidR="00983065" w:rsidRDefault="00983065" w:rsidP="5DE4594A">
      <w:pPr>
        <w:sectPr w:rsidR="00983065" w:rsidSect="003D23EE">
          <w:headerReference w:type="default" r:id="rId19"/>
          <w:footerReference w:type="default" r:id="rId20"/>
          <w:footerReference w:type="first" r:id="rId21"/>
          <w:endnotePr>
            <w:numFmt w:val="decimal"/>
          </w:endnotePr>
          <w:pgSz w:w="11906" w:h="16838" w:code="9"/>
          <w:pgMar w:top="1440" w:right="1440" w:bottom="1440" w:left="1440" w:header="720" w:footer="720" w:gutter="0"/>
          <w:cols w:space="720"/>
          <w:docGrid w:linePitch="360"/>
        </w:sectPr>
      </w:pPr>
    </w:p>
    <w:bookmarkStart w:id="3" w:name="_Toc223446754" w:displacedByCustomXml="next"/>
    <w:sdt>
      <w:sdtPr>
        <w:id w:val="-687982485"/>
        <w:placeholder>
          <w:docPart w:val="005289C0DAC444C9B6829ECE00F5D232"/>
        </w:placeholder>
        <w:dataBinding w:prefixMappings="xmlns:ns0='http://AHRCheadings.htm' " w:xpath="/ns0:headings[1]/ns0:Topic1[1]" w:storeItemID="{59E40458-85DB-4B58-AD7F-ED1E21A92441}"/>
        <w:text/>
      </w:sdtPr>
      <w:sdtContent>
        <w:p w14:paraId="4E1D2C3D" w14:textId="093E29EC" w:rsidR="00FF3BE7" w:rsidRDefault="000557EE" w:rsidP="00FF3BE7">
          <w:pPr>
            <w:pStyle w:val="Heading1"/>
          </w:pPr>
          <w:r>
            <w:t>Supported decision-making</w:t>
          </w:r>
        </w:p>
      </w:sdtContent>
    </w:sdt>
    <w:bookmarkEnd w:id="3" w:displacedByCustomXml="prev"/>
    <w:p w14:paraId="6724AF0D" w14:textId="712DF990" w:rsidR="004F6B40" w:rsidRDefault="004F6B40" w:rsidP="004F6B40">
      <w:pPr>
        <w:pStyle w:val="Sectionsummarybody"/>
      </w:pPr>
      <w:r>
        <w:t xml:space="preserve">This section </w:t>
      </w:r>
      <w:r w:rsidR="006833DC">
        <w:t xml:space="preserve">explains key </w:t>
      </w:r>
      <w:r w:rsidR="00A9008E">
        <w:t xml:space="preserve">principles of </w:t>
      </w:r>
      <w:r w:rsidR="006833DC">
        <w:t xml:space="preserve">supported decision-making </w:t>
      </w:r>
      <w:r w:rsidR="00A9008E">
        <w:t xml:space="preserve">and its current presence </w:t>
      </w:r>
      <w:r w:rsidR="006833DC">
        <w:t>in NSW</w:t>
      </w:r>
      <w:r w:rsidR="00A9008E">
        <w:t xml:space="preserve"> system</w:t>
      </w:r>
      <w:r w:rsidR="006833DC">
        <w:t>, including that</w:t>
      </w:r>
      <w:r>
        <w:t>:</w:t>
      </w:r>
    </w:p>
    <w:p w14:paraId="055C7080" w14:textId="5C6F2DE9" w:rsidR="004F6B40" w:rsidRDefault="006833DC" w:rsidP="004F6B40">
      <w:pPr>
        <w:pStyle w:val="Sectionsummarylistbullets"/>
      </w:pPr>
      <w:r>
        <w:t>supported decision-making is required under</w:t>
      </w:r>
      <w:r w:rsidR="000627ED">
        <w:t xml:space="preserve"> Australia’s</w:t>
      </w:r>
      <w:r>
        <w:t xml:space="preserve"> </w:t>
      </w:r>
      <w:r w:rsidR="00FA5F92">
        <w:t>international</w:t>
      </w:r>
      <w:r w:rsidR="00F40754">
        <w:t xml:space="preserve"> human rights</w:t>
      </w:r>
      <w:r w:rsidR="00FA5F92">
        <w:t xml:space="preserve"> obligations</w:t>
      </w:r>
    </w:p>
    <w:p w14:paraId="6530347F" w14:textId="77777777" w:rsidR="00C93852" w:rsidRDefault="00952F53" w:rsidP="00C93852">
      <w:pPr>
        <w:pStyle w:val="Sectionsummarylistbullets"/>
      </w:pPr>
      <w:r>
        <w:t>the Ageing and Disability Commission’s work is closely connected to supported decision-making</w:t>
      </w:r>
    </w:p>
    <w:p w14:paraId="37BDDF66" w14:textId="77777777" w:rsidR="00C93852" w:rsidRDefault="00FA5F92" w:rsidP="00C93852">
      <w:pPr>
        <w:pStyle w:val="Sectionsummarylistbullets"/>
      </w:pPr>
      <w:r>
        <w:t>c</w:t>
      </w:r>
      <w:r w:rsidRPr="00FA5F92">
        <w:t>ase</w:t>
      </w:r>
      <w:r>
        <w:t xml:space="preserve"> examples</w:t>
      </w:r>
      <w:r w:rsidRPr="00FA5F92">
        <w:t xml:space="preserve"> show people face serious risks</w:t>
      </w:r>
      <w:r>
        <w:t xml:space="preserve">, </w:t>
      </w:r>
      <w:r w:rsidRPr="00FA5F92">
        <w:t>including neglect and coercive control</w:t>
      </w:r>
      <w:r>
        <w:t xml:space="preserve">, </w:t>
      </w:r>
      <w:r w:rsidRPr="00FA5F92">
        <w:t xml:space="preserve">when </w:t>
      </w:r>
      <w:r>
        <w:t xml:space="preserve">supported </w:t>
      </w:r>
      <w:r w:rsidRPr="00FA5F92">
        <w:t>decision</w:t>
      </w:r>
      <w:r w:rsidR="7F14404F">
        <w:t>-</w:t>
      </w:r>
      <w:r w:rsidRPr="00FA5F92">
        <w:t>making support is absent</w:t>
      </w:r>
    </w:p>
    <w:p w14:paraId="2C017DF2" w14:textId="7474967B" w:rsidR="00FA5F92" w:rsidRDefault="00FA5F92" w:rsidP="00C93852">
      <w:pPr>
        <w:pStyle w:val="Sectionsummarylistbullets"/>
      </w:pPr>
      <w:r w:rsidRPr="00FA5F92">
        <w:t xml:space="preserve">NSW </w:t>
      </w:r>
      <w:r w:rsidR="000627ED">
        <w:t>is</w:t>
      </w:r>
      <w:r w:rsidRPr="00FA5F92">
        <w:t xml:space="preserve"> behind other jurisdictions in legislating and resourcing supported decision</w:t>
      </w:r>
      <w:r w:rsidR="156ED294">
        <w:t>-</w:t>
      </w:r>
      <w:r w:rsidRPr="00FA5F92">
        <w:t>making</w:t>
      </w:r>
      <w:r w:rsidR="000627ED">
        <w:t xml:space="preserve"> across service systems</w:t>
      </w:r>
    </w:p>
    <w:p w14:paraId="24447D5E" w14:textId="5A179E94" w:rsidR="00FA5F92" w:rsidRPr="00FA5F92" w:rsidRDefault="00FA5F92" w:rsidP="00FA5F92">
      <w:pPr>
        <w:pStyle w:val="Sectionsummarylistbullets"/>
      </w:pPr>
      <w:r w:rsidRPr="00FA5F92">
        <w:t>existing laws and NDIS structures often default to substitute decision</w:t>
      </w:r>
      <w:r w:rsidRPr="00FA5F92">
        <w:noBreakHyphen/>
        <w:t>making</w:t>
      </w:r>
      <w:r>
        <w:t>.</w:t>
      </w:r>
    </w:p>
    <w:p w14:paraId="161722E7" w14:textId="6E70A67F" w:rsidR="0039234C" w:rsidRDefault="0039234C" w:rsidP="0039234C">
      <w:pPr>
        <w:rPr>
          <w:color w:val="auto"/>
        </w:rPr>
      </w:pPr>
      <w:r>
        <w:rPr>
          <w:color w:val="auto"/>
        </w:rPr>
        <w:t>Supported decision-making</w:t>
      </w:r>
      <w:r w:rsidRPr="00B531F9">
        <w:rPr>
          <w:color w:val="auto"/>
        </w:rPr>
        <w:t xml:space="preserve"> refers to providing a person </w:t>
      </w:r>
      <w:r>
        <w:rPr>
          <w:color w:val="auto"/>
        </w:rPr>
        <w:t>with</w:t>
      </w:r>
      <w:r w:rsidRPr="00B531F9">
        <w:rPr>
          <w:color w:val="auto"/>
        </w:rPr>
        <w:t xml:space="preserve"> </w:t>
      </w:r>
      <w:r>
        <w:rPr>
          <w:color w:val="auto"/>
        </w:rPr>
        <w:t>support</w:t>
      </w:r>
      <w:r w:rsidRPr="00B531F9">
        <w:rPr>
          <w:color w:val="auto"/>
        </w:rPr>
        <w:t xml:space="preserve"> to </w:t>
      </w:r>
      <w:r>
        <w:rPr>
          <w:color w:val="auto"/>
        </w:rPr>
        <w:t>exercise their legal capacity</w:t>
      </w:r>
      <w:r w:rsidR="008A336B">
        <w:rPr>
          <w:color w:val="auto"/>
        </w:rPr>
        <w:t>. T</w:t>
      </w:r>
      <w:r>
        <w:rPr>
          <w:color w:val="auto"/>
        </w:rPr>
        <w:t>his assistance ensures they</w:t>
      </w:r>
      <w:r w:rsidRPr="00B531F9">
        <w:rPr>
          <w:color w:val="auto"/>
        </w:rPr>
        <w:t xml:space="preserve"> understand information, </w:t>
      </w:r>
      <w:r>
        <w:rPr>
          <w:color w:val="auto"/>
        </w:rPr>
        <w:t xml:space="preserve">can </w:t>
      </w:r>
      <w:r w:rsidRPr="00B531F9">
        <w:rPr>
          <w:color w:val="auto"/>
        </w:rPr>
        <w:t xml:space="preserve">express their will and preferences, and </w:t>
      </w:r>
      <w:r>
        <w:rPr>
          <w:color w:val="auto"/>
        </w:rPr>
        <w:t xml:space="preserve">can </w:t>
      </w:r>
      <w:r w:rsidRPr="00B531F9">
        <w:rPr>
          <w:color w:val="auto"/>
        </w:rPr>
        <w:t xml:space="preserve">make decisions that reflect their choices. </w:t>
      </w:r>
      <w:r w:rsidR="46A86232" w:rsidRPr="00B531F9">
        <w:rPr>
          <w:color w:val="auto"/>
        </w:rPr>
        <w:t xml:space="preserve">Supported decision-making is a </w:t>
      </w:r>
      <w:r w:rsidR="2AF9AA6F" w:rsidRPr="00B531F9">
        <w:rPr>
          <w:color w:val="auto"/>
        </w:rPr>
        <w:t>continuum</w:t>
      </w:r>
      <w:r w:rsidR="46A86232" w:rsidRPr="00B531F9">
        <w:rPr>
          <w:color w:val="auto"/>
        </w:rPr>
        <w:t xml:space="preserve"> of supports t</w:t>
      </w:r>
      <w:r w:rsidR="25D0398B" w:rsidRPr="00B531F9">
        <w:rPr>
          <w:color w:val="auto"/>
        </w:rPr>
        <w:t>o</w:t>
      </w:r>
      <w:r w:rsidR="46A86232" w:rsidRPr="00B531F9">
        <w:rPr>
          <w:color w:val="auto"/>
        </w:rPr>
        <w:t xml:space="preserve"> </w:t>
      </w:r>
      <w:r w:rsidR="7C3F1F44" w:rsidRPr="00B531F9">
        <w:rPr>
          <w:color w:val="auto"/>
        </w:rPr>
        <w:t>aid</w:t>
      </w:r>
      <w:r w:rsidR="46A86232" w:rsidRPr="00B531F9">
        <w:rPr>
          <w:color w:val="auto"/>
        </w:rPr>
        <w:t xml:space="preserve"> in decision-making </w:t>
      </w:r>
      <w:r w:rsidR="2068564D" w:rsidRPr="00B531F9">
        <w:rPr>
          <w:color w:val="auto"/>
        </w:rPr>
        <w:t xml:space="preserve">from low level aids </w:t>
      </w:r>
      <w:r w:rsidR="46A86232" w:rsidRPr="00B531F9">
        <w:rPr>
          <w:color w:val="auto"/>
        </w:rPr>
        <w:t xml:space="preserve">through to the formal appointment of </w:t>
      </w:r>
      <w:r w:rsidR="0CE8EF7D" w:rsidRPr="00B531F9">
        <w:rPr>
          <w:color w:val="auto"/>
        </w:rPr>
        <w:t>specific</w:t>
      </w:r>
      <w:r w:rsidR="46A86232" w:rsidRPr="00B531F9">
        <w:rPr>
          <w:color w:val="auto"/>
        </w:rPr>
        <w:t xml:space="preserve"> persons as supporter</w:t>
      </w:r>
      <w:r w:rsidR="3AF216D3" w:rsidRPr="00B531F9">
        <w:rPr>
          <w:color w:val="auto"/>
        </w:rPr>
        <w:t>s.</w:t>
      </w:r>
      <w:r w:rsidRPr="00B531F9">
        <w:rPr>
          <w:color w:val="auto"/>
        </w:rPr>
        <w:t xml:space="preserve"> </w:t>
      </w:r>
      <w:r>
        <w:rPr>
          <w:color w:val="auto"/>
        </w:rPr>
        <w:t>Supported decision-making</w:t>
      </w:r>
      <w:r w:rsidRPr="00B531F9">
        <w:rPr>
          <w:color w:val="auto"/>
        </w:rPr>
        <w:t xml:space="preserve"> is </w:t>
      </w:r>
      <w:r>
        <w:rPr>
          <w:color w:val="auto"/>
        </w:rPr>
        <w:t>protected</w:t>
      </w:r>
      <w:r w:rsidRPr="00B531F9">
        <w:rPr>
          <w:color w:val="auto"/>
        </w:rPr>
        <w:t xml:space="preserve"> in the </w:t>
      </w:r>
      <w:r>
        <w:rPr>
          <w:color w:val="auto"/>
        </w:rPr>
        <w:t>United Nations</w:t>
      </w:r>
      <w:r w:rsidRPr="00B531F9">
        <w:rPr>
          <w:color w:val="auto"/>
        </w:rPr>
        <w:t xml:space="preserve"> </w:t>
      </w:r>
      <w:r w:rsidRPr="0071143D">
        <w:rPr>
          <w:i/>
          <w:iCs/>
          <w:color w:val="auto"/>
        </w:rPr>
        <w:t>Convention on the Rights of Persons with Disabilit</w:t>
      </w:r>
      <w:r w:rsidR="0071143D" w:rsidRPr="0071143D">
        <w:rPr>
          <w:i/>
          <w:iCs/>
          <w:color w:val="auto"/>
        </w:rPr>
        <w:t>ies</w:t>
      </w:r>
      <w:r w:rsidRPr="00B531F9">
        <w:rPr>
          <w:color w:val="auto"/>
        </w:rPr>
        <w:t xml:space="preserve"> (CRPD).</w:t>
      </w:r>
      <w:r>
        <w:rPr>
          <w:rStyle w:val="EndnoteReference"/>
          <w:color w:val="auto"/>
        </w:rPr>
        <w:endnoteReference w:id="4"/>
      </w:r>
      <w:r w:rsidRPr="00B531F9">
        <w:rPr>
          <w:color w:val="auto"/>
        </w:rPr>
        <w:t xml:space="preserve"> Australia’s obligations under Article 12 of the CRPD, and General Comment No. 1</w:t>
      </w:r>
      <w:r w:rsidR="006B0132" w:rsidRPr="00B531F9">
        <w:rPr>
          <w:rStyle w:val="EndnoteReference"/>
          <w:color w:val="auto"/>
        </w:rPr>
        <w:endnoteReference w:id="5"/>
      </w:r>
      <w:r w:rsidRPr="00B531F9">
        <w:rPr>
          <w:color w:val="auto"/>
        </w:rPr>
        <w:t xml:space="preserve">, requires that </w:t>
      </w:r>
      <w:r w:rsidR="006B0132">
        <w:rPr>
          <w:color w:val="auto"/>
        </w:rPr>
        <w:t>States Parties</w:t>
      </w:r>
      <w:r>
        <w:rPr>
          <w:color w:val="auto"/>
        </w:rPr>
        <w:t xml:space="preserve"> provide access to </w:t>
      </w:r>
      <w:r w:rsidRPr="00B531F9">
        <w:rPr>
          <w:color w:val="auto"/>
        </w:rPr>
        <w:t>support</w:t>
      </w:r>
      <w:r>
        <w:rPr>
          <w:color w:val="auto"/>
        </w:rPr>
        <w:t>s required for people</w:t>
      </w:r>
      <w:r w:rsidRPr="00B531F9">
        <w:rPr>
          <w:color w:val="auto"/>
        </w:rPr>
        <w:t xml:space="preserve"> to make their own decisions, rather than having decisions made for them.</w:t>
      </w:r>
      <w:r w:rsidR="006B0132">
        <w:rPr>
          <w:rStyle w:val="EndnoteReference"/>
          <w:color w:val="auto"/>
        </w:rPr>
        <w:endnoteReference w:id="6"/>
      </w:r>
      <w:r w:rsidR="006B0132">
        <w:rPr>
          <w:color w:val="auto"/>
        </w:rPr>
        <w:t xml:space="preserve"> </w:t>
      </w:r>
    </w:p>
    <w:p w14:paraId="1D0768C6" w14:textId="4388F861" w:rsidR="0039234C" w:rsidRDefault="0039234C" w:rsidP="0039234C">
      <w:r>
        <w:t>T</w:t>
      </w:r>
      <w:r w:rsidRPr="00C501C7">
        <w:t>he Australian Law Reform Commission (ALRC) and the Royal Commission into Violence, Abuse, Neglect and Exploitation of People with Disability (Disability Royal Commission) have</w:t>
      </w:r>
      <w:r>
        <w:t xml:space="preserve"> each</w:t>
      </w:r>
      <w:r w:rsidRPr="00C501C7">
        <w:t xml:space="preserve"> </w:t>
      </w:r>
      <w:r>
        <w:t>recommended</w:t>
      </w:r>
      <w:r w:rsidRPr="00C501C7">
        <w:t xml:space="preserve"> </w:t>
      </w:r>
      <w:r w:rsidR="00AC3F94">
        <w:t xml:space="preserve">the development of </w:t>
      </w:r>
      <w:r w:rsidRPr="00C501C7">
        <w:t xml:space="preserve">national </w:t>
      </w:r>
      <w:r>
        <w:rPr>
          <w:color w:val="auto"/>
        </w:rPr>
        <w:t>decision-making</w:t>
      </w:r>
      <w:r w:rsidRPr="00C501C7">
        <w:t xml:space="preserve"> frameworks</w:t>
      </w:r>
      <w:r w:rsidR="00AC3F94">
        <w:t xml:space="preserve">, </w:t>
      </w:r>
      <w:r w:rsidR="00381925">
        <w:t>covering</w:t>
      </w:r>
      <w:r w:rsidR="00AC3F94">
        <w:t xml:space="preserve"> both supported and substitute decision-making in limited circumstances, to</w:t>
      </w:r>
      <w:r>
        <w:t xml:space="preserve"> strengthen Australia’s compliance with Article 12 of the CRPD. The recommendations in this submission align with the ALRC’s </w:t>
      </w:r>
      <w:r>
        <w:rPr>
          <w:color w:val="auto"/>
        </w:rPr>
        <w:t>4</w:t>
      </w:r>
      <w:r w:rsidRPr="00790FB0">
        <w:rPr>
          <w:color w:val="auto"/>
        </w:rPr>
        <w:t xml:space="preserve"> National Decision-Making Principles</w:t>
      </w:r>
      <w:r w:rsidRPr="00EF4D00">
        <w:rPr>
          <w:rStyle w:val="EndnoteReference"/>
          <w:color w:val="auto"/>
        </w:rPr>
        <w:endnoteReference w:id="7"/>
      </w:r>
      <w:r w:rsidRPr="00790FB0">
        <w:rPr>
          <w:color w:val="auto"/>
        </w:rPr>
        <w:t xml:space="preserve"> </w:t>
      </w:r>
      <w:r w:rsidR="009B783E">
        <w:rPr>
          <w:color w:val="auto"/>
        </w:rPr>
        <w:t>as well as</w:t>
      </w:r>
      <w:r w:rsidRPr="00790FB0">
        <w:rPr>
          <w:color w:val="auto"/>
        </w:rPr>
        <w:t xml:space="preserve"> the Disability Royal Commission’s </w:t>
      </w:r>
      <w:r>
        <w:rPr>
          <w:color w:val="auto"/>
        </w:rPr>
        <w:t>9</w:t>
      </w:r>
      <w:r w:rsidRPr="00790FB0">
        <w:rPr>
          <w:color w:val="auto"/>
        </w:rPr>
        <w:t xml:space="preserve"> principles under Recommendation 6.6.</w:t>
      </w:r>
      <w:r>
        <w:rPr>
          <w:rStyle w:val="EndnoteReference"/>
          <w:color w:val="auto"/>
        </w:rPr>
        <w:endnoteReference w:id="8"/>
      </w:r>
      <w:r w:rsidRPr="00790FB0">
        <w:rPr>
          <w:color w:val="auto"/>
        </w:rPr>
        <w:t xml:space="preserve"> However, one point of difference should be noted, which is further explored </w:t>
      </w:r>
      <w:r w:rsidR="00F96098">
        <w:rPr>
          <w:color w:val="auto"/>
        </w:rPr>
        <w:t>in the sub-section titled ‘</w:t>
      </w:r>
      <w:hyperlink w:anchor="_Appropriate_and_limited" w:history="1">
        <w:r w:rsidR="00F96098" w:rsidRPr="00EE46D5">
          <w:rPr>
            <w:rStyle w:val="Hyperlink"/>
          </w:rPr>
          <w:t>Appropriate and limited use of substitute decision-making</w:t>
        </w:r>
      </w:hyperlink>
      <w:r w:rsidR="00F96098">
        <w:rPr>
          <w:color w:val="auto"/>
        </w:rPr>
        <w:t xml:space="preserve">’ </w:t>
      </w:r>
      <w:r w:rsidRPr="00790FB0">
        <w:rPr>
          <w:color w:val="auto"/>
        </w:rPr>
        <w:t>of this submission.</w:t>
      </w:r>
    </w:p>
    <w:p w14:paraId="3F2F64A7" w14:textId="42A34E3D" w:rsidR="00655C57" w:rsidRPr="0058707A" w:rsidRDefault="002B6FBE" w:rsidP="0058707A">
      <w:pPr>
        <w:pStyle w:val="Heading2"/>
      </w:pPr>
      <w:bookmarkStart w:id="4" w:name="_Toc223446755"/>
      <w:r>
        <w:t xml:space="preserve">Role and functions of the </w:t>
      </w:r>
      <w:r w:rsidR="00AC32F5">
        <w:t xml:space="preserve">NSW </w:t>
      </w:r>
      <w:r>
        <w:t>Ageing and Disability Commission</w:t>
      </w:r>
      <w:bookmarkEnd w:id="4"/>
    </w:p>
    <w:p w14:paraId="2767BD27" w14:textId="72B04ED8" w:rsidR="00295247" w:rsidRDefault="00C1738C" w:rsidP="00965614">
      <w:r w:rsidRPr="00B6369D">
        <w:rPr>
          <w:rFonts w:eastAsia="Times New Roman"/>
          <w:lang w:eastAsia="en-AU"/>
        </w:rPr>
        <w:t xml:space="preserve">The </w:t>
      </w:r>
      <w:r>
        <w:rPr>
          <w:rFonts w:eastAsia="Times New Roman"/>
          <w:lang w:eastAsia="en-AU"/>
        </w:rPr>
        <w:t xml:space="preserve">Ageing </w:t>
      </w:r>
      <w:r w:rsidR="0006545D">
        <w:rPr>
          <w:rFonts w:eastAsia="Times New Roman"/>
          <w:lang w:eastAsia="en-AU"/>
        </w:rPr>
        <w:t>and</w:t>
      </w:r>
      <w:r>
        <w:rPr>
          <w:rFonts w:eastAsia="Times New Roman"/>
          <w:lang w:eastAsia="en-AU"/>
        </w:rPr>
        <w:t xml:space="preserve"> Disability Commission</w:t>
      </w:r>
      <w:r w:rsidRPr="00B6369D">
        <w:rPr>
          <w:rFonts w:eastAsia="Times New Roman"/>
          <w:lang w:eastAsia="en-AU"/>
        </w:rPr>
        <w:t xml:space="preserve"> is the independent statutory body responsible for </w:t>
      </w:r>
      <w:r w:rsidR="00F40754">
        <w:rPr>
          <w:rFonts w:eastAsia="Times New Roman"/>
          <w:lang w:eastAsia="en-AU"/>
        </w:rPr>
        <w:t>protecting</w:t>
      </w:r>
      <w:r w:rsidR="00F40754" w:rsidRPr="00B6369D">
        <w:rPr>
          <w:rFonts w:eastAsia="Times New Roman"/>
          <w:lang w:eastAsia="en-AU"/>
        </w:rPr>
        <w:t xml:space="preserve"> </w:t>
      </w:r>
      <w:r w:rsidRPr="00B6369D">
        <w:rPr>
          <w:rFonts w:eastAsia="Times New Roman"/>
          <w:lang w:eastAsia="en-AU"/>
        </w:rPr>
        <w:t>adults with disability and older people from abuse, neglect and exploitation.</w:t>
      </w:r>
      <w:r>
        <w:rPr>
          <w:rFonts w:eastAsia="Times New Roman"/>
          <w:lang w:eastAsia="en-AU"/>
        </w:rPr>
        <w:t xml:space="preserve"> </w:t>
      </w:r>
      <w:r w:rsidRPr="00181CC2">
        <w:rPr>
          <w:rFonts w:eastAsia="Times New Roman"/>
          <w:lang w:eastAsia="en-AU"/>
        </w:rPr>
        <w:t xml:space="preserve">Its core functions include responding to reports, conducting investigations, providing advice and referrals, raising awareness, and </w:t>
      </w:r>
      <w:r w:rsidRPr="00181CC2">
        <w:rPr>
          <w:rFonts w:eastAsia="Times New Roman"/>
          <w:lang w:eastAsia="en-AU"/>
        </w:rPr>
        <w:lastRenderedPageBreak/>
        <w:t>examining systemic issues</w:t>
      </w:r>
      <w:r>
        <w:t>.</w:t>
      </w:r>
      <w:r>
        <w:rPr>
          <w:rStyle w:val="EndnoteReference"/>
        </w:rPr>
        <w:endnoteReference w:id="9"/>
      </w:r>
      <w:r>
        <w:t xml:space="preserve"> Although </w:t>
      </w:r>
      <w:r>
        <w:rPr>
          <w:color w:val="auto"/>
        </w:rPr>
        <w:t>s</w:t>
      </w:r>
      <w:r w:rsidRPr="006A2E5A">
        <w:rPr>
          <w:color w:val="auto"/>
        </w:rPr>
        <w:t>upported decision-making</w:t>
      </w:r>
      <w:r>
        <w:t xml:space="preserve"> is not named in the </w:t>
      </w:r>
      <w:r w:rsidRPr="008A1EC4">
        <w:rPr>
          <w:i/>
          <w:iCs/>
          <w:lang w:val="en-US"/>
        </w:rPr>
        <w:t>Ageing and Disability Commissioner Act 2019</w:t>
      </w:r>
      <w:r w:rsidRPr="008A1EC4">
        <w:rPr>
          <w:lang w:val="en-US"/>
        </w:rPr>
        <w:t xml:space="preserve"> (the </w:t>
      </w:r>
      <w:r w:rsidRPr="008A1EC4">
        <w:t>Act)</w:t>
      </w:r>
      <w:r>
        <w:t>, t</w:t>
      </w:r>
      <w:r w:rsidRPr="00137098">
        <w:t>h</w:t>
      </w:r>
      <w:r>
        <w:t>is</w:t>
      </w:r>
      <w:r w:rsidRPr="00137098">
        <w:t xml:space="preserve"> submission recognises that the </w:t>
      </w:r>
      <w:r>
        <w:t xml:space="preserve">Ageing </w:t>
      </w:r>
      <w:r w:rsidR="00FC7CF5">
        <w:t>and</w:t>
      </w:r>
      <w:r>
        <w:t xml:space="preserve"> Disability Commission’</w:t>
      </w:r>
      <w:r w:rsidRPr="00137098">
        <w:t xml:space="preserve">s casework is deeply connected to </w:t>
      </w:r>
      <w:r>
        <w:rPr>
          <w:color w:val="auto"/>
        </w:rPr>
        <w:t>s</w:t>
      </w:r>
      <w:r w:rsidRPr="006A2E5A">
        <w:rPr>
          <w:color w:val="auto"/>
        </w:rPr>
        <w:t>upported decision-making</w:t>
      </w:r>
      <w:r w:rsidRPr="00137098">
        <w:t xml:space="preserve"> principles</w:t>
      </w:r>
      <w:r>
        <w:t>.</w:t>
      </w:r>
    </w:p>
    <w:p w14:paraId="0D2D69A9" w14:textId="77777777" w:rsidR="003823EA" w:rsidRPr="003823EA" w:rsidRDefault="0006545D" w:rsidP="00965614">
      <w:r>
        <w:rPr>
          <w:rFonts w:eastAsia="Times New Roman"/>
          <w:lang w:eastAsia="en-AU"/>
        </w:rPr>
        <w:t>The Ageing and Disability Commission</w:t>
      </w:r>
      <w:r w:rsidR="00227BF5">
        <w:rPr>
          <w:rFonts w:eastAsia="Times New Roman"/>
          <w:lang w:eastAsia="en-AU"/>
        </w:rPr>
        <w:t>’s</w:t>
      </w:r>
      <w:r w:rsidRPr="007C2F69">
        <w:rPr>
          <w:rFonts w:eastAsia="Times New Roman"/>
          <w:lang w:eastAsia="en-AU"/>
        </w:rPr>
        <w:t xml:space="preserve"> own strategic </w:t>
      </w:r>
      <w:r>
        <w:rPr>
          <w:rFonts w:eastAsia="Times New Roman"/>
          <w:lang w:eastAsia="en-AU"/>
        </w:rPr>
        <w:t>position</w:t>
      </w:r>
      <w:r w:rsidRPr="007C2F69">
        <w:rPr>
          <w:rFonts w:eastAsia="Times New Roman"/>
          <w:lang w:eastAsia="en-AU"/>
        </w:rPr>
        <w:t xml:space="preserve"> now </w:t>
      </w:r>
      <w:r w:rsidRPr="00187804">
        <w:rPr>
          <w:rFonts w:eastAsia="Times New Roman"/>
          <w:lang w:eastAsia="en-AU"/>
        </w:rPr>
        <w:t xml:space="preserve">explicitly </w:t>
      </w:r>
      <w:r>
        <w:rPr>
          <w:rFonts w:eastAsia="Times New Roman"/>
          <w:lang w:eastAsia="en-AU"/>
        </w:rPr>
        <w:t xml:space="preserve">advocates for </w:t>
      </w:r>
      <w:r>
        <w:rPr>
          <w:color w:val="auto"/>
        </w:rPr>
        <w:t>s</w:t>
      </w:r>
      <w:r w:rsidRPr="006A2E5A">
        <w:rPr>
          <w:color w:val="auto"/>
        </w:rPr>
        <w:t xml:space="preserve">upported decision-making </w:t>
      </w:r>
      <w:r w:rsidRPr="00187804">
        <w:rPr>
          <w:rFonts w:eastAsia="Times New Roman"/>
          <w:lang w:eastAsia="en-AU"/>
        </w:rPr>
        <w:t>consistent practice</w:t>
      </w:r>
      <w:r w:rsidR="003823EA">
        <w:rPr>
          <w:rFonts w:eastAsia="Times New Roman"/>
          <w:lang w:eastAsia="en-AU"/>
        </w:rPr>
        <w:t>:</w:t>
      </w:r>
    </w:p>
    <w:p w14:paraId="2558267E" w14:textId="77777777" w:rsidR="00927427" w:rsidRPr="00927427" w:rsidRDefault="0006545D" w:rsidP="00927427">
      <w:pPr>
        <w:pStyle w:val="ListParagraph"/>
        <w:numPr>
          <w:ilvl w:val="0"/>
          <w:numId w:val="33"/>
        </w:numPr>
      </w:pPr>
      <w:r w:rsidRPr="00927427">
        <w:rPr>
          <w:rFonts w:eastAsia="Times New Roman"/>
          <w:lang w:eastAsia="en-AU"/>
        </w:rPr>
        <w:t>In</w:t>
      </w:r>
      <w:r w:rsidR="00694EAB" w:rsidRPr="00927427">
        <w:rPr>
          <w:rFonts w:eastAsia="Times New Roman"/>
          <w:lang w:eastAsia="en-AU"/>
        </w:rPr>
        <w:t xml:space="preserve"> its</w:t>
      </w:r>
      <w:r w:rsidRPr="00927427">
        <w:rPr>
          <w:rFonts w:eastAsia="Times New Roman"/>
          <w:lang w:eastAsia="en-AU"/>
        </w:rPr>
        <w:t xml:space="preserve"> 2022-23 Annual Report, the Commissioner called for placing ‘greater emphasis on the will and preference’ of vulnerable people.</w:t>
      </w:r>
      <w:r>
        <w:rPr>
          <w:rStyle w:val="EndnoteReference"/>
          <w:rFonts w:eastAsia="Times New Roman"/>
          <w:lang w:eastAsia="en-AU"/>
        </w:rPr>
        <w:endnoteReference w:id="10"/>
      </w:r>
      <w:r w:rsidRPr="00927427">
        <w:rPr>
          <w:rFonts w:eastAsia="Times New Roman"/>
          <w:lang w:eastAsia="en-AU"/>
        </w:rPr>
        <w:t xml:space="preserve"> </w:t>
      </w:r>
    </w:p>
    <w:p w14:paraId="37FCA0ED" w14:textId="27EE59D5" w:rsidR="00927427" w:rsidRPr="00927427" w:rsidRDefault="00927427" w:rsidP="00927427">
      <w:pPr>
        <w:pStyle w:val="ListParagraph"/>
        <w:numPr>
          <w:ilvl w:val="0"/>
          <w:numId w:val="33"/>
        </w:numPr>
      </w:pPr>
      <w:r>
        <w:rPr>
          <w:rFonts w:eastAsia="Times New Roman"/>
          <w:lang w:eastAsia="en-AU"/>
        </w:rPr>
        <w:t>In its submission</w:t>
      </w:r>
      <w:r w:rsidR="0006545D" w:rsidRPr="00927427">
        <w:rPr>
          <w:rFonts w:eastAsia="Times New Roman"/>
          <w:lang w:eastAsia="en-AU"/>
        </w:rPr>
        <w:t xml:space="preserve"> to the </w:t>
      </w:r>
      <w:r w:rsidR="0006545D" w:rsidRPr="00927427">
        <w:rPr>
          <w:rFonts w:eastAsia="Times New Roman"/>
          <w:i/>
          <w:iCs/>
          <w:lang w:eastAsia="en-AU"/>
        </w:rPr>
        <w:t>Aged Care Bill</w:t>
      </w:r>
      <w:r>
        <w:rPr>
          <w:rFonts w:eastAsia="Times New Roman"/>
          <w:i/>
          <w:iCs/>
          <w:lang w:eastAsia="en-AU"/>
        </w:rPr>
        <w:t xml:space="preserve"> 2023</w:t>
      </w:r>
      <w:r>
        <w:rPr>
          <w:rFonts w:eastAsia="Times New Roman"/>
          <w:lang w:eastAsia="en-AU"/>
        </w:rPr>
        <w:t>, it</w:t>
      </w:r>
      <w:r w:rsidR="0006545D" w:rsidRPr="00927427">
        <w:rPr>
          <w:rFonts w:eastAsia="Times New Roman"/>
          <w:lang w:eastAsia="en-AU"/>
        </w:rPr>
        <w:t xml:space="preserve"> expressed how to operationalise </w:t>
      </w:r>
      <w:r>
        <w:rPr>
          <w:rFonts w:eastAsia="Times New Roman"/>
          <w:lang w:eastAsia="en-AU"/>
        </w:rPr>
        <w:t>supported decision-making</w:t>
      </w:r>
      <w:r w:rsidR="0006545D" w:rsidRPr="00927427">
        <w:rPr>
          <w:rFonts w:eastAsia="Times New Roman"/>
          <w:lang w:eastAsia="en-AU"/>
        </w:rPr>
        <w:t xml:space="preserve"> in aged care reforms by recommending a person have a ‘supporter’ to help make decisions and a ‘representative,’ where necessary.</w:t>
      </w:r>
      <w:r w:rsidR="0006545D">
        <w:rPr>
          <w:rStyle w:val="EndnoteReference"/>
          <w:rFonts w:eastAsia="Times New Roman"/>
          <w:lang w:eastAsia="en-AU"/>
        </w:rPr>
        <w:endnoteReference w:id="11"/>
      </w:r>
      <w:r w:rsidR="0006545D" w:rsidRPr="00927427">
        <w:rPr>
          <w:rFonts w:eastAsia="Times New Roman"/>
          <w:lang w:eastAsia="en-AU"/>
        </w:rPr>
        <w:t xml:space="preserve"> </w:t>
      </w:r>
    </w:p>
    <w:p w14:paraId="398851D1" w14:textId="6EAB2D7A" w:rsidR="0006545D" w:rsidRDefault="0006545D" w:rsidP="00927427">
      <w:pPr>
        <w:pStyle w:val="ListParagraph"/>
        <w:numPr>
          <w:ilvl w:val="0"/>
          <w:numId w:val="33"/>
        </w:numPr>
      </w:pPr>
      <w:r w:rsidRPr="00927427">
        <w:rPr>
          <w:rFonts w:eastAsia="Times New Roman"/>
          <w:lang w:eastAsia="en-AU"/>
        </w:rPr>
        <w:t>In NDIS safeguarding, the Ageing and Disability Commission argues that support safeguards should enable decision-making, not displace it, particularly where coercion or system gaps are present.</w:t>
      </w:r>
      <w:r>
        <w:rPr>
          <w:rStyle w:val="EndnoteReference"/>
          <w:rFonts w:eastAsia="Times New Roman"/>
          <w:lang w:eastAsia="en-AU"/>
        </w:rPr>
        <w:endnoteReference w:id="12"/>
      </w:r>
    </w:p>
    <w:p w14:paraId="51D0461A" w14:textId="08A7CC70" w:rsidR="003F7BBF" w:rsidRDefault="00FC7161" w:rsidP="0058707A">
      <w:pPr>
        <w:pStyle w:val="Heading2"/>
      </w:pPr>
      <w:bookmarkStart w:id="5" w:name="_Toc223446756"/>
      <w:r>
        <w:t>Experiences of people seeking decision-making support</w:t>
      </w:r>
      <w:bookmarkEnd w:id="5"/>
    </w:p>
    <w:p w14:paraId="3FDDABE0" w14:textId="2F82610A" w:rsidR="000955E0" w:rsidRDefault="000955E0" w:rsidP="000955E0">
      <w:r>
        <w:t>Experiences reported to the Ageing and Disability Commission reveal that without support to make decisions, people face greater risks and fewer real opportunities to exercise their will and preferences.</w:t>
      </w:r>
      <w:r>
        <w:rPr>
          <w:rStyle w:val="EndnoteReference"/>
        </w:rPr>
        <w:endnoteReference w:id="13"/>
      </w:r>
      <w:r>
        <w:t xml:space="preserve"> Among the many risks identified in the Ageing </w:t>
      </w:r>
      <w:r w:rsidR="001F2833">
        <w:t>and</w:t>
      </w:r>
      <w:r>
        <w:t xml:space="preserve"> Disability Commission’s case material, two stand out as particularly significant and deeply concerning.</w:t>
      </w:r>
    </w:p>
    <w:p w14:paraId="361788A4" w14:textId="01F036AB" w:rsidR="000955E0" w:rsidRPr="0028493C" w:rsidRDefault="000955E0" w:rsidP="000955E0">
      <w:pPr>
        <w:rPr>
          <w:rFonts w:eastAsia="Times New Roman"/>
          <w:lang w:eastAsia="en-AU"/>
        </w:rPr>
      </w:pPr>
      <w:r>
        <w:rPr>
          <w:rFonts w:eastAsia="Times New Roman"/>
          <w:lang w:eastAsia="en-AU"/>
        </w:rPr>
        <w:t>The first risk is how the absence of decision-making support can leave people unable to take action or change their situation.</w:t>
      </w:r>
      <w:r>
        <w:rPr>
          <w:rStyle w:val="EndnoteReference"/>
          <w:rFonts w:eastAsia="Times New Roman"/>
          <w:lang w:eastAsia="en-AU"/>
        </w:rPr>
        <w:endnoteReference w:id="14"/>
      </w:r>
      <w:r>
        <w:rPr>
          <w:rFonts w:eastAsia="Times New Roman"/>
          <w:lang w:eastAsia="en-AU"/>
        </w:rPr>
        <w:t xml:space="preserve"> </w:t>
      </w:r>
      <w:r w:rsidRPr="00083174">
        <w:rPr>
          <w:rFonts w:eastAsia="Times New Roman"/>
          <w:lang w:eastAsia="en-AU"/>
        </w:rPr>
        <w:t>In</w:t>
      </w:r>
      <w:r w:rsidRPr="003C5727">
        <w:rPr>
          <w:rFonts w:eastAsia="Times New Roman"/>
          <w:color w:val="auto"/>
          <w:lang w:eastAsia="en-AU"/>
        </w:rPr>
        <w:t xml:space="preserve"> half of serious neglect cases, the </w:t>
      </w:r>
      <w:r>
        <w:rPr>
          <w:rFonts w:eastAsia="Times New Roman"/>
          <w:color w:val="auto"/>
          <w:lang w:eastAsia="en-AU"/>
        </w:rPr>
        <w:t xml:space="preserve">Ageing </w:t>
      </w:r>
      <w:r w:rsidR="001F2833">
        <w:rPr>
          <w:rFonts w:eastAsia="Times New Roman"/>
          <w:color w:val="auto"/>
          <w:lang w:eastAsia="en-AU"/>
        </w:rPr>
        <w:t>and</w:t>
      </w:r>
      <w:r>
        <w:rPr>
          <w:rFonts w:eastAsia="Times New Roman"/>
          <w:color w:val="auto"/>
          <w:lang w:eastAsia="en-AU"/>
        </w:rPr>
        <w:t xml:space="preserve"> Disability Commission </w:t>
      </w:r>
      <w:r w:rsidRPr="003C5727">
        <w:rPr>
          <w:rFonts w:eastAsia="Times New Roman"/>
          <w:color w:val="auto"/>
          <w:lang w:eastAsia="en-AU"/>
        </w:rPr>
        <w:t>recorded concerns about individuals</w:t>
      </w:r>
      <w:r w:rsidRPr="003C5727">
        <w:rPr>
          <w:color w:val="auto"/>
        </w:rPr>
        <w:t xml:space="preserve"> </w:t>
      </w:r>
      <w:r>
        <w:rPr>
          <w:color w:val="auto"/>
        </w:rPr>
        <w:t>having</w:t>
      </w:r>
      <w:r w:rsidRPr="003C5727">
        <w:rPr>
          <w:color w:val="auto"/>
        </w:rPr>
        <w:t xml:space="preserve"> to navigate high-risk situations without structured </w:t>
      </w:r>
      <w:r>
        <w:rPr>
          <w:color w:val="auto"/>
        </w:rPr>
        <w:t>s</w:t>
      </w:r>
      <w:r w:rsidRPr="006A2E5A">
        <w:rPr>
          <w:color w:val="auto"/>
        </w:rPr>
        <w:t>upported decision-making</w:t>
      </w:r>
      <w:r w:rsidRPr="003C5727">
        <w:rPr>
          <w:color w:val="auto"/>
        </w:rPr>
        <w:t>.</w:t>
      </w:r>
      <w:r w:rsidRPr="003C5727">
        <w:rPr>
          <w:rStyle w:val="EndnoteReference"/>
          <w:color w:val="auto"/>
        </w:rPr>
        <w:endnoteReference w:id="15"/>
      </w:r>
      <w:r w:rsidRPr="003C5727">
        <w:rPr>
          <w:color w:val="auto"/>
        </w:rPr>
        <w:t xml:space="preserve"> </w:t>
      </w:r>
      <w:r>
        <w:rPr>
          <w:color w:val="auto"/>
        </w:rPr>
        <w:t>For example, s</w:t>
      </w:r>
      <w:r w:rsidRPr="003C5727">
        <w:rPr>
          <w:rFonts w:eastAsia="Times New Roman"/>
          <w:color w:val="auto"/>
          <w:lang w:eastAsia="en-AU"/>
        </w:rPr>
        <w:t xml:space="preserve">ome older people </w:t>
      </w:r>
      <w:r>
        <w:rPr>
          <w:rFonts w:eastAsia="Times New Roman"/>
          <w:color w:val="auto"/>
          <w:lang w:eastAsia="en-AU"/>
        </w:rPr>
        <w:t>with no</w:t>
      </w:r>
      <w:r w:rsidRPr="003C5727">
        <w:rPr>
          <w:rFonts w:eastAsia="Times New Roman"/>
          <w:color w:val="auto"/>
          <w:lang w:eastAsia="en-AU"/>
        </w:rPr>
        <w:t xml:space="preserve"> support</w:t>
      </w:r>
      <w:r>
        <w:rPr>
          <w:rFonts w:eastAsia="Times New Roman"/>
          <w:color w:val="auto"/>
          <w:lang w:eastAsia="en-AU"/>
        </w:rPr>
        <w:t xml:space="preserve">, lived in homes </w:t>
      </w:r>
      <w:r w:rsidRPr="003C5727">
        <w:rPr>
          <w:rFonts w:eastAsia="Times New Roman"/>
          <w:color w:val="auto"/>
          <w:lang w:eastAsia="en-AU"/>
        </w:rPr>
        <w:t xml:space="preserve">where basic needs were not met, including unmanaged health issues or </w:t>
      </w:r>
      <w:r>
        <w:rPr>
          <w:rFonts w:eastAsia="Times New Roman"/>
          <w:color w:val="auto"/>
          <w:lang w:eastAsia="en-AU"/>
        </w:rPr>
        <w:t>limited</w:t>
      </w:r>
      <w:r w:rsidRPr="003C5727">
        <w:rPr>
          <w:rFonts w:eastAsia="Times New Roman"/>
          <w:color w:val="auto"/>
          <w:lang w:eastAsia="en-AU"/>
        </w:rPr>
        <w:t xml:space="preserve"> access to hygiene facilities.</w:t>
      </w:r>
      <w:r>
        <w:rPr>
          <w:rStyle w:val="EndnoteReference"/>
          <w:rFonts w:eastAsia="Times New Roman"/>
          <w:lang w:eastAsia="en-AU"/>
        </w:rPr>
        <w:endnoteReference w:id="16"/>
      </w:r>
    </w:p>
    <w:p w14:paraId="3FE1D45E" w14:textId="31EC6A7D" w:rsidR="000955E0" w:rsidRDefault="000955E0" w:rsidP="000955E0">
      <w:pPr>
        <w:rPr>
          <w:rFonts w:eastAsia="Times New Roman"/>
          <w:lang w:eastAsia="en-AU"/>
        </w:rPr>
      </w:pPr>
      <w:r>
        <w:rPr>
          <w:rFonts w:eastAsia="Times New Roman"/>
          <w:lang w:eastAsia="en-AU"/>
        </w:rPr>
        <w:t xml:space="preserve">The second risk relates to the </w:t>
      </w:r>
      <w:r w:rsidRPr="006F0982">
        <w:rPr>
          <w:rFonts w:eastAsia="Times New Roman"/>
          <w:lang w:eastAsia="en-AU"/>
        </w:rPr>
        <w:t>use of coercive control</w:t>
      </w:r>
      <w:r>
        <w:rPr>
          <w:rFonts w:eastAsia="Times New Roman"/>
          <w:lang w:eastAsia="en-AU"/>
        </w:rPr>
        <w:t>, where a carer or support person disregards an individual’s will and preferences.</w:t>
      </w:r>
      <w:r>
        <w:rPr>
          <w:rStyle w:val="EndnoteReference"/>
          <w:rFonts w:eastAsia="Times New Roman"/>
          <w:lang w:eastAsia="en-AU"/>
        </w:rPr>
        <w:endnoteReference w:id="17"/>
      </w:r>
      <w:r>
        <w:rPr>
          <w:rFonts w:eastAsia="Times New Roman"/>
          <w:lang w:eastAsia="en-AU"/>
        </w:rPr>
        <w:t xml:space="preserve"> The Ageing </w:t>
      </w:r>
      <w:r w:rsidR="001F2833">
        <w:rPr>
          <w:rFonts w:eastAsia="Times New Roman"/>
          <w:lang w:eastAsia="en-AU"/>
        </w:rPr>
        <w:t>and</w:t>
      </w:r>
      <w:r>
        <w:rPr>
          <w:rFonts w:eastAsia="Times New Roman"/>
          <w:lang w:eastAsia="en-AU"/>
        </w:rPr>
        <w:t xml:space="preserve"> Disability Commission has detailed cases of individuals who are socially isolated and heavily reliant on a single carer, with limited practical ability to act on their own preferences or change their situation.</w:t>
      </w:r>
      <w:r>
        <w:rPr>
          <w:rStyle w:val="EndnoteReference"/>
          <w:rFonts w:eastAsia="Times New Roman"/>
          <w:lang w:eastAsia="en-AU"/>
        </w:rPr>
        <w:endnoteReference w:id="18"/>
      </w:r>
      <w:r>
        <w:rPr>
          <w:rFonts w:eastAsia="Times New Roman"/>
          <w:lang w:eastAsia="en-AU"/>
        </w:rPr>
        <w:t xml:space="preserve"> Research from the Victorian Office of the Public Advocate also shows that targeted manipulation and coercive control can also be used by some funded disability support organisations and workers to undermine personal autonomy.</w:t>
      </w:r>
      <w:r>
        <w:rPr>
          <w:rStyle w:val="EndnoteReference"/>
          <w:rFonts w:eastAsia="Times New Roman"/>
          <w:lang w:eastAsia="en-AU"/>
        </w:rPr>
        <w:endnoteReference w:id="19"/>
      </w:r>
    </w:p>
    <w:p w14:paraId="275D13F3" w14:textId="33F11798" w:rsidR="003F7BBF" w:rsidRDefault="000955E0" w:rsidP="000955E0">
      <w:r>
        <w:t xml:space="preserve">First Nations peoples face distinct challenges. </w:t>
      </w:r>
      <w:r w:rsidRPr="00187804">
        <w:t xml:space="preserve">Cultural, linguistic and kinship practices can shape how decisions are made, however, </w:t>
      </w:r>
      <w:r w:rsidR="00952F10">
        <w:t xml:space="preserve">decision-making </w:t>
      </w:r>
      <w:r w:rsidRPr="00187804">
        <w:t xml:space="preserve">systems often </w:t>
      </w:r>
      <w:r>
        <w:t>m</w:t>
      </w:r>
      <w:r w:rsidRPr="00187804">
        <w:t>isinterpret</w:t>
      </w:r>
      <w:r>
        <w:t xml:space="preserve"> or dismiss</w:t>
      </w:r>
      <w:r w:rsidRPr="00187804">
        <w:t xml:space="preserve"> collective or culturally</w:t>
      </w:r>
      <w:r w:rsidRPr="009E4DEB">
        <w:rPr>
          <w:rFonts w:ascii="Cambria Math" w:hAnsi="Cambria Math" w:cs="Cambria Math"/>
        </w:rPr>
        <w:t>‑</w:t>
      </w:r>
      <w:r w:rsidRPr="00187804">
        <w:t xml:space="preserve">embedded </w:t>
      </w:r>
      <w:r w:rsidRPr="00187804">
        <w:lastRenderedPageBreak/>
        <w:t>decision</w:t>
      </w:r>
      <w:r w:rsidRPr="009E4DEB">
        <w:rPr>
          <w:rFonts w:ascii="Cambria Math" w:hAnsi="Cambria Math" w:cs="Cambria Math"/>
        </w:rPr>
        <w:t>‑</w:t>
      </w:r>
      <w:r w:rsidRPr="00187804">
        <w:t>making</w:t>
      </w:r>
      <w:r w:rsidRPr="009E4DEB">
        <w:rPr>
          <w:rFonts w:cs="Open Sans"/>
        </w:rPr>
        <w:t>.</w:t>
      </w:r>
      <w:r w:rsidRPr="00187804">
        <w:rPr>
          <w:rStyle w:val="EndnoteReference"/>
          <w:rFonts w:cs="Open Sans"/>
        </w:rPr>
        <w:endnoteReference w:id="20"/>
      </w:r>
      <w:r w:rsidRPr="009E4DEB">
        <w:rPr>
          <w:rFonts w:cs="Open Sans"/>
        </w:rPr>
        <w:t xml:space="preserve"> </w:t>
      </w:r>
      <w:r w:rsidRPr="009E4DEB">
        <w:t>The A</w:t>
      </w:r>
      <w:r>
        <w:t xml:space="preserve">geing </w:t>
      </w:r>
      <w:r w:rsidR="00952F10">
        <w:t>and</w:t>
      </w:r>
      <w:r>
        <w:t xml:space="preserve"> Disability Commission</w:t>
      </w:r>
      <w:r w:rsidRPr="009E4DEB">
        <w:t xml:space="preserve"> noted</w:t>
      </w:r>
      <w:r w:rsidR="00952F10">
        <w:t xml:space="preserve"> </w:t>
      </w:r>
      <w:r w:rsidRPr="009E4DEB">
        <w:t xml:space="preserve">incomplete recording of First Nations status </w:t>
      </w:r>
      <w:r>
        <w:t xml:space="preserve">was common </w:t>
      </w:r>
      <w:r w:rsidR="00952F10">
        <w:t xml:space="preserve">in their casework, </w:t>
      </w:r>
      <w:r>
        <w:t xml:space="preserve">and </w:t>
      </w:r>
      <w:r w:rsidRPr="009E4DEB">
        <w:t>can hinder culturally safe engagement and limit the identification of appropriate support pathway</w:t>
      </w:r>
      <w:r>
        <w:t>.</w:t>
      </w:r>
      <w:r>
        <w:rPr>
          <w:rStyle w:val="EndnoteReference"/>
        </w:rPr>
        <w:endnoteReference w:id="21"/>
      </w:r>
    </w:p>
    <w:p w14:paraId="60808128" w14:textId="09F263AE" w:rsidR="00F073AA" w:rsidRDefault="00F073AA" w:rsidP="0058707A">
      <w:pPr>
        <w:pStyle w:val="Heading2"/>
      </w:pPr>
      <w:bookmarkStart w:id="6" w:name="_Toc223446757"/>
      <w:r>
        <w:t>Supported decision-making in NSW</w:t>
      </w:r>
      <w:bookmarkEnd w:id="6"/>
    </w:p>
    <w:p w14:paraId="6783ABFE" w14:textId="77777777" w:rsidR="007179C6" w:rsidRDefault="007179C6" w:rsidP="007179C6">
      <w:r w:rsidRPr="00F95D0B">
        <w:rPr>
          <w:color w:val="auto"/>
        </w:rPr>
        <w:t xml:space="preserve">Alongside isolated federal initiatives, several states and territories have also introduced formal </w:t>
      </w:r>
      <w:r>
        <w:rPr>
          <w:color w:val="auto"/>
        </w:rPr>
        <w:t>s</w:t>
      </w:r>
      <w:r w:rsidRPr="006A2E5A">
        <w:rPr>
          <w:color w:val="auto"/>
        </w:rPr>
        <w:t>upported decision-making</w:t>
      </w:r>
      <w:r w:rsidRPr="00F95D0B">
        <w:rPr>
          <w:color w:val="auto"/>
        </w:rPr>
        <w:t xml:space="preserve"> measures</w:t>
      </w:r>
      <w:r>
        <w:t>:</w:t>
      </w:r>
    </w:p>
    <w:p w14:paraId="416A164D" w14:textId="450BA406" w:rsidR="007179C6" w:rsidRDefault="007179C6" w:rsidP="007179C6">
      <w:pPr>
        <w:pStyle w:val="Bodylistbullets"/>
      </w:pPr>
      <w:r>
        <w:t xml:space="preserve">As of November 2025, the </w:t>
      </w:r>
      <w:r w:rsidRPr="00E76AB0">
        <w:rPr>
          <w:i/>
          <w:iCs/>
        </w:rPr>
        <w:t xml:space="preserve">Aged Care Act 2024 </w:t>
      </w:r>
      <w:r w:rsidRPr="008F6AC5">
        <w:t>(Cth)</w:t>
      </w:r>
      <w:r>
        <w:t xml:space="preserve"> allows older people to nominate ‘registered supporters’ to help them understand information and communicate their own decisions.</w:t>
      </w:r>
      <w:r>
        <w:rPr>
          <w:rStyle w:val="EndnoteReference"/>
        </w:rPr>
        <w:endnoteReference w:id="22"/>
      </w:r>
      <w:r>
        <w:t xml:space="preserve"> The Department of Health, Disability and Aging provides several resources to guide </w:t>
      </w:r>
      <w:r>
        <w:rPr>
          <w:color w:val="auto"/>
        </w:rPr>
        <w:t>s</w:t>
      </w:r>
      <w:r w:rsidRPr="006A2E5A">
        <w:rPr>
          <w:color w:val="auto"/>
        </w:rPr>
        <w:t>upported decision-making</w:t>
      </w:r>
      <w:r>
        <w:t xml:space="preserve"> in aged care.</w:t>
      </w:r>
      <w:r>
        <w:rPr>
          <w:rStyle w:val="EndnoteReference"/>
        </w:rPr>
        <w:endnoteReference w:id="23"/>
      </w:r>
      <w:r>
        <w:t xml:space="preserve"> </w:t>
      </w:r>
    </w:p>
    <w:p w14:paraId="1DE65873" w14:textId="77777777" w:rsidR="007179C6" w:rsidRDefault="007179C6" w:rsidP="007179C6">
      <w:pPr>
        <w:pStyle w:val="Bodylistbullets"/>
      </w:pPr>
      <w:r>
        <w:t xml:space="preserve">Victoria’s </w:t>
      </w:r>
      <w:r>
        <w:rPr>
          <w:i/>
          <w:iCs/>
        </w:rPr>
        <w:t>Guardianship and Administration Act 2019</w:t>
      </w:r>
      <w:r>
        <w:rPr>
          <w:i/>
        </w:rPr>
        <w:t xml:space="preserve"> </w:t>
      </w:r>
      <w:r>
        <w:t xml:space="preserve">(Vic) </w:t>
      </w:r>
      <w:r w:rsidRPr="00ED7C64">
        <w:rPr>
          <w:color w:val="auto"/>
        </w:rPr>
        <w:t>reflects the ALRC’s National Decision-Making Principles and now incorporates will and preferences decision-making and formal supportive roles.</w:t>
      </w:r>
      <w:r w:rsidRPr="00ED7C64">
        <w:rPr>
          <w:rStyle w:val="EndnoteReference"/>
          <w:color w:val="auto"/>
        </w:rPr>
        <w:endnoteReference w:id="24"/>
      </w:r>
    </w:p>
    <w:p w14:paraId="28DBEA67" w14:textId="6AA043AF" w:rsidR="007179C6" w:rsidRDefault="007179C6" w:rsidP="007179C6">
      <w:pPr>
        <w:pStyle w:val="Bodylistbullets"/>
      </w:pPr>
      <w:r>
        <w:t xml:space="preserve">Tasmania’s </w:t>
      </w:r>
      <w:r w:rsidRPr="00187804">
        <w:rPr>
          <w:i/>
          <w:iCs/>
        </w:rPr>
        <w:t xml:space="preserve">Guardianship and Administration Amendment </w:t>
      </w:r>
      <w:r>
        <w:rPr>
          <w:i/>
          <w:iCs/>
        </w:rPr>
        <w:t>Bill</w:t>
      </w:r>
      <w:r w:rsidRPr="00187804">
        <w:rPr>
          <w:i/>
          <w:iCs/>
        </w:rPr>
        <w:t xml:space="preserve"> 2023</w:t>
      </w:r>
      <w:r>
        <w:t xml:space="preserve"> (Tas) replaced ‘best interests’ with will and preferences decision-making.</w:t>
      </w:r>
      <w:r>
        <w:rPr>
          <w:rStyle w:val="EndnoteReference"/>
        </w:rPr>
        <w:endnoteReference w:id="25"/>
      </w:r>
    </w:p>
    <w:p w14:paraId="17BC34DB" w14:textId="4C8309A2" w:rsidR="007179C6" w:rsidRDefault="007179C6" w:rsidP="007179C6">
      <w:pPr>
        <w:pStyle w:val="Bodylistbullets"/>
      </w:pPr>
      <w:r>
        <w:t xml:space="preserve">The ACT embeds </w:t>
      </w:r>
      <w:r>
        <w:rPr>
          <w:color w:val="auto"/>
        </w:rPr>
        <w:t>s</w:t>
      </w:r>
      <w:r w:rsidRPr="006A2E5A">
        <w:rPr>
          <w:color w:val="auto"/>
        </w:rPr>
        <w:t xml:space="preserve">upported decision-making </w:t>
      </w:r>
      <w:r>
        <w:t xml:space="preserve">as an alternative at tribunal hearings, with government actively developing </w:t>
      </w:r>
      <w:r>
        <w:rPr>
          <w:color w:val="auto"/>
        </w:rPr>
        <w:t>s</w:t>
      </w:r>
      <w:r w:rsidRPr="006A2E5A">
        <w:rPr>
          <w:color w:val="auto"/>
        </w:rPr>
        <w:t xml:space="preserve">upported decision-making </w:t>
      </w:r>
      <w:r>
        <w:t>resources and training.</w:t>
      </w:r>
      <w:r>
        <w:rPr>
          <w:rStyle w:val="EndnoteReference"/>
        </w:rPr>
        <w:endnoteReference w:id="26"/>
      </w:r>
    </w:p>
    <w:p w14:paraId="69EFE8BF" w14:textId="0ACE7008" w:rsidR="008F6AC5" w:rsidRDefault="007179C6" w:rsidP="008F6AC5">
      <w:pPr>
        <w:rPr>
          <w:rFonts w:eastAsia="Times New Roman"/>
          <w:lang w:eastAsia="en-AU"/>
        </w:rPr>
      </w:pPr>
      <w:bookmarkStart w:id="7" w:name="_Barriers_to_implementation"/>
      <w:bookmarkEnd w:id="7"/>
      <w:r w:rsidRPr="004529D8">
        <w:rPr>
          <w:rFonts w:eastAsia="Times New Roman"/>
          <w:lang w:eastAsia="en-AU"/>
        </w:rPr>
        <w:t xml:space="preserve">NSW </w:t>
      </w:r>
      <w:r>
        <w:rPr>
          <w:rFonts w:eastAsia="Times New Roman"/>
          <w:lang w:eastAsia="en-AU"/>
        </w:rPr>
        <w:t>is</w:t>
      </w:r>
      <w:r w:rsidRPr="004529D8">
        <w:rPr>
          <w:rFonts w:eastAsia="Times New Roman"/>
          <w:lang w:eastAsia="en-AU"/>
        </w:rPr>
        <w:t xml:space="preserve"> behind other jurisdictions.</w:t>
      </w:r>
      <w:r w:rsidR="008F6AC5">
        <w:rPr>
          <w:rFonts w:eastAsia="Times New Roman"/>
          <w:lang w:eastAsia="en-AU"/>
        </w:rPr>
        <w:t xml:space="preserve"> </w:t>
      </w:r>
      <w:r w:rsidR="008F6AC5" w:rsidRPr="004529D8">
        <w:rPr>
          <w:rFonts w:eastAsia="Times New Roman"/>
          <w:lang w:eastAsia="en-AU"/>
        </w:rPr>
        <w:t xml:space="preserve">The NSW Government has not yet </w:t>
      </w:r>
      <w:r w:rsidR="008F6AC5">
        <w:rPr>
          <w:rFonts w:eastAsia="Times New Roman"/>
          <w:lang w:eastAsia="en-AU"/>
        </w:rPr>
        <w:t>enacted the same level of legislative or structural reform as other states and territories.</w:t>
      </w:r>
      <w:r w:rsidR="008F6AC5" w:rsidRPr="004529D8">
        <w:rPr>
          <w:rFonts w:eastAsia="Times New Roman"/>
          <w:lang w:eastAsia="en-AU"/>
        </w:rPr>
        <w:t xml:space="preserve"> Stakeholders such as the Council for Intellectual Disability note that NSW guardianship law still relies heavily on substitute decision-making and lacks statutory obligations to demonstrate that </w:t>
      </w:r>
      <w:r w:rsidR="008F6AC5">
        <w:rPr>
          <w:color w:val="auto"/>
        </w:rPr>
        <w:t>s</w:t>
      </w:r>
      <w:r w:rsidR="008F6AC5" w:rsidRPr="006A2E5A">
        <w:rPr>
          <w:color w:val="auto"/>
        </w:rPr>
        <w:t>upported decision-making</w:t>
      </w:r>
      <w:r w:rsidR="008F6AC5" w:rsidRPr="004529D8">
        <w:rPr>
          <w:rFonts w:eastAsia="Times New Roman"/>
          <w:lang w:eastAsia="en-AU"/>
        </w:rPr>
        <w:t xml:space="preserve"> strategies have been tried before guardianship is imposed</w:t>
      </w:r>
      <w:r w:rsidR="008F6AC5">
        <w:rPr>
          <w:rFonts w:eastAsia="Times New Roman"/>
          <w:lang w:eastAsia="en-AU"/>
        </w:rPr>
        <w:t>.</w:t>
      </w:r>
      <w:r w:rsidR="008F6AC5">
        <w:rPr>
          <w:rStyle w:val="EndnoteReference"/>
          <w:rFonts w:eastAsia="Times New Roman"/>
          <w:lang w:eastAsia="en-AU"/>
        </w:rPr>
        <w:endnoteReference w:id="27"/>
      </w:r>
    </w:p>
    <w:p w14:paraId="5B665F52" w14:textId="548C8548" w:rsidR="00F073AA" w:rsidRPr="00F073AA" w:rsidRDefault="008F6AC5" w:rsidP="008F6AC5">
      <w:r>
        <w:rPr>
          <w:rFonts w:eastAsia="Times New Roman"/>
          <w:lang w:eastAsia="en-AU"/>
        </w:rPr>
        <w:t>With increased recognition of s</w:t>
      </w:r>
      <w:r w:rsidRPr="006A2E5A">
        <w:rPr>
          <w:color w:val="auto"/>
        </w:rPr>
        <w:t>upported decision-making</w:t>
      </w:r>
      <w:r>
        <w:rPr>
          <w:rFonts w:eastAsia="Times New Roman"/>
          <w:lang w:eastAsia="en-AU"/>
        </w:rPr>
        <w:t xml:space="preserve"> across Australia, NSW has a clear responsibility to progress </w:t>
      </w:r>
      <w:r>
        <w:rPr>
          <w:color w:val="auto"/>
        </w:rPr>
        <w:t>s</w:t>
      </w:r>
      <w:r w:rsidRPr="006A2E5A">
        <w:rPr>
          <w:color w:val="auto"/>
        </w:rPr>
        <w:t>upported decision-making</w:t>
      </w:r>
      <w:r>
        <w:rPr>
          <w:rFonts w:eastAsia="Times New Roman"/>
          <w:lang w:eastAsia="en-AU"/>
        </w:rPr>
        <w:t xml:space="preserve"> policy that strengthens autonomy and rights in compliance with CRPD obligations.</w:t>
      </w:r>
    </w:p>
    <w:p w14:paraId="4D07460B" w14:textId="3FE242AC" w:rsidR="008C1C3C" w:rsidRDefault="009E5F68" w:rsidP="0058707A">
      <w:pPr>
        <w:pStyle w:val="Heading2"/>
      </w:pPr>
      <w:bookmarkStart w:id="8" w:name="_Toc223446758"/>
      <w:r>
        <w:t>Barriers to implementation across systems</w:t>
      </w:r>
      <w:bookmarkEnd w:id="8"/>
    </w:p>
    <w:p w14:paraId="26832557" w14:textId="4A0661F8" w:rsidR="009E5F68" w:rsidRPr="009E5F68" w:rsidRDefault="0098505D" w:rsidP="009E5F68">
      <w:r>
        <w:t xml:space="preserve">Several barriers restrain the consistent use of </w:t>
      </w:r>
      <w:r>
        <w:rPr>
          <w:color w:val="auto"/>
        </w:rPr>
        <w:t>s</w:t>
      </w:r>
      <w:r w:rsidRPr="006A2E5A">
        <w:rPr>
          <w:color w:val="auto"/>
        </w:rPr>
        <w:t>upported decision-making</w:t>
      </w:r>
      <w:r>
        <w:t xml:space="preserve"> across NSW service systems.</w:t>
      </w:r>
    </w:p>
    <w:p w14:paraId="2B16F5C8" w14:textId="68C093F0" w:rsidR="008C1C3C" w:rsidRPr="005F07F8" w:rsidRDefault="003974E4" w:rsidP="008C1C3C">
      <w:pPr>
        <w:pStyle w:val="Heading3"/>
      </w:pPr>
      <w:r>
        <w:t>Limited guidance and operational challenges</w:t>
      </w:r>
      <w:r w:rsidR="00250E67" w:rsidRPr="005F07F8">
        <w:t xml:space="preserve"> </w:t>
      </w:r>
    </w:p>
    <w:p w14:paraId="3D184049" w14:textId="6929DEC6" w:rsidR="00BD61E2" w:rsidRDefault="00CD737B" w:rsidP="00BD61E2">
      <w:r>
        <w:t xml:space="preserve">The practical application of </w:t>
      </w:r>
      <w:r>
        <w:rPr>
          <w:color w:val="auto"/>
        </w:rPr>
        <w:t>s</w:t>
      </w:r>
      <w:r w:rsidRPr="006A2E5A">
        <w:rPr>
          <w:color w:val="auto"/>
        </w:rPr>
        <w:t xml:space="preserve">upported decision-making </w:t>
      </w:r>
      <w:r w:rsidRPr="008466A9">
        <w:rPr>
          <w:rFonts w:eastAsia="Times New Roman"/>
          <w:lang w:eastAsia="en-AU"/>
        </w:rPr>
        <w:t>requires time, training and flexibility in service responses.</w:t>
      </w:r>
      <w:r>
        <w:rPr>
          <w:rStyle w:val="EndnoteReference"/>
          <w:rFonts w:eastAsia="Times New Roman"/>
          <w:lang w:eastAsia="en-AU"/>
        </w:rPr>
        <w:endnoteReference w:id="28"/>
      </w:r>
      <w:r>
        <w:rPr>
          <w:b/>
          <w:bCs/>
        </w:rPr>
        <w:t xml:space="preserve"> </w:t>
      </w:r>
      <w:r w:rsidRPr="001425C0">
        <w:rPr>
          <w:rFonts w:eastAsia="Times New Roman"/>
          <w:lang w:eastAsia="en-AU"/>
        </w:rPr>
        <w:t xml:space="preserve">NSW has not yet committed to implementing a </w:t>
      </w:r>
      <w:r>
        <w:rPr>
          <w:color w:val="auto"/>
        </w:rPr>
        <w:t>s</w:t>
      </w:r>
      <w:r w:rsidRPr="006A2E5A">
        <w:rPr>
          <w:color w:val="auto"/>
        </w:rPr>
        <w:t xml:space="preserve">upported decision-making </w:t>
      </w:r>
      <w:r w:rsidRPr="001425C0">
        <w:rPr>
          <w:rFonts w:eastAsia="Times New Roman"/>
          <w:lang w:eastAsia="en-AU"/>
        </w:rPr>
        <w:t>framework, resulting in inconsistent understanding across sectors and limited practical guidance for workers.</w:t>
      </w:r>
      <w:r>
        <w:rPr>
          <w:rStyle w:val="EndnoteReference"/>
          <w:rFonts w:eastAsia="Times New Roman"/>
          <w:lang w:eastAsia="en-AU"/>
        </w:rPr>
        <w:endnoteReference w:id="29"/>
      </w:r>
      <w:r w:rsidRPr="001425C0">
        <w:rPr>
          <w:rFonts w:eastAsia="Times New Roman"/>
          <w:lang w:eastAsia="en-AU"/>
        </w:rPr>
        <w:t xml:space="preserve"> </w:t>
      </w:r>
      <w:r w:rsidRPr="001425C0">
        <w:rPr>
          <w:rFonts w:eastAsia="Times New Roman"/>
          <w:lang w:eastAsia="en-AU"/>
        </w:rPr>
        <w:lastRenderedPageBreak/>
        <w:t>Without clear expectations, workers often rely on substitute decision-making even when support could be provided</w:t>
      </w:r>
      <w:r>
        <w:t>.</w:t>
      </w:r>
      <w:r>
        <w:rPr>
          <w:rStyle w:val="EndnoteReference"/>
        </w:rPr>
        <w:endnoteReference w:id="30"/>
      </w:r>
    </w:p>
    <w:p w14:paraId="0212EEDF" w14:textId="113A6711" w:rsidR="008C1C3C" w:rsidRDefault="00BD61E2" w:rsidP="00BD61E2">
      <w:r>
        <w:t xml:space="preserve">Further to this, </w:t>
      </w:r>
      <w:r w:rsidR="00887096" w:rsidRPr="00BD61E2">
        <w:rPr>
          <w:rFonts w:eastAsia="Times New Roman"/>
          <w:lang w:eastAsia="en-AU"/>
        </w:rPr>
        <w:t>NSW lacks a resourced body to lead s</w:t>
      </w:r>
      <w:r w:rsidR="00887096" w:rsidRPr="00BD61E2">
        <w:rPr>
          <w:color w:val="auto"/>
        </w:rPr>
        <w:t xml:space="preserve">upported decision-making </w:t>
      </w:r>
      <w:r w:rsidR="00887096" w:rsidRPr="00BD61E2">
        <w:rPr>
          <w:rFonts w:eastAsia="Times New Roman"/>
          <w:lang w:eastAsia="en-AU"/>
        </w:rPr>
        <w:t>policy, training and monitoring.</w:t>
      </w:r>
    </w:p>
    <w:p w14:paraId="47EBBA65" w14:textId="345BE6F9" w:rsidR="00CD737B" w:rsidRDefault="00CD737B" w:rsidP="00CD737B">
      <w:pPr>
        <w:pStyle w:val="Heading3"/>
      </w:pPr>
      <w:r>
        <w:t>Legal requirements that default to substitute decision-making</w:t>
      </w:r>
    </w:p>
    <w:p w14:paraId="549D25F4" w14:textId="0AA73D91" w:rsidR="008C1C3C" w:rsidRDefault="00C63D13" w:rsidP="00965614">
      <w:r w:rsidRPr="009941C3">
        <w:rPr>
          <w:rFonts w:eastAsia="Times New Roman"/>
          <w:lang w:eastAsia="en-AU"/>
        </w:rPr>
        <w:t xml:space="preserve">NSW guardianship law does not require evidence that </w:t>
      </w:r>
      <w:r>
        <w:rPr>
          <w:color w:val="auto"/>
        </w:rPr>
        <w:t>s</w:t>
      </w:r>
      <w:r w:rsidRPr="006A2E5A">
        <w:rPr>
          <w:color w:val="auto"/>
        </w:rPr>
        <w:t>upported decision-making</w:t>
      </w:r>
      <w:r w:rsidRPr="009941C3">
        <w:rPr>
          <w:rFonts w:eastAsia="Times New Roman"/>
          <w:lang w:eastAsia="en-AU"/>
        </w:rPr>
        <w:t xml:space="preserve"> strategies have been tried before a guardianship order is made, contributing to premature reliance on substitute decision-making</w:t>
      </w:r>
      <w:r>
        <w:rPr>
          <w:rFonts w:eastAsia="Times New Roman"/>
          <w:lang w:eastAsia="en-AU"/>
        </w:rPr>
        <w:t>.</w:t>
      </w:r>
      <w:r>
        <w:rPr>
          <w:rStyle w:val="EndnoteReference"/>
          <w:rFonts w:eastAsia="Times New Roman"/>
          <w:lang w:eastAsia="en-AU"/>
        </w:rPr>
        <w:endnoteReference w:id="31"/>
      </w:r>
    </w:p>
    <w:p w14:paraId="136CAF51" w14:textId="15BCC6F1" w:rsidR="00CD737B" w:rsidRDefault="00CD737B" w:rsidP="00CD737B">
      <w:pPr>
        <w:pStyle w:val="Heading3"/>
      </w:pPr>
      <w:r>
        <w:t>NDIS structures that increase substitute decision-making</w:t>
      </w:r>
    </w:p>
    <w:p w14:paraId="6F08FF1F" w14:textId="35DB3CEC" w:rsidR="00CD737B" w:rsidRDefault="0015745F" w:rsidP="00965614">
      <w:r>
        <w:t>C</w:t>
      </w:r>
      <w:r w:rsidRPr="00A80493">
        <w:t xml:space="preserve">urrent plan management and representative arrangements </w:t>
      </w:r>
      <w:r>
        <w:t>(i.e. plan nominees)</w:t>
      </w:r>
      <w:r w:rsidRPr="00A80493">
        <w:t xml:space="preserve"> can place decision making authority with people other than the participant, even when support</w:t>
      </w:r>
      <w:r>
        <w:t xml:space="preserve">, </w:t>
      </w:r>
      <w:r w:rsidRPr="00A80493">
        <w:t>not substitution</w:t>
      </w:r>
      <w:r>
        <w:t xml:space="preserve">, </w:t>
      </w:r>
      <w:r w:rsidRPr="00A80493">
        <w:t>is required.</w:t>
      </w:r>
      <w:r>
        <w:rPr>
          <w:rStyle w:val="EndnoteReference"/>
        </w:rPr>
        <w:endnoteReference w:id="32"/>
      </w:r>
    </w:p>
    <w:p w14:paraId="2F2821B9" w14:textId="3149E001" w:rsidR="00CD737B" w:rsidRDefault="00CD737B" w:rsidP="00CD737B">
      <w:pPr>
        <w:pStyle w:val="Heading3"/>
      </w:pPr>
      <w:r>
        <w:t>Barriers linked to family dynamics and help seeking</w:t>
      </w:r>
    </w:p>
    <w:p w14:paraId="75B449A9" w14:textId="17143432" w:rsidR="00CD737B" w:rsidRDefault="00DA1788" w:rsidP="00965614">
      <w:r w:rsidRPr="00B81E68">
        <w:t>Barriers linked to family dynamics and help-seeking are particularly significant for many people</w:t>
      </w:r>
      <w:r>
        <w:t>, especially older people</w:t>
      </w:r>
      <w:r w:rsidRPr="00B81E68">
        <w:t>. D</w:t>
      </w:r>
      <w:r w:rsidRPr="00535EFC">
        <w:rPr>
          <w:rFonts w:eastAsia="Times New Roman"/>
          <w:lang w:eastAsia="en-AU"/>
        </w:rPr>
        <w:t xml:space="preserve">ecision-making is </w:t>
      </w:r>
      <w:r w:rsidRPr="26E1CA0C">
        <w:rPr>
          <w:rFonts w:eastAsia="Times New Roman"/>
          <w:lang w:eastAsia="en-AU"/>
        </w:rPr>
        <w:t>often</w:t>
      </w:r>
      <w:r w:rsidRPr="00535EFC">
        <w:rPr>
          <w:rFonts w:eastAsia="Times New Roman"/>
          <w:lang w:eastAsia="en-AU"/>
        </w:rPr>
        <w:t xml:space="preserve"> shaped by long-standing, complex family relationships, where dependence on familial support can influence how an older person seeks support. Because a s</w:t>
      </w:r>
      <w:r w:rsidRPr="0BC798C4">
        <w:rPr>
          <w:rFonts w:eastAsia="Times New Roman"/>
          <w:lang w:eastAsia="en-AU"/>
        </w:rPr>
        <w:t>ubstantial</w:t>
      </w:r>
      <w:r w:rsidRPr="00535EFC">
        <w:rPr>
          <w:rFonts w:eastAsia="Times New Roman"/>
          <w:lang w:eastAsia="en-AU"/>
        </w:rPr>
        <w:t xml:space="preserve"> proportion of elder abuse is perpetrated by family members, older people may feel pressure </w:t>
      </w:r>
      <w:r w:rsidRPr="4972876C">
        <w:rPr>
          <w:rFonts w:eastAsia="Times New Roman"/>
          <w:lang w:eastAsia="en-AU"/>
        </w:rPr>
        <w:t xml:space="preserve">to defer to relatives or may fear damaging important relationships if they seek help. </w:t>
      </w:r>
      <w:r>
        <w:rPr>
          <w:rFonts w:eastAsia="Times New Roman"/>
          <w:lang w:eastAsia="en-AU"/>
        </w:rPr>
        <w:t>L</w:t>
      </w:r>
      <w:r w:rsidRPr="00535EFC">
        <w:rPr>
          <w:rFonts w:eastAsia="Times New Roman"/>
          <w:lang w:eastAsia="en-AU"/>
        </w:rPr>
        <w:t xml:space="preserve">ack </w:t>
      </w:r>
      <w:r>
        <w:rPr>
          <w:rFonts w:eastAsia="Times New Roman"/>
          <w:lang w:eastAsia="en-AU"/>
        </w:rPr>
        <w:t xml:space="preserve">of </w:t>
      </w:r>
      <w:r w:rsidRPr="00535EFC">
        <w:rPr>
          <w:rFonts w:eastAsia="Times New Roman"/>
          <w:lang w:eastAsia="en-AU"/>
        </w:rPr>
        <w:t xml:space="preserve">access to rights-based information or independent assistance </w:t>
      </w:r>
      <w:r>
        <w:rPr>
          <w:rFonts w:eastAsia="Times New Roman"/>
          <w:lang w:eastAsia="en-AU"/>
        </w:rPr>
        <w:t>can further compound these challenges</w:t>
      </w:r>
      <w:r w:rsidRPr="00535EFC">
        <w:rPr>
          <w:rFonts w:eastAsia="Times New Roman"/>
          <w:lang w:eastAsia="en-AU"/>
        </w:rPr>
        <w:t xml:space="preserve">. </w:t>
      </w:r>
      <w:r>
        <w:rPr>
          <w:rFonts w:eastAsia="Times New Roman"/>
          <w:lang w:eastAsia="en-AU"/>
        </w:rPr>
        <w:t>For example, in the context of power of attorney and guardianship arrangements, limited understanding of the distinct roles and responsibilities of the principal and appointed decision-maker can increase the risk of misuse of authority and abuse.</w:t>
      </w:r>
      <w:r w:rsidRPr="000669F6">
        <w:rPr>
          <w:rStyle w:val="EndnoteReference"/>
        </w:rPr>
        <w:endnoteReference w:id="33"/>
      </w:r>
    </w:p>
    <w:p w14:paraId="0F871A56" w14:textId="0390D90F" w:rsidR="00CD737B" w:rsidRDefault="00CD737B" w:rsidP="00CD737B">
      <w:pPr>
        <w:pStyle w:val="Heading3"/>
      </w:pPr>
      <w:r>
        <w:t>Federal inaction on a national supported decision-making framework</w:t>
      </w:r>
    </w:p>
    <w:p w14:paraId="3FD2DFF1" w14:textId="00C2F967" w:rsidR="00CD737B" w:rsidRDefault="00EF19B0" w:rsidP="00965614">
      <w:r>
        <w:t>Despite the introduction of ‘registered supporters’ in the</w:t>
      </w:r>
      <w:r w:rsidRPr="00BE4CA3">
        <w:rPr>
          <w:rFonts w:eastAsia="Times New Roman"/>
          <w:lang w:eastAsia="en-AU"/>
        </w:rPr>
        <w:t xml:space="preserve"> </w:t>
      </w:r>
      <w:r w:rsidRPr="00BE4CA3">
        <w:rPr>
          <w:rFonts w:eastAsia="Times New Roman"/>
          <w:i/>
          <w:iCs/>
          <w:lang w:eastAsia="en-AU"/>
        </w:rPr>
        <w:t>Aged Care Act 2024 (Cth)</w:t>
      </w:r>
      <w:r w:rsidRPr="00BE4CA3">
        <w:rPr>
          <w:rFonts w:eastAsia="Times New Roman"/>
          <w:lang w:eastAsia="en-AU"/>
        </w:rPr>
        <w:t xml:space="preserve">, the </w:t>
      </w:r>
      <w:r>
        <w:rPr>
          <w:rFonts w:eastAsia="Times New Roman"/>
          <w:lang w:eastAsia="en-AU"/>
        </w:rPr>
        <w:t>Australian Government</w:t>
      </w:r>
      <w:r w:rsidRPr="00BE4CA3">
        <w:rPr>
          <w:rFonts w:eastAsia="Times New Roman"/>
          <w:lang w:eastAsia="en-AU"/>
        </w:rPr>
        <w:t xml:space="preserve"> has not yet implemented a coordinated approach that aligns with the </w:t>
      </w:r>
      <w:r>
        <w:rPr>
          <w:rFonts w:eastAsia="Times New Roman"/>
          <w:lang w:eastAsia="en-AU"/>
        </w:rPr>
        <w:t xml:space="preserve">ALRC or the </w:t>
      </w:r>
      <w:r w:rsidRPr="00BE4CA3">
        <w:rPr>
          <w:rFonts w:eastAsia="Times New Roman"/>
          <w:lang w:eastAsia="en-AU"/>
        </w:rPr>
        <w:t xml:space="preserve">Disability Royal Commission’s recommendation for a national </w:t>
      </w:r>
      <w:r>
        <w:rPr>
          <w:color w:val="auto"/>
        </w:rPr>
        <w:t>s</w:t>
      </w:r>
      <w:r w:rsidRPr="006A2E5A">
        <w:rPr>
          <w:color w:val="auto"/>
        </w:rPr>
        <w:t>upported decision-making</w:t>
      </w:r>
      <w:r w:rsidRPr="00BE4CA3">
        <w:rPr>
          <w:rFonts w:eastAsia="Times New Roman"/>
          <w:lang w:eastAsia="en-AU"/>
        </w:rPr>
        <w:t xml:space="preserve"> framework and workforce development plan.</w:t>
      </w:r>
      <w:r w:rsidRPr="00BE4CA3">
        <w:rPr>
          <w:b/>
          <w:bCs/>
        </w:rPr>
        <w:t xml:space="preserve"> </w:t>
      </w:r>
      <w:r w:rsidRPr="00BE4CA3">
        <w:rPr>
          <w:rFonts w:eastAsia="Times New Roman"/>
          <w:lang w:eastAsia="en-AU"/>
        </w:rPr>
        <w:t>As a result, NSW services operate without nationally consistent guidance or obligations.</w:t>
      </w:r>
      <w:r>
        <w:rPr>
          <w:rStyle w:val="EndnoteReference"/>
          <w:rFonts w:eastAsia="Times New Roman"/>
          <w:lang w:eastAsia="en-AU"/>
        </w:rPr>
        <w:endnoteReference w:id="34"/>
      </w:r>
    </w:p>
    <w:p w14:paraId="38D0C3D0" w14:textId="77777777" w:rsidR="0015672E" w:rsidRDefault="0015672E" w:rsidP="00EF19B0">
      <w:pPr>
        <w:numPr>
          <w:ilvl w:val="0"/>
          <w:numId w:val="0"/>
        </w:numPr>
        <w:ind w:left="29" w:hanging="29"/>
        <w:sectPr w:rsidR="0015672E" w:rsidSect="003D23EE">
          <w:headerReference w:type="default" r:id="rId22"/>
          <w:footnotePr>
            <w:numFmt w:val="lowerRoman"/>
          </w:footnotePr>
          <w:endnotePr>
            <w:numFmt w:val="decimal"/>
          </w:endnotePr>
          <w:pgSz w:w="11906" w:h="16838" w:code="9"/>
          <w:pgMar w:top="1440" w:right="1440" w:bottom="1440" w:left="1440" w:header="720" w:footer="720" w:gutter="0"/>
          <w:cols w:space="720"/>
          <w:docGrid w:linePitch="360"/>
        </w:sectPr>
      </w:pPr>
    </w:p>
    <w:bookmarkStart w:id="9" w:name="_Pre-set_styles" w:displacedByCustomXml="next"/>
    <w:bookmarkEnd w:id="9" w:displacedByCustomXml="next"/>
    <w:bookmarkStart w:id="10" w:name="_Toc223446759" w:displacedByCustomXml="next"/>
    <w:sdt>
      <w:sdtPr>
        <w:id w:val="843747021"/>
        <w:placeholder>
          <w:docPart w:val="005289C0DAC444C9B6829ECE00F5D232"/>
        </w:placeholder>
        <w:dataBinding w:prefixMappings="xmlns:ns0='http://AHRCheadings.htm' " w:xpath="/ns0:headings[1]/ns0:Topic2[1]" w:storeItemID="{59E40458-85DB-4B58-AD7F-ED1E21A92441}"/>
        <w:text/>
      </w:sdtPr>
      <w:sdtContent>
        <w:p w14:paraId="3BF4C985" w14:textId="7967EAB2" w:rsidR="00E142DE" w:rsidRDefault="00BB0D1D" w:rsidP="0015672E">
          <w:pPr>
            <w:pStyle w:val="Heading1"/>
          </w:pPr>
          <w:r>
            <w:t>Embedding supported decision-making in NSW systems</w:t>
          </w:r>
        </w:p>
      </w:sdtContent>
    </w:sdt>
    <w:bookmarkEnd w:id="10" w:displacedByCustomXml="prev"/>
    <w:p w14:paraId="7F23126A" w14:textId="30FFD806" w:rsidR="00D56738" w:rsidRDefault="00D56738" w:rsidP="00BB0F71">
      <w:pPr>
        <w:pStyle w:val="Sectionsummarybody"/>
      </w:pPr>
      <w:r>
        <w:t xml:space="preserve">This section explains how supported decision-making </w:t>
      </w:r>
      <w:r w:rsidR="002506DD">
        <w:t>can</w:t>
      </w:r>
      <w:r>
        <w:t xml:space="preserve"> be embedded across NSW systems, noting that:</w:t>
      </w:r>
    </w:p>
    <w:p w14:paraId="5CD4B80D" w14:textId="51E4D39E" w:rsidR="009C7C07" w:rsidRDefault="009C7C07" w:rsidP="009C7C07">
      <w:pPr>
        <w:pStyle w:val="Sectionsummarylistbullets"/>
        <w:rPr>
          <w:rFonts w:eastAsia="Times New Roman"/>
          <w:lang w:eastAsia="en-AU"/>
        </w:rPr>
      </w:pPr>
      <w:r>
        <w:rPr>
          <w:rFonts w:eastAsia="Times New Roman"/>
          <w:lang w:eastAsia="en-AU"/>
        </w:rPr>
        <w:t>s</w:t>
      </w:r>
      <w:r w:rsidRPr="009C7C07">
        <w:rPr>
          <w:rFonts w:eastAsia="Times New Roman"/>
          <w:lang w:eastAsia="en-AU"/>
        </w:rPr>
        <w:t xml:space="preserve">upported decision-making should be practised as a core safeguarding approach, </w:t>
      </w:r>
      <w:r w:rsidR="002506DD">
        <w:rPr>
          <w:rFonts w:eastAsia="Times New Roman"/>
          <w:lang w:eastAsia="en-AU"/>
        </w:rPr>
        <w:t>rather than simply treated as</w:t>
      </w:r>
      <w:r w:rsidRPr="009C7C07">
        <w:rPr>
          <w:rFonts w:eastAsia="Times New Roman"/>
          <w:lang w:eastAsia="en-AU"/>
        </w:rPr>
        <w:t xml:space="preserve"> a procedural step</w:t>
      </w:r>
    </w:p>
    <w:p w14:paraId="55BF80C3" w14:textId="77777777" w:rsidR="001522C7" w:rsidRDefault="008E3048" w:rsidP="001522C7">
      <w:pPr>
        <w:pStyle w:val="Sectionsummarylistbullets"/>
        <w:rPr>
          <w:rFonts w:eastAsia="Times New Roman"/>
          <w:lang w:eastAsia="en-AU"/>
        </w:rPr>
      </w:pPr>
      <w:r>
        <w:rPr>
          <w:rFonts w:eastAsia="Times New Roman"/>
          <w:lang w:eastAsia="en-AU"/>
        </w:rPr>
        <w:t>a legislative amendment would strengthen the Ageing and Disability Commission’s mandate to guide the sector on supported decision-making</w:t>
      </w:r>
    </w:p>
    <w:p w14:paraId="008AFE86" w14:textId="4F4A4401" w:rsidR="001522C7" w:rsidRDefault="001522C7" w:rsidP="001522C7">
      <w:pPr>
        <w:pStyle w:val="Sectionsummarylistbullets"/>
        <w:rPr>
          <w:rFonts w:eastAsia="Times New Roman"/>
          <w:lang w:eastAsia="en-AU"/>
        </w:rPr>
      </w:pPr>
      <w:r>
        <w:rPr>
          <w:rFonts w:eastAsia="Times New Roman"/>
          <w:lang w:eastAsia="en-AU"/>
        </w:rPr>
        <w:t>p</w:t>
      </w:r>
      <w:r w:rsidR="009C7C07" w:rsidRPr="001522C7">
        <w:rPr>
          <w:rFonts w:eastAsia="Times New Roman"/>
          <w:lang w:eastAsia="en-AU"/>
        </w:rPr>
        <w:t>ublic</w:t>
      </w:r>
      <w:r w:rsidR="00A743A7" w:rsidRPr="001522C7">
        <w:rPr>
          <w:rFonts w:eastAsia="Times New Roman"/>
          <w:lang w:eastAsia="en-AU"/>
        </w:rPr>
        <w:t xml:space="preserve"> </w:t>
      </w:r>
      <w:r w:rsidR="009C7C07" w:rsidRPr="001522C7">
        <w:rPr>
          <w:rFonts w:eastAsia="Times New Roman"/>
          <w:lang w:eastAsia="en-AU"/>
        </w:rPr>
        <w:t>facing education, rights literacy, and practical resources are needed to help carers and communities understand supported decision</w:t>
      </w:r>
      <w:r w:rsidR="09834A8A" w:rsidRPr="001522C7">
        <w:rPr>
          <w:rFonts w:eastAsia="Times New Roman"/>
          <w:lang w:eastAsia="en-AU"/>
        </w:rPr>
        <w:t>-</w:t>
      </w:r>
      <w:r w:rsidR="009C7C07" w:rsidRPr="001522C7">
        <w:rPr>
          <w:rFonts w:eastAsia="Times New Roman"/>
          <w:lang w:eastAsia="en-AU"/>
        </w:rPr>
        <w:t>making</w:t>
      </w:r>
    </w:p>
    <w:p w14:paraId="3D82181A" w14:textId="69125D1D" w:rsidR="009C7C07" w:rsidRPr="001522C7" w:rsidRDefault="008E3048" w:rsidP="001522C7">
      <w:pPr>
        <w:pStyle w:val="Sectionsummarylistbullets"/>
        <w:rPr>
          <w:rFonts w:eastAsia="Times New Roman"/>
          <w:lang w:eastAsia="en-AU"/>
        </w:rPr>
      </w:pPr>
      <w:r w:rsidRPr="001522C7">
        <w:rPr>
          <w:rFonts w:eastAsia="Times New Roman"/>
          <w:lang w:eastAsia="en-AU"/>
        </w:rPr>
        <w:t>c</w:t>
      </w:r>
      <w:r w:rsidR="009C7C07" w:rsidRPr="001522C7">
        <w:rPr>
          <w:rFonts w:eastAsia="Times New Roman"/>
          <w:lang w:eastAsia="en-AU"/>
        </w:rPr>
        <w:t xml:space="preserve">onsistent practice requires </w:t>
      </w:r>
      <w:r w:rsidR="6CDDA44E" w:rsidRPr="001522C7">
        <w:rPr>
          <w:rFonts w:eastAsia="Times New Roman"/>
          <w:lang w:eastAsia="en-AU"/>
        </w:rPr>
        <w:t xml:space="preserve">sector </w:t>
      </w:r>
      <w:r w:rsidR="009C7C07" w:rsidRPr="001522C7">
        <w:rPr>
          <w:rFonts w:eastAsia="Times New Roman"/>
          <w:lang w:eastAsia="en-AU"/>
        </w:rPr>
        <w:t xml:space="preserve">specific toolkits and </w:t>
      </w:r>
      <w:r w:rsidR="4B5878CD" w:rsidRPr="001522C7">
        <w:rPr>
          <w:rFonts w:eastAsia="Times New Roman"/>
          <w:lang w:eastAsia="en-AU"/>
        </w:rPr>
        <w:t xml:space="preserve">cross </w:t>
      </w:r>
      <w:r w:rsidR="009C7C07" w:rsidRPr="001522C7">
        <w:rPr>
          <w:rFonts w:eastAsia="Times New Roman"/>
          <w:lang w:eastAsia="en-AU"/>
        </w:rPr>
        <w:t>system guidance codesigned with people with lived experience</w:t>
      </w:r>
    </w:p>
    <w:p w14:paraId="4BC19260" w14:textId="77777777" w:rsidR="001522C7" w:rsidRDefault="008E3048" w:rsidP="001522C7">
      <w:pPr>
        <w:pStyle w:val="Sectionsummarylistbullets"/>
        <w:rPr>
          <w:rFonts w:eastAsia="Times New Roman"/>
          <w:lang w:eastAsia="en-AU"/>
        </w:rPr>
      </w:pPr>
      <w:r>
        <w:rPr>
          <w:rFonts w:eastAsia="Times New Roman"/>
          <w:lang w:eastAsia="en-AU"/>
        </w:rPr>
        <w:t>the</w:t>
      </w:r>
      <w:r w:rsidR="009C7C07" w:rsidRPr="009C7C07">
        <w:rPr>
          <w:rFonts w:eastAsia="Times New Roman"/>
          <w:lang w:eastAsia="en-AU"/>
        </w:rPr>
        <w:t xml:space="preserve"> </w:t>
      </w:r>
      <w:r>
        <w:rPr>
          <w:rFonts w:eastAsia="Times New Roman"/>
          <w:lang w:eastAsia="en-AU"/>
        </w:rPr>
        <w:t xml:space="preserve">Ageing and Disability </w:t>
      </w:r>
      <w:r w:rsidR="009C7C07" w:rsidRPr="009C7C07">
        <w:rPr>
          <w:rFonts w:eastAsia="Times New Roman"/>
          <w:lang w:eastAsia="en-AU"/>
        </w:rPr>
        <w:t>Commission would require sustained, dedicated resourcing</w:t>
      </w:r>
      <w:r w:rsidR="00E60861">
        <w:rPr>
          <w:rFonts w:eastAsia="Times New Roman"/>
          <w:lang w:eastAsia="en-AU"/>
        </w:rPr>
        <w:t xml:space="preserve"> to lead NSW on supported decision-making</w:t>
      </w:r>
    </w:p>
    <w:p w14:paraId="7C511B20" w14:textId="2D345585" w:rsidR="009C7C07" w:rsidRPr="001522C7" w:rsidRDefault="00E60861" w:rsidP="001522C7">
      <w:pPr>
        <w:pStyle w:val="Sectionsummarylistbullets"/>
        <w:rPr>
          <w:rFonts w:eastAsia="Times New Roman"/>
          <w:lang w:eastAsia="en-AU"/>
        </w:rPr>
      </w:pPr>
      <w:r w:rsidRPr="001522C7">
        <w:rPr>
          <w:rFonts w:eastAsia="Times New Roman"/>
          <w:lang w:eastAsia="en-AU"/>
        </w:rPr>
        <w:t>s</w:t>
      </w:r>
      <w:r w:rsidR="009C7C07" w:rsidRPr="001522C7">
        <w:rPr>
          <w:rFonts w:eastAsia="Times New Roman"/>
          <w:lang w:eastAsia="en-AU"/>
        </w:rPr>
        <w:t>ubstitute decision</w:t>
      </w:r>
      <w:r w:rsidR="53D7A884" w:rsidRPr="001522C7">
        <w:rPr>
          <w:rFonts w:eastAsia="Times New Roman"/>
          <w:lang w:eastAsia="en-AU"/>
        </w:rPr>
        <w:t>-m</w:t>
      </w:r>
      <w:r w:rsidR="009C7C07" w:rsidRPr="001522C7">
        <w:rPr>
          <w:rFonts w:eastAsia="Times New Roman"/>
          <w:lang w:eastAsia="en-AU"/>
        </w:rPr>
        <w:t>aking should remain a last resort, guided by the ALRC’s Principle 3 (will, preferences and rights)</w:t>
      </w:r>
      <w:r w:rsidRPr="001522C7">
        <w:rPr>
          <w:rFonts w:eastAsia="Times New Roman"/>
          <w:lang w:eastAsia="en-AU"/>
        </w:rPr>
        <w:t>.</w:t>
      </w:r>
    </w:p>
    <w:p w14:paraId="16CAC703" w14:textId="4446E521" w:rsidR="00BB0D1D" w:rsidRDefault="00F15674" w:rsidP="00BB0D1D">
      <w:r>
        <w:t>Expanding</w:t>
      </w:r>
      <w:r w:rsidRPr="00C027DB">
        <w:t xml:space="preserve"> the </w:t>
      </w:r>
      <w:r>
        <w:t>safeguarding role of</w:t>
      </w:r>
      <w:r w:rsidRPr="00C027DB">
        <w:t xml:space="preserve"> the </w:t>
      </w:r>
      <w:r>
        <w:t>Ageing and Disability Commission</w:t>
      </w:r>
      <w:r w:rsidRPr="00C027DB">
        <w:t xml:space="preserve"> in promoting and guiding </w:t>
      </w:r>
      <w:r>
        <w:rPr>
          <w:color w:val="auto"/>
        </w:rPr>
        <w:t>s</w:t>
      </w:r>
      <w:r w:rsidRPr="006A2E5A">
        <w:rPr>
          <w:color w:val="auto"/>
        </w:rPr>
        <w:t>upported decision-making</w:t>
      </w:r>
      <w:r w:rsidRPr="00C027DB">
        <w:t xml:space="preserve"> would shift practice beyond compliance checklists toward genuine, day</w:t>
      </w:r>
      <w:r w:rsidRPr="00C027DB">
        <w:noBreakHyphen/>
        <w:t>to</w:t>
      </w:r>
      <w:r w:rsidRPr="00C027DB">
        <w:noBreakHyphen/>
        <w:t>day implementation.</w:t>
      </w:r>
      <w:r>
        <w:t xml:space="preserve"> </w:t>
      </w:r>
      <w:r w:rsidR="003C14AC">
        <w:t>As</w:t>
      </w:r>
      <w:r w:rsidR="003C14AC" w:rsidRPr="00C027DB">
        <w:t xml:space="preserve"> </w:t>
      </w:r>
      <w:r w:rsidR="003C14AC">
        <w:t>the Older Persons Advocacy Network (OPAN)</w:t>
      </w:r>
      <w:r w:rsidR="003C14AC" w:rsidRPr="00C027DB">
        <w:t xml:space="preserve"> notes</w:t>
      </w:r>
      <w:r w:rsidR="002506DD">
        <w:t>:</w:t>
      </w:r>
      <w:r w:rsidR="003C14AC" w:rsidRPr="00C027DB">
        <w:t xml:space="preserve"> </w:t>
      </w:r>
      <w:r w:rsidR="003C14AC">
        <w:rPr>
          <w:color w:val="auto"/>
        </w:rPr>
        <w:t>s</w:t>
      </w:r>
      <w:r w:rsidR="003C14AC" w:rsidRPr="006A2E5A">
        <w:rPr>
          <w:color w:val="auto"/>
        </w:rPr>
        <w:t xml:space="preserve">upported decision-making </w:t>
      </w:r>
      <w:r w:rsidR="003C14AC" w:rsidRPr="00C027DB">
        <w:t>must be embedded across aged care and related systems</w:t>
      </w:r>
      <w:r w:rsidR="003C14AC">
        <w:t xml:space="preserve">, </w:t>
      </w:r>
      <w:r w:rsidR="003C14AC" w:rsidRPr="00C027DB">
        <w:t>not treated as a procedural step</w:t>
      </w:r>
      <w:r w:rsidR="003C14AC">
        <w:t xml:space="preserve">, </w:t>
      </w:r>
      <w:r w:rsidR="003C14AC" w:rsidRPr="00C027DB">
        <w:t>to ensure workers have the skills, time and confidence to support people’s will and preferences in real</w:t>
      </w:r>
      <w:r w:rsidR="086CB5AE" w:rsidRPr="00C027DB">
        <w:t xml:space="preserve"> w</w:t>
      </w:r>
      <w:r w:rsidR="003C14AC" w:rsidRPr="00C027DB">
        <w:t>orld contexts.</w:t>
      </w:r>
      <w:r w:rsidR="003C14AC">
        <w:rPr>
          <w:rStyle w:val="EndnoteReference"/>
        </w:rPr>
        <w:endnoteReference w:id="35"/>
      </w:r>
      <w:r w:rsidR="003C14AC">
        <w:t xml:space="preserve"> </w:t>
      </w:r>
    </w:p>
    <w:p w14:paraId="1656684D" w14:textId="3B8BAEE0" w:rsidR="002B035E" w:rsidRPr="006D557A" w:rsidRDefault="008B63FD" w:rsidP="0058707A">
      <w:pPr>
        <w:pStyle w:val="Heading2"/>
      </w:pPr>
      <w:bookmarkStart w:id="11" w:name="_Toc223446760"/>
      <w:r>
        <w:t xml:space="preserve">Changes to the Ageing and Disability Commission’s functions or </w:t>
      </w:r>
      <w:r w:rsidR="002F5CE9">
        <w:t>Act</w:t>
      </w:r>
      <w:bookmarkEnd w:id="11"/>
    </w:p>
    <w:p w14:paraId="79F5AECC" w14:textId="621E6715" w:rsidR="002B035E" w:rsidRPr="00563246" w:rsidRDefault="000C1CF1" w:rsidP="00965614">
      <w:r w:rsidRPr="00215909">
        <w:rPr>
          <w:rFonts w:eastAsia="Times New Roman"/>
          <w:lang w:eastAsia="en-AU"/>
        </w:rPr>
        <w:t xml:space="preserve">At present, the </w:t>
      </w:r>
      <w:r>
        <w:rPr>
          <w:rFonts w:eastAsia="Times New Roman"/>
          <w:lang w:eastAsia="en-AU"/>
        </w:rPr>
        <w:t>Ageing and Disability Commission</w:t>
      </w:r>
      <w:r w:rsidRPr="00215909">
        <w:rPr>
          <w:rFonts w:eastAsia="Times New Roman"/>
          <w:lang w:eastAsia="en-AU"/>
        </w:rPr>
        <w:t xml:space="preserve">’s statutory functions </w:t>
      </w:r>
      <w:r w:rsidR="00F15674">
        <w:rPr>
          <w:rFonts w:eastAsia="Times New Roman"/>
          <w:lang w:eastAsia="en-AU"/>
        </w:rPr>
        <w:t>relate to</w:t>
      </w:r>
      <w:r w:rsidRPr="00215909">
        <w:rPr>
          <w:rFonts w:eastAsia="Times New Roman"/>
          <w:lang w:eastAsia="en-AU"/>
        </w:rPr>
        <w:t xml:space="preserve"> safeguarding, education, systemic inquiry and coordinating the Official Community Visitor scheme</w:t>
      </w:r>
      <w:r>
        <w:rPr>
          <w:rFonts w:eastAsia="Times New Roman"/>
          <w:lang w:eastAsia="en-AU"/>
        </w:rPr>
        <w:t>.</w:t>
      </w:r>
      <w:r>
        <w:rPr>
          <w:rStyle w:val="EndnoteReference"/>
          <w:rFonts w:eastAsia="Times New Roman"/>
          <w:lang w:eastAsia="en-AU"/>
        </w:rPr>
        <w:endnoteReference w:id="36"/>
      </w:r>
      <w:r w:rsidRPr="00215909">
        <w:rPr>
          <w:rFonts w:eastAsia="Times New Roman"/>
          <w:lang w:eastAsia="en-AU"/>
        </w:rPr>
        <w:t xml:space="preserve"> These functions support the prevention of abuse but do not clearly position the </w:t>
      </w:r>
      <w:r>
        <w:rPr>
          <w:rFonts w:eastAsia="Times New Roman"/>
          <w:lang w:eastAsia="en-AU"/>
        </w:rPr>
        <w:t>Ageing and Disability Commission</w:t>
      </w:r>
      <w:r w:rsidRPr="00215909">
        <w:rPr>
          <w:rFonts w:eastAsia="Times New Roman"/>
          <w:lang w:eastAsia="en-AU"/>
        </w:rPr>
        <w:t xml:space="preserve"> as a body responsible for</w:t>
      </w:r>
      <w:r>
        <w:rPr>
          <w:rFonts w:eastAsia="Times New Roman"/>
          <w:lang w:eastAsia="en-AU"/>
        </w:rPr>
        <w:t xml:space="preserve"> </w:t>
      </w:r>
      <w:r>
        <w:rPr>
          <w:color w:val="auto"/>
        </w:rPr>
        <w:t>s</w:t>
      </w:r>
      <w:r w:rsidRPr="006A2E5A">
        <w:rPr>
          <w:color w:val="auto"/>
        </w:rPr>
        <w:t>upported decision-making</w:t>
      </w:r>
      <w:r w:rsidRPr="00215909">
        <w:rPr>
          <w:rFonts w:eastAsia="Times New Roman"/>
          <w:lang w:eastAsia="en-AU"/>
        </w:rPr>
        <w:t xml:space="preserve"> guidance or capacity</w:t>
      </w:r>
      <w:r w:rsidR="06AB78A2" w:rsidRPr="00215909">
        <w:rPr>
          <w:rFonts w:eastAsia="Times New Roman"/>
          <w:lang w:eastAsia="en-AU"/>
        </w:rPr>
        <w:t xml:space="preserve"> </w:t>
      </w:r>
      <w:r w:rsidRPr="00215909">
        <w:rPr>
          <w:rFonts w:eastAsia="Times New Roman"/>
          <w:lang w:eastAsia="en-AU"/>
        </w:rPr>
        <w:noBreakHyphen/>
        <w:t xml:space="preserve">building. Explicitly recognising </w:t>
      </w:r>
      <w:r>
        <w:rPr>
          <w:color w:val="auto"/>
        </w:rPr>
        <w:t>s</w:t>
      </w:r>
      <w:r w:rsidRPr="006A2E5A">
        <w:rPr>
          <w:color w:val="auto"/>
        </w:rPr>
        <w:t xml:space="preserve">upported decision-making </w:t>
      </w:r>
      <w:r w:rsidRPr="00215909">
        <w:rPr>
          <w:rFonts w:eastAsia="Times New Roman"/>
          <w:lang w:eastAsia="en-AU"/>
        </w:rPr>
        <w:t xml:space="preserve">as a safeguard would build on the </w:t>
      </w:r>
      <w:r>
        <w:rPr>
          <w:rFonts w:eastAsia="Times New Roman"/>
          <w:lang w:eastAsia="en-AU"/>
        </w:rPr>
        <w:t>Ageing and Disability Commission</w:t>
      </w:r>
      <w:r w:rsidRPr="00215909">
        <w:rPr>
          <w:rFonts w:eastAsia="Times New Roman"/>
          <w:lang w:eastAsia="en-AU"/>
        </w:rPr>
        <w:t xml:space="preserve">’s existing work and help ensure </w:t>
      </w:r>
      <w:r>
        <w:rPr>
          <w:color w:val="auto"/>
        </w:rPr>
        <w:t>s</w:t>
      </w:r>
      <w:r w:rsidRPr="006A2E5A">
        <w:rPr>
          <w:color w:val="auto"/>
        </w:rPr>
        <w:t>upported decision-making</w:t>
      </w:r>
      <w:r w:rsidRPr="00215909">
        <w:rPr>
          <w:rFonts w:eastAsia="Times New Roman"/>
          <w:lang w:eastAsia="en-AU"/>
        </w:rPr>
        <w:t xml:space="preserve"> is understood as a core part of rights</w:t>
      </w:r>
      <w:r w:rsidR="004D6633">
        <w:rPr>
          <w:rFonts w:eastAsia="Times New Roman"/>
          <w:lang w:eastAsia="en-AU"/>
        </w:rPr>
        <w:t xml:space="preserve"> </w:t>
      </w:r>
      <w:r w:rsidRPr="00215909">
        <w:rPr>
          <w:rFonts w:eastAsia="Times New Roman"/>
          <w:lang w:eastAsia="en-AU"/>
        </w:rPr>
        <w:t>based practice across NSW.</w:t>
      </w:r>
    </w:p>
    <w:p w14:paraId="3D7F43D0" w14:textId="61A13AF4" w:rsidR="00563246" w:rsidRPr="00BB0F71" w:rsidRDefault="0000217B" w:rsidP="00563246">
      <w:pPr>
        <w:pStyle w:val="Sectionsummarybody"/>
      </w:pPr>
      <w:r w:rsidRPr="00E210F4">
        <w:rPr>
          <w:b/>
          <w:bCs/>
        </w:rPr>
        <w:t>Recommendation</w:t>
      </w:r>
      <w:r>
        <w:rPr>
          <w:b/>
          <w:bCs/>
        </w:rPr>
        <w:t xml:space="preserve"> 1</w:t>
      </w:r>
      <w:r w:rsidRPr="000326D5">
        <w:t xml:space="preserve">: </w:t>
      </w:r>
      <w:r w:rsidRPr="00F341F2">
        <w:rPr>
          <w:color w:val="auto"/>
        </w:rPr>
        <w:t xml:space="preserve">The NSW </w:t>
      </w:r>
      <w:r>
        <w:rPr>
          <w:color w:val="auto"/>
        </w:rPr>
        <w:t>G</w:t>
      </w:r>
      <w:r w:rsidRPr="00F341F2">
        <w:rPr>
          <w:color w:val="auto"/>
        </w:rPr>
        <w:t xml:space="preserve">overnment amend s12 of the </w:t>
      </w:r>
      <w:r w:rsidRPr="00F341F2">
        <w:rPr>
          <w:i/>
          <w:iCs/>
          <w:color w:val="auto"/>
        </w:rPr>
        <w:t>Ageing and Disability Commissioner A</w:t>
      </w:r>
      <w:r>
        <w:rPr>
          <w:i/>
          <w:iCs/>
          <w:color w:val="auto"/>
        </w:rPr>
        <w:t>c</w:t>
      </w:r>
      <w:r w:rsidRPr="00F341F2">
        <w:rPr>
          <w:i/>
          <w:iCs/>
          <w:color w:val="auto"/>
        </w:rPr>
        <w:t>t 2019</w:t>
      </w:r>
      <w:r w:rsidR="00F15674">
        <w:rPr>
          <w:i/>
          <w:iCs/>
          <w:color w:val="auto"/>
        </w:rPr>
        <w:t xml:space="preserve"> </w:t>
      </w:r>
      <w:r w:rsidR="00F15674">
        <w:rPr>
          <w:color w:val="auto"/>
        </w:rPr>
        <w:t>(NSW)</w:t>
      </w:r>
      <w:r w:rsidRPr="00F341F2">
        <w:rPr>
          <w:i/>
          <w:iCs/>
          <w:color w:val="auto"/>
        </w:rPr>
        <w:t xml:space="preserve"> </w:t>
      </w:r>
      <w:r w:rsidRPr="00F341F2">
        <w:rPr>
          <w:color w:val="auto"/>
        </w:rPr>
        <w:t xml:space="preserve">to </w:t>
      </w:r>
      <w:r w:rsidR="00F15674">
        <w:rPr>
          <w:color w:val="auto"/>
        </w:rPr>
        <w:t>introduce</w:t>
      </w:r>
      <w:r w:rsidRPr="00F341F2">
        <w:rPr>
          <w:color w:val="auto"/>
        </w:rPr>
        <w:t xml:space="preserve"> a</w:t>
      </w:r>
      <w:r w:rsidR="00F15674">
        <w:rPr>
          <w:color w:val="auto"/>
        </w:rPr>
        <w:t xml:space="preserve"> new</w:t>
      </w:r>
      <w:r w:rsidRPr="00F341F2">
        <w:rPr>
          <w:color w:val="auto"/>
        </w:rPr>
        <w:t xml:space="preserve"> function </w:t>
      </w:r>
      <w:r w:rsidR="00F15674">
        <w:rPr>
          <w:color w:val="auto"/>
        </w:rPr>
        <w:t>of</w:t>
      </w:r>
      <w:r w:rsidRPr="00F341F2">
        <w:rPr>
          <w:color w:val="auto"/>
        </w:rPr>
        <w:t xml:space="preserve"> the</w:t>
      </w:r>
      <w:r>
        <w:rPr>
          <w:color w:val="auto"/>
        </w:rPr>
        <w:t xml:space="preserve"> Ageing and Disability </w:t>
      </w:r>
      <w:r w:rsidRPr="00F341F2">
        <w:rPr>
          <w:color w:val="auto"/>
        </w:rPr>
        <w:t xml:space="preserve">Commissioner ‘to raise awareness and educate the public about </w:t>
      </w:r>
      <w:r w:rsidRPr="00F341F2">
        <w:rPr>
          <w:color w:val="auto"/>
        </w:rPr>
        <w:lastRenderedPageBreak/>
        <w:t>supported decision-making principles and practice as a pr</w:t>
      </w:r>
      <w:r>
        <w:rPr>
          <w:color w:val="auto"/>
        </w:rPr>
        <w:t>oactive</w:t>
      </w:r>
      <w:r w:rsidRPr="00F341F2">
        <w:rPr>
          <w:color w:val="auto"/>
        </w:rPr>
        <w:t xml:space="preserve"> strategy, and to guide sectors across NSW on: (i) the equal right to make decisions, (ii) support in decision-making, (iii) will, preferences and rights and (iv) safeguards.’</w:t>
      </w:r>
    </w:p>
    <w:p w14:paraId="242191FA" w14:textId="06187941" w:rsidR="002B035E" w:rsidRPr="00C952A0" w:rsidRDefault="007901D8" w:rsidP="00FC7932">
      <w:pPr>
        <w:spacing w:after="120"/>
      </w:pPr>
      <w:r w:rsidRPr="00306AD0">
        <w:rPr>
          <w:color w:val="auto"/>
        </w:rPr>
        <w:t>The</w:t>
      </w:r>
      <w:r>
        <w:rPr>
          <w:color w:val="auto"/>
        </w:rPr>
        <w:t xml:space="preserve"> Ageing and Disability Commission is well placed to take a stronger public advocacy role on s</w:t>
      </w:r>
      <w:r w:rsidRPr="006A2E5A">
        <w:rPr>
          <w:color w:val="auto"/>
        </w:rPr>
        <w:t xml:space="preserve">upported decision-making </w:t>
      </w:r>
      <w:r>
        <w:rPr>
          <w:color w:val="auto"/>
        </w:rPr>
        <w:t xml:space="preserve">and to build rights literacy among affected persons and their families. This </w:t>
      </w:r>
      <w:r w:rsidR="00295F7B">
        <w:rPr>
          <w:color w:val="auto"/>
        </w:rPr>
        <w:t>c</w:t>
      </w:r>
      <w:r>
        <w:rPr>
          <w:color w:val="auto"/>
        </w:rPr>
        <w:t>ould include producing practical, plain-English resources for families, communities and carers, and supporting people to understand their rights to make decisions, consistent with OPAN’s view that s</w:t>
      </w:r>
      <w:r w:rsidRPr="006A2E5A">
        <w:rPr>
          <w:color w:val="auto"/>
        </w:rPr>
        <w:t xml:space="preserve">upported decision-making </w:t>
      </w:r>
      <w:r>
        <w:rPr>
          <w:color w:val="auto"/>
        </w:rPr>
        <w:t>must be embedded across care settings rather than treated as a checklist requirement.</w:t>
      </w:r>
      <w:r>
        <w:rPr>
          <w:rStyle w:val="EndnoteReference"/>
          <w:color w:val="auto"/>
        </w:rPr>
        <w:endnoteReference w:id="37"/>
      </w:r>
    </w:p>
    <w:p w14:paraId="7E4728E7" w14:textId="2961CF06" w:rsidR="00A76BF3" w:rsidRPr="00BB0F71" w:rsidRDefault="00A76BF3" w:rsidP="00A76BF3">
      <w:pPr>
        <w:pStyle w:val="Sectionsummarybody"/>
      </w:pPr>
      <w:r w:rsidRPr="00E210F4">
        <w:rPr>
          <w:b/>
          <w:bCs/>
        </w:rPr>
        <w:t>Recommendation</w:t>
      </w:r>
      <w:r>
        <w:rPr>
          <w:b/>
          <w:bCs/>
        </w:rPr>
        <w:t xml:space="preserve"> 2</w:t>
      </w:r>
      <w:r w:rsidRPr="000326D5">
        <w:t xml:space="preserve">: </w:t>
      </w:r>
      <w:r w:rsidR="003415D3" w:rsidRPr="001E622C">
        <w:t xml:space="preserve">The </w:t>
      </w:r>
      <w:r w:rsidR="003415D3">
        <w:t>Ageing and Disability Commission</w:t>
      </w:r>
      <w:r w:rsidR="003415D3" w:rsidRPr="001E622C">
        <w:t xml:space="preserve"> </w:t>
      </w:r>
      <w:r w:rsidR="003415D3">
        <w:t xml:space="preserve">develop public-facing guidance and education to build understanding of </w:t>
      </w:r>
      <w:r w:rsidR="003415D3">
        <w:rPr>
          <w:color w:val="auto"/>
        </w:rPr>
        <w:t>s</w:t>
      </w:r>
      <w:r w:rsidR="003415D3" w:rsidRPr="006A2E5A">
        <w:rPr>
          <w:color w:val="auto"/>
        </w:rPr>
        <w:t>upported decision-making</w:t>
      </w:r>
      <w:r w:rsidR="003415D3">
        <w:t xml:space="preserve"> among families, communities and informal supporters.</w:t>
      </w:r>
    </w:p>
    <w:p w14:paraId="63100BCA" w14:textId="50017833" w:rsidR="00C952A0" w:rsidRPr="00C23740" w:rsidRDefault="00296F69" w:rsidP="00FC7932">
      <w:pPr>
        <w:spacing w:after="120"/>
      </w:pPr>
      <w:r>
        <w:rPr>
          <w:rFonts w:eastAsia="Times New Roman"/>
          <w:lang w:eastAsia="en-AU"/>
        </w:rPr>
        <w:t>There is a need for consistent direction on how supported decision-making should be applied in practice</w:t>
      </w:r>
      <w:r w:rsidRPr="006063D3">
        <w:rPr>
          <w:color w:val="auto"/>
        </w:rPr>
        <w:t>.</w:t>
      </w:r>
      <w:r>
        <w:rPr>
          <w:color w:val="auto"/>
        </w:rPr>
        <w:t xml:space="preserve"> The Ageing and Disability Commission should be authorised to develop site-specific toolkits and frameworks, co-designed with people with lived experience and sector partners, to guide supported decision-making practice across frontline services, health, aged care, disability, justice, education and financial services. For example, collaborating with banks on referral pathways would improve how financial institutions recognise and act on an older person’s will and preferences.</w:t>
      </w:r>
      <w:r>
        <w:rPr>
          <w:rStyle w:val="EndnoteReference"/>
          <w:color w:val="auto"/>
        </w:rPr>
        <w:endnoteReference w:id="38"/>
      </w:r>
      <w:r>
        <w:rPr>
          <w:color w:val="auto"/>
        </w:rPr>
        <w:t xml:space="preserve"> Developing tailored guidance would help address current fragmentation and support a more coordinated approach to supported decision-making across NSW.</w:t>
      </w:r>
      <w:r>
        <w:rPr>
          <w:rStyle w:val="EndnoteReference"/>
          <w:color w:val="auto"/>
        </w:rPr>
        <w:endnoteReference w:id="39"/>
      </w:r>
    </w:p>
    <w:p w14:paraId="0ECE2EA4" w14:textId="73C3A2F0" w:rsidR="00A76BF3" w:rsidRPr="00BB0F71" w:rsidRDefault="00A76BF3" w:rsidP="00A76BF3">
      <w:pPr>
        <w:pStyle w:val="Sectionsummarybody"/>
      </w:pPr>
      <w:r w:rsidRPr="00E210F4">
        <w:rPr>
          <w:b/>
          <w:bCs/>
        </w:rPr>
        <w:t>Recommendation</w:t>
      </w:r>
      <w:r>
        <w:rPr>
          <w:b/>
          <w:bCs/>
        </w:rPr>
        <w:t xml:space="preserve"> 3</w:t>
      </w:r>
      <w:r w:rsidRPr="000326D5">
        <w:t xml:space="preserve">: </w:t>
      </w:r>
      <w:r w:rsidR="001702E8" w:rsidRPr="004D0ABC">
        <w:t xml:space="preserve">The </w:t>
      </w:r>
      <w:r w:rsidR="001702E8">
        <w:t>Ageing and Disability Commission</w:t>
      </w:r>
      <w:r w:rsidR="001702E8" w:rsidRPr="004D0ABC">
        <w:t xml:space="preserve"> </w:t>
      </w:r>
      <w:r w:rsidR="001702E8">
        <w:t xml:space="preserve">develop context specific, </w:t>
      </w:r>
      <w:r w:rsidR="001702E8" w:rsidRPr="004D0ABC">
        <w:t xml:space="preserve">cross-sector </w:t>
      </w:r>
      <w:r w:rsidR="001702E8">
        <w:t>supported decision-making</w:t>
      </w:r>
      <w:r w:rsidR="001702E8" w:rsidRPr="004D0ABC">
        <w:t xml:space="preserve"> guidance </w:t>
      </w:r>
      <w:r w:rsidR="001702E8">
        <w:t>to support consistent implementation of supported decision-making across key service systems and frontline practice.</w:t>
      </w:r>
    </w:p>
    <w:p w14:paraId="0AC18A2B" w14:textId="69225298" w:rsidR="006061C3" w:rsidRPr="005F613E" w:rsidRDefault="006061C3" w:rsidP="006061C3">
      <w:pPr>
        <w:rPr>
          <w:rFonts w:eastAsia="Times New Roman"/>
          <w:lang w:eastAsia="en-AU"/>
        </w:rPr>
      </w:pPr>
      <w:r w:rsidRPr="00A5670C">
        <w:rPr>
          <w:rFonts w:eastAsia="Times New Roman"/>
          <w:lang w:eastAsia="en-AU"/>
        </w:rPr>
        <w:t>The</w:t>
      </w:r>
      <w:r w:rsidRPr="005F613E">
        <w:rPr>
          <w:rFonts w:eastAsia="Times New Roman"/>
          <w:lang w:eastAsia="en-AU"/>
        </w:rPr>
        <w:t xml:space="preserve"> </w:t>
      </w:r>
      <w:r>
        <w:rPr>
          <w:rFonts w:eastAsia="Times New Roman"/>
          <w:lang w:eastAsia="en-AU"/>
        </w:rPr>
        <w:t xml:space="preserve">Ageing </w:t>
      </w:r>
      <w:r w:rsidR="00E92C57">
        <w:rPr>
          <w:rFonts w:eastAsia="Times New Roman"/>
          <w:lang w:eastAsia="en-AU"/>
        </w:rPr>
        <w:t>and</w:t>
      </w:r>
      <w:r>
        <w:rPr>
          <w:rFonts w:eastAsia="Times New Roman"/>
          <w:lang w:eastAsia="en-AU"/>
        </w:rPr>
        <w:t xml:space="preserve"> Disability Commission</w:t>
      </w:r>
      <w:r w:rsidRPr="005F613E">
        <w:rPr>
          <w:rFonts w:eastAsia="Times New Roman"/>
          <w:lang w:eastAsia="en-AU"/>
        </w:rPr>
        <w:t xml:space="preserve">’s existing safeguarding and systemic inquiry functions position it well to play a future role in overseeing </w:t>
      </w:r>
      <w:r>
        <w:rPr>
          <w:rFonts w:eastAsia="Times New Roman"/>
          <w:lang w:eastAsia="en-AU"/>
        </w:rPr>
        <w:t>supported decision-making</w:t>
      </w:r>
      <w:r w:rsidRPr="005F613E">
        <w:rPr>
          <w:rFonts w:eastAsia="Times New Roman"/>
          <w:lang w:eastAsia="en-AU"/>
        </w:rPr>
        <w:t xml:space="preserve"> in NSW. While not a formal recommendation, consideration could be given to expanding the </w:t>
      </w:r>
      <w:r>
        <w:rPr>
          <w:rFonts w:eastAsia="Times New Roman"/>
          <w:lang w:eastAsia="en-AU"/>
        </w:rPr>
        <w:t xml:space="preserve">Ageing </w:t>
      </w:r>
      <w:r w:rsidR="00E92C57">
        <w:rPr>
          <w:rFonts w:eastAsia="Times New Roman"/>
          <w:lang w:eastAsia="en-AU"/>
        </w:rPr>
        <w:t>and</w:t>
      </w:r>
      <w:r>
        <w:rPr>
          <w:rFonts w:eastAsia="Times New Roman"/>
          <w:lang w:eastAsia="en-AU"/>
        </w:rPr>
        <w:t xml:space="preserve"> Disability Commission</w:t>
      </w:r>
      <w:r w:rsidRPr="005F613E">
        <w:rPr>
          <w:rFonts w:eastAsia="Times New Roman"/>
          <w:lang w:eastAsia="en-AU"/>
        </w:rPr>
        <w:t xml:space="preserve">’s remit to include oversight of </w:t>
      </w:r>
      <w:r>
        <w:rPr>
          <w:rFonts w:eastAsia="Times New Roman"/>
          <w:lang w:eastAsia="en-AU"/>
        </w:rPr>
        <w:t>supported decision-making</w:t>
      </w:r>
      <w:r w:rsidRPr="005F613E">
        <w:rPr>
          <w:rFonts w:eastAsia="Times New Roman"/>
          <w:lang w:eastAsia="en-AU"/>
        </w:rPr>
        <w:t xml:space="preserve"> practices as part of broader regulatory settings. This would support continuous improvement, encourage sector accountability, and complement the Commission’s existing data, education and monitoring functions.</w:t>
      </w:r>
    </w:p>
    <w:p w14:paraId="3ACD38EC" w14:textId="503318EC" w:rsidR="00C23740" w:rsidRPr="006061C3" w:rsidRDefault="006061C3" w:rsidP="006061C3">
      <w:pPr>
        <w:spacing w:after="120"/>
      </w:pPr>
      <w:r>
        <w:rPr>
          <w:rFonts w:eastAsia="Times New Roman"/>
          <w:lang w:eastAsia="en-AU"/>
        </w:rPr>
        <w:t>T</w:t>
      </w:r>
      <w:r w:rsidRPr="007C76FC">
        <w:rPr>
          <w:rFonts w:eastAsia="Times New Roman"/>
          <w:lang w:eastAsia="en-AU"/>
        </w:rPr>
        <w:t xml:space="preserve">he </w:t>
      </w:r>
      <w:r>
        <w:rPr>
          <w:rFonts w:eastAsia="Times New Roman"/>
          <w:lang w:eastAsia="en-AU"/>
        </w:rPr>
        <w:t xml:space="preserve">Ageing </w:t>
      </w:r>
      <w:r w:rsidR="00E92C57">
        <w:rPr>
          <w:rFonts w:eastAsia="Times New Roman"/>
          <w:lang w:eastAsia="en-AU"/>
        </w:rPr>
        <w:t>and</w:t>
      </w:r>
      <w:r>
        <w:rPr>
          <w:rFonts w:eastAsia="Times New Roman"/>
          <w:lang w:eastAsia="en-AU"/>
        </w:rPr>
        <w:t xml:space="preserve"> Disability Commission</w:t>
      </w:r>
      <w:r w:rsidRPr="007C76FC">
        <w:rPr>
          <w:rFonts w:eastAsia="Times New Roman"/>
          <w:lang w:eastAsia="en-AU"/>
        </w:rPr>
        <w:t xml:space="preserve"> would require appropriate and sustained resourcing</w:t>
      </w:r>
      <w:r>
        <w:rPr>
          <w:rFonts w:eastAsia="Times New Roman"/>
          <w:lang w:eastAsia="en-AU"/>
        </w:rPr>
        <w:t xml:space="preserve"> t</w:t>
      </w:r>
      <w:r w:rsidRPr="007C76FC">
        <w:rPr>
          <w:rFonts w:eastAsia="Times New Roman"/>
          <w:lang w:eastAsia="en-AU"/>
        </w:rPr>
        <w:t xml:space="preserve">o carry out </w:t>
      </w:r>
      <w:r>
        <w:rPr>
          <w:rFonts w:eastAsia="Times New Roman"/>
          <w:lang w:eastAsia="en-AU"/>
        </w:rPr>
        <w:t xml:space="preserve">the </w:t>
      </w:r>
      <w:r w:rsidRPr="007C76FC">
        <w:rPr>
          <w:rFonts w:eastAsia="Times New Roman"/>
          <w:lang w:eastAsia="en-AU"/>
        </w:rPr>
        <w:t>expanded functions</w:t>
      </w:r>
      <w:r>
        <w:rPr>
          <w:rFonts w:eastAsia="Times New Roman"/>
          <w:lang w:eastAsia="en-AU"/>
        </w:rPr>
        <w:t xml:space="preserve"> recommended in this submission</w:t>
      </w:r>
      <w:r w:rsidRPr="007C76FC">
        <w:rPr>
          <w:rFonts w:eastAsia="Times New Roman"/>
          <w:lang w:eastAsia="en-AU"/>
        </w:rPr>
        <w:t xml:space="preserve">. Additional responsibilities cannot be absorbed into existing operational capacity without additional investment. </w:t>
      </w:r>
      <w:r>
        <w:rPr>
          <w:rFonts w:eastAsia="Times New Roman"/>
          <w:lang w:eastAsia="en-AU"/>
        </w:rPr>
        <w:t>A</w:t>
      </w:r>
      <w:r w:rsidRPr="007C76FC">
        <w:rPr>
          <w:rFonts w:eastAsia="Times New Roman"/>
          <w:lang w:eastAsia="en-AU"/>
        </w:rPr>
        <w:t xml:space="preserve">dequate funding is </w:t>
      </w:r>
      <w:r w:rsidRPr="007C76FC">
        <w:rPr>
          <w:rFonts w:eastAsia="Times New Roman"/>
          <w:lang w:eastAsia="en-AU"/>
        </w:rPr>
        <w:lastRenderedPageBreak/>
        <w:t xml:space="preserve">essential for the </w:t>
      </w:r>
      <w:r>
        <w:rPr>
          <w:rFonts w:eastAsia="Times New Roman"/>
          <w:lang w:eastAsia="en-AU"/>
        </w:rPr>
        <w:t xml:space="preserve">Ageing </w:t>
      </w:r>
      <w:r w:rsidR="00E92C57">
        <w:rPr>
          <w:rFonts w:eastAsia="Times New Roman"/>
          <w:lang w:eastAsia="en-AU"/>
        </w:rPr>
        <w:t>and</w:t>
      </w:r>
      <w:r>
        <w:rPr>
          <w:rFonts w:eastAsia="Times New Roman"/>
          <w:lang w:eastAsia="en-AU"/>
        </w:rPr>
        <w:t xml:space="preserve"> Disability Commission</w:t>
      </w:r>
      <w:r w:rsidRPr="007C76FC">
        <w:rPr>
          <w:rFonts w:eastAsia="Times New Roman"/>
          <w:lang w:eastAsia="en-AU"/>
        </w:rPr>
        <w:t xml:space="preserve"> to deliver high</w:t>
      </w:r>
      <w:r w:rsidRPr="007C76FC">
        <w:rPr>
          <w:rFonts w:eastAsia="Times New Roman"/>
          <w:lang w:eastAsia="en-AU"/>
        </w:rPr>
        <w:noBreakHyphen/>
        <w:t>quality training, guidance, community education and cross</w:t>
      </w:r>
      <w:r w:rsidRPr="007C76FC">
        <w:rPr>
          <w:rFonts w:eastAsia="Times New Roman"/>
          <w:lang w:eastAsia="en-AU"/>
        </w:rPr>
        <w:noBreakHyphen/>
        <w:t xml:space="preserve">sector engagement, and to support consistent </w:t>
      </w:r>
      <w:r>
        <w:rPr>
          <w:rFonts w:eastAsia="Times New Roman"/>
          <w:lang w:eastAsia="en-AU"/>
        </w:rPr>
        <w:t xml:space="preserve">supported decision-making </w:t>
      </w:r>
      <w:r w:rsidRPr="007C76FC">
        <w:rPr>
          <w:rFonts w:eastAsia="Times New Roman"/>
          <w:lang w:eastAsia="en-AU"/>
        </w:rPr>
        <w:t>implementation across NSW</w:t>
      </w:r>
      <w:r w:rsidRPr="007C76FC">
        <w:rPr>
          <w:color w:val="auto"/>
        </w:rPr>
        <w:t>.</w:t>
      </w:r>
    </w:p>
    <w:p w14:paraId="68F3B51E" w14:textId="31CBF4B3" w:rsidR="00A76BF3" w:rsidRPr="00BB0F71" w:rsidRDefault="00A76BF3" w:rsidP="00A76BF3">
      <w:pPr>
        <w:pStyle w:val="Sectionsummarybody"/>
      </w:pPr>
      <w:r w:rsidRPr="00E210F4">
        <w:rPr>
          <w:b/>
          <w:bCs/>
        </w:rPr>
        <w:t>Recommendation</w:t>
      </w:r>
      <w:r>
        <w:rPr>
          <w:b/>
          <w:bCs/>
        </w:rPr>
        <w:t xml:space="preserve"> 4</w:t>
      </w:r>
      <w:r w:rsidRPr="000326D5">
        <w:t xml:space="preserve">: </w:t>
      </w:r>
      <w:r w:rsidR="00E05095">
        <w:t>The NSW Government provide the Ageing and Disability Commission</w:t>
      </w:r>
      <w:r w:rsidR="00E95DFE">
        <w:t xml:space="preserve"> the a</w:t>
      </w:r>
      <w:r w:rsidR="00563951">
        <w:t>ppropriate</w:t>
      </w:r>
      <w:r w:rsidR="00E95DFE">
        <w:t xml:space="preserve"> and</w:t>
      </w:r>
      <w:r w:rsidR="00563951">
        <w:t xml:space="preserve"> </w:t>
      </w:r>
      <w:r w:rsidR="00E05095">
        <w:t xml:space="preserve">ongoing resources </w:t>
      </w:r>
      <w:r w:rsidR="00E95DFE">
        <w:t xml:space="preserve">needed </w:t>
      </w:r>
      <w:r w:rsidR="00E05095">
        <w:t xml:space="preserve">to </w:t>
      </w:r>
      <w:r w:rsidR="00E05095" w:rsidRPr="005A76DC">
        <w:t xml:space="preserve">deliver expanded </w:t>
      </w:r>
      <w:r w:rsidR="00E05095">
        <w:t xml:space="preserve">supported decision-making </w:t>
      </w:r>
      <w:r w:rsidR="00E05095" w:rsidRPr="005A76DC">
        <w:t>functions, including training, guidance, community education and cross</w:t>
      </w:r>
      <w:r w:rsidR="00E05095" w:rsidRPr="005A76DC">
        <w:rPr>
          <w:rFonts w:ascii="Cambria Math" w:hAnsi="Cambria Math" w:cs="Cambria Math"/>
        </w:rPr>
        <w:t>‑</w:t>
      </w:r>
      <w:r w:rsidR="00E05095" w:rsidRPr="005A76DC">
        <w:t>sector engagement</w:t>
      </w:r>
      <w:r w:rsidR="00E05095">
        <w:t>.</w:t>
      </w:r>
    </w:p>
    <w:p w14:paraId="134E52D7" w14:textId="4FD7D92B" w:rsidR="006061C3" w:rsidRDefault="00E6056F" w:rsidP="00E6056F">
      <w:pPr>
        <w:pStyle w:val="Heading2"/>
      </w:pPr>
      <w:bookmarkStart w:id="12" w:name="_Appropriate_and_limited"/>
      <w:bookmarkStart w:id="13" w:name="_Toc223446761"/>
      <w:bookmarkEnd w:id="12"/>
      <w:r>
        <w:t>Appropriate and limited use of substitute decision-making</w:t>
      </w:r>
      <w:bookmarkEnd w:id="13"/>
    </w:p>
    <w:p w14:paraId="692E6CF8" w14:textId="2FC44C02" w:rsidR="00C73CD0" w:rsidRPr="00C73CD0" w:rsidRDefault="00E575CC" w:rsidP="00C73CD0">
      <w:r>
        <w:t>The ALRC’s National Disability Making Principle #3 emphasise</w:t>
      </w:r>
      <w:r w:rsidR="0030236A">
        <w:t>s</w:t>
      </w:r>
      <w:r>
        <w:t xml:space="preserve"> that all decision-making must be guided by a person’s will, preferences and rights. The ‘rights’ component is a critical element, particularly in </w:t>
      </w:r>
      <w:r w:rsidR="00CB687A">
        <w:t>jurisdictions that do not have human rights legislative framework</w:t>
      </w:r>
      <w:r w:rsidR="00A10C90">
        <w:t>s</w:t>
      </w:r>
      <w:r w:rsidR="00CB687A">
        <w:t xml:space="preserve">, because it ensures that decision-makers are required to consider and uphold a person’s fundamental human rights when supporting </w:t>
      </w:r>
      <w:r w:rsidR="006400CD">
        <w:t xml:space="preserve">them </w:t>
      </w:r>
      <w:r w:rsidR="00CB687A">
        <w:t>or acting on their behalf.</w:t>
      </w:r>
      <w:r w:rsidR="00C73CD0">
        <w:t xml:space="preserve"> </w:t>
      </w:r>
      <w:r w:rsidR="00C73CD0" w:rsidRPr="00C73CD0">
        <w:t xml:space="preserve">Consistent with Article 12(4) of the CRPD, the ALRC </w:t>
      </w:r>
      <w:r w:rsidR="002D41B0">
        <w:t>is clear</w:t>
      </w:r>
      <w:r w:rsidR="00C73CD0" w:rsidRPr="00C73CD0">
        <w:t xml:space="preserve"> that substitute decision</w:t>
      </w:r>
      <w:r w:rsidR="23338A14">
        <w:t>-</w:t>
      </w:r>
      <w:r w:rsidR="00C73CD0" w:rsidRPr="00C73CD0">
        <w:t>making should only occur in rare circumstances, and only after all reasonable efforts have been made to support a person to express their will and preferences.</w:t>
      </w:r>
    </w:p>
    <w:p w14:paraId="520CA2FD" w14:textId="4365830B" w:rsidR="003652F1" w:rsidRPr="0020071C" w:rsidRDefault="003652F1" w:rsidP="003652F1">
      <w:pPr>
        <w:rPr>
          <w:rFonts w:asciiTheme="minorHAnsi" w:hAnsiTheme="minorHAnsi"/>
          <w:color w:val="auto"/>
        </w:rPr>
      </w:pPr>
      <w:r>
        <w:t xml:space="preserve">The ALRC’s </w:t>
      </w:r>
      <w:r w:rsidRPr="00DD75AD">
        <w:rPr>
          <w:rStyle w:val="Emphasis"/>
          <w:rFonts w:asciiTheme="minorHAnsi" w:hAnsiTheme="minorHAnsi"/>
          <w:i w:val="0"/>
          <w:iCs w:val="0"/>
        </w:rPr>
        <w:t>‘best interpretation of will and preferences’</w:t>
      </w:r>
      <w:r w:rsidRPr="1A761128">
        <w:rPr>
          <w:rFonts w:asciiTheme="minorHAnsi" w:hAnsiTheme="minorHAnsi"/>
        </w:rPr>
        <w:t xml:space="preserve"> standard requires </w:t>
      </w:r>
      <w:r w:rsidRPr="5F7764F4">
        <w:rPr>
          <w:rFonts w:asciiTheme="minorHAnsi" w:hAnsiTheme="minorHAnsi"/>
        </w:rPr>
        <w:t>decisionmakers</w:t>
      </w:r>
      <w:r w:rsidRPr="1A761128">
        <w:rPr>
          <w:rFonts w:asciiTheme="minorHAnsi" w:hAnsiTheme="minorHAnsi"/>
        </w:rPr>
        <w:t xml:space="preserve"> to actively consider a person’s values, relationships, identity</w:t>
      </w:r>
      <w:r w:rsidRPr="5F7764F4">
        <w:rPr>
          <w:rFonts w:asciiTheme="minorHAnsi" w:hAnsiTheme="minorHAnsi"/>
        </w:rPr>
        <w:noBreakHyphen/>
      </w:r>
      <w:r w:rsidRPr="1A761128">
        <w:rPr>
          <w:rFonts w:asciiTheme="minorHAnsi" w:hAnsiTheme="minorHAnsi"/>
        </w:rPr>
        <w:t xml:space="preserve"> and previously expressed views before making decisions on their behalf.</w:t>
      </w:r>
      <w:r w:rsidRPr="1A761128">
        <w:rPr>
          <w:rStyle w:val="EndnoteReference"/>
          <w:rFonts w:asciiTheme="minorHAnsi" w:hAnsiTheme="minorHAnsi"/>
        </w:rPr>
        <w:endnoteReference w:id="40"/>
      </w:r>
      <w:r w:rsidRPr="1A761128">
        <w:rPr>
          <w:rFonts w:asciiTheme="minorHAnsi" w:hAnsiTheme="minorHAnsi"/>
        </w:rPr>
        <w:t xml:space="preserve"> This approach shifts practice away from ‘best interests’ reasoning and ensures the person remains at the centre of the decision</w:t>
      </w:r>
      <w:r w:rsidR="40EBEE39" w:rsidRPr="5F7764F4">
        <w:rPr>
          <w:rFonts w:asciiTheme="minorHAnsi" w:hAnsiTheme="minorHAnsi"/>
        </w:rPr>
        <w:t>-</w:t>
      </w:r>
      <w:r w:rsidRPr="5F7764F4">
        <w:rPr>
          <w:rFonts w:asciiTheme="minorHAnsi" w:hAnsiTheme="minorHAnsi"/>
        </w:rPr>
        <w:t>making</w:t>
      </w:r>
      <w:r w:rsidRPr="1A761128">
        <w:rPr>
          <w:rFonts w:asciiTheme="minorHAnsi" w:hAnsiTheme="minorHAnsi"/>
        </w:rPr>
        <w:t xml:space="preserve"> process.</w:t>
      </w:r>
    </w:p>
    <w:p w14:paraId="49D5B593" w14:textId="0AFDBCE3" w:rsidR="003652F1" w:rsidRPr="003652F1" w:rsidRDefault="003652F1" w:rsidP="003652F1">
      <w:r w:rsidRPr="009F5D77">
        <w:rPr>
          <w:color w:val="auto"/>
        </w:rPr>
        <w:t xml:space="preserve">The </w:t>
      </w:r>
      <w:r>
        <w:rPr>
          <w:color w:val="auto"/>
        </w:rPr>
        <w:t>Disability Royal Commission</w:t>
      </w:r>
      <w:r w:rsidRPr="009F5D77">
        <w:rPr>
          <w:color w:val="auto"/>
        </w:rPr>
        <w:t>’s Recommendation 6.6</w:t>
      </w:r>
      <w:r>
        <w:rPr>
          <w:rStyle w:val="EndnoteReference"/>
          <w:color w:val="auto"/>
        </w:rPr>
        <w:endnoteReference w:id="41"/>
      </w:r>
      <w:r w:rsidRPr="009F5D77">
        <w:rPr>
          <w:color w:val="auto"/>
        </w:rPr>
        <w:t xml:space="preserve"> </w:t>
      </w:r>
      <w:r w:rsidR="00C84774">
        <w:rPr>
          <w:color w:val="auto"/>
        </w:rPr>
        <w:t xml:space="preserve">expands on the ALRC’s National Decision Making Principles and </w:t>
      </w:r>
      <w:r w:rsidRPr="009F5D77">
        <w:rPr>
          <w:color w:val="auto"/>
        </w:rPr>
        <w:t xml:space="preserve">draws on La Trobe University report </w:t>
      </w:r>
      <w:r w:rsidRPr="009F5D77">
        <w:rPr>
          <w:i/>
          <w:iCs/>
          <w:color w:val="auto"/>
        </w:rPr>
        <w:t>Diversity, dignity, equity and best practice: a framework for supported decision-making</w:t>
      </w:r>
      <w:r w:rsidRPr="009F5D77">
        <w:rPr>
          <w:color w:val="auto"/>
        </w:rPr>
        <w:t>.</w:t>
      </w:r>
      <w:r>
        <w:rPr>
          <w:rStyle w:val="EndnoteReference"/>
          <w:color w:val="auto"/>
        </w:rPr>
        <w:endnoteReference w:id="42"/>
      </w:r>
      <w:r w:rsidRPr="009F5D77">
        <w:rPr>
          <w:color w:val="auto"/>
        </w:rPr>
        <w:t xml:space="preserve"> </w:t>
      </w:r>
      <w:r>
        <w:rPr>
          <w:color w:val="auto"/>
        </w:rPr>
        <w:t>Th</w:t>
      </w:r>
      <w:r w:rsidR="00605C79">
        <w:rPr>
          <w:color w:val="auto"/>
        </w:rPr>
        <w:t>e</w:t>
      </w:r>
      <w:r w:rsidR="00C84774">
        <w:rPr>
          <w:color w:val="auto"/>
        </w:rPr>
        <w:t xml:space="preserve"> recommendation includes 9 principles</w:t>
      </w:r>
      <w:r w:rsidR="00AF21D6">
        <w:rPr>
          <w:color w:val="auto"/>
        </w:rPr>
        <w:t>, including a proposal</w:t>
      </w:r>
      <w:r w:rsidRPr="009F5D77">
        <w:rPr>
          <w:color w:val="auto"/>
        </w:rPr>
        <w:t xml:space="preserve"> that where a person’s state</w:t>
      </w:r>
      <w:r>
        <w:rPr>
          <w:color w:val="auto"/>
        </w:rPr>
        <w:t>d</w:t>
      </w:r>
      <w:r w:rsidRPr="009F5D77">
        <w:rPr>
          <w:color w:val="auto"/>
        </w:rPr>
        <w:t xml:space="preserve"> or inferred will and preferences involve a serious and imminent risk of physical or financial harm, and the person is unable to understand th</w:t>
      </w:r>
      <w:r>
        <w:rPr>
          <w:color w:val="auto"/>
        </w:rPr>
        <w:t>e</w:t>
      </w:r>
      <w:r w:rsidRPr="009F5D77">
        <w:rPr>
          <w:color w:val="auto"/>
        </w:rPr>
        <w:t xml:space="preserve"> risk even with support, a substitute decision may be made as a last resort</w:t>
      </w:r>
      <w:r>
        <w:rPr>
          <w:color w:val="auto"/>
        </w:rPr>
        <w:t xml:space="preserve"> on the basis of the person’s wellbeing</w:t>
      </w:r>
      <w:r w:rsidRPr="009F5D77">
        <w:rPr>
          <w:color w:val="auto"/>
        </w:rPr>
        <w:t>.</w:t>
      </w:r>
      <w:r>
        <w:rPr>
          <w:rStyle w:val="EndnoteReference"/>
          <w:color w:val="auto"/>
        </w:rPr>
        <w:endnoteReference w:id="43"/>
      </w:r>
      <w:r w:rsidRPr="009F5D77">
        <w:rPr>
          <w:color w:val="auto"/>
        </w:rPr>
        <w:t xml:space="preserve"> </w:t>
      </w:r>
    </w:p>
    <w:p w14:paraId="401086D3" w14:textId="174DDAED" w:rsidR="00E6056F" w:rsidRDefault="003652F1" w:rsidP="00FC7CF5">
      <w:r>
        <w:rPr>
          <w:color w:val="auto"/>
        </w:rPr>
        <w:t>The Australian Human Rights Commission does</w:t>
      </w:r>
      <w:r w:rsidRPr="009F5D77">
        <w:rPr>
          <w:color w:val="auto"/>
        </w:rPr>
        <w:t xml:space="preserve"> not adopt that </w:t>
      </w:r>
      <w:r w:rsidR="004119E4" w:rsidRPr="5F7764F4">
        <w:rPr>
          <w:color w:val="auto"/>
        </w:rPr>
        <w:t>particular aspect.</w:t>
      </w:r>
      <w:r w:rsidR="001F2796">
        <w:rPr>
          <w:color w:val="auto"/>
        </w:rPr>
        <w:t xml:space="preserve"> </w:t>
      </w:r>
      <w:r>
        <w:rPr>
          <w:color w:val="auto"/>
        </w:rPr>
        <w:t xml:space="preserve">Allowing substitute decisions to be made </w:t>
      </w:r>
      <w:r w:rsidR="00605C79">
        <w:rPr>
          <w:color w:val="auto"/>
        </w:rPr>
        <w:t>based on</w:t>
      </w:r>
      <w:r>
        <w:rPr>
          <w:color w:val="auto"/>
        </w:rPr>
        <w:t xml:space="preserve"> risks to a person’s </w:t>
      </w:r>
      <w:r w:rsidR="001F2796">
        <w:rPr>
          <w:color w:val="auto"/>
        </w:rPr>
        <w:t>wellbeing</w:t>
      </w:r>
      <w:r>
        <w:rPr>
          <w:color w:val="auto"/>
        </w:rPr>
        <w:t xml:space="preserve"> </w:t>
      </w:r>
      <w:r w:rsidR="005D7022">
        <w:rPr>
          <w:color w:val="auto"/>
        </w:rPr>
        <w:t xml:space="preserve">is akin to </w:t>
      </w:r>
      <w:r>
        <w:rPr>
          <w:color w:val="auto"/>
        </w:rPr>
        <w:t>re-introduc</w:t>
      </w:r>
      <w:r w:rsidR="005D7022">
        <w:rPr>
          <w:color w:val="auto"/>
        </w:rPr>
        <w:t>ing</w:t>
      </w:r>
      <w:r>
        <w:rPr>
          <w:color w:val="auto"/>
        </w:rPr>
        <w:t xml:space="preserve"> a ‘best interests’ standard, which is inconsistent with contemporary rights-based decision-making and with Article 12 of the CRPD</w:t>
      </w:r>
      <w:r w:rsidRPr="009F5D77">
        <w:rPr>
          <w:color w:val="auto"/>
        </w:rPr>
        <w:t>.</w:t>
      </w:r>
      <w:r w:rsidR="00FC7CF5">
        <w:t xml:space="preserve"> </w:t>
      </w:r>
      <w:r>
        <w:t xml:space="preserve">Applying the ALRC </w:t>
      </w:r>
      <w:r w:rsidR="005D7022">
        <w:t>principle</w:t>
      </w:r>
      <w:r w:rsidR="00AA42BD">
        <w:t xml:space="preserve"> of ‘will, preferences and rights’</w:t>
      </w:r>
      <w:r>
        <w:t xml:space="preserve"> in NSW</w:t>
      </w:r>
      <w:r w:rsidR="00AA42BD">
        <w:t xml:space="preserve"> </w:t>
      </w:r>
      <w:r w:rsidR="00CA6256">
        <w:t xml:space="preserve">would result in greater compliance </w:t>
      </w:r>
      <w:r w:rsidR="005019DC">
        <w:t>with international human rights law</w:t>
      </w:r>
      <w:r>
        <w:t>.</w:t>
      </w:r>
    </w:p>
    <w:p w14:paraId="1C48EEFB" w14:textId="2C1D5E84" w:rsidR="00BE4D4D" w:rsidRDefault="00A76BF3" w:rsidP="003258AA">
      <w:pPr>
        <w:pStyle w:val="Sectionsummarybody"/>
      </w:pPr>
      <w:r w:rsidRPr="00E210F4">
        <w:rPr>
          <w:b/>
          <w:bCs/>
        </w:rPr>
        <w:t>Recommendation</w:t>
      </w:r>
      <w:r>
        <w:rPr>
          <w:b/>
          <w:bCs/>
        </w:rPr>
        <w:t xml:space="preserve"> 5</w:t>
      </w:r>
      <w:r w:rsidRPr="000326D5">
        <w:t xml:space="preserve">: </w:t>
      </w:r>
      <w:r w:rsidR="00893418" w:rsidRPr="00184207">
        <w:t xml:space="preserve">The </w:t>
      </w:r>
      <w:r w:rsidR="00893418">
        <w:t xml:space="preserve">Ageing </w:t>
      </w:r>
      <w:r w:rsidR="00605C79">
        <w:t>and</w:t>
      </w:r>
      <w:r w:rsidR="00893418">
        <w:t xml:space="preserve"> Disability Commission</w:t>
      </w:r>
      <w:r w:rsidR="00893418" w:rsidRPr="00184207">
        <w:t xml:space="preserve"> </w:t>
      </w:r>
      <w:r w:rsidR="00893418">
        <w:t>adopt the A</w:t>
      </w:r>
      <w:r w:rsidR="00E81A0B">
        <w:t xml:space="preserve">ustralian </w:t>
      </w:r>
      <w:r w:rsidR="00893418">
        <w:t>L</w:t>
      </w:r>
      <w:r w:rsidR="00E81A0B">
        <w:t xml:space="preserve">aw </w:t>
      </w:r>
      <w:r w:rsidR="00893418">
        <w:t>R</w:t>
      </w:r>
      <w:r w:rsidR="00E81A0B">
        <w:t xml:space="preserve">eform </w:t>
      </w:r>
      <w:r w:rsidR="00893418">
        <w:t>C</w:t>
      </w:r>
      <w:r w:rsidR="00E81A0B">
        <w:t>ommission</w:t>
      </w:r>
      <w:r w:rsidR="00893418">
        <w:t>’s</w:t>
      </w:r>
      <w:r w:rsidR="00E81A0B">
        <w:t xml:space="preserve"> National </w:t>
      </w:r>
      <w:r w:rsidR="005314D8">
        <w:t xml:space="preserve">Decision-Making </w:t>
      </w:r>
      <w:r w:rsidR="00E81A0B">
        <w:t>Principle #3</w:t>
      </w:r>
      <w:r w:rsidR="005314D8">
        <w:t xml:space="preserve">, </w:t>
      </w:r>
      <w:r w:rsidR="005314D8">
        <w:lastRenderedPageBreak/>
        <w:t xml:space="preserve">which </w:t>
      </w:r>
      <w:r w:rsidR="00390AE3">
        <w:t>requires</w:t>
      </w:r>
      <w:r w:rsidR="008F6274">
        <w:t xml:space="preserve"> that</w:t>
      </w:r>
      <w:r w:rsidR="00390AE3">
        <w:t xml:space="preserve"> </w:t>
      </w:r>
      <w:r w:rsidR="003258AA">
        <w:t>decisions be directed by the will, preferences and rights of people who require decision-making support.</w:t>
      </w:r>
    </w:p>
    <w:p w14:paraId="72CBACA6" w14:textId="52BDF6E2" w:rsidR="00E3709E" w:rsidRDefault="00E3709E" w:rsidP="00A76BF3">
      <w:pPr>
        <w:pStyle w:val="Heading2"/>
      </w:pPr>
      <w:bookmarkStart w:id="14" w:name="_Toc223446762"/>
      <w:r>
        <w:t>Other related matters</w:t>
      </w:r>
      <w:bookmarkEnd w:id="14"/>
    </w:p>
    <w:p w14:paraId="1E74A3D6" w14:textId="7A860390" w:rsidR="00A76BF3" w:rsidRDefault="00A76BF3" w:rsidP="00A76BF3">
      <w:pPr>
        <w:rPr>
          <w:color w:val="auto"/>
        </w:rPr>
      </w:pPr>
      <w:r>
        <w:t>National reform is essential to achieving consistent supported decision-making practice across Australia. A coordinated national supported decision-making framework, alongside a national safeguarding framework with dedicated safeguarding units, legislation and operational mechanisms, will provide shared principles, clearer expectations for service systems, and stronger protections for people who need decision</w:t>
      </w:r>
      <w:r w:rsidR="11FC529A">
        <w:t>-</w:t>
      </w:r>
      <w:r>
        <w:t>making support. NSW should actively support the development of both frameworks.</w:t>
      </w:r>
    </w:p>
    <w:p w14:paraId="2B53C200" w14:textId="68D3E5AA" w:rsidR="00E3709E" w:rsidRPr="00E6056F" w:rsidRDefault="00A76BF3" w:rsidP="00A76BF3">
      <w:r>
        <w:t>NSW cannot wait for national action alone. Given the state’s existing safeguarding architecture and the pressing need for clearer supported decision-making practice, NSW is well placed to demonstrate how supported decision-making can be embedded across systems in a practical, rights</w:t>
      </w:r>
      <w:r w:rsidR="3D3CE827">
        <w:t>-b</w:t>
      </w:r>
      <w:r>
        <w:t xml:space="preserve">ased and </w:t>
      </w:r>
      <w:r w:rsidR="001F2796">
        <w:t>person-centred</w:t>
      </w:r>
      <w:r>
        <w:t xml:space="preserve"> way, while still contributing to future national consistency.</w:t>
      </w:r>
    </w:p>
    <w:p w14:paraId="70628C01" w14:textId="77777777" w:rsidR="003A6577" w:rsidRDefault="003A6577" w:rsidP="00FC7CF5">
      <w:pPr>
        <w:numPr>
          <w:ilvl w:val="0"/>
          <w:numId w:val="0"/>
        </w:numPr>
        <w:ind w:left="29" w:hanging="29"/>
        <w:sectPr w:rsidR="003A6577" w:rsidSect="003D23EE">
          <w:headerReference w:type="default" r:id="rId23"/>
          <w:endnotePr>
            <w:numFmt w:val="decimal"/>
          </w:endnotePr>
          <w:pgSz w:w="11906" w:h="16838" w:code="9"/>
          <w:pgMar w:top="1440" w:right="1440" w:bottom="1440" w:left="1440" w:header="720" w:footer="720" w:gutter="0"/>
          <w:cols w:space="720"/>
          <w:docGrid w:linePitch="360"/>
        </w:sectPr>
      </w:pPr>
    </w:p>
    <w:bookmarkStart w:id="15" w:name="_Toc223446763" w:displacedByCustomXml="next"/>
    <w:sdt>
      <w:sdtPr>
        <w:id w:val="1184715988"/>
        <w:placeholder>
          <w:docPart w:val="005289C0DAC444C9B6829ECE00F5D232"/>
        </w:placeholder>
        <w:dataBinding w:prefixMappings="xmlns:ns0='http://AHRCheadings.htm' " w:xpath="/ns0:headings[1]/ns0:Endnotes[1]" w:storeItemID="{59E40458-85DB-4B58-AD7F-ED1E21A92441}"/>
        <w:text/>
      </w:sdtPr>
      <w:sdtContent>
        <w:p w14:paraId="0FA1F2D5" w14:textId="77777777" w:rsidR="00882C52" w:rsidRDefault="00882C52" w:rsidP="00882C52">
          <w:pPr>
            <w:pStyle w:val="Heading1unnumbered"/>
          </w:pPr>
          <w:r>
            <w:t>Endnotes</w:t>
          </w:r>
        </w:p>
      </w:sdtContent>
    </w:sdt>
    <w:bookmarkEnd w:id="15" w:displacedByCustomXml="prev"/>
    <w:sectPr w:rsidR="00882C52" w:rsidSect="003D23EE">
      <w:headerReference w:type="default" r:id="rId24"/>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D8E3" w14:textId="77777777" w:rsidR="00CA2043" w:rsidRDefault="00CA2043" w:rsidP="00404018">
      <w:pPr>
        <w:pStyle w:val="Frontmatter"/>
      </w:pPr>
      <w:r>
        <w:separator/>
      </w:r>
    </w:p>
  </w:endnote>
  <w:endnote w:type="continuationSeparator" w:id="0">
    <w:p w14:paraId="7097AF48" w14:textId="77777777" w:rsidR="00CA2043" w:rsidRPr="00D07F6E" w:rsidRDefault="00CA2043" w:rsidP="00D07F6E">
      <w:pPr>
        <w:pStyle w:val="EndnoteText"/>
      </w:pPr>
      <w:r w:rsidRPr="00D07F6E">
        <w:continuationSeparator/>
      </w:r>
    </w:p>
  </w:endnote>
  <w:endnote w:type="continuationNotice" w:id="1">
    <w:p w14:paraId="6E17CED3" w14:textId="77777777" w:rsidR="00CA2043" w:rsidRDefault="00CA2043" w:rsidP="00965614"/>
  </w:endnote>
  <w:endnote w:id="2">
    <w:p w14:paraId="38D637BE" w14:textId="77777777" w:rsidR="00900BA4" w:rsidRPr="008936B5" w:rsidRDefault="00900BA4" w:rsidP="00900BA4">
      <w:pPr>
        <w:pStyle w:val="EndnoteText"/>
        <w:rPr>
          <w:sz w:val="20"/>
          <w:lang w:val="en-US"/>
        </w:rPr>
      </w:pPr>
      <w:r>
        <w:rPr>
          <w:rStyle w:val="EndnoteReference"/>
        </w:rPr>
        <w:endnoteRef/>
      </w:r>
      <w:r>
        <w:t xml:space="preserve"> </w:t>
      </w:r>
      <w:r w:rsidRPr="008936B5">
        <w:rPr>
          <w:sz w:val="20"/>
        </w:rPr>
        <w:t>United Nations Committee on the Rights of Persons with Disabilities</w:t>
      </w:r>
      <w:r w:rsidRPr="0072421A">
        <w:rPr>
          <w:sz w:val="20"/>
        </w:rPr>
        <w:t xml:space="preserve"> (2014),</w:t>
      </w:r>
      <w:r w:rsidRPr="008936B5">
        <w:rPr>
          <w:sz w:val="20"/>
        </w:rPr>
        <w:t xml:space="preserve"> </w:t>
      </w:r>
      <w:r w:rsidRPr="008936B5">
        <w:rPr>
          <w:i/>
          <w:iCs/>
          <w:sz w:val="20"/>
        </w:rPr>
        <w:t>General Comment No.</w:t>
      </w:r>
      <w:r w:rsidRPr="008936B5">
        <w:rPr>
          <w:rFonts w:ascii="Times New Roman" w:hAnsi="Times New Roman" w:cs="Times New Roman"/>
          <w:i/>
          <w:iCs/>
          <w:sz w:val="20"/>
        </w:rPr>
        <w:t> </w:t>
      </w:r>
      <w:r w:rsidRPr="008936B5">
        <w:rPr>
          <w:i/>
          <w:iCs/>
          <w:sz w:val="20"/>
        </w:rPr>
        <w:t>1</w:t>
      </w:r>
      <w:r w:rsidRPr="0072421A">
        <w:rPr>
          <w:i/>
          <w:iCs/>
          <w:sz w:val="20"/>
        </w:rPr>
        <w:t>:</w:t>
      </w:r>
      <w:r w:rsidRPr="008936B5">
        <w:rPr>
          <w:i/>
          <w:iCs/>
          <w:sz w:val="20"/>
        </w:rPr>
        <w:t xml:space="preserve"> Article 12 Equal recognition before the law</w:t>
      </w:r>
      <w:r w:rsidRPr="008936B5">
        <w:rPr>
          <w:sz w:val="20"/>
        </w:rPr>
        <w:t xml:space="preserve">, </w:t>
      </w:r>
      <w:hyperlink r:id="rId1" w:history="1">
        <w:r w:rsidRPr="008936B5">
          <w:rPr>
            <w:rStyle w:val="Hyperlink"/>
            <w:sz w:val="20"/>
          </w:rPr>
          <w:t>CRPD/C/GC/1</w:t>
        </w:r>
      </w:hyperlink>
      <w:r w:rsidRPr="008936B5">
        <w:rPr>
          <w:sz w:val="20"/>
        </w:rPr>
        <w:t>.</w:t>
      </w:r>
    </w:p>
  </w:endnote>
  <w:endnote w:id="3">
    <w:p w14:paraId="49F61589" w14:textId="6EFDDFF7" w:rsidR="000F7A45" w:rsidRPr="000F7A45" w:rsidRDefault="000F7A45">
      <w:pPr>
        <w:pStyle w:val="EndnoteText"/>
        <w:rPr>
          <w:lang w:val="en-US"/>
        </w:rPr>
      </w:pPr>
      <w:r>
        <w:rPr>
          <w:rStyle w:val="EndnoteReference"/>
        </w:rPr>
        <w:endnoteRef/>
      </w:r>
      <w:r>
        <w:t xml:space="preserve"> </w:t>
      </w:r>
      <w:r w:rsidR="00FE4390" w:rsidRPr="00CC2ECA">
        <w:rPr>
          <w:sz w:val="20"/>
        </w:rPr>
        <w:t xml:space="preserve">Council for Intellectual Disability. (n.d.). </w:t>
      </w:r>
      <w:r w:rsidR="00FE4390" w:rsidRPr="00CC2ECA">
        <w:rPr>
          <w:i/>
          <w:iCs/>
          <w:sz w:val="20"/>
        </w:rPr>
        <w:t>My Rights Matter resources: Supported decision making</w:t>
      </w:r>
      <w:r w:rsidR="00FE4390" w:rsidRPr="00CC2ECA">
        <w:rPr>
          <w:sz w:val="20"/>
        </w:rPr>
        <w:t xml:space="preserve">. Retrieved from </w:t>
      </w:r>
      <w:hyperlink r:id="rId2" w:history="1">
        <w:r w:rsidR="00065A3C" w:rsidRPr="00CC2ECA">
          <w:rPr>
            <w:rStyle w:val="Hyperlink"/>
            <w:sz w:val="20"/>
          </w:rPr>
          <w:t>https://cid.org.au/issues/my-rights-matter/my-rights-matter-resources/</w:t>
        </w:r>
      </w:hyperlink>
      <w:r w:rsidR="00065A3C" w:rsidRPr="00CC2ECA">
        <w:rPr>
          <w:sz w:val="20"/>
        </w:rPr>
        <w:t xml:space="preserve">; Inclusion Australia. (n.d.). </w:t>
      </w:r>
      <w:r w:rsidR="00065A3C" w:rsidRPr="00CC2ECA">
        <w:rPr>
          <w:i/>
          <w:iCs/>
          <w:sz w:val="20"/>
        </w:rPr>
        <w:t>CID Supported Decision Making resources</w:t>
      </w:r>
      <w:r w:rsidR="00065A3C" w:rsidRPr="00CC2ECA">
        <w:rPr>
          <w:sz w:val="20"/>
        </w:rPr>
        <w:t xml:space="preserve">. Retrieved from </w:t>
      </w:r>
      <w:hyperlink r:id="rId3" w:history="1">
        <w:r w:rsidR="00065A3C" w:rsidRPr="00CC2ECA">
          <w:rPr>
            <w:rStyle w:val="Hyperlink"/>
            <w:sz w:val="20"/>
          </w:rPr>
          <w:t>https://www.inclusionaustralia.org.au/resource/cid-supported-decision-making-resources/</w:t>
        </w:r>
      </w:hyperlink>
      <w:r w:rsidR="00065A3C" w:rsidRPr="00CC2ECA">
        <w:rPr>
          <w:sz w:val="20"/>
        </w:rPr>
        <w:t xml:space="preserve">; </w:t>
      </w:r>
      <w:r w:rsidR="00CC2ECA" w:rsidRPr="00CC2ECA">
        <w:rPr>
          <w:sz w:val="20"/>
        </w:rPr>
        <w:t xml:space="preserve">National Disability Services (NDS). (n.d.). </w:t>
      </w:r>
      <w:r w:rsidR="00CC2ECA" w:rsidRPr="00CC2ECA">
        <w:rPr>
          <w:i/>
          <w:iCs/>
          <w:sz w:val="20"/>
        </w:rPr>
        <w:t>Supported Decision Making e</w:t>
      </w:r>
      <w:r w:rsidR="00CC2ECA" w:rsidRPr="00CC2ECA">
        <w:rPr>
          <w:rFonts w:ascii="Cambria Math" w:hAnsi="Cambria Math" w:cs="Cambria Math"/>
          <w:i/>
          <w:iCs/>
          <w:sz w:val="20"/>
        </w:rPr>
        <w:t>‑</w:t>
      </w:r>
      <w:r w:rsidR="00CC2ECA" w:rsidRPr="00CC2ECA">
        <w:rPr>
          <w:i/>
          <w:iCs/>
          <w:sz w:val="20"/>
        </w:rPr>
        <w:t>learning module</w:t>
      </w:r>
      <w:r w:rsidR="00CC2ECA" w:rsidRPr="00CC2ECA">
        <w:rPr>
          <w:sz w:val="20"/>
        </w:rPr>
        <w:t xml:space="preserve">. Retrieved from </w:t>
      </w:r>
      <w:hyperlink r:id="rId4" w:history="1">
        <w:r w:rsidR="00CC2ECA" w:rsidRPr="00CC2ECA">
          <w:rPr>
            <w:rStyle w:val="Hyperlink"/>
            <w:sz w:val="20"/>
          </w:rPr>
          <w:t>https://nds.org.au/events-and-training/all-events-and-training/supported-decision-making-e-learning-module-3039</w:t>
        </w:r>
      </w:hyperlink>
      <w:r w:rsidR="00CC2ECA" w:rsidRPr="00CC2ECA">
        <w:rPr>
          <w:sz w:val="20"/>
        </w:rPr>
        <w:t>.</w:t>
      </w:r>
    </w:p>
  </w:endnote>
  <w:endnote w:id="4">
    <w:p w14:paraId="2E46F3D8" w14:textId="77777777" w:rsidR="0039234C" w:rsidRPr="0072421A" w:rsidRDefault="0039234C" w:rsidP="0039234C">
      <w:pPr>
        <w:pStyle w:val="EndnoteText"/>
        <w:rPr>
          <w:sz w:val="20"/>
          <w:lang w:val="en-US"/>
        </w:rPr>
      </w:pPr>
      <w:r w:rsidRPr="0072421A">
        <w:rPr>
          <w:rStyle w:val="EndnoteReference"/>
          <w:sz w:val="20"/>
        </w:rPr>
        <w:endnoteRef/>
      </w:r>
      <w:r w:rsidRPr="0072421A">
        <w:rPr>
          <w:sz w:val="20"/>
        </w:rPr>
        <w:t xml:space="preserve"> </w:t>
      </w:r>
      <w:r w:rsidRPr="008936B5">
        <w:rPr>
          <w:sz w:val="20"/>
        </w:rPr>
        <w:t xml:space="preserve">United Nations (2007), </w:t>
      </w:r>
      <w:r w:rsidRPr="008936B5">
        <w:rPr>
          <w:i/>
          <w:iCs/>
          <w:sz w:val="20"/>
        </w:rPr>
        <w:t>Convention on the Rights of Persons with Disabilities</w:t>
      </w:r>
      <w:r>
        <w:rPr>
          <w:sz w:val="20"/>
        </w:rPr>
        <w:t>. Available at</w:t>
      </w:r>
      <w:r w:rsidRPr="008936B5">
        <w:rPr>
          <w:sz w:val="20"/>
        </w:rPr>
        <w:t xml:space="preserve"> </w:t>
      </w:r>
      <w:hyperlink r:id="rId5" w:history="1">
        <w:r w:rsidRPr="008936B5">
          <w:rPr>
            <w:rStyle w:val="Hyperlink"/>
            <w:sz w:val="20"/>
          </w:rPr>
          <w:t>CRPD</w:t>
        </w:r>
      </w:hyperlink>
      <w:r w:rsidRPr="0072421A">
        <w:rPr>
          <w:sz w:val="20"/>
        </w:rPr>
        <w:t>.</w:t>
      </w:r>
    </w:p>
  </w:endnote>
  <w:endnote w:id="5">
    <w:p w14:paraId="3B14C939" w14:textId="77777777" w:rsidR="006B0132" w:rsidRPr="008936B5" w:rsidRDefault="006B0132" w:rsidP="006B0132">
      <w:pPr>
        <w:pStyle w:val="EndnoteText"/>
        <w:rPr>
          <w:sz w:val="20"/>
          <w:lang w:val="en-US"/>
        </w:rPr>
      </w:pPr>
      <w:r w:rsidRPr="008936B5">
        <w:rPr>
          <w:rStyle w:val="EndnoteReference"/>
          <w:sz w:val="20"/>
        </w:rPr>
        <w:endnoteRef/>
      </w:r>
      <w:r w:rsidRPr="008936B5">
        <w:rPr>
          <w:sz w:val="20"/>
        </w:rPr>
        <w:t xml:space="preserve"> United Nations Committee on the Rights of Persons with Disabilities</w:t>
      </w:r>
      <w:r w:rsidRPr="0072421A">
        <w:rPr>
          <w:sz w:val="20"/>
        </w:rPr>
        <w:t xml:space="preserve"> (2014),</w:t>
      </w:r>
      <w:r w:rsidRPr="008936B5">
        <w:rPr>
          <w:sz w:val="20"/>
        </w:rPr>
        <w:t xml:space="preserve"> </w:t>
      </w:r>
      <w:r w:rsidRPr="008936B5">
        <w:rPr>
          <w:i/>
          <w:iCs/>
          <w:sz w:val="20"/>
        </w:rPr>
        <w:t>General Comment No.</w:t>
      </w:r>
      <w:r w:rsidRPr="008936B5">
        <w:rPr>
          <w:rFonts w:ascii="Times New Roman" w:hAnsi="Times New Roman" w:cs="Times New Roman"/>
          <w:i/>
          <w:iCs/>
          <w:sz w:val="20"/>
        </w:rPr>
        <w:t> </w:t>
      </w:r>
      <w:r w:rsidRPr="008936B5">
        <w:rPr>
          <w:i/>
          <w:iCs/>
          <w:sz w:val="20"/>
        </w:rPr>
        <w:t>1</w:t>
      </w:r>
      <w:r w:rsidRPr="0072421A">
        <w:rPr>
          <w:i/>
          <w:iCs/>
          <w:sz w:val="20"/>
        </w:rPr>
        <w:t>:</w:t>
      </w:r>
      <w:r w:rsidRPr="008936B5">
        <w:rPr>
          <w:i/>
          <w:iCs/>
          <w:sz w:val="20"/>
        </w:rPr>
        <w:t xml:space="preserve"> Article 12 Equal recognition before the law</w:t>
      </w:r>
      <w:r w:rsidRPr="008936B5">
        <w:rPr>
          <w:sz w:val="20"/>
        </w:rPr>
        <w:t xml:space="preserve">, </w:t>
      </w:r>
      <w:hyperlink r:id="rId6" w:history="1">
        <w:r w:rsidRPr="008936B5">
          <w:rPr>
            <w:rStyle w:val="Hyperlink"/>
            <w:sz w:val="20"/>
          </w:rPr>
          <w:t>CRPD/C/GC/1</w:t>
        </w:r>
      </w:hyperlink>
      <w:r w:rsidRPr="008936B5">
        <w:rPr>
          <w:sz w:val="20"/>
        </w:rPr>
        <w:t>.</w:t>
      </w:r>
    </w:p>
  </w:endnote>
  <w:endnote w:id="6">
    <w:p w14:paraId="5991D394" w14:textId="04A60B7F" w:rsidR="006B0132" w:rsidRPr="006B0132" w:rsidRDefault="006B0132">
      <w:pPr>
        <w:pStyle w:val="EndnoteText"/>
        <w:rPr>
          <w:lang w:val="en-US"/>
        </w:rPr>
      </w:pPr>
      <w:r>
        <w:rPr>
          <w:rStyle w:val="EndnoteReference"/>
        </w:rPr>
        <w:endnoteRef/>
      </w:r>
      <w:r w:rsidR="00E77FE3">
        <w:rPr>
          <w:sz w:val="20"/>
          <w:lang w:val="en-US"/>
        </w:rPr>
        <w:t xml:space="preserve"> </w:t>
      </w:r>
      <w:r w:rsidRPr="006B0132">
        <w:rPr>
          <w:sz w:val="20"/>
          <w:szCs w:val="16"/>
        </w:rPr>
        <w:t>Australia has made an interpretive declaration to Article 12 of the CRPD stating that it understands the CRPD to permit substitute decision</w:t>
      </w:r>
      <w:r w:rsidRPr="006B0132">
        <w:rPr>
          <w:sz w:val="20"/>
          <w:szCs w:val="16"/>
        </w:rPr>
        <w:noBreakHyphen/>
        <w:t>making arrangements in appropriate circumstances. While the Commission has called for the interpretative declaration to be withdrawn, this submission focuses on emphasising the importance of maximising supported decision</w:t>
      </w:r>
      <w:r w:rsidRPr="006B0132">
        <w:rPr>
          <w:sz w:val="20"/>
          <w:szCs w:val="16"/>
        </w:rPr>
        <w:noBreakHyphen/>
        <w:t>making consistent with Australia’s obligations under international human rights law.</w:t>
      </w:r>
    </w:p>
  </w:endnote>
  <w:endnote w:id="7">
    <w:p w14:paraId="30124380" w14:textId="77777777" w:rsidR="0039234C" w:rsidRPr="0072421A" w:rsidRDefault="0039234C" w:rsidP="0039234C">
      <w:pPr>
        <w:pStyle w:val="EndnoteText"/>
        <w:rPr>
          <w:sz w:val="20"/>
          <w:lang w:val="en-US"/>
        </w:rPr>
      </w:pPr>
      <w:r w:rsidRPr="0072421A">
        <w:rPr>
          <w:rStyle w:val="EndnoteReference"/>
          <w:sz w:val="20"/>
        </w:rPr>
        <w:endnoteRef/>
      </w:r>
      <w:r w:rsidRPr="0072421A">
        <w:rPr>
          <w:sz w:val="20"/>
        </w:rPr>
        <w:t xml:space="preserve"> </w:t>
      </w:r>
      <w:r w:rsidRPr="0072421A">
        <w:rPr>
          <w:sz w:val="20"/>
          <w:lang w:val="en-US"/>
        </w:rPr>
        <w:t xml:space="preserve">Australian Law Reform Commission (24 November 2014), </w:t>
      </w:r>
      <w:r w:rsidRPr="0072421A">
        <w:rPr>
          <w:i/>
          <w:iCs/>
          <w:sz w:val="20"/>
          <w:lang w:val="en-US"/>
        </w:rPr>
        <w:t>Equality, Capacity and Disability in Commonwealth Laws</w:t>
      </w:r>
      <w:r w:rsidRPr="0072421A">
        <w:rPr>
          <w:sz w:val="20"/>
          <w:lang w:val="en-US"/>
        </w:rPr>
        <w:t xml:space="preserve">, </w:t>
      </w:r>
      <w:hyperlink r:id="rId7" w:history="1">
        <w:r w:rsidRPr="0072421A">
          <w:rPr>
            <w:rStyle w:val="Hyperlink"/>
            <w:sz w:val="20"/>
            <w:lang w:val="en-US"/>
          </w:rPr>
          <w:t>ALRC Report 124</w:t>
        </w:r>
      </w:hyperlink>
      <w:r w:rsidRPr="0072421A">
        <w:rPr>
          <w:sz w:val="20"/>
          <w:lang w:val="en-US"/>
        </w:rPr>
        <w:t>.</w:t>
      </w:r>
    </w:p>
  </w:endnote>
  <w:endnote w:id="8">
    <w:p w14:paraId="47B4505A" w14:textId="77777777" w:rsidR="0039234C" w:rsidRPr="0072421A" w:rsidRDefault="0039234C" w:rsidP="0039234C">
      <w:pPr>
        <w:pStyle w:val="EndnoteText"/>
        <w:rPr>
          <w:sz w:val="20"/>
          <w:lang w:val="en-US"/>
        </w:rPr>
      </w:pPr>
      <w:r w:rsidRPr="0072421A">
        <w:rPr>
          <w:rStyle w:val="EndnoteReference"/>
          <w:sz w:val="20"/>
        </w:rPr>
        <w:endnoteRef/>
      </w:r>
      <w:r w:rsidRPr="0072421A">
        <w:rPr>
          <w:sz w:val="20"/>
        </w:rPr>
        <w:t xml:space="preserve"> Royal Commission into Violence, Abuse, Neglect and Exploitation of People with Disability (2023), </w:t>
      </w:r>
      <w:r w:rsidRPr="0072421A">
        <w:rPr>
          <w:i/>
          <w:iCs/>
          <w:sz w:val="20"/>
        </w:rPr>
        <w:t>Final report, Volume 6: Enabling autonomy and access</w:t>
      </w:r>
      <w:r w:rsidRPr="0072421A">
        <w:rPr>
          <w:sz w:val="20"/>
        </w:rPr>
        <w:t>, pp. 17, 165.</w:t>
      </w:r>
    </w:p>
  </w:endnote>
  <w:endnote w:id="9">
    <w:p w14:paraId="5CADEFC7" w14:textId="79507C3B" w:rsidR="00C1738C" w:rsidRPr="00724E8F" w:rsidRDefault="00C1738C" w:rsidP="00C1738C">
      <w:pPr>
        <w:pStyle w:val="EndnoteText"/>
        <w:rPr>
          <w:sz w:val="20"/>
          <w:lang w:val="en-US"/>
        </w:rPr>
      </w:pPr>
      <w:r w:rsidRPr="00724E8F">
        <w:rPr>
          <w:rStyle w:val="EndnoteReference"/>
          <w:sz w:val="20"/>
        </w:rPr>
        <w:endnoteRef/>
      </w:r>
      <w:r w:rsidRPr="00724E8F">
        <w:rPr>
          <w:sz w:val="20"/>
        </w:rPr>
        <w:t xml:space="preserve"> </w:t>
      </w:r>
      <w:r w:rsidR="00964829" w:rsidRPr="00964829">
        <w:rPr>
          <w:sz w:val="20"/>
        </w:rPr>
        <w:t xml:space="preserve">New South Wales Government. (2019). </w:t>
      </w:r>
      <w:r w:rsidR="00964829" w:rsidRPr="00964829">
        <w:rPr>
          <w:i/>
          <w:iCs/>
          <w:sz w:val="20"/>
        </w:rPr>
        <w:t>Ageing and Disability Commissioner Act 2019 (NSW)</w:t>
      </w:r>
      <w:r w:rsidR="00964829">
        <w:rPr>
          <w:sz w:val="20"/>
        </w:rPr>
        <w:t>, s12: Functions</w:t>
      </w:r>
      <w:r w:rsidRPr="00724E8F">
        <w:rPr>
          <w:sz w:val="20"/>
        </w:rPr>
        <w:t>.</w:t>
      </w:r>
    </w:p>
  </w:endnote>
  <w:endnote w:id="10">
    <w:p w14:paraId="077FECF4" w14:textId="77777777" w:rsidR="0006545D" w:rsidRPr="0072421A" w:rsidRDefault="0006545D" w:rsidP="0006545D">
      <w:pPr>
        <w:pStyle w:val="EndnoteText"/>
        <w:rPr>
          <w:sz w:val="20"/>
          <w:lang w:val="en-US"/>
        </w:rPr>
      </w:pPr>
      <w:r w:rsidRPr="0072421A">
        <w:rPr>
          <w:rStyle w:val="EndnoteReference"/>
          <w:sz w:val="20"/>
        </w:rPr>
        <w:endnoteRef/>
      </w:r>
      <w:r w:rsidRPr="0072421A">
        <w:rPr>
          <w:sz w:val="20"/>
        </w:rPr>
        <w:t xml:space="preserve"> </w:t>
      </w:r>
      <w:r w:rsidRPr="00C72A83">
        <w:rPr>
          <w:sz w:val="20"/>
        </w:rPr>
        <w:t xml:space="preserve">NSW Ageing and Disability Commission </w:t>
      </w:r>
      <w:r>
        <w:rPr>
          <w:sz w:val="20"/>
        </w:rPr>
        <w:t>(</w:t>
      </w:r>
      <w:r w:rsidRPr="00C72A83">
        <w:rPr>
          <w:sz w:val="20"/>
        </w:rPr>
        <w:t>202</w:t>
      </w:r>
      <w:r>
        <w:rPr>
          <w:sz w:val="20"/>
        </w:rPr>
        <w:t>3</w:t>
      </w:r>
      <w:r w:rsidRPr="0072421A">
        <w:rPr>
          <w:sz w:val="20"/>
        </w:rPr>
        <w:t>),</w:t>
      </w:r>
      <w:r w:rsidRPr="00C72A83">
        <w:rPr>
          <w:sz w:val="20"/>
        </w:rPr>
        <w:t xml:space="preserve"> </w:t>
      </w:r>
      <w:r w:rsidRPr="00C72A83">
        <w:rPr>
          <w:i/>
          <w:iCs/>
          <w:sz w:val="20"/>
        </w:rPr>
        <w:t>Ageing and Disability Commission Annual Report 202</w:t>
      </w:r>
      <w:r>
        <w:rPr>
          <w:i/>
          <w:iCs/>
          <w:sz w:val="20"/>
        </w:rPr>
        <w:t>2</w:t>
      </w:r>
      <w:r w:rsidRPr="00C72A83">
        <w:rPr>
          <w:i/>
          <w:iCs/>
          <w:sz w:val="20"/>
        </w:rPr>
        <w:t>-2</w:t>
      </w:r>
      <w:r>
        <w:rPr>
          <w:i/>
          <w:iCs/>
          <w:sz w:val="20"/>
        </w:rPr>
        <w:t>3</w:t>
      </w:r>
      <w:r w:rsidRPr="00C72A83">
        <w:rPr>
          <w:sz w:val="20"/>
        </w:rPr>
        <w:t>,</w:t>
      </w:r>
      <w:r>
        <w:rPr>
          <w:sz w:val="20"/>
        </w:rPr>
        <w:t xml:space="preserve"> pp. 3-4.</w:t>
      </w:r>
    </w:p>
  </w:endnote>
  <w:endnote w:id="11">
    <w:p w14:paraId="51B2135F" w14:textId="77777777" w:rsidR="0006545D" w:rsidRPr="0072421A" w:rsidRDefault="0006545D" w:rsidP="0006545D">
      <w:pPr>
        <w:pStyle w:val="EndnoteText"/>
        <w:rPr>
          <w:sz w:val="20"/>
          <w:lang w:val="en-US"/>
        </w:rPr>
      </w:pPr>
      <w:r w:rsidRPr="0072421A">
        <w:rPr>
          <w:rStyle w:val="EndnoteReference"/>
          <w:sz w:val="20"/>
        </w:rPr>
        <w:endnoteRef/>
      </w:r>
      <w:r w:rsidRPr="0072421A">
        <w:rPr>
          <w:sz w:val="20"/>
        </w:rPr>
        <w:t xml:space="preserve"> </w:t>
      </w:r>
      <w:r w:rsidRPr="0006601D">
        <w:rPr>
          <w:sz w:val="20"/>
        </w:rPr>
        <w:t xml:space="preserve">NSW Ageing and Disability Commission </w:t>
      </w:r>
      <w:r>
        <w:rPr>
          <w:sz w:val="20"/>
        </w:rPr>
        <w:t>(</w:t>
      </w:r>
      <w:r w:rsidRPr="0006601D">
        <w:rPr>
          <w:sz w:val="20"/>
        </w:rPr>
        <w:t>2024</w:t>
      </w:r>
      <w:r w:rsidRPr="0072421A">
        <w:rPr>
          <w:sz w:val="20"/>
        </w:rPr>
        <w:t>),</w:t>
      </w:r>
      <w:r w:rsidRPr="0006601D">
        <w:rPr>
          <w:sz w:val="20"/>
        </w:rPr>
        <w:t xml:space="preserve"> </w:t>
      </w:r>
      <w:r w:rsidRPr="00187804">
        <w:rPr>
          <w:i/>
          <w:iCs/>
          <w:sz w:val="20"/>
        </w:rPr>
        <w:t>Submission to the consultation on the Exposure Draft Aged Care Bill 2023</w:t>
      </w:r>
      <w:r>
        <w:rPr>
          <w:sz w:val="20"/>
        </w:rPr>
        <w:t>, pp. 2-3.</w:t>
      </w:r>
    </w:p>
  </w:endnote>
  <w:endnote w:id="12">
    <w:p w14:paraId="379E0F56" w14:textId="77777777" w:rsidR="0006545D" w:rsidRPr="0072421A" w:rsidRDefault="0006545D" w:rsidP="0006545D">
      <w:pPr>
        <w:pStyle w:val="EndnoteText"/>
        <w:rPr>
          <w:sz w:val="20"/>
          <w:lang w:val="en-US"/>
        </w:rPr>
      </w:pPr>
      <w:r w:rsidRPr="0072421A">
        <w:rPr>
          <w:rStyle w:val="EndnoteReference"/>
          <w:sz w:val="20"/>
        </w:rPr>
        <w:endnoteRef/>
      </w:r>
      <w:r w:rsidRPr="0072421A">
        <w:rPr>
          <w:sz w:val="20"/>
        </w:rPr>
        <w:t xml:space="preserve"> </w:t>
      </w:r>
      <w:r w:rsidRPr="0006601D">
        <w:rPr>
          <w:sz w:val="20"/>
        </w:rPr>
        <w:t xml:space="preserve">NSW Ageing and Disability Commission </w:t>
      </w:r>
      <w:r>
        <w:rPr>
          <w:sz w:val="20"/>
        </w:rPr>
        <w:t>(</w:t>
      </w:r>
      <w:r w:rsidRPr="0006601D">
        <w:rPr>
          <w:sz w:val="20"/>
        </w:rPr>
        <w:t>202</w:t>
      </w:r>
      <w:r>
        <w:rPr>
          <w:sz w:val="20"/>
        </w:rPr>
        <w:t>3</w:t>
      </w:r>
      <w:r w:rsidRPr="0072421A">
        <w:rPr>
          <w:sz w:val="20"/>
        </w:rPr>
        <w:t>),</w:t>
      </w:r>
      <w:r w:rsidRPr="0006601D">
        <w:rPr>
          <w:sz w:val="20"/>
        </w:rPr>
        <w:t xml:space="preserve"> </w:t>
      </w:r>
      <w:r w:rsidRPr="00187804">
        <w:rPr>
          <w:i/>
          <w:iCs/>
          <w:sz w:val="20"/>
        </w:rPr>
        <w:t xml:space="preserve">Submission to the </w:t>
      </w:r>
      <w:r>
        <w:rPr>
          <w:i/>
          <w:iCs/>
          <w:sz w:val="20"/>
        </w:rPr>
        <w:t>independent review of the NDIS: NDIS participant safeguarding</w:t>
      </w:r>
      <w:r>
        <w:rPr>
          <w:sz w:val="20"/>
        </w:rPr>
        <w:t>, pp. 2-3.</w:t>
      </w:r>
    </w:p>
  </w:endnote>
  <w:endnote w:id="13">
    <w:p w14:paraId="32A5D0E4" w14:textId="77777777" w:rsidR="000955E0" w:rsidRPr="00187804" w:rsidRDefault="000955E0" w:rsidP="000955E0">
      <w:pPr>
        <w:pStyle w:val="EndnoteText"/>
        <w:rPr>
          <w:sz w:val="20"/>
          <w:lang w:val="en-US"/>
        </w:rPr>
      </w:pPr>
      <w:r w:rsidRPr="0072421A">
        <w:rPr>
          <w:rStyle w:val="EndnoteReference"/>
          <w:sz w:val="20"/>
        </w:rPr>
        <w:endnoteRef/>
      </w:r>
      <w:r w:rsidRPr="0072421A">
        <w:rPr>
          <w:sz w:val="20"/>
        </w:rPr>
        <w:t xml:space="preserve"> </w:t>
      </w:r>
      <w:r w:rsidRPr="00187804">
        <w:rPr>
          <w:sz w:val="20"/>
        </w:rPr>
        <w:t>Blaxland, M, Thomson, C, Broady, T, Katz, I &amp; Zhang, J</w:t>
      </w:r>
      <w:r>
        <w:rPr>
          <w:sz w:val="20"/>
        </w:rPr>
        <w:t>. (</w:t>
      </w:r>
      <w:r w:rsidRPr="00187804">
        <w:rPr>
          <w:sz w:val="20"/>
        </w:rPr>
        <w:t>2025</w:t>
      </w:r>
      <w:r w:rsidRPr="0072421A">
        <w:rPr>
          <w:sz w:val="20"/>
        </w:rPr>
        <w:t>),</w:t>
      </w:r>
      <w:r w:rsidRPr="00187804">
        <w:rPr>
          <w:sz w:val="20"/>
        </w:rPr>
        <w:t xml:space="preserve"> </w:t>
      </w:r>
      <w:r w:rsidRPr="00187804">
        <w:rPr>
          <w:i/>
          <w:iCs/>
          <w:sz w:val="20"/>
        </w:rPr>
        <w:t>Neglect among adults with disability and older people in NSW</w:t>
      </w:r>
      <w:r w:rsidRPr="00187804">
        <w:rPr>
          <w:sz w:val="20"/>
        </w:rPr>
        <w:t>, NSW Ageing and Disability Commission</w:t>
      </w:r>
      <w:r>
        <w:rPr>
          <w:sz w:val="20"/>
        </w:rPr>
        <w:t xml:space="preserve">; </w:t>
      </w:r>
      <w:r w:rsidRPr="0006601D">
        <w:rPr>
          <w:sz w:val="20"/>
        </w:rPr>
        <w:t xml:space="preserve">NSW Ageing and Disability Commission </w:t>
      </w:r>
      <w:r>
        <w:rPr>
          <w:sz w:val="20"/>
        </w:rPr>
        <w:t>(</w:t>
      </w:r>
      <w:r w:rsidRPr="0006601D">
        <w:rPr>
          <w:sz w:val="20"/>
        </w:rPr>
        <w:t>2024</w:t>
      </w:r>
      <w:r w:rsidRPr="0072421A">
        <w:rPr>
          <w:sz w:val="20"/>
        </w:rPr>
        <w:t>),</w:t>
      </w:r>
      <w:r w:rsidRPr="0006601D">
        <w:rPr>
          <w:sz w:val="20"/>
        </w:rPr>
        <w:t xml:space="preserve"> </w:t>
      </w:r>
      <w:r w:rsidRPr="00187804">
        <w:rPr>
          <w:i/>
          <w:iCs/>
          <w:sz w:val="20"/>
        </w:rPr>
        <w:t>Submission to the consultation on the Exposure Draft Aged Care Bill 2023</w:t>
      </w:r>
      <w:r>
        <w:rPr>
          <w:sz w:val="20"/>
        </w:rPr>
        <w:t xml:space="preserve">; </w:t>
      </w:r>
      <w:r w:rsidRPr="007400A3">
        <w:rPr>
          <w:sz w:val="20"/>
        </w:rPr>
        <w:t xml:space="preserve">NSW Ageing and Disability Commission </w:t>
      </w:r>
      <w:r>
        <w:rPr>
          <w:sz w:val="20"/>
        </w:rPr>
        <w:t>(</w:t>
      </w:r>
      <w:r w:rsidRPr="007400A3">
        <w:rPr>
          <w:sz w:val="20"/>
        </w:rPr>
        <w:t>2020</w:t>
      </w:r>
      <w:r w:rsidRPr="0072421A">
        <w:rPr>
          <w:sz w:val="20"/>
        </w:rPr>
        <w:t>),</w:t>
      </w:r>
      <w:r w:rsidRPr="007400A3">
        <w:rPr>
          <w:sz w:val="20"/>
        </w:rPr>
        <w:t xml:space="preserve"> </w:t>
      </w:r>
      <w:r w:rsidRPr="007400A3">
        <w:rPr>
          <w:i/>
          <w:iCs/>
          <w:sz w:val="20"/>
        </w:rPr>
        <w:t>Submission to the Joint Select Committee on Coercive Control</w:t>
      </w:r>
      <w:r>
        <w:rPr>
          <w:sz w:val="20"/>
        </w:rPr>
        <w:t>.</w:t>
      </w:r>
    </w:p>
  </w:endnote>
  <w:endnote w:id="14">
    <w:p w14:paraId="1E4B8B61" w14:textId="77777777" w:rsidR="000955E0" w:rsidRPr="0072421A" w:rsidRDefault="000955E0" w:rsidP="000955E0">
      <w:pPr>
        <w:pStyle w:val="EndnoteText"/>
        <w:rPr>
          <w:sz w:val="20"/>
          <w:lang w:val="en-US"/>
        </w:rPr>
      </w:pPr>
      <w:r w:rsidRPr="0072421A">
        <w:rPr>
          <w:rStyle w:val="EndnoteReference"/>
          <w:sz w:val="20"/>
        </w:rPr>
        <w:endnoteRef/>
      </w:r>
      <w:r w:rsidRPr="00C72A83">
        <w:rPr>
          <w:sz w:val="20"/>
        </w:rPr>
        <w:t xml:space="preserve"> NSW Ageing and Disability Commission </w:t>
      </w:r>
      <w:r>
        <w:rPr>
          <w:sz w:val="20"/>
        </w:rPr>
        <w:t>(</w:t>
      </w:r>
      <w:r w:rsidRPr="00C72A83">
        <w:rPr>
          <w:sz w:val="20"/>
        </w:rPr>
        <w:t>2023</w:t>
      </w:r>
      <w:r w:rsidRPr="0072421A">
        <w:rPr>
          <w:sz w:val="20"/>
        </w:rPr>
        <w:t>),</w:t>
      </w:r>
      <w:r w:rsidRPr="00C72A83">
        <w:rPr>
          <w:sz w:val="20"/>
        </w:rPr>
        <w:t xml:space="preserve"> </w:t>
      </w:r>
      <w:r w:rsidRPr="00C72A83">
        <w:rPr>
          <w:i/>
          <w:iCs/>
          <w:sz w:val="20"/>
        </w:rPr>
        <w:t>Ageing and Disability Commission Annual Report 2022-23</w:t>
      </w:r>
      <w:r w:rsidRPr="00C72A83">
        <w:rPr>
          <w:sz w:val="20"/>
        </w:rPr>
        <w:t>,</w:t>
      </w:r>
      <w:r>
        <w:rPr>
          <w:sz w:val="20"/>
        </w:rPr>
        <w:t xml:space="preserve"> pp. 22-23; </w:t>
      </w:r>
      <w:r w:rsidRPr="0006601D">
        <w:rPr>
          <w:sz w:val="20"/>
        </w:rPr>
        <w:t xml:space="preserve">NSW Ageing and Disability Commission </w:t>
      </w:r>
      <w:r>
        <w:rPr>
          <w:sz w:val="20"/>
        </w:rPr>
        <w:t>(</w:t>
      </w:r>
      <w:r w:rsidRPr="0006601D">
        <w:rPr>
          <w:sz w:val="20"/>
        </w:rPr>
        <w:t>2024</w:t>
      </w:r>
      <w:r w:rsidRPr="0072421A">
        <w:rPr>
          <w:sz w:val="20"/>
        </w:rPr>
        <w:t>),</w:t>
      </w:r>
      <w:r w:rsidRPr="0006601D">
        <w:rPr>
          <w:sz w:val="20"/>
        </w:rPr>
        <w:t xml:space="preserve"> </w:t>
      </w:r>
      <w:r w:rsidRPr="00187804">
        <w:rPr>
          <w:i/>
          <w:iCs/>
          <w:sz w:val="20"/>
        </w:rPr>
        <w:t>Submission to the consultation on the Exposure Draft Aged Care Bill 2023</w:t>
      </w:r>
      <w:r>
        <w:rPr>
          <w:sz w:val="20"/>
        </w:rPr>
        <w:t xml:space="preserve">, pp. 2-3; </w:t>
      </w:r>
      <w:r w:rsidRPr="00187804">
        <w:rPr>
          <w:sz w:val="20"/>
        </w:rPr>
        <w:t>Blaxland, M, Thomson, C, Broady, T, Katz, I &amp; Zhang, J</w:t>
      </w:r>
      <w:r>
        <w:rPr>
          <w:sz w:val="20"/>
        </w:rPr>
        <w:t>. (</w:t>
      </w:r>
      <w:r w:rsidRPr="00187804">
        <w:rPr>
          <w:sz w:val="20"/>
        </w:rPr>
        <w:t>2025</w:t>
      </w:r>
      <w:r w:rsidRPr="0072421A">
        <w:rPr>
          <w:sz w:val="20"/>
        </w:rPr>
        <w:t>),</w:t>
      </w:r>
      <w:r w:rsidRPr="00187804">
        <w:rPr>
          <w:sz w:val="20"/>
        </w:rPr>
        <w:t xml:space="preserve"> </w:t>
      </w:r>
      <w:r w:rsidRPr="00187804">
        <w:rPr>
          <w:i/>
          <w:iCs/>
          <w:sz w:val="20"/>
        </w:rPr>
        <w:t>Neglect among adults with disability and older people in NSW</w:t>
      </w:r>
      <w:r w:rsidRPr="00187804">
        <w:rPr>
          <w:sz w:val="20"/>
        </w:rPr>
        <w:t>, NSW Ageing and Disability Commission</w:t>
      </w:r>
      <w:r>
        <w:rPr>
          <w:sz w:val="20"/>
        </w:rPr>
        <w:t>, pp. 65-66.</w:t>
      </w:r>
    </w:p>
  </w:endnote>
  <w:endnote w:id="15">
    <w:p w14:paraId="532EC5D4" w14:textId="77777777" w:rsidR="000955E0" w:rsidRPr="0072421A" w:rsidRDefault="000955E0" w:rsidP="000955E0">
      <w:pPr>
        <w:pStyle w:val="EndnoteText"/>
        <w:rPr>
          <w:sz w:val="20"/>
          <w:lang w:val="en-US"/>
        </w:rPr>
      </w:pPr>
      <w:r w:rsidRPr="0072421A">
        <w:rPr>
          <w:rStyle w:val="EndnoteReference"/>
          <w:sz w:val="20"/>
        </w:rPr>
        <w:endnoteRef/>
      </w:r>
      <w:r w:rsidRPr="0072421A">
        <w:rPr>
          <w:sz w:val="20"/>
        </w:rPr>
        <w:t xml:space="preserve"> </w:t>
      </w:r>
      <w:r w:rsidRPr="00187804">
        <w:rPr>
          <w:sz w:val="20"/>
        </w:rPr>
        <w:t>Blaxland, M, Thomson, C, Broady, T, Katz, I &amp; Zhang, J</w:t>
      </w:r>
      <w:r>
        <w:rPr>
          <w:sz w:val="20"/>
        </w:rPr>
        <w:t>. (</w:t>
      </w:r>
      <w:r w:rsidRPr="00187804">
        <w:rPr>
          <w:sz w:val="20"/>
        </w:rPr>
        <w:t>2025</w:t>
      </w:r>
      <w:r w:rsidRPr="0072421A">
        <w:rPr>
          <w:sz w:val="20"/>
        </w:rPr>
        <w:t>),</w:t>
      </w:r>
      <w:r w:rsidRPr="00187804">
        <w:rPr>
          <w:sz w:val="20"/>
        </w:rPr>
        <w:t xml:space="preserve"> </w:t>
      </w:r>
      <w:r w:rsidRPr="00187804">
        <w:rPr>
          <w:i/>
          <w:iCs/>
          <w:sz w:val="20"/>
        </w:rPr>
        <w:t>Neglect among adults with disability and older people in NSW</w:t>
      </w:r>
      <w:r w:rsidRPr="00187804">
        <w:rPr>
          <w:sz w:val="20"/>
        </w:rPr>
        <w:t>, NSW Ageing and Disability Commission</w:t>
      </w:r>
      <w:r>
        <w:rPr>
          <w:sz w:val="20"/>
        </w:rPr>
        <w:t xml:space="preserve">, pp. 42-43. </w:t>
      </w:r>
    </w:p>
  </w:endnote>
  <w:endnote w:id="16">
    <w:p w14:paraId="44683BB2" w14:textId="77777777" w:rsidR="000955E0" w:rsidRPr="00C21D7D" w:rsidRDefault="000955E0" w:rsidP="000955E0">
      <w:pPr>
        <w:pStyle w:val="EndnoteText"/>
        <w:rPr>
          <w:sz w:val="20"/>
          <w:lang w:val="en-US"/>
        </w:rPr>
      </w:pPr>
      <w:r w:rsidRPr="0072421A">
        <w:rPr>
          <w:rStyle w:val="EndnoteReference"/>
          <w:sz w:val="20"/>
        </w:rPr>
        <w:endnoteRef/>
      </w:r>
      <w:r w:rsidRPr="0072421A">
        <w:rPr>
          <w:sz w:val="20"/>
        </w:rPr>
        <w:t xml:space="preserve"> </w:t>
      </w:r>
      <w:r w:rsidRPr="00C21D7D">
        <w:rPr>
          <w:sz w:val="20"/>
          <w:lang w:val="en-US"/>
        </w:rPr>
        <w:t xml:space="preserve">Ibid, pp. </w:t>
      </w:r>
      <w:r>
        <w:rPr>
          <w:sz w:val="20"/>
          <w:lang w:val="en-US"/>
        </w:rPr>
        <w:t>35, 64-71.</w:t>
      </w:r>
    </w:p>
  </w:endnote>
  <w:endnote w:id="17">
    <w:p w14:paraId="6DC6E1CB" w14:textId="77777777" w:rsidR="000955E0" w:rsidRPr="0072421A" w:rsidRDefault="000955E0" w:rsidP="000955E0">
      <w:pPr>
        <w:pStyle w:val="EndnoteText"/>
        <w:rPr>
          <w:sz w:val="20"/>
          <w:lang w:val="en-US"/>
        </w:rPr>
      </w:pPr>
      <w:r w:rsidRPr="0072421A">
        <w:rPr>
          <w:rStyle w:val="EndnoteReference"/>
          <w:sz w:val="20"/>
        </w:rPr>
        <w:endnoteRef/>
      </w:r>
      <w:r w:rsidRPr="0072421A">
        <w:rPr>
          <w:sz w:val="20"/>
        </w:rPr>
        <w:t xml:space="preserve"> </w:t>
      </w:r>
      <w:r w:rsidRPr="007400A3">
        <w:rPr>
          <w:sz w:val="20"/>
        </w:rPr>
        <w:t xml:space="preserve">NSW Ageing and Disability Commission </w:t>
      </w:r>
      <w:r>
        <w:rPr>
          <w:sz w:val="20"/>
        </w:rPr>
        <w:t>(</w:t>
      </w:r>
      <w:r w:rsidRPr="007400A3">
        <w:rPr>
          <w:sz w:val="20"/>
        </w:rPr>
        <w:t>2020</w:t>
      </w:r>
      <w:r w:rsidRPr="0072421A">
        <w:rPr>
          <w:sz w:val="20"/>
        </w:rPr>
        <w:t>),</w:t>
      </w:r>
      <w:r w:rsidRPr="007400A3">
        <w:rPr>
          <w:sz w:val="20"/>
        </w:rPr>
        <w:t xml:space="preserve"> </w:t>
      </w:r>
      <w:r w:rsidRPr="007400A3">
        <w:rPr>
          <w:i/>
          <w:iCs/>
          <w:sz w:val="20"/>
        </w:rPr>
        <w:t>Submission to the Joint Select Committee on Coercive Control</w:t>
      </w:r>
      <w:r>
        <w:rPr>
          <w:sz w:val="20"/>
        </w:rPr>
        <w:t xml:space="preserve">. </w:t>
      </w:r>
    </w:p>
  </w:endnote>
  <w:endnote w:id="18">
    <w:p w14:paraId="01D1298D" w14:textId="77777777" w:rsidR="000955E0" w:rsidRPr="0072421A" w:rsidRDefault="000955E0" w:rsidP="000955E0">
      <w:pPr>
        <w:pStyle w:val="EndnoteText"/>
        <w:rPr>
          <w:sz w:val="20"/>
          <w:lang w:val="en-US"/>
        </w:rPr>
      </w:pPr>
      <w:r w:rsidRPr="0072421A">
        <w:rPr>
          <w:rStyle w:val="EndnoteReference"/>
          <w:sz w:val="20"/>
        </w:rPr>
        <w:endnoteRef/>
      </w:r>
      <w:r w:rsidRPr="0072421A">
        <w:rPr>
          <w:sz w:val="20"/>
        </w:rPr>
        <w:t xml:space="preserve"> </w:t>
      </w:r>
      <w:r>
        <w:rPr>
          <w:sz w:val="20"/>
        </w:rPr>
        <w:t>Ibid, pp. 6-10.</w:t>
      </w:r>
    </w:p>
  </w:endnote>
  <w:endnote w:id="19">
    <w:p w14:paraId="5033C2FD" w14:textId="77777777" w:rsidR="000955E0" w:rsidRPr="0072421A" w:rsidRDefault="000955E0" w:rsidP="000955E0">
      <w:pPr>
        <w:pStyle w:val="EndnoteText"/>
        <w:rPr>
          <w:sz w:val="20"/>
          <w:lang w:val="en-US"/>
        </w:rPr>
      </w:pPr>
      <w:r w:rsidRPr="0072421A">
        <w:rPr>
          <w:rStyle w:val="EndnoteReference"/>
          <w:sz w:val="20"/>
        </w:rPr>
        <w:endnoteRef/>
      </w:r>
      <w:r w:rsidRPr="0072421A">
        <w:rPr>
          <w:sz w:val="20"/>
        </w:rPr>
        <w:t xml:space="preserve"> </w:t>
      </w:r>
      <w:r w:rsidRPr="0072421A">
        <w:rPr>
          <w:sz w:val="20"/>
          <w:lang w:val="en-US"/>
        </w:rPr>
        <w:t xml:space="preserve">Office of the Public Advocate (September 2024), </w:t>
      </w:r>
      <w:r w:rsidRPr="0072421A">
        <w:rPr>
          <w:i/>
          <w:iCs/>
          <w:sz w:val="20"/>
          <w:lang w:val="en-US"/>
        </w:rPr>
        <w:t>Roundtable discussion paper: Manipulation and personal autonomy</w:t>
      </w:r>
      <w:r w:rsidRPr="0072421A">
        <w:rPr>
          <w:sz w:val="20"/>
          <w:lang w:val="en-US"/>
        </w:rPr>
        <w:t xml:space="preserve">, available at </w:t>
      </w:r>
      <w:hyperlink r:id="rId8" w:history="1">
        <w:r w:rsidRPr="0072421A">
          <w:rPr>
            <w:rStyle w:val="Hyperlink"/>
            <w:sz w:val="20"/>
            <w:lang w:val="en-US"/>
          </w:rPr>
          <w:t>https://www.publicadvocate.vic.gov.au/opa-s-work/research/745-manipulation-and-personal-autonomy</w:t>
        </w:r>
      </w:hyperlink>
    </w:p>
  </w:endnote>
  <w:endnote w:id="20">
    <w:p w14:paraId="6CCC49AA" w14:textId="77777777" w:rsidR="000955E0" w:rsidRPr="0072421A" w:rsidRDefault="000955E0" w:rsidP="000955E0">
      <w:pPr>
        <w:pStyle w:val="EndnoteText"/>
        <w:rPr>
          <w:sz w:val="20"/>
          <w:lang w:val="en-US"/>
        </w:rPr>
      </w:pPr>
      <w:r w:rsidRPr="0072421A">
        <w:rPr>
          <w:rStyle w:val="EndnoteReference"/>
          <w:sz w:val="20"/>
        </w:rPr>
        <w:endnoteRef/>
      </w:r>
      <w:r w:rsidRPr="0072421A">
        <w:rPr>
          <w:sz w:val="20"/>
        </w:rPr>
        <w:t xml:space="preserve"> Jull, J. Fairman, K. Oliver, S. Hesmer, B. and Pullattayil, AK. (2023), </w:t>
      </w:r>
      <w:r w:rsidRPr="0072421A">
        <w:rPr>
          <w:i/>
          <w:iCs/>
          <w:sz w:val="20"/>
        </w:rPr>
        <w:t>Interventions for Indigenous Peoples Making Health Decisions: A Systematic Review</w:t>
      </w:r>
      <w:r w:rsidRPr="0072421A">
        <w:rPr>
          <w:sz w:val="20"/>
        </w:rPr>
        <w:t>,</w:t>
      </w:r>
      <w:r w:rsidRPr="0072421A">
        <w:rPr>
          <w:sz w:val="20"/>
          <w:lang w:val="en-US"/>
        </w:rPr>
        <w:t xml:space="preserve"> Arch Public Health, DOI: </w:t>
      </w:r>
      <w:r w:rsidRPr="0072421A">
        <w:rPr>
          <w:sz w:val="20"/>
        </w:rPr>
        <w:t>10.1186/s13690-023-01177-1,</w:t>
      </w:r>
      <w:r w:rsidRPr="0072421A">
        <w:rPr>
          <w:sz w:val="20"/>
          <w:lang w:val="en-US"/>
        </w:rPr>
        <w:t xml:space="preserve"> pp.18; </w:t>
      </w:r>
      <w:r w:rsidRPr="0072421A">
        <w:rPr>
          <w:sz w:val="20"/>
        </w:rPr>
        <w:t xml:space="preserve">Australian Institute of Health and Welfare (2023), Web report: </w:t>
      </w:r>
      <w:hyperlink r:id="rId9" w:history="1">
        <w:r w:rsidRPr="0072421A">
          <w:rPr>
            <w:rStyle w:val="Hyperlink"/>
            <w:i/>
            <w:iCs/>
            <w:sz w:val="20"/>
          </w:rPr>
          <w:t>Cultural Safety in Health Care for Indigenous Australians: monitoring framework</w:t>
        </w:r>
      </w:hyperlink>
      <w:r w:rsidRPr="0072421A">
        <w:rPr>
          <w:sz w:val="20"/>
        </w:rPr>
        <w:t xml:space="preserve">; Deravin, L. Bramble, M. Anderson, J. and Mahara, N. (2023), </w:t>
      </w:r>
      <w:r w:rsidRPr="0072421A">
        <w:rPr>
          <w:i/>
          <w:iCs/>
          <w:sz w:val="20"/>
        </w:rPr>
        <w:t>Strategies that support Cultural Safety for First Nations people in Aged Care</w:t>
      </w:r>
      <w:r w:rsidRPr="0072421A">
        <w:rPr>
          <w:sz w:val="20"/>
        </w:rPr>
        <w:t>, DOI: 10.1111/ajag.13230</w:t>
      </w:r>
    </w:p>
  </w:endnote>
  <w:endnote w:id="21">
    <w:p w14:paraId="7432E2DC" w14:textId="77777777" w:rsidR="000955E0" w:rsidRPr="0072421A" w:rsidRDefault="000955E0" w:rsidP="000955E0">
      <w:pPr>
        <w:pStyle w:val="EndnoteText"/>
        <w:rPr>
          <w:sz w:val="20"/>
          <w:lang w:val="en-US"/>
        </w:rPr>
      </w:pPr>
      <w:r w:rsidRPr="0072421A">
        <w:rPr>
          <w:rStyle w:val="EndnoteReference"/>
          <w:sz w:val="20"/>
        </w:rPr>
        <w:endnoteRef/>
      </w:r>
      <w:r w:rsidRPr="0072421A">
        <w:rPr>
          <w:sz w:val="20"/>
        </w:rPr>
        <w:t xml:space="preserve"> </w:t>
      </w:r>
      <w:r w:rsidRPr="00C72A83">
        <w:rPr>
          <w:sz w:val="20"/>
        </w:rPr>
        <w:t xml:space="preserve">NSW Ageing and Disability Commission </w:t>
      </w:r>
      <w:r>
        <w:rPr>
          <w:sz w:val="20"/>
        </w:rPr>
        <w:t>(</w:t>
      </w:r>
      <w:r w:rsidRPr="00C72A83">
        <w:rPr>
          <w:sz w:val="20"/>
        </w:rPr>
        <w:t>202</w:t>
      </w:r>
      <w:r>
        <w:rPr>
          <w:sz w:val="20"/>
        </w:rPr>
        <w:t>4</w:t>
      </w:r>
      <w:r w:rsidRPr="0072421A">
        <w:rPr>
          <w:sz w:val="20"/>
        </w:rPr>
        <w:t>),</w:t>
      </w:r>
      <w:r w:rsidRPr="00C72A83">
        <w:rPr>
          <w:sz w:val="20"/>
        </w:rPr>
        <w:t xml:space="preserve"> </w:t>
      </w:r>
      <w:r w:rsidRPr="00C72A83">
        <w:rPr>
          <w:i/>
          <w:iCs/>
          <w:sz w:val="20"/>
        </w:rPr>
        <w:t>Ageing and Disability Commission Annual Report 202</w:t>
      </w:r>
      <w:r>
        <w:rPr>
          <w:i/>
          <w:iCs/>
          <w:sz w:val="20"/>
        </w:rPr>
        <w:t>3</w:t>
      </w:r>
      <w:r w:rsidRPr="00C72A83">
        <w:rPr>
          <w:i/>
          <w:iCs/>
          <w:sz w:val="20"/>
        </w:rPr>
        <w:t>-2</w:t>
      </w:r>
      <w:r>
        <w:rPr>
          <w:i/>
          <w:iCs/>
          <w:sz w:val="20"/>
        </w:rPr>
        <w:t>4</w:t>
      </w:r>
      <w:r w:rsidRPr="00C72A83">
        <w:rPr>
          <w:sz w:val="20"/>
        </w:rPr>
        <w:t>,</w:t>
      </w:r>
      <w:r>
        <w:rPr>
          <w:sz w:val="20"/>
        </w:rPr>
        <w:t xml:space="preserve"> pp. 9-11.</w:t>
      </w:r>
    </w:p>
  </w:endnote>
  <w:endnote w:id="22">
    <w:p w14:paraId="203BB063" w14:textId="77777777" w:rsidR="007179C6" w:rsidRPr="0072421A" w:rsidRDefault="007179C6" w:rsidP="007179C6">
      <w:pPr>
        <w:pStyle w:val="EndnoteText"/>
        <w:rPr>
          <w:sz w:val="20"/>
          <w:lang w:val="en-US"/>
        </w:rPr>
      </w:pPr>
      <w:r w:rsidRPr="0072421A">
        <w:rPr>
          <w:rStyle w:val="EndnoteReference"/>
          <w:sz w:val="20"/>
        </w:rPr>
        <w:endnoteRef/>
      </w:r>
      <w:r w:rsidRPr="0072421A">
        <w:rPr>
          <w:sz w:val="20"/>
        </w:rPr>
        <w:t xml:space="preserve"> </w:t>
      </w:r>
      <w:r w:rsidRPr="00C820D2">
        <w:rPr>
          <w:sz w:val="20"/>
        </w:rPr>
        <w:t xml:space="preserve">Australian Government Department of Health, Disability and Ageing </w:t>
      </w:r>
      <w:r>
        <w:rPr>
          <w:sz w:val="20"/>
        </w:rPr>
        <w:t>(</w:t>
      </w:r>
      <w:r w:rsidRPr="00C820D2">
        <w:rPr>
          <w:sz w:val="20"/>
        </w:rPr>
        <w:t>2025</w:t>
      </w:r>
      <w:r>
        <w:rPr>
          <w:sz w:val="20"/>
        </w:rPr>
        <w:t>)</w:t>
      </w:r>
      <w:r w:rsidRPr="00C820D2">
        <w:rPr>
          <w:sz w:val="20"/>
        </w:rPr>
        <w:t xml:space="preserve">, </w:t>
      </w:r>
      <w:r>
        <w:rPr>
          <w:i/>
          <w:iCs/>
          <w:sz w:val="20"/>
        </w:rPr>
        <w:t>New Aged Care Act</w:t>
      </w:r>
      <w:r>
        <w:rPr>
          <w:sz w:val="20"/>
        </w:rPr>
        <w:t xml:space="preserve">: </w:t>
      </w:r>
      <w:r w:rsidRPr="00C820D2">
        <w:rPr>
          <w:sz w:val="20"/>
        </w:rPr>
        <w:t>https://www.health.gov.au/resources/collections/registered-supporter-resources</w:t>
      </w:r>
    </w:p>
  </w:endnote>
  <w:endnote w:id="23">
    <w:p w14:paraId="2CEA9743" w14:textId="77777777" w:rsidR="007179C6" w:rsidRPr="0072421A" w:rsidRDefault="007179C6" w:rsidP="007179C6">
      <w:pPr>
        <w:pStyle w:val="EndnoteText"/>
        <w:rPr>
          <w:sz w:val="20"/>
          <w:lang w:val="en-US"/>
        </w:rPr>
      </w:pPr>
      <w:r w:rsidRPr="0072421A">
        <w:rPr>
          <w:rStyle w:val="EndnoteReference"/>
          <w:sz w:val="20"/>
        </w:rPr>
        <w:endnoteRef/>
      </w:r>
      <w:r w:rsidRPr="0072421A">
        <w:rPr>
          <w:sz w:val="20"/>
        </w:rPr>
        <w:t xml:space="preserve"> </w:t>
      </w:r>
      <w:r w:rsidRPr="00C820D2">
        <w:rPr>
          <w:sz w:val="20"/>
        </w:rPr>
        <w:t xml:space="preserve">Australian Government Department of Health, Disability and Ageing </w:t>
      </w:r>
      <w:r>
        <w:rPr>
          <w:sz w:val="20"/>
        </w:rPr>
        <w:t>(</w:t>
      </w:r>
      <w:r w:rsidRPr="00C820D2">
        <w:rPr>
          <w:sz w:val="20"/>
        </w:rPr>
        <w:t>2025</w:t>
      </w:r>
      <w:r>
        <w:rPr>
          <w:sz w:val="20"/>
        </w:rPr>
        <w:t>)</w:t>
      </w:r>
      <w:r w:rsidRPr="00C820D2">
        <w:rPr>
          <w:sz w:val="20"/>
        </w:rPr>
        <w:t xml:space="preserve">, </w:t>
      </w:r>
      <w:r w:rsidRPr="00844011">
        <w:rPr>
          <w:i/>
          <w:iCs/>
          <w:sz w:val="20"/>
        </w:rPr>
        <w:t>Registered supporter resources</w:t>
      </w:r>
      <w:r>
        <w:rPr>
          <w:sz w:val="20"/>
        </w:rPr>
        <w:t>:</w:t>
      </w:r>
      <w:r w:rsidRPr="00C820D2">
        <w:rPr>
          <w:sz w:val="20"/>
        </w:rPr>
        <w:t xml:space="preserve"> https://www.health.gov.au/resources/collections/registered-supporter-resources</w:t>
      </w:r>
    </w:p>
  </w:endnote>
  <w:endnote w:id="24">
    <w:p w14:paraId="3EB9C240" w14:textId="77777777" w:rsidR="007179C6" w:rsidRPr="0072421A" w:rsidRDefault="007179C6" w:rsidP="007179C6">
      <w:pPr>
        <w:pStyle w:val="EndnoteText"/>
        <w:rPr>
          <w:sz w:val="20"/>
        </w:rPr>
      </w:pPr>
      <w:r w:rsidRPr="0072421A">
        <w:rPr>
          <w:rStyle w:val="EndnoteReference"/>
          <w:sz w:val="20"/>
        </w:rPr>
        <w:endnoteRef/>
      </w:r>
      <w:r w:rsidRPr="0072421A">
        <w:rPr>
          <w:sz w:val="20"/>
        </w:rPr>
        <w:t xml:space="preserve"> </w:t>
      </w:r>
      <w:r w:rsidRPr="00D23EDF">
        <w:rPr>
          <w:sz w:val="20"/>
        </w:rPr>
        <w:t>Victoria</w:t>
      </w:r>
      <w:r>
        <w:rPr>
          <w:sz w:val="20"/>
        </w:rPr>
        <w:t>n Government (</w:t>
      </w:r>
      <w:r w:rsidRPr="00D23EDF">
        <w:rPr>
          <w:sz w:val="20"/>
        </w:rPr>
        <w:t>2019</w:t>
      </w:r>
      <w:r>
        <w:rPr>
          <w:sz w:val="20"/>
        </w:rPr>
        <w:t>)</w:t>
      </w:r>
      <w:r w:rsidRPr="00D23EDF">
        <w:rPr>
          <w:sz w:val="20"/>
        </w:rPr>
        <w:t xml:space="preserve">, </w:t>
      </w:r>
      <w:r w:rsidRPr="00D23EDF">
        <w:rPr>
          <w:i/>
          <w:iCs/>
          <w:sz w:val="20"/>
        </w:rPr>
        <w:t>Guardianship and Administration Act 2019</w:t>
      </w:r>
      <w:r w:rsidRPr="00D23EDF">
        <w:rPr>
          <w:sz w:val="20"/>
        </w:rPr>
        <w:t>, Melbourne.</w:t>
      </w:r>
    </w:p>
  </w:endnote>
  <w:endnote w:id="25">
    <w:p w14:paraId="775DF414" w14:textId="77777777" w:rsidR="007179C6" w:rsidRPr="0072421A" w:rsidRDefault="007179C6" w:rsidP="007179C6">
      <w:pPr>
        <w:pStyle w:val="EndnoteText"/>
        <w:rPr>
          <w:sz w:val="20"/>
          <w:lang w:val="en-US"/>
        </w:rPr>
      </w:pPr>
      <w:r w:rsidRPr="0072421A">
        <w:rPr>
          <w:rStyle w:val="EndnoteReference"/>
          <w:sz w:val="20"/>
        </w:rPr>
        <w:endnoteRef/>
      </w:r>
      <w:r w:rsidRPr="0072421A">
        <w:rPr>
          <w:sz w:val="20"/>
        </w:rPr>
        <w:t xml:space="preserve"> </w:t>
      </w:r>
      <w:r>
        <w:rPr>
          <w:sz w:val="20"/>
        </w:rPr>
        <w:t>Tasmanian Government (</w:t>
      </w:r>
      <w:r w:rsidRPr="00D23EDF">
        <w:rPr>
          <w:sz w:val="20"/>
        </w:rPr>
        <w:t>20</w:t>
      </w:r>
      <w:r>
        <w:rPr>
          <w:sz w:val="20"/>
        </w:rPr>
        <w:t>23)</w:t>
      </w:r>
      <w:r w:rsidRPr="00D23EDF">
        <w:rPr>
          <w:sz w:val="20"/>
        </w:rPr>
        <w:t xml:space="preserve">, </w:t>
      </w:r>
      <w:r w:rsidRPr="00D23EDF">
        <w:rPr>
          <w:i/>
          <w:iCs/>
          <w:sz w:val="20"/>
        </w:rPr>
        <w:t>Guardianship and Administration Act 20</w:t>
      </w:r>
      <w:r>
        <w:rPr>
          <w:i/>
          <w:iCs/>
          <w:sz w:val="20"/>
        </w:rPr>
        <w:t>23</w:t>
      </w:r>
      <w:r w:rsidRPr="00D23EDF">
        <w:rPr>
          <w:sz w:val="20"/>
        </w:rPr>
        <w:t xml:space="preserve">, </w:t>
      </w:r>
      <w:r>
        <w:rPr>
          <w:sz w:val="20"/>
        </w:rPr>
        <w:t>Hobart</w:t>
      </w:r>
      <w:r w:rsidRPr="00D23EDF">
        <w:rPr>
          <w:sz w:val="20"/>
        </w:rPr>
        <w:t>.</w:t>
      </w:r>
    </w:p>
  </w:endnote>
  <w:endnote w:id="26">
    <w:p w14:paraId="6A699382" w14:textId="0F31F7DE" w:rsidR="007179C6" w:rsidRPr="0072421A" w:rsidRDefault="007179C6" w:rsidP="007179C6">
      <w:pPr>
        <w:pStyle w:val="EndnoteText"/>
        <w:rPr>
          <w:sz w:val="20"/>
          <w:lang w:val="en-US"/>
        </w:rPr>
      </w:pPr>
      <w:r w:rsidRPr="0072421A">
        <w:rPr>
          <w:rStyle w:val="EndnoteReference"/>
          <w:sz w:val="20"/>
        </w:rPr>
        <w:endnoteRef/>
      </w:r>
      <w:r w:rsidRPr="0072421A">
        <w:rPr>
          <w:sz w:val="20"/>
        </w:rPr>
        <w:t xml:space="preserve"> </w:t>
      </w:r>
      <w:r w:rsidRPr="00CA68DE">
        <w:rPr>
          <w:sz w:val="20"/>
          <w:lang w:val="en-US"/>
        </w:rPr>
        <w:t>Australian Government Department of Health, Disability and Ageing (2025</w:t>
      </w:r>
      <w:r w:rsidRPr="0072421A">
        <w:rPr>
          <w:sz w:val="20"/>
          <w:lang w:val="en-US"/>
        </w:rPr>
        <w:t>),</w:t>
      </w:r>
      <w:r>
        <w:rPr>
          <w:sz w:val="20"/>
          <w:lang w:val="en-US"/>
        </w:rPr>
        <w:t xml:space="preserve"> </w:t>
      </w:r>
      <w:r>
        <w:rPr>
          <w:i/>
          <w:iCs/>
          <w:sz w:val="20"/>
          <w:lang w:val="en-US"/>
        </w:rPr>
        <w:t>Disability Royal Commission Progress Report 2025</w:t>
      </w:r>
      <w:r>
        <w:rPr>
          <w:sz w:val="20"/>
          <w:lang w:val="en-US"/>
        </w:rPr>
        <w:t xml:space="preserve">, </w:t>
      </w:r>
      <w:r w:rsidRPr="00254EE7">
        <w:rPr>
          <w:i/>
          <w:iCs/>
          <w:sz w:val="20"/>
          <w:lang w:val="en-US"/>
        </w:rPr>
        <w:t>Recommendation</w:t>
      </w:r>
      <w:r w:rsidR="00967E67">
        <w:rPr>
          <w:i/>
          <w:iCs/>
          <w:sz w:val="20"/>
          <w:lang w:val="en-US"/>
        </w:rPr>
        <w:t>s</w:t>
      </w:r>
      <w:r w:rsidRPr="00254EE7">
        <w:rPr>
          <w:i/>
          <w:iCs/>
          <w:sz w:val="20"/>
          <w:lang w:val="en-US"/>
        </w:rPr>
        <w:t xml:space="preserve"> 6.</w:t>
      </w:r>
      <w:r w:rsidR="00DB257F">
        <w:rPr>
          <w:i/>
          <w:iCs/>
          <w:sz w:val="20"/>
          <w:lang w:val="en-US"/>
        </w:rPr>
        <w:t>6</w:t>
      </w:r>
      <w:r w:rsidR="00967E67">
        <w:rPr>
          <w:i/>
          <w:iCs/>
          <w:sz w:val="20"/>
          <w:lang w:val="en-US"/>
        </w:rPr>
        <w:t xml:space="preserve"> to 6.11</w:t>
      </w:r>
      <w:r w:rsidRPr="00254EE7">
        <w:rPr>
          <w:i/>
          <w:iCs/>
          <w:sz w:val="20"/>
          <w:lang w:val="en-US"/>
        </w:rPr>
        <w:t>: ACT response</w:t>
      </w:r>
      <w:r>
        <w:rPr>
          <w:sz w:val="20"/>
          <w:lang w:val="en-US"/>
        </w:rPr>
        <w:t>.</w:t>
      </w:r>
    </w:p>
  </w:endnote>
  <w:endnote w:id="27">
    <w:p w14:paraId="05FAF1A6" w14:textId="77777777" w:rsidR="008F6AC5" w:rsidRPr="008B7765" w:rsidRDefault="008F6AC5" w:rsidP="008F6AC5">
      <w:pPr>
        <w:pStyle w:val="EndnoteText"/>
        <w:rPr>
          <w:sz w:val="20"/>
          <w:lang w:val="en-US"/>
        </w:rPr>
      </w:pPr>
      <w:r w:rsidRPr="0072421A">
        <w:rPr>
          <w:rStyle w:val="EndnoteReference"/>
          <w:sz w:val="20"/>
        </w:rPr>
        <w:endnoteRef/>
      </w:r>
      <w:r w:rsidRPr="0072421A">
        <w:rPr>
          <w:sz w:val="20"/>
        </w:rPr>
        <w:t xml:space="preserve"> </w:t>
      </w:r>
      <w:r w:rsidRPr="008B7765">
        <w:rPr>
          <w:sz w:val="20"/>
          <w:lang w:val="en-US"/>
        </w:rPr>
        <w:t xml:space="preserve">Council for Intellectual Disability (November 2025), </w:t>
      </w:r>
      <w:r w:rsidRPr="008B7765">
        <w:rPr>
          <w:i/>
          <w:iCs/>
          <w:sz w:val="20"/>
          <w:lang w:val="en-US"/>
        </w:rPr>
        <w:t>Supported Decision Making and Guardianship Reform</w:t>
      </w:r>
      <w:r w:rsidRPr="008B7765">
        <w:rPr>
          <w:sz w:val="20"/>
          <w:lang w:val="en-US"/>
        </w:rPr>
        <w:t>.</w:t>
      </w:r>
      <w:r>
        <w:rPr>
          <w:sz w:val="20"/>
          <w:lang w:val="en-US"/>
        </w:rPr>
        <w:t xml:space="preserve"> Available at </w:t>
      </w:r>
      <w:hyperlink r:id="rId10" w:history="1">
        <w:r w:rsidRPr="00E47E30">
          <w:rPr>
            <w:rStyle w:val="Hyperlink"/>
            <w:sz w:val="20"/>
            <w:lang w:val="en-US"/>
          </w:rPr>
          <w:t>https://cid.org.au/wp-content/uploads/2025/11/position-statement_sdm-guardianship-reform_2025.pdf</w:t>
        </w:r>
      </w:hyperlink>
    </w:p>
  </w:endnote>
  <w:endnote w:id="28">
    <w:p w14:paraId="61581AC2" w14:textId="77777777" w:rsidR="00CD737B" w:rsidRPr="0072421A" w:rsidRDefault="00CD737B" w:rsidP="00CD737B">
      <w:pPr>
        <w:pStyle w:val="EndnoteText"/>
        <w:rPr>
          <w:sz w:val="20"/>
          <w:lang w:val="en-US"/>
        </w:rPr>
      </w:pPr>
      <w:r w:rsidRPr="0072421A">
        <w:rPr>
          <w:rStyle w:val="EndnoteReference"/>
          <w:sz w:val="20"/>
        </w:rPr>
        <w:endnoteRef/>
      </w:r>
      <w:r w:rsidRPr="0072421A">
        <w:rPr>
          <w:sz w:val="20"/>
        </w:rPr>
        <w:t xml:space="preserve"> </w:t>
      </w:r>
      <w:r w:rsidRPr="0072421A">
        <w:rPr>
          <w:sz w:val="20"/>
          <w:lang w:val="en-US"/>
        </w:rPr>
        <w:t xml:space="preserve">Ibid. </w:t>
      </w:r>
    </w:p>
  </w:endnote>
  <w:endnote w:id="29">
    <w:p w14:paraId="0C076CDB" w14:textId="40808F84" w:rsidR="00CD737B" w:rsidRPr="0072421A" w:rsidRDefault="00CD737B" w:rsidP="00CD737B">
      <w:pPr>
        <w:pStyle w:val="EndnoteText"/>
        <w:rPr>
          <w:sz w:val="20"/>
          <w:lang w:val="en-US"/>
        </w:rPr>
      </w:pPr>
      <w:r w:rsidRPr="0072421A">
        <w:rPr>
          <w:rStyle w:val="EndnoteReference"/>
          <w:sz w:val="20"/>
        </w:rPr>
        <w:endnoteRef/>
      </w:r>
      <w:r w:rsidRPr="0072421A">
        <w:rPr>
          <w:sz w:val="20"/>
        </w:rPr>
        <w:t xml:space="preserve"> </w:t>
      </w:r>
      <w:r w:rsidRPr="00CA68DE">
        <w:rPr>
          <w:sz w:val="20"/>
          <w:lang w:val="en-US"/>
        </w:rPr>
        <w:t>Australian Government Department of Health, Disability and Ageing (2025</w:t>
      </w:r>
      <w:r w:rsidRPr="0072421A">
        <w:rPr>
          <w:sz w:val="20"/>
          <w:lang w:val="en-US"/>
        </w:rPr>
        <w:t>),</w:t>
      </w:r>
      <w:r>
        <w:rPr>
          <w:sz w:val="20"/>
          <w:lang w:val="en-US"/>
        </w:rPr>
        <w:t xml:space="preserve"> </w:t>
      </w:r>
      <w:r>
        <w:rPr>
          <w:i/>
          <w:iCs/>
          <w:sz w:val="20"/>
          <w:lang w:val="en-US"/>
        </w:rPr>
        <w:t>Disability Royal Commission Progress Report 2025</w:t>
      </w:r>
      <w:r>
        <w:rPr>
          <w:sz w:val="20"/>
          <w:lang w:val="en-US"/>
        </w:rPr>
        <w:t xml:space="preserve">, </w:t>
      </w:r>
      <w:r w:rsidRPr="00254EE7">
        <w:rPr>
          <w:i/>
          <w:iCs/>
          <w:sz w:val="20"/>
          <w:lang w:val="en-US"/>
        </w:rPr>
        <w:t>Recommendation</w:t>
      </w:r>
      <w:r w:rsidR="00967E67">
        <w:rPr>
          <w:i/>
          <w:iCs/>
          <w:sz w:val="20"/>
          <w:lang w:val="en-US"/>
        </w:rPr>
        <w:t>s</w:t>
      </w:r>
      <w:r w:rsidR="00967E67" w:rsidRPr="00254EE7">
        <w:rPr>
          <w:i/>
          <w:iCs/>
          <w:sz w:val="20"/>
          <w:lang w:val="en-US"/>
        </w:rPr>
        <w:t xml:space="preserve"> 6.</w:t>
      </w:r>
      <w:r w:rsidR="00967E67">
        <w:rPr>
          <w:i/>
          <w:iCs/>
          <w:sz w:val="20"/>
          <w:lang w:val="en-US"/>
        </w:rPr>
        <w:t>6 to 6.11</w:t>
      </w:r>
      <w:r w:rsidRPr="00254EE7">
        <w:rPr>
          <w:i/>
          <w:iCs/>
          <w:sz w:val="20"/>
          <w:lang w:val="en-US"/>
        </w:rPr>
        <w:t xml:space="preserve">: </w:t>
      </w:r>
      <w:r>
        <w:rPr>
          <w:i/>
          <w:iCs/>
          <w:sz w:val="20"/>
          <w:lang w:val="en-US"/>
        </w:rPr>
        <w:t>NSW</w:t>
      </w:r>
      <w:r w:rsidRPr="00254EE7">
        <w:rPr>
          <w:i/>
          <w:iCs/>
          <w:sz w:val="20"/>
          <w:lang w:val="en-US"/>
        </w:rPr>
        <w:t xml:space="preserve"> response</w:t>
      </w:r>
      <w:r>
        <w:rPr>
          <w:sz w:val="20"/>
          <w:lang w:val="en-US"/>
        </w:rPr>
        <w:t>.</w:t>
      </w:r>
    </w:p>
  </w:endnote>
  <w:endnote w:id="30">
    <w:p w14:paraId="13E7C203" w14:textId="77777777" w:rsidR="00CD737B" w:rsidRPr="00CE5BC9" w:rsidRDefault="00CD737B" w:rsidP="00CD737B">
      <w:pPr>
        <w:pStyle w:val="EndnoteText"/>
        <w:rPr>
          <w:sz w:val="20"/>
        </w:rPr>
      </w:pPr>
      <w:r w:rsidRPr="00E20547">
        <w:rPr>
          <w:rStyle w:val="EndnoteReference"/>
          <w:sz w:val="20"/>
        </w:rPr>
        <w:endnoteRef/>
      </w:r>
      <w:r w:rsidRPr="00E20547">
        <w:rPr>
          <w:sz w:val="20"/>
        </w:rPr>
        <w:t xml:space="preserve"> Higgins P, Sowry S &amp; Ramasundara M</w:t>
      </w:r>
      <w:r>
        <w:rPr>
          <w:sz w:val="20"/>
        </w:rPr>
        <w:t xml:space="preserve"> (2023)</w:t>
      </w:r>
      <w:r w:rsidRPr="00E20547">
        <w:rPr>
          <w:sz w:val="20"/>
        </w:rPr>
        <w:t xml:space="preserve">, </w:t>
      </w:r>
      <w:r w:rsidRPr="005A27C4">
        <w:rPr>
          <w:i/>
          <w:iCs/>
          <w:sz w:val="20"/>
        </w:rPr>
        <w:t>Supported decision</w:t>
      </w:r>
      <w:r w:rsidRPr="005A27C4">
        <w:rPr>
          <w:rFonts w:ascii="Cambria Math" w:hAnsi="Cambria Math" w:cs="Cambria Math"/>
          <w:i/>
          <w:iCs/>
          <w:sz w:val="20"/>
        </w:rPr>
        <w:t>‑</w:t>
      </w:r>
      <w:r w:rsidRPr="005A27C4">
        <w:rPr>
          <w:i/>
          <w:iCs/>
          <w:sz w:val="20"/>
        </w:rPr>
        <w:t xml:space="preserve">making </w:t>
      </w:r>
      <w:r w:rsidRPr="005A27C4">
        <w:rPr>
          <w:rFonts w:cs="Open Sans"/>
          <w:i/>
          <w:iCs/>
          <w:sz w:val="20"/>
        </w:rPr>
        <w:t>–</w:t>
      </w:r>
      <w:r w:rsidRPr="005A27C4">
        <w:rPr>
          <w:i/>
          <w:iCs/>
          <w:sz w:val="20"/>
        </w:rPr>
        <w:t xml:space="preserve"> perceived barriers and enablers within an acute hospital</w:t>
      </w:r>
      <w:r w:rsidRPr="00E20547">
        <w:rPr>
          <w:sz w:val="20"/>
        </w:rPr>
        <w:t xml:space="preserve">, </w:t>
      </w:r>
      <w:r>
        <w:rPr>
          <w:sz w:val="20"/>
        </w:rPr>
        <w:t xml:space="preserve">available </w:t>
      </w:r>
      <w:r w:rsidRPr="0072421A">
        <w:rPr>
          <w:sz w:val="20"/>
        </w:rPr>
        <w:t xml:space="preserve">at </w:t>
      </w:r>
      <w:hyperlink r:id="rId11" w:history="1">
        <w:r w:rsidRPr="0072421A">
          <w:rPr>
            <w:rStyle w:val="Hyperlink"/>
            <w:sz w:val="20"/>
          </w:rPr>
          <w:t>https://nahc.com.au/supported-decision-making-perceived-barriers-and-enablers-within-an-acute-hospital/</w:t>
        </w:r>
      </w:hyperlink>
    </w:p>
  </w:endnote>
  <w:endnote w:id="31">
    <w:p w14:paraId="4CF19C05" w14:textId="77777777" w:rsidR="00C63D13" w:rsidRPr="0072421A" w:rsidRDefault="00C63D13" w:rsidP="00C63D13">
      <w:pPr>
        <w:pStyle w:val="EndnoteText"/>
        <w:rPr>
          <w:sz w:val="20"/>
          <w:lang w:val="en-US"/>
        </w:rPr>
      </w:pPr>
      <w:r w:rsidRPr="0072421A">
        <w:rPr>
          <w:rStyle w:val="EndnoteReference"/>
          <w:sz w:val="20"/>
        </w:rPr>
        <w:endnoteRef/>
      </w:r>
      <w:r w:rsidRPr="0072421A">
        <w:rPr>
          <w:sz w:val="20"/>
        </w:rPr>
        <w:t xml:space="preserve"> </w:t>
      </w:r>
      <w:r w:rsidRPr="008B7765">
        <w:rPr>
          <w:sz w:val="20"/>
          <w:lang w:val="en-US"/>
        </w:rPr>
        <w:t xml:space="preserve">Council for Intellectual Disability (November 2025), </w:t>
      </w:r>
      <w:r w:rsidRPr="008B7765">
        <w:rPr>
          <w:i/>
          <w:iCs/>
          <w:sz w:val="20"/>
          <w:lang w:val="en-US"/>
        </w:rPr>
        <w:t>Supported Decision Making and Guardianship Reform</w:t>
      </w:r>
      <w:r w:rsidRPr="008B7765">
        <w:rPr>
          <w:sz w:val="20"/>
          <w:lang w:val="en-US"/>
        </w:rPr>
        <w:t>.</w:t>
      </w:r>
      <w:r>
        <w:rPr>
          <w:sz w:val="20"/>
          <w:lang w:val="en-US"/>
        </w:rPr>
        <w:t xml:space="preserve"> Available at </w:t>
      </w:r>
      <w:hyperlink r:id="rId12" w:history="1">
        <w:r w:rsidRPr="00E47E30">
          <w:rPr>
            <w:rStyle w:val="Hyperlink"/>
            <w:sz w:val="20"/>
            <w:lang w:val="en-US"/>
          </w:rPr>
          <w:t>https://cid.org.au/wp-content/uploads/2025/11/position-statement_sdm-guardianship-reform_2025.pdf</w:t>
        </w:r>
      </w:hyperlink>
      <w:r w:rsidRPr="0072421A">
        <w:rPr>
          <w:sz w:val="20"/>
        </w:rPr>
        <w:t xml:space="preserve">; </w:t>
      </w:r>
      <w:r>
        <w:rPr>
          <w:sz w:val="20"/>
        </w:rPr>
        <w:t xml:space="preserve">Shih-Ning </w:t>
      </w:r>
      <w:r w:rsidRPr="00E20547">
        <w:rPr>
          <w:sz w:val="20"/>
        </w:rPr>
        <w:t>N</w:t>
      </w:r>
      <w:r>
        <w:rPr>
          <w:sz w:val="20"/>
        </w:rPr>
        <w:t>.</w:t>
      </w:r>
      <w:r w:rsidRPr="00E20547">
        <w:rPr>
          <w:sz w:val="20"/>
        </w:rPr>
        <w:t xml:space="preserve"> &amp; Bigby C</w:t>
      </w:r>
      <w:r>
        <w:rPr>
          <w:sz w:val="20"/>
        </w:rPr>
        <w:t xml:space="preserve">. </w:t>
      </w:r>
      <w:r w:rsidRPr="0072421A">
        <w:rPr>
          <w:sz w:val="20"/>
        </w:rPr>
        <w:t xml:space="preserve">(2024), </w:t>
      </w:r>
      <w:r w:rsidRPr="0072421A">
        <w:rPr>
          <w:i/>
          <w:iCs/>
          <w:sz w:val="20"/>
        </w:rPr>
        <w:t>Supported decision</w:t>
      </w:r>
      <w:r w:rsidRPr="0072421A">
        <w:rPr>
          <w:rFonts w:ascii="Cambria Math" w:hAnsi="Cambria Math" w:cs="Cambria Math"/>
          <w:i/>
          <w:iCs/>
          <w:sz w:val="20"/>
        </w:rPr>
        <w:t>‑</w:t>
      </w:r>
      <w:r w:rsidRPr="0072421A">
        <w:rPr>
          <w:i/>
          <w:iCs/>
          <w:sz w:val="20"/>
        </w:rPr>
        <w:t>making and the Disability Royal Commission</w:t>
      </w:r>
      <w:r w:rsidRPr="0072421A">
        <w:rPr>
          <w:sz w:val="20"/>
        </w:rPr>
        <w:t>, DOI: 10.1080/23297018.2024.2330961</w:t>
      </w:r>
    </w:p>
  </w:endnote>
  <w:endnote w:id="32">
    <w:p w14:paraId="485CAB6A" w14:textId="77777777" w:rsidR="0015745F" w:rsidRPr="0072421A" w:rsidRDefault="0015745F" w:rsidP="0015745F">
      <w:pPr>
        <w:pStyle w:val="EndnoteText"/>
        <w:rPr>
          <w:sz w:val="20"/>
          <w:lang w:val="en-US"/>
        </w:rPr>
      </w:pPr>
      <w:r w:rsidRPr="0072421A">
        <w:rPr>
          <w:rStyle w:val="EndnoteReference"/>
          <w:sz w:val="20"/>
        </w:rPr>
        <w:endnoteRef/>
      </w:r>
      <w:r w:rsidRPr="0072421A">
        <w:rPr>
          <w:sz w:val="20"/>
        </w:rPr>
        <w:t xml:space="preserve"> </w:t>
      </w:r>
      <w:r w:rsidRPr="0006601D">
        <w:rPr>
          <w:sz w:val="20"/>
        </w:rPr>
        <w:t xml:space="preserve">NSW Ageing and Disability Commission </w:t>
      </w:r>
      <w:r>
        <w:rPr>
          <w:sz w:val="20"/>
        </w:rPr>
        <w:t>(</w:t>
      </w:r>
      <w:r w:rsidRPr="0006601D">
        <w:rPr>
          <w:sz w:val="20"/>
        </w:rPr>
        <w:t>202</w:t>
      </w:r>
      <w:r>
        <w:rPr>
          <w:sz w:val="20"/>
        </w:rPr>
        <w:t>3).</w:t>
      </w:r>
      <w:r w:rsidRPr="0006601D">
        <w:rPr>
          <w:sz w:val="20"/>
        </w:rPr>
        <w:t xml:space="preserve"> </w:t>
      </w:r>
      <w:r w:rsidRPr="00187804">
        <w:rPr>
          <w:i/>
          <w:iCs/>
          <w:sz w:val="20"/>
        </w:rPr>
        <w:t xml:space="preserve">Submission to the </w:t>
      </w:r>
      <w:r>
        <w:rPr>
          <w:i/>
          <w:iCs/>
          <w:sz w:val="20"/>
        </w:rPr>
        <w:t>independent review of the NDIS: NDIS participant safeguarding</w:t>
      </w:r>
      <w:r>
        <w:rPr>
          <w:sz w:val="20"/>
        </w:rPr>
        <w:t xml:space="preserve">, pp. 2-3; </w:t>
      </w:r>
      <w:r w:rsidRPr="00724E8F">
        <w:rPr>
          <w:sz w:val="20"/>
        </w:rPr>
        <w:t xml:space="preserve">Inclusion Australia, </w:t>
      </w:r>
      <w:r w:rsidRPr="00724E8F">
        <w:rPr>
          <w:i/>
          <w:iCs/>
          <w:sz w:val="20"/>
        </w:rPr>
        <w:t>Supported Decision</w:t>
      </w:r>
      <w:r w:rsidRPr="00724E8F">
        <w:rPr>
          <w:i/>
          <w:iCs/>
          <w:sz w:val="20"/>
        </w:rPr>
        <w:noBreakHyphen/>
        <w:t>Making: Background Paper – NDIS Review Engagement Project</w:t>
      </w:r>
      <w:r w:rsidRPr="00724E8F">
        <w:rPr>
          <w:sz w:val="20"/>
        </w:rPr>
        <w:t xml:space="preserve"> (2023), available </w:t>
      </w:r>
      <w:r w:rsidRPr="0072421A">
        <w:rPr>
          <w:sz w:val="20"/>
        </w:rPr>
        <w:t xml:space="preserve">at </w:t>
      </w:r>
      <w:hyperlink r:id="rId13" w:history="1">
        <w:r w:rsidRPr="0072421A">
          <w:rPr>
            <w:rStyle w:val="Hyperlink"/>
            <w:sz w:val="20"/>
          </w:rPr>
          <w:t>https://www.inclusionaustralia.org.au/wp-content/uploads/2023/10/Supported-Decision-Making-NDIS-Review-Background-Paper.pdf</w:t>
        </w:r>
      </w:hyperlink>
    </w:p>
  </w:endnote>
  <w:endnote w:id="33">
    <w:p w14:paraId="11A4D1B9" w14:textId="77777777" w:rsidR="00DA1788" w:rsidRPr="0072421A" w:rsidRDefault="00DA1788" w:rsidP="00DA1788">
      <w:pPr>
        <w:pStyle w:val="EndnoteText"/>
        <w:rPr>
          <w:sz w:val="20"/>
          <w:lang w:val="en-US"/>
        </w:rPr>
      </w:pPr>
      <w:r w:rsidRPr="0072421A">
        <w:rPr>
          <w:rStyle w:val="EndnoteReference"/>
          <w:sz w:val="20"/>
        </w:rPr>
        <w:endnoteRef/>
      </w:r>
      <w:r w:rsidRPr="0072421A">
        <w:rPr>
          <w:sz w:val="20"/>
        </w:rPr>
        <w:t xml:space="preserve"> </w:t>
      </w:r>
      <w:r w:rsidRPr="00505E1B">
        <w:rPr>
          <w:sz w:val="20"/>
        </w:rPr>
        <w:t>Australian Human Rights Commission</w:t>
      </w:r>
      <w:r>
        <w:rPr>
          <w:sz w:val="20"/>
        </w:rPr>
        <w:t xml:space="preserve"> (2024</w:t>
      </w:r>
      <w:r w:rsidRPr="0072421A">
        <w:rPr>
          <w:sz w:val="20"/>
        </w:rPr>
        <w:t>),</w:t>
      </w:r>
      <w:r w:rsidRPr="00505E1B">
        <w:rPr>
          <w:sz w:val="20"/>
        </w:rPr>
        <w:t xml:space="preserve"> </w:t>
      </w:r>
      <w:r w:rsidRPr="00587400">
        <w:rPr>
          <w:i/>
          <w:iCs/>
          <w:sz w:val="20"/>
        </w:rPr>
        <w:t>Empowering futures: A national survey on the understanding and use of financial enduring powers of attorney</w:t>
      </w:r>
      <w:r>
        <w:rPr>
          <w:sz w:val="20"/>
        </w:rPr>
        <w:t xml:space="preserve">, </w:t>
      </w:r>
      <w:r w:rsidRPr="00505E1B">
        <w:rPr>
          <w:sz w:val="20"/>
        </w:rPr>
        <w:t>&lt;</w:t>
      </w:r>
      <w:hyperlink r:id="rId14" w:history="1">
        <w:r w:rsidRPr="00505E1B">
          <w:rPr>
            <w:rStyle w:val="Hyperlink"/>
            <w:sz w:val="20"/>
          </w:rPr>
          <w:t>https://humanrights.gov.au/our-work/age-discrimination/publications/empowering-futuresreport-enduring-powers-attorney-2024</w:t>
        </w:r>
      </w:hyperlink>
      <w:r w:rsidRPr="00505E1B">
        <w:rPr>
          <w:sz w:val="20"/>
        </w:rPr>
        <w:t>&gt; 45.</w:t>
      </w:r>
    </w:p>
  </w:endnote>
  <w:endnote w:id="34">
    <w:p w14:paraId="4110A30E" w14:textId="3838268D" w:rsidR="00EF19B0" w:rsidRPr="0072421A" w:rsidRDefault="00EF19B0" w:rsidP="00EF19B0">
      <w:pPr>
        <w:pStyle w:val="EndnoteText"/>
        <w:rPr>
          <w:sz w:val="20"/>
          <w:lang w:val="en-US"/>
        </w:rPr>
      </w:pPr>
      <w:r w:rsidRPr="0072421A">
        <w:rPr>
          <w:rStyle w:val="EndnoteReference"/>
          <w:sz w:val="20"/>
        </w:rPr>
        <w:endnoteRef/>
      </w:r>
      <w:r w:rsidRPr="0072421A">
        <w:rPr>
          <w:sz w:val="20"/>
        </w:rPr>
        <w:t xml:space="preserve"> </w:t>
      </w:r>
      <w:r w:rsidRPr="00CA68DE">
        <w:rPr>
          <w:sz w:val="20"/>
          <w:lang w:val="en-US"/>
        </w:rPr>
        <w:t>Australian Government Department of Health, Disability and Ageing (2025)</w:t>
      </w:r>
      <w:r>
        <w:rPr>
          <w:sz w:val="20"/>
          <w:lang w:val="en-US"/>
        </w:rPr>
        <w:t xml:space="preserve">. </w:t>
      </w:r>
      <w:r>
        <w:rPr>
          <w:i/>
          <w:iCs/>
          <w:sz w:val="20"/>
          <w:lang w:val="en-US"/>
        </w:rPr>
        <w:t>Disability Royal Commission Progress Report 2025</w:t>
      </w:r>
      <w:r>
        <w:rPr>
          <w:sz w:val="20"/>
          <w:lang w:val="en-US"/>
        </w:rPr>
        <w:t xml:space="preserve">, </w:t>
      </w:r>
      <w:r w:rsidRPr="00254EE7">
        <w:rPr>
          <w:i/>
          <w:iCs/>
          <w:sz w:val="20"/>
          <w:lang w:val="en-US"/>
        </w:rPr>
        <w:t>Recommendation</w:t>
      </w:r>
      <w:r w:rsidR="00967E67">
        <w:rPr>
          <w:i/>
          <w:iCs/>
          <w:sz w:val="20"/>
          <w:lang w:val="en-US"/>
        </w:rPr>
        <w:t>s</w:t>
      </w:r>
      <w:r w:rsidR="00967E67" w:rsidRPr="00254EE7">
        <w:rPr>
          <w:i/>
          <w:iCs/>
          <w:sz w:val="20"/>
          <w:lang w:val="en-US"/>
        </w:rPr>
        <w:t xml:space="preserve"> 6.</w:t>
      </w:r>
      <w:r w:rsidR="00967E67">
        <w:rPr>
          <w:i/>
          <w:iCs/>
          <w:sz w:val="20"/>
          <w:lang w:val="en-US"/>
        </w:rPr>
        <w:t>6 to 6.11</w:t>
      </w:r>
      <w:r>
        <w:rPr>
          <w:i/>
          <w:iCs/>
          <w:sz w:val="20"/>
          <w:lang w:val="en-US"/>
        </w:rPr>
        <w:t>.</w:t>
      </w:r>
    </w:p>
  </w:endnote>
  <w:endnote w:id="35">
    <w:p w14:paraId="0BBD6887" w14:textId="77777777" w:rsidR="003C14AC" w:rsidRPr="0072421A" w:rsidRDefault="003C14AC" w:rsidP="003C14AC">
      <w:pPr>
        <w:pStyle w:val="EndnoteText"/>
        <w:rPr>
          <w:sz w:val="20"/>
          <w:lang w:val="en-US"/>
        </w:rPr>
      </w:pPr>
      <w:r w:rsidRPr="0072421A">
        <w:rPr>
          <w:rStyle w:val="EndnoteReference"/>
          <w:sz w:val="20"/>
        </w:rPr>
        <w:endnoteRef/>
      </w:r>
      <w:r w:rsidRPr="0072421A">
        <w:rPr>
          <w:sz w:val="20"/>
        </w:rPr>
        <w:t xml:space="preserve"> </w:t>
      </w:r>
      <w:r w:rsidRPr="00A72B46">
        <w:rPr>
          <w:sz w:val="20"/>
        </w:rPr>
        <w:t>Older Persons Advocacy Network (2022</w:t>
      </w:r>
      <w:r>
        <w:rPr>
          <w:sz w:val="20"/>
        </w:rPr>
        <w:t>)</w:t>
      </w:r>
      <w:r w:rsidRPr="00A72B46">
        <w:rPr>
          <w:sz w:val="20"/>
        </w:rPr>
        <w:t xml:space="preserve">, </w:t>
      </w:r>
      <w:r w:rsidRPr="00A72B46">
        <w:rPr>
          <w:i/>
          <w:iCs/>
          <w:sz w:val="20"/>
        </w:rPr>
        <w:t>Supported decision</w:t>
      </w:r>
      <w:r w:rsidRPr="00A72B46">
        <w:rPr>
          <w:rFonts w:ascii="Cambria Math" w:hAnsi="Cambria Math" w:cs="Cambria Math"/>
          <w:i/>
          <w:iCs/>
          <w:sz w:val="20"/>
        </w:rPr>
        <w:t>‑</w:t>
      </w:r>
      <w:r w:rsidRPr="00A72B46">
        <w:rPr>
          <w:i/>
          <w:iCs/>
          <w:sz w:val="20"/>
        </w:rPr>
        <w:t>making must be embedded across aged care: Position Statement</w:t>
      </w:r>
      <w:r>
        <w:rPr>
          <w:sz w:val="20"/>
        </w:rPr>
        <w:t>.</w:t>
      </w:r>
    </w:p>
  </w:endnote>
  <w:endnote w:id="36">
    <w:p w14:paraId="7E7E8518" w14:textId="77777777" w:rsidR="000C1CF1" w:rsidRPr="0072421A" w:rsidRDefault="000C1CF1" w:rsidP="000C1CF1">
      <w:pPr>
        <w:pStyle w:val="EndnoteText"/>
        <w:rPr>
          <w:sz w:val="20"/>
          <w:lang w:val="en-US"/>
        </w:rPr>
      </w:pPr>
      <w:r w:rsidRPr="0072421A">
        <w:rPr>
          <w:rStyle w:val="EndnoteReference"/>
          <w:sz w:val="20"/>
        </w:rPr>
        <w:endnoteRef/>
      </w:r>
      <w:r w:rsidRPr="0072421A">
        <w:rPr>
          <w:sz w:val="20"/>
        </w:rPr>
        <w:t xml:space="preserve"> </w:t>
      </w:r>
      <w:r w:rsidRPr="00C72A83">
        <w:rPr>
          <w:sz w:val="20"/>
        </w:rPr>
        <w:t xml:space="preserve">NSW Ageing and Disability Commission </w:t>
      </w:r>
      <w:r>
        <w:rPr>
          <w:sz w:val="20"/>
        </w:rPr>
        <w:t>(</w:t>
      </w:r>
      <w:r w:rsidRPr="00C72A83">
        <w:rPr>
          <w:sz w:val="20"/>
        </w:rPr>
        <w:t>202</w:t>
      </w:r>
      <w:r>
        <w:rPr>
          <w:sz w:val="20"/>
        </w:rPr>
        <w:t>3).</w:t>
      </w:r>
      <w:r w:rsidRPr="00C72A83">
        <w:rPr>
          <w:sz w:val="20"/>
        </w:rPr>
        <w:t xml:space="preserve"> </w:t>
      </w:r>
      <w:r w:rsidRPr="00C72A83">
        <w:rPr>
          <w:i/>
          <w:iCs/>
          <w:sz w:val="20"/>
        </w:rPr>
        <w:t>Ageing and Disability Commission Annual Report 202</w:t>
      </w:r>
      <w:r>
        <w:rPr>
          <w:i/>
          <w:iCs/>
          <w:sz w:val="20"/>
        </w:rPr>
        <w:t>2</w:t>
      </w:r>
      <w:r w:rsidRPr="00C72A83">
        <w:rPr>
          <w:i/>
          <w:iCs/>
          <w:sz w:val="20"/>
        </w:rPr>
        <w:t>-2</w:t>
      </w:r>
      <w:r>
        <w:rPr>
          <w:i/>
          <w:iCs/>
          <w:sz w:val="20"/>
        </w:rPr>
        <w:t>3</w:t>
      </w:r>
      <w:r>
        <w:rPr>
          <w:sz w:val="20"/>
        </w:rPr>
        <w:t xml:space="preserve">; </w:t>
      </w:r>
      <w:r w:rsidRPr="00C72A83">
        <w:rPr>
          <w:sz w:val="20"/>
        </w:rPr>
        <w:t xml:space="preserve">NSW Ageing and Disability Commission </w:t>
      </w:r>
      <w:r>
        <w:rPr>
          <w:sz w:val="20"/>
        </w:rPr>
        <w:t>(</w:t>
      </w:r>
      <w:r w:rsidRPr="00C72A83">
        <w:rPr>
          <w:sz w:val="20"/>
        </w:rPr>
        <w:t>202</w:t>
      </w:r>
      <w:r>
        <w:rPr>
          <w:sz w:val="20"/>
        </w:rPr>
        <w:t>4).</w:t>
      </w:r>
      <w:r w:rsidRPr="00C72A83">
        <w:rPr>
          <w:sz w:val="20"/>
        </w:rPr>
        <w:t xml:space="preserve"> </w:t>
      </w:r>
      <w:r w:rsidRPr="00C72A83">
        <w:rPr>
          <w:i/>
          <w:iCs/>
          <w:sz w:val="20"/>
        </w:rPr>
        <w:t>Ageing and Disability Commission Annual Report 202</w:t>
      </w:r>
      <w:r>
        <w:rPr>
          <w:i/>
          <w:iCs/>
          <w:sz w:val="20"/>
        </w:rPr>
        <w:t>3</w:t>
      </w:r>
      <w:r w:rsidRPr="00C72A83">
        <w:rPr>
          <w:i/>
          <w:iCs/>
          <w:sz w:val="20"/>
        </w:rPr>
        <w:t>-2</w:t>
      </w:r>
      <w:r>
        <w:rPr>
          <w:i/>
          <w:iCs/>
          <w:sz w:val="20"/>
        </w:rPr>
        <w:t>4</w:t>
      </w:r>
      <w:r>
        <w:rPr>
          <w:sz w:val="20"/>
        </w:rPr>
        <w:t>.</w:t>
      </w:r>
    </w:p>
  </w:endnote>
  <w:endnote w:id="37">
    <w:p w14:paraId="368415D1" w14:textId="77777777" w:rsidR="007901D8" w:rsidRPr="0072421A" w:rsidRDefault="007901D8" w:rsidP="007901D8">
      <w:pPr>
        <w:pStyle w:val="EndnoteText"/>
        <w:rPr>
          <w:sz w:val="20"/>
          <w:lang w:val="en-US"/>
        </w:rPr>
      </w:pPr>
      <w:r w:rsidRPr="0072421A">
        <w:rPr>
          <w:rStyle w:val="EndnoteReference"/>
          <w:sz w:val="20"/>
        </w:rPr>
        <w:endnoteRef/>
      </w:r>
      <w:r w:rsidRPr="0072421A">
        <w:rPr>
          <w:sz w:val="20"/>
        </w:rPr>
        <w:t xml:space="preserve"> </w:t>
      </w:r>
      <w:r w:rsidRPr="00A72B46">
        <w:rPr>
          <w:sz w:val="20"/>
        </w:rPr>
        <w:t>Older Persons Advocacy Network (2022</w:t>
      </w:r>
      <w:r>
        <w:rPr>
          <w:sz w:val="20"/>
        </w:rPr>
        <w:t>)</w:t>
      </w:r>
      <w:r w:rsidRPr="00A72B46">
        <w:rPr>
          <w:sz w:val="20"/>
        </w:rPr>
        <w:t xml:space="preserve">, </w:t>
      </w:r>
      <w:r w:rsidRPr="00A72B46">
        <w:rPr>
          <w:i/>
          <w:iCs/>
          <w:sz w:val="20"/>
        </w:rPr>
        <w:t>Supported decision</w:t>
      </w:r>
      <w:r w:rsidRPr="00A72B46">
        <w:rPr>
          <w:rFonts w:ascii="Cambria Math" w:hAnsi="Cambria Math" w:cs="Cambria Math"/>
          <w:i/>
          <w:iCs/>
          <w:sz w:val="20"/>
        </w:rPr>
        <w:t>‑</w:t>
      </w:r>
      <w:r w:rsidRPr="00A72B46">
        <w:rPr>
          <w:i/>
          <w:iCs/>
          <w:sz w:val="20"/>
        </w:rPr>
        <w:t>making must be embedded across aged care: Position Statement</w:t>
      </w:r>
      <w:r>
        <w:rPr>
          <w:sz w:val="20"/>
        </w:rPr>
        <w:t>.</w:t>
      </w:r>
    </w:p>
  </w:endnote>
  <w:endnote w:id="38">
    <w:p w14:paraId="2800296F" w14:textId="77777777" w:rsidR="00296F69" w:rsidRPr="0072421A" w:rsidRDefault="00296F69" w:rsidP="00296F69">
      <w:pPr>
        <w:pStyle w:val="EndnoteText"/>
        <w:rPr>
          <w:sz w:val="20"/>
          <w:lang w:val="en-US"/>
        </w:rPr>
      </w:pPr>
      <w:r w:rsidRPr="0072421A">
        <w:rPr>
          <w:rStyle w:val="EndnoteReference"/>
          <w:sz w:val="20"/>
        </w:rPr>
        <w:endnoteRef/>
      </w:r>
      <w:r w:rsidRPr="0072421A">
        <w:rPr>
          <w:sz w:val="20"/>
        </w:rPr>
        <w:t xml:space="preserve"> </w:t>
      </w:r>
      <w:r w:rsidRPr="00505E1B">
        <w:rPr>
          <w:sz w:val="20"/>
        </w:rPr>
        <w:t xml:space="preserve">Australian Human Rights Commission, Empowering futures: A national survey on the understanding and use of financial enduring powers of attorney (2024) </w:t>
      </w:r>
      <w:hyperlink r:id="rId15" w:history="1">
        <w:r w:rsidRPr="00505E1B">
          <w:rPr>
            <w:rStyle w:val="Hyperlink"/>
            <w:sz w:val="20"/>
          </w:rPr>
          <w:t>https://humanrights.gov.au/our-work/age-discrimination/publications/empowering-futuresreport-enduring-powers-attorney-2024</w:t>
        </w:r>
      </w:hyperlink>
      <w:r w:rsidRPr="0072421A">
        <w:rPr>
          <w:sz w:val="20"/>
        </w:rPr>
        <w:t>,</w:t>
      </w:r>
      <w:r w:rsidRPr="00505E1B">
        <w:rPr>
          <w:sz w:val="20"/>
        </w:rPr>
        <w:t xml:space="preserve"> 45.</w:t>
      </w:r>
    </w:p>
  </w:endnote>
  <w:endnote w:id="39">
    <w:p w14:paraId="2942449E" w14:textId="77777777" w:rsidR="00296F69" w:rsidRPr="0072421A" w:rsidRDefault="00296F69" w:rsidP="00296F69">
      <w:pPr>
        <w:pStyle w:val="EndnoteText"/>
        <w:rPr>
          <w:sz w:val="20"/>
          <w:lang w:val="en-US"/>
        </w:rPr>
      </w:pPr>
      <w:r w:rsidRPr="0072421A">
        <w:rPr>
          <w:rStyle w:val="EndnoteReference"/>
          <w:sz w:val="20"/>
        </w:rPr>
        <w:endnoteRef/>
      </w:r>
      <w:r w:rsidRPr="0072421A">
        <w:rPr>
          <w:sz w:val="20"/>
        </w:rPr>
        <w:t xml:space="preserve"> </w:t>
      </w:r>
      <w:r w:rsidRPr="00CA68DE">
        <w:rPr>
          <w:sz w:val="20"/>
          <w:lang w:val="en-US"/>
        </w:rPr>
        <w:t>Australian Government Department of Health, Disability and Ageing (2025)</w:t>
      </w:r>
      <w:r>
        <w:rPr>
          <w:sz w:val="20"/>
          <w:lang w:val="en-US"/>
        </w:rPr>
        <w:t xml:space="preserve">. </w:t>
      </w:r>
      <w:r>
        <w:rPr>
          <w:i/>
          <w:iCs/>
          <w:sz w:val="20"/>
          <w:lang w:val="en-US"/>
        </w:rPr>
        <w:t>Disability Royal Commission Progress Report 2025</w:t>
      </w:r>
      <w:r>
        <w:rPr>
          <w:sz w:val="20"/>
          <w:lang w:val="en-US"/>
        </w:rPr>
        <w:t xml:space="preserve">, </w:t>
      </w:r>
      <w:r w:rsidRPr="00254EE7">
        <w:rPr>
          <w:i/>
          <w:iCs/>
          <w:sz w:val="20"/>
          <w:lang w:val="en-US"/>
        </w:rPr>
        <w:t xml:space="preserve">Recommendation 6.12: </w:t>
      </w:r>
      <w:r>
        <w:rPr>
          <w:i/>
          <w:iCs/>
          <w:sz w:val="20"/>
          <w:lang w:val="en-US"/>
        </w:rPr>
        <w:t>NSW</w:t>
      </w:r>
      <w:r w:rsidRPr="00254EE7">
        <w:rPr>
          <w:i/>
          <w:iCs/>
          <w:sz w:val="20"/>
          <w:lang w:val="en-US"/>
        </w:rPr>
        <w:t xml:space="preserve"> response</w:t>
      </w:r>
      <w:r>
        <w:rPr>
          <w:sz w:val="20"/>
          <w:lang w:val="en-US"/>
        </w:rPr>
        <w:t>.</w:t>
      </w:r>
    </w:p>
  </w:endnote>
  <w:endnote w:id="40">
    <w:p w14:paraId="26EEF4E5" w14:textId="77777777" w:rsidR="003652F1" w:rsidRPr="0072421A" w:rsidRDefault="003652F1" w:rsidP="003652F1">
      <w:pPr>
        <w:pStyle w:val="EndnoteText"/>
        <w:rPr>
          <w:sz w:val="20"/>
          <w:lang w:val="en-US"/>
        </w:rPr>
      </w:pPr>
      <w:r w:rsidRPr="0072421A">
        <w:rPr>
          <w:rStyle w:val="EndnoteReference"/>
          <w:sz w:val="20"/>
        </w:rPr>
        <w:endnoteRef/>
      </w:r>
      <w:r w:rsidRPr="0072421A">
        <w:rPr>
          <w:sz w:val="20"/>
        </w:rPr>
        <w:t xml:space="preserve"> </w:t>
      </w:r>
      <w:r w:rsidRPr="008936B5">
        <w:rPr>
          <w:sz w:val="20"/>
          <w:lang w:val="en-US"/>
        </w:rPr>
        <w:t xml:space="preserve">Australian Law Reform Commission (24 November 2014), </w:t>
      </w:r>
      <w:r w:rsidRPr="008936B5">
        <w:rPr>
          <w:i/>
          <w:iCs/>
          <w:sz w:val="20"/>
          <w:lang w:val="en-US"/>
        </w:rPr>
        <w:t>Equality, Capacity and Disability in Commonwealth Laws</w:t>
      </w:r>
      <w:r w:rsidRPr="008936B5">
        <w:rPr>
          <w:sz w:val="20"/>
          <w:lang w:val="en-US"/>
        </w:rPr>
        <w:t xml:space="preserve">, </w:t>
      </w:r>
      <w:hyperlink r:id="rId16" w:history="1">
        <w:r w:rsidRPr="008936B5">
          <w:rPr>
            <w:rStyle w:val="Hyperlink"/>
            <w:sz w:val="20"/>
            <w:lang w:val="en-US"/>
          </w:rPr>
          <w:t>ALRC Report 124</w:t>
        </w:r>
      </w:hyperlink>
      <w:r w:rsidRPr="008936B5">
        <w:rPr>
          <w:sz w:val="20"/>
          <w:lang w:val="en-US"/>
        </w:rPr>
        <w:t>.</w:t>
      </w:r>
    </w:p>
  </w:endnote>
  <w:endnote w:id="41">
    <w:p w14:paraId="3835CC2F" w14:textId="77777777" w:rsidR="003652F1" w:rsidRPr="0072421A" w:rsidRDefault="003652F1" w:rsidP="003652F1">
      <w:pPr>
        <w:pStyle w:val="EndnoteText"/>
        <w:rPr>
          <w:sz w:val="20"/>
          <w:lang w:val="en-US"/>
        </w:rPr>
      </w:pPr>
      <w:r w:rsidRPr="0072421A">
        <w:rPr>
          <w:rStyle w:val="EndnoteReference"/>
          <w:sz w:val="20"/>
        </w:rPr>
        <w:endnoteRef/>
      </w:r>
      <w:r w:rsidRPr="0072421A">
        <w:rPr>
          <w:sz w:val="20"/>
        </w:rPr>
        <w:t xml:space="preserve"> Royal Commission into Violence, Abuse, Neglect and Exploitation of People with Disability (2023), </w:t>
      </w:r>
      <w:r w:rsidRPr="0072421A">
        <w:rPr>
          <w:i/>
          <w:iCs/>
          <w:sz w:val="20"/>
        </w:rPr>
        <w:t>Final report, Volume 6: Enabling autonomy and access</w:t>
      </w:r>
      <w:r w:rsidRPr="0072421A">
        <w:rPr>
          <w:sz w:val="20"/>
        </w:rPr>
        <w:t>, pp. 17; 165.</w:t>
      </w:r>
    </w:p>
  </w:endnote>
  <w:endnote w:id="42">
    <w:p w14:paraId="02E6FC7F" w14:textId="77777777" w:rsidR="003652F1" w:rsidRPr="0072421A" w:rsidRDefault="003652F1" w:rsidP="003652F1">
      <w:pPr>
        <w:pStyle w:val="EndnoteText"/>
        <w:rPr>
          <w:sz w:val="20"/>
          <w:lang w:val="en-US"/>
        </w:rPr>
      </w:pPr>
      <w:r w:rsidRPr="0072421A">
        <w:rPr>
          <w:rStyle w:val="EndnoteReference"/>
          <w:sz w:val="20"/>
        </w:rPr>
        <w:endnoteRef/>
      </w:r>
      <w:r w:rsidRPr="0072421A">
        <w:rPr>
          <w:sz w:val="20"/>
        </w:rPr>
        <w:t xml:space="preserve"> Bigby, C., Carney, T., Then, S-N., Wiesel, I., Sinclair, C., Douglas, J., &amp; Duffy, J., (2023). </w:t>
      </w:r>
      <w:r w:rsidRPr="0072421A">
        <w:rPr>
          <w:i/>
          <w:iCs/>
          <w:sz w:val="20"/>
        </w:rPr>
        <w:t>Diversity, dignity, equity and best practice: a framework for supported decision-making</w:t>
      </w:r>
      <w:r w:rsidRPr="0072421A">
        <w:rPr>
          <w:sz w:val="20"/>
        </w:rPr>
        <w:t>. Royal Commission into Violence, Abuse, Neglect and Exploitation of People with Disability.</w:t>
      </w:r>
    </w:p>
  </w:endnote>
  <w:endnote w:id="43">
    <w:p w14:paraId="72714A4F" w14:textId="77777777" w:rsidR="003652F1" w:rsidRPr="0072421A" w:rsidRDefault="003652F1" w:rsidP="003652F1">
      <w:pPr>
        <w:pStyle w:val="EndnoteText"/>
        <w:rPr>
          <w:sz w:val="20"/>
          <w:lang w:val="en-US"/>
        </w:rPr>
      </w:pPr>
      <w:r w:rsidRPr="0072421A">
        <w:rPr>
          <w:rStyle w:val="EndnoteReference"/>
          <w:sz w:val="20"/>
        </w:rPr>
        <w:endnoteRef/>
      </w:r>
      <w:r w:rsidRPr="0072421A">
        <w:rPr>
          <w:sz w:val="20"/>
        </w:rPr>
        <w:t xml:space="preserve"> Ibid, pp. 36, 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61636"/>
      <w:docPartObj>
        <w:docPartGallery w:val="Page Numbers (Bottom of Page)"/>
        <w:docPartUnique/>
      </w:docPartObj>
    </w:sdtPr>
    <w:sdtEndPr>
      <w:rPr>
        <w:noProof/>
      </w:rPr>
    </w:sdtEndPr>
    <w:sdtContent>
      <w:p w14:paraId="1B47BD01" w14:textId="77777777" w:rsidR="004024FD" w:rsidRPr="00A418E2" w:rsidRDefault="004024FD" w:rsidP="00861142">
        <w:pPr>
          <w:pStyle w:val="Footer"/>
        </w:pPr>
        <w:r w:rsidRPr="004024FD">
          <w:t>Australian Human Rights Commission</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5FC5" w14:textId="77777777" w:rsidR="00FD2D8A" w:rsidRPr="00FD2D8A" w:rsidRDefault="00FD2D8A" w:rsidP="00861142">
    <w:pPr>
      <w:pStyle w:val="Footer"/>
    </w:pPr>
    <w:r>
      <w:t>Australian Human Rights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FDBB" w14:textId="77777777" w:rsidR="00CA2043" w:rsidRDefault="00CA2043" w:rsidP="00965614">
      <w:r>
        <w:separator/>
      </w:r>
    </w:p>
  </w:footnote>
  <w:footnote w:type="continuationSeparator" w:id="0">
    <w:p w14:paraId="17322EF9" w14:textId="77777777" w:rsidR="00CA2043" w:rsidRDefault="00CA2043" w:rsidP="00965614">
      <w:r>
        <w:continuationSeparator/>
      </w:r>
    </w:p>
  </w:footnote>
  <w:footnote w:type="continuationNotice" w:id="1">
    <w:p w14:paraId="7E40AAF3" w14:textId="77777777" w:rsidR="00CA2043" w:rsidRDefault="00CA2043" w:rsidP="0096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DFFE" w14:textId="77777777" w:rsidR="00173A76" w:rsidRDefault="00323621" w:rsidP="00323621">
    <w:pPr>
      <w:pStyle w:val="Header"/>
    </w:pPr>
    <w:r w:rsidRPr="00E94C73">
      <w:rPr>
        <w:noProof/>
      </w:rPr>
      <w:drawing>
        <wp:anchor distT="0" distB="0" distL="114300" distR="114300" simplePos="0" relativeHeight="251658240" behindDoc="1" locked="0" layoutInCell="1" allowOverlap="1" wp14:anchorId="2B9367C4" wp14:editId="51008A44">
          <wp:simplePos x="0" y="0"/>
          <wp:positionH relativeFrom="margin">
            <wp:posOffset>3823855</wp:posOffset>
          </wp:positionH>
          <wp:positionV relativeFrom="margin">
            <wp:posOffset>-351450</wp:posOffset>
          </wp:positionV>
          <wp:extent cx="2113354" cy="662880"/>
          <wp:effectExtent l="0" t="0" r="1270" b="4445"/>
          <wp:wrapNone/>
          <wp:docPr id="1" name="Picture 3"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113354" cy="6628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98685"/>
      <w:placeholder>
        <w:docPart w:val="005289C0DAC444C9B6829ECE00F5D232"/>
      </w:placeholder>
      <w:dataBinding w:prefixMappings="xmlns:ns0='http://AHRCheadings.htm' " w:xpath="/ns0:headings[1]/ns0:Overview[1]" w:storeItemID="{59E40458-85DB-4B58-AD7F-ED1E21A92441}"/>
      <w:text/>
    </w:sdtPr>
    <w:sdtContent>
      <w:p w14:paraId="7F640707" w14:textId="77777777" w:rsidR="00F14523" w:rsidRPr="0015672E" w:rsidRDefault="00FF3BE7" w:rsidP="00965614">
        <w:pPr>
          <w:pStyle w:val="Header"/>
        </w:pPr>
        <w:r>
          <w:t>Overview</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15009"/>
      <w:placeholder>
        <w:docPart w:val="005289C0DAC444C9B6829ECE00F5D232"/>
      </w:placeholder>
      <w:dataBinding w:prefixMappings="xmlns:ns0='http://AHRCheadings.htm' " w:xpath="/ns0:headings[1]/ns0:Topic1[1]" w:storeItemID="{59E40458-85DB-4B58-AD7F-ED1E21A92441}"/>
      <w:text/>
    </w:sdtPr>
    <w:sdtContent>
      <w:p w14:paraId="30AC7816" w14:textId="598659E9" w:rsidR="0015672E" w:rsidRPr="0015672E" w:rsidRDefault="000557EE" w:rsidP="0015672E">
        <w:pPr>
          <w:pStyle w:val="Header"/>
        </w:pPr>
        <w:r>
          <w:t>Supported decision-making</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14458"/>
      <w:placeholder>
        <w:docPart w:val="005289C0DAC444C9B6829ECE00F5D232"/>
      </w:placeholder>
      <w:dataBinding w:prefixMappings="xmlns:ns0='http://AHRCheadings.htm' " w:xpath="/ns0:headings[1]/ns0:Topic6[1]" w:storeItemID="{59E40458-85DB-4B58-AD7F-ED1E21A92441}"/>
      <w:text/>
    </w:sdtPr>
    <w:sdtContent>
      <w:p w14:paraId="34493A56" w14:textId="77777777" w:rsidR="0015672E" w:rsidRPr="0015672E" w:rsidRDefault="00FF3BE7" w:rsidP="0015672E">
        <w:pPr>
          <w:pStyle w:val="Header"/>
        </w:pPr>
        <w:r>
          <w:t>Context</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230751"/>
      <w:placeholder>
        <w:docPart w:val="005289C0DAC444C9B6829ECE00F5D232"/>
      </w:placeholder>
      <w:dataBinding w:prefixMappings="xmlns:ns0='http://AHRCheadings.htm' " w:xpath="/ns0:headings[1]/ns0:Endnotes[1]" w:storeItemID="{59E40458-85DB-4B58-AD7F-ED1E21A92441}"/>
      <w:text/>
    </w:sdtPr>
    <w:sdtContent>
      <w:p w14:paraId="27F373DF" w14:textId="77777777" w:rsidR="0015672E" w:rsidRPr="0015672E" w:rsidRDefault="00FF3BE7" w:rsidP="0015672E">
        <w:pPr>
          <w:pStyle w:val="Header"/>
        </w:pPr>
        <w:r>
          <w:t>Endnotes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5C52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112.7pt;visibility:visible" o:bullet="t">
        <v:imagedata r:id="rId1" o:title="Globe Australia"/>
      </v:shape>
    </w:pict>
  </w:numPicBullet>
  <w:abstractNum w:abstractNumId="0" w15:restartNumberingAfterBreak="0">
    <w:nsid w:val="07063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544173"/>
    <w:multiLevelType w:val="hybridMultilevel"/>
    <w:tmpl w:val="97B0DC08"/>
    <w:lvl w:ilvl="0" w:tplc="D4AA12A0">
      <w:start w:val="1"/>
      <w:numFmt w:val="decimal"/>
      <w:lvlText w:val="%1."/>
      <w:lvlJc w:val="left"/>
      <w:pPr>
        <w:ind w:left="360" w:hanging="360"/>
      </w:pPr>
      <w:rPr>
        <w:rFonts w:hint="default"/>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EA138C"/>
    <w:multiLevelType w:val="hybridMultilevel"/>
    <w:tmpl w:val="B212100A"/>
    <w:lvl w:ilvl="0" w:tplc="A90493EE">
      <w:start w:val="1"/>
      <w:numFmt w:val="bullet"/>
      <w:lvlText w:val=""/>
      <w:lvlPicBulletId w:val="0"/>
      <w:lvlJc w:val="left"/>
      <w:pPr>
        <w:ind w:left="360" w:hanging="360"/>
      </w:pPr>
      <w:rPr>
        <w:rFonts w:ascii="Symbol" w:hAnsi="Symbol" w:hint="default"/>
        <w:color w:val="auto"/>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5A6DAF"/>
    <w:multiLevelType w:val="multilevel"/>
    <w:tmpl w:val="23CA5D0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930905"/>
    <w:multiLevelType w:val="hybridMultilevel"/>
    <w:tmpl w:val="719A8ABE"/>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333FC3"/>
    <w:multiLevelType w:val="multilevel"/>
    <w:tmpl w:val="6C9AC8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F895F77"/>
    <w:multiLevelType w:val="multilevel"/>
    <w:tmpl w:val="2116C8C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61178B"/>
    <w:multiLevelType w:val="hybridMultilevel"/>
    <w:tmpl w:val="5CB282BE"/>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1342D2"/>
    <w:multiLevelType w:val="hybridMultilevel"/>
    <w:tmpl w:val="608AF268"/>
    <w:lvl w:ilvl="0" w:tplc="0F4C13EE">
      <w:start w:val="1"/>
      <w:numFmt w:val="decimal"/>
      <w:pStyle w:val="Normal"/>
      <w:lvlText w:val="%1."/>
      <w:lvlJc w:val="left"/>
      <w:pPr>
        <w:ind w:left="720" w:hanging="360"/>
      </w:pPr>
      <w:rPr>
        <w:rFonts w:hint="default"/>
        <w:color w:val="40404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35698F"/>
    <w:multiLevelType w:val="multilevel"/>
    <w:tmpl w:val="793A0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31366A"/>
    <w:multiLevelType w:val="hybridMultilevel"/>
    <w:tmpl w:val="76C60926"/>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1" w15:restartNumberingAfterBreak="0">
    <w:nsid w:val="5C2C5CBF"/>
    <w:multiLevelType w:val="hybridMultilevel"/>
    <w:tmpl w:val="59569332"/>
    <w:lvl w:ilvl="0" w:tplc="7D56C5C6">
      <w:start w:val="1"/>
      <w:numFmt w:val="decimal"/>
      <w:pStyle w:val="Bodylistnumbers"/>
      <w:lvlText w:val="%1."/>
      <w:lvlJc w:val="left"/>
      <w:pPr>
        <w:ind w:left="-320" w:hanging="360"/>
      </w:pPr>
      <w:rPr>
        <w:color w:val="143C65" w:themeColor="accent1"/>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12" w15:restartNumberingAfterBreak="0">
    <w:nsid w:val="6EC82C6C"/>
    <w:multiLevelType w:val="hybridMultilevel"/>
    <w:tmpl w:val="103AE250"/>
    <w:lvl w:ilvl="0" w:tplc="BDECA6B6">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4116966">
    <w:abstractNumId w:val="4"/>
  </w:num>
  <w:num w:numId="2" w16cid:durableId="1576890948">
    <w:abstractNumId w:val="11"/>
  </w:num>
  <w:num w:numId="3" w16cid:durableId="1411004709">
    <w:abstractNumId w:val="12"/>
  </w:num>
  <w:num w:numId="4" w16cid:durableId="825244839">
    <w:abstractNumId w:val="2"/>
  </w:num>
  <w:num w:numId="5" w16cid:durableId="1025209766">
    <w:abstractNumId w:val="11"/>
    <w:lvlOverride w:ilvl="0">
      <w:startOverride w:val="1"/>
    </w:lvlOverride>
  </w:num>
  <w:num w:numId="6" w16cid:durableId="939065618">
    <w:abstractNumId w:val="7"/>
  </w:num>
  <w:num w:numId="7" w16cid:durableId="717818606">
    <w:abstractNumId w:val="1"/>
  </w:num>
  <w:num w:numId="8" w16cid:durableId="1196507562">
    <w:abstractNumId w:val="9"/>
  </w:num>
  <w:num w:numId="9" w16cid:durableId="1803845371">
    <w:abstractNumId w:val="0"/>
  </w:num>
  <w:num w:numId="10" w16cid:durableId="560750613">
    <w:abstractNumId w:val="9"/>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733509586">
    <w:abstractNumId w:val="1"/>
    <w:lvlOverride w:ilvl="0">
      <w:startOverride w:val="1"/>
    </w:lvlOverride>
  </w:num>
  <w:num w:numId="12" w16cid:durableId="1012686430">
    <w:abstractNumId w:val="9"/>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288821952">
    <w:abstractNumId w:val="6"/>
  </w:num>
  <w:num w:numId="14" w16cid:durableId="1833833636">
    <w:abstractNumId w:val="5"/>
  </w:num>
  <w:num w:numId="15" w16cid:durableId="529102834">
    <w:abstractNumId w:val="12"/>
  </w:num>
  <w:num w:numId="16" w16cid:durableId="1084760115">
    <w:abstractNumId w:val="12"/>
  </w:num>
  <w:num w:numId="17" w16cid:durableId="128208228">
    <w:abstractNumId w:val="11"/>
  </w:num>
  <w:num w:numId="18" w16cid:durableId="1266304166">
    <w:abstractNumId w:val="12"/>
  </w:num>
  <w:num w:numId="19" w16cid:durableId="1349524145">
    <w:abstractNumId w:val="3"/>
  </w:num>
  <w:num w:numId="20" w16cid:durableId="1920551438">
    <w:abstractNumId w:val="3"/>
  </w:num>
  <w:num w:numId="21" w16cid:durableId="945039616">
    <w:abstractNumId w:val="3"/>
  </w:num>
  <w:num w:numId="22" w16cid:durableId="684017697">
    <w:abstractNumId w:val="3"/>
  </w:num>
  <w:num w:numId="23" w16cid:durableId="1320958273">
    <w:abstractNumId w:val="3"/>
  </w:num>
  <w:num w:numId="24" w16cid:durableId="718431559">
    <w:abstractNumId w:val="3"/>
  </w:num>
  <w:num w:numId="25" w16cid:durableId="254556642">
    <w:abstractNumId w:val="3"/>
  </w:num>
  <w:num w:numId="26" w16cid:durableId="1248878576">
    <w:abstractNumId w:val="3"/>
  </w:num>
  <w:num w:numId="27" w16cid:durableId="840240824">
    <w:abstractNumId w:val="2"/>
  </w:num>
  <w:num w:numId="28" w16cid:durableId="1294823578">
    <w:abstractNumId w:val="4"/>
  </w:num>
  <w:num w:numId="29" w16cid:durableId="114954980">
    <w:abstractNumId w:val="7"/>
  </w:num>
  <w:num w:numId="30" w16cid:durableId="703598111">
    <w:abstractNumId w:val="7"/>
    <w:lvlOverride w:ilvl="0">
      <w:startOverride w:val="1"/>
    </w:lvlOverride>
  </w:num>
  <w:num w:numId="31" w16cid:durableId="1952469592">
    <w:abstractNumId w:val="7"/>
    <w:lvlOverride w:ilvl="0">
      <w:startOverride w:val="1"/>
    </w:lvlOverride>
  </w:num>
  <w:num w:numId="32" w16cid:durableId="34045168">
    <w:abstractNumId w:val="8"/>
  </w:num>
  <w:num w:numId="33" w16cid:durableId="803742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E46"/>
    <w:rsid w:val="0000217B"/>
    <w:rsid w:val="00003CB9"/>
    <w:rsid w:val="00004092"/>
    <w:rsid w:val="00014EE1"/>
    <w:rsid w:val="00020D5F"/>
    <w:rsid w:val="00022D5E"/>
    <w:rsid w:val="00023AF9"/>
    <w:rsid w:val="000241C7"/>
    <w:rsid w:val="000557EE"/>
    <w:rsid w:val="000627ED"/>
    <w:rsid w:val="0006545D"/>
    <w:rsid w:val="00065A3C"/>
    <w:rsid w:val="00066648"/>
    <w:rsid w:val="00070416"/>
    <w:rsid w:val="00071042"/>
    <w:rsid w:val="000737E1"/>
    <w:rsid w:val="0007658D"/>
    <w:rsid w:val="000812B0"/>
    <w:rsid w:val="000817D9"/>
    <w:rsid w:val="00084F8C"/>
    <w:rsid w:val="00090A5D"/>
    <w:rsid w:val="00090AC7"/>
    <w:rsid w:val="00093784"/>
    <w:rsid w:val="000949C4"/>
    <w:rsid w:val="000955E0"/>
    <w:rsid w:val="00095A0A"/>
    <w:rsid w:val="000A08D9"/>
    <w:rsid w:val="000A36EA"/>
    <w:rsid w:val="000B0B6B"/>
    <w:rsid w:val="000B193F"/>
    <w:rsid w:val="000B3AB3"/>
    <w:rsid w:val="000B58F9"/>
    <w:rsid w:val="000B5E94"/>
    <w:rsid w:val="000B6461"/>
    <w:rsid w:val="000C0B33"/>
    <w:rsid w:val="000C1CF1"/>
    <w:rsid w:val="000C340F"/>
    <w:rsid w:val="000C48D4"/>
    <w:rsid w:val="000D1B6B"/>
    <w:rsid w:val="000D28DD"/>
    <w:rsid w:val="000D30AA"/>
    <w:rsid w:val="000D5D28"/>
    <w:rsid w:val="000E341B"/>
    <w:rsid w:val="000F12BA"/>
    <w:rsid w:val="000F19DA"/>
    <w:rsid w:val="000F3EB8"/>
    <w:rsid w:val="000F5D50"/>
    <w:rsid w:val="000F7A45"/>
    <w:rsid w:val="00102139"/>
    <w:rsid w:val="001037EE"/>
    <w:rsid w:val="00105906"/>
    <w:rsid w:val="0011348F"/>
    <w:rsid w:val="001173A0"/>
    <w:rsid w:val="00121865"/>
    <w:rsid w:val="00124405"/>
    <w:rsid w:val="001345FA"/>
    <w:rsid w:val="00150B7A"/>
    <w:rsid w:val="001517C7"/>
    <w:rsid w:val="001522C7"/>
    <w:rsid w:val="001525FA"/>
    <w:rsid w:val="001544E2"/>
    <w:rsid w:val="00154F9D"/>
    <w:rsid w:val="0015672E"/>
    <w:rsid w:val="0015745F"/>
    <w:rsid w:val="00161B01"/>
    <w:rsid w:val="00163B06"/>
    <w:rsid w:val="00166F48"/>
    <w:rsid w:val="00167765"/>
    <w:rsid w:val="001702E8"/>
    <w:rsid w:val="00173196"/>
    <w:rsid w:val="00173A76"/>
    <w:rsid w:val="00176482"/>
    <w:rsid w:val="00176BE5"/>
    <w:rsid w:val="00183F3A"/>
    <w:rsid w:val="00187177"/>
    <w:rsid w:val="00194D5D"/>
    <w:rsid w:val="001A6444"/>
    <w:rsid w:val="001A7CB3"/>
    <w:rsid w:val="001B027C"/>
    <w:rsid w:val="001B07D4"/>
    <w:rsid w:val="001B1015"/>
    <w:rsid w:val="001B17C9"/>
    <w:rsid w:val="001B7C30"/>
    <w:rsid w:val="001C7071"/>
    <w:rsid w:val="001C75D8"/>
    <w:rsid w:val="001D0A36"/>
    <w:rsid w:val="001D5186"/>
    <w:rsid w:val="001D6115"/>
    <w:rsid w:val="001D6E2E"/>
    <w:rsid w:val="001E6B0C"/>
    <w:rsid w:val="001F0E51"/>
    <w:rsid w:val="001F2796"/>
    <w:rsid w:val="001F2833"/>
    <w:rsid w:val="001F36A7"/>
    <w:rsid w:val="001F39F2"/>
    <w:rsid w:val="001F4064"/>
    <w:rsid w:val="001F5638"/>
    <w:rsid w:val="00205D0D"/>
    <w:rsid w:val="00207D2C"/>
    <w:rsid w:val="002141FD"/>
    <w:rsid w:val="00215DBC"/>
    <w:rsid w:val="00216507"/>
    <w:rsid w:val="00221879"/>
    <w:rsid w:val="002247F3"/>
    <w:rsid w:val="00227BF5"/>
    <w:rsid w:val="00234EAC"/>
    <w:rsid w:val="002459F9"/>
    <w:rsid w:val="002506DD"/>
    <w:rsid w:val="00250E67"/>
    <w:rsid w:val="002547B0"/>
    <w:rsid w:val="00256BD3"/>
    <w:rsid w:val="00257142"/>
    <w:rsid w:val="00265923"/>
    <w:rsid w:val="0026727A"/>
    <w:rsid w:val="002725B6"/>
    <w:rsid w:val="00277E24"/>
    <w:rsid w:val="00284D0B"/>
    <w:rsid w:val="00295247"/>
    <w:rsid w:val="00295318"/>
    <w:rsid w:val="00295F7B"/>
    <w:rsid w:val="00296DA4"/>
    <w:rsid w:val="00296F69"/>
    <w:rsid w:val="002B035E"/>
    <w:rsid w:val="002B2A45"/>
    <w:rsid w:val="002B6392"/>
    <w:rsid w:val="002B6FBE"/>
    <w:rsid w:val="002B71B8"/>
    <w:rsid w:val="002C327E"/>
    <w:rsid w:val="002D1E1A"/>
    <w:rsid w:val="002D41B0"/>
    <w:rsid w:val="002D4E97"/>
    <w:rsid w:val="002D67BB"/>
    <w:rsid w:val="002E0E2E"/>
    <w:rsid w:val="002E31B2"/>
    <w:rsid w:val="002F5CE9"/>
    <w:rsid w:val="00300070"/>
    <w:rsid w:val="00300470"/>
    <w:rsid w:val="0030236A"/>
    <w:rsid w:val="00302D2C"/>
    <w:rsid w:val="003073FE"/>
    <w:rsid w:val="00307A3A"/>
    <w:rsid w:val="00310B25"/>
    <w:rsid w:val="00313AE0"/>
    <w:rsid w:val="00315E66"/>
    <w:rsid w:val="00316B9F"/>
    <w:rsid w:val="003230B9"/>
    <w:rsid w:val="00323621"/>
    <w:rsid w:val="003258AA"/>
    <w:rsid w:val="00325900"/>
    <w:rsid w:val="00327B08"/>
    <w:rsid w:val="00332BE4"/>
    <w:rsid w:val="0033530A"/>
    <w:rsid w:val="0033613E"/>
    <w:rsid w:val="003368D0"/>
    <w:rsid w:val="00340955"/>
    <w:rsid w:val="00340FE0"/>
    <w:rsid w:val="003415D3"/>
    <w:rsid w:val="003422E6"/>
    <w:rsid w:val="003427AB"/>
    <w:rsid w:val="003445AC"/>
    <w:rsid w:val="00351F58"/>
    <w:rsid w:val="003561FD"/>
    <w:rsid w:val="0036065F"/>
    <w:rsid w:val="0036451C"/>
    <w:rsid w:val="003652F1"/>
    <w:rsid w:val="0037428E"/>
    <w:rsid w:val="00374844"/>
    <w:rsid w:val="00375820"/>
    <w:rsid w:val="003773BE"/>
    <w:rsid w:val="00381925"/>
    <w:rsid w:val="003823EA"/>
    <w:rsid w:val="00383153"/>
    <w:rsid w:val="003905D0"/>
    <w:rsid w:val="00390AE3"/>
    <w:rsid w:val="0039234C"/>
    <w:rsid w:val="003974E4"/>
    <w:rsid w:val="003A1A1D"/>
    <w:rsid w:val="003A5C90"/>
    <w:rsid w:val="003A6577"/>
    <w:rsid w:val="003A6F61"/>
    <w:rsid w:val="003A731C"/>
    <w:rsid w:val="003A79FD"/>
    <w:rsid w:val="003B2C13"/>
    <w:rsid w:val="003B6F45"/>
    <w:rsid w:val="003C14AC"/>
    <w:rsid w:val="003C1B1B"/>
    <w:rsid w:val="003C5DC5"/>
    <w:rsid w:val="003C6D75"/>
    <w:rsid w:val="003D23EE"/>
    <w:rsid w:val="003D51B6"/>
    <w:rsid w:val="003D5EE5"/>
    <w:rsid w:val="003E0719"/>
    <w:rsid w:val="003E3752"/>
    <w:rsid w:val="003E54B9"/>
    <w:rsid w:val="003F48EC"/>
    <w:rsid w:val="003F7BBF"/>
    <w:rsid w:val="004024FD"/>
    <w:rsid w:val="00404018"/>
    <w:rsid w:val="00404146"/>
    <w:rsid w:val="004119E4"/>
    <w:rsid w:val="00411D12"/>
    <w:rsid w:val="00413AF7"/>
    <w:rsid w:val="00413E77"/>
    <w:rsid w:val="00415EE6"/>
    <w:rsid w:val="00420A58"/>
    <w:rsid w:val="0042265D"/>
    <w:rsid w:val="00423458"/>
    <w:rsid w:val="004343D2"/>
    <w:rsid w:val="004363A8"/>
    <w:rsid w:val="00440743"/>
    <w:rsid w:val="00441C84"/>
    <w:rsid w:val="00441D16"/>
    <w:rsid w:val="004463F9"/>
    <w:rsid w:val="00472643"/>
    <w:rsid w:val="00476318"/>
    <w:rsid w:val="00480104"/>
    <w:rsid w:val="0048457D"/>
    <w:rsid w:val="00487381"/>
    <w:rsid w:val="00487CD1"/>
    <w:rsid w:val="00496CBC"/>
    <w:rsid w:val="00497D15"/>
    <w:rsid w:val="004A0857"/>
    <w:rsid w:val="004A40BE"/>
    <w:rsid w:val="004B6CE3"/>
    <w:rsid w:val="004B6DFD"/>
    <w:rsid w:val="004B6EFF"/>
    <w:rsid w:val="004C0B7E"/>
    <w:rsid w:val="004C1BD0"/>
    <w:rsid w:val="004C61B7"/>
    <w:rsid w:val="004D1258"/>
    <w:rsid w:val="004D3359"/>
    <w:rsid w:val="004D6633"/>
    <w:rsid w:val="004D77A7"/>
    <w:rsid w:val="004E3520"/>
    <w:rsid w:val="004E3FB4"/>
    <w:rsid w:val="004F2377"/>
    <w:rsid w:val="004F5490"/>
    <w:rsid w:val="004F55C9"/>
    <w:rsid w:val="004F6B40"/>
    <w:rsid w:val="00500864"/>
    <w:rsid w:val="005019DC"/>
    <w:rsid w:val="00507BFF"/>
    <w:rsid w:val="00510BD9"/>
    <w:rsid w:val="0051203C"/>
    <w:rsid w:val="00512496"/>
    <w:rsid w:val="00515E08"/>
    <w:rsid w:val="005228F5"/>
    <w:rsid w:val="00522B43"/>
    <w:rsid w:val="005273AE"/>
    <w:rsid w:val="005314D8"/>
    <w:rsid w:val="00533B4F"/>
    <w:rsid w:val="00540D38"/>
    <w:rsid w:val="005422C9"/>
    <w:rsid w:val="00542DFD"/>
    <w:rsid w:val="00543D97"/>
    <w:rsid w:val="005455E3"/>
    <w:rsid w:val="005506DA"/>
    <w:rsid w:val="005516C9"/>
    <w:rsid w:val="005546AD"/>
    <w:rsid w:val="00554B93"/>
    <w:rsid w:val="005574F0"/>
    <w:rsid w:val="005617E5"/>
    <w:rsid w:val="00563246"/>
    <w:rsid w:val="00563951"/>
    <w:rsid w:val="00570D29"/>
    <w:rsid w:val="00574F6D"/>
    <w:rsid w:val="00577FC7"/>
    <w:rsid w:val="0058707A"/>
    <w:rsid w:val="005906F4"/>
    <w:rsid w:val="0059131B"/>
    <w:rsid w:val="0059324C"/>
    <w:rsid w:val="00594541"/>
    <w:rsid w:val="0059486E"/>
    <w:rsid w:val="00594B60"/>
    <w:rsid w:val="00595A8A"/>
    <w:rsid w:val="005A3031"/>
    <w:rsid w:val="005A3BF6"/>
    <w:rsid w:val="005C101A"/>
    <w:rsid w:val="005C7FB7"/>
    <w:rsid w:val="005D395A"/>
    <w:rsid w:val="005D543E"/>
    <w:rsid w:val="005D5935"/>
    <w:rsid w:val="005D6293"/>
    <w:rsid w:val="005D7022"/>
    <w:rsid w:val="005E378E"/>
    <w:rsid w:val="005E51E6"/>
    <w:rsid w:val="005F07F8"/>
    <w:rsid w:val="005F243E"/>
    <w:rsid w:val="006002D9"/>
    <w:rsid w:val="00601842"/>
    <w:rsid w:val="006052B7"/>
    <w:rsid w:val="00605C79"/>
    <w:rsid w:val="006061C3"/>
    <w:rsid w:val="006079BB"/>
    <w:rsid w:val="006104F9"/>
    <w:rsid w:val="00612E8F"/>
    <w:rsid w:val="006131AE"/>
    <w:rsid w:val="006139FD"/>
    <w:rsid w:val="0062022E"/>
    <w:rsid w:val="00624DA7"/>
    <w:rsid w:val="006327A0"/>
    <w:rsid w:val="00636F9D"/>
    <w:rsid w:val="00636FAE"/>
    <w:rsid w:val="006376D5"/>
    <w:rsid w:val="00637ED2"/>
    <w:rsid w:val="006400CD"/>
    <w:rsid w:val="00640F68"/>
    <w:rsid w:val="00641598"/>
    <w:rsid w:val="0064320D"/>
    <w:rsid w:val="006513CE"/>
    <w:rsid w:val="006521C1"/>
    <w:rsid w:val="00655C57"/>
    <w:rsid w:val="00662C6D"/>
    <w:rsid w:val="00666294"/>
    <w:rsid w:val="00673D99"/>
    <w:rsid w:val="006833DC"/>
    <w:rsid w:val="00683E20"/>
    <w:rsid w:val="006842BC"/>
    <w:rsid w:val="00690785"/>
    <w:rsid w:val="0069164E"/>
    <w:rsid w:val="00691D72"/>
    <w:rsid w:val="00694EAB"/>
    <w:rsid w:val="0069742B"/>
    <w:rsid w:val="006A20B3"/>
    <w:rsid w:val="006A25DE"/>
    <w:rsid w:val="006B0132"/>
    <w:rsid w:val="006B41A8"/>
    <w:rsid w:val="006B473B"/>
    <w:rsid w:val="006C099A"/>
    <w:rsid w:val="006C4F7A"/>
    <w:rsid w:val="006C53A1"/>
    <w:rsid w:val="006C614B"/>
    <w:rsid w:val="006C7DD7"/>
    <w:rsid w:val="006D46A6"/>
    <w:rsid w:val="006D557A"/>
    <w:rsid w:val="006E51DD"/>
    <w:rsid w:val="006F28A5"/>
    <w:rsid w:val="006F384B"/>
    <w:rsid w:val="006F4DC7"/>
    <w:rsid w:val="00700D25"/>
    <w:rsid w:val="00701270"/>
    <w:rsid w:val="00703FFD"/>
    <w:rsid w:val="00704267"/>
    <w:rsid w:val="00706B83"/>
    <w:rsid w:val="00707D15"/>
    <w:rsid w:val="00710AB0"/>
    <w:rsid w:val="0071143D"/>
    <w:rsid w:val="00714A06"/>
    <w:rsid w:val="007179C6"/>
    <w:rsid w:val="00720DBF"/>
    <w:rsid w:val="007227B8"/>
    <w:rsid w:val="00726370"/>
    <w:rsid w:val="007334DA"/>
    <w:rsid w:val="00735962"/>
    <w:rsid w:val="00736729"/>
    <w:rsid w:val="00737BA8"/>
    <w:rsid w:val="00740242"/>
    <w:rsid w:val="007446AB"/>
    <w:rsid w:val="0075150D"/>
    <w:rsid w:val="007549FF"/>
    <w:rsid w:val="00761492"/>
    <w:rsid w:val="0076477B"/>
    <w:rsid w:val="00767341"/>
    <w:rsid w:val="00775AC9"/>
    <w:rsid w:val="00780E60"/>
    <w:rsid w:val="007901D8"/>
    <w:rsid w:val="007928F7"/>
    <w:rsid w:val="00794E0F"/>
    <w:rsid w:val="0079520F"/>
    <w:rsid w:val="007A3BF0"/>
    <w:rsid w:val="007A7B9C"/>
    <w:rsid w:val="007B0FE4"/>
    <w:rsid w:val="007B2A3B"/>
    <w:rsid w:val="007B2DB2"/>
    <w:rsid w:val="007B7231"/>
    <w:rsid w:val="007B74C5"/>
    <w:rsid w:val="007C4070"/>
    <w:rsid w:val="007C51D4"/>
    <w:rsid w:val="007D3639"/>
    <w:rsid w:val="007D5A39"/>
    <w:rsid w:val="007D7D18"/>
    <w:rsid w:val="007E1D2E"/>
    <w:rsid w:val="007E43A5"/>
    <w:rsid w:val="007E68BB"/>
    <w:rsid w:val="007E76B3"/>
    <w:rsid w:val="007F6D9E"/>
    <w:rsid w:val="00802890"/>
    <w:rsid w:val="00810EDC"/>
    <w:rsid w:val="00823EF2"/>
    <w:rsid w:val="00825CF5"/>
    <w:rsid w:val="008319AD"/>
    <w:rsid w:val="00833CF6"/>
    <w:rsid w:val="0083408A"/>
    <w:rsid w:val="00837613"/>
    <w:rsid w:val="00842A2D"/>
    <w:rsid w:val="008435D3"/>
    <w:rsid w:val="00844328"/>
    <w:rsid w:val="008469B7"/>
    <w:rsid w:val="00852A42"/>
    <w:rsid w:val="00854DEB"/>
    <w:rsid w:val="00856F5A"/>
    <w:rsid w:val="00861142"/>
    <w:rsid w:val="008624C2"/>
    <w:rsid w:val="008630A4"/>
    <w:rsid w:val="00863E61"/>
    <w:rsid w:val="00863EFA"/>
    <w:rsid w:val="00865428"/>
    <w:rsid w:val="00867556"/>
    <w:rsid w:val="00870475"/>
    <w:rsid w:val="00872306"/>
    <w:rsid w:val="00874375"/>
    <w:rsid w:val="0087541B"/>
    <w:rsid w:val="00881A42"/>
    <w:rsid w:val="00882C52"/>
    <w:rsid w:val="00884151"/>
    <w:rsid w:val="00887096"/>
    <w:rsid w:val="008914BE"/>
    <w:rsid w:val="00891720"/>
    <w:rsid w:val="00891786"/>
    <w:rsid w:val="00891F35"/>
    <w:rsid w:val="0089258C"/>
    <w:rsid w:val="00893273"/>
    <w:rsid w:val="00893418"/>
    <w:rsid w:val="008939C4"/>
    <w:rsid w:val="00893A0F"/>
    <w:rsid w:val="00893B65"/>
    <w:rsid w:val="00894CC1"/>
    <w:rsid w:val="008A336B"/>
    <w:rsid w:val="008A36D0"/>
    <w:rsid w:val="008A3C93"/>
    <w:rsid w:val="008A4C0A"/>
    <w:rsid w:val="008A635B"/>
    <w:rsid w:val="008B05FF"/>
    <w:rsid w:val="008B0D30"/>
    <w:rsid w:val="008B2F96"/>
    <w:rsid w:val="008B402D"/>
    <w:rsid w:val="008B4075"/>
    <w:rsid w:val="008B63FD"/>
    <w:rsid w:val="008B6E47"/>
    <w:rsid w:val="008C0507"/>
    <w:rsid w:val="008C10F7"/>
    <w:rsid w:val="008C1C3C"/>
    <w:rsid w:val="008C7C31"/>
    <w:rsid w:val="008D4109"/>
    <w:rsid w:val="008D6E36"/>
    <w:rsid w:val="008E1C6E"/>
    <w:rsid w:val="008E1F68"/>
    <w:rsid w:val="008E3048"/>
    <w:rsid w:val="008E6114"/>
    <w:rsid w:val="008F08B0"/>
    <w:rsid w:val="008F2654"/>
    <w:rsid w:val="008F5493"/>
    <w:rsid w:val="008F6274"/>
    <w:rsid w:val="008F6AC5"/>
    <w:rsid w:val="008F704B"/>
    <w:rsid w:val="00900BA4"/>
    <w:rsid w:val="00901AFA"/>
    <w:rsid w:val="009022B6"/>
    <w:rsid w:val="00910379"/>
    <w:rsid w:val="00912123"/>
    <w:rsid w:val="00912E7B"/>
    <w:rsid w:val="00913185"/>
    <w:rsid w:val="0091668B"/>
    <w:rsid w:val="00916C37"/>
    <w:rsid w:val="009205A2"/>
    <w:rsid w:val="00927427"/>
    <w:rsid w:val="00933BA5"/>
    <w:rsid w:val="00935C10"/>
    <w:rsid w:val="0093634D"/>
    <w:rsid w:val="009377FB"/>
    <w:rsid w:val="009450C7"/>
    <w:rsid w:val="009458B7"/>
    <w:rsid w:val="00952945"/>
    <w:rsid w:val="00952F10"/>
    <w:rsid w:val="00952F53"/>
    <w:rsid w:val="00953666"/>
    <w:rsid w:val="00956FFA"/>
    <w:rsid w:val="0096174D"/>
    <w:rsid w:val="00961966"/>
    <w:rsid w:val="00964829"/>
    <w:rsid w:val="00965614"/>
    <w:rsid w:val="00966A48"/>
    <w:rsid w:val="00967E67"/>
    <w:rsid w:val="009825F3"/>
    <w:rsid w:val="00983065"/>
    <w:rsid w:val="0098505D"/>
    <w:rsid w:val="00985B9A"/>
    <w:rsid w:val="009958A9"/>
    <w:rsid w:val="009A3598"/>
    <w:rsid w:val="009A3FE2"/>
    <w:rsid w:val="009A4646"/>
    <w:rsid w:val="009A58D9"/>
    <w:rsid w:val="009B069B"/>
    <w:rsid w:val="009B3033"/>
    <w:rsid w:val="009B5AB4"/>
    <w:rsid w:val="009B783E"/>
    <w:rsid w:val="009B7A5A"/>
    <w:rsid w:val="009C1F59"/>
    <w:rsid w:val="009C2529"/>
    <w:rsid w:val="009C7C07"/>
    <w:rsid w:val="009D267F"/>
    <w:rsid w:val="009E1F65"/>
    <w:rsid w:val="009E2D06"/>
    <w:rsid w:val="009E5F68"/>
    <w:rsid w:val="009E68CD"/>
    <w:rsid w:val="009E6F98"/>
    <w:rsid w:val="009F2523"/>
    <w:rsid w:val="009F5A9B"/>
    <w:rsid w:val="00A03746"/>
    <w:rsid w:val="00A067B1"/>
    <w:rsid w:val="00A07792"/>
    <w:rsid w:val="00A07F02"/>
    <w:rsid w:val="00A10C90"/>
    <w:rsid w:val="00A11470"/>
    <w:rsid w:val="00A1561E"/>
    <w:rsid w:val="00A212B2"/>
    <w:rsid w:val="00A21DC2"/>
    <w:rsid w:val="00A25508"/>
    <w:rsid w:val="00A36794"/>
    <w:rsid w:val="00A418E2"/>
    <w:rsid w:val="00A42CD5"/>
    <w:rsid w:val="00A44C5A"/>
    <w:rsid w:val="00A450C2"/>
    <w:rsid w:val="00A461A5"/>
    <w:rsid w:val="00A466C2"/>
    <w:rsid w:val="00A476A2"/>
    <w:rsid w:val="00A50518"/>
    <w:rsid w:val="00A51BB9"/>
    <w:rsid w:val="00A613B0"/>
    <w:rsid w:val="00A6347E"/>
    <w:rsid w:val="00A743A7"/>
    <w:rsid w:val="00A76BF3"/>
    <w:rsid w:val="00A83D98"/>
    <w:rsid w:val="00A848E4"/>
    <w:rsid w:val="00A8521C"/>
    <w:rsid w:val="00A854BE"/>
    <w:rsid w:val="00A9008E"/>
    <w:rsid w:val="00A90A45"/>
    <w:rsid w:val="00A9402B"/>
    <w:rsid w:val="00A96FE2"/>
    <w:rsid w:val="00A97614"/>
    <w:rsid w:val="00A978CC"/>
    <w:rsid w:val="00AA0C6A"/>
    <w:rsid w:val="00AA14A0"/>
    <w:rsid w:val="00AA1B3D"/>
    <w:rsid w:val="00AA2B62"/>
    <w:rsid w:val="00AA42BD"/>
    <w:rsid w:val="00AA47D2"/>
    <w:rsid w:val="00AA6BAC"/>
    <w:rsid w:val="00AB368E"/>
    <w:rsid w:val="00AB3F73"/>
    <w:rsid w:val="00AB52C9"/>
    <w:rsid w:val="00AB5CBA"/>
    <w:rsid w:val="00AB7342"/>
    <w:rsid w:val="00AC0C8E"/>
    <w:rsid w:val="00AC200D"/>
    <w:rsid w:val="00AC32F5"/>
    <w:rsid w:val="00AC3F25"/>
    <w:rsid w:val="00AC3F94"/>
    <w:rsid w:val="00AD0DF3"/>
    <w:rsid w:val="00AD6498"/>
    <w:rsid w:val="00AE19FC"/>
    <w:rsid w:val="00AF21D6"/>
    <w:rsid w:val="00AF5609"/>
    <w:rsid w:val="00B01482"/>
    <w:rsid w:val="00B101DD"/>
    <w:rsid w:val="00B10645"/>
    <w:rsid w:val="00B13AD7"/>
    <w:rsid w:val="00B24F5B"/>
    <w:rsid w:val="00B269B2"/>
    <w:rsid w:val="00B302D5"/>
    <w:rsid w:val="00B31386"/>
    <w:rsid w:val="00B3380D"/>
    <w:rsid w:val="00B3387B"/>
    <w:rsid w:val="00B35E46"/>
    <w:rsid w:val="00B35F8B"/>
    <w:rsid w:val="00B40BC8"/>
    <w:rsid w:val="00B430EE"/>
    <w:rsid w:val="00B45F58"/>
    <w:rsid w:val="00B5400D"/>
    <w:rsid w:val="00B54406"/>
    <w:rsid w:val="00B56913"/>
    <w:rsid w:val="00B60FDE"/>
    <w:rsid w:val="00B677DB"/>
    <w:rsid w:val="00B713FF"/>
    <w:rsid w:val="00B718BC"/>
    <w:rsid w:val="00B71C9B"/>
    <w:rsid w:val="00B76141"/>
    <w:rsid w:val="00B801B3"/>
    <w:rsid w:val="00B8449B"/>
    <w:rsid w:val="00B91E9F"/>
    <w:rsid w:val="00B955FB"/>
    <w:rsid w:val="00B95AD0"/>
    <w:rsid w:val="00BA4762"/>
    <w:rsid w:val="00BA4A1E"/>
    <w:rsid w:val="00BA6365"/>
    <w:rsid w:val="00BA696B"/>
    <w:rsid w:val="00BB0D1D"/>
    <w:rsid w:val="00BB0F71"/>
    <w:rsid w:val="00BB4224"/>
    <w:rsid w:val="00BC1D48"/>
    <w:rsid w:val="00BC1F8A"/>
    <w:rsid w:val="00BC5CC4"/>
    <w:rsid w:val="00BD38E8"/>
    <w:rsid w:val="00BD5CAF"/>
    <w:rsid w:val="00BD61E2"/>
    <w:rsid w:val="00BE2B42"/>
    <w:rsid w:val="00BE4D4D"/>
    <w:rsid w:val="00BF543A"/>
    <w:rsid w:val="00C034D9"/>
    <w:rsid w:val="00C036D6"/>
    <w:rsid w:val="00C06D78"/>
    <w:rsid w:val="00C116E5"/>
    <w:rsid w:val="00C1738C"/>
    <w:rsid w:val="00C17CA0"/>
    <w:rsid w:val="00C214AA"/>
    <w:rsid w:val="00C23740"/>
    <w:rsid w:val="00C261A5"/>
    <w:rsid w:val="00C265BB"/>
    <w:rsid w:val="00C319A8"/>
    <w:rsid w:val="00C37DB8"/>
    <w:rsid w:val="00C41255"/>
    <w:rsid w:val="00C42C5C"/>
    <w:rsid w:val="00C5007F"/>
    <w:rsid w:val="00C51717"/>
    <w:rsid w:val="00C53832"/>
    <w:rsid w:val="00C5487E"/>
    <w:rsid w:val="00C606AD"/>
    <w:rsid w:val="00C6158F"/>
    <w:rsid w:val="00C63D13"/>
    <w:rsid w:val="00C64681"/>
    <w:rsid w:val="00C70E18"/>
    <w:rsid w:val="00C71BFE"/>
    <w:rsid w:val="00C73CD0"/>
    <w:rsid w:val="00C75239"/>
    <w:rsid w:val="00C77B7B"/>
    <w:rsid w:val="00C77D93"/>
    <w:rsid w:val="00C80314"/>
    <w:rsid w:val="00C84774"/>
    <w:rsid w:val="00C86966"/>
    <w:rsid w:val="00C93852"/>
    <w:rsid w:val="00C952A0"/>
    <w:rsid w:val="00CA2043"/>
    <w:rsid w:val="00CA4958"/>
    <w:rsid w:val="00CA6256"/>
    <w:rsid w:val="00CB44C9"/>
    <w:rsid w:val="00CB4A7E"/>
    <w:rsid w:val="00CB687A"/>
    <w:rsid w:val="00CC286F"/>
    <w:rsid w:val="00CC2ECA"/>
    <w:rsid w:val="00CC3E2A"/>
    <w:rsid w:val="00CC71B4"/>
    <w:rsid w:val="00CD2779"/>
    <w:rsid w:val="00CD407E"/>
    <w:rsid w:val="00CD737B"/>
    <w:rsid w:val="00CE07FD"/>
    <w:rsid w:val="00CE1867"/>
    <w:rsid w:val="00CE4F0E"/>
    <w:rsid w:val="00CF43B1"/>
    <w:rsid w:val="00D050BC"/>
    <w:rsid w:val="00D0514A"/>
    <w:rsid w:val="00D07F6E"/>
    <w:rsid w:val="00D135A6"/>
    <w:rsid w:val="00D13727"/>
    <w:rsid w:val="00D13C4D"/>
    <w:rsid w:val="00D170DE"/>
    <w:rsid w:val="00D17F09"/>
    <w:rsid w:val="00D20698"/>
    <w:rsid w:val="00D20DC1"/>
    <w:rsid w:val="00D27007"/>
    <w:rsid w:val="00D30E86"/>
    <w:rsid w:val="00D3150B"/>
    <w:rsid w:val="00D3185F"/>
    <w:rsid w:val="00D321A5"/>
    <w:rsid w:val="00D325C8"/>
    <w:rsid w:val="00D34AA2"/>
    <w:rsid w:val="00D40AF7"/>
    <w:rsid w:val="00D40EE6"/>
    <w:rsid w:val="00D425F6"/>
    <w:rsid w:val="00D42B14"/>
    <w:rsid w:val="00D44A55"/>
    <w:rsid w:val="00D45DE9"/>
    <w:rsid w:val="00D53CB2"/>
    <w:rsid w:val="00D56738"/>
    <w:rsid w:val="00D623FA"/>
    <w:rsid w:val="00D65C51"/>
    <w:rsid w:val="00D67541"/>
    <w:rsid w:val="00D744E7"/>
    <w:rsid w:val="00D77273"/>
    <w:rsid w:val="00D81BD3"/>
    <w:rsid w:val="00D820E8"/>
    <w:rsid w:val="00D87D49"/>
    <w:rsid w:val="00D9284D"/>
    <w:rsid w:val="00D929CB"/>
    <w:rsid w:val="00D939FB"/>
    <w:rsid w:val="00DA1788"/>
    <w:rsid w:val="00DA448F"/>
    <w:rsid w:val="00DA59D3"/>
    <w:rsid w:val="00DB1E0B"/>
    <w:rsid w:val="00DB257F"/>
    <w:rsid w:val="00DB494F"/>
    <w:rsid w:val="00DB75CB"/>
    <w:rsid w:val="00DC07EF"/>
    <w:rsid w:val="00DC34A2"/>
    <w:rsid w:val="00DC58DD"/>
    <w:rsid w:val="00DD00D6"/>
    <w:rsid w:val="00DD268B"/>
    <w:rsid w:val="00DD4636"/>
    <w:rsid w:val="00DD75AD"/>
    <w:rsid w:val="00DD7B04"/>
    <w:rsid w:val="00DE1DA1"/>
    <w:rsid w:val="00DF0DCC"/>
    <w:rsid w:val="00DF4E84"/>
    <w:rsid w:val="00DF7E23"/>
    <w:rsid w:val="00DF7E4F"/>
    <w:rsid w:val="00E0128F"/>
    <w:rsid w:val="00E05095"/>
    <w:rsid w:val="00E11EA5"/>
    <w:rsid w:val="00E13546"/>
    <w:rsid w:val="00E142DE"/>
    <w:rsid w:val="00E16F6B"/>
    <w:rsid w:val="00E17F8E"/>
    <w:rsid w:val="00E2696B"/>
    <w:rsid w:val="00E26DBF"/>
    <w:rsid w:val="00E27CFA"/>
    <w:rsid w:val="00E352A8"/>
    <w:rsid w:val="00E35665"/>
    <w:rsid w:val="00E3709E"/>
    <w:rsid w:val="00E40790"/>
    <w:rsid w:val="00E42B52"/>
    <w:rsid w:val="00E4619C"/>
    <w:rsid w:val="00E461E0"/>
    <w:rsid w:val="00E53736"/>
    <w:rsid w:val="00E574D5"/>
    <w:rsid w:val="00E575CC"/>
    <w:rsid w:val="00E6056F"/>
    <w:rsid w:val="00E60861"/>
    <w:rsid w:val="00E71225"/>
    <w:rsid w:val="00E7491A"/>
    <w:rsid w:val="00E74A1E"/>
    <w:rsid w:val="00E7698F"/>
    <w:rsid w:val="00E77FE3"/>
    <w:rsid w:val="00E81A0B"/>
    <w:rsid w:val="00E81BA3"/>
    <w:rsid w:val="00E8760D"/>
    <w:rsid w:val="00E92C57"/>
    <w:rsid w:val="00E95DFE"/>
    <w:rsid w:val="00E97D6B"/>
    <w:rsid w:val="00EA0463"/>
    <w:rsid w:val="00EA221B"/>
    <w:rsid w:val="00EA2432"/>
    <w:rsid w:val="00EA5AB5"/>
    <w:rsid w:val="00EA6EC0"/>
    <w:rsid w:val="00EA723B"/>
    <w:rsid w:val="00EB38E6"/>
    <w:rsid w:val="00EB435C"/>
    <w:rsid w:val="00EC0DDE"/>
    <w:rsid w:val="00EC4234"/>
    <w:rsid w:val="00EC4AFA"/>
    <w:rsid w:val="00EC6CD8"/>
    <w:rsid w:val="00ED31BB"/>
    <w:rsid w:val="00ED4271"/>
    <w:rsid w:val="00EE46D5"/>
    <w:rsid w:val="00EE59C9"/>
    <w:rsid w:val="00EE7A0C"/>
    <w:rsid w:val="00EE7DBF"/>
    <w:rsid w:val="00EF0658"/>
    <w:rsid w:val="00EF19B0"/>
    <w:rsid w:val="00EF1B48"/>
    <w:rsid w:val="00EF5826"/>
    <w:rsid w:val="00F01DFB"/>
    <w:rsid w:val="00F029DB"/>
    <w:rsid w:val="00F040E9"/>
    <w:rsid w:val="00F073AA"/>
    <w:rsid w:val="00F0786E"/>
    <w:rsid w:val="00F1054E"/>
    <w:rsid w:val="00F14523"/>
    <w:rsid w:val="00F15674"/>
    <w:rsid w:val="00F166C9"/>
    <w:rsid w:val="00F17AB9"/>
    <w:rsid w:val="00F20EAB"/>
    <w:rsid w:val="00F245D7"/>
    <w:rsid w:val="00F26DFE"/>
    <w:rsid w:val="00F2716F"/>
    <w:rsid w:val="00F30101"/>
    <w:rsid w:val="00F31061"/>
    <w:rsid w:val="00F347EC"/>
    <w:rsid w:val="00F40754"/>
    <w:rsid w:val="00F52EE7"/>
    <w:rsid w:val="00F530B9"/>
    <w:rsid w:val="00F5643E"/>
    <w:rsid w:val="00F57486"/>
    <w:rsid w:val="00F6261A"/>
    <w:rsid w:val="00F64FBC"/>
    <w:rsid w:val="00F67824"/>
    <w:rsid w:val="00F774CB"/>
    <w:rsid w:val="00F85CB3"/>
    <w:rsid w:val="00F86519"/>
    <w:rsid w:val="00F90989"/>
    <w:rsid w:val="00F933B7"/>
    <w:rsid w:val="00F96098"/>
    <w:rsid w:val="00FA2B1D"/>
    <w:rsid w:val="00FA5F92"/>
    <w:rsid w:val="00FA7E70"/>
    <w:rsid w:val="00FB5002"/>
    <w:rsid w:val="00FC0A7B"/>
    <w:rsid w:val="00FC15F1"/>
    <w:rsid w:val="00FC7161"/>
    <w:rsid w:val="00FC7932"/>
    <w:rsid w:val="00FC7CF5"/>
    <w:rsid w:val="00FD0E91"/>
    <w:rsid w:val="00FD2D8A"/>
    <w:rsid w:val="00FD628D"/>
    <w:rsid w:val="00FD7934"/>
    <w:rsid w:val="00FE0D82"/>
    <w:rsid w:val="00FE19D1"/>
    <w:rsid w:val="00FE41C8"/>
    <w:rsid w:val="00FE4352"/>
    <w:rsid w:val="00FE4390"/>
    <w:rsid w:val="00FF3BE7"/>
    <w:rsid w:val="00FF6AEC"/>
    <w:rsid w:val="032E906C"/>
    <w:rsid w:val="06AB78A2"/>
    <w:rsid w:val="086CB5AE"/>
    <w:rsid w:val="09834A8A"/>
    <w:rsid w:val="0CE8EF7D"/>
    <w:rsid w:val="0F81161C"/>
    <w:rsid w:val="11FC529A"/>
    <w:rsid w:val="156ED294"/>
    <w:rsid w:val="1CE644CB"/>
    <w:rsid w:val="2068564D"/>
    <w:rsid w:val="22D3D028"/>
    <w:rsid w:val="23338A14"/>
    <w:rsid w:val="25D0398B"/>
    <w:rsid w:val="279C3FBE"/>
    <w:rsid w:val="2AF9AA6F"/>
    <w:rsid w:val="2BCC812C"/>
    <w:rsid w:val="2DA6A096"/>
    <w:rsid w:val="31ED79CD"/>
    <w:rsid w:val="334B2C72"/>
    <w:rsid w:val="385647D4"/>
    <w:rsid w:val="3AF216D3"/>
    <w:rsid w:val="3D3CE827"/>
    <w:rsid w:val="40EBEE39"/>
    <w:rsid w:val="40FC4559"/>
    <w:rsid w:val="46A86232"/>
    <w:rsid w:val="4B5878CD"/>
    <w:rsid w:val="4B621C2C"/>
    <w:rsid w:val="4B833C32"/>
    <w:rsid w:val="50605DBC"/>
    <w:rsid w:val="53D7A884"/>
    <w:rsid w:val="54096BA8"/>
    <w:rsid w:val="5DE4594A"/>
    <w:rsid w:val="5F7764F4"/>
    <w:rsid w:val="61CDD034"/>
    <w:rsid w:val="654D455F"/>
    <w:rsid w:val="6736FEC7"/>
    <w:rsid w:val="682045B5"/>
    <w:rsid w:val="6CDDA44E"/>
    <w:rsid w:val="6EB7CCF6"/>
    <w:rsid w:val="6FD69401"/>
    <w:rsid w:val="7C3F1F44"/>
    <w:rsid w:val="7F144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190F"/>
  <w15:chartTrackingRefBased/>
  <w15:docId w15:val="{7131943C-19FA-4B94-AD9F-970D1665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4"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D07F6E"/>
    <w:pPr>
      <w:numPr>
        <w:numId w:val="32"/>
      </w:numPr>
      <w:spacing w:before="120" w:after="0" w:line="280" w:lineRule="atLeast"/>
      <w:ind w:left="29" w:hanging="709"/>
    </w:pPr>
    <w:rPr>
      <w:rFonts w:ascii="Open Sans" w:hAnsi="Open Sans"/>
      <w:color w:val="000000" w:themeColor="text1"/>
      <w:lang w:val="en-AU"/>
    </w:rPr>
  </w:style>
  <w:style w:type="paragraph" w:styleId="Heading1">
    <w:name w:val="heading 1"/>
    <w:next w:val="Normal"/>
    <w:link w:val="Heading1Char"/>
    <w:uiPriority w:val="2"/>
    <w:qFormat/>
    <w:rsid w:val="00FF3BE7"/>
    <w:pPr>
      <w:keepNext/>
      <w:keepLines/>
      <w:pageBreakBefore/>
      <w:numPr>
        <w:numId w:val="26"/>
      </w:numPr>
      <w:spacing w:before="240" w:after="0" w:line="400" w:lineRule="atLeast"/>
      <w:ind w:left="431" w:hanging="431"/>
      <w:outlineLvl w:val="0"/>
    </w:pPr>
    <w:rPr>
      <w:rFonts w:asciiTheme="majorHAnsi" w:eastAsiaTheme="majorEastAsia" w:hAnsiTheme="majorHAnsi" w:cstheme="majorBidi"/>
      <w:b/>
      <w:color w:val="143C65" w:themeColor="accent1"/>
      <w:sz w:val="40"/>
      <w:szCs w:val="44"/>
      <w:lang w:val="en-AU"/>
    </w:rPr>
  </w:style>
  <w:style w:type="paragraph" w:styleId="Heading2">
    <w:name w:val="heading 2"/>
    <w:next w:val="Normal"/>
    <w:link w:val="Heading2Char"/>
    <w:uiPriority w:val="2"/>
    <w:qFormat/>
    <w:rsid w:val="0058707A"/>
    <w:pPr>
      <w:keepNext/>
      <w:keepLines/>
      <w:spacing w:before="240" w:after="0" w:line="320" w:lineRule="atLeast"/>
      <w:ind w:left="578" w:hanging="578"/>
      <w:outlineLvl w:val="1"/>
    </w:pPr>
    <w:rPr>
      <w:rFonts w:asciiTheme="majorHAnsi" w:eastAsiaTheme="majorEastAsia" w:hAnsiTheme="majorHAnsi" w:cstheme="majorBidi"/>
      <w:b/>
      <w:color w:val="0B78BE" w:themeColor="accent2"/>
      <w:sz w:val="30"/>
      <w:szCs w:val="30"/>
      <w:lang w:val="en-AU"/>
    </w:rPr>
  </w:style>
  <w:style w:type="paragraph" w:styleId="Heading3">
    <w:name w:val="heading 3"/>
    <w:next w:val="Normal"/>
    <w:link w:val="Heading3Char"/>
    <w:uiPriority w:val="2"/>
    <w:qFormat/>
    <w:rsid w:val="00B01482"/>
    <w:pPr>
      <w:keepNext/>
      <w:keepLines/>
      <w:spacing w:before="240" w:after="0" w:line="280" w:lineRule="atLeast"/>
      <w:outlineLvl w:val="2"/>
    </w:pPr>
    <w:rPr>
      <w:rFonts w:ascii="Open Sans" w:eastAsiaTheme="majorEastAsia" w:hAnsi="Open Sans" w:cstheme="majorBidi"/>
      <w:b/>
      <w:color w:val="000000" w:themeColor="text1"/>
      <w:szCs w:val="28"/>
      <w:lang w:val="en-AU"/>
    </w:rPr>
  </w:style>
  <w:style w:type="paragraph" w:styleId="Heading4">
    <w:name w:val="heading 4"/>
    <w:basedOn w:val="Normal"/>
    <w:next w:val="Normal"/>
    <w:link w:val="Heading4Char"/>
    <w:uiPriority w:val="99"/>
    <w:semiHidden/>
    <w:qFormat/>
    <w:rsid w:val="001A6444"/>
    <w:pPr>
      <w:keepNext/>
      <w:keepLines/>
      <w:numPr>
        <w:ilvl w:val="3"/>
        <w:numId w:val="26"/>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1A6444"/>
    <w:pPr>
      <w:keepNext/>
      <w:keepLines/>
      <w:numPr>
        <w:ilvl w:val="4"/>
        <w:numId w:val="26"/>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1A6444"/>
    <w:pPr>
      <w:keepNext/>
      <w:keepLines/>
      <w:numPr>
        <w:ilvl w:val="5"/>
        <w:numId w:val="26"/>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1A6444"/>
    <w:pPr>
      <w:keepNext/>
      <w:keepLines/>
      <w:numPr>
        <w:ilvl w:val="6"/>
        <w:numId w:val="26"/>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1A6444"/>
    <w:pPr>
      <w:keepNext/>
      <w:keepLines/>
      <w:numPr>
        <w:ilvl w:val="7"/>
        <w:numId w:val="26"/>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1A6444"/>
    <w:pPr>
      <w:keepNext/>
      <w:keepLines/>
      <w:numPr>
        <w:ilvl w:val="8"/>
        <w:numId w:val="2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F3BE7"/>
    <w:rPr>
      <w:rFonts w:asciiTheme="majorHAnsi" w:eastAsiaTheme="majorEastAsia" w:hAnsiTheme="majorHAnsi" w:cstheme="majorBidi"/>
      <w:b/>
      <w:color w:val="143C65" w:themeColor="accent1"/>
      <w:sz w:val="40"/>
      <w:szCs w:val="44"/>
      <w:lang w:val="en-AU"/>
    </w:rPr>
  </w:style>
  <w:style w:type="character" w:customStyle="1" w:styleId="Heading2Char">
    <w:name w:val="Heading 2 Char"/>
    <w:basedOn w:val="DefaultParagraphFont"/>
    <w:link w:val="Heading2"/>
    <w:uiPriority w:val="2"/>
    <w:rsid w:val="0058707A"/>
    <w:rPr>
      <w:rFonts w:asciiTheme="majorHAnsi" w:eastAsiaTheme="majorEastAsia" w:hAnsiTheme="majorHAnsi" w:cstheme="majorBidi"/>
      <w:b/>
      <w:color w:val="0B78BE" w:themeColor="accent2"/>
      <w:sz w:val="30"/>
      <w:szCs w:val="30"/>
      <w:lang w:val="en-AU"/>
    </w:rPr>
  </w:style>
  <w:style w:type="character" w:customStyle="1" w:styleId="Heading3Char">
    <w:name w:val="Heading 3 Char"/>
    <w:basedOn w:val="DefaultParagraphFont"/>
    <w:link w:val="Heading3"/>
    <w:uiPriority w:val="2"/>
    <w:rsid w:val="006F28A5"/>
    <w:rPr>
      <w:rFonts w:ascii="Open Sans" w:eastAsiaTheme="majorEastAsia" w:hAnsi="Open Sans" w:cstheme="majorBidi"/>
      <w:b/>
      <w:color w:val="000000" w:themeColor="text1"/>
      <w:szCs w:val="28"/>
      <w:lang w:val="en-AU"/>
    </w:rPr>
  </w:style>
  <w:style w:type="character" w:customStyle="1" w:styleId="Heading4Char">
    <w:name w:val="Heading 4 Char"/>
    <w:basedOn w:val="DefaultParagraphFont"/>
    <w:link w:val="Heading4"/>
    <w:uiPriority w:val="99"/>
    <w:semiHidden/>
    <w:rsid w:val="001A6444"/>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1A6444"/>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1A6444"/>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1A6444"/>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1A6444"/>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1A6444"/>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12"/>
    <w:rsid w:val="006F28A5"/>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12"/>
    <w:qFormat/>
    <w:rsid w:val="001A6444"/>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12"/>
    <w:rsid w:val="006F28A5"/>
    <w:rPr>
      <w:rFonts w:ascii="Open Sans" w:eastAsiaTheme="majorEastAsia" w:hAnsi="Open Sans" w:cstheme="majorBidi"/>
      <w:color w:val="0B78BE" w:themeColor="accent2"/>
      <w:spacing w:val="15"/>
      <w:sz w:val="36"/>
      <w:szCs w:val="28"/>
      <w:lang w:val="en-AU"/>
    </w:rPr>
  </w:style>
  <w:style w:type="paragraph" w:styleId="Subtitle">
    <w:name w:val="Subtitle"/>
    <w:next w:val="Normal"/>
    <w:link w:val="SubtitleChar"/>
    <w:uiPriority w:val="12"/>
    <w:qFormat/>
    <w:rsid w:val="00C214AA"/>
    <w:pPr>
      <w:numPr>
        <w:ilvl w:val="1"/>
      </w:numPr>
      <w:spacing w:before="120" w:after="0" w:line="400" w:lineRule="atLeast"/>
    </w:pPr>
    <w:rPr>
      <w:rFonts w:ascii="Open Sans" w:eastAsiaTheme="majorEastAsia" w:hAnsi="Open Sans" w:cstheme="majorBidi"/>
      <w:color w:val="0B78BE" w:themeColor="accent2"/>
      <w:spacing w:val="15"/>
      <w:sz w:val="36"/>
      <w:szCs w:val="28"/>
      <w:lang w:val="en-AU"/>
    </w:rPr>
  </w:style>
  <w:style w:type="character" w:styleId="IntenseEmphasis">
    <w:name w:val="Intense Emphasis"/>
    <w:basedOn w:val="DefaultParagraphFont"/>
    <w:uiPriority w:val="99"/>
    <w:semiHidden/>
    <w:qFormat/>
    <w:rsid w:val="001A6444"/>
    <w:rPr>
      <w:i/>
      <w:iCs/>
      <w:color w:val="0F2C4B" w:themeColor="accent1" w:themeShade="BF"/>
    </w:rPr>
  </w:style>
  <w:style w:type="character" w:customStyle="1" w:styleId="QuoteChar">
    <w:name w:val="Quote Char"/>
    <w:basedOn w:val="DefaultParagraphFont"/>
    <w:link w:val="Quote"/>
    <w:uiPriority w:val="99"/>
    <w:semiHidden/>
    <w:rsid w:val="001A6444"/>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1A644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1A6444"/>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1A6444"/>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1A6444"/>
    <w:rPr>
      <w:b/>
      <w:bCs/>
      <w:smallCaps/>
      <w:color w:val="0F2C4B" w:themeColor="accent1" w:themeShade="BF"/>
      <w:spacing w:val="5"/>
    </w:rPr>
  </w:style>
  <w:style w:type="paragraph" w:styleId="TOCHeading">
    <w:name w:val="TOC Heading"/>
    <w:next w:val="Normal"/>
    <w:uiPriority w:val="13"/>
    <w:qFormat/>
    <w:rsid w:val="001A6444"/>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next w:val="Normal"/>
    <w:autoRedefine/>
    <w:uiPriority w:val="39"/>
    <w:rsid w:val="002E31B2"/>
    <w:pPr>
      <w:tabs>
        <w:tab w:val="left" w:pos="284"/>
        <w:tab w:val="right" w:pos="9072"/>
      </w:tabs>
      <w:spacing w:before="60" w:after="0" w:line="260" w:lineRule="atLeast"/>
    </w:pPr>
    <w:rPr>
      <w:rFonts w:ascii="Open Sans" w:hAnsi="Open Sans"/>
      <w:b/>
      <w:noProof/>
      <w:color w:val="143C65" w:themeColor="accent1"/>
      <w:lang w:val="en-AU"/>
    </w:rPr>
  </w:style>
  <w:style w:type="paragraph" w:styleId="TOC2">
    <w:name w:val="toc 2"/>
    <w:next w:val="Normal"/>
    <w:autoRedefine/>
    <w:uiPriority w:val="39"/>
    <w:rsid w:val="002E31B2"/>
    <w:pPr>
      <w:tabs>
        <w:tab w:val="right" w:pos="9072"/>
      </w:tabs>
      <w:spacing w:before="60" w:after="0" w:line="260" w:lineRule="atLeast"/>
      <w:ind w:left="238"/>
    </w:pPr>
    <w:rPr>
      <w:rFonts w:ascii="Open Sans" w:hAnsi="Open Sans"/>
      <w:noProof/>
      <w:color w:val="0B78BE" w:themeColor="accent2"/>
    </w:rPr>
  </w:style>
  <w:style w:type="paragraph" w:styleId="TOC3">
    <w:name w:val="toc 3"/>
    <w:basedOn w:val="Normal"/>
    <w:next w:val="Normal"/>
    <w:autoRedefine/>
    <w:uiPriority w:val="99"/>
    <w:semiHidden/>
    <w:rsid w:val="001A6444"/>
    <w:pPr>
      <w:spacing w:after="100"/>
      <w:ind w:left="480"/>
    </w:pPr>
  </w:style>
  <w:style w:type="character" w:styleId="Hyperlink">
    <w:name w:val="Hyperlink"/>
    <w:basedOn w:val="DefaultParagraphFont"/>
    <w:uiPriority w:val="99"/>
    <w:rsid w:val="001A6444"/>
    <w:rPr>
      <w:color w:val="143C65" w:themeColor="hyperlink"/>
      <w:u w:val="single"/>
    </w:rPr>
  </w:style>
  <w:style w:type="paragraph" w:styleId="Header">
    <w:name w:val="header"/>
    <w:link w:val="Head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HeaderChar">
    <w:name w:val="Header Char"/>
    <w:basedOn w:val="DefaultParagraphFont"/>
    <w:link w:val="Header"/>
    <w:uiPriority w:val="14"/>
    <w:rsid w:val="006F28A5"/>
    <w:rPr>
      <w:rFonts w:ascii="Open Sans" w:hAnsi="Open Sans"/>
      <w:color w:val="143C65" w:themeColor="accent1"/>
      <w:sz w:val="20"/>
      <w:lang w:val="en-AU"/>
    </w:rPr>
  </w:style>
  <w:style w:type="paragraph" w:styleId="Footer">
    <w:name w:val="footer"/>
    <w:link w:val="Foot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FooterChar">
    <w:name w:val="Footer Char"/>
    <w:basedOn w:val="DefaultParagraphFont"/>
    <w:link w:val="Footer"/>
    <w:uiPriority w:val="14"/>
    <w:rsid w:val="006F28A5"/>
    <w:rPr>
      <w:rFonts w:ascii="Open Sans" w:hAnsi="Open Sans"/>
      <w:color w:val="143C65" w:themeColor="accent1"/>
      <w:sz w:val="20"/>
      <w:lang w:val="en-AU"/>
    </w:rPr>
  </w:style>
  <w:style w:type="table" w:customStyle="1" w:styleId="AHRCtable">
    <w:name w:val="AHRC table"/>
    <w:basedOn w:val="TableNormal"/>
    <w:uiPriority w:val="99"/>
    <w:rsid w:val="00F67824"/>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Open Sans" w:hAnsi="Open Sans"/>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Open Sans" w:hAnsi="Open Sans"/>
      </w:rPr>
    </w:tblStylePr>
  </w:style>
  <w:style w:type="table" w:styleId="TableGrid">
    <w:name w:val="Table Grid"/>
    <w:basedOn w:val="TableNormal"/>
    <w:uiPriority w:val="39"/>
    <w:rsid w:val="001A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B01482"/>
    <w:pPr>
      <w:spacing w:before="60" w:after="0" w:line="260" w:lineRule="atLeast"/>
    </w:pPr>
    <w:rPr>
      <w:rFonts w:ascii="Open Sans" w:eastAsia="Times New Roman" w:hAnsi="Open Sans"/>
      <w:b/>
      <w:color w:val="143C65" w:themeColor="accent1"/>
      <w:kern w:val="2"/>
      <w:szCs w:val="16"/>
      <w:lang w:val="en-AU"/>
      <w14:ligatures w14:val="standardContextual"/>
    </w:rPr>
  </w:style>
  <w:style w:type="paragraph" w:customStyle="1" w:styleId="Tabletext">
    <w:name w:val="Table text"/>
    <w:uiPriority w:val="3"/>
    <w:qFormat/>
    <w:rsid w:val="00B01482"/>
    <w:pPr>
      <w:spacing w:before="60" w:after="0" w:line="280" w:lineRule="atLeast"/>
    </w:pPr>
    <w:rPr>
      <w:rFonts w:ascii="Open Sans" w:eastAsia="Times New Roman" w:hAnsi="Open Sans"/>
      <w:color w:val="000000" w:themeColor="text1"/>
      <w:kern w:val="2"/>
      <w:szCs w:val="16"/>
      <w:lang w:val="en-AU"/>
      <w14:ligatures w14:val="standardContextual"/>
    </w:rPr>
  </w:style>
  <w:style w:type="paragraph" w:customStyle="1" w:styleId="Tablelistbullets">
    <w:name w:val="Table list bullets"/>
    <w:uiPriority w:val="3"/>
    <w:qFormat/>
    <w:rsid w:val="00B01482"/>
    <w:pPr>
      <w:numPr>
        <w:numId w:val="28"/>
      </w:numPr>
      <w:spacing w:after="0" w:line="260" w:lineRule="atLeast"/>
    </w:pPr>
    <w:rPr>
      <w:rFonts w:ascii="Open Sans" w:eastAsia="Times New Roman" w:hAnsi="Open Sans"/>
      <w:color w:val="000000" w:themeColor="text1"/>
      <w:kern w:val="2"/>
      <w:szCs w:val="16"/>
      <w:lang w:val="en-AU"/>
      <w14:ligatures w14:val="standardContextual"/>
    </w:rPr>
  </w:style>
  <w:style w:type="paragraph" w:styleId="EndnoteText">
    <w:name w:val="endnote text"/>
    <w:link w:val="EndnoteTextChar"/>
    <w:uiPriority w:val="13"/>
    <w:rsid w:val="00C214AA"/>
    <w:pPr>
      <w:spacing w:before="120" w:after="0" w:line="280" w:lineRule="atLeast"/>
      <w:ind w:left="170" w:hanging="170"/>
    </w:pPr>
    <w:rPr>
      <w:rFonts w:ascii="Open Sans" w:hAnsi="Open Sans"/>
      <w:color w:val="000000" w:themeColor="text1"/>
      <w:szCs w:val="20"/>
      <w:lang w:val="en-AU"/>
    </w:rPr>
  </w:style>
  <w:style w:type="character" w:customStyle="1" w:styleId="EndnoteTextChar">
    <w:name w:val="Endnote Text Char"/>
    <w:basedOn w:val="DefaultParagraphFont"/>
    <w:link w:val="EndnoteText"/>
    <w:uiPriority w:val="13"/>
    <w:rsid w:val="006F28A5"/>
    <w:rPr>
      <w:rFonts w:ascii="Open Sans" w:hAnsi="Open Sans"/>
      <w:color w:val="000000" w:themeColor="text1"/>
      <w:szCs w:val="20"/>
      <w:lang w:val="en-AU"/>
    </w:rPr>
  </w:style>
  <w:style w:type="character" w:styleId="EndnoteReference">
    <w:name w:val="endnote reference"/>
    <w:basedOn w:val="DefaultParagraphFont"/>
    <w:uiPriority w:val="99"/>
    <w:semiHidden/>
    <w:rsid w:val="001A6444"/>
    <w:rPr>
      <w:vertAlign w:val="superscript"/>
    </w:rPr>
  </w:style>
  <w:style w:type="paragraph" w:styleId="ListParagraph">
    <w:name w:val="List Paragraph"/>
    <w:basedOn w:val="Normal"/>
    <w:uiPriority w:val="99"/>
    <w:semiHidden/>
    <w:qFormat/>
    <w:rsid w:val="001A6444"/>
    <w:pPr>
      <w:ind w:left="720"/>
      <w:contextualSpacing/>
    </w:pPr>
  </w:style>
  <w:style w:type="paragraph" w:customStyle="1" w:styleId="Bodylistbullets">
    <w:name w:val="Body list bullets"/>
    <w:basedOn w:val="ListParagraph"/>
    <w:uiPriority w:val="1"/>
    <w:qFormat/>
    <w:rsid w:val="0059486E"/>
    <w:pPr>
      <w:numPr>
        <w:numId w:val="18"/>
      </w:numPr>
      <w:spacing w:before="0"/>
      <w:ind w:left="357" w:hanging="357"/>
    </w:pPr>
  </w:style>
  <w:style w:type="paragraph" w:customStyle="1" w:styleId="Tablelistnumbers">
    <w:name w:val="Table list numbers"/>
    <w:uiPriority w:val="3"/>
    <w:qFormat/>
    <w:rsid w:val="00B01482"/>
    <w:pPr>
      <w:numPr>
        <w:numId w:val="29"/>
      </w:numPr>
      <w:spacing w:after="0" w:line="260" w:lineRule="atLeast"/>
    </w:pPr>
    <w:rPr>
      <w:rFonts w:ascii="Open Sans" w:eastAsia="Times New Roman" w:hAnsi="Open Sans"/>
      <w:color w:val="000000" w:themeColor="text1"/>
      <w:kern w:val="2"/>
      <w:szCs w:val="16"/>
      <w:lang w:val="en-AU"/>
      <w14:ligatures w14:val="standardContextual"/>
    </w:rPr>
  </w:style>
  <w:style w:type="paragraph" w:customStyle="1" w:styleId="Bodylistnumbers">
    <w:name w:val="Body list numbers"/>
    <w:uiPriority w:val="1"/>
    <w:qFormat/>
    <w:rsid w:val="0059486E"/>
    <w:pPr>
      <w:numPr>
        <w:numId w:val="17"/>
      </w:numPr>
      <w:spacing w:after="0" w:line="280" w:lineRule="atLeast"/>
      <w:ind w:left="357" w:hanging="357"/>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1A6444"/>
    <w:rPr>
      <w:color w:val="605E5C"/>
      <w:shd w:val="clear" w:color="auto" w:fill="E1DFDD"/>
    </w:rPr>
  </w:style>
  <w:style w:type="paragraph" w:customStyle="1" w:styleId="Blockquote">
    <w:name w:val="Block quote"/>
    <w:next w:val="Normal"/>
    <w:uiPriority w:val="10"/>
    <w:qFormat/>
    <w:rsid w:val="00683E20"/>
    <w:pPr>
      <w:spacing w:before="120" w:after="0" w:line="280" w:lineRule="atLeast"/>
      <w:ind w:left="567"/>
    </w:pPr>
    <w:rPr>
      <w:rFonts w:ascii="Open Sans" w:hAnsi="Open Sans"/>
      <w:color w:val="000000" w:themeColor="text1"/>
      <w:lang w:val="en-AU"/>
    </w:rPr>
  </w:style>
  <w:style w:type="paragraph" w:styleId="Caption">
    <w:name w:val="caption"/>
    <w:next w:val="Normal"/>
    <w:uiPriority w:val="10"/>
    <w:qFormat/>
    <w:rsid w:val="00C214AA"/>
    <w:pPr>
      <w:spacing w:before="120" w:after="0" w:line="280" w:lineRule="atLeast"/>
    </w:pPr>
    <w:rPr>
      <w:rFonts w:ascii="Open Sans" w:hAnsi="Open Sans"/>
      <w:iCs/>
      <w:color w:val="143C65" w:themeColor="accent1"/>
      <w:szCs w:val="18"/>
      <w:lang w:val="en-AU"/>
    </w:rPr>
  </w:style>
  <w:style w:type="character" w:styleId="CommentReference">
    <w:name w:val="annotation reference"/>
    <w:basedOn w:val="DefaultParagraphFont"/>
    <w:uiPriority w:val="99"/>
    <w:semiHidden/>
    <w:rsid w:val="001A6444"/>
    <w:rPr>
      <w:sz w:val="16"/>
      <w:szCs w:val="16"/>
    </w:rPr>
  </w:style>
  <w:style w:type="paragraph" w:styleId="CommentText">
    <w:name w:val="annotation text"/>
    <w:basedOn w:val="Normal"/>
    <w:link w:val="CommentTextChar"/>
    <w:uiPriority w:val="99"/>
    <w:semiHidden/>
    <w:rsid w:val="001A6444"/>
    <w:pPr>
      <w:spacing w:line="240" w:lineRule="auto"/>
    </w:pPr>
    <w:rPr>
      <w:sz w:val="20"/>
      <w:szCs w:val="20"/>
    </w:rPr>
  </w:style>
  <w:style w:type="character" w:customStyle="1" w:styleId="CommentTextChar">
    <w:name w:val="Comment Text Char"/>
    <w:basedOn w:val="DefaultParagraphFont"/>
    <w:link w:val="CommentText"/>
    <w:uiPriority w:val="99"/>
    <w:semiHidden/>
    <w:rsid w:val="001A6444"/>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1A6444"/>
    <w:rPr>
      <w:b/>
      <w:bCs/>
    </w:rPr>
  </w:style>
  <w:style w:type="character" w:customStyle="1" w:styleId="CommentSubjectChar">
    <w:name w:val="Comment Subject Char"/>
    <w:basedOn w:val="CommentTextChar"/>
    <w:link w:val="CommentSubject"/>
    <w:uiPriority w:val="99"/>
    <w:semiHidden/>
    <w:rsid w:val="001A6444"/>
    <w:rPr>
      <w:rFonts w:ascii="Open Sans" w:hAnsi="Open Sans"/>
      <w:b/>
      <w:bCs/>
      <w:color w:val="000000" w:themeColor="text1"/>
      <w:sz w:val="20"/>
      <w:szCs w:val="20"/>
      <w:lang w:val="en-AU"/>
    </w:rPr>
  </w:style>
  <w:style w:type="character" w:styleId="Mention">
    <w:name w:val="Mention"/>
    <w:basedOn w:val="DefaultParagraphFont"/>
    <w:uiPriority w:val="99"/>
    <w:semiHidden/>
    <w:rsid w:val="000817D9"/>
    <w:rPr>
      <w:color w:val="2B579A"/>
      <w:shd w:val="clear" w:color="auto" w:fill="E1DFDD"/>
    </w:rPr>
  </w:style>
  <w:style w:type="paragraph" w:customStyle="1" w:styleId="Blockquotelistbullets">
    <w:name w:val="Block quote list bullets"/>
    <w:basedOn w:val="Bodylistbullets"/>
    <w:uiPriority w:val="10"/>
    <w:qFormat/>
    <w:rsid w:val="00683E20"/>
    <w:pPr>
      <w:ind w:left="924"/>
    </w:pPr>
  </w:style>
  <w:style w:type="paragraph" w:customStyle="1" w:styleId="Sectionsummarybody">
    <w:name w:val="Section summary body"/>
    <w:uiPriority w:val="6"/>
    <w:qFormat/>
    <w:rsid w:val="00C214AA"/>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spacing w:before="120" w:after="0" w:line="280" w:lineRule="atLeast"/>
    </w:pPr>
    <w:rPr>
      <w:rFonts w:ascii="Open Sans" w:hAnsi="Open Sans"/>
      <w:color w:val="000000" w:themeColor="text1"/>
      <w:lang w:val="en-AU"/>
    </w:rPr>
  </w:style>
  <w:style w:type="paragraph" w:customStyle="1" w:styleId="Coremessagelistbullets">
    <w:name w:val="Core message list bullets"/>
    <w:basedOn w:val="Bodylistbullets"/>
    <w:uiPriority w:val="99"/>
    <w:semiHidden/>
    <w:qFormat/>
    <w:rsid w:val="001A6444"/>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pPr>
  </w:style>
  <w:style w:type="paragraph" w:customStyle="1" w:styleId="Heading1unnumbered">
    <w:name w:val="Heading 1 unnumbered"/>
    <w:basedOn w:val="Heading1"/>
    <w:next w:val="Normal"/>
    <w:uiPriority w:val="2"/>
    <w:qFormat/>
    <w:rsid w:val="001A6444"/>
    <w:pPr>
      <w:numPr>
        <w:numId w:val="0"/>
      </w:numPr>
      <w:ind w:left="431" w:hanging="431"/>
    </w:pPr>
  </w:style>
  <w:style w:type="paragraph" w:customStyle="1" w:styleId="Heading2unnumbered">
    <w:name w:val="Heading 2 unnumbered"/>
    <w:basedOn w:val="Heading2"/>
    <w:next w:val="Normal"/>
    <w:uiPriority w:val="2"/>
    <w:semiHidden/>
    <w:qFormat/>
    <w:rsid w:val="00C265BB"/>
  </w:style>
  <w:style w:type="paragraph" w:styleId="Revision">
    <w:name w:val="Revision"/>
    <w:hidden/>
    <w:uiPriority w:val="99"/>
    <w:semiHidden/>
    <w:rsid w:val="00A8521C"/>
    <w:pPr>
      <w:spacing w:after="0" w:line="240" w:lineRule="auto"/>
    </w:pPr>
    <w:rPr>
      <w:rFonts w:ascii="Open Sans" w:hAnsi="Open Sans"/>
      <w:color w:val="000000" w:themeColor="text1"/>
      <w:lang w:val="en-AU"/>
    </w:rPr>
  </w:style>
  <w:style w:type="character" w:styleId="FollowedHyperlink">
    <w:name w:val="FollowedHyperlink"/>
    <w:basedOn w:val="DefaultParagraphFont"/>
    <w:uiPriority w:val="15"/>
    <w:rsid w:val="004D3359"/>
    <w:rPr>
      <w:color w:val="61136C" w:themeColor="followedHyperlink"/>
      <w:u w:val="single"/>
    </w:rPr>
  </w:style>
  <w:style w:type="paragraph" w:customStyle="1" w:styleId="Sectionsummarylistbullets">
    <w:name w:val="Section summary list bullets"/>
    <w:basedOn w:val="Coremessagelistbullets"/>
    <w:uiPriority w:val="6"/>
    <w:qFormat/>
    <w:rsid w:val="00CA4958"/>
  </w:style>
  <w:style w:type="paragraph" w:customStyle="1" w:styleId="Frontmatter">
    <w:name w:val="Front matter"/>
    <w:uiPriority w:val="10"/>
    <w:qFormat/>
    <w:rsid w:val="00C214AA"/>
    <w:pPr>
      <w:spacing w:before="120" w:after="0" w:line="280" w:lineRule="atLeast"/>
    </w:pPr>
    <w:rPr>
      <w:rFonts w:ascii="Open Sans" w:hAnsi="Open Sans"/>
      <w:color w:val="000000" w:themeColor="text1"/>
      <w:szCs w:val="22"/>
      <w:lang w:val="en-AU"/>
    </w:rPr>
  </w:style>
  <w:style w:type="table" w:customStyle="1" w:styleId="AHRCfirstcolumn">
    <w:name w:val="AHRC first column"/>
    <w:basedOn w:val="TableNormal"/>
    <w:uiPriority w:val="99"/>
    <w:rsid w:val="00F67824"/>
    <w:pPr>
      <w:spacing w:after="0" w:line="240" w:lineRule="auto"/>
    </w:pPr>
    <w:tblPr>
      <w:tblBorders>
        <w:insideH w:val="single" w:sz="4" w:space="0" w:color="929497" w:themeColor="accent6"/>
        <w:insideV w:val="single" w:sz="4" w:space="0" w:color="929497" w:themeColor="accent6"/>
      </w:tblBorders>
      <w:tblCellMar>
        <w:bottom w:w="108" w:type="dxa"/>
      </w:tblCellMar>
    </w:tblPr>
    <w:tblStylePr w:type="firstCol">
      <w:tblPr/>
      <w:tcPr>
        <w:shd w:val="clear" w:color="auto" w:fill="EBE9E8" w:themeFill="background2"/>
      </w:tcPr>
    </w:tblStylePr>
  </w:style>
  <w:style w:type="character" w:styleId="PlaceholderText">
    <w:name w:val="Placeholder Text"/>
    <w:basedOn w:val="DefaultParagraphFont"/>
    <w:uiPriority w:val="99"/>
    <w:semiHidden/>
    <w:rsid w:val="00FF3BE7"/>
    <w:rPr>
      <w:color w:val="666666"/>
    </w:rPr>
  </w:style>
  <w:style w:type="paragraph" w:styleId="FootnoteText">
    <w:name w:val="footnote text"/>
    <w:basedOn w:val="Normal"/>
    <w:link w:val="FootnoteTextChar"/>
    <w:uiPriority w:val="99"/>
    <w:semiHidden/>
    <w:rsid w:val="00A6347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6347E"/>
    <w:rPr>
      <w:rFonts w:ascii="Open Sans" w:hAnsi="Open Sans"/>
      <w:color w:val="000000" w:themeColor="text1"/>
      <w:sz w:val="20"/>
      <w:szCs w:val="20"/>
      <w:lang w:val="en-AU"/>
    </w:rPr>
  </w:style>
  <w:style w:type="character" w:styleId="FootnoteReference">
    <w:name w:val="footnote reference"/>
    <w:basedOn w:val="DefaultParagraphFont"/>
    <w:uiPriority w:val="99"/>
    <w:semiHidden/>
    <w:rsid w:val="00A6347E"/>
    <w:rPr>
      <w:vertAlign w:val="superscript"/>
    </w:rPr>
  </w:style>
  <w:style w:type="character" w:styleId="Emphasis">
    <w:name w:val="Emphasis"/>
    <w:basedOn w:val="DefaultParagraphFont"/>
    <w:uiPriority w:val="20"/>
    <w:qFormat/>
    <w:rsid w:val="00365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humanrights.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manright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publicadvocate.vic.gov.au/opa-s-work/research/745-manipulation-and-personal-autonomy" TargetMode="External"/><Relationship Id="rId13" Type="http://schemas.openxmlformats.org/officeDocument/2006/relationships/hyperlink" Target="https://www.inclusionaustralia.org.au/wp-content/uploads/2023/10/Supported-Decision-Making-NDIS-Review-Background-Paper.pdf" TargetMode="External"/><Relationship Id="rId3" Type="http://schemas.openxmlformats.org/officeDocument/2006/relationships/hyperlink" Target="https://www.inclusionaustralia.org.au/resource/cid-supported-decision-making-resources/" TargetMode="External"/><Relationship Id="rId7" Type="http://schemas.openxmlformats.org/officeDocument/2006/relationships/hyperlink" Target="https://www.alrc.gov.au/publication/equality-capacity-and-disability-in-commonwealth-laws-alrc-report-124/" TargetMode="External"/><Relationship Id="rId12" Type="http://schemas.openxmlformats.org/officeDocument/2006/relationships/hyperlink" Target="https://cid.org.au/wp-content/uploads/2025/11/position-statement_sdm-guardianship-reform_2025.pdf" TargetMode="External"/><Relationship Id="rId2" Type="http://schemas.openxmlformats.org/officeDocument/2006/relationships/hyperlink" Target="https://cid.org.au/issues/my-rights-matter/my-rights-matter-resources/" TargetMode="External"/><Relationship Id="rId16" Type="http://schemas.openxmlformats.org/officeDocument/2006/relationships/hyperlink" Target="https://www.alrc.gov.au/publication/equality-capacity-and-disability-in-commonwealth-laws-alrc-report-124/" TargetMode="External"/><Relationship Id="rId1" Type="http://schemas.openxmlformats.org/officeDocument/2006/relationships/hyperlink" Target="https://documents.un.org/doc/undoc/gen/g14/031/20/pdf/g1403120.pdf?OpenElement" TargetMode="External"/><Relationship Id="rId6" Type="http://schemas.openxmlformats.org/officeDocument/2006/relationships/hyperlink" Target="https://documents.un.org/doc/undoc/gen/g14/031/20/pdf/g1403120.pdf?OpenElement" TargetMode="External"/><Relationship Id="rId11" Type="http://schemas.openxmlformats.org/officeDocument/2006/relationships/hyperlink" Target="https://nahc.com.au/supported-decision-making-perceived-barriers-and-enablers-within-an-acute-hospital/" TargetMode="External"/><Relationship Id="rId5" Type="http://schemas.openxmlformats.org/officeDocument/2006/relationships/hyperlink" Target="https://www.ohchr.org/en/instruments-mechanisms/instruments/convention-rights-persons-disabilities" TargetMode="External"/><Relationship Id="rId15" Type="http://schemas.openxmlformats.org/officeDocument/2006/relationships/hyperlink" Target="https://humanrights.gov.au/our-work/age-discrimination/publications/empowering-futuresreport-enduring-powers-attorney-2024" TargetMode="External"/><Relationship Id="rId10" Type="http://schemas.openxmlformats.org/officeDocument/2006/relationships/hyperlink" Target="https://cid.org.au/wp-content/uploads/2025/11/position-statement_sdm-guardianship-reform_2025.pdf" TargetMode="External"/><Relationship Id="rId4" Type="http://schemas.openxmlformats.org/officeDocument/2006/relationships/hyperlink" Target="https://nds.org.au/events-and-training/all-events-and-training/supported-decision-making-e-learning-module-3039" TargetMode="External"/><Relationship Id="rId9" Type="http://schemas.openxmlformats.org/officeDocument/2006/relationships/hyperlink" Target="https://www.aihw.gov.au/reports/indigenous-australians/cultural-safety-health-care-framework/contents/summary" TargetMode="External"/><Relationship Id="rId14" Type="http://schemas.openxmlformats.org/officeDocument/2006/relationships/hyperlink" Target="https://humanrights.gov.au/our-work/age-discrimination/publications/empowering-futuresreport-enduring-powers-attorney-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intranet/TEMPLATES/Submiss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289C0DAC444C9B6829ECE00F5D232"/>
        <w:category>
          <w:name w:val="General"/>
          <w:gallery w:val="placeholder"/>
        </w:category>
        <w:types>
          <w:type w:val="bbPlcHdr"/>
        </w:types>
        <w:behaviors>
          <w:behavior w:val="content"/>
        </w:behaviors>
        <w:guid w:val="{E1BEF913-C411-451B-B15A-12EA9D1EF686}"/>
      </w:docPartPr>
      <w:docPartBody>
        <w:p w:rsidR="00F1054E" w:rsidRDefault="00F1054E">
          <w:pPr>
            <w:pStyle w:val="005289C0DAC444C9B6829ECE00F5D232"/>
          </w:pPr>
          <w:r w:rsidRPr="00AD05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4E"/>
    <w:rsid w:val="00313AE0"/>
    <w:rsid w:val="0033530A"/>
    <w:rsid w:val="003D0D3E"/>
    <w:rsid w:val="00426867"/>
    <w:rsid w:val="004E1D99"/>
    <w:rsid w:val="007B74C5"/>
    <w:rsid w:val="00893273"/>
    <w:rsid w:val="00E638EB"/>
    <w:rsid w:val="00E8760D"/>
    <w:rsid w:val="00F105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05289C0DAC444C9B6829ECE00F5D232">
    <w:name w:val="005289C0DAC444C9B6829ECE00F5D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headings xmlns="http://AHRCheadings.htm">
  <Overview>Overview</Overview>
  <Topic1>Supported decision-making</Topic1>
  <Topic2>Embedding supported decision-making in NSW systems</Topic2>
  <Topic3>Topic 3</Topic3>
  <Topic4>Topic 4</Topic4>
  <Topic5>Topic 5</Topic5>
  <Topic6>Context</Topic6>
  <Endnotes>Endnotes</Endnotes>
</heading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WEV44C3EEZP4-1056255319-12657</_dlc_DocId>
    <_dlc_DocIdUrl xmlns="6500fe01-343b-4fb9-a1b0-68ac19d62e01">
      <Url>https://australianhrc.sharepoint.com/sites/DisabilityRights/_layouts/15/DocIdRedir.aspx?ID=WEV44C3EEZP4-1056255319-12657</Url>
      <Description>WEV44C3EEZP4-1056255319-12657</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975c5ac6-a0cc-43ed-b850-4a2ae59237b6" ContentTypeId="0x0101" PreviousValue="false" LastSyncTimeStamp="2019-01-22T02:06:15.047Z"/>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7D1F-048A-44D7-AA65-C8B97C0CF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3.xml><?xml version="1.0" encoding="utf-8"?>
<ds:datastoreItem xmlns:ds="http://schemas.openxmlformats.org/officeDocument/2006/customXml" ds:itemID="{59E40458-85DB-4B58-AD7F-ED1E21A92441}">
  <ds:schemaRefs>
    <ds:schemaRef ds:uri="http://AHRCheadings.htm"/>
  </ds:schemaRefs>
</ds:datastoreItem>
</file>

<file path=customXml/itemProps4.xml><?xml version="1.0" encoding="utf-8"?>
<ds:datastoreItem xmlns:ds="http://schemas.openxmlformats.org/officeDocument/2006/customXml" ds:itemID="{CF14DE90-639F-4BC8-AE29-34AB534813D7}">
  <ds:schemaRefs>
    <ds:schemaRef ds:uri="http://schemas.microsoft.com/sharepoint/events"/>
  </ds:schemaRefs>
</ds:datastoreItem>
</file>

<file path=customXml/itemProps5.xml><?xml version="1.0" encoding="utf-8"?>
<ds:datastoreItem xmlns:ds="http://schemas.openxmlformats.org/officeDocument/2006/customXml" ds:itemID="{59F97394-0F22-4A82-A234-3D4F685BB319}">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6.xml><?xml version="1.0" encoding="utf-8"?>
<ds:datastoreItem xmlns:ds="http://schemas.openxmlformats.org/officeDocument/2006/customXml" ds:itemID="{EEBCF49C-9574-490D-9FA0-31A2375C306F}">
  <ds:schemaRefs>
    <ds:schemaRef ds:uri="http://schemas.microsoft.com/office/2006/metadata/customXsn"/>
  </ds:schemaRefs>
</ds:datastoreItem>
</file>

<file path=customXml/itemProps7.xml><?xml version="1.0" encoding="utf-8"?>
<ds:datastoreItem xmlns:ds="http://schemas.openxmlformats.org/officeDocument/2006/customXml" ds:itemID="{BD8C5BCB-E34F-4952-96C1-EFEB5027A3B8}">
  <ds:schemaRefs>
    <ds:schemaRef ds:uri="Microsoft.SharePoint.Taxonomy.ContentTypeSync"/>
  </ds:schemaRefs>
</ds:datastoreItem>
</file>

<file path=customXml/itemProps8.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Submission%20template.dotx</Template>
  <TotalTime>1</TotalTime>
  <Pages>16</Pages>
  <Words>3398</Words>
  <Characters>21274</Characters>
  <Application>Microsoft Office Word</Application>
  <DocSecurity>0</DocSecurity>
  <Lines>401</Lines>
  <Paragraphs>137</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Tsindos</dc:creator>
  <cp:keywords/>
  <dc:description/>
  <cp:lastModifiedBy>Sophia Rinaldis</cp:lastModifiedBy>
  <cp:revision>3</cp:revision>
  <cp:lastPrinted>2025-05-14T18:22:00Z</cp:lastPrinted>
  <dcterms:created xsi:type="dcterms:W3CDTF">2026-03-11T21:48:00Z</dcterms:created>
  <dcterms:modified xsi:type="dcterms:W3CDTF">2026-03-11T21:49:00Z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_dlc_DocIdItemGuid">
    <vt:lpwstr>e862ec75-5223-4c1c-8af1-d785a7d3debc</vt:lpwstr>
  </property>
  <property fmtid="{D5CDD505-2E9C-101B-9397-08002B2CF9AE}" pid="5" name="TaxKeyword">
    <vt:lpwstr/>
  </property>
  <property fmtid="{D5CDD505-2E9C-101B-9397-08002B2CF9AE}" pid="6" name="Document_x0020_Type">
    <vt:lpwstr/>
  </property>
  <property fmtid="{D5CDD505-2E9C-101B-9397-08002B2CF9AE}" pid="7" name="Document Type">
    <vt:lpwstr/>
  </property>
  <property fmtid="{D5CDD505-2E9C-101B-9397-08002B2CF9AE}" pid="8" name="Order">
    <vt:r8>24600</vt:r8>
  </property>
  <property fmtid="{D5CDD505-2E9C-101B-9397-08002B2CF9AE}" pid="9" name="Review">
    <vt:bool>true</vt:bool>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