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4499" w14:textId="7AF56170" w:rsidR="00A355F9" w:rsidRDefault="00F924DA" w:rsidP="00A355F9">
      <w:pPr>
        <w:pStyle w:val="MainTitle"/>
      </w:pPr>
      <w:r>
        <w:t>Review of the Disability</w:t>
      </w:r>
    </w:p>
    <w:p w14:paraId="64D38D1A" w14:textId="6DA1DE1C" w:rsidR="00A355F9" w:rsidRDefault="00F924DA" w:rsidP="00A355F9">
      <w:pPr>
        <w:pStyle w:val="MainTitle"/>
      </w:pPr>
      <w:r>
        <w:t>Standards for Accessible</w:t>
      </w:r>
    </w:p>
    <w:p w14:paraId="22D91163" w14:textId="02BF2E4B" w:rsidR="00A355F9" w:rsidRDefault="00F924DA" w:rsidP="00A355F9">
      <w:pPr>
        <w:pStyle w:val="MainTitle"/>
      </w:pPr>
      <w:r>
        <w:t>Public Transport 2002</w:t>
      </w:r>
    </w:p>
    <w:p w14:paraId="7C7CCEDD" w14:textId="77777777" w:rsidR="00817C73" w:rsidRDefault="00817C73" w:rsidP="00817C73">
      <w:pPr>
        <w:pStyle w:val="Subtitle"/>
      </w:pPr>
      <w:bookmarkStart w:id="0" w:name="_Toc515873204"/>
      <w:bookmarkStart w:id="1" w:name="_Toc132213128"/>
      <w:bookmarkStart w:id="2" w:name="_Toc136867394"/>
      <w:bookmarkStart w:id="3" w:name="_Toc137712374"/>
      <w:bookmarkStart w:id="4" w:name="_Toc138090486"/>
      <w:r>
        <w:t>Australian Human Rights Commission</w:t>
      </w:r>
      <w:bookmarkEnd w:id="0"/>
      <w:bookmarkEnd w:id="1"/>
      <w:bookmarkEnd w:id="2"/>
      <w:bookmarkEnd w:id="3"/>
      <w:bookmarkEnd w:id="4"/>
    </w:p>
    <w:p w14:paraId="5B18F490" w14:textId="42E75115" w:rsidR="00817C73" w:rsidRDefault="00817C73" w:rsidP="00817C73">
      <w:pPr>
        <w:pStyle w:val="Subtitle"/>
      </w:pPr>
      <w:bookmarkStart w:id="5" w:name="_Toc515873205"/>
      <w:bookmarkStart w:id="6" w:name="_Toc132213129"/>
      <w:bookmarkStart w:id="7" w:name="_Toc136867395"/>
      <w:bookmarkStart w:id="8" w:name="_Toc137712375"/>
      <w:bookmarkStart w:id="9" w:name="_Toc138090487"/>
      <w:r>
        <w:t xml:space="preserve">Submission to the </w:t>
      </w:r>
      <w:bookmarkEnd w:id="5"/>
      <w:r w:rsidR="00A7372E">
        <w:t>Department of Infrastructure, Transport, Regional Developmen</w:t>
      </w:r>
      <w:r w:rsidR="007A4C0D">
        <w:t>t,</w:t>
      </w:r>
      <w:r w:rsidR="00A7372E">
        <w:t xml:space="preserve"> Communications</w:t>
      </w:r>
      <w:bookmarkEnd w:id="6"/>
      <w:bookmarkEnd w:id="7"/>
      <w:bookmarkEnd w:id="8"/>
      <w:bookmarkEnd w:id="9"/>
      <w:r w:rsidR="007A4C0D">
        <w:t xml:space="preserve"> and the Arts</w:t>
      </w:r>
    </w:p>
    <w:p w14:paraId="676B10F3" w14:textId="638BC00D" w:rsidR="00F220A5" w:rsidRPr="00817C73" w:rsidRDefault="003C7A03" w:rsidP="00F220A5">
      <w:pPr>
        <w:pStyle w:val="Date"/>
      </w:pPr>
      <w:r>
        <w:t>1</w:t>
      </w:r>
      <w:r w:rsidR="005B5873">
        <w:t>1</w:t>
      </w:r>
      <w:r w:rsidR="00F924DA">
        <w:t xml:space="preserve"> J</w:t>
      </w:r>
      <w:r w:rsidR="00140F4A">
        <w:t>uly</w:t>
      </w:r>
      <w:r w:rsidR="00F924DA">
        <w:t xml:space="preserve"> 2023</w:t>
      </w:r>
    </w:p>
    <w:p w14:paraId="117635EA" w14:textId="77777777" w:rsidR="00AC636D" w:rsidRDefault="00AC636D" w:rsidP="00AC636D"/>
    <w:p w14:paraId="7A1E5B8D" w14:textId="77777777" w:rsidR="009E4BD0" w:rsidRDefault="009E4BD0" w:rsidP="00AC636D"/>
    <w:p w14:paraId="7503AEF4" w14:textId="77777777" w:rsidR="00F262F5" w:rsidRPr="00F262F5" w:rsidRDefault="00F262F5" w:rsidP="00F262F5"/>
    <w:p w14:paraId="3CF16BF1" w14:textId="77777777" w:rsidR="00F262F5" w:rsidRPr="00F262F5" w:rsidRDefault="00F262F5" w:rsidP="00F262F5"/>
    <w:p w14:paraId="2CAB1A06" w14:textId="77777777" w:rsidR="00F262F5" w:rsidRPr="00F262F5" w:rsidRDefault="00F262F5" w:rsidP="00F262F5"/>
    <w:p w14:paraId="446917BD" w14:textId="77777777" w:rsidR="00F262F5" w:rsidRPr="00F262F5" w:rsidRDefault="00F262F5" w:rsidP="00F262F5"/>
    <w:p w14:paraId="0A603395" w14:textId="77777777" w:rsidR="00F262F5" w:rsidRPr="00F262F5" w:rsidRDefault="00F262F5" w:rsidP="00F262F5"/>
    <w:p w14:paraId="61EB83EB" w14:textId="77777777" w:rsidR="00F262F5" w:rsidRPr="00F262F5" w:rsidRDefault="00F262F5" w:rsidP="00F262F5"/>
    <w:p w14:paraId="20246997" w14:textId="77777777" w:rsidR="00F262F5" w:rsidRPr="00F262F5" w:rsidRDefault="00F262F5" w:rsidP="00F262F5"/>
    <w:p w14:paraId="2A90E2E8" w14:textId="0A459347" w:rsidR="00F262F5" w:rsidRDefault="00F262F5" w:rsidP="00F262F5">
      <w:pPr>
        <w:tabs>
          <w:tab w:val="left" w:pos="6436"/>
        </w:tabs>
      </w:pPr>
      <w:r>
        <w:tab/>
      </w:r>
    </w:p>
    <w:p w14:paraId="7EFEFA3E" w14:textId="135DA312" w:rsidR="00F262F5" w:rsidRPr="00F262F5" w:rsidRDefault="00F262F5" w:rsidP="00F262F5">
      <w:pPr>
        <w:tabs>
          <w:tab w:val="left" w:pos="6436"/>
        </w:tabs>
        <w:sectPr w:rsidR="00F262F5" w:rsidRPr="00F262F5" w:rsidSect="0061320F">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r>
        <w:tab/>
      </w:r>
    </w:p>
    <w:p w14:paraId="0DB71038" w14:textId="77777777" w:rsidR="002277D5" w:rsidRDefault="000B5B68" w:rsidP="00C60343">
      <w:pPr>
        <w:pStyle w:val="TOC1"/>
      </w:pPr>
      <w:bookmarkStart w:id="10" w:name="_Toc209316062"/>
      <w:bookmarkEnd w:id="10"/>
      <w:r>
        <w:lastRenderedPageBreak/>
        <w:t>Contents</w:t>
      </w:r>
      <w:r w:rsidRPr="000465F1">
        <w:fldChar w:fldCharType="begin"/>
      </w:r>
      <w:r>
        <w:instrText xml:space="preserve"> TOC \o "1-3" \h \z \u </w:instrText>
      </w:r>
      <w:r w:rsidRPr="000465F1">
        <w:fldChar w:fldCharType="separate"/>
      </w:r>
    </w:p>
    <w:p w14:paraId="0CB48256" w14:textId="2B34383A"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88" w:history="1">
        <w:r w:rsidRPr="004727B3">
          <w:rPr>
            <w:rStyle w:val="Hyperlink"/>
          </w:rPr>
          <w:t>1</w:t>
        </w:r>
        <w:r>
          <w:rPr>
            <w:rFonts w:asciiTheme="minorHAnsi" w:eastAsiaTheme="minorEastAsia" w:hAnsiTheme="minorHAnsi" w:cstheme="minorBidi"/>
            <w:b w:val="0"/>
            <w:kern w:val="2"/>
            <w:sz w:val="22"/>
            <w:szCs w:val="22"/>
            <w14:ligatures w14:val="standardContextual"/>
          </w:rPr>
          <w:tab/>
        </w:r>
        <w:r w:rsidRPr="004727B3">
          <w:rPr>
            <w:rStyle w:val="Hyperlink"/>
          </w:rPr>
          <w:t>Introduction</w:t>
        </w:r>
        <w:r>
          <w:rPr>
            <w:webHidden/>
          </w:rPr>
          <w:tab/>
        </w:r>
        <w:r>
          <w:rPr>
            <w:webHidden/>
          </w:rPr>
          <w:fldChar w:fldCharType="begin"/>
        </w:r>
        <w:r>
          <w:rPr>
            <w:webHidden/>
          </w:rPr>
          <w:instrText xml:space="preserve"> PAGEREF _Toc138090488 \h </w:instrText>
        </w:r>
        <w:r>
          <w:rPr>
            <w:webHidden/>
          </w:rPr>
        </w:r>
        <w:r>
          <w:rPr>
            <w:webHidden/>
          </w:rPr>
          <w:fldChar w:fldCharType="separate"/>
        </w:r>
        <w:r w:rsidR="00233515">
          <w:rPr>
            <w:webHidden/>
          </w:rPr>
          <w:t>3</w:t>
        </w:r>
        <w:r>
          <w:rPr>
            <w:webHidden/>
          </w:rPr>
          <w:fldChar w:fldCharType="end"/>
        </w:r>
      </w:hyperlink>
    </w:p>
    <w:p w14:paraId="03F8D884" w14:textId="3929D8EF"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89" w:history="1">
        <w:r w:rsidRPr="002277D5">
          <w:rPr>
            <w:rStyle w:val="Hyperlink"/>
            <w:b w:val="0"/>
            <w:bCs/>
            <w:i w:val="0"/>
            <w:iCs/>
          </w:rPr>
          <w:t>1.1</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Functions of the Commission relating to the Transport Standards</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_Toc138090489 \h </w:instrText>
        </w:r>
        <w:r w:rsidRPr="002277D5">
          <w:rPr>
            <w:b w:val="0"/>
            <w:bCs/>
            <w:i w:val="0"/>
            <w:iCs/>
            <w:webHidden/>
          </w:rPr>
        </w:r>
        <w:r w:rsidRPr="002277D5">
          <w:rPr>
            <w:b w:val="0"/>
            <w:bCs/>
            <w:i w:val="0"/>
            <w:iCs/>
            <w:webHidden/>
          </w:rPr>
          <w:fldChar w:fldCharType="separate"/>
        </w:r>
        <w:r w:rsidR="00233515">
          <w:rPr>
            <w:b w:val="0"/>
            <w:bCs/>
            <w:i w:val="0"/>
            <w:iCs/>
            <w:webHidden/>
          </w:rPr>
          <w:t>4</w:t>
        </w:r>
        <w:r w:rsidRPr="002277D5">
          <w:rPr>
            <w:b w:val="0"/>
            <w:bCs/>
            <w:i w:val="0"/>
            <w:iCs/>
            <w:webHidden/>
          </w:rPr>
          <w:fldChar w:fldCharType="end"/>
        </w:r>
      </w:hyperlink>
    </w:p>
    <w:p w14:paraId="7C96E710" w14:textId="238523E1"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90" w:history="1">
        <w:r w:rsidRPr="002277D5">
          <w:rPr>
            <w:rStyle w:val="Hyperlink"/>
            <w:b w:val="0"/>
            <w:bCs/>
            <w:i w:val="0"/>
            <w:iCs/>
          </w:rPr>
          <w:t>1.2</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Purpose of the Submission</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_Toc138090490 \h </w:instrText>
        </w:r>
        <w:r w:rsidRPr="002277D5">
          <w:rPr>
            <w:b w:val="0"/>
            <w:bCs/>
            <w:i w:val="0"/>
            <w:iCs/>
            <w:webHidden/>
          </w:rPr>
        </w:r>
        <w:r w:rsidRPr="002277D5">
          <w:rPr>
            <w:b w:val="0"/>
            <w:bCs/>
            <w:i w:val="0"/>
            <w:iCs/>
            <w:webHidden/>
          </w:rPr>
          <w:fldChar w:fldCharType="separate"/>
        </w:r>
        <w:r w:rsidR="00233515">
          <w:rPr>
            <w:b w:val="0"/>
            <w:bCs/>
            <w:i w:val="0"/>
            <w:iCs/>
            <w:webHidden/>
          </w:rPr>
          <w:t>5</w:t>
        </w:r>
        <w:r w:rsidRPr="002277D5">
          <w:rPr>
            <w:b w:val="0"/>
            <w:bCs/>
            <w:i w:val="0"/>
            <w:iCs/>
            <w:webHidden/>
          </w:rPr>
          <w:fldChar w:fldCharType="end"/>
        </w:r>
      </w:hyperlink>
    </w:p>
    <w:p w14:paraId="442B49F9" w14:textId="2E387B5B"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91" w:history="1">
        <w:r w:rsidRPr="002277D5">
          <w:rPr>
            <w:rStyle w:val="Hyperlink"/>
          </w:rPr>
          <w:t>2</w:t>
        </w:r>
        <w:r w:rsidRPr="002277D5">
          <w:rPr>
            <w:rFonts w:asciiTheme="minorHAnsi" w:eastAsiaTheme="minorEastAsia" w:hAnsiTheme="minorHAnsi" w:cstheme="minorBidi"/>
            <w:b w:val="0"/>
            <w:kern w:val="2"/>
            <w:sz w:val="22"/>
            <w:szCs w:val="22"/>
            <w14:ligatures w14:val="standardContextual"/>
          </w:rPr>
          <w:tab/>
        </w:r>
        <w:r w:rsidRPr="002277D5">
          <w:rPr>
            <w:rStyle w:val="Hyperlink"/>
          </w:rPr>
          <w:t>Recommendations</w:t>
        </w:r>
        <w:r w:rsidRPr="002277D5">
          <w:rPr>
            <w:webHidden/>
          </w:rPr>
          <w:tab/>
        </w:r>
        <w:r w:rsidRPr="002277D5">
          <w:rPr>
            <w:webHidden/>
          </w:rPr>
          <w:fldChar w:fldCharType="begin"/>
        </w:r>
        <w:r w:rsidRPr="002277D5">
          <w:rPr>
            <w:webHidden/>
          </w:rPr>
          <w:instrText xml:space="preserve"> PAGEREF _Toc138090491 \h </w:instrText>
        </w:r>
        <w:r w:rsidRPr="002277D5">
          <w:rPr>
            <w:webHidden/>
          </w:rPr>
        </w:r>
        <w:r w:rsidRPr="002277D5">
          <w:rPr>
            <w:webHidden/>
          </w:rPr>
          <w:fldChar w:fldCharType="separate"/>
        </w:r>
        <w:r w:rsidR="00233515">
          <w:rPr>
            <w:webHidden/>
          </w:rPr>
          <w:t>6</w:t>
        </w:r>
        <w:r w:rsidRPr="002277D5">
          <w:rPr>
            <w:webHidden/>
          </w:rPr>
          <w:fldChar w:fldCharType="end"/>
        </w:r>
      </w:hyperlink>
    </w:p>
    <w:p w14:paraId="4BC1A45B" w14:textId="21AC0744"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92" w:history="1">
        <w:r w:rsidRPr="004727B3">
          <w:rPr>
            <w:rStyle w:val="Hyperlink"/>
          </w:rPr>
          <w:t>3</w:t>
        </w:r>
        <w:r>
          <w:rPr>
            <w:rFonts w:asciiTheme="minorHAnsi" w:eastAsiaTheme="minorEastAsia" w:hAnsiTheme="minorHAnsi" w:cstheme="minorBidi"/>
            <w:b w:val="0"/>
            <w:kern w:val="2"/>
            <w:sz w:val="22"/>
            <w:szCs w:val="22"/>
            <w14:ligatures w14:val="standardContextual"/>
          </w:rPr>
          <w:tab/>
        </w:r>
        <w:r w:rsidRPr="004727B3">
          <w:rPr>
            <w:rStyle w:val="Hyperlink"/>
          </w:rPr>
          <w:t>Human rights framework</w:t>
        </w:r>
        <w:r>
          <w:rPr>
            <w:webHidden/>
          </w:rPr>
          <w:tab/>
        </w:r>
        <w:r>
          <w:rPr>
            <w:webHidden/>
          </w:rPr>
          <w:fldChar w:fldCharType="begin"/>
        </w:r>
        <w:r>
          <w:rPr>
            <w:webHidden/>
          </w:rPr>
          <w:instrText xml:space="preserve"> PAGEREF _Toc138090492 \h </w:instrText>
        </w:r>
        <w:r>
          <w:rPr>
            <w:webHidden/>
          </w:rPr>
        </w:r>
        <w:r>
          <w:rPr>
            <w:webHidden/>
          </w:rPr>
          <w:fldChar w:fldCharType="separate"/>
        </w:r>
        <w:r w:rsidR="00233515">
          <w:rPr>
            <w:webHidden/>
          </w:rPr>
          <w:t>10</w:t>
        </w:r>
        <w:r>
          <w:rPr>
            <w:webHidden/>
          </w:rPr>
          <w:fldChar w:fldCharType="end"/>
        </w:r>
      </w:hyperlink>
    </w:p>
    <w:p w14:paraId="5ECB1B29" w14:textId="06E5966F"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93" w:history="1">
        <w:r w:rsidRPr="002277D5">
          <w:rPr>
            <w:rStyle w:val="Hyperlink"/>
            <w:b w:val="0"/>
            <w:bCs/>
            <w:i w:val="0"/>
            <w:iCs/>
          </w:rPr>
          <w:t>3.1</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The United Nations Convention on the Rights of Persons with Disabilities</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_Toc138090493 \h </w:instrText>
        </w:r>
        <w:r w:rsidRPr="002277D5">
          <w:rPr>
            <w:b w:val="0"/>
            <w:bCs/>
            <w:i w:val="0"/>
            <w:iCs/>
            <w:webHidden/>
          </w:rPr>
        </w:r>
        <w:r w:rsidRPr="002277D5">
          <w:rPr>
            <w:b w:val="0"/>
            <w:bCs/>
            <w:i w:val="0"/>
            <w:iCs/>
            <w:webHidden/>
          </w:rPr>
          <w:fldChar w:fldCharType="separate"/>
        </w:r>
        <w:r w:rsidR="00233515">
          <w:rPr>
            <w:b w:val="0"/>
            <w:bCs/>
            <w:i w:val="0"/>
            <w:iCs/>
            <w:webHidden/>
          </w:rPr>
          <w:t>10</w:t>
        </w:r>
        <w:r w:rsidRPr="002277D5">
          <w:rPr>
            <w:b w:val="0"/>
            <w:bCs/>
            <w:i w:val="0"/>
            <w:iCs/>
            <w:webHidden/>
          </w:rPr>
          <w:fldChar w:fldCharType="end"/>
        </w:r>
      </w:hyperlink>
    </w:p>
    <w:p w14:paraId="30DDE783" w14:textId="2183C764"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94" w:history="1">
        <w:r w:rsidRPr="002277D5">
          <w:rPr>
            <w:rStyle w:val="Hyperlink"/>
            <w:b w:val="0"/>
            <w:bCs/>
            <w:i w:val="0"/>
            <w:iCs/>
          </w:rPr>
          <w:t>3.2</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Disability Discrimination Act 1992 (Cth)</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_Toc138090494 \h </w:instrText>
        </w:r>
        <w:r w:rsidRPr="002277D5">
          <w:rPr>
            <w:b w:val="0"/>
            <w:bCs/>
            <w:i w:val="0"/>
            <w:iCs/>
            <w:webHidden/>
          </w:rPr>
        </w:r>
        <w:r w:rsidRPr="002277D5">
          <w:rPr>
            <w:b w:val="0"/>
            <w:bCs/>
            <w:i w:val="0"/>
            <w:iCs/>
            <w:webHidden/>
          </w:rPr>
          <w:fldChar w:fldCharType="separate"/>
        </w:r>
        <w:r w:rsidR="00233515">
          <w:rPr>
            <w:b w:val="0"/>
            <w:bCs/>
            <w:i w:val="0"/>
            <w:iCs/>
            <w:webHidden/>
          </w:rPr>
          <w:t>11</w:t>
        </w:r>
        <w:r w:rsidRPr="002277D5">
          <w:rPr>
            <w:b w:val="0"/>
            <w:bCs/>
            <w:i w:val="0"/>
            <w:iCs/>
            <w:webHidden/>
          </w:rPr>
          <w:fldChar w:fldCharType="end"/>
        </w:r>
      </w:hyperlink>
    </w:p>
    <w:p w14:paraId="4C074A7B" w14:textId="2642A3BB"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95" w:history="1">
        <w:r w:rsidRPr="002277D5">
          <w:rPr>
            <w:rStyle w:val="Hyperlink"/>
            <w:b w:val="0"/>
            <w:bCs/>
            <w:i w:val="0"/>
            <w:iCs/>
          </w:rPr>
          <w:t>3.3</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Australia’s Disability Strategy 2021-2031</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_Toc138090495 \h </w:instrText>
        </w:r>
        <w:r w:rsidRPr="002277D5">
          <w:rPr>
            <w:b w:val="0"/>
            <w:bCs/>
            <w:i w:val="0"/>
            <w:iCs/>
            <w:webHidden/>
          </w:rPr>
        </w:r>
        <w:r w:rsidRPr="002277D5">
          <w:rPr>
            <w:b w:val="0"/>
            <w:bCs/>
            <w:i w:val="0"/>
            <w:iCs/>
            <w:webHidden/>
          </w:rPr>
          <w:fldChar w:fldCharType="separate"/>
        </w:r>
        <w:r w:rsidR="00233515">
          <w:rPr>
            <w:b w:val="0"/>
            <w:bCs/>
            <w:i w:val="0"/>
            <w:iCs/>
            <w:webHidden/>
          </w:rPr>
          <w:t>12</w:t>
        </w:r>
        <w:r w:rsidRPr="002277D5">
          <w:rPr>
            <w:b w:val="0"/>
            <w:bCs/>
            <w:i w:val="0"/>
            <w:iCs/>
            <w:webHidden/>
          </w:rPr>
          <w:fldChar w:fldCharType="end"/>
        </w:r>
      </w:hyperlink>
    </w:p>
    <w:p w14:paraId="4EC12BDF" w14:textId="6073A1E1"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96" w:history="1">
        <w:r w:rsidRPr="004727B3">
          <w:rPr>
            <w:rStyle w:val="Hyperlink"/>
          </w:rPr>
          <w:t>4</w:t>
        </w:r>
        <w:r>
          <w:rPr>
            <w:rFonts w:asciiTheme="minorHAnsi" w:eastAsiaTheme="minorEastAsia" w:hAnsiTheme="minorHAnsi" w:cstheme="minorBidi"/>
            <w:b w:val="0"/>
            <w:kern w:val="2"/>
            <w:sz w:val="22"/>
            <w:szCs w:val="22"/>
            <w14:ligatures w14:val="standardContextual"/>
          </w:rPr>
          <w:tab/>
        </w:r>
        <w:r w:rsidRPr="004727B3">
          <w:rPr>
            <w:rStyle w:val="Hyperlink"/>
          </w:rPr>
          <w:t>Reform Agenda for Federal Discrimination Laws</w:t>
        </w:r>
        <w:r>
          <w:rPr>
            <w:webHidden/>
          </w:rPr>
          <w:tab/>
        </w:r>
        <w:r>
          <w:rPr>
            <w:webHidden/>
          </w:rPr>
          <w:fldChar w:fldCharType="begin"/>
        </w:r>
        <w:r>
          <w:rPr>
            <w:webHidden/>
          </w:rPr>
          <w:instrText xml:space="preserve"> PAGEREF _Toc138090496 \h </w:instrText>
        </w:r>
        <w:r>
          <w:rPr>
            <w:webHidden/>
          </w:rPr>
        </w:r>
        <w:r>
          <w:rPr>
            <w:webHidden/>
          </w:rPr>
          <w:fldChar w:fldCharType="separate"/>
        </w:r>
        <w:r w:rsidR="00233515">
          <w:rPr>
            <w:webHidden/>
          </w:rPr>
          <w:t>13</w:t>
        </w:r>
        <w:r>
          <w:rPr>
            <w:webHidden/>
          </w:rPr>
          <w:fldChar w:fldCharType="end"/>
        </w:r>
      </w:hyperlink>
    </w:p>
    <w:p w14:paraId="63BCE606" w14:textId="20BDA173"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97" w:history="1">
        <w:r w:rsidRPr="004727B3">
          <w:rPr>
            <w:rStyle w:val="Hyperlink"/>
          </w:rPr>
          <w:t>5</w:t>
        </w:r>
        <w:r>
          <w:rPr>
            <w:rFonts w:asciiTheme="minorHAnsi" w:eastAsiaTheme="minorEastAsia" w:hAnsiTheme="minorHAnsi" w:cstheme="minorBidi"/>
            <w:b w:val="0"/>
            <w:kern w:val="2"/>
            <w:sz w:val="22"/>
            <w:szCs w:val="22"/>
            <w14:ligatures w14:val="standardContextual"/>
          </w:rPr>
          <w:tab/>
        </w:r>
        <w:r w:rsidRPr="004727B3">
          <w:rPr>
            <w:rStyle w:val="Hyperlink"/>
          </w:rPr>
          <w:t>Complaints and Exemptions</w:t>
        </w:r>
        <w:r>
          <w:rPr>
            <w:webHidden/>
          </w:rPr>
          <w:tab/>
        </w:r>
        <w:r>
          <w:rPr>
            <w:webHidden/>
          </w:rPr>
          <w:fldChar w:fldCharType="begin"/>
        </w:r>
        <w:r>
          <w:rPr>
            <w:webHidden/>
          </w:rPr>
          <w:instrText xml:space="preserve"> PAGEREF _Toc138090497 \h </w:instrText>
        </w:r>
        <w:r>
          <w:rPr>
            <w:webHidden/>
          </w:rPr>
        </w:r>
        <w:r>
          <w:rPr>
            <w:webHidden/>
          </w:rPr>
          <w:fldChar w:fldCharType="separate"/>
        </w:r>
        <w:r w:rsidR="00233515">
          <w:rPr>
            <w:webHidden/>
          </w:rPr>
          <w:t>14</w:t>
        </w:r>
        <w:r>
          <w:rPr>
            <w:webHidden/>
          </w:rPr>
          <w:fldChar w:fldCharType="end"/>
        </w:r>
      </w:hyperlink>
    </w:p>
    <w:p w14:paraId="60D1501D" w14:textId="3ED11601" w:rsidR="002277D5" w:rsidRDefault="002277D5">
      <w:pPr>
        <w:pStyle w:val="TOC1"/>
        <w:rPr>
          <w:rFonts w:asciiTheme="minorHAnsi" w:eastAsiaTheme="minorEastAsia" w:hAnsiTheme="minorHAnsi" w:cstheme="minorBidi"/>
          <w:b w:val="0"/>
          <w:kern w:val="2"/>
          <w:sz w:val="22"/>
          <w:szCs w:val="22"/>
          <w14:ligatures w14:val="standardContextual"/>
        </w:rPr>
      </w:pPr>
      <w:hyperlink w:anchor="_Toc138090498" w:history="1">
        <w:r w:rsidRPr="004727B3">
          <w:rPr>
            <w:rStyle w:val="Hyperlink"/>
          </w:rPr>
          <w:t>6</w:t>
        </w:r>
        <w:r>
          <w:rPr>
            <w:rFonts w:asciiTheme="minorHAnsi" w:eastAsiaTheme="minorEastAsia" w:hAnsiTheme="minorHAnsi" w:cstheme="minorBidi"/>
            <w:b w:val="0"/>
            <w:kern w:val="2"/>
            <w:sz w:val="22"/>
            <w:szCs w:val="22"/>
            <w14:ligatures w14:val="standardContextual"/>
          </w:rPr>
          <w:tab/>
        </w:r>
        <w:r w:rsidRPr="004727B3">
          <w:rPr>
            <w:rStyle w:val="Hyperlink"/>
          </w:rPr>
          <w:t>Observations and recommendations to improve the efficiency and effectiveness of the Transport Standards</w:t>
        </w:r>
        <w:r>
          <w:rPr>
            <w:webHidden/>
          </w:rPr>
          <w:tab/>
        </w:r>
        <w:r>
          <w:rPr>
            <w:webHidden/>
          </w:rPr>
          <w:fldChar w:fldCharType="begin"/>
        </w:r>
        <w:r>
          <w:rPr>
            <w:webHidden/>
          </w:rPr>
          <w:instrText xml:space="preserve"> PAGEREF _Toc138090498 \h </w:instrText>
        </w:r>
        <w:r>
          <w:rPr>
            <w:webHidden/>
          </w:rPr>
        </w:r>
        <w:r>
          <w:rPr>
            <w:webHidden/>
          </w:rPr>
          <w:fldChar w:fldCharType="separate"/>
        </w:r>
        <w:r w:rsidR="00233515">
          <w:rPr>
            <w:webHidden/>
          </w:rPr>
          <w:t>16</w:t>
        </w:r>
        <w:r>
          <w:rPr>
            <w:webHidden/>
          </w:rPr>
          <w:fldChar w:fldCharType="end"/>
        </w:r>
      </w:hyperlink>
    </w:p>
    <w:p w14:paraId="58FB63DE" w14:textId="74A93468"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499" w:history="1">
        <w:r w:rsidRPr="002277D5">
          <w:rPr>
            <w:rStyle w:val="Hyperlink"/>
            <w:b w:val="0"/>
            <w:bCs/>
            <w:i w:val="0"/>
            <w:iCs/>
          </w:rPr>
          <w:t>6.1</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Assessing whether discrimination has been removed</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_Toc138090499 \h </w:instrText>
        </w:r>
        <w:r w:rsidRPr="002277D5">
          <w:rPr>
            <w:b w:val="0"/>
            <w:bCs/>
            <w:i w:val="0"/>
            <w:iCs/>
            <w:webHidden/>
          </w:rPr>
        </w:r>
        <w:r w:rsidRPr="002277D5">
          <w:rPr>
            <w:b w:val="0"/>
            <w:bCs/>
            <w:i w:val="0"/>
            <w:iCs/>
            <w:webHidden/>
          </w:rPr>
          <w:fldChar w:fldCharType="separate"/>
        </w:r>
        <w:r w:rsidR="00233515">
          <w:rPr>
            <w:b w:val="0"/>
            <w:bCs/>
            <w:i w:val="0"/>
            <w:iCs/>
            <w:webHidden/>
          </w:rPr>
          <w:t>16</w:t>
        </w:r>
        <w:r w:rsidRPr="002277D5">
          <w:rPr>
            <w:b w:val="0"/>
            <w:bCs/>
            <w:i w:val="0"/>
            <w:iCs/>
            <w:webHidden/>
          </w:rPr>
          <w:fldChar w:fldCharType="end"/>
        </w:r>
      </w:hyperlink>
    </w:p>
    <w:p w14:paraId="3F3314BD" w14:textId="01DC96B7" w:rsidR="002277D5" w:rsidRPr="002277D5" w:rsidRDefault="002277D5">
      <w:pPr>
        <w:pStyle w:val="TOC3"/>
        <w:rPr>
          <w:rFonts w:asciiTheme="minorHAnsi" w:eastAsiaTheme="minorEastAsia" w:hAnsiTheme="minorHAnsi" w:cstheme="minorBidi"/>
          <w:bCs/>
          <w:i w:val="0"/>
          <w:iCs/>
          <w:kern w:val="2"/>
          <w:sz w:val="22"/>
          <w:szCs w:val="22"/>
          <w14:ligatures w14:val="standardContextual"/>
        </w:rPr>
      </w:pPr>
      <w:hyperlink w:anchor="_Toc138090500" w:history="1">
        <w:r w:rsidRPr="002277D5">
          <w:rPr>
            <w:rStyle w:val="Hyperlink"/>
            <w:bCs/>
            <w:i w:val="0"/>
            <w:iCs/>
          </w:rPr>
          <w:t>(a)</w:t>
        </w:r>
        <w:r w:rsidRPr="002277D5">
          <w:rPr>
            <w:rFonts w:asciiTheme="minorHAnsi" w:eastAsiaTheme="minorEastAsia" w:hAnsiTheme="minorHAnsi" w:cstheme="minorBidi"/>
            <w:bCs/>
            <w:i w:val="0"/>
            <w:iCs/>
            <w:kern w:val="2"/>
            <w:sz w:val="22"/>
            <w:szCs w:val="22"/>
            <w14:ligatures w14:val="standardContextual"/>
          </w:rPr>
          <w:tab/>
        </w:r>
        <w:r w:rsidRPr="002277D5">
          <w:rPr>
            <w:rStyle w:val="Hyperlink"/>
            <w:bCs/>
            <w:i w:val="0"/>
            <w:iCs/>
          </w:rPr>
          <w:t>Issues with assessing compliance</w:t>
        </w:r>
        <w:r w:rsidRPr="002277D5">
          <w:rPr>
            <w:bCs/>
            <w:i w:val="0"/>
            <w:iCs/>
            <w:webHidden/>
          </w:rPr>
          <w:tab/>
        </w:r>
        <w:r w:rsidRPr="002277D5">
          <w:rPr>
            <w:bCs/>
            <w:i w:val="0"/>
            <w:iCs/>
            <w:webHidden/>
          </w:rPr>
          <w:fldChar w:fldCharType="begin"/>
        </w:r>
        <w:r w:rsidRPr="002277D5">
          <w:rPr>
            <w:bCs/>
            <w:i w:val="0"/>
            <w:iCs/>
            <w:webHidden/>
          </w:rPr>
          <w:instrText xml:space="preserve"> PAGEREF _Toc138090500 \h </w:instrText>
        </w:r>
        <w:r w:rsidRPr="002277D5">
          <w:rPr>
            <w:bCs/>
            <w:i w:val="0"/>
            <w:iCs/>
            <w:webHidden/>
          </w:rPr>
        </w:r>
        <w:r w:rsidRPr="002277D5">
          <w:rPr>
            <w:bCs/>
            <w:i w:val="0"/>
            <w:iCs/>
            <w:webHidden/>
          </w:rPr>
          <w:fldChar w:fldCharType="separate"/>
        </w:r>
        <w:r w:rsidR="00233515">
          <w:rPr>
            <w:bCs/>
            <w:i w:val="0"/>
            <w:iCs/>
            <w:webHidden/>
          </w:rPr>
          <w:t>21</w:t>
        </w:r>
        <w:r w:rsidRPr="002277D5">
          <w:rPr>
            <w:bCs/>
            <w:i w:val="0"/>
            <w:iCs/>
            <w:webHidden/>
          </w:rPr>
          <w:fldChar w:fldCharType="end"/>
        </w:r>
      </w:hyperlink>
    </w:p>
    <w:p w14:paraId="25AF6F61" w14:textId="2554D3F4" w:rsidR="002277D5" w:rsidRPr="002277D5" w:rsidRDefault="002277D5">
      <w:pPr>
        <w:pStyle w:val="TOC3"/>
        <w:rPr>
          <w:rFonts w:asciiTheme="minorHAnsi" w:eastAsiaTheme="minorEastAsia" w:hAnsiTheme="minorHAnsi" w:cstheme="minorBidi"/>
          <w:bCs/>
          <w:i w:val="0"/>
          <w:iCs/>
          <w:kern w:val="2"/>
          <w:sz w:val="22"/>
          <w:szCs w:val="22"/>
          <w14:ligatures w14:val="standardContextual"/>
        </w:rPr>
      </w:pPr>
      <w:hyperlink w:anchor="_Toc138090501" w:history="1">
        <w:r w:rsidRPr="002277D5">
          <w:rPr>
            <w:rStyle w:val="Hyperlink"/>
            <w:bCs/>
            <w:i w:val="0"/>
            <w:iCs/>
          </w:rPr>
          <w:t>(b)</w:t>
        </w:r>
        <w:r w:rsidRPr="002277D5">
          <w:rPr>
            <w:rFonts w:asciiTheme="minorHAnsi" w:eastAsiaTheme="minorEastAsia" w:hAnsiTheme="minorHAnsi" w:cstheme="minorBidi"/>
            <w:bCs/>
            <w:i w:val="0"/>
            <w:iCs/>
            <w:kern w:val="2"/>
            <w:sz w:val="22"/>
            <w:szCs w:val="22"/>
            <w14:ligatures w14:val="standardContextual"/>
          </w:rPr>
          <w:tab/>
        </w:r>
        <w:r w:rsidRPr="002277D5">
          <w:rPr>
            <w:rStyle w:val="Hyperlink"/>
            <w:bCs/>
            <w:i w:val="0"/>
            <w:iCs/>
          </w:rPr>
          <w:t>Issues with enforcement</w:t>
        </w:r>
        <w:r w:rsidRPr="002277D5">
          <w:rPr>
            <w:bCs/>
            <w:i w:val="0"/>
            <w:iCs/>
            <w:webHidden/>
          </w:rPr>
          <w:tab/>
        </w:r>
        <w:r w:rsidRPr="002277D5">
          <w:rPr>
            <w:bCs/>
            <w:i w:val="0"/>
            <w:iCs/>
            <w:webHidden/>
          </w:rPr>
          <w:fldChar w:fldCharType="begin"/>
        </w:r>
        <w:r w:rsidRPr="002277D5">
          <w:rPr>
            <w:bCs/>
            <w:i w:val="0"/>
            <w:iCs/>
            <w:webHidden/>
          </w:rPr>
          <w:instrText xml:space="preserve"> PAGEREF _Toc138090501 \h </w:instrText>
        </w:r>
        <w:r w:rsidRPr="002277D5">
          <w:rPr>
            <w:bCs/>
            <w:i w:val="0"/>
            <w:iCs/>
            <w:webHidden/>
          </w:rPr>
        </w:r>
        <w:r w:rsidRPr="002277D5">
          <w:rPr>
            <w:bCs/>
            <w:i w:val="0"/>
            <w:iCs/>
            <w:webHidden/>
          </w:rPr>
          <w:fldChar w:fldCharType="separate"/>
        </w:r>
        <w:r w:rsidR="00233515">
          <w:rPr>
            <w:bCs/>
            <w:i w:val="0"/>
            <w:iCs/>
            <w:webHidden/>
          </w:rPr>
          <w:t>24</w:t>
        </w:r>
        <w:r w:rsidRPr="002277D5">
          <w:rPr>
            <w:bCs/>
            <w:i w:val="0"/>
            <w:iCs/>
            <w:webHidden/>
          </w:rPr>
          <w:fldChar w:fldCharType="end"/>
        </w:r>
      </w:hyperlink>
    </w:p>
    <w:p w14:paraId="5650921C" w14:textId="28BFCFFA" w:rsidR="002277D5" w:rsidRPr="002277D5" w:rsidRDefault="002277D5">
      <w:pPr>
        <w:pStyle w:val="TOC3"/>
        <w:rPr>
          <w:rFonts w:asciiTheme="minorHAnsi" w:eastAsiaTheme="minorEastAsia" w:hAnsiTheme="minorHAnsi" w:cstheme="minorBidi"/>
          <w:bCs/>
          <w:i w:val="0"/>
          <w:iCs/>
          <w:kern w:val="2"/>
          <w:sz w:val="22"/>
          <w:szCs w:val="22"/>
          <w14:ligatures w14:val="standardContextual"/>
        </w:rPr>
      </w:pPr>
      <w:hyperlink w:anchor="_Toc138090502" w:history="1">
        <w:r w:rsidRPr="002277D5">
          <w:rPr>
            <w:rStyle w:val="Hyperlink"/>
            <w:bCs/>
            <w:i w:val="0"/>
            <w:iCs/>
          </w:rPr>
          <w:t>(c)</w:t>
        </w:r>
        <w:r w:rsidRPr="002277D5">
          <w:rPr>
            <w:rFonts w:asciiTheme="minorHAnsi" w:eastAsiaTheme="minorEastAsia" w:hAnsiTheme="minorHAnsi" w:cstheme="minorBidi"/>
            <w:bCs/>
            <w:i w:val="0"/>
            <w:iCs/>
            <w:kern w:val="2"/>
            <w:sz w:val="22"/>
            <w:szCs w:val="22"/>
            <w14:ligatures w14:val="standardContextual"/>
          </w:rPr>
          <w:tab/>
        </w:r>
        <w:r w:rsidRPr="002277D5">
          <w:rPr>
            <w:rStyle w:val="Hyperlink"/>
            <w:bCs/>
            <w:i w:val="0"/>
            <w:iCs/>
          </w:rPr>
          <w:t>Measuring and evaluating benefits of accessible public transport</w:t>
        </w:r>
        <w:r w:rsidRPr="002277D5">
          <w:rPr>
            <w:bCs/>
            <w:i w:val="0"/>
            <w:iCs/>
            <w:webHidden/>
          </w:rPr>
          <w:tab/>
        </w:r>
        <w:r w:rsidRPr="002277D5">
          <w:rPr>
            <w:bCs/>
            <w:i w:val="0"/>
            <w:iCs/>
            <w:webHidden/>
          </w:rPr>
          <w:fldChar w:fldCharType="begin"/>
        </w:r>
        <w:r w:rsidRPr="002277D5">
          <w:rPr>
            <w:bCs/>
            <w:i w:val="0"/>
            <w:iCs/>
            <w:webHidden/>
          </w:rPr>
          <w:instrText xml:space="preserve"> PAGEREF _Toc138090502 \h </w:instrText>
        </w:r>
        <w:r w:rsidRPr="002277D5">
          <w:rPr>
            <w:bCs/>
            <w:i w:val="0"/>
            <w:iCs/>
            <w:webHidden/>
          </w:rPr>
        </w:r>
        <w:r w:rsidRPr="002277D5">
          <w:rPr>
            <w:bCs/>
            <w:i w:val="0"/>
            <w:iCs/>
            <w:webHidden/>
          </w:rPr>
          <w:fldChar w:fldCharType="separate"/>
        </w:r>
        <w:r w:rsidR="00233515">
          <w:rPr>
            <w:bCs/>
            <w:i w:val="0"/>
            <w:iCs/>
            <w:webHidden/>
          </w:rPr>
          <w:t>28</w:t>
        </w:r>
        <w:r w:rsidRPr="002277D5">
          <w:rPr>
            <w:bCs/>
            <w:i w:val="0"/>
            <w:iCs/>
            <w:webHidden/>
          </w:rPr>
          <w:fldChar w:fldCharType="end"/>
        </w:r>
      </w:hyperlink>
    </w:p>
    <w:p w14:paraId="6C022D03" w14:textId="7CF3BC02" w:rsidR="002277D5" w:rsidRPr="002277D5" w:rsidRDefault="002277D5">
      <w:pPr>
        <w:pStyle w:val="TOC3"/>
        <w:rPr>
          <w:rFonts w:asciiTheme="minorHAnsi" w:eastAsiaTheme="minorEastAsia" w:hAnsiTheme="minorHAnsi" w:cstheme="minorBidi"/>
          <w:bCs/>
          <w:i w:val="0"/>
          <w:iCs/>
          <w:kern w:val="2"/>
          <w:sz w:val="22"/>
          <w:szCs w:val="22"/>
          <w14:ligatures w14:val="standardContextual"/>
        </w:rPr>
      </w:pPr>
      <w:hyperlink w:anchor="_Toc138090503" w:history="1">
        <w:r w:rsidRPr="002277D5">
          <w:rPr>
            <w:rStyle w:val="Hyperlink"/>
            <w:bCs/>
            <w:i w:val="0"/>
            <w:iCs/>
          </w:rPr>
          <w:t>(d)</w:t>
        </w:r>
        <w:r w:rsidRPr="002277D5">
          <w:rPr>
            <w:rFonts w:asciiTheme="minorHAnsi" w:eastAsiaTheme="minorEastAsia" w:hAnsiTheme="minorHAnsi" w:cstheme="minorBidi"/>
            <w:bCs/>
            <w:i w:val="0"/>
            <w:iCs/>
            <w:kern w:val="2"/>
            <w:sz w:val="22"/>
            <w:szCs w:val="22"/>
            <w14:ligatures w14:val="standardContextual"/>
          </w:rPr>
          <w:tab/>
        </w:r>
        <w:r w:rsidRPr="002277D5">
          <w:rPr>
            <w:rStyle w:val="Hyperlink"/>
            <w:bCs/>
            <w:i w:val="0"/>
            <w:iCs/>
          </w:rPr>
          <w:t>The role of minimum standards to improve accessibility.</w:t>
        </w:r>
        <w:r w:rsidRPr="002277D5">
          <w:rPr>
            <w:bCs/>
            <w:i w:val="0"/>
            <w:iCs/>
            <w:webHidden/>
          </w:rPr>
          <w:tab/>
        </w:r>
        <w:r w:rsidRPr="002277D5">
          <w:rPr>
            <w:bCs/>
            <w:i w:val="0"/>
            <w:iCs/>
            <w:webHidden/>
          </w:rPr>
          <w:fldChar w:fldCharType="begin"/>
        </w:r>
        <w:r w:rsidRPr="002277D5">
          <w:rPr>
            <w:bCs/>
            <w:i w:val="0"/>
            <w:iCs/>
            <w:webHidden/>
          </w:rPr>
          <w:instrText xml:space="preserve"> PAGEREF _Toc138090503 \h </w:instrText>
        </w:r>
        <w:r w:rsidRPr="002277D5">
          <w:rPr>
            <w:bCs/>
            <w:i w:val="0"/>
            <w:iCs/>
            <w:webHidden/>
          </w:rPr>
        </w:r>
        <w:r w:rsidRPr="002277D5">
          <w:rPr>
            <w:bCs/>
            <w:i w:val="0"/>
            <w:iCs/>
            <w:webHidden/>
          </w:rPr>
          <w:fldChar w:fldCharType="separate"/>
        </w:r>
        <w:r w:rsidR="00233515">
          <w:rPr>
            <w:bCs/>
            <w:i w:val="0"/>
            <w:iCs/>
            <w:webHidden/>
          </w:rPr>
          <w:t>29</w:t>
        </w:r>
        <w:r w:rsidRPr="002277D5">
          <w:rPr>
            <w:bCs/>
            <w:i w:val="0"/>
            <w:iCs/>
            <w:webHidden/>
          </w:rPr>
          <w:fldChar w:fldCharType="end"/>
        </w:r>
      </w:hyperlink>
    </w:p>
    <w:p w14:paraId="2A85BB0F" w14:textId="36B773F8"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504" w:history="1">
        <w:r w:rsidRPr="002277D5">
          <w:rPr>
            <w:rStyle w:val="Hyperlink"/>
            <w:b w:val="0"/>
            <w:bCs/>
            <w:i w:val="0"/>
            <w:iCs/>
          </w:rPr>
          <w:t>6.2</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Unjustifiable Hardship and Equivalent Access Provisions</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_Toc138090504 \h </w:instrText>
        </w:r>
        <w:r w:rsidRPr="002277D5">
          <w:rPr>
            <w:b w:val="0"/>
            <w:bCs/>
            <w:i w:val="0"/>
            <w:iCs/>
            <w:webHidden/>
          </w:rPr>
        </w:r>
        <w:r w:rsidRPr="002277D5">
          <w:rPr>
            <w:b w:val="0"/>
            <w:bCs/>
            <w:i w:val="0"/>
            <w:iCs/>
            <w:webHidden/>
          </w:rPr>
          <w:fldChar w:fldCharType="separate"/>
        </w:r>
        <w:r w:rsidR="00233515">
          <w:rPr>
            <w:b w:val="0"/>
            <w:bCs/>
            <w:i w:val="0"/>
            <w:iCs/>
            <w:webHidden/>
          </w:rPr>
          <w:t>30</w:t>
        </w:r>
        <w:r w:rsidRPr="002277D5">
          <w:rPr>
            <w:b w:val="0"/>
            <w:bCs/>
            <w:i w:val="0"/>
            <w:iCs/>
            <w:webHidden/>
          </w:rPr>
          <w:fldChar w:fldCharType="end"/>
        </w:r>
      </w:hyperlink>
    </w:p>
    <w:p w14:paraId="676608BC" w14:textId="19D83A5B"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505" w:history="1">
        <w:r w:rsidRPr="002277D5">
          <w:rPr>
            <w:rStyle w:val="Hyperlink"/>
            <w:b w:val="0"/>
            <w:bCs/>
            <w:i w:val="0"/>
            <w:iCs/>
          </w:rPr>
          <w:t>6.3</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 xml:space="preserve">Amendments to legislation </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_Toc138090505 \h </w:instrText>
        </w:r>
        <w:r w:rsidRPr="002277D5">
          <w:rPr>
            <w:b w:val="0"/>
            <w:bCs/>
            <w:i w:val="0"/>
            <w:iCs/>
            <w:webHidden/>
          </w:rPr>
        </w:r>
        <w:r w:rsidRPr="002277D5">
          <w:rPr>
            <w:b w:val="0"/>
            <w:bCs/>
            <w:i w:val="0"/>
            <w:iCs/>
            <w:webHidden/>
          </w:rPr>
          <w:fldChar w:fldCharType="separate"/>
        </w:r>
        <w:r w:rsidR="00233515">
          <w:rPr>
            <w:b w:val="0"/>
            <w:bCs/>
            <w:i w:val="0"/>
            <w:iCs/>
            <w:webHidden/>
          </w:rPr>
          <w:t>32</w:t>
        </w:r>
        <w:r w:rsidRPr="002277D5">
          <w:rPr>
            <w:b w:val="0"/>
            <w:bCs/>
            <w:i w:val="0"/>
            <w:iCs/>
            <w:webHidden/>
          </w:rPr>
          <w:fldChar w:fldCharType="end"/>
        </w:r>
      </w:hyperlink>
    </w:p>
    <w:p w14:paraId="506A0FC7" w14:textId="10DFF801"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506" w:history="1">
        <w:r w:rsidRPr="002277D5">
          <w:rPr>
            <w:rStyle w:val="Hyperlink"/>
            <w:b w:val="0"/>
            <w:bCs/>
            <w:i w:val="0"/>
            <w:iCs/>
          </w:rPr>
          <w:t>6.4</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 xml:space="preserve">Inclusion and consideration of people with disabilities in the review and reform processes </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_Toc138090506 \h </w:instrText>
        </w:r>
        <w:r w:rsidRPr="002277D5">
          <w:rPr>
            <w:b w:val="0"/>
            <w:bCs/>
            <w:i w:val="0"/>
            <w:iCs/>
            <w:webHidden/>
          </w:rPr>
        </w:r>
        <w:r w:rsidRPr="002277D5">
          <w:rPr>
            <w:b w:val="0"/>
            <w:bCs/>
            <w:i w:val="0"/>
            <w:iCs/>
            <w:webHidden/>
          </w:rPr>
          <w:fldChar w:fldCharType="separate"/>
        </w:r>
        <w:r w:rsidR="00233515">
          <w:rPr>
            <w:b w:val="0"/>
            <w:bCs/>
            <w:i w:val="0"/>
            <w:iCs/>
            <w:webHidden/>
          </w:rPr>
          <w:t>33</w:t>
        </w:r>
        <w:r w:rsidRPr="002277D5">
          <w:rPr>
            <w:b w:val="0"/>
            <w:bCs/>
            <w:i w:val="0"/>
            <w:iCs/>
            <w:webHidden/>
          </w:rPr>
          <w:fldChar w:fldCharType="end"/>
        </w:r>
      </w:hyperlink>
    </w:p>
    <w:p w14:paraId="0FEC2C53" w14:textId="79D72D13"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507" w:history="1">
        <w:r w:rsidRPr="002277D5">
          <w:rPr>
            <w:rStyle w:val="Hyperlink"/>
            <w:b w:val="0"/>
            <w:bCs/>
            <w:i w:val="0"/>
            <w:iCs/>
          </w:rPr>
          <w:t>6.5</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Enhanced guidance on the Transport Standards and rights of people with disability</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_Toc138090507 \h </w:instrText>
        </w:r>
        <w:r w:rsidRPr="002277D5">
          <w:rPr>
            <w:b w:val="0"/>
            <w:bCs/>
            <w:i w:val="0"/>
            <w:iCs/>
            <w:webHidden/>
          </w:rPr>
        </w:r>
        <w:r w:rsidRPr="002277D5">
          <w:rPr>
            <w:b w:val="0"/>
            <w:bCs/>
            <w:i w:val="0"/>
            <w:iCs/>
            <w:webHidden/>
          </w:rPr>
          <w:fldChar w:fldCharType="separate"/>
        </w:r>
        <w:r w:rsidR="00233515">
          <w:rPr>
            <w:b w:val="0"/>
            <w:bCs/>
            <w:i w:val="0"/>
            <w:iCs/>
            <w:webHidden/>
          </w:rPr>
          <w:t>34</w:t>
        </w:r>
        <w:r w:rsidRPr="002277D5">
          <w:rPr>
            <w:b w:val="0"/>
            <w:bCs/>
            <w:i w:val="0"/>
            <w:iCs/>
            <w:webHidden/>
          </w:rPr>
          <w:fldChar w:fldCharType="end"/>
        </w:r>
      </w:hyperlink>
    </w:p>
    <w:p w14:paraId="726D1642" w14:textId="62D24BF3" w:rsidR="002277D5" w:rsidRPr="002277D5" w:rsidRDefault="002277D5">
      <w:pPr>
        <w:pStyle w:val="TOC2"/>
        <w:rPr>
          <w:rFonts w:asciiTheme="minorHAnsi" w:eastAsiaTheme="minorEastAsia" w:hAnsiTheme="minorHAnsi" w:cstheme="minorBidi"/>
          <w:b w:val="0"/>
          <w:bCs/>
          <w:i w:val="0"/>
          <w:iCs/>
          <w:kern w:val="2"/>
          <w:sz w:val="22"/>
          <w:szCs w:val="22"/>
          <w14:ligatures w14:val="standardContextual"/>
        </w:rPr>
      </w:pPr>
      <w:hyperlink w:anchor="_Toc138090508" w:history="1">
        <w:r w:rsidRPr="002277D5">
          <w:rPr>
            <w:rStyle w:val="Hyperlink"/>
            <w:b w:val="0"/>
            <w:bCs/>
            <w:i w:val="0"/>
            <w:iCs/>
          </w:rPr>
          <w:t>6.6</w:t>
        </w:r>
        <w:r w:rsidRPr="002277D5">
          <w:rPr>
            <w:rFonts w:asciiTheme="minorHAnsi" w:eastAsiaTheme="minorEastAsia" w:hAnsiTheme="minorHAnsi" w:cstheme="minorBidi"/>
            <w:b w:val="0"/>
            <w:bCs/>
            <w:i w:val="0"/>
            <w:iCs/>
            <w:kern w:val="2"/>
            <w:sz w:val="22"/>
            <w:szCs w:val="22"/>
            <w14:ligatures w14:val="standardContextual"/>
          </w:rPr>
          <w:tab/>
        </w:r>
        <w:r w:rsidRPr="002277D5">
          <w:rPr>
            <w:rStyle w:val="Hyperlink"/>
            <w:b w:val="0"/>
            <w:bCs/>
            <w:i w:val="0"/>
            <w:iCs/>
          </w:rPr>
          <w:t>International Examples</w:t>
        </w:r>
        <w:r w:rsidRPr="002277D5">
          <w:rPr>
            <w:b w:val="0"/>
            <w:bCs/>
            <w:i w:val="0"/>
            <w:iCs/>
            <w:webHidden/>
          </w:rPr>
          <w:tab/>
        </w:r>
        <w:r w:rsidRPr="002277D5">
          <w:rPr>
            <w:b w:val="0"/>
            <w:bCs/>
            <w:i w:val="0"/>
            <w:iCs/>
            <w:webHidden/>
          </w:rPr>
          <w:fldChar w:fldCharType="begin"/>
        </w:r>
        <w:r w:rsidRPr="002277D5">
          <w:rPr>
            <w:b w:val="0"/>
            <w:bCs/>
            <w:i w:val="0"/>
            <w:iCs/>
            <w:webHidden/>
          </w:rPr>
          <w:instrText xml:space="preserve"> PAGEREF _Toc138090508 \h </w:instrText>
        </w:r>
        <w:r w:rsidRPr="002277D5">
          <w:rPr>
            <w:b w:val="0"/>
            <w:bCs/>
            <w:i w:val="0"/>
            <w:iCs/>
            <w:webHidden/>
          </w:rPr>
        </w:r>
        <w:r w:rsidRPr="002277D5">
          <w:rPr>
            <w:b w:val="0"/>
            <w:bCs/>
            <w:i w:val="0"/>
            <w:iCs/>
            <w:webHidden/>
          </w:rPr>
          <w:fldChar w:fldCharType="separate"/>
        </w:r>
        <w:r w:rsidR="00233515">
          <w:rPr>
            <w:b w:val="0"/>
            <w:bCs/>
            <w:i w:val="0"/>
            <w:iCs/>
            <w:webHidden/>
          </w:rPr>
          <w:t>36</w:t>
        </w:r>
        <w:r w:rsidRPr="002277D5">
          <w:rPr>
            <w:b w:val="0"/>
            <w:bCs/>
            <w:i w:val="0"/>
            <w:iCs/>
            <w:webHidden/>
          </w:rPr>
          <w:fldChar w:fldCharType="end"/>
        </w:r>
      </w:hyperlink>
    </w:p>
    <w:p w14:paraId="5DFBE553" w14:textId="1E451120" w:rsidR="002277D5" w:rsidRDefault="002277D5">
      <w:pPr>
        <w:pStyle w:val="TOC1"/>
        <w:rPr>
          <w:rStyle w:val="Hyperlink"/>
        </w:rPr>
      </w:pPr>
      <w:hyperlink w:anchor="_Toc138090509" w:history="1">
        <w:r w:rsidRPr="004727B3">
          <w:rPr>
            <w:rStyle w:val="Hyperlink"/>
          </w:rPr>
          <w:t>7</w:t>
        </w:r>
        <w:r>
          <w:rPr>
            <w:rFonts w:asciiTheme="minorHAnsi" w:eastAsiaTheme="minorEastAsia" w:hAnsiTheme="minorHAnsi" w:cstheme="minorBidi"/>
            <w:b w:val="0"/>
            <w:kern w:val="2"/>
            <w:sz w:val="22"/>
            <w:szCs w:val="22"/>
            <w14:ligatures w14:val="standardContextual"/>
          </w:rPr>
          <w:tab/>
        </w:r>
        <w:r w:rsidRPr="004727B3">
          <w:rPr>
            <w:rStyle w:val="Hyperlink"/>
          </w:rPr>
          <w:t>Conclusion</w:t>
        </w:r>
        <w:r>
          <w:rPr>
            <w:webHidden/>
          </w:rPr>
          <w:tab/>
        </w:r>
        <w:r>
          <w:rPr>
            <w:webHidden/>
          </w:rPr>
          <w:fldChar w:fldCharType="begin"/>
        </w:r>
        <w:r>
          <w:rPr>
            <w:webHidden/>
          </w:rPr>
          <w:instrText xml:space="preserve"> PAGEREF _Toc138090509 \h </w:instrText>
        </w:r>
        <w:r>
          <w:rPr>
            <w:webHidden/>
          </w:rPr>
        </w:r>
        <w:r>
          <w:rPr>
            <w:webHidden/>
          </w:rPr>
          <w:fldChar w:fldCharType="separate"/>
        </w:r>
        <w:r w:rsidR="00233515">
          <w:rPr>
            <w:webHidden/>
          </w:rPr>
          <w:t>37</w:t>
        </w:r>
        <w:r>
          <w:rPr>
            <w:webHidden/>
          </w:rPr>
          <w:fldChar w:fldCharType="end"/>
        </w:r>
      </w:hyperlink>
    </w:p>
    <w:p w14:paraId="047E3341" w14:textId="5EBB27BB" w:rsidR="002277D5" w:rsidRPr="002277D5" w:rsidRDefault="002277D5" w:rsidP="002277D5">
      <w:pPr>
        <w:spacing w:before="0" w:after="0"/>
        <w:rPr>
          <w:b/>
          <w:noProof/>
          <w:color w:val="0000FF"/>
          <w:u w:val="single"/>
        </w:rPr>
      </w:pPr>
      <w:r>
        <w:rPr>
          <w:rStyle w:val="Hyperlink"/>
          <w:noProof/>
        </w:rPr>
        <w:br w:type="page"/>
      </w:r>
    </w:p>
    <w:p w14:paraId="04A3FC02" w14:textId="2AECC936" w:rsidR="00510390" w:rsidRDefault="000B5B68" w:rsidP="00A27ABE">
      <w:pPr>
        <w:pStyle w:val="Heading1"/>
      </w:pPr>
      <w:r w:rsidRPr="000465F1">
        <w:lastRenderedPageBreak/>
        <w:fldChar w:fldCharType="end"/>
      </w:r>
      <w:bookmarkStart w:id="11" w:name="_Toc207761830"/>
      <w:bookmarkStart w:id="12" w:name="_Toc209578266"/>
      <w:bookmarkStart w:id="13" w:name="_Toc209941766"/>
      <w:bookmarkStart w:id="14" w:name="_Toc138090488"/>
      <w:r w:rsidR="009F2764" w:rsidRPr="009E08D1">
        <w:t>Introduction</w:t>
      </w:r>
      <w:bookmarkEnd w:id="11"/>
      <w:bookmarkEnd w:id="12"/>
      <w:bookmarkEnd w:id="13"/>
      <w:bookmarkEnd w:id="14"/>
    </w:p>
    <w:p w14:paraId="7B6D52F3" w14:textId="0DACB9B4" w:rsidR="001F4F87" w:rsidRDefault="000A2A93" w:rsidP="001F4F87">
      <w:r>
        <w:t>The Australian Human Rights Commission (Commission) welcomes the opportunity to provide a written submission to the Department of Infrastructure, Transport, Regional Development</w:t>
      </w:r>
      <w:r w:rsidR="00EF717C">
        <w:t xml:space="preserve">, </w:t>
      </w:r>
      <w:r>
        <w:t>Communications</w:t>
      </w:r>
      <w:r w:rsidR="00EF717C">
        <w:t xml:space="preserve"> and the Arts</w:t>
      </w:r>
      <w:r>
        <w:t xml:space="preserve"> (Department)</w:t>
      </w:r>
      <w:r w:rsidR="005B6519">
        <w:t xml:space="preserve"> regarding the 2022 Review of the </w:t>
      </w:r>
      <w:r w:rsidR="005B6519" w:rsidRPr="005B6519">
        <w:rPr>
          <w:i/>
          <w:iCs/>
        </w:rPr>
        <w:t>Disability Standards for Accessible Public Transport 2002</w:t>
      </w:r>
      <w:r w:rsidR="005B6519">
        <w:t xml:space="preserve"> (Cth)</w:t>
      </w:r>
      <w:r w:rsidR="00EB0B71">
        <w:t xml:space="preserve">. </w:t>
      </w:r>
      <w:r w:rsidR="005B6519">
        <w:t xml:space="preserve"> </w:t>
      </w:r>
      <w:r w:rsidR="00647919">
        <w:t>The Commission notes that this is the third periodic review of the Transport Standards, and the next review will not be for another 10 years.</w:t>
      </w:r>
    </w:p>
    <w:p w14:paraId="297926C3" w14:textId="0C18102F" w:rsidR="00E20F1B" w:rsidRDefault="00EB0B71" w:rsidP="00E20F1B">
      <w:r>
        <w:t xml:space="preserve">The Disability Standards for Accessible Public Transport (Transport Standards) are made under section 31 of the </w:t>
      </w:r>
      <w:r w:rsidRPr="002606B1">
        <w:rPr>
          <w:i/>
          <w:iCs/>
        </w:rPr>
        <w:t>Disability Discrimination Act</w:t>
      </w:r>
      <w:r w:rsidR="002606B1">
        <w:rPr>
          <w:i/>
          <w:iCs/>
        </w:rPr>
        <w:t xml:space="preserve"> 1992 </w:t>
      </w:r>
      <w:r w:rsidR="002606B1">
        <w:t>(Cth)</w:t>
      </w:r>
      <w:r>
        <w:t>.</w:t>
      </w:r>
      <w:r w:rsidR="00A02EA4">
        <w:rPr>
          <w:rStyle w:val="EndnoteReference"/>
        </w:rPr>
        <w:endnoteReference w:id="2"/>
      </w:r>
      <w:r>
        <w:t xml:space="preserve"> </w:t>
      </w:r>
      <w:r w:rsidR="00E20F1B">
        <w:t>The intended purpose of the Transport Standards is to remove discrimination against people with disability on public transport</w:t>
      </w:r>
      <w:r w:rsidR="00E20F1B" w:rsidRPr="00312913">
        <w:t>.</w:t>
      </w:r>
      <w:r w:rsidR="00E20F1B">
        <w:t xml:space="preserve"> Any r</w:t>
      </w:r>
      <w:r w:rsidR="00BA1DC5">
        <w:t>eview</w:t>
      </w:r>
      <w:r w:rsidR="00E20F1B">
        <w:t xml:space="preserve"> to the Transport Standards should seek to advance this objective, which</w:t>
      </w:r>
      <w:r w:rsidR="00E20F1B" w:rsidRPr="00312913">
        <w:t xml:space="preserve"> </w:t>
      </w:r>
      <w:r w:rsidR="00E20F1B">
        <w:t xml:space="preserve">will have broader social and economic benefits for all Australians. </w:t>
      </w:r>
    </w:p>
    <w:p w14:paraId="19EC5408" w14:textId="24BF4325" w:rsidR="00AD7EC0" w:rsidRDefault="00AD7EC0" w:rsidP="00AD7EC0">
      <w:r>
        <w:t>The lack of accessibility in Australia has profound flow</w:t>
      </w:r>
      <w:r w:rsidR="00BF20FA">
        <w:t>-</w:t>
      </w:r>
      <w:r>
        <w:t xml:space="preserve">on effects for the </w:t>
      </w:r>
      <w:r w:rsidR="00144A89">
        <w:t>inclusivity,</w:t>
      </w:r>
      <w:r>
        <w:t xml:space="preserve"> </w:t>
      </w:r>
      <w:r w:rsidR="002453EF">
        <w:t>efficacy</w:t>
      </w:r>
      <w:r>
        <w:t xml:space="preserve"> and cost of numerous policy domains, such as aged care, the N</w:t>
      </w:r>
      <w:r w:rsidR="00B32132">
        <w:t xml:space="preserve">ational </w:t>
      </w:r>
      <w:r>
        <w:t>D</w:t>
      </w:r>
      <w:r w:rsidR="00B32132">
        <w:t xml:space="preserve">isability </w:t>
      </w:r>
      <w:r>
        <w:t>I</w:t>
      </w:r>
      <w:r w:rsidR="00B32132">
        <w:t xml:space="preserve">nsurance </w:t>
      </w:r>
      <w:r>
        <w:t>S</w:t>
      </w:r>
      <w:r w:rsidR="00B32132">
        <w:t>cheme (NDIS)</w:t>
      </w:r>
      <w:r>
        <w:t xml:space="preserve">, education and the employment of people with disability. </w:t>
      </w:r>
      <w:r w:rsidR="00C709A0">
        <w:t xml:space="preserve">The </w:t>
      </w:r>
      <w:r w:rsidR="00515AA1">
        <w:t xml:space="preserve">importance of safe and accessible public transport options to facilitate community and employment access </w:t>
      </w:r>
      <w:r w:rsidR="00155DE4">
        <w:t xml:space="preserve">is </w:t>
      </w:r>
      <w:r w:rsidR="00584568">
        <w:t xml:space="preserve">highlighted in the </w:t>
      </w:r>
      <w:r w:rsidR="00C709A0">
        <w:t xml:space="preserve">Commission’s IncludeAbility </w:t>
      </w:r>
      <w:r w:rsidR="00A1707A">
        <w:t xml:space="preserve">Employment </w:t>
      </w:r>
      <w:r w:rsidR="0005315C">
        <w:t>Pilots</w:t>
      </w:r>
      <w:r w:rsidR="00CB0F82">
        <w:t>, where employers</w:t>
      </w:r>
      <w:r w:rsidR="00B62AD3">
        <w:t xml:space="preserve"> paid </w:t>
      </w:r>
      <w:r w:rsidR="00584568">
        <w:t xml:space="preserve">significant </w:t>
      </w:r>
      <w:r w:rsidR="0005315C">
        <w:t xml:space="preserve">attention </w:t>
      </w:r>
      <w:r w:rsidR="00662461">
        <w:t>to</w:t>
      </w:r>
      <w:r w:rsidR="007F6D7D">
        <w:t xml:space="preserve"> the implicati</w:t>
      </w:r>
      <w:r w:rsidR="00F94D75">
        <w:t xml:space="preserve">ons of inaccessible transport </w:t>
      </w:r>
      <w:r w:rsidR="00B62AD3">
        <w:t>in enabling employees to participate in employment</w:t>
      </w:r>
      <w:r w:rsidR="00371F9C">
        <w:t xml:space="preserve">. </w:t>
      </w:r>
      <w:r>
        <w:t xml:space="preserve">It remains a primary concern that must be addressed. </w:t>
      </w:r>
    </w:p>
    <w:p w14:paraId="301EDE42" w14:textId="144AE774" w:rsidR="00DA2306" w:rsidRDefault="00AD7EC0" w:rsidP="001F4F87">
      <w:r w:rsidRPr="008A31F1">
        <w:t>The recent report by Taylor Fry and the Centre for International Economics</w:t>
      </w:r>
      <w:r w:rsidR="00215748">
        <w:t>,</w:t>
      </w:r>
      <w:r w:rsidRPr="008A31F1">
        <w:t xml:space="preserve"> </w:t>
      </w:r>
      <w:r w:rsidRPr="008A31F1">
        <w:rPr>
          <w:i/>
        </w:rPr>
        <w:t xml:space="preserve">Economic cost of violence, abuse, </w:t>
      </w:r>
      <w:r w:rsidR="00144D56" w:rsidRPr="008A31F1">
        <w:rPr>
          <w:i/>
        </w:rPr>
        <w:t>neglect,</w:t>
      </w:r>
      <w:r w:rsidRPr="008A31F1">
        <w:rPr>
          <w:i/>
        </w:rPr>
        <w:t xml:space="preserve"> and exploitation of people with </w:t>
      </w:r>
      <w:r w:rsidR="00144D56" w:rsidRPr="00585358">
        <w:rPr>
          <w:i/>
          <w:iCs/>
        </w:rPr>
        <w:t>disability</w:t>
      </w:r>
      <w:r w:rsidR="00215748">
        <w:t>,</w:t>
      </w:r>
      <w:r w:rsidR="00144D56" w:rsidRPr="008A31F1">
        <w:t xml:space="preserve"> identifies</w:t>
      </w:r>
      <w:r w:rsidRPr="008A31F1">
        <w:t xml:space="preserve"> transport inaccessibility as a systemic maltreatment and failure towards people with disability, </w:t>
      </w:r>
      <w:r>
        <w:t>at</w:t>
      </w:r>
      <w:r w:rsidRPr="008A31F1">
        <w:t xml:space="preserve"> an estimated economic cost of $200 million per year.</w:t>
      </w:r>
      <w:r w:rsidR="00144D56">
        <w:rPr>
          <w:rStyle w:val="EndnoteReference"/>
        </w:rPr>
        <w:endnoteReference w:id="3"/>
      </w:r>
      <w:r w:rsidR="00144D56" w:rsidRPr="008A31F1">
        <w:t xml:space="preserve"> </w:t>
      </w:r>
      <w:r w:rsidR="00983612">
        <w:t>T</w:t>
      </w:r>
      <w:r>
        <w:t>hi</w:t>
      </w:r>
      <w:r w:rsidRPr="008A31F1">
        <w:t>s</w:t>
      </w:r>
      <w:r>
        <w:t xml:space="preserve"> figure</w:t>
      </w:r>
      <w:r w:rsidRPr="008A31F1">
        <w:t xml:space="preserve"> </w:t>
      </w:r>
      <w:r>
        <w:t>should</w:t>
      </w:r>
      <w:r w:rsidR="00983612">
        <w:t>, however,</w:t>
      </w:r>
      <w:r>
        <w:t xml:space="preserve"> be taken as </w:t>
      </w:r>
      <w:r w:rsidRPr="008A31F1">
        <w:t>a conservative estimate based on a lack of robust and consistent national data about accessibility</w:t>
      </w:r>
      <w:r>
        <w:t>. The</w:t>
      </w:r>
      <w:r w:rsidRPr="008A31F1">
        <w:t xml:space="preserve"> consequences for the inclusion of people with disability in the community</w:t>
      </w:r>
      <w:r>
        <w:t xml:space="preserve"> are significant</w:t>
      </w:r>
      <w:r w:rsidRPr="008A31F1">
        <w:t>.</w:t>
      </w:r>
    </w:p>
    <w:p w14:paraId="582A20FE" w14:textId="24D55AD7" w:rsidR="00DF7817" w:rsidRDefault="004A1A64" w:rsidP="001F4F87">
      <w:r>
        <w:t>The Commission is concerned with the lack of timely progress on the reforms</w:t>
      </w:r>
      <w:r w:rsidR="007C7A2B">
        <w:t xml:space="preserve"> stemming from the 2017 review</w:t>
      </w:r>
      <w:r>
        <w:t xml:space="preserve">, alongside the absence of full compliance </w:t>
      </w:r>
      <w:r w:rsidR="009A1183">
        <w:t>with</w:t>
      </w:r>
      <w:r>
        <w:t xml:space="preserve"> the legislative targets set 20 years ago</w:t>
      </w:r>
      <w:r w:rsidR="00A53437">
        <w:t xml:space="preserve">. This means that people with disability in Australia </w:t>
      </w:r>
      <w:r w:rsidR="00A53437" w:rsidRPr="00DA2306">
        <w:t>continue to face discrimination in</w:t>
      </w:r>
      <w:r w:rsidR="00A53437">
        <w:t xml:space="preserve"> the provision of public transport services</w:t>
      </w:r>
      <w:r>
        <w:t>. Given there has</w:t>
      </w:r>
      <w:r w:rsidR="00267CE9">
        <w:t xml:space="preserve"> been</w:t>
      </w:r>
      <w:r w:rsidR="008A4DB5">
        <w:t xml:space="preserve"> no change</w:t>
      </w:r>
      <w:r>
        <w:t xml:space="preserve"> to the Transport Standards since the previous review,</w:t>
      </w:r>
      <w:r w:rsidR="002E4825">
        <w:t xml:space="preserve"> </w:t>
      </w:r>
      <w:r w:rsidR="001E30D9">
        <w:t>t</w:t>
      </w:r>
      <w:r w:rsidR="00331FDC">
        <w:t>he</w:t>
      </w:r>
      <w:r>
        <w:t xml:space="preserve"> feedback provided </w:t>
      </w:r>
      <w:r w:rsidR="008A4DB5">
        <w:t>in 2017</w:t>
      </w:r>
      <w:r>
        <w:t xml:space="preserve"> is likely to be relatively similar regarding the effectiveness of the Transport Standards and necessary reform</w:t>
      </w:r>
      <w:r w:rsidR="002E3A56">
        <w:t xml:space="preserve">. </w:t>
      </w:r>
      <w:r w:rsidR="008C55C8">
        <w:t>T</w:t>
      </w:r>
      <w:r w:rsidR="003E0937">
        <w:t xml:space="preserve">he Commission refers the Department to its submission </w:t>
      </w:r>
      <w:r w:rsidR="00C61F70">
        <w:t xml:space="preserve">to </w:t>
      </w:r>
      <w:r w:rsidR="003E0937">
        <w:t>the 2017 Review</w:t>
      </w:r>
      <w:r w:rsidR="008A4DB5">
        <w:t>,</w:t>
      </w:r>
      <w:r w:rsidR="00073781">
        <w:rPr>
          <w:rStyle w:val="EndnoteReference"/>
        </w:rPr>
        <w:endnoteReference w:id="4"/>
      </w:r>
      <w:r w:rsidR="00757E0F">
        <w:t xml:space="preserve"> </w:t>
      </w:r>
      <w:r w:rsidR="008A4DB5">
        <w:lastRenderedPageBreak/>
        <w:t xml:space="preserve">developed in consultation </w:t>
      </w:r>
      <w:r w:rsidR="0003426E">
        <w:t>with</w:t>
      </w:r>
      <w:r w:rsidR="002A559E">
        <w:t xml:space="preserve"> people with disability and disability organisations via an Accessible Transport Fo</w:t>
      </w:r>
      <w:r w:rsidR="009D3F06">
        <w:t xml:space="preserve">rum. The themes raised in </w:t>
      </w:r>
      <w:r w:rsidR="008A4DB5">
        <w:t xml:space="preserve">the 2018 </w:t>
      </w:r>
      <w:r w:rsidR="009D3F06">
        <w:t xml:space="preserve">submission remain relevant </w:t>
      </w:r>
      <w:r w:rsidR="00073781">
        <w:t>today</w:t>
      </w:r>
      <w:r w:rsidR="0045227D">
        <w:t xml:space="preserve"> and the Department is encouraged to read these submissions in conjunction with one another. </w:t>
      </w:r>
    </w:p>
    <w:p w14:paraId="3BC4AEB0" w14:textId="76C7C909" w:rsidR="0068491D" w:rsidRDefault="0068491D" w:rsidP="0068491D">
      <w:r>
        <w:t xml:space="preserve">It is critical that the </w:t>
      </w:r>
      <w:r w:rsidR="006A7114">
        <w:t xml:space="preserve">2022 </w:t>
      </w:r>
      <w:r>
        <w:t>review address</w:t>
      </w:r>
      <w:r w:rsidR="008C55C8">
        <w:t>es</w:t>
      </w:r>
      <w:r>
        <w:t>, and seek</w:t>
      </w:r>
      <w:r w:rsidR="008C55C8">
        <w:t>s</w:t>
      </w:r>
      <w:r>
        <w:t xml:space="preserve"> to remedy, the key concerns of the disability community and their representatives to avoid repetitive consultation processes and stakeholder fatigue.</w:t>
      </w:r>
      <w:r w:rsidRPr="00BB1B5A">
        <w:rPr>
          <w:rFonts w:ascii="Segoe UI" w:hAnsi="Segoe UI" w:cs="Segoe UI"/>
          <w:sz w:val="18"/>
          <w:szCs w:val="18"/>
        </w:rPr>
        <w:t xml:space="preserve"> </w:t>
      </w:r>
      <w:r w:rsidRPr="00312913">
        <w:rPr>
          <w:rFonts w:cs="Open Sans"/>
        </w:rPr>
        <w:t>People with disability, Disability Representative Organisations and Disable</w:t>
      </w:r>
      <w:r w:rsidR="00232931">
        <w:rPr>
          <w:rFonts w:cs="Open Sans"/>
        </w:rPr>
        <w:t>d</w:t>
      </w:r>
      <w:r w:rsidRPr="00312913">
        <w:rPr>
          <w:rFonts w:cs="Open Sans"/>
        </w:rPr>
        <w:t xml:space="preserve"> Peoples’ Organisations </w:t>
      </w:r>
      <w:r>
        <w:rPr>
          <w:rFonts w:cs="Open Sans"/>
        </w:rPr>
        <w:t>continue to be</w:t>
      </w:r>
      <w:r w:rsidRPr="00312913">
        <w:rPr>
          <w:rFonts w:cs="Open Sans"/>
        </w:rPr>
        <w:t xml:space="preserve"> required to make themselves available for significant amounts of consultations and </w:t>
      </w:r>
      <w:r w:rsidR="00914DEE">
        <w:rPr>
          <w:rFonts w:cs="Open Sans"/>
        </w:rPr>
        <w:t xml:space="preserve">for </w:t>
      </w:r>
      <w:r w:rsidRPr="00312913">
        <w:rPr>
          <w:rFonts w:cs="Open Sans"/>
        </w:rPr>
        <w:t xml:space="preserve">submissions </w:t>
      </w:r>
      <w:r w:rsidR="00914DEE">
        <w:rPr>
          <w:rFonts w:cs="Open Sans"/>
        </w:rPr>
        <w:t>to</w:t>
      </w:r>
      <w:r w:rsidRPr="00312913">
        <w:rPr>
          <w:rFonts w:cs="Open Sans"/>
        </w:rPr>
        <w:t xml:space="preserve"> numerous enquiries, including </w:t>
      </w:r>
      <w:r>
        <w:rPr>
          <w:rFonts w:cs="Open Sans"/>
        </w:rPr>
        <w:t>previous r</w:t>
      </w:r>
      <w:r w:rsidRPr="00312913">
        <w:rPr>
          <w:rFonts w:cs="Open Sans"/>
        </w:rPr>
        <w:t xml:space="preserve">eviews and </w:t>
      </w:r>
      <w:r>
        <w:rPr>
          <w:rFonts w:cs="Open Sans"/>
        </w:rPr>
        <w:t>r</w:t>
      </w:r>
      <w:r w:rsidRPr="00312913">
        <w:rPr>
          <w:rFonts w:cs="Open Sans"/>
        </w:rPr>
        <w:t>eforms of the Transport Standards. Combined with the effect of the global pandemic</w:t>
      </w:r>
      <w:r w:rsidR="002C4428">
        <w:rPr>
          <w:rFonts w:cs="Open Sans"/>
        </w:rPr>
        <w:t xml:space="preserve"> and other concurrent significant inquiries relating to disability policy</w:t>
      </w:r>
      <w:r w:rsidRPr="00312913">
        <w:rPr>
          <w:rFonts w:cs="Open Sans"/>
        </w:rPr>
        <w:t xml:space="preserve">, this has meant that already resource-constrained individuals and organisations </w:t>
      </w:r>
      <w:r>
        <w:rPr>
          <w:rFonts w:cs="Open Sans"/>
        </w:rPr>
        <w:t>face</w:t>
      </w:r>
      <w:r w:rsidRPr="00312913">
        <w:rPr>
          <w:rFonts w:cs="Open Sans"/>
        </w:rPr>
        <w:t xml:space="preserve"> a significant workload.</w:t>
      </w:r>
      <w:r>
        <w:t xml:space="preserve"> </w:t>
      </w:r>
    </w:p>
    <w:p w14:paraId="6B8FBD4A" w14:textId="6E6CBF31" w:rsidR="0068491D" w:rsidRDefault="00DF7817" w:rsidP="005F3A2E">
      <w:r>
        <w:t xml:space="preserve">Given that the next review </w:t>
      </w:r>
      <w:r w:rsidR="00F43D8D">
        <w:t>of</w:t>
      </w:r>
      <w:r>
        <w:t xml:space="preserve"> the Transport Standards </w:t>
      </w:r>
      <w:r w:rsidR="00F43D8D">
        <w:t>is scheduled in</w:t>
      </w:r>
      <w:r>
        <w:t xml:space="preserve"> 10 years,</w:t>
      </w:r>
      <w:r w:rsidR="00064884">
        <w:t xml:space="preserve"> </w:t>
      </w:r>
      <w:r w:rsidR="00205CD6">
        <w:t xml:space="preserve">it is important that </w:t>
      </w:r>
      <w:r w:rsidR="00A374F7">
        <w:t xml:space="preserve">the </w:t>
      </w:r>
      <w:r w:rsidR="006B528A">
        <w:t xml:space="preserve">current </w:t>
      </w:r>
      <w:r w:rsidR="00A374F7">
        <w:t xml:space="preserve">review results in efficient and timely </w:t>
      </w:r>
      <w:r w:rsidR="00E9542B">
        <w:t xml:space="preserve">outcomes </w:t>
      </w:r>
      <w:r w:rsidR="006B528A">
        <w:t xml:space="preserve">– </w:t>
      </w:r>
      <w:r w:rsidR="00E9542B">
        <w:t xml:space="preserve">to avoid another decade of inaccessible transport </w:t>
      </w:r>
      <w:r w:rsidR="00F414E6">
        <w:t xml:space="preserve">and non-compliance with the Transport Standards. </w:t>
      </w:r>
    </w:p>
    <w:p w14:paraId="223A243D" w14:textId="3C31CC99" w:rsidR="00DA46AD" w:rsidRDefault="00DA46AD" w:rsidP="005F3A2E">
      <w:r>
        <w:t>Notwithstanding the above c</w:t>
      </w:r>
      <w:r w:rsidR="0012635A">
        <w:t>oncerns</w:t>
      </w:r>
      <w:r>
        <w:t xml:space="preserve">, the 2022 Review provides an opportunity to focus on assessing the broader governance, compliance, enforcement, and policy mechanisms within the legislative framework in a more targeted way, whilst the reforms from the previous review are being implemented.  </w:t>
      </w:r>
    </w:p>
    <w:p w14:paraId="5C60A66C" w14:textId="400E49B1" w:rsidR="00052838" w:rsidRDefault="00052838" w:rsidP="005F3A2E">
      <w:r>
        <w:t xml:space="preserve">The Review should also </w:t>
      </w:r>
      <w:proofErr w:type="gramStart"/>
      <w:r>
        <w:t>take into account</w:t>
      </w:r>
      <w:proofErr w:type="gramEnd"/>
      <w:r>
        <w:t xml:space="preserve"> any findings </w:t>
      </w:r>
      <w:r w:rsidR="004B57D9">
        <w:t xml:space="preserve">and recommendations </w:t>
      </w:r>
      <w:r>
        <w:t>of the Royal Commission into Violence, Abuse, Neglect and Exploitation of People with Disability (Disability Royal Commission)</w:t>
      </w:r>
      <w:r w:rsidR="004B57D9">
        <w:t xml:space="preserve"> and the </w:t>
      </w:r>
      <w:r w:rsidR="00AB595B">
        <w:t>NDIS</w:t>
      </w:r>
      <w:r w:rsidR="004B57D9">
        <w:t xml:space="preserve"> Review in relation to transport</w:t>
      </w:r>
      <w:r w:rsidR="00AB595B">
        <w:t>,</w:t>
      </w:r>
      <w:r w:rsidR="004B57D9">
        <w:t xml:space="preserve"> due later this year</w:t>
      </w:r>
      <w:r w:rsidR="00AB595B">
        <w:t xml:space="preserve">. Both the Disability Royal Commission and the NDIS review </w:t>
      </w:r>
      <w:r w:rsidR="00DA65DB">
        <w:t>are inquiring into</w:t>
      </w:r>
      <w:r w:rsidR="00AB595B">
        <w:t xml:space="preserve"> the role </w:t>
      </w:r>
      <w:r w:rsidR="00CE0FDC">
        <w:t xml:space="preserve">and effectiveness </w:t>
      </w:r>
      <w:r w:rsidR="00AB595B">
        <w:t>of mainstream services</w:t>
      </w:r>
      <w:r w:rsidR="00CE0FDC">
        <w:t xml:space="preserve"> across various policy settings in relation to people with disability in Australia.</w:t>
      </w:r>
    </w:p>
    <w:p w14:paraId="5E517728" w14:textId="4E79930A" w:rsidR="003A6ED6" w:rsidRDefault="00EC669C" w:rsidP="007471DE">
      <w:pPr>
        <w:pStyle w:val="Heading2"/>
      </w:pPr>
      <w:bookmarkStart w:id="15" w:name="_Toc138090489"/>
      <w:r>
        <w:t>Functions of the</w:t>
      </w:r>
      <w:r w:rsidR="003A6ED6">
        <w:t xml:space="preserve"> Commission</w:t>
      </w:r>
      <w:r>
        <w:t xml:space="preserve"> relating to the Transport Standards</w:t>
      </w:r>
      <w:bookmarkEnd w:id="15"/>
    </w:p>
    <w:p w14:paraId="4F24B188" w14:textId="3D04F318" w:rsidR="00904779" w:rsidRDefault="008E1101" w:rsidP="003A6ED6">
      <w:r>
        <w:t xml:space="preserve">The Commission is Australia’s </w:t>
      </w:r>
      <w:r w:rsidR="00DA46AD">
        <w:t>N</w:t>
      </w:r>
      <w:r>
        <w:t xml:space="preserve">ational </w:t>
      </w:r>
      <w:r w:rsidR="00DA46AD">
        <w:t>H</w:t>
      </w:r>
      <w:r>
        <w:t xml:space="preserve">uman </w:t>
      </w:r>
      <w:r w:rsidR="00DA46AD">
        <w:t>R</w:t>
      </w:r>
      <w:r>
        <w:t xml:space="preserve">ights </w:t>
      </w:r>
      <w:r w:rsidR="00DA46AD">
        <w:t>I</w:t>
      </w:r>
      <w:r>
        <w:t xml:space="preserve">nstitution, established </w:t>
      </w:r>
      <w:r w:rsidR="00230527">
        <w:t xml:space="preserve">on a permanent footing </w:t>
      </w:r>
      <w:r>
        <w:t xml:space="preserve">by the </w:t>
      </w:r>
      <w:r w:rsidRPr="008E1101">
        <w:rPr>
          <w:i/>
          <w:iCs/>
        </w:rPr>
        <w:t>Australian Human Rights Commission Act 1986</w:t>
      </w:r>
      <w:r>
        <w:t xml:space="preserve"> (Cth) (Australian Human Rights Commission Act),</w:t>
      </w:r>
      <w:r w:rsidR="00570F58">
        <w:rPr>
          <w:rStyle w:val="EndnoteReference"/>
        </w:rPr>
        <w:endnoteReference w:id="5"/>
      </w:r>
      <w:r>
        <w:t xml:space="preserve"> with recognised independent status and roles in United Nations human rights fora. The Commission’s operations are determined independently of the government through the President and Commissioners</w:t>
      </w:r>
      <w:r w:rsidR="00904779">
        <w:t xml:space="preserve">. </w:t>
      </w:r>
    </w:p>
    <w:p w14:paraId="25F93A28" w14:textId="2C16726B" w:rsidR="00394C25" w:rsidRDefault="002C291C" w:rsidP="003A6ED6">
      <w:r>
        <w:lastRenderedPageBreak/>
        <w:t>The Commission’s purpose is to provide independent and impartial services to promote and protect human rights and fundamental freedoms</w:t>
      </w:r>
      <w:r w:rsidR="00831652">
        <w:t xml:space="preserve"> in Australia</w:t>
      </w:r>
      <w:r>
        <w:t xml:space="preserve">. The Commission undertakes a range of policy development and research tasks that aim to promote compliance with Australia's human rights obligations, while also investigating and conciliating complaints of unlawful discrimination and breaches of human rights. </w:t>
      </w:r>
      <w:r w:rsidR="00C11034">
        <w:t>The Commission also has a role in promoting an understanding and acceptance of human rights in Australia.</w:t>
      </w:r>
      <w:r w:rsidR="00C11034">
        <w:rPr>
          <w:rStyle w:val="EndnoteReference"/>
        </w:rPr>
        <w:endnoteReference w:id="6"/>
      </w:r>
    </w:p>
    <w:p w14:paraId="4D7B1327" w14:textId="3606EEFD" w:rsidR="000E6C9F" w:rsidRDefault="000E6C9F" w:rsidP="000E6C9F">
      <w:r>
        <w:t xml:space="preserve">Under </w:t>
      </w:r>
      <w:r w:rsidR="006F2EAA">
        <w:t>sub</w:t>
      </w:r>
      <w:r>
        <w:t>s</w:t>
      </w:r>
      <w:r w:rsidR="005B1FC3">
        <w:t>ection</w:t>
      </w:r>
      <w:r w:rsidR="006F2EAA">
        <w:t>s</w:t>
      </w:r>
      <w:r>
        <w:t xml:space="preserve"> 67 (1)(d) and (e) of the </w:t>
      </w:r>
      <w:r w:rsidRPr="008A6795">
        <w:rPr>
          <w:i/>
          <w:iCs/>
        </w:rPr>
        <w:t>Disability Discrimination Act 1992</w:t>
      </w:r>
      <w:r>
        <w:t xml:space="preserve"> (Cth) (Disability Discrimination Act)</w:t>
      </w:r>
      <w:r w:rsidR="00607535">
        <w:t>,</w:t>
      </w:r>
      <w:r>
        <w:t xml:space="preserve"> the Commission has statutory </w:t>
      </w:r>
      <w:r w:rsidR="00DA46AD">
        <w:t xml:space="preserve">functions </w:t>
      </w:r>
      <w:r>
        <w:t>to: ‘report to the Minister on matters relating to the development of disability standards’ and ‘to monitor the operation of such standards and report to the Minister the results of such monitoring’.</w:t>
      </w:r>
    </w:p>
    <w:p w14:paraId="31E0179A" w14:textId="288D90FD" w:rsidR="007471DE" w:rsidRDefault="007471DE" w:rsidP="007471DE">
      <w:pPr>
        <w:pStyle w:val="Heading2"/>
      </w:pPr>
      <w:bookmarkStart w:id="16" w:name="_Toc138090490"/>
      <w:r>
        <w:t>Purpose of the Submission</w:t>
      </w:r>
      <w:bookmarkEnd w:id="16"/>
      <w:r>
        <w:t xml:space="preserve"> </w:t>
      </w:r>
    </w:p>
    <w:p w14:paraId="2561A976" w14:textId="12F4EE06" w:rsidR="002A02C7" w:rsidRDefault="00C4650C" w:rsidP="002A02C7">
      <w:pPr>
        <w:rPr>
          <w:rStyle w:val="ui-provider"/>
        </w:rPr>
      </w:pPr>
      <w:r>
        <w:rPr>
          <w:rStyle w:val="ui-provider"/>
        </w:rPr>
        <w:t xml:space="preserve">This submission </w:t>
      </w:r>
      <w:r w:rsidR="002A02C7">
        <w:rPr>
          <w:rStyle w:val="ui-provider"/>
        </w:rPr>
        <w:t>lays out the international</w:t>
      </w:r>
      <w:r w:rsidR="00612191">
        <w:rPr>
          <w:rStyle w:val="ui-provider"/>
        </w:rPr>
        <w:t xml:space="preserve"> human rights</w:t>
      </w:r>
      <w:r w:rsidR="002A02C7">
        <w:rPr>
          <w:rStyle w:val="ui-provider"/>
        </w:rPr>
        <w:t xml:space="preserve"> and domestic </w:t>
      </w:r>
      <w:r w:rsidR="00612191">
        <w:rPr>
          <w:rStyle w:val="ui-provider"/>
        </w:rPr>
        <w:t xml:space="preserve">anti-discrimination law </w:t>
      </w:r>
      <w:r w:rsidR="00CA3CAA">
        <w:rPr>
          <w:rStyle w:val="ui-provider"/>
        </w:rPr>
        <w:t xml:space="preserve">relevant to the Transport Standards and </w:t>
      </w:r>
      <w:r>
        <w:rPr>
          <w:rStyle w:val="ui-provider"/>
        </w:rPr>
        <w:t>outlines the Commission</w:t>
      </w:r>
      <w:r w:rsidR="00C333E1">
        <w:rPr>
          <w:rStyle w:val="ui-provider"/>
        </w:rPr>
        <w:t>’</w:t>
      </w:r>
      <w:r>
        <w:rPr>
          <w:rStyle w:val="ui-provider"/>
        </w:rPr>
        <w:t>s observations</w:t>
      </w:r>
      <w:r w:rsidR="006D2003">
        <w:rPr>
          <w:rStyle w:val="ui-provider"/>
        </w:rPr>
        <w:t xml:space="preserve"> and analysis</w:t>
      </w:r>
      <w:r>
        <w:rPr>
          <w:rStyle w:val="ui-provider"/>
        </w:rPr>
        <w:t xml:space="preserve"> regarding</w:t>
      </w:r>
      <w:r w:rsidR="006D2003">
        <w:rPr>
          <w:rStyle w:val="ui-provider"/>
        </w:rPr>
        <w:t>:</w:t>
      </w:r>
    </w:p>
    <w:p w14:paraId="41913B1C" w14:textId="78F0810C" w:rsidR="001226F3" w:rsidRDefault="003B3D3E" w:rsidP="001226F3">
      <w:pPr>
        <w:pStyle w:val="ListParagraph"/>
        <w:numPr>
          <w:ilvl w:val="0"/>
          <w:numId w:val="16"/>
        </w:numPr>
        <w:rPr>
          <w:rStyle w:val="ui-provider"/>
        </w:rPr>
      </w:pPr>
      <w:r>
        <w:rPr>
          <w:rStyle w:val="ui-provider"/>
        </w:rPr>
        <w:t>c</w:t>
      </w:r>
      <w:r w:rsidR="00A25059">
        <w:rPr>
          <w:rStyle w:val="ui-provider"/>
        </w:rPr>
        <w:t xml:space="preserve">omplaints </w:t>
      </w:r>
      <w:r w:rsidR="00DA46AD">
        <w:rPr>
          <w:rStyle w:val="ui-provider"/>
        </w:rPr>
        <w:t xml:space="preserve">received by the Commission </w:t>
      </w:r>
      <w:r w:rsidR="00A25059">
        <w:rPr>
          <w:rStyle w:val="ui-provider"/>
        </w:rPr>
        <w:t>under the</w:t>
      </w:r>
      <w:r w:rsidR="00DA46AD">
        <w:rPr>
          <w:rStyle w:val="ui-provider"/>
        </w:rPr>
        <w:t xml:space="preserve"> Transport Standards</w:t>
      </w:r>
      <w:r w:rsidR="00A25059">
        <w:rPr>
          <w:rStyle w:val="ui-provider"/>
        </w:rPr>
        <w:t xml:space="preserve"> </w:t>
      </w:r>
      <w:r w:rsidR="00DA46AD">
        <w:rPr>
          <w:rStyle w:val="ui-provider"/>
        </w:rPr>
        <w:t xml:space="preserve">and </w:t>
      </w:r>
      <w:r w:rsidR="00A25059">
        <w:rPr>
          <w:rStyle w:val="ui-provider"/>
        </w:rPr>
        <w:t xml:space="preserve">Disability Discrimination Act, and </w:t>
      </w:r>
      <w:r w:rsidR="00DA46AD">
        <w:rPr>
          <w:rStyle w:val="ui-provider"/>
        </w:rPr>
        <w:t xml:space="preserve">requests for </w:t>
      </w:r>
      <w:r w:rsidR="00A25059">
        <w:rPr>
          <w:rStyle w:val="ui-provider"/>
        </w:rPr>
        <w:t xml:space="preserve">exemptions </w:t>
      </w:r>
      <w:r w:rsidR="00DA46AD">
        <w:rPr>
          <w:rStyle w:val="ui-provider"/>
        </w:rPr>
        <w:t xml:space="preserve">made by providers </w:t>
      </w:r>
      <w:r w:rsidR="00A25059">
        <w:rPr>
          <w:rStyle w:val="ui-provider"/>
        </w:rPr>
        <w:t>under the Transport Standards</w:t>
      </w:r>
    </w:p>
    <w:p w14:paraId="203F9AC0" w14:textId="42AA1F6A" w:rsidR="006D2003" w:rsidRDefault="003B3D3E" w:rsidP="00461ACB">
      <w:pPr>
        <w:pStyle w:val="ListParagraph"/>
        <w:numPr>
          <w:ilvl w:val="0"/>
          <w:numId w:val="16"/>
        </w:numPr>
        <w:rPr>
          <w:rStyle w:val="ui-provider"/>
        </w:rPr>
      </w:pPr>
      <w:r>
        <w:rPr>
          <w:rStyle w:val="ui-provider"/>
        </w:rPr>
        <w:t>t</w:t>
      </w:r>
      <w:r w:rsidR="006D2003">
        <w:rPr>
          <w:rStyle w:val="ui-provider"/>
        </w:rPr>
        <w:t xml:space="preserve">he </w:t>
      </w:r>
      <w:r w:rsidR="00C4650C">
        <w:rPr>
          <w:rStyle w:val="ui-provider"/>
        </w:rPr>
        <w:t xml:space="preserve">effectiveness of the Transport Standards </w:t>
      </w:r>
      <w:r w:rsidR="00C363BB">
        <w:rPr>
          <w:rStyle w:val="ui-provider"/>
        </w:rPr>
        <w:t xml:space="preserve">to remove </w:t>
      </w:r>
      <w:r w:rsidR="00F766E1">
        <w:rPr>
          <w:rStyle w:val="ui-provider"/>
        </w:rPr>
        <w:t>discrimination</w:t>
      </w:r>
    </w:p>
    <w:p w14:paraId="0277955A" w14:textId="3D93AA50" w:rsidR="00C363BB" w:rsidRDefault="003B3D3E" w:rsidP="00461ACB">
      <w:pPr>
        <w:pStyle w:val="ListParagraph"/>
        <w:numPr>
          <w:ilvl w:val="0"/>
          <w:numId w:val="16"/>
        </w:numPr>
        <w:rPr>
          <w:rStyle w:val="ui-provider"/>
        </w:rPr>
      </w:pPr>
      <w:r>
        <w:rPr>
          <w:rStyle w:val="ui-provider"/>
        </w:rPr>
        <w:t>a</w:t>
      </w:r>
      <w:r w:rsidR="00C363BB">
        <w:rPr>
          <w:rStyle w:val="ui-provider"/>
        </w:rPr>
        <w:t xml:space="preserve">nalysis of the legal framework and policy mechanisms, including enforcement, </w:t>
      </w:r>
      <w:r w:rsidR="00BB2F36">
        <w:rPr>
          <w:rStyle w:val="ui-provider"/>
        </w:rPr>
        <w:t>compliance,</w:t>
      </w:r>
      <w:r w:rsidR="00C363BB">
        <w:rPr>
          <w:rStyle w:val="ui-provider"/>
        </w:rPr>
        <w:t xml:space="preserve"> and reporting</w:t>
      </w:r>
    </w:p>
    <w:p w14:paraId="532A1F3E" w14:textId="1435F130" w:rsidR="001226F3" w:rsidRDefault="001226F3" w:rsidP="00461ACB">
      <w:pPr>
        <w:pStyle w:val="ListParagraph"/>
        <w:numPr>
          <w:ilvl w:val="0"/>
          <w:numId w:val="16"/>
        </w:numPr>
        <w:rPr>
          <w:rStyle w:val="ui-provider"/>
        </w:rPr>
      </w:pPr>
      <w:r w:rsidRPr="6D9CB396">
        <w:rPr>
          <w:rStyle w:val="ui-provider"/>
        </w:rPr>
        <w:t xml:space="preserve">the capacity of the Commission to conduct ongoing monitoring of the operation of the </w:t>
      </w:r>
      <w:r w:rsidR="003038DF" w:rsidRPr="6D9CB396">
        <w:rPr>
          <w:rStyle w:val="ui-provider"/>
        </w:rPr>
        <w:t xml:space="preserve">Transport </w:t>
      </w:r>
      <w:r w:rsidRPr="6D9CB396">
        <w:rPr>
          <w:rStyle w:val="ui-provider"/>
        </w:rPr>
        <w:t>Standards</w:t>
      </w:r>
      <w:r w:rsidR="003038DF" w:rsidRPr="6D9CB396">
        <w:rPr>
          <w:rStyle w:val="ui-provider"/>
        </w:rPr>
        <w:t xml:space="preserve"> </w:t>
      </w:r>
    </w:p>
    <w:p w14:paraId="479E64B9" w14:textId="64F989C4" w:rsidR="00D207FC" w:rsidRDefault="003B3D3E" w:rsidP="00461ACB">
      <w:pPr>
        <w:pStyle w:val="ListParagraph"/>
        <w:numPr>
          <w:ilvl w:val="0"/>
          <w:numId w:val="16"/>
        </w:numPr>
        <w:rPr>
          <w:rStyle w:val="ui-provider"/>
        </w:rPr>
      </w:pPr>
      <w:r w:rsidRPr="6D9CB396">
        <w:rPr>
          <w:rStyle w:val="ui-provider"/>
        </w:rPr>
        <w:t>t</w:t>
      </w:r>
      <w:r w:rsidR="0069652B" w:rsidRPr="6D9CB396">
        <w:rPr>
          <w:rStyle w:val="ui-provider"/>
        </w:rPr>
        <w:t>he inclusion of people with disability in relation to transport policy</w:t>
      </w:r>
    </w:p>
    <w:p w14:paraId="46F5D6D6" w14:textId="542701B6" w:rsidR="0069652B" w:rsidRDefault="003772EA" w:rsidP="00461ACB">
      <w:pPr>
        <w:pStyle w:val="ListParagraph"/>
        <w:numPr>
          <w:ilvl w:val="0"/>
          <w:numId w:val="16"/>
        </w:numPr>
        <w:rPr>
          <w:rStyle w:val="ui-provider"/>
        </w:rPr>
      </w:pPr>
      <w:r w:rsidRPr="6D9CB396">
        <w:rPr>
          <w:rStyle w:val="ui-provider"/>
        </w:rPr>
        <w:t>t</w:t>
      </w:r>
      <w:r w:rsidR="00AB4784" w:rsidRPr="6D9CB396">
        <w:rPr>
          <w:rStyle w:val="ui-provider"/>
        </w:rPr>
        <w:t>he need to support people with disability and the transport sector to better understand rights, accessibility</w:t>
      </w:r>
      <w:r w:rsidR="00DD1B29" w:rsidRPr="6D9CB396">
        <w:rPr>
          <w:rStyle w:val="ui-provider"/>
        </w:rPr>
        <w:t>,</w:t>
      </w:r>
      <w:r w:rsidR="00AB4784" w:rsidRPr="6D9CB396">
        <w:rPr>
          <w:rStyle w:val="ui-provider"/>
        </w:rPr>
        <w:t xml:space="preserve"> and discrimination</w:t>
      </w:r>
      <w:r w:rsidR="00DD1B29" w:rsidRPr="6D9CB396">
        <w:rPr>
          <w:rStyle w:val="ui-provider"/>
        </w:rPr>
        <w:t>, and to promot</w:t>
      </w:r>
      <w:r w:rsidR="002D098B" w:rsidRPr="6D9CB396">
        <w:rPr>
          <w:rStyle w:val="ui-provider"/>
        </w:rPr>
        <w:t xml:space="preserve">e the </w:t>
      </w:r>
      <w:r w:rsidR="00DD1B29" w:rsidRPr="6D9CB396">
        <w:rPr>
          <w:rStyle w:val="ui-provider"/>
        </w:rPr>
        <w:t xml:space="preserve">Transport Standards </w:t>
      </w:r>
    </w:p>
    <w:p w14:paraId="77C4EF2D" w14:textId="0F44CC0C" w:rsidR="006A11A5" w:rsidRDefault="003772EA" w:rsidP="00461ACB">
      <w:pPr>
        <w:pStyle w:val="ListParagraph"/>
        <w:numPr>
          <w:ilvl w:val="0"/>
          <w:numId w:val="16"/>
        </w:numPr>
        <w:rPr>
          <w:rStyle w:val="ui-provider"/>
        </w:rPr>
      </w:pPr>
      <w:r w:rsidRPr="6D9CB396">
        <w:rPr>
          <w:rStyle w:val="ui-provider"/>
        </w:rPr>
        <w:t>r</w:t>
      </w:r>
      <w:r w:rsidR="006A11A5" w:rsidRPr="6D9CB396">
        <w:rPr>
          <w:rStyle w:val="ui-provider"/>
        </w:rPr>
        <w:t>ecommendatio</w:t>
      </w:r>
      <w:r w:rsidR="00A51ABA" w:rsidRPr="6D9CB396">
        <w:rPr>
          <w:rStyle w:val="ui-provider"/>
        </w:rPr>
        <w:t>ns to improve the efficiency and effectiveness of the Transport Standards</w:t>
      </w:r>
      <w:r w:rsidR="00D207FC" w:rsidRPr="6D9CB396">
        <w:rPr>
          <w:rStyle w:val="ui-provider"/>
        </w:rPr>
        <w:t xml:space="preserve">, and to realise the rights of people with disability. </w:t>
      </w:r>
    </w:p>
    <w:p w14:paraId="0B448558" w14:textId="25497DF8" w:rsidR="003B3D3E" w:rsidRDefault="003B3D3E" w:rsidP="003B3D3E">
      <w:r>
        <w:t xml:space="preserve">Key considerations for the Commission regarding the Review of the Transport Standards and subsequent reforms are whether: </w:t>
      </w:r>
    </w:p>
    <w:p w14:paraId="5EBC3EC8" w14:textId="3E95D7CE" w:rsidR="003B3D3E" w:rsidRPr="00C5597C" w:rsidRDefault="008F370B" w:rsidP="00461ACB">
      <w:pPr>
        <w:pStyle w:val="ListParagraph"/>
        <w:numPr>
          <w:ilvl w:val="0"/>
          <w:numId w:val="16"/>
        </w:numPr>
        <w:rPr>
          <w:rStyle w:val="ui-provider"/>
        </w:rPr>
      </w:pPr>
      <w:r w:rsidRPr="6D9CB396">
        <w:rPr>
          <w:rStyle w:val="ui-provider"/>
        </w:rPr>
        <w:lastRenderedPageBreak/>
        <w:t>t</w:t>
      </w:r>
      <w:r w:rsidR="003B3D3E" w:rsidRPr="6D9CB396">
        <w:rPr>
          <w:rStyle w:val="ui-provider"/>
        </w:rPr>
        <w:t>he Transport Standards are being reviewed in a way that seeks to advance their intent and purpose to remove discrimination and improve access to public transport and inclusion in the community for people with disability</w:t>
      </w:r>
    </w:p>
    <w:p w14:paraId="76C1793C" w14:textId="034B1224" w:rsidR="003B3D3E" w:rsidRPr="00C5597C" w:rsidRDefault="00456469" w:rsidP="00461ACB">
      <w:pPr>
        <w:pStyle w:val="ListParagraph"/>
        <w:numPr>
          <w:ilvl w:val="0"/>
          <w:numId w:val="16"/>
        </w:numPr>
        <w:rPr>
          <w:rStyle w:val="ui-provider"/>
        </w:rPr>
      </w:pPr>
      <w:r w:rsidRPr="6D9CB396">
        <w:rPr>
          <w:rStyle w:val="ui-provider"/>
        </w:rPr>
        <w:t>t</w:t>
      </w:r>
      <w:r w:rsidR="003B3D3E" w:rsidRPr="6D9CB396">
        <w:rPr>
          <w:rStyle w:val="ui-provider"/>
        </w:rPr>
        <w:t>he legislative framework, governance, and underlying principles are effective in enabling this</w:t>
      </w:r>
    </w:p>
    <w:p w14:paraId="7754F94A" w14:textId="6E2D24C9" w:rsidR="003B3D3E" w:rsidRPr="00C5597C" w:rsidRDefault="00A46C3A" w:rsidP="00461ACB">
      <w:pPr>
        <w:pStyle w:val="ListParagraph"/>
        <w:numPr>
          <w:ilvl w:val="0"/>
          <w:numId w:val="16"/>
        </w:numPr>
        <w:rPr>
          <w:rStyle w:val="ui-provider"/>
        </w:rPr>
      </w:pPr>
      <w:r w:rsidRPr="6D9CB396">
        <w:rPr>
          <w:rStyle w:val="ui-provider"/>
        </w:rPr>
        <w:t>t</w:t>
      </w:r>
      <w:r w:rsidR="003B3D3E" w:rsidRPr="6D9CB396">
        <w:rPr>
          <w:rStyle w:val="ui-provider"/>
        </w:rPr>
        <w:t>he voice of people with disability in the reforms, review, and engagement with transport providers are given significant weight to decisions</w:t>
      </w:r>
    </w:p>
    <w:p w14:paraId="33645690" w14:textId="0DB2EDAC" w:rsidR="003B3D3E" w:rsidRDefault="00A46C3A" w:rsidP="00461ACB">
      <w:pPr>
        <w:pStyle w:val="ListParagraph"/>
        <w:numPr>
          <w:ilvl w:val="0"/>
          <w:numId w:val="16"/>
        </w:numPr>
        <w:rPr>
          <w:rStyle w:val="ui-provider"/>
        </w:rPr>
      </w:pPr>
      <w:r w:rsidRPr="6D9CB396">
        <w:rPr>
          <w:rStyle w:val="ui-provider"/>
        </w:rPr>
        <w:t>a</w:t>
      </w:r>
      <w:r w:rsidR="003B3D3E" w:rsidRPr="6D9CB396">
        <w:rPr>
          <w:rStyle w:val="ui-provider"/>
        </w:rPr>
        <w:t xml:space="preserve">ppropriate measures exist to evaluate the effectiveness of the Transport Standards, including outcomes and benefits analysis beyond compliance towards enhanced accessibility.  </w:t>
      </w:r>
    </w:p>
    <w:p w14:paraId="18832294" w14:textId="6C797FCD" w:rsidR="00D03307" w:rsidRPr="009616D1" w:rsidRDefault="00D03307" w:rsidP="0015239E">
      <w:pPr>
        <w:pStyle w:val="Heading1"/>
      </w:pPr>
      <w:bookmarkStart w:id="17" w:name="_Toc138090491"/>
      <w:r w:rsidRPr="009616D1">
        <w:t>Recommendations</w:t>
      </w:r>
      <w:bookmarkEnd w:id="17"/>
    </w:p>
    <w:p w14:paraId="79D2571D" w14:textId="2A72B8A8" w:rsidR="003423F4" w:rsidRDefault="003423F4" w:rsidP="003423F4">
      <w:r>
        <w:t xml:space="preserve">The </w:t>
      </w:r>
      <w:r w:rsidR="00604130">
        <w:t>C</w:t>
      </w:r>
      <w:r>
        <w:t>ommission recommends</w:t>
      </w:r>
      <w:r w:rsidR="003230BB">
        <w:t>:</w:t>
      </w:r>
    </w:p>
    <w:p w14:paraId="7948764B" w14:textId="2632D5BA" w:rsidR="003E69F5" w:rsidRPr="001C5102" w:rsidRDefault="003E69F5" w:rsidP="003E69F5">
      <w:pPr>
        <w:rPr>
          <w:b/>
          <w:bCs/>
        </w:rPr>
      </w:pPr>
      <w:r>
        <w:rPr>
          <w:b/>
          <w:bCs/>
        </w:rPr>
        <w:t xml:space="preserve">Recommendation </w:t>
      </w:r>
      <w:r w:rsidR="001A3A9D">
        <w:rPr>
          <w:b/>
          <w:bCs/>
        </w:rPr>
        <w:t>1</w:t>
      </w:r>
      <w:r>
        <w:rPr>
          <w:b/>
          <w:bCs/>
        </w:rPr>
        <w:t xml:space="preserve">: The Australian Government should remove the exemption for dedicated school buses to ensure all children have access to transport for educational purposes. </w:t>
      </w:r>
    </w:p>
    <w:p w14:paraId="6BEF244A" w14:textId="74516245" w:rsidR="003E69F5" w:rsidRDefault="003E69F5" w:rsidP="003E69F5">
      <w:pPr>
        <w:rPr>
          <w:rFonts w:cs="Open Sans"/>
          <w:b/>
          <w:bCs/>
        </w:rPr>
      </w:pPr>
      <w:r>
        <w:rPr>
          <w:b/>
          <w:bCs/>
        </w:rPr>
        <w:t>Recommendation</w:t>
      </w:r>
      <w:r w:rsidR="001A3A9D">
        <w:rPr>
          <w:b/>
          <w:bCs/>
        </w:rPr>
        <w:t xml:space="preserve"> 2</w:t>
      </w:r>
      <w:r>
        <w:rPr>
          <w:b/>
          <w:bCs/>
        </w:rPr>
        <w:t xml:space="preserve">: </w:t>
      </w:r>
      <w:r w:rsidRPr="00A1457B">
        <w:rPr>
          <w:b/>
          <w:bCs/>
        </w:rPr>
        <w:t xml:space="preserve">An </w:t>
      </w:r>
      <w:r w:rsidRPr="00A1457B">
        <w:rPr>
          <w:rFonts w:cs="Open Sans"/>
          <w:b/>
          <w:bCs/>
          <w:color w:val="000000"/>
        </w:rPr>
        <w:t>independent review of the Transport</w:t>
      </w:r>
      <w:r w:rsidRPr="00A1457B">
        <w:rPr>
          <w:rFonts w:cs="Open Sans"/>
          <w:b/>
          <w:bCs/>
        </w:rPr>
        <w:t xml:space="preserve"> </w:t>
      </w:r>
      <w:r>
        <w:rPr>
          <w:rFonts w:cs="Open Sans"/>
          <w:b/>
          <w:bCs/>
        </w:rPr>
        <w:t xml:space="preserve">Standards </w:t>
      </w:r>
      <w:r w:rsidRPr="00A1457B">
        <w:rPr>
          <w:rFonts w:cs="Open Sans"/>
          <w:b/>
          <w:bCs/>
        </w:rPr>
        <w:t xml:space="preserve">should be conducted to consider their effectiveness in addressing unlawful discrimination, as well as the effectiveness of the current legislative, governance, policy, and practice arrangements in place to implement and achieve compliance with the </w:t>
      </w:r>
      <w:r>
        <w:rPr>
          <w:rFonts w:cs="Open Sans"/>
          <w:b/>
          <w:bCs/>
        </w:rPr>
        <w:t>Transport Standards. An independent review should also consider appropriate monitoring, regulatory and complaint processes.</w:t>
      </w:r>
    </w:p>
    <w:p w14:paraId="50500D43" w14:textId="7133F264" w:rsidR="003E69F5" w:rsidRPr="006524BC" w:rsidRDefault="003E69F5" w:rsidP="003E69F5">
      <w:pPr>
        <w:rPr>
          <w:rFonts w:cs="Open Sans"/>
          <w:b/>
          <w:bCs/>
        </w:rPr>
      </w:pPr>
      <w:r w:rsidRPr="001D0BCD">
        <w:rPr>
          <w:b/>
          <w:bCs/>
        </w:rPr>
        <w:t xml:space="preserve">Recommendation </w:t>
      </w:r>
      <w:r w:rsidR="001A3A9D">
        <w:rPr>
          <w:b/>
          <w:bCs/>
        </w:rPr>
        <w:t>3</w:t>
      </w:r>
      <w:r w:rsidRPr="001D0BCD">
        <w:rPr>
          <w:b/>
          <w:bCs/>
        </w:rPr>
        <w:t xml:space="preserve">: </w:t>
      </w:r>
      <w:r>
        <w:rPr>
          <w:b/>
          <w:bCs/>
        </w:rPr>
        <w:t>Australian Governments</w:t>
      </w:r>
      <w:r w:rsidRPr="003B4A9F">
        <w:rPr>
          <w:b/>
          <w:bCs/>
        </w:rPr>
        <w:t xml:space="preserve"> should</w:t>
      </w:r>
      <w:r>
        <w:rPr>
          <w:b/>
          <w:bCs/>
        </w:rPr>
        <w:t xml:space="preserve"> prioritise an independent audit of public transport conveyances against Schedule 1 of the Transport Standards to establish an accurate assessment of compliance to support the Review. This will create a baseline for future reviews and support enforcement. Findings of this audit should be made </w:t>
      </w:r>
      <w:r w:rsidRPr="006524BC">
        <w:rPr>
          <w:rFonts w:cs="Open Sans"/>
          <w:b/>
          <w:bCs/>
        </w:rPr>
        <w:t xml:space="preserve">public. </w:t>
      </w:r>
    </w:p>
    <w:p w14:paraId="2A19B036" w14:textId="77777777" w:rsidR="003E69F5" w:rsidRDefault="003E69F5" w:rsidP="003E69F5">
      <w:pPr>
        <w:pStyle w:val="ListParagraph"/>
        <w:numPr>
          <w:ilvl w:val="0"/>
          <w:numId w:val="28"/>
        </w:numPr>
        <w:rPr>
          <w:rStyle w:val="cf01"/>
          <w:rFonts w:cs="Open Sans"/>
          <w:b/>
          <w:bCs/>
        </w:rPr>
      </w:pPr>
      <w:r w:rsidRPr="006524BC">
        <w:rPr>
          <w:rStyle w:val="cf01"/>
          <w:rFonts w:ascii="Open Sans" w:hAnsi="Open Sans" w:cs="Open Sans"/>
          <w:b/>
          <w:bCs/>
          <w:sz w:val="24"/>
          <w:szCs w:val="24"/>
        </w:rPr>
        <w:t xml:space="preserve">The Commission, by way of its independence and functions under the Transport Standards, could be well placed to undertake this audit, provided it is resourced to do so. </w:t>
      </w:r>
    </w:p>
    <w:p w14:paraId="3689DE89" w14:textId="28050B36" w:rsidR="005309A4" w:rsidRDefault="005309A4" w:rsidP="003E69F5">
      <w:pPr>
        <w:rPr>
          <w:b/>
          <w:bCs/>
        </w:rPr>
      </w:pPr>
      <w:r w:rsidRPr="005309A4">
        <w:rPr>
          <w:b/>
          <w:bCs/>
        </w:rPr>
        <w:t xml:space="preserve">Recommendation 4: The Australian Government should establish and enact a national framework for mandatory compliance reporting, as per the </w:t>
      </w:r>
      <w:r w:rsidRPr="005309A4">
        <w:rPr>
          <w:b/>
          <w:bCs/>
        </w:rPr>
        <w:lastRenderedPageBreak/>
        <w:t>recommendation made by the UN Committee on the Rights of Persons with Disabilities. Compliance data should be collected on a mandatory basis on all assets covered by the Transport Standards. All data collected should be done so at regular intervals, made publicly available and reported upon periodically.</w:t>
      </w:r>
    </w:p>
    <w:p w14:paraId="622AFC38" w14:textId="625DE139" w:rsidR="003E69F5" w:rsidRDefault="003E69F5" w:rsidP="003E69F5">
      <w:r>
        <w:rPr>
          <w:b/>
          <w:bCs/>
        </w:rPr>
        <w:t xml:space="preserve">Recommendation </w:t>
      </w:r>
      <w:r w:rsidR="001A3A9D">
        <w:rPr>
          <w:b/>
          <w:bCs/>
        </w:rPr>
        <w:t>5</w:t>
      </w:r>
      <w:r>
        <w:rPr>
          <w:b/>
          <w:bCs/>
        </w:rPr>
        <w:t>: A</w:t>
      </w:r>
      <w:r w:rsidRPr="00AA6AA6">
        <w:rPr>
          <w:b/>
          <w:bCs/>
        </w:rPr>
        <w:t xml:space="preserve"> </w:t>
      </w:r>
      <w:r>
        <w:rPr>
          <w:b/>
          <w:bCs/>
        </w:rPr>
        <w:t xml:space="preserve">mandatory </w:t>
      </w:r>
      <w:r w:rsidRPr="00AA6AA6">
        <w:rPr>
          <w:b/>
          <w:bCs/>
        </w:rPr>
        <w:t>reporting</w:t>
      </w:r>
      <w:r>
        <w:rPr>
          <w:b/>
          <w:bCs/>
        </w:rPr>
        <w:t xml:space="preserve"> and compliance</w:t>
      </w:r>
      <w:r w:rsidRPr="00AA6AA6">
        <w:rPr>
          <w:b/>
          <w:bCs/>
        </w:rPr>
        <w:t xml:space="preserve"> framework should:</w:t>
      </w:r>
      <w:r>
        <w:t xml:space="preserve"> </w:t>
      </w:r>
    </w:p>
    <w:p w14:paraId="261AD101" w14:textId="77777777" w:rsidR="003E69F5" w:rsidRPr="00C465D5" w:rsidRDefault="003E69F5" w:rsidP="003E69F5">
      <w:pPr>
        <w:pStyle w:val="ListParagraph"/>
        <w:numPr>
          <w:ilvl w:val="0"/>
          <w:numId w:val="22"/>
        </w:numPr>
        <w:spacing w:before="0" w:after="160" w:line="259" w:lineRule="auto"/>
        <w:contextualSpacing/>
        <w:rPr>
          <w:b/>
          <w:bCs/>
        </w:rPr>
      </w:pPr>
      <w:r w:rsidRPr="00C465D5">
        <w:rPr>
          <w:b/>
          <w:bCs/>
        </w:rPr>
        <w:t xml:space="preserve">be aligned to the mandatory provisions under the Transport Standards, whilst including equivalent access considerations to allow for flexibility. </w:t>
      </w:r>
    </w:p>
    <w:p w14:paraId="6DD0D2FA" w14:textId="77777777" w:rsidR="003E69F5" w:rsidRDefault="003E69F5" w:rsidP="003E69F5">
      <w:pPr>
        <w:pStyle w:val="ListParagraph"/>
        <w:numPr>
          <w:ilvl w:val="0"/>
          <w:numId w:val="22"/>
        </w:numPr>
        <w:spacing w:before="0" w:after="160" w:line="259" w:lineRule="auto"/>
        <w:contextualSpacing/>
        <w:rPr>
          <w:b/>
          <w:bCs/>
        </w:rPr>
      </w:pPr>
      <w:r w:rsidRPr="00C465D5">
        <w:rPr>
          <w:b/>
          <w:bCs/>
        </w:rPr>
        <w:t>set the minimum acceptable standard of public transport accessibility whilst encouraging innovative solutions and design beyond compliance to consider accessibility.</w:t>
      </w:r>
    </w:p>
    <w:p w14:paraId="7F3AA2D3" w14:textId="77777777" w:rsidR="003E69F5" w:rsidRPr="00C465D5" w:rsidRDefault="003E69F5" w:rsidP="003E69F5">
      <w:pPr>
        <w:pStyle w:val="ListParagraph"/>
        <w:numPr>
          <w:ilvl w:val="0"/>
          <w:numId w:val="22"/>
        </w:numPr>
        <w:spacing w:before="0" w:after="160" w:line="259" w:lineRule="auto"/>
        <w:contextualSpacing/>
        <w:rPr>
          <w:b/>
          <w:bCs/>
        </w:rPr>
      </w:pPr>
      <w:r>
        <w:rPr>
          <w:b/>
          <w:bCs/>
        </w:rPr>
        <w:t xml:space="preserve">Include additional use elements, in particular the reporting of complaints made to an organisation. </w:t>
      </w:r>
    </w:p>
    <w:p w14:paraId="078568F9" w14:textId="469640B7" w:rsidR="003E69F5" w:rsidRDefault="003E69F5" w:rsidP="003E69F5">
      <w:pPr>
        <w:rPr>
          <w:b/>
          <w:bCs/>
        </w:rPr>
      </w:pPr>
      <w:r>
        <w:rPr>
          <w:b/>
          <w:bCs/>
        </w:rPr>
        <w:t xml:space="preserve">Recommendation </w:t>
      </w:r>
      <w:r w:rsidR="001A3A9D">
        <w:rPr>
          <w:b/>
          <w:bCs/>
        </w:rPr>
        <w:t>6</w:t>
      </w:r>
      <w:r>
        <w:rPr>
          <w:b/>
          <w:bCs/>
        </w:rPr>
        <w:t>: The Department should prioritise consultation and co-design with the disability community in the development of a national reporting framework.</w:t>
      </w:r>
    </w:p>
    <w:p w14:paraId="2418D6B9" w14:textId="0D3D93BC" w:rsidR="003E69F5" w:rsidRPr="005B3627" w:rsidRDefault="003E69F5" w:rsidP="003E69F5">
      <w:pPr>
        <w:rPr>
          <w:b/>
          <w:bCs/>
        </w:rPr>
      </w:pPr>
      <w:r>
        <w:rPr>
          <w:b/>
          <w:bCs/>
        </w:rPr>
        <w:t xml:space="preserve">Recommendation </w:t>
      </w:r>
      <w:r w:rsidR="001A3A9D">
        <w:rPr>
          <w:b/>
          <w:bCs/>
        </w:rPr>
        <w:t>7</w:t>
      </w:r>
      <w:r>
        <w:rPr>
          <w:b/>
          <w:bCs/>
        </w:rPr>
        <w:t xml:space="preserve">: Operators and Providers of public transport should commit to developing Disability Action Plans, as per the provisions under section 61 of the Disability Discrimination Act. These plans should include actions to achieve compliance with the Transport Standards based on accessibility audits and strategies towards enhanced accessibility and should be publicly reported against. </w:t>
      </w:r>
    </w:p>
    <w:p w14:paraId="67F24EDF" w14:textId="70C549E9" w:rsidR="003E69F5" w:rsidRDefault="003E69F5" w:rsidP="003E69F5">
      <w:pPr>
        <w:rPr>
          <w:b/>
          <w:bCs/>
        </w:rPr>
      </w:pPr>
      <w:r>
        <w:rPr>
          <w:b/>
          <w:bCs/>
        </w:rPr>
        <w:t xml:space="preserve">Recommendation </w:t>
      </w:r>
      <w:r w:rsidR="001A3A9D">
        <w:rPr>
          <w:b/>
          <w:bCs/>
        </w:rPr>
        <w:t>8</w:t>
      </w:r>
      <w:r>
        <w:rPr>
          <w:b/>
          <w:bCs/>
        </w:rPr>
        <w:t>: The Australian Government should introduce a positive duty with procedural duties to either the Disability Discrimination Act or the Transport Standards, in line with the recommendations made in the Commission</w:t>
      </w:r>
      <w:r w:rsidR="007B4BF1">
        <w:rPr>
          <w:b/>
          <w:bCs/>
        </w:rPr>
        <w:t>’s</w:t>
      </w:r>
      <w:r>
        <w:rPr>
          <w:b/>
          <w:bCs/>
        </w:rPr>
        <w:t xml:space="preserve"> Free and Equal Position Paper. </w:t>
      </w:r>
    </w:p>
    <w:p w14:paraId="55C8AEC8" w14:textId="77777777" w:rsidR="003E69F5" w:rsidRPr="00C3175D" w:rsidRDefault="003E69F5" w:rsidP="003E69F5">
      <w:pPr>
        <w:rPr>
          <w:b/>
          <w:bCs/>
        </w:rPr>
      </w:pPr>
      <w:r>
        <w:rPr>
          <w:b/>
          <w:bCs/>
        </w:rPr>
        <w:t xml:space="preserve">Positive duties should consider certain factors to determine whether a measure is reasonable and proportionate such as: the industry, size and nature of the organisation, resources of the organisation, practicality and cost, and other relevant facts or circumstances. </w:t>
      </w:r>
    </w:p>
    <w:p w14:paraId="0EE60C78" w14:textId="0542FF80" w:rsidR="003E69F5" w:rsidRPr="00FE2776" w:rsidRDefault="003E69F5" w:rsidP="003E69F5">
      <w:pPr>
        <w:pStyle w:val="Default"/>
        <w:rPr>
          <w:b/>
          <w:bCs/>
          <w:color w:val="auto"/>
        </w:rPr>
      </w:pPr>
      <w:r w:rsidRPr="00C3175D">
        <w:rPr>
          <w:b/>
          <w:bCs/>
          <w:color w:val="auto"/>
        </w:rPr>
        <w:t xml:space="preserve">Recommendation </w:t>
      </w:r>
      <w:r w:rsidR="001A3A9D">
        <w:rPr>
          <w:b/>
          <w:bCs/>
          <w:color w:val="auto"/>
        </w:rPr>
        <w:t>9</w:t>
      </w:r>
      <w:r w:rsidRPr="00C3175D">
        <w:rPr>
          <w:b/>
          <w:bCs/>
          <w:color w:val="auto"/>
        </w:rPr>
        <w:t xml:space="preserve">: Any positive duty should also be accompanied by significant education and other outreach, as well as support for the Commission, legal assistance providers and business peak bodies, to be able to provide clear and accessible guidance about the positive duty. </w:t>
      </w:r>
      <w:r>
        <w:t xml:space="preserve"> </w:t>
      </w:r>
      <w:r>
        <w:rPr>
          <w:b/>
          <w:bCs/>
        </w:rPr>
        <w:t xml:space="preserve"> </w:t>
      </w:r>
    </w:p>
    <w:p w14:paraId="2A791AF5" w14:textId="76508CB1" w:rsidR="003E69F5" w:rsidRDefault="003E69F5" w:rsidP="003E69F5">
      <w:pPr>
        <w:rPr>
          <w:b/>
          <w:bCs/>
        </w:rPr>
      </w:pPr>
      <w:r>
        <w:rPr>
          <w:b/>
          <w:bCs/>
        </w:rPr>
        <w:lastRenderedPageBreak/>
        <w:t>Recommendation 1</w:t>
      </w:r>
      <w:r w:rsidR="001A3A9D">
        <w:rPr>
          <w:b/>
          <w:bCs/>
        </w:rPr>
        <w:t>0</w:t>
      </w:r>
      <w:r>
        <w:rPr>
          <w:b/>
          <w:bCs/>
        </w:rPr>
        <w:t>: The Australian Government Minister for Infrastructure, Transport, Regional Development and Local Government should write to:</w:t>
      </w:r>
    </w:p>
    <w:p w14:paraId="030BE7CC" w14:textId="77777777" w:rsidR="003E69F5" w:rsidRPr="00FF0FD4" w:rsidRDefault="003E69F5" w:rsidP="003E69F5">
      <w:pPr>
        <w:pStyle w:val="ListParagraph"/>
        <w:numPr>
          <w:ilvl w:val="0"/>
          <w:numId w:val="29"/>
        </w:numPr>
        <w:rPr>
          <w:b/>
          <w:bCs/>
        </w:rPr>
      </w:pPr>
      <w:r w:rsidRPr="00DA184C">
        <w:rPr>
          <w:b/>
          <w:bCs/>
        </w:rPr>
        <w:t xml:space="preserve">all Transport Ministers </w:t>
      </w:r>
      <w:r>
        <w:rPr>
          <w:b/>
          <w:bCs/>
        </w:rPr>
        <w:t xml:space="preserve">and state auditor-generals to recommend inclusion of at least one performance audit related to implementation of the Transport Standards in the auditor-general’s work programs from 2025 to inform future reviews of the Transport Standards. </w:t>
      </w:r>
      <w:r w:rsidRPr="00FF0FD4">
        <w:rPr>
          <w:b/>
          <w:bCs/>
        </w:rPr>
        <w:t>This could be through</w:t>
      </w:r>
      <w:r>
        <w:rPr>
          <w:b/>
          <w:bCs/>
        </w:rPr>
        <w:t xml:space="preserve"> </w:t>
      </w:r>
      <w:r w:rsidRPr="00FF0FD4">
        <w:rPr>
          <w:b/>
          <w:bCs/>
        </w:rPr>
        <w:t>consideration of the</w:t>
      </w:r>
      <w:r>
        <w:rPr>
          <w:b/>
          <w:bCs/>
        </w:rPr>
        <w:t xml:space="preserve"> </w:t>
      </w:r>
      <w:r w:rsidRPr="00FF0FD4">
        <w:rPr>
          <w:b/>
          <w:bCs/>
        </w:rPr>
        <w:t>implementation of the</w:t>
      </w:r>
      <w:r>
        <w:rPr>
          <w:b/>
          <w:bCs/>
        </w:rPr>
        <w:t xml:space="preserve"> Transport</w:t>
      </w:r>
      <w:r w:rsidRPr="00FF0FD4">
        <w:rPr>
          <w:b/>
          <w:bCs/>
        </w:rPr>
        <w:t xml:space="preserve"> Standards where relevant to an aspect of an existing</w:t>
      </w:r>
      <w:r>
        <w:rPr>
          <w:b/>
          <w:bCs/>
        </w:rPr>
        <w:t xml:space="preserve"> </w:t>
      </w:r>
      <w:r w:rsidRPr="00FF0FD4">
        <w:rPr>
          <w:b/>
          <w:bCs/>
        </w:rPr>
        <w:t>planned performance audit</w:t>
      </w:r>
      <w:r>
        <w:rPr>
          <w:b/>
          <w:bCs/>
        </w:rPr>
        <w:t xml:space="preserve">. </w:t>
      </w:r>
    </w:p>
    <w:p w14:paraId="7AC838D3" w14:textId="77777777" w:rsidR="003E69F5" w:rsidRPr="004735B2" w:rsidRDefault="003E69F5" w:rsidP="003E69F5">
      <w:pPr>
        <w:pStyle w:val="ListParagraph"/>
        <w:numPr>
          <w:ilvl w:val="0"/>
          <w:numId w:val="29"/>
        </w:numPr>
        <w:rPr>
          <w:b/>
          <w:bCs/>
        </w:rPr>
      </w:pPr>
      <w:r>
        <w:rPr>
          <w:b/>
          <w:bCs/>
        </w:rPr>
        <w:t>All Transport Ministers, and other relevant Ministers, asking</w:t>
      </w:r>
      <w:r w:rsidRPr="00DA184C">
        <w:rPr>
          <w:b/>
          <w:bCs/>
        </w:rPr>
        <w:t xml:space="preserve"> them to </w:t>
      </w:r>
      <w:r w:rsidRPr="004735B2">
        <w:rPr>
          <w:b/>
          <w:bCs/>
        </w:rPr>
        <w:t xml:space="preserve">ensure any arrangements within their portfolio for </w:t>
      </w:r>
      <w:r>
        <w:rPr>
          <w:b/>
          <w:bCs/>
        </w:rPr>
        <w:t>Transport</w:t>
      </w:r>
      <w:r w:rsidRPr="004735B2">
        <w:rPr>
          <w:b/>
          <w:bCs/>
        </w:rPr>
        <w:t xml:space="preserve"> have appropriate regard to the requirements of</w:t>
      </w:r>
      <w:r>
        <w:rPr>
          <w:b/>
          <w:bCs/>
        </w:rPr>
        <w:t>, and compliance with,</w:t>
      </w:r>
      <w:r w:rsidRPr="004735B2">
        <w:rPr>
          <w:b/>
          <w:bCs/>
        </w:rPr>
        <w:t xml:space="preserve"> the </w:t>
      </w:r>
      <w:r>
        <w:rPr>
          <w:b/>
          <w:bCs/>
        </w:rPr>
        <w:t xml:space="preserve">Transport </w:t>
      </w:r>
      <w:r w:rsidRPr="004735B2">
        <w:rPr>
          <w:b/>
          <w:bCs/>
        </w:rPr>
        <w:t>Standards</w:t>
      </w:r>
      <w:r>
        <w:rPr>
          <w:b/>
          <w:bCs/>
        </w:rPr>
        <w:t>.</w:t>
      </w:r>
      <w:r w:rsidRPr="004735B2">
        <w:rPr>
          <w:b/>
          <w:bCs/>
        </w:rPr>
        <w:t xml:space="preserve"> </w:t>
      </w:r>
    </w:p>
    <w:p w14:paraId="6E38EDF0" w14:textId="0B324F2D" w:rsidR="003E69F5" w:rsidRDefault="003E69F5" w:rsidP="003E69F5">
      <w:pPr>
        <w:rPr>
          <w:b/>
          <w:bCs/>
        </w:rPr>
      </w:pPr>
      <w:r>
        <w:rPr>
          <w:b/>
          <w:bCs/>
        </w:rPr>
        <w:t>Recommendation 1</w:t>
      </w:r>
      <w:r w:rsidR="001A3A9D">
        <w:rPr>
          <w:b/>
          <w:bCs/>
        </w:rPr>
        <w:t>1</w:t>
      </w:r>
      <w:r>
        <w:rPr>
          <w:b/>
          <w:bCs/>
        </w:rPr>
        <w:t xml:space="preserve">: State and Territory governments should align the procurement and contractual arrangements with transport operators and providers to the Transport Standards as a mechanism to enforce compliance. </w:t>
      </w:r>
    </w:p>
    <w:p w14:paraId="4DBEB7B1" w14:textId="241421FA" w:rsidR="00DA6BC9" w:rsidRDefault="003E69F5" w:rsidP="003E69F5">
      <w:pPr>
        <w:rPr>
          <w:b/>
          <w:bCs/>
        </w:rPr>
      </w:pPr>
      <w:r>
        <w:rPr>
          <w:b/>
          <w:bCs/>
        </w:rPr>
        <w:t>Recommendation 1</w:t>
      </w:r>
      <w:r w:rsidR="001A3A9D">
        <w:rPr>
          <w:b/>
          <w:bCs/>
        </w:rPr>
        <w:t>2</w:t>
      </w:r>
      <w:r>
        <w:rPr>
          <w:b/>
          <w:bCs/>
        </w:rPr>
        <w:t xml:space="preserve">: State and Territory Governments should review relevant legislation to ensure it is aligned with the Transport Standards. </w:t>
      </w:r>
    </w:p>
    <w:p w14:paraId="6675A889" w14:textId="1869AA5E" w:rsidR="00DA6BC9" w:rsidRDefault="00DA6BC9" w:rsidP="00DA6BC9">
      <w:pPr>
        <w:rPr>
          <w:b/>
          <w:bCs/>
        </w:rPr>
      </w:pPr>
      <w:r w:rsidRPr="6D9CB396">
        <w:rPr>
          <w:b/>
          <w:bCs/>
        </w:rPr>
        <w:t>Recommendation 1</w:t>
      </w:r>
      <w:r w:rsidR="001A3A9D">
        <w:rPr>
          <w:b/>
          <w:bCs/>
        </w:rPr>
        <w:t>3</w:t>
      </w:r>
      <w:r w:rsidRPr="6D9CB396">
        <w:rPr>
          <w:b/>
          <w:bCs/>
        </w:rPr>
        <w:t>: The Australian Government should provide sufficient funding to the Australian Human Rights Commission to undertake the statutory functions conferred to the Commission under s</w:t>
      </w:r>
      <w:r w:rsidR="008D17B7">
        <w:rPr>
          <w:b/>
          <w:bCs/>
        </w:rPr>
        <w:t>ection</w:t>
      </w:r>
      <w:r w:rsidRPr="6D9CB396">
        <w:rPr>
          <w:b/>
          <w:bCs/>
        </w:rPr>
        <w:t xml:space="preserve"> 67</w:t>
      </w:r>
      <w:r w:rsidR="00A95DAB">
        <w:rPr>
          <w:b/>
          <w:bCs/>
        </w:rPr>
        <w:t xml:space="preserve"> </w:t>
      </w:r>
      <w:r w:rsidRPr="6D9CB396">
        <w:rPr>
          <w:b/>
          <w:bCs/>
        </w:rPr>
        <w:t xml:space="preserve">of the Disability Discrimination Act, </w:t>
      </w:r>
      <w:r w:rsidR="003A1A6F">
        <w:rPr>
          <w:b/>
          <w:bCs/>
        </w:rPr>
        <w:t>which would increase the Commissions capacity to undertake the following functions</w:t>
      </w:r>
      <w:r w:rsidRPr="6D9CB396">
        <w:rPr>
          <w:b/>
          <w:bCs/>
        </w:rPr>
        <w:t xml:space="preserve">: </w:t>
      </w:r>
    </w:p>
    <w:p w14:paraId="4ACF89AD" w14:textId="77777777" w:rsidR="00DA6BC9" w:rsidRDefault="00DA6BC9" w:rsidP="00DA6BC9">
      <w:pPr>
        <w:pStyle w:val="ListParagraph"/>
        <w:numPr>
          <w:ilvl w:val="0"/>
          <w:numId w:val="40"/>
        </w:numPr>
        <w:rPr>
          <w:b/>
          <w:bCs/>
        </w:rPr>
      </w:pPr>
      <w:r>
        <w:rPr>
          <w:b/>
          <w:bCs/>
        </w:rPr>
        <w:t>monitoring and reporting on the operation of disability standards</w:t>
      </w:r>
    </w:p>
    <w:p w14:paraId="16E19FFF" w14:textId="77777777" w:rsidR="00DA6BC9" w:rsidRDefault="00DA6BC9" w:rsidP="00DA6BC9">
      <w:pPr>
        <w:pStyle w:val="ListParagraph"/>
        <w:numPr>
          <w:ilvl w:val="0"/>
          <w:numId w:val="40"/>
        </w:numPr>
        <w:rPr>
          <w:b/>
          <w:bCs/>
        </w:rPr>
      </w:pPr>
      <w:r>
        <w:rPr>
          <w:b/>
          <w:bCs/>
        </w:rPr>
        <w:t>promoting an understanding and acceptance of, and compliance with the Disability Discrimination and Transport Standards.</w:t>
      </w:r>
    </w:p>
    <w:p w14:paraId="68C3AD8F" w14:textId="77777777" w:rsidR="00DA6BC9" w:rsidRDefault="00DA6BC9" w:rsidP="00DA6BC9">
      <w:pPr>
        <w:pStyle w:val="ListParagraph"/>
        <w:numPr>
          <w:ilvl w:val="0"/>
          <w:numId w:val="40"/>
        </w:numPr>
        <w:rPr>
          <w:b/>
          <w:bCs/>
        </w:rPr>
      </w:pPr>
      <w:r>
        <w:rPr>
          <w:b/>
          <w:bCs/>
        </w:rPr>
        <w:t xml:space="preserve">undertaking research, educational and other programs for the purpose of promoting the Disability Discrimination Act and Transport Standards. </w:t>
      </w:r>
    </w:p>
    <w:p w14:paraId="190D07B3" w14:textId="5BC85C9F" w:rsidR="003E69F5" w:rsidRPr="009D5799" w:rsidRDefault="00DA6BC9" w:rsidP="009D5799">
      <w:pPr>
        <w:pStyle w:val="ListParagraph"/>
        <w:numPr>
          <w:ilvl w:val="0"/>
          <w:numId w:val="40"/>
        </w:numPr>
        <w:rPr>
          <w:b/>
          <w:bCs/>
        </w:rPr>
      </w:pPr>
      <w:r w:rsidRPr="6D9CB396">
        <w:rPr>
          <w:b/>
          <w:bCs/>
        </w:rPr>
        <w:t xml:space="preserve">Development of guidelines for the avoidance of disability discrimination. </w:t>
      </w:r>
      <w:r w:rsidR="003E69F5" w:rsidRPr="6D9CB396">
        <w:rPr>
          <w:b/>
          <w:bCs/>
        </w:rPr>
        <w:t xml:space="preserve"> </w:t>
      </w:r>
      <w:r w:rsidR="003E69F5" w:rsidRPr="009D5799">
        <w:rPr>
          <w:i/>
          <w:iCs/>
        </w:rPr>
        <w:t xml:space="preserve"> </w:t>
      </w:r>
    </w:p>
    <w:p w14:paraId="23ED2D14" w14:textId="42CE85B2" w:rsidR="003E69F5" w:rsidRDefault="003E69F5" w:rsidP="003E69F5">
      <w:pPr>
        <w:rPr>
          <w:b/>
          <w:bCs/>
        </w:rPr>
      </w:pPr>
      <w:r>
        <w:rPr>
          <w:b/>
          <w:bCs/>
        </w:rPr>
        <w:t>Recommendation 1</w:t>
      </w:r>
      <w:r w:rsidR="001A3A9D">
        <w:rPr>
          <w:b/>
          <w:bCs/>
        </w:rPr>
        <w:t>4</w:t>
      </w:r>
      <w:r>
        <w:rPr>
          <w:b/>
          <w:bCs/>
        </w:rPr>
        <w:t xml:space="preserve">: The Australian Government should invest in research to establish an evidence base for the economic benefits of accessibility and </w:t>
      </w:r>
      <w:r>
        <w:rPr>
          <w:b/>
          <w:bCs/>
        </w:rPr>
        <w:lastRenderedPageBreak/>
        <w:t xml:space="preserve">inclusion, with the view to establish a consistent national framework for the appraisal of public transport investment. </w:t>
      </w:r>
    </w:p>
    <w:p w14:paraId="5CE723F1" w14:textId="07EBE405" w:rsidR="003E69F5" w:rsidRPr="006524BC" w:rsidRDefault="003E69F5" w:rsidP="003E69F5">
      <w:pPr>
        <w:rPr>
          <w:rFonts w:cs="Open Sans"/>
          <w:b/>
          <w:bCs/>
        </w:rPr>
      </w:pPr>
      <w:r w:rsidRPr="006524BC">
        <w:rPr>
          <w:rStyle w:val="cf01"/>
          <w:rFonts w:ascii="Open Sans" w:hAnsi="Open Sans" w:cs="Open Sans"/>
          <w:b/>
          <w:bCs/>
          <w:sz w:val="24"/>
          <w:szCs w:val="24"/>
        </w:rPr>
        <w:t>Recommendation 1</w:t>
      </w:r>
      <w:r w:rsidR="001A3A9D">
        <w:rPr>
          <w:rStyle w:val="cf01"/>
          <w:rFonts w:ascii="Open Sans" w:hAnsi="Open Sans" w:cs="Open Sans"/>
          <w:b/>
          <w:bCs/>
          <w:sz w:val="24"/>
          <w:szCs w:val="24"/>
        </w:rPr>
        <w:t>5</w:t>
      </w:r>
      <w:r w:rsidRPr="006524BC">
        <w:rPr>
          <w:rStyle w:val="cf01"/>
          <w:rFonts w:ascii="Open Sans" w:hAnsi="Open Sans" w:cs="Open Sans"/>
          <w:b/>
          <w:bCs/>
          <w:sz w:val="24"/>
          <w:szCs w:val="24"/>
        </w:rPr>
        <w:t>: The Australian Government should review the Transport Standards in the context of Universal Design Principles to ensure the minimum standards maximise accessibility, use and benefit.</w:t>
      </w:r>
    </w:p>
    <w:p w14:paraId="2A5ABFED" w14:textId="7F974BEF" w:rsidR="003E69F5" w:rsidRPr="00176CD6" w:rsidRDefault="003E69F5" w:rsidP="003E69F5">
      <w:pPr>
        <w:rPr>
          <w:b/>
          <w:bCs/>
        </w:rPr>
      </w:pPr>
      <w:r w:rsidRPr="006524BC">
        <w:rPr>
          <w:rFonts w:cs="Open Sans"/>
          <w:b/>
          <w:bCs/>
        </w:rPr>
        <w:t>Recommendation 1</w:t>
      </w:r>
      <w:r w:rsidR="001A3A9D">
        <w:rPr>
          <w:rFonts w:cs="Open Sans"/>
          <w:b/>
          <w:bCs/>
        </w:rPr>
        <w:t>6</w:t>
      </w:r>
      <w:r w:rsidRPr="006524BC">
        <w:rPr>
          <w:rFonts w:cs="Open Sans"/>
          <w:b/>
          <w:bCs/>
        </w:rPr>
        <w:t>: The Australian Government should consider creating an Accessibility Targeted Action Plan under Australia’s Disability Strategy, with specific actions related to improving transport accessibility and compliance to the minimum standards set out in the Transport Standards</w:t>
      </w:r>
      <w:r>
        <w:rPr>
          <w:b/>
          <w:bCs/>
        </w:rPr>
        <w:t xml:space="preserve">. </w:t>
      </w:r>
    </w:p>
    <w:p w14:paraId="7681A5BC" w14:textId="6A4911E6" w:rsidR="003E69F5" w:rsidRDefault="003E69F5" w:rsidP="003E69F5">
      <w:pPr>
        <w:pStyle w:val="Default"/>
        <w:spacing w:before="240"/>
      </w:pPr>
      <w:r w:rsidRPr="003E4957">
        <w:rPr>
          <w:b/>
          <w:bCs/>
        </w:rPr>
        <w:t xml:space="preserve">Recommendation </w:t>
      </w:r>
      <w:r>
        <w:rPr>
          <w:b/>
          <w:bCs/>
        </w:rPr>
        <w:t>1</w:t>
      </w:r>
      <w:r w:rsidR="001A3A9D">
        <w:rPr>
          <w:b/>
          <w:bCs/>
        </w:rPr>
        <w:t>7</w:t>
      </w:r>
      <w:r w:rsidRPr="003E4957">
        <w:rPr>
          <w:b/>
          <w:bCs/>
        </w:rPr>
        <w:t>:</w:t>
      </w:r>
      <w:r>
        <w:t xml:space="preserve"> </w:t>
      </w:r>
      <w:r w:rsidRPr="00E72CF9">
        <w:rPr>
          <w:b/>
          <w:bCs/>
        </w:rPr>
        <w:t xml:space="preserve">The Department should seek legal advice about the correctness of the decision in </w:t>
      </w:r>
      <w:r w:rsidRPr="00E72CF9">
        <w:rPr>
          <w:b/>
          <w:bCs/>
          <w:i/>
          <w:iCs/>
        </w:rPr>
        <w:t>Haraksin v Murrays Australia Limited (No 2)</w:t>
      </w:r>
      <w:r w:rsidRPr="00E72CF9">
        <w:rPr>
          <w:b/>
          <w:bCs/>
        </w:rPr>
        <w:t xml:space="preserve"> as it relates to whether a breach of the Transport Standards can constitute ‘unlawful discrimination’ for the purposes of bringing a complaint under the Australian Human Rights Commission Act.</w:t>
      </w:r>
    </w:p>
    <w:p w14:paraId="66C017CD" w14:textId="10408AFC" w:rsidR="003E69F5" w:rsidRPr="00DD3EAB" w:rsidRDefault="003E69F5" w:rsidP="003E69F5">
      <w:pPr>
        <w:pStyle w:val="Default"/>
        <w:spacing w:before="240"/>
      </w:pPr>
      <w:r w:rsidRPr="00831E98">
        <w:rPr>
          <w:b/>
          <w:bCs/>
        </w:rPr>
        <w:t xml:space="preserve">Recommendation </w:t>
      </w:r>
      <w:r>
        <w:rPr>
          <w:b/>
          <w:bCs/>
        </w:rPr>
        <w:t>1</w:t>
      </w:r>
      <w:r w:rsidR="001A3A9D">
        <w:rPr>
          <w:b/>
          <w:bCs/>
        </w:rPr>
        <w:t>8</w:t>
      </w:r>
      <w:r w:rsidRPr="00E72CF9">
        <w:t xml:space="preserve">: </w:t>
      </w:r>
      <w:r w:rsidRPr="00E72CF9">
        <w:rPr>
          <w:b/>
          <w:bCs/>
        </w:rPr>
        <w:t>If the Department receives advice that it is reasonably arguable that a breach of the Transport Standards does not constitute ‘unlawful discrimination’ for the purposes of bringing a complaint under the Australian Human Rights Commission Act, then the Commission recommends making any necessary amendments to the Disability Discrimination Act, the Transport Standards and the Australian Human Rights Commission Act to ensure that a breach of the Transport Standards provides a standalone mechanism for lodging a complaint of unlawful discrimination under the Australian Human Rights Commission Act.</w:t>
      </w:r>
    </w:p>
    <w:p w14:paraId="725E1313" w14:textId="1720A4A4" w:rsidR="003E69F5" w:rsidRPr="0077441D" w:rsidRDefault="003E69F5" w:rsidP="003E69F5">
      <w:pPr>
        <w:rPr>
          <w:b/>
          <w:bCs/>
        </w:rPr>
      </w:pPr>
      <w:r>
        <w:rPr>
          <w:b/>
          <w:bCs/>
        </w:rPr>
        <w:t xml:space="preserve">Recommendation </w:t>
      </w:r>
      <w:r w:rsidR="001A3A9D">
        <w:rPr>
          <w:b/>
          <w:bCs/>
        </w:rPr>
        <w:t>19</w:t>
      </w:r>
      <w:r>
        <w:rPr>
          <w:b/>
          <w:bCs/>
        </w:rPr>
        <w:t>: Australian Governments, operators and providers of public transport should prioritise the inclusion of people with disability in the following ways:</w:t>
      </w:r>
    </w:p>
    <w:p w14:paraId="1E0EA68E" w14:textId="77777777" w:rsidR="003E69F5" w:rsidRDefault="003E69F5" w:rsidP="003E69F5">
      <w:pPr>
        <w:pStyle w:val="ListParagraph"/>
        <w:numPr>
          <w:ilvl w:val="0"/>
          <w:numId w:val="27"/>
        </w:numPr>
        <w:rPr>
          <w:b/>
          <w:bCs/>
        </w:rPr>
      </w:pPr>
      <w:r>
        <w:rPr>
          <w:b/>
          <w:bCs/>
        </w:rPr>
        <w:t xml:space="preserve">Genuine consultation and co-design of services, policies, practices, and public transport developments. </w:t>
      </w:r>
    </w:p>
    <w:p w14:paraId="331869BB" w14:textId="77777777" w:rsidR="003E69F5" w:rsidRDefault="003E69F5" w:rsidP="003E69F5">
      <w:pPr>
        <w:pStyle w:val="ListParagraph"/>
        <w:numPr>
          <w:ilvl w:val="0"/>
          <w:numId w:val="27"/>
        </w:numPr>
        <w:rPr>
          <w:b/>
          <w:bCs/>
        </w:rPr>
      </w:pPr>
      <w:r>
        <w:rPr>
          <w:b/>
          <w:bCs/>
        </w:rPr>
        <w:t>Prioritise the employment of people with disability in their organisations.</w:t>
      </w:r>
    </w:p>
    <w:p w14:paraId="4A9D0419" w14:textId="77777777" w:rsidR="003E69F5" w:rsidRPr="007B0E10" w:rsidRDefault="003E69F5" w:rsidP="003E69F5">
      <w:pPr>
        <w:pStyle w:val="ListParagraph"/>
        <w:numPr>
          <w:ilvl w:val="0"/>
          <w:numId w:val="27"/>
        </w:numPr>
        <w:rPr>
          <w:b/>
          <w:bCs/>
        </w:rPr>
      </w:pPr>
      <w:r>
        <w:rPr>
          <w:b/>
          <w:bCs/>
        </w:rPr>
        <w:t xml:space="preserve">Developing, publishing, and reporting against Disability Action Plans. </w:t>
      </w:r>
      <w:r w:rsidRPr="007B0E10">
        <w:rPr>
          <w:b/>
          <w:bCs/>
        </w:rPr>
        <w:t xml:space="preserve"> </w:t>
      </w:r>
    </w:p>
    <w:p w14:paraId="452360E1" w14:textId="3A5347FB" w:rsidR="003E69F5" w:rsidRPr="003E69F5" w:rsidRDefault="003E69F5" w:rsidP="003423F4">
      <w:r>
        <w:rPr>
          <w:b/>
          <w:bCs/>
        </w:rPr>
        <w:t>Recommendation 2</w:t>
      </w:r>
      <w:r w:rsidR="00147308">
        <w:rPr>
          <w:b/>
          <w:bCs/>
        </w:rPr>
        <w:t>0</w:t>
      </w:r>
      <w:r>
        <w:rPr>
          <w:b/>
          <w:bCs/>
        </w:rPr>
        <w:t xml:space="preserve">: The Australian Government should consider international examples of best practice in the context of the review. </w:t>
      </w:r>
    </w:p>
    <w:p w14:paraId="49649E72" w14:textId="227FDA5A" w:rsidR="00D63773" w:rsidRDefault="00D63773" w:rsidP="00D63773">
      <w:pPr>
        <w:pStyle w:val="Heading1"/>
      </w:pPr>
      <w:bookmarkStart w:id="18" w:name="_Toc138090492"/>
      <w:r>
        <w:lastRenderedPageBreak/>
        <w:t xml:space="preserve">Human </w:t>
      </w:r>
      <w:r w:rsidR="009D5D1D">
        <w:t>r</w:t>
      </w:r>
      <w:r>
        <w:t xml:space="preserve">ights </w:t>
      </w:r>
      <w:r w:rsidR="009D5D1D">
        <w:t>f</w:t>
      </w:r>
      <w:r>
        <w:t>ramework</w:t>
      </w:r>
      <w:bookmarkEnd w:id="18"/>
      <w:r>
        <w:t xml:space="preserve"> </w:t>
      </w:r>
    </w:p>
    <w:p w14:paraId="6C2968C0" w14:textId="6C561E6E" w:rsidR="00912863" w:rsidRPr="00912863" w:rsidRDefault="00EC688D" w:rsidP="00912863">
      <w:r>
        <w:t>Australian Governments are o</w:t>
      </w:r>
      <w:r w:rsidR="00912863">
        <w:t xml:space="preserve">bligated under international </w:t>
      </w:r>
      <w:r w:rsidR="00F8684D">
        <w:t>law and</w:t>
      </w:r>
      <w:r>
        <w:t xml:space="preserve"> have a </w:t>
      </w:r>
      <w:r w:rsidR="00912863">
        <w:t>statutory requirement under domestic anti-disc</w:t>
      </w:r>
      <w:r>
        <w:t>rimination legislation</w:t>
      </w:r>
      <w:r w:rsidR="00912863">
        <w:t xml:space="preserve"> to ensure transport is accessible</w:t>
      </w:r>
      <w:r>
        <w:t xml:space="preserve"> for people with disability. </w:t>
      </w:r>
    </w:p>
    <w:p w14:paraId="16406781" w14:textId="3023EF68" w:rsidR="004F3BE0" w:rsidRDefault="004F3BE0" w:rsidP="004F3BE0">
      <w:pPr>
        <w:pStyle w:val="Heading2"/>
      </w:pPr>
      <w:bookmarkStart w:id="19" w:name="_Toc138090493"/>
      <w:r>
        <w:t>The United Nations Convention on the Rights of Persons with Disabilities</w:t>
      </w:r>
      <w:bookmarkEnd w:id="19"/>
      <w:r>
        <w:t xml:space="preserve"> </w:t>
      </w:r>
    </w:p>
    <w:p w14:paraId="5E7C1C96" w14:textId="08FCAE2E" w:rsidR="00A116B1" w:rsidRDefault="00A116B1" w:rsidP="009F79BA">
      <w:pPr>
        <w:rPr>
          <w:rStyle w:val="ui-provider"/>
        </w:rPr>
      </w:pPr>
      <w:r w:rsidRPr="00BA5076">
        <w:rPr>
          <w:rFonts w:cs="Open Sans"/>
        </w:rPr>
        <w:t xml:space="preserve">Australia is obligated by international human rights law, and as a signatory to the United Nations </w:t>
      </w:r>
      <w:r w:rsidRPr="00BA5076">
        <w:rPr>
          <w:rFonts w:cs="Open Sans"/>
          <w:i/>
          <w:iCs/>
        </w:rPr>
        <w:t xml:space="preserve">Convention on the Rights of Persons with Disabilities </w:t>
      </w:r>
      <w:r w:rsidRPr="00BA5076">
        <w:rPr>
          <w:rFonts w:cs="Open Sans"/>
        </w:rPr>
        <w:t xml:space="preserve">(CRPD), to ensure that the fundamental human rights and freedoms of all people with disability are </w:t>
      </w:r>
      <w:r w:rsidR="005F2FD9">
        <w:rPr>
          <w:rFonts w:cs="Open Sans"/>
        </w:rPr>
        <w:t xml:space="preserve">promoted, </w:t>
      </w:r>
      <w:r w:rsidRPr="00BA5076">
        <w:rPr>
          <w:rFonts w:cs="Open Sans"/>
        </w:rPr>
        <w:t>upheld and protected.</w:t>
      </w:r>
      <w:r w:rsidRPr="00BA5076">
        <w:rPr>
          <w:rStyle w:val="EndnoteReference"/>
          <w:rFonts w:cs="Open Sans"/>
        </w:rPr>
        <w:endnoteReference w:id="7"/>
      </w:r>
      <w:r w:rsidRPr="00BA5076">
        <w:rPr>
          <w:rFonts w:cs="Open Sans"/>
        </w:rPr>
        <w:t xml:space="preserve"> This includes </w:t>
      </w:r>
      <w:r w:rsidR="005F2FD9">
        <w:rPr>
          <w:rFonts w:cs="Open Sans"/>
        </w:rPr>
        <w:t>through</w:t>
      </w:r>
      <w:r w:rsidR="00BE2060">
        <w:rPr>
          <w:rFonts w:cs="Open Sans"/>
        </w:rPr>
        <w:t xml:space="preserve"> effective legislative, administrative, or other measures</w:t>
      </w:r>
      <w:r w:rsidR="00921540">
        <w:rPr>
          <w:rFonts w:cs="Open Sans"/>
        </w:rPr>
        <w:t xml:space="preserve">, as outlined in </w:t>
      </w:r>
      <w:r w:rsidR="00A55D71">
        <w:rPr>
          <w:rFonts w:cs="Open Sans"/>
        </w:rPr>
        <w:t>article</w:t>
      </w:r>
      <w:r w:rsidR="00921540">
        <w:rPr>
          <w:rFonts w:cs="Open Sans"/>
        </w:rPr>
        <w:t xml:space="preserve"> 4 of the CRPD (general obligations).</w:t>
      </w:r>
      <w:r w:rsidRPr="00BA5076">
        <w:rPr>
          <w:rStyle w:val="EndnoteReference"/>
          <w:rFonts w:cs="Open Sans"/>
        </w:rPr>
        <w:endnoteReference w:id="8"/>
      </w:r>
      <w:r w:rsidR="00784B1E" w:rsidRPr="00784B1E">
        <w:rPr>
          <w:rStyle w:val="ui-provider"/>
        </w:rPr>
        <w:t xml:space="preserve"> </w:t>
      </w:r>
      <w:r w:rsidR="00784B1E">
        <w:rPr>
          <w:rStyle w:val="ui-provider"/>
        </w:rPr>
        <w:t>These obligations lay out a roadmap towards the progressive realisation of the CRPD in domestic law and policy.</w:t>
      </w:r>
    </w:p>
    <w:p w14:paraId="1DCBC507" w14:textId="39FB8283" w:rsidR="000F0C8E" w:rsidRDefault="000F0C8E" w:rsidP="000F0C8E">
      <w:r>
        <w:t xml:space="preserve">The obligations under the CRPD apply to all levels of government in Australia (i.e. </w:t>
      </w:r>
      <w:r w:rsidR="0088053B">
        <w:t>Australian</w:t>
      </w:r>
      <w:r>
        <w:t>, State, Territory and Local governments).</w:t>
      </w:r>
      <w:r>
        <w:rPr>
          <w:rStyle w:val="EndnoteReference"/>
        </w:rPr>
        <w:endnoteReference w:id="9"/>
      </w:r>
      <w:r>
        <w:t xml:space="preserve">   </w:t>
      </w:r>
    </w:p>
    <w:p w14:paraId="647F3ED8" w14:textId="00103638" w:rsidR="00282C20" w:rsidRDefault="008B4236" w:rsidP="00282C20">
      <w:r>
        <w:t>Accessibility is a core principle</w:t>
      </w:r>
      <w:r>
        <w:rPr>
          <w:rStyle w:val="EndnoteReference"/>
        </w:rPr>
        <w:endnoteReference w:id="10"/>
      </w:r>
      <w:r>
        <w:t xml:space="preserve"> and human right under the CRPD, with </w:t>
      </w:r>
      <w:r w:rsidR="00C11034">
        <w:t xml:space="preserve">specific provisions relating to accessibility </w:t>
      </w:r>
      <w:r>
        <w:t xml:space="preserve">outlined in </w:t>
      </w:r>
      <w:r w:rsidR="00C11034">
        <w:t>Article 9.</w:t>
      </w:r>
      <w:r w:rsidR="00C11034">
        <w:rPr>
          <w:rStyle w:val="EndnoteReference"/>
        </w:rPr>
        <w:endnoteReference w:id="11"/>
      </w:r>
      <w:r w:rsidR="00C11034">
        <w:t xml:space="preserve"> </w:t>
      </w:r>
      <w:r w:rsidR="00282C20">
        <w:t xml:space="preserve">Article 31 of the CRPD </w:t>
      </w:r>
      <w:r w:rsidR="00E14147">
        <w:t xml:space="preserve">states </w:t>
      </w:r>
      <w:r w:rsidR="00282C20">
        <w:t>the requirement to collect appropriate information, including statistical and research data, to enable the formulation and implementation of policies that give effect to the obligations under the CRPD.</w:t>
      </w:r>
      <w:r w:rsidR="00282C20">
        <w:rPr>
          <w:rStyle w:val="EndnoteReference"/>
        </w:rPr>
        <w:endnoteReference w:id="12"/>
      </w:r>
    </w:p>
    <w:p w14:paraId="4026EB8C" w14:textId="6342BA6F" w:rsidR="0012449B" w:rsidRDefault="006827B4" w:rsidP="00282C20">
      <w:r>
        <w:rPr>
          <w:rStyle w:val="ui-provider"/>
        </w:rPr>
        <w:t>Because</w:t>
      </w:r>
      <w:r w:rsidR="0012449B">
        <w:rPr>
          <w:rStyle w:val="ui-provider"/>
        </w:rPr>
        <w:t xml:space="preserve"> the initial development of the Transport Standards pre-</w:t>
      </w:r>
      <w:r w:rsidR="003A3AE7">
        <w:rPr>
          <w:rStyle w:val="ui-provider"/>
        </w:rPr>
        <w:t xml:space="preserve">dated </w:t>
      </w:r>
      <w:r w:rsidR="0012449B">
        <w:rPr>
          <w:rStyle w:val="ui-provider"/>
        </w:rPr>
        <w:t xml:space="preserve">the establishment of the CRPD and Australia’s ratification, the Transport Standards were not written with the CRPD in mind. </w:t>
      </w:r>
      <w:r w:rsidR="00461ACB">
        <w:rPr>
          <w:rStyle w:val="ui-provider"/>
        </w:rPr>
        <w:t>The Commission</w:t>
      </w:r>
      <w:r w:rsidR="00AE1EC6">
        <w:rPr>
          <w:rStyle w:val="ui-provider"/>
        </w:rPr>
        <w:t xml:space="preserve"> considers </w:t>
      </w:r>
      <w:r w:rsidR="00461ACB">
        <w:rPr>
          <w:rStyle w:val="ui-provider"/>
        </w:rPr>
        <w:t xml:space="preserve">that </w:t>
      </w:r>
      <w:r w:rsidR="00436CCA">
        <w:rPr>
          <w:rStyle w:val="ui-provider"/>
        </w:rPr>
        <w:t>d</w:t>
      </w:r>
      <w:r w:rsidR="00461ACB">
        <w:rPr>
          <w:rStyle w:val="ui-provider"/>
        </w:rPr>
        <w:t xml:space="preserve">isability </w:t>
      </w:r>
      <w:r w:rsidR="00436CCA">
        <w:rPr>
          <w:rStyle w:val="ui-provider"/>
        </w:rPr>
        <w:t>s</w:t>
      </w:r>
      <w:r w:rsidR="00461ACB">
        <w:rPr>
          <w:rStyle w:val="ui-provider"/>
        </w:rPr>
        <w:t xml:space="preserve">tandards made under the Disability Discrimination Act should be domestic legal instruments that, to as great a degree as possible, </w:t>
      </w:r>
      <w:r w:rsidR="00AE1EC6">
        <w:rPr>
          <w:rStyle w:val="ui-provider"/>
        </w:rPr>
        <w:t>reflect</w:t>
      </w:r>
      <w:r w:rsidR="00461ACB">
        <w:rPr>
          <w:rStyle w:val="ui-provider"/>
        </w:rPr>
        <w:t xml:space="preserve"> the rights enshrined in the CRPD.</w:t>
      </w:r>
    </w:p>
    <w:p w14:paraId="69A37E0B" w14:textId="23306B51" w:rsidR="0002549C" w:rsidRDefault="00FE1C67" w:rsidP="003A3AE7">
      <w:r>
        <w:t>There is no designated independent national monitoring mechanism</w:t>
      </w:r>
      <w:r w:rsidR="00306989">
        <w:t xml:space="preserve"> for the implementation of the CRPD in Australia, as is required under article 33(2).</w:t>
      </w:r>
      <w:r w:rsidR="00306989">
        <w:rPr>
          <w:rStyle w:val="EndnoteReference"/>
        </w:rPr>
        <w:endnoteReference w:id="13"/>
      </w:r>
      <w:r w:rsidR="00306989">
        <w:t xml:space="preserve"> </w:t>
      </w:r>
      <w:r w:rsidR="00240B87">
        <w:t xml:space="preserve">The establishment of such a mechanism would mean that </w:t>
      </w:r>
      <w:r w:rsidR="0083483F">
        <w:t xml:space="preserve">the monitoring of </w:t>
      </w:r>
      <w:r w:rsidR="00DD1514">
        <w:t>important policy initiative</w:t>
      </w:r>
      <w:r w:rsidR="0083483F">
        <w:t>s</w:t>
      </w:r>
      <w:r w:rsidR="00DD1514">
        <w:t>, such as the Transport Standards,</w:t>
      </w:r>
      <w:r w:rsidR="003949C2">
        <w:t xml:space="preserve"> would be</w:t>
      </w:r>
      <w:r w:rsidR="005E694C">
        <w:t xml:space="preserve"> explicitly</w:t>
      </w:r>
      <w:r w:rsidR="003949C2">
        <w:t xml:space="preserve"> </w:t>
      </w:r>
      <w:r w:rsidR="005E694C">
        <w:t>viewed within the context of the CRPD</w:t>
      </w:r>
      <w:r w:rsidR="00B26867">
        <w:t>. Improving data</w:t>
      </w:r>
      <w:r w:rsidR="00BE0230">
        <w:t xml:space="preserve"> and reporting would further enable </w:t>
      </w:r>
      <w:r w:rsidR="00906380">
        <w:t>comprehensive monitoring</w:t>
      </w:r>
      <w:r w:rsidR="00BE0230">
        <w:t xml:space="preserve">. </w:t>
      </w:r>
    </w:p>
    <w:p w14:paraId="75EDA0B8" w14:textId="6D6470E5" w:rsidR="00C11034" w:rsidRDefault="00C11034" w:rsidP="00C11034">
      <w:r>
        <w:t>When Australia was periodically reviewed in 2019 on its implementation of the CRPD by the United Nations</w:t>
      </w:r>
      <w:r w:rsidR="00EF35D9">
        <w:t xml:space="preserve"> (UN)</w:t>
      </w:r>
      <w:r>
        <w:t xml:space="preserve"> Committee on the Rights of Persons with Disabilities, it was recommended </w:t>
      </w:r>
      <w:r w:rsidR="007B3F94">
        <w:t xml:space="preserve">that </w:t>
      </w:r>
      <w:r>
        <w:t>Australia</w:t>
      </w:r>
    </w:p>
    <w:p w14:paraId="778E69A9" w14:textId="6B45FF2F" w:rsidR="004300F8" w:rsidRDefault="00C11034" w:rsidP="00C11034">
      <w:pPr>
        <w:ind w:left="720"/>
      </w:pPr>
      <w:r w:rsidRPr="00001BF3">
        <w:rPr>
          <w:sz w:val="22"/>
          <w:szCs w:val="22"/>
        </w:rPr>
        <w:lastRenderedPageBreak/>
        <w:t>Establish and enact a national framework for mandatory compliance reporting of the Disability Standards for Accessible Public Transport, the Disability (Access to Premises-Buildings) Standards, and the National Standards for Disability Services</w:t>
      </w:r>
      <w:r w:rsidR="00001BF3">
        <w:rPr>
          <w:sz w:val="22"/>
          <w:szCs w:val="22"/>
        </w:rPr>
        <w:t>.</w:t>
      </w:r>
      <w:r>
        <w:rPr>
          <w:rStyle w:val="EndnoteReference"/>
        </w:rPr>
        <w:endnoteReference w:id="14"/>
      </w:r>
    </w:p>
    <w:p w14:paraId="350FC24F" w14:textId="6AD42B7A" w:rsidR="002C070D" w:rsidRDefault="004300F8" w:rsidP="00A17F39">
      <w:r>
        <w:t>This recommendation has not been implemented.</w:t>
      </w:r>
    </w:p>
    <w:p w14:paraId="0EC2191B" w14:textId="088A6341" w:rsidR="009F79BA" w:rsidRDefault="002941A4" w:rsidP="00912863">
      <w:r>
        <w:t>Accessible transport is fundamentally connected to the right</w:t>
      </w:r>
      <w:r w:rsidR="00111BBE">
        <w:t>s</w:t>
      </w:r>
      <w:r>
        <w:t xml:space="preserve"> to individual autonomy</w:t>
      </w:r>
      <w:r w:rsidR="00775C82">
        <w:t xml:space="preserve"> and independence</w:t>
      </w:r>
      <w:r>
        <w:t xml:space="preserve">, </w:t>
      </w:r>
      <w:r w:rsidR="00F8684D">
        <w:t xml:space="preserve">personal mobility, </w:t>
      </w:r>
      <w:r>
        <w:t xml:space="preserve">non-discrimination, community inclusion and participation for people with disabilities. It is therefore critical that the review consider the Transport Standards </w:t>
      </w:r>
      <w:r w:rsidR="00001167">
        <w:t xml:space="preserve">in the broader context of </w:t>
      </w:r>
      <w:r>
        <w:t>the CRPD.</w:t>
      </w:r>
    </w:p>
    <w:p w14:paraId="0ACC5DCA" w14:textId="3A20E31F" w:rsidR="00ED0F26" w:rsidRDefault="00ED0F26" w:rsidP="00912863">
      <w:r>
        <w:t>The Review should address</w:t>
      </w:r>
      <w:r w:rsidR="00B660DA">
        <w:t>,</w:t>
      </w:r>
      <w:r>
        <w:t xml:space="preserve"> and seek to implement</w:t>
      </w:r>
      <w:r w:rsidR="00B660DA">
        <w:t>,</w:t>
      </w:r>
      <w:r>
        <w:t xml:space="preserve"> the recommendation made by the</w:t>
      </w:r>
      <w:r w:rsidR="003632A1">
        <w:t xml:space="preserve"> UN</w:t>
      </w:r>
      <w:r>
        <w:t xml:space="preserve"> Committee</w:t>
      </w:r>
      <w:r w:rsidR="00F25071">
        <w:t xml:space="preserve"> on the Rights of Persons with Disabilities</w:t>
      </w:r>
      <w:r w:rsidR="00E272AC">
        <w:t xml:space="preserve">. Recommendations </w:t>
      </w:r>
      <w:r w:rsidR="003A4FC6">
        <w:t xml:space="preserve">are </w:t>
      </w:r>
      <w:r w:rsidR="002544F7">
        <w:t>made in this submission</w:t>
      </w:r>
      <w:r w:rsidR="00DD5F9E">
        <w:t xml:space="preserve"> (particularly recommendations 4-6)</w:t>
      </w:r>
      <w:r w:rsidR="00023F93">
        <w:t xml:space="preserve"> </w:t>
      </w:r>
      <w:r w:rsidR="00924E27">
        <w:t>for</w:t>
      </w:r>
      <w:r w:rsidR="00023F93">
        <w:t xml:space="preserve"> how the </w:t>
      </w:r>
      <w:r w:rsidR="00FA0C71">
        <w:t>Australian G</w:t>
      </w:r>
      <w:r w:rsidR="00023F93">
        <w:t xml:space="preserve">overnment </w:t>
      </w:r>
      <w:r w:rsidR="00924E27">
        <w:t>should</w:t>
      </w:r>
      <w:r w:rsidR="00023F93">
        <w:t xml:space="preserve"> respond to this</w:t>
      </w:r>
      <w:r w:rsidR="00FA0C71">
        <w:t xml:space="preserve"> and fulfill its international human rights obligations to improve</w:t>
      </w:r>
      <w:r w:rsidR="001A3A9D">
        <w:t xml:space="preserve"> public transport</w:t>
      </w:r>
      <w:r w:rsidR="00FA0C71">
        <w:t xml:space="preserve"> accessibility and enhance</w:t>
      </w:r>
      <w:r w:rsidR="001A3A9D">
        <w:t xml:space="preserve"> the</w:t>
      </w:r>
      <w:r w:rsidR="00FA0C71">
        <w:t xml:space="preserve"> inclusion of people with disabilit</w:t>
      </w:r>
      <w:r w:rsidR="00DD5F9E">
        <w:t>y</w:t>
      </w:r>
      <w:r w:rsidR="0097194A">
        <w:t xml:space="preserve">. </w:t>
      </w:r>
    </w:p>
    <w:p w14:paraId="7F6D4011" w14:textId="30286775" w:rsidR="00AB2C7F" w:rsidRDefault="00AB2C7F" w:rsidP="00AB2C7F">
      <w:pPr>
        <w:pStyle w:val="Heading2"/>
      </w:pPr>
      <w:bookmarkStart w:id="20" w:name="_Toc138090494"/>
      <w:r>
        <w:t>Disability Discrimination Act 1992 (Cth)</w:t>
      </w:r>
      <w:bookmarkEnd w:id="20"/>
    </w:p>
    <w:p w14:paraId="0BD7ADFB" w14:textId="25FF43E4" w:rsidR="00BA15DB" w:rsidRDefault="00BA15DB" w:rsidP="0009413F">
      <w:r>
        <w:t xml:space="preserve">The Disability Discrimination Act provides protection for everyone in Australia against discrimination </w:t>
      </w:r>
      <w:proofErr w:type="gramStart"/>
      <w:r>
        <w:t>on the basis of</w:t>
      </w:r>
      <w:proofErr w:type="gramEnd"/>
      <w:r>
        <w:t xml:space="preserve"> disability. It is unlawful to discriminate against a person in defined areas of public life, including employment, education, accessing public places and access to goods and services.</w:t>
      </w:r>
      <w:r w:rsidR="00585F33">
        <w:t xml:space="preserve"> </w:t>
      </w:r>
      <w:r>
        <w:t>The Disability Discrimination Act defines ‘services’ to include services relating to transport or trave</w:t>
      </w:r>
      <w:r w:rsidR="00585F33">
        <w:t>l.</w:t>
      </w:r>
      <w:r w:rsidR="00585F33">
        <w:rPr>
          <w:rStyle w:val="EndnoteReference"/>
        </w:rPr>
        <w:endnoteReference w:id="15"/>
      </w:r>
    </w:p>
    <w:p w14:paraId="15E0AA04" w14:textId="6ACC043C" w:rsidR="00AE56D5" w:rsidRDefault="00B4020E" w:rsidP="0009413F">
      <w:r>
        <w:t>The Disability Discrimination Act defines discrimination</w:t>
      </w:r>
      <w:r w:rsidR="00C70FDD">
        <w:t xml:space="preserve"> on the grounds of disability</w:t>
      </w:r>
      <w:r>
        <w:t xml:space="preserve"> as being either</w:t>
      </w:r>
      <w:r w:rsidR="00AE56D5">
        <w:t>:</w:t>
      </w:r>
    </w:p>
    <w:p w14:paraId="343E9016" w14:textId="56880692" w:rsidR="00B4020E" w:rsidRDefault="00B4020E" w:rsidP="00461ACB">
      <w:pPr>
        <w:pStyle w:val="ListParagraph"/>
        <w:numPr>
          <w:ilvl w:val="0"/>
          <w:numId w:val="25"/>
        </w:numPr>
      </w:pPr>
      <w:r>
        <w:t>‘direct discrimination’</w:t>
      </w:r>
      <w:r w:rsidR="00E47E44">
        <w:t xml:space="preserve"> </w:t>
      </w:r>
      <w:r w:rsidR="00C70FDD">
        <w:t>in which a</w:t>
      </w:r>
      <w:r w:rsidR="00E47E44">
        <w:t xml:space="preserve"> person with disability is treated less favourably than a person without disability in </w:t>
      </w:r>
      <w:r w:rsidR="00AE56D5">
        <w:t>circumstances which are ‘not materially different’</w:t>
      </w:r>
      <w:r w:rsidR="00AE56D5">
        <w:rPr>
          <w:rStyle w:val="EndnoteReference"/>
        </w:rPr>
        <w:endnoteReference w:id="16"/>
      </w:r>
    </w:p>
    <w:p w14:paraId="50645193" w14:textId="7FE18375" w:rsidR="00AE56D5" w:rsidRDefault="00AE56D5" w:rsidP="00461ACB">
      <w:pPr>
        <w:pStyle w:val="ListParagraph"/>
        <w:numPr>
          <w:ilvl w:val="0"/>
          <w:numId w:val="25"/>
        </w:numPr>
      </w:pPr>
      <w:r>
        <w:t xml:space="preserve">‘indirect discrimination’ </w:t>
      </w:r>
      <w:r w:rsidR="00823E23">
        <w:t xml:space="preserve">in which a </w:t>
      </w:r>
      <w:r w:rsidR="00906141">
        <w:t xml:space="preserve">condition or requirement </w:t>
      </w:r>
      <w:r w:rsidR="00D85928">
        <w:t xml:space="preserve">that is the same for everyone </w:t>
      </w:r>
      <w:r w:rsidR="004A7118">
        <w:t>disadvantages</w:t>
      </w:r>
      <w:r w:rsidR="00F362FE">
        <w:t xml:space="preserve"> and</w:t>
      </w:r>
      <w:r w:rsidR="004A7118">
        <w:t xml:space="preserve"> a person with </w:t>
      </w:r>
      <w:proofErr w:type="gramStart"/>
      <w:r w:rsidR="004A7118">
        <w:t>disability</w:t>
      </w:r>
      <w:r w:rsidR="00F362FE">
        <w:t>, and</w:t>
      </w:r>
      <w:proofErr w:type="gramEnd"/>
      <w:r w:rsidR="00F362FE">
        <w:t xml:space="preserve"> is not reasonable in the circumstances.</w:t>
      </w:r>
      <w:r w:rsidR="00D85928">
        <w:rPr>
          <w:rStyle w:val="EndnoteReference"/>
        </w:rPr>
        <w:endnoteReference w:id="17"/>
      </w:r>
    </w:p>
    <w:p w14:paraId="5BBE50C2" w14:textId="2EEDC9FE" w:rsidR="00DF0A69" w:rsidRDefault="00DF0A69" w:rsidP="00DF0A69">
      <w:r>
        <w:t xml:space="preserve">Duty holders may avoid discrimination on the </w:t>
      </w:r>
      <w:r w:rsidR="00B72696">
        <w:t>grounds of</w:t>
      </w:r>
      <w:r>
        <w:t xml:space="preserve"> disability if they provide reasonable adjustments which facilitate </w:t>
      </w:r>
      <w:r w:rsidR="001E2AC1">
        <w:t>equal access and opportunity in a way that is proportionate to the circumstances.</w:t>
      </w:r>
      <w:r w:rsidR="00B57DF3">
        <w:rPr>
          <w:rStyle w:val="EndnoteReference"/>
        </w:rPr>
        <w:endnoteReference w:id="18"/>
      </w:r>
      <w:r w:rsidR="001E2AC1">
        <w:t xml:space="preserve"> Failure to do so may constitute unlawful discrimination, unless </w:t>
      </w:r>
      <w:r w:rsidR="00A4533A">
        <w:t>providing the reasonable adjustment would cause unjustifiable hardship.</w:t>
      </w:r>
      <w:r w:rsidR="00A4533A">
        <w:rPr>
          <w:rStyle w:val="EndnoteReference"/>
        </w:rPr>
        <w:endnoteReference w:id="19"/>
      </w:r>
    </w:p>
    <w:p w14:paraId="69D1886D" w14:textId="62A266C7" w:rsidR="00514FB9" w:rsidRDefault="00514FB9" w:rsidP="0009413F">
      <w:r>
        <w:lastRenderedPageBreak/>
        <w:t xml:space="preserve">Section 31 of the Disability Discrimination Act provides </w:t>
      </w:r>
      <w:r w:rsidR="00972228">
        <w:t>for</w:t>
      </w:r>
      <w:r>
        <w:t xml:space="preserve"> </w:t>
      </w:r>
      <w:r w:rsidR="0098107C">
        <w:t>disability standards</w:t>
      </w:r>
      <w:r w:rsidR="006F4332">
        <w:t xml:space="preserve"> to</w:t>
      </w:r>
      <w:r>
        <w:t xml:space="preserve"> be formulated in relation to an</w:t>
      </w:r>
      <w:r w:rsidR="0098107C">
        <w:t>y</w:t>
      </w:r>
      <w:r>
        <w:t xml:space="preserve"> area in which it is unlawful for a person to discriminate against another person on the grounds of a disability</w:t>
      </w:r>
      <w:r w:rsidR="00845374">
        <w:t>.</w:t>
      </w:r>
      <w:r w:rsidR="00FB4B6C">
        <w:rPr>
          <w:rStyle w:val="EndnoteReference"/>
        </w:rPr>
        <w:endnoteReference w:id="20"/>
      </w:r>
      <w:r w:rsidR="00845374">
        <w:t xml:space="preserve"> </w:t>
      </w:r>
      <w:r w:rsidR="00E918DF">
        <w:t>Disability standards</w:t>
      </w:r>
      <w:r w:rsidR="00E170A2">
        <w:t xml:space="preserve">, such as the Transport Standards, </w:t>
      </w:r>
      <w:r w:rsidR="00580537">
        <w:t>outline explicit</w:t>
      </w:r>
      <w:r w:rsidR="00981768">
        <w:t xml:space="preserve"> </w:t>
      </w:r>
      <w:r w:rsidR="00377B6C">
        <w:t>measures</w:t>
      </w:r>
      <w:r w:rsidR="00B54D0C">
        <w:t xml:space="preserve"> to remove discrimination in </w:t>
      </w:r>
      <w:r w:rsidR="00B54D0C" w:rsidRPr="00580537">
        <w:t>specific areas of public life</w:t>
      </w:r>
      <w:r w:rsidR="00B54D0C">
        <w:t xml:space="preserve">, </w:t>
      </w:r>
      <w:r w:rsidR="0008648A">
        <w:t>providing greater detail and certainty than the Disability Discrim</w:t>
      </w:r>
      <w:r w:rsidR="00AF3CE6">
        <w:t>ination Ac</w:t>
      </w:r>
      <w:r w:rsidR="00FB55A9">
        <w:t>t.</w:t>
      </w:r>
      <w:r w:rsidR="00AF3CE6">
        <w:t xml:space="preserve"> </w:t>
      </w:r>
      <w:r w:rsidR="00C10681">
        <w:t xml:space="preserve"> Disability </w:t>
      </w:r>
      <w:r w:rsidR="00B15E65">
        <w:t>s</w:t>
      </w:r>
      <w:r w:rsidR="00C10681">
        <w:t>tandards</w:t>
      </w:r>
      <w:r w:rsidR="00DE45D8">
        <w:t xml:space="preserve"> </w:t>
      </w:r>
      <w:r w:rsidR="00C10681">
        <w:t xml:space="preserve">provide clarity around the provision of </w:t>
      </w:r>
      <w:r w:rsidR="0022222E">
        <w:t xml:space="preserve">things such as </w:t>
      </w:r>
      <w:r w:rsidR="00C10681">
        <w:t>reasonable adjustment</w:t>
      </w:r>
      <w:r w:rsidR="00D66EAB">
        <w:t xml:space="preserve">, </w:t>
      </w:r>
      <w:r w:rsidR="00B33CC7">
        <w:t>strategies,</w:t>
      </w:r>
      <w:r w:rsidR="000A08D4">
        <w:t xml:space="preserve"> and programs to prevent harassment or victimisation of people with a disability,</w:t>
      </w:r>
      <w:r w:rsidR="00B33CC7">
        <w:t xml:space="preserve"> </w:t>
      </w:r>
      <w:r w:rsidR="0022222E">
        <w:t>and unjustifiable hardship</w:t>
      </w:r>
      <w:r w:rsidR="00B31872">
        <w:t>.</w:t>
      </w:r>
      <w:r w:rsidR="000A08D4">
        <w:rPr>
          <w:rStyle w:val="EndnoteReference"/>
        </w:rPr>
        <w:endnoteReference w:id="21"/>
      </w:r>
      <w:r w:rsidR="00B31872">
        <w:t xml:space="preserve"> Compliance with a disability standard provides</w:t>
      </w:r>
      <w:r w:rsidR="00004BFD">
        <w:t xml:space="preserve"> legal protection against claims of unlawful discriminatio</w:t>
      </w:r>
      <w:r w:rsidR="008A12E2">
        <w:t>n.</w:t>
      </w:r>
      <w:r w:rsidR="008A12E2">
        <w:rPr>
          <w:rStyle w:val="EndnoteReference"/>
        </w:rPr>
        <w:endnoteReference w:id="22"/>
      </w:r>
      <w:r w:rsidR="00B31872">
        <w:t xml:space="preserve"> </w:t>
      </w:r>
    </w:p>
    <w:p w14:paraId="45774C89" w14:textId="0727C149" w:rsidR="00B93040" w:rsidRDefault="00B93040" w:rsidP="0009413F">
      <w:r>
        <w:t>As subordinate legislation</w:t>
      </w:r>
      <w:r w:rsidR="00FA59E8">
        <w:t>, disability standards cannot be divorced from the provisions of the Disability Discrimination Act, and section 32 of the Disability Discrimination Act makes it unlawful to contravene a disability standard</w:t>
      </w:r>
      <w:r w:rsidR="00433838">
        <w:t>.</w:t>
      </w:r>
      <w:r w:rsidR="00FA59E8">
        <w:t xml:space="preserve"> Non-compliance with a disability standard may result in claims or complaints alleging unlawful discrimination</w:t>
      </w:r>
      <w:r w:rsidR="00264F51">
        <w:t>.</w:t>
      </w:r>
    </w:p>
    <w:p w14:paraId="00E94288" w14:textId="5DFCE8F9" w:rsidR="00F9447C" w:rsidRDefault="00E9729E" w:rsidP="0009413F">
      <w:r>
        <w:t>T</w:t>
      </w:r>
      <w:r w:rsidR="00F9447C">
        <w:t xml:space="preserve">here are </w:t>
      </w:r>
      <w:r w:rsidR="008374E6">
        <w:t>also</w:t>
      </w:r>
      <w:r w:rsidR="00F9447C">
        <w:t xml:space="preserve"> state and territory anti-discrimination laws that prohibit disability discrimination and provide mechanism</w:t>
      </w:r>
      <w:r w:rsidR="007E43B0">
        <w:t>s</w:t>
      </w:r>
      <w:r w:rsidR="00F9447C">
        <w:t xml:space="preserve"> to bring complaints to state and territory anti-discrimination authorities.</w:t>
      </w:r>
      <w:r w:rsidR="00F9447C">
        <w:rPr>
          <w:rStyle w:val="EndnoteReference"/>
        </w:rPr>
        <w:endnoteReference w:id="23"/>
      </w:r>
    </w:p>
    <w:p w14:paraId="285EE6DC" w14:textId="1D2C2AB2" w:rsidR="000B2138" w:rsidRDefault="000B2138" w:rsidP="000B2138">
      <w:pPr>
        <w:pStyle w:val="Heading2"/>
      </w:pPr>
      <w:bookmarkStart w:id="21" w:name="_Toc138090495"/>
      <w:r>
        <w:t>Australia’s Disability Strategy 2021</w:t>
      </w:r>
      <w:r w:rsidR="00A636A9">
        <w:t>–</w:t>
      </w:r>
      <w:r>
        <w:t>2031</w:t>
      </w:r>
      <w:bookmarkEnd w:id="21"/>
    </w:p>
    <w:p w14:paraId="0D5C1FD5" w14:textId="75046C02" w:rsidR="00253A2B" w:rsidRDefault="008E4D8A" w:rsidP="002B3A48">
      <w:r w:rsidRPr="00031B39">
        <w:rPr>
          <w:i/>
          <w:iCs/>
        </w:rPr>
        <w:t>Australia’s Disability Strategy</w:t>
      </w:r>
      <w:r w:rsidR="00A801CC" w:rsidRPr="00031B39">
        <w:rPr>
          <w:i/>
          <w:iCs/>
        </w:rPr>
        <w:t xml:space="preserve"> 2021</w:t>
      </w:r>
      <w:r w:rsidR="00A636A9">
        <w:rPr>
          <w:i/>
          <w:iCs/>
        </w:rPr>
        <w:t>–</w:t>
      </w:r>
      <w:r w:rsidR="00A801CC" w:rsidRPr="00031B39">
        <w:rPr>
          <w:i/>
          <w:iCs/>
        </w:rPr>
        <w:t>2031</w:t>
      </w:r>
      <w:r w:rsidR="00A801CC">
        <w:t xml:space="preserve"> (Australia’s Disability Strategy) is the national disability policy framework</w:t>
      </w:r>
      <w:r w:rsidR="004C63E7">
        <w:t xml:space="preserve"> to improve outcomes for people with disability in Australia across a range of life domains.</w:t>
      </w:r>
      <w:r w:rsidR="00995B5B">
        <w:rPr>
          <w:rStyle w:val="EndnoteReference"/>
        </w:rPr>
        <w:endnoteReference w:id="24"/>
      </w:r>
      <w:r w:rsidR="00232A75">
        <w:t xml:space="preserve"> </w:t>
      </w:r>
      <w:r w:rsidR="00253A2B">
        <w:t>The St</w:t>
      </w:r>
      <w:r w:rsidR="00993033">
        <w:t xml:space="preserve">rategy sets out policy priorities </w:t>
      </w:r>
      <w:r w:rsidR="00933D3D">
        <w:t xml:space="preserve">identified and </w:t>
      </w:r>
      <w:r w:rsidR="00574969">
        <w:t>committed to by all levels of government</w:t>
      </w:r>
      <w:r w:rsidR="008F1CDE">
        <w:t>, to</w:t>
      </w:r>
      <w:r w:rsidR="00574969">
        <w:t xml:space="preserve"> </w:t>
      </w:r>
      <w:r w:rsidR="007A369E">
        <w:t>drive national leadership</w:t>
      </w:r>
      <w:r w:rsidR="008F1CDE">
        <w:t xml:space="preserve"> towards </w:t>
      </w:r>
      <w:r w:rsidR="00933D3D">
        <w:t xml:space="preserve">a </w:t>
      </w:r>
      <w:r w:rsidR="008F1CDE">
        <w:t>more inclusive</w:t>
      </w:r>
      <w:r w:rsidR="00933D3D">
        <w:t xml:space="preserve"> service system and society. </w:t>
      </w:r>
    </w:p>
    <w:p w14:paraId="22BD8CAC" w14:textId="0233525F" w:rsidR="00A56BFF" w:rsidRDefault="00252AE7" w:rsidP="002B3A48">
      <w:r>
        <w:t xml:space="preserve">Ensuring ‘transport systems are accessible for the whole community’ is a policy priority under </w:t>
      </w:r>
      <w:r w:rsidR="006F40E5">
        <w:t xml:space="preserve">the </w:t>
      </w:r>
      <w:r w:rsidR="001D3E8E">
        <w:t>‘</w:t>
      </w:r>
      <w:r w:rsidR="006F40E5">
        <w:t>Inclusive Homes and Communities</w:t>
      </w:r>
      <w:r w:rsidR="001D3E8E">
        <w:t xml:space="preserve">’ </w:t>
      </w:r>
      <w:r w:rsidR="006F40E5">
        <w:t xml:space="preserve">outcome area of the Strategy. </w:t>
      </w:r>
      <w:r w:rsidR="00504ADC">
        <w:t xml:space="preserve">Ensuring the effectiveness of the Transport Standards is a critical component to achieving the vision of a more inclusive Australia. </w:t>
      </w:r>
      <w:r w:rsidR="00001167">
        <w:t>T</w:t>
      </w:r>
      <w:r w:rsidR="00911AD3">
        <w:t>he</w:t>
      </w:r>
      <w:r w:rsidR="00C8035E">
        <w:t xml:space="preserve"> </w:t>
      </w:r>
      <w:r w:rsidR="00001167">
        <w:t xml:space="preserve">Transport </w:t>
      </w:r>
      <w:r w:rsidR="008F1F11">
        <w:t>Standards act as a</w:t>
      </w:r>
      <w:r w:rsidR="000C27B0">
        <w:t xml:space="preserve"> central</w:t>
      </w:r>
      <w:r w:rsidR="008F1F11">
        <w:t xml:space="preserve"> mechanism through which to achieve this objective</w:t>
      </w:r>
      <w:r w:rsidR="003F3B18">
        <w:t xml:space="preserve"> and measure progress</w:t>
      </w:r>
      <w:r w:rsidR="0076311E">
        <w:t>. C</w:t>
      </w:r>
      <w:r w:rsidR="000F4679">
        <w:t>ompliance with the Transport Standards is a key system measure under the Australia’s Disability Strategy Outcomes Framework.</w:t>
      </w:r>
      <w:r w:rsidR="000F4679">
        <w:rPr>
          <w:rStyle w:val="EndnoteReference"/>
        </w:rPr>
        <w:endnoteReference w:id="25"/>
      </w:r>
      <w:r w:rsidR="00701305">
        <w:t xml:space="preserve"> </w:t>
      </w:r>
      <w:r w:rsidR="00202492">
        <w:t xml:space="preserve">The Transport Standards </w:t>
      </w:r>
      <w:r w:rsidR="007A369E">
        <w:t xml:space="preserve">therefore need </w:t>
      </w:r>
      <w:r w:rsidR="00202492">
        <w:t xml:space="preserve">to be met with genuine commitment and funding </w:t>
      </w:r>
      <w:r w:rsidR="008B3490">
        <w:t xml:space="preserve">to </w:t>
      </w:r>
      <w:r w:rsidR="009426CE">
        <w:t>do so</w:t>
      </w:r>
      <w:r w:rsidR="00720E10">
        <w:t xml:space="preserve"> and should be reviewed through this lens</w:t>
      </w:r>
      <w:r w:rsidR="003C030E">
        <w:t xml:space="preserve">. </w:t>
      </w:r>
    </w:p>
    <w:p w14:paraId="18287A08" w14:textId="4EC01E21" w:rsidR="007221D3" w:rsidRDefault="007221D3" w:rsidP="007221D3">
      <w:pPr>
        <w:pStyle w:val="Heading1"/>
      </w:pPr>
      <w:bookmarkStart w:id="22" w:name="_Toc138090496"/>
      <w:r>
        <w:lastRenderedPageBreak/>
        <w:t xml:space="preserve">Reform Agenda for </w:t>
      </w:r>
      <w:r w:rsidR="001C32C0">
        <w:t xml:space="preserve">Federal </w:t>
      </w:r>
      <w:r>
        <w:t>Discrimination Laws</w:t>
      </w:r>
      <w:bookmarkEnd w:id="22"/>
    </w:p>
    <w:p w14:paraId="5AC023C1" w14:textId="4BE11DBD" w:rsidR="007221D3" w:rsidRDefault="00983C5B" w:rsidP="002B3A48">
      <w:r>
        <w:t xml:space="preserve">In December 2021, the Commission </w:t>
      </w:r>
      <w:r w:rsidR="00EC6758">
        <w:t xml:space="preserve">published </w:t>
      </w:r>
      <w:r w:rsidR="00CA7D89">
        <w:t>the</w:t>
      </w:r>
      <w:r w:rsidR="00EC6758">
        <w:t xml:space="preserve"> first Position Paper as part of </w:t>
      </w:r>
      <w:r w:rsidR="00EC6758" w:rsidRPr="00910865">
        <w:t>Free and Equal</w:t>
      </w:r>
      <w:r w:rsidR="0031648F" w:rsidRPr="00910865">
        <w:t>: A national conversation on human rights</w:t>
      </w:r>
      <w:r w:rsidR="00CA7D89">
        <w:rPr>
          <w:iCs/>
        </w:rPr>
        <w:t xml:space="preserve"> –</w:t>
      </w:r>
      <w:r w:rsidR="00AE21A4" w:rsidRPr="00F20857">
        <w:rPr>
          <w:i/>
        </w:rPr>
        <w:t xml:space="preserve"> </w:t>
      </w:r>
      <w:r w:rsidR="00910865">
        <w:rPr>
          <w:i/>
        </w:rPr>
        <w:t>A Reform Agenda</w:t>
      </w:r>
      <w:r w:rsidR="0014577C" w:rsidRPr="00F20857">
        <w:rPr>
          <w:i/>
        </w:rPr>
        <w:t xml:space="preserve"> for </w:t>
      </w:r>
      <w:r w:rsidR="00910865">
        <w:rPr>
          <w:i/>
        </w:rPr>
        <w:t xml:space="preserve">Federal Discrimination </w:t>
      </w:r>
      <w:r w:rsidR="00910865" w:rsidRPr="00910865">
        <w:rPr>
          <w:i/>
        </w:rPr>
        <w:t>Laws</w:t>
      </w:r>
      <w:r w:rsidR="00BA3C07">
        <w:t xml:space="preserve"> (Position Paper)</w:t>
      </w:r>
      <w:r w:rsidR="0014577C">
        <w:t>.</w:t>
      </w:r>
      <w:r w:rsidR="0031648F">
        <w:rPr>
          <w:rStyle w:val="EndnoteReference"/>
        </w:rPr>
        <w:endnoteReference w:id="26"/>
      </w:r>
      <w:r w:rsidR="0014577C">
        <w:t xml:space="preserve"> The </w:t>
      </w:r>
      <w:r w:rsidR="009657E5">
        <w:t>Position</w:t>
      </w:r>
      <w:r w:rsidR="0014577C">
        <w:t xml:space="preserve"> Paper was informed by</w:t>
      </w:r>
      <w:r w:rsidR="000E0A16">
        <w:t xml:space="preserve"> </w:t>
      </w:r>
      <w:r w:rsidR="00B65E85">
        <w:t xml:space="preserve">extensive </w:t>
      </w:r>
      <w:r w:rsidR="000E0A16">
        <w:t xml:space="preserve">research and </w:t>
      </w:r>
      <w:r w:rsidR="00936DA7">
        <w:t>consultation and</w:t>
      </w:r>
      <w:r w:rsidR="00F647BB">
        <w:t xml:space="preserve"> identifies </w:t>
      </w:r>
      <w:r w:rsidR="00B74600">
        <w:t>necessary actions</w:t>
      </w:r>
      <w:r w:rsidR="00F647BB">
        <w:t xml:space="preserve"> for Governments to meet their obligations to respect, protect and fulfil human rights</w:t>
      </w:r>
      <w:r w:rsidR="00656B71">
        <w:t xml:space="preserve"> in relation to Federal discrimination laws. </w:t>
      </w:r>
    </w:p>
    <w:p w14:paraId="54D255EA" w14:textId="58EC660D" w:rsidR="00656B71" w:rsidRDefault="00CC0C5D" w:rsidP="002B3A48">
      <w:r>
        <w:t>Th</w:t>
      </w:r>
      <w:r w:rsidR="004A0E8D">
        <w:t xml:space="preserve">rough this work the Commission found that: </w:t>
      </w:r>
    </w:p>
    <w:p w14:paraId="1788F766" w14:textId="1A123B36" w:rsidR="004A0E8D" w:rsidRDefault="004A0E8D" w:rsidP="00461ACB">
      <w:pPr>
        <w:pStyle w:val="ListParagraph"/>
        <w:numPr>
          <w:ilvl w:val="0"/>
          <w:numId w:val="24"/>
        </w:numPr>
      </w:pPr>
      <w:r>
        <w:t>The existing system of Federal discrimination law i</w:t>
      </w:r>
      <w:r w:rsidR="00FF6753">
        <w:t>s</w:t>
      </w:r>
      <w:r>
        <w:t xml:space="preserve"> primarily geared </w:t>
      </w:r>
      <w:r w:rsidR="00874753">
        <w:t>towards</w:t>
      </w:r>
      <w:r>
        <w:t xml:space="preserve"> the remedial aspects </w:t>
      </w:r>
      <w:r w:rsidR="00BD6BAF">
        <w:t xml:space="preserve">of the obligation to respect and </w:t>
      </w:r>
      <w:r w:rsidR="00525B1F">
        <w:t>protect and</w:t>
      </w:r>
      <w:r w:rsidR="00C1166A">
        <w:t xml:space="preserve"> falls short of realising effective remediation for </w:t>
      </w:r>
      <w:r w:rsidR="00BD6BAF">
        <w:t>discrimination.</w:t>
      </w:r>
    </w:p>
    <w:p w14:paraId="18E4E14F" w14:textId="77777777" w:rsidR="00874753" w:rsidRDefault="00C1166A" w:rsidP="00461ACB">
      <w:pPr>
        <w:pStyle w:val="ListParagraph"/>
        <w:numPr>
          <w:ilvl w:val="0"/>
          <w:numId w:val="24"/>
        </w:numPr>
      </w:pPr>
      <w:r>
        <w:t xml:space="preserve">There are gaps in the protection offered by these laws, and significant questions as to how accessible the discrimination law system is – </w:t>
      </w:r>
      <w:r w:rsidR="00874753">
        <w:t>particularly</w:t>
      </w:r>
      <w:r>
        <w:t xml:space="preserve"> for </w:t>
      </w:r>
      <w:r w:rsidR="00874753">
        <w:t xml:space="preserve">marginalised or </w:t>
      </w:r>
      <w:r>
        <w:t>disadvantaged</w:t>
      </w:r>
      <w:r w:rsidR="00874753">
        <w:t xml:space="preserve"> groups.</w:t>
      </w:r>
    </w:p>
    <w:p w14:paraId="54A85A28" w14:textId="14EEE52F" w:rsidR="0086295F" w:rsidRDefault="00874753" w:rsidP="00461ACB">
      <w:pPr>
        <w:pStyle w:val="ListParagraph"/>
        <w:numPr>
          <w:ilvl w:val="0"/>
          <w:numId w:val="24"/>
        </w:numPr>
      </w:pPr>
      <w:r>
        <w:t>There is a need to shift the focus to a more preventative approach and towards actions that better support</w:t>
      </w:r>
      <w:r w:rsidR="000D4B2F">
        <w:t>s</w:t>
      </w:r>
      <w:r>
        <w:t xml:space="preserve"> the fulfilment of rights. </w:t>
      </w:r>
    </w:p>
    <w:p w14:paraId="781A095E" w14:textId="14F44774" w:rsidR="00D539D5" w:rsidRDefault="001C32C0" w:rsidP="00D539D5">
      <w:r>
        <w:t xml:space="preserve">The </w:t>
      </w:r>
      <w:r w:rsidR="003416E4">
        <w:t>Commission</w:t>
      </w:r>
      <w:r w:rsidR="009657E5">
        <w:t>’</w:t>
      </w:r>
      <w:r w:rsidR="003416E4">
        <w:t xml:space="preserve">s reform agenda </w:t>
      </w:r>
      <w:proofErr w:type="gramStart"/>
      <w:r w:rsidR="003416E4">
        <w:t>includes</w:t>
      </w:r>
      <w:r w:rsidR="009657E5">
        <w:t>:</w:t>
      </w:r>
      <w:proofErr w:type="gramEnd"/>
      <w:r w:rsidR="00892E06">
        <w:t xml:space="preserve"> building</w:t>
      </w:r>
      <w:r w:rsidR="003416E4">
        <w:t xml:space="preserve"> a</w:t>
      </w:r>
      <w:r w:rsidR="00892E06">
        <w:t xml:space="preserve"> preventative culture through</w:t>
      </w:r>
      <w:r w:rsidR="003416E4">
        <w:t xml:space="preserve"> mechanisms such as</w:t>
      </w:r>
      <w:r w:rsidR="00892E06">
        <w:t xml:space="preserve"> the introduction of a positive duty; modernising the regulatory framewor</w:t>
      </w:r>
      <w:r w:rsidR="008477CB">
        <w:t>k</w:t>
      </w:r>
      <w:r w:rsidR="00892E06">
        <w:t>; enhancing access to justice</w:t>
      </w:r>
      <w:r w:rsidR="003416E4">
        <w:t>;</w:t>
      </w:r>
      <w:r w:rsidR="00892E06">
        <w:t xml:space="preserve"> and improving the practical operation of the laws. </w:t>
      </w:r>
    </w:p>
    <w:p w14:paraId="5EAC1BA0" w14:textId="6769DC09" w:rsidR="00176C41" w:rsidRDefault="00176C41" w:rsidP="00D539D5">
      <w:r>
        <w:t xml:space="preserve">In this </w:t>
      </w:r>
      <w:r w:rsidR="009657E5">
        <w:t>Position Paper</w:t>
      </w:r>
      <w:r>
        <w:t xml:space="preserve">, the Commission notes that </w:t>
      </w:r>
    </w:p>
    <w:p w14:paraId="2E53CB6E" w14:textId="632B3537" w:rsidR="00C36D58" w:rsidRPr="001D709E" w:rsidRDefault="00C36D58" w:rsidP="00C36D58">
      <w:pPr>
        <w:ind w:left="720"/>
        <w:rPr>
          <w:b/>
          <w:bCs/>
          <w:sz w:val="22"/>
          <w:szCs w:val="22"/>
        </w:rPr>
      </w:pPr>
      <w:r w:rsidRPr="001D709E">
        <w:rPr>
          <w:rFonts w:cs="Open Sans"/>
          <w:sz w:val="22"/>
          <w:szCs w:val="22"/>
        </w:rPr>
        <w:t xml:space="preserve">Enhanced monitoring and review processes, combined with greater engagement and awareness raising, are required to ensure </w:t>
      </w:r>
      <w:r w:rsidR="00DD4642" w:rsidRPr="001D709E">
        <w:rPr>
          <w:rFonts w:cs="Open Sans"/>
          <w:sz w:val="22"/>
          <w:szCs w:val="22"/>
        </w:rPr>
        <w:t xml:space="preserve">[disability] </w:t>
      </w:r>
      <w:r w:rsidRPr="001D709E">
        <w:rPr>
          <w:rFonts w:cs="Open Sans"/>
          <w:sz w:val="22"/>
          <w:szCs w:val="22"/>
        </w:rPr>
        <w:t>standards can have a positive systemic impact.</w:t>
      </w:r>
      <w:r w:rsidR="008A50B5" w:rsidRPr="001D709E">
        <w:rPr>
          <w:rStyle w:val="EndnoteReference"/>
          <w:rFonts w:cs="Open Sans"/>
          <w:szCs w:val="22"/>
        </w:rPr>
        <w:endnoteReference w:id="27"/>
      </w:r>
      <w:r w:rsidRPr="001D709E">
        <w:rPr>
          <w:rFonts w:cs="Open Sans"/>
          <w:sz w:val="22"/>
          <w:szCs w:val="22"/>
        </w:rPr>
        <w:t xml:space="preserve"> Stakeholders agreed that robust review processes should be in place to ascertain the effectiveness of the standards and assess the level of compliance</w:t>
      </w:r>
      <w:r w:rsidR="004E6DAE" w:rsidRPr="001D709E">
        <w:rPr>
          <w:rFonts w:cs="Open Sans"/>
          <w:sz w:val="22"/>
          <w:szCs w:val="22"/>
        </w:rPr>
        <w:t>.</w:t>
      </w:r>
      <w:r w:rsidR="008A50B5" w:rsidRPr="001D709E">
        <w:rPr>
          <w:rStyle w:val="EndnoteReference"/>
          <w:rFonts w:cs="Open Sans"/>
          <w:szCs w:val="22"/>
        </w:rPr>
        <w:endnoteReference w:id="28"/>
      </w:r>
    </w:p>
    <w:p w14:paraId="5429BDF6" w14:textId="37375C16" w:rsidR="009E206C" w:rsidRDefault="00F66771" w:rsidP="009E206C">
      <w:r>
        <w:t xml:space="preserve">The Commission encourages the Department to consider the Review of the Transport Standards in the context of the need for broader reform to discrimination law in Australia, giving </w:t>
      </w:r>
      <w:proofErr w:type="gramStart"/>
      <w:r>
        <w:t>particular</w:t>
      </w:r>
      <w:r w:rsidR="008707FB">
        <w:t xml:space="preserve"> </w:t>
      </w:r>
      <w:r>
        <w:t>regard</w:t>
      </w:r>
      <w:proofErr w:type="gramEnd"/>
      <w:r>
        <w:t xml:space="preserve"> to</w:t>
      </w:r>
      <w:r w:rsidR="00301E56">
        <w:t xml:space="preserve"> </w:t>
      </w:r>
      <w:r w:rsidR="00C47F01">
        <w:t>c</w:t>
      </w:r>
      <w:r w:rsidR="00004B17">
        <w:t xml:space="preserve">hapter five, section one which discusses the </w:t>
      </w:r>
      <w:r w:rsidR="00DA420A">
        <w:t>d</w:t>
      </w:r>
      <w:r w:rsidR="00004B17">
        <w:t xml:space="preserve">isability </w:t>
      </w:r>
      <w:r w:rsidR="00DA420A">
        <w:t>s</w:t>
      </w:r>
      <w:r w:rsidR="00004B17">
        <w:t xml:space="preserve">tandards </w:t>
      </w:r>
      <w:r w:rsidR="001C32C0">
        <w:t>in relation to</w:t>
      </w:r>
      <w:r w:rsidR="00004B17">
        <w:t xml:space="preserve"> addressing non-compliance.</w:t>
      </w:r>
      <w:r>
        <w:t xml:space="preserve"> </w:t>
      </w:r>
    </w:p>
    <w:p w14:paraId="70473BCA" w14:textId="50BD4079" w:rsidR="00EC4933" w:rsidRDefault="00190F10" w:rsidP="00EC4933">
      <w:pPr>
        <w:pStyle w:val="Heading1"/>
      </w:pPr>
      <w:bookmarkStart w:id="23" w:name="_Toc138090497"/>
      <w:r>
        <w:lastRenderedPageBreak/>
        <w:t>Complaints and Exemptions</w:t>
      </w:r>
      <w:bookmarkEnd w:id="23"/>
      <w:r>
        <w:t xml:space="preserve"> </w:t>
      </w:r>
    </w:p>
    <w:p w14:paraId="79C331DA" w14:textId="3A46D1B7" w:rsidR="00B46099" w:rsidRPr="00B46099" w:rsidRDefault="00B46099" w:rsidP="00B46099">
      <w:pPr>
        <w:rPr>
          <w:i/>
          <w:iCs/>
        </w:rPr>
      </w:pPr>
      <w:r>
        <w:rPr>
          <w:i/>
          <w:iCs/>
        </w:rPr>
        <w:t xml:space="preserve">Complaints </w:t>
      </w:r>
      <w:r w:rsidR="00D37C81">
        <w:rPr>
          <w:i/>
          <w:iCs/>
        </w:rPr>
        <w:t>Process</w:t>
      </w:r>
    </w:p>
    <w:p w14:paraId="51942EEE" w14:textId="1E08FC7F" w:rsidR="00ED2E5E" w:rsidRDefault="00ED2E5E" w:rsidP="00ED2E5E">
      <w:pPr>
        <w:spacing w:before="0" w:after="0"/>
        <w:jc w:val="both"/>
        <w:rPr>
          <w:rFonts w:cs="Open Sans"/>
        </w:rPr>
      </w:pPr>
      <w:r w:rsidRPr="00EE562D">
        <w:rPr>
          <w:rFonts w:cs="Open Sans"/>
        </w:rPr>
        <w:t xml:space="preserve">The </w:t>
      </w:r>
      <w:r>
        <w:rPr>
          <w:rFonts w:cs="Open Sans"/>
        </w:rPr>
        <w:t xml:space="preserve">Commission’s National Information Service provides information and referrals for individuals, </w:t>
      </w:r>
      <w:r w:rsidR="003C36C1">
        <w:rPr>
          <w:rFonts w:cs="Open Sans"/>
        </w:rPr>
        <w:t>organisations</w:t>
      </w:r>
      <w:r>
        <w:rPr>
          <w:rFonts w:cs="Open Sans"/>
        </w:rPr>
        <w:t xml:space="preserve"> and employers about a range of human rights and discrimination issues. The Commission also investigates and conciliates complaints about discrimination and breaches of human rights.</w:t>
      </w:r>
      <w:r w:rsidR="00CB46C7">
        <w:rPr>
          <w:rStyle w:val="EndnoteReference"/>
          <w:rFonts w:cs="Open Sans"/>
        </w:rPr>
        <w:endnoteReference w:id="29"/>
      </w:r>
      <w:r>
        <w:rPr>
          <w:rFonts w:cs="Open Sans"/>
        </w:rPr>
        <w:t xml:space="preserve"> </w:t>
      </w:r>
    </w:p>
    <w:p w14:paraId="7610CCD8" w14:textId="72C47D8A" w:rsidR="00B525B5" w:rsidRDefault="00B525B5" w:rsidP="00B525B5">
      <w:r>
        <w:t xml:space="preserve">The Commission’s complaints process remains the primary </w:t>
      </w:r>
      <w:r w:rsidR="0072007B">
        <w:t>mechanism</w:t>
      </w:r>
      <w:r>
        <w:t xml:space="preserve"> to address breaches of compliance under the Transport Standards. </w:t>
      </w:r>
      <w:r w:rsidR="00106522">
        <w:t>The conciliation process</w:t>
      </w:r>
      <w:r>
        <w:t xml:space="preserve"> has been raised as a ‘significant area of concern’ for people with disability due to the power imbalances that exist between complainants and the transport industry.</w:t>
      </w:r>
      <w:r>
        <w:rPr>
          <w:rStyle w:val="EndnoteReference"/>
        </w:rPr>
        <w:endnoteReference w:id="30"/>
      </w:r>
      <w:r w:rsidR="00810BEC">
        <w:t xml:space="preserve"> </w:t>
      </w:r>
      <w:r w:rsidR="0036010C">
        <w:t xml:space="preserve">This also places an undue burden on people with disability to </w:t>
      </w:r>
      <w:r w:rsidR="00770EBC">
        <w:t>hold transport providers responsible for non-compliance</w:t>
      </w:r>
      <w:r w:rsidR="00862012">
        <w:t xml:space="preserve">, requiring a level of </w:t>
      </w:r>
      <w:r w:rsidR="00106522">
        <w:t xml:space="preserve">understanding and </w:t>
      </w:r>
      <w:r w:rsidR="00862012">
        <w:t xml:space="preserve">self-identification of breaches to the </w:t>
      </w:r>
      <w:r w:rsidR="003C36C1">
        <w:t>Transport Standards which are highly technical.</w:t>
      </w:r>
      <w:r>
        <w:t xml:space="preserve"> </w:t>
      </w:r>
    </w:p>
    <w:p w14:paraId="237EFD2B" w14:textId="0EE3436D" w:rsidR="006A7D8D" w:rsidRDefault="00076333" w:rsidP="00B525B5">
      <w:r>
        <w:t>The Disability Discrimination Act receives the highest number of complaints</w:t>
      </w:r>
      <w:r w:rsidR="00F803B7">
        <w:t xml:space="preserve"> </w:t>
      </w:r>
      <w:r>
        <w:t>compared to other Discrim</w:t>
      </w:r>
      <w:r w:rsidR="00F803B7">
        <w:t>ination Acts. In the 2021</w:t>
      </w:r>
      <w:r w:rsidR="00E53B77">
        <w:t>–</w:t>
      </w:r>
      <w:r w:rsidR="00F803B7">
        <w:t xml:space="preserve">2022 reporting year, </w:t>
      </w:r>
      <w:r w:rsidR="00E53B77">
        <w:t xml:space="preserve">for example, </w:t>
      </w:r>
      <w:r w:rsidR="00F803B7">
        <w:t>52% of all c</w:t>
      </w:r>
      <w:r w:rsidR="00076154">
        <w:t xml:space="preserve">omplaints </w:t>
      </w:r>
      <w:r w:rsidR="00F803B7">
        <w:t>received were lodged</w:t>
      </w:r>
      <w:r w:rsidR="00076154">
        <w:t xml:space="preserve"> under the Disability Discrimination Act</w:t>
      </w:r>
      <w:r w:rsidR="00F803B7">
        <w:t>.</w:t>
      </w:r>
      <w:r w:rsidR="00DA420A">
        <w:rPr>
          <w:rStyle w:val="EndnoteReference"/>
        </w:rPr>
        <w:endnoteReference w:id="31"/>
      </w:r>
      <w:r w:rsidR="00F803B7">
        <w:t xml:space="preserve"> </w:t>
      </w:r>
    </w:p>
    <w:p w14:paraId="0533C0B8" w14:textId="0567E58B" w:rsidR="00B525B5" w:rsidRDefault="00B525B5" w:rsidP="00B525B5">
      <w:r>
        <w:t>In the first six months of the 2022</w:t>
      </w:r>
      <w:r w:rsidR="00313114">
        <w:t>–</w:t>
      </w:r>
      <w:r>
        <w:t xml:space="preserve">2023 reporting year, there </w:t>
      </w:r>
      <w:r w:rsidR="002540ED">
        <w:t>were</w:t>
      </w:r>
      <w:r>
        <w:t xml:space="preserve"> approximately 41 complaints alleging discrimination against public transport providers</w:t>
      </w:r>
      <w:r w:rsidR="00A1690B">
        <w:t xml:space="preserve"> lodged under the Disability Discrimination Act</w:t>
      </w:r>
      <w:r>
        <w:t xml:space="preserve">. Over half of these (58%) have been made in relation to airlines or air travel, with the remainder including bus, train, tram, </w:t>
      </w:r>
      <w:r w:rsidR="005A4833">
        <w:t>taxi</w:t>
      </w:r>
      <w:r>
        <w:t xml:space="preserve"> and ride-share.</w:t>
      </w:r>
    </w:p>
    <w:p w14:paraId="32DDD96A" w14:textId="0FE19183" w:rsidR="00BF6B43" w:rsidRDefault="00764A98" w:rsidP="00CA29BD">
      <w:r>
        <w:t xml:space="preserve">However, </w:t>
      </w:r>
      <w:r w:rsidR="00191DB8">
        <w:t>there are few</w:t>
      </w:r>
      <w:r>
        <w:t xml:space="preserve"> complaints </w:t>
      </w:r>
      <w:r w:rsidR="00DC72E4">
        <w:t xml:space="preserve">that </w:t>
      </w:r>
      <w:r w:rsidR="002413B9">
        <w:t xml:space="preserve">specifically </w:t>
      </w:r>
      <w:r w:rsidR="00E84A0C">
        <w:t>refer</w:t>
      </w:r>
      <w:r w:rsidR="002413B9">
        <w:t xml:space="preserve"> to the Transport Standards. </w:t>
      </w:r>
      <w:r w:rsidR="007367E4">
        <w:t>In the 2022</w:t>
      </w:r>
      <w:r w:rsidR="00C11E96">
        <w:t>–</w:t>
      </w:r>
      <w:r w:rsidR="007367E4">
        <w:t>2023 reporting year</w:t>
      </w:r>
      <w:r w:rsidR="00191DB8">
        <w:t>,</w:t>
      </w:r>
      <w:r w:rsidR="00605981">
        <w:t xml:space="preserve"> </w:t>
      </w:r>
      <w:r w:rsidR="007367E4">
        <w:t xml:space="preserve">eight complaints </w:t>
      </w:r>
      <w:r w:rsidR="00273BCF">
        <w:t>were</w:t>
      </w:r>
      <w:r w:rsidR="007367E4">
        <w:t xml:space="preserve"> made under the Transport Standards</w:t>
      </w:r>
      <w:r w:rsidR="00DD7CBC">
        <w:t>.</w:t>
      </w:r>
      <w:r w:rsidR="00BF6B43">
        <w:t xml:space="preserve"> </w:t>
      </w:r>
      <w:r w:rsidR="00DD7CBC">
        <w:t>O</w:t>
      </w:r>
      <w:r w:rsidR="00BF6B43">
        <w:t>f the</w:t>
      </w:r>
      <w:r w:rsidR="00CA29BD">
        <w:t>se</w:t>
      </w:r>
      <w:r w:rsidR="00DD7CBC">
        <w:t>,</w:t>
      </w:r>
      <w:r w:rsidR="00CA29BD">
        <w:t xml:space="preserve"> </w:t>
      </w:r>
      <w:r w:rsidR="002E2D57">
        <w:t xml:space="preserve">six </w:t>
      </w:r>
      <w:r w:rsidR="00B331D8">
        <w:t>were associated with</w:t>
      </w:r>
      <w:r w:rsidR="002E2D57">
        <w:t xml:space="preserve"> </w:t>
      </w:r>
      <w:r w:rsidR="00CA29BD">
        <w:t>air travel, the remaining two were train and tram</w:t>
      </w:r>
      <w:r w:rsidR="00B331D8">
        <w:t xml:space="preserve"> complaints.</w:t>
      </w:r>
      <w:r w:rsidR="00605981">
        <w:rPr>
          <w:rStyle w:val="EndnoteReference"/>
        </w:rPr>
        <w:endnoteReference w:id="32"/>
      </w:r>
      <w:r w:rsidR="00605981">
        <w:t xml:space="preserve"> </w:t>
      </w:r>
      <w:r w:rsidR="00B331D8">
        <w:t xml:space="preserve"> </w:t>
      </w:r>
    </w:p>
    <w:p w14:paraId="6D866CF8" w14:textId="40CB491A" w:rsidR="00D350FF" w:rsidRDefault="00634106" w:rsidP="00CA29BD">
      <w:r>
        <w:t>In the six years s</w:t>
      </w:r>
      <w:r w:rsidR="00E84A0C">
        <w:t>ince the 2017</w:t>
      </w:r>
      <w:r w:rsidR="00191DB8">
        <w:t>–</w:t>
      </w:r>
      <w:r w:rsidR="00E84A0C">
        <w:t xml:space="preserve">2018 reporting year, </w:t>
      </w:r>
      <w:r w:rsidR="00D72196">
        <w:t>there have been a total of 86 complaints made under the Transport Standards</w:t>
      </w:r>
      <w:r w:rsidR="00191DB8">
        <w:t>,</w:t>
      </w:r>
      <w:r w:rsidR="00D72196">
        <w:t xml:space="preserve"> accounting for 10% of total</w:t>
      </w:r>
      <w:r w:rsidR="00D76FDD">
        <w:t xml:space="preserve"> disability standards complaints, and 1% of all complaints made under the Disability Discrimination Act.</w:t>
      </w:r>
      <w:r w:rsidR="005955ED">
        <w:rPr>
          <w:rStyle w:val="EndnoteReference"/>
        </w:rPr>
        <w:endnoteReference w:id="33"/>
      </w:r>
    </w:p>
    <w:p w14:paraId="6862FED5" w14:textId="4C8A7641" w:rsidR="00D350FF" w:rsidRDefault="00D350FF" w:rsidP="00CA29BD">
      <w:r>
        <w:t>The common</w:t>
      </w:r>
      <w:r w:rsidR="00AB2E7C">
        <w:t>est</w:t>
      </w:r>
      <w:r>
        <w:t xml:space="preserve"> themes </w:t>
      </w:r>
      <w:r w:rsidR="00151D6D">
        <w:t xml:space="preserve">raised in complaints </w:t>
      </w:r>
      <w:r w:rsidR="00F0236E">
        <w:t>concern</w:t>
      </w:r>
      <w:r>
        <w:t xml:space="preserve"> </w:t>
      </w:r>
      <w:r w:rsidR="00D43682">
        <w:t>assistance animals, inaccessible platforms and stations</w:t>
      </w:r>
      <w:r w:rsidR="00F0236E">
        <w:t>,</w:t>
      </w:r>
      <w:r w:rsidR="00D43682">
        <w:t xml:space="preserve"> and inaccessible vehicles. </w:t>
      </w:r>
      <w:r w:rsidR="006B2486">
        <w:t xml:space="preserve">The Commission is aware that assistance animal refusal </w:t>
      </w:r>
      <w:r w:rsidR="006012AD">
        <w:t xml:space="preserve">by taxis and rideshare services </w:t>
      </w:r>
      <w:r w:rsidR="006B2486">
        <w:t>is an ongoing and pervasive issue</w:t>
      </w:r>
      <w:r w:rsidR="003D2272">
        <w:t xml:space="preserve"> </w:t>
      </w:r>
      <w:r w:rsidR="006012AD">
        <w:t>for people with disability</w:t>
      </w:r>
      <w:r w:rsidR="00A5209D">
        <w:t xml:space="preserve"> </w:t>
      </w:r>
      <w:r w:rsidR="00A5209D" w:rsidRPr="00275ACB">
        <w:t xml:space="preserve">that is </w:t>
      </w:r>
      <w:r w:rsidR="00204835" w:rsidRPr="00275ACB">
        <w:t>highlighted</w:t>
      </w:r>
      <w:r w:rsidR="00A5209D" w:rsidRPr="00275ACB">
        <w:t xml:space="preserve"> later in this submission.</w:t>
      </w:r>
      <w:r w:rsidR="00A5209D">
        <w:t xml:space="preserve"> </w:t>
      </w:r>
    </w:p>
    <w:p w14:paraId="4148ABA4" w14:textId="4822EE3C" w:rsidR="003A6017" w:rsidRDefault="00E763B8" w:rsidP="00B525B5">
      <w:r>
        <w:lastRenderedPageBreak/>
        <w:t>The Commission’s c</w:t>
      </w:r>
      <w:r w:rsidR="00B525B5">
        <w:t xml:space="preserve">omplaints data should not be taken as an accurate illustration of the full extent of non-compliance </w:t>
      </w:r>
      <w:r w:rsidR="00721E76">
        <w:t>with the Transport Standards</w:t>
      </w:r>
      <w:r w:rsidR="00B525B5">
        <w:t xml:space="preserve"> or discrimination, as it does not include the complaints made directly to transport agencies</w:t>
      </w:r>
      <w:r w:rsidR="00777848">
        <w:t xml:space="preserve"> </w:t>
      </w:r>
      <w:r w:rsidR="00B525B5">
        <w:t xml:space="preserve">such as airlines, </w:t>
      </w:r>
      <w:r w:rsidR="0001617D">
        <w:t xml:space="preserve">or state and territory complaint mechanisms such as </w:t>
      </w:r>
      <w:r w:rsidR="00B71C7E">
        <w:t xml:space="preserve">an </w:t>
      </w:r>
      <w:r w:rsidR="0001617D">
        <w:t xml:space="preserve">Ombudsman, </w:t>
      </w:r>
      <w:r w:rsidR="00B525B5">
        <w:t xml:space="preserve">and does not account for the issues faced by people who have not made a complaint. </w:t>
      </w:r>
    </w:p>
    <w:p w14:paraId="2D750C04" w14:textId="0100DF2A" w:rsidR="00B525B5" w:rsidRDefault="00B525B5" w:rsidP="00B525B5">
      <w:r>
        <w:t xml:space="preserve">Complaint processes are not a </w:t>
      </w:r>
      <w:r w:rsidR="00106522">
        <w:t xml:space="preserve">sufficient </w:t>
      </w:r>
      <w:r>
        <w:t xml:space="preserve">or effective mechanism to monitor and enforce the Transport Standards. Without comprehensive compliance data and additional enforcement mechanisms, it is difficult to ensure that rights are being upheld with respect to transport accessibility. </w:t>
      </w:r>
    </w:p>
    <w:p w14:paraId="52E90C92" w14:textId="154D17CE" w:rsidR="00ED2E5E" w:rsidRDefault="00B46099" w:rsidP="00ED2E5E">
      <w:pPr>
        <w:rPr>
          <w:i/>
          <w:iCs/>
        </w:rPr>
      </w:pPr>
      <w:r>
        <w:rPr>
          <w:i/>
          <w:iCs/>
        </w:rPr>
        <w:t>Exemptions</w:t>
      </w:r>
    </w:p>
    <w:p w14:paraId="77121A68" w14:textId="5E64C25A" w:rsidR="009F3DB2" w:rsidRDefault="009F3DB2" w:rsidP="00D37C81">
      <w:r>
        <w:t xml:space="preserve">The Commission may grant exemptions under the Disability Discrimination Act, Transport Standards, or </w:t>
      </w:r>
      <w:r w:rsidRPr="00702935">
        <w:rPr>
          <w:i/>
        </w:rPr>
        <w:t xml:space="preserve">Disability (Access to Premises – Buildings) Standards 2010 </w:t>
      </w:r>
      <w:r>
        <w:t>(Cth) (</w:t>
      </w:r>
      <w:r w:rsidRPr="002C1A1B">
        <w:rPr>
          <w:b/>
          <w:bCs/>
        </w:rPr>
        <w:t>Premises Standards</w:t>
      </w:r>
      <w:r>
        <w:t>),</w:t>
      </w:r>
      <w:r>
        <w:rPr>
          <w:rStyle w:val="EndnoteReference"/>
        </w:rPr>
        <w:endnoteReference w:id="34"/>
      </w:r>
      <w:r>
        <w:t xml:space="preserve"> which can be subject to terms and conditions and only apply to specific activities</w:t>
      </w:r>
      <w:r w:rsidR="00D37C81">
        <w:t>. The person/s granted the exemption, including persons in employment of, or under the directive of the person granted the exemption, do not contravene the Standards if failure to comply is in accordance with the exemption granted. Importantly,</w:t>
      </w:r>
      <w:r w:rsidR="00D37C81" w:rsidRPr="001A4A04">
        <w:t xml:space="preserve"> </w:t>
      </w:r>
      <w:r w:rsidR="00D37C81">
        <w:t>exemptions cannot be granted for a period of more than five years, however applications for extensions to exemptions are possible.</w:t>
      </w:r>
      <w:r w:rsidR="00D37C81">
        <w:rPr>
          <w:rStyle w:val="EndnoteReference"/>
        </w:rPr>
        <w:endnoteReference w:id="35"/>
      </w:r>
    </w:p>
    <w:p w14:paraId="27C73A8D" w14:textId="0F491FB6" w:rsidR="00D37C81" w:rsidRDefault="00D37C81" w:rsidP="00D37C81">
      <w:r>
        <w:t xml:space="preserve">In granting an exemption, the </w:t>
      </w:r>
      <w:r w:rsidRPr="005A4833">
        <w:t>Commission consults appropriate parties to</w:t>
      </w:r>
      <w:r>
        <w:t xml:space="preserve"> inform its decision. This requires a formal legal process</w:t>
      </w:r>
      <w:r w:rsidR="0074329E">
        <w:t>,</w:t>
      </w:r>
      <w:r>
        <w:t xml:space="preserve"> including the provision of necessary information from the person/s seeking the exemption to support the request, which may include data on compliance, costs and any attempts made to comply with the Standards. The Commission understands that these requirements </w:t>
      </w:r>
      <w:r w:rsidR="00D42D4B">
        <w:t>may</w:t>
      </w:r>
      <w:r>
        <w:t xml:space="preserve"> deter operators and providers from seeking an exemption. </w:t>
      </w:r>
    </w:p>
    <w:p w14:paraId="4A29A4BD" w14:textId="511CBE61" w:rsidR="00411E7D" w:rsidRDefault="00D37C81" w:rsidP="00BF7C82">
      <w:r>
        <w:t>Since 2018, four exemptions have been brought for consideration by the Commission; two were granted, one was granted in part, and one</w:t>
      </w:r>
      <w:r w:rsidR="00BE440A">
        <w:t xml:space="preserve"> was not granted.</w:t>
      </w:r>
      <w:r w:rsidR="00997137">
        <w:rPr>
          <w:rStyle w:val="EndnoteReference"/>
        </w:rPr>
        <w:endnoteReference w:id="36"/>
      </w:r>
      <w:r>
        <w:t xml:space="preserve"> </w:t>
      </w:r>
    </w:p>
    <w:p w14:paraId="1C0A0E98" w14:textId="17F7974D" w:rsidR="00BF7C82" w:rsidRDefault="00BF7C82" w:rsidP="00BF7C82">
      <w:r>
        <w:t xml:space="preserve">At present, a temporary exemption has been granted to the Australasian Railway Association </w:t>
      </w:r>
      <w:r w:rsidR="009365AB">
        <w:t xml:space="preserve">(ARA) </w:t>
      </w:r>
      <w:r>
        <w:t>concerning f</w:t>
      </w:r>
      <w:r w:rsidR="002F7B6A">
        <w:t>ive</w:t>
      </w:r>
      <w:r>
        <w:t xml:space="preserve"> standards in the Transport Standards and one standard in the Premises Standards.</w:t>
      </w:r>
      <w:r>
        <w:rPr>
          <w:rStyle w:val="EndnoteReference"/>
        </w:rPr>
        <w:endnoteReference w:id="37"/>
      </w:r>
      <w:r w:rsidR="00DD53BC">
        <w:t xml:space="preserve"> </w:t>
      </w:r>
      <w:r w:rsidR="00DA4EC4">
        <w:t>In 2021, the</w:t>
      </w:r>
      <w:r>
        <w:t xml:space="preserve"> City of Ryde Council</w:t>
      </w:r>
      <w:r w:rsidR="00DA4EC4">
        <w:t xml:space="preserve"> applied</w:t>
      </w:r>
      <w:r>
        <w:t xml:space="preserve"> to be exempted from the requirements of the Transport Standards relating to 723 bus stops within its jurisdiction</w:t>
      </w:r>
      <w:r w:rsidR="00DA4EC4">
        <w:t>.</w:t>
      </w:r>
      <w:r w:rsidR="005F7C02">
        <w:rPr>
          <w:rStyle w:val="EndnoteReference"/>
        </w:rPr>
        <w:endnoteReference w:id="38"/>
      </w:r>
      <w:r w:rsidR="005F7C02">
        <w:t xml:space="preserve"> </w:t>
      </w:r>
      <w:r w:rsidR="00364946">
        <w:t xml:space="preserve">The Commission </w:t>
      </w:r>
      <w:r w:rsidR="00637CC5">
        <w:t xml:space="preserve">decided not to </w:t>
      </w:r>
      <w:r w:rsidR="00ED5166">
        <w:t xml:space="preserve">grant </w:t>
      </w:r>
      <w:r w:rsidR="00364946">
        <w:t>this</w:t>
      </w:r>
      <w:r w:rsidR="00015D36">
        <w:t xml:space="preserve"> exemptio</w:t>
      </w:r>
      <w:r w:rsidR="00767857">
        <w:t>n</w:t>
      </w:r>
      <w:r>
        <w:t>.</w:t>
      </w:r>
      <w:r>
        <w:rPr>
          <w:rStyle w:val="EndnoteReference"/>
        </w:rPr>
        <w:endnoteReference w:id="39"/>
      </w:r>
      <w:r w:rsidR="001D709E">
        <w:t xml:space="preserve"> </w:t>
      </w:r>
    </w:p>
    <w:p w14:paraId="30BD2E0D" w14:textId="47729631" w:rsidR="000477A4" w:rsidRDefault="009D5D1D" w:rsidP="000477A4">
      <w:pPr>
        <w:pStyle w:val="Heading1"/>
      </w:pPr>
      <w:bookmarkStart w:id="24" w:name="_Toc138090498"/>
      <w:r>
        <w:lastRenderedPageBreak/>
        <w:t>Observations and recommendations to improve the efficiency and effectiveness of the Transport Standards</w:t>
      </w:r>
      <w:bookmarkEnd w:id="24"/>
      <w:r>
        <w:t xml:space="preserve">  </w:t>
      </w:r>
    </w:p>
    <w:p w14:paraId="53672903" w14:textId="055EDCC0" w:rsidR="007D092C" w:rsidRDefault="00B0563C" w:rsidP="007D092C">
      <w:pPr>
        <w:pStyle w:val="Heading2"/>
      </w:pPr>
      <w:bookmarkStart w:id="25" w:name="_Toc138090499"/>
      <w:r>
        <w:t xml:space="preserve">Assessing whether discrimination has been </w:t>
      </w:r>
      <w:r w:rsidR="00B825FF">
        <w:t>removed</w:t>
      </w:r>
      <w:bookmarkEnd w:id="25"/>
    </w:p>
    <w:p w14:paraId="415DCB36" w14:textId="77777777" w:rsidR="00175ED2" w:rsidRDefault="00175ED2" w:rsidP="00175ED2">
      <w:pPr>
        <w:rPr>
          <w:rFonts w:cs="Open Sans"/>
        </w:rPr>
      </w:pPr>
      <w:r w:rsidRPr="00395414">
        <w:rPr>
          <w:rFonts w:cs="Open Sans"/>
        </w:rPr>
        <w:t>The purpose of the Transport Standards is to ‘enable public transport operators and providers to remove discrimination from public transport services’</w:t>
      </w:r>
      <w:r w:rsidRPr="00395414">
        <w:rPr>
          <w:rStyle w:val="EndnoteReference"/>
          <w:rFonts w:cs="Open Sans"/>
        </w:rPr>
        <w:endnoteReference w:id="40"/>
      </w:r>
      <w:r w:rsidRPr="00395414">
        <w:rPr>
          <w:rFonts w:cs="Open Sans"/>
        </w:rPr>
        <w:t xml:space="preserve"> with the goal to systemically improve the accessibility of public transport for people with disability through compliance with a minimum set of standards.</w:t>
      </w:r>
    </w:p>
    <w:p w14:paraId="53A8C0C9" w14:textId="47146F0D" w:rsidR="006B2624" w:rsidRDefault="00E36D38" w:rsidP="00175ED2">
      <w:pPr>
        <w:rPr>
          <w:rFonts w:cs="Open Sans"/>
        </w:rPr>
      </w:pPr>
      <w:r>
        <w:rPr>
          <w:rFonts w:cs="Open Sans"/>
        </w:rPr>
        <w:t>Since the establishment of the Transport Standards in 2002, public transport operators and providers have had 20 years to ensure their conveyances</w:t>
      </w:r>
      <w:r w:rsidR="00810128">
        <w:rPr>
          <w:rFonts w:cs="Open Sans"/>
        </w:rPr>
        <w:t xml:space="preserve"> and infrastructure (such as stops or stations)</w:t>
      </w:r>
      <w:r>
        <w:rPr>
          <w:rFonts w:cs="Open Sans"/>
        </w:rPr>
        <w:t xml:space="preserve"> </w:t>
      </w:r>
      <w:r w:rsidR="008A3235">
        <w:rPr>
          <w:rFonts w:cs="Open Sans"/>
        </w:rPr>
        <w:t xml:space="preserve">are </w:t>
      </w:r>
      <w:r>
        <w:rPr>
          <w:rFonts w:cs="Open Sans"/>
        </w:rPr>
        <w:t xml:space="preserve">compliant with the Transport Standards and accessible for people with disability. The Transport Standards set the following target dates for compliance: </w:t>
      </w:r>
    </w:p>
    <w:p w14:paraId="3B33BB56" w14:textId="38EDA1BA" w:rsidR="00E36D38" w:rsidRDefault="00E36D38" w:rsidP="00461ACB">
      <w:pPr>
        <w:pStyle w:val="ListParagraph"/>
        <w:numPr>
          <w:ilvl w:val="0"/>
          <w:numId w:val="23"/>
        </w:numPr>
      </w:pPr>
      <w:r>
        <w:t>90% compliance by 2017 (except busses which were required to be 80% compliant)</w:t>
      </w:r>
      <w:r w:rsidR="009A774E">
        <w:t>.</w:t>
      </w:r>
    </w:p>
    <w:p w14:paraId="7A239AF4" w14:textId="6998F6C0" w:rsidR="00E36D38" w:rsidRDefault="00E36D38" w:rsidP="00461ACB">
      <w:pPr>
        <w:pStyle w:val="ListParagraph"/>
        <w:numPr>
          <w:ilvl w:val="0"/>
          <w:numId w:val="23"/>
        </w:numPr>
      </w:pPr>
      <w:r>
        <w:t>100% compliance by 2022 (except trains and trams)</w:t>
      </w:r>
      <w:r w:rsidR="009A774E">
        <w:t>.</w:t>
      </w:r>
    </w:p>
    <w:p w14:paraId="3912EB31" w14:textId="0C15CE30" w:rsidR="00E36D38" w:rsidRPr="00E36D38" w:rsidRDefault="00E36D38" w:rsidP="00461ACB">
      <w:pPr>
        <w:pStyle w:val="ListParagraph"/>
        <w:numPr>
          <w:ilvl w:val="0"/>
          <w:numId w:val="23"/>
        </w:numPr>
      </w:pPr>
      <w:r>
        <w:t>100% compliance by 2032 for trains and trams</w:t>
      </w:r>
      <w:r w:rsidR="00320F3A">
        <w:t>.</w:t>
      </w:r>
      <w:r w:rsidR="00320F3A">
        <w:rPr>
          <w:rStyle w:val="EndnoteReference"/>
        </w:rPr>
        <w:endnoteReference w:id="41"/>
      </w:r>
    </w:p>
    <w:p w14:paraId="3650146B" w14:textId="6A7172E0" w:rsidR="007C2648" w:rsidRDefault="00FD1FA7" w:rsidP="004B48A3">
      <w:r>
        <w:t>The 2022 compliance targets have not been met</w:t>
      </w:r>
      <w:r w:rsidR="006B6206">
        <w:t xml:space="preserve"> and although there is a lack of robust compliance data to assess the current state accurately</w:t>
      </w:r>
      <w:r w:rsidR="000B7126">
        <w:t>, available information highlights significant</w:t>
      </w:r>
      <w:r w:rsidR="001F1AF7">
        <w:t xml:space="preserve"> </w:t>
      </w:r>
      <w:r w:rsidR="00570180">
        <w:t xml:space="preserve">delays. </w:t>
      </w:r>
      <w:r w:rsidR="000B7126">
        <w:t xml:space="preserve"> </w:t>
      </w:r>
    </w:p>
    <w:p w14:paraId="65328075" w14:textId="00FDFA8A" w:rsidR="00CE4F5C" w:rsidRPr="00D80590" w:rsidRDefault="00570180" w:rsidP="00CE4F5C">
      <w:r>
        <w:t>O</w:t>
      </w:r>
      <w:r w:rsidR="004B48A3">
        <w:t xml:space="preserve">n 15 October 2020, the Victorian Auditor-General filed a report, </w:t>
      </w:r>
      <w:r w:rsidR="004B48A3" w:rsidRPr="004B48A3">
        <w:rPr>
          <w:i/>
          <w:iCs/>
        </w:rPr>
        <w:t>Accessibility of Tram Services October 2020</w:t>
      </w:r>
      <w:r w:rsidR="004B48A3">
        <w:t xml:space="preserve">, which found </w:t>
      </w:r>
      <w:r w:rsidR="00960DDA">
        <w:t xml:space="preserve">that only </w:t>
      </w:r>
      <w:r w:rsidR="004B48A3">
        <w:t>27% of tram stops were level access and 38% of trams were low floor trams.</w:t>
      </w:r>
      <w:r w:rsidR="004B48A3">
        <w:rPr>
          <w:rStyle w:val="EndnoteReference"/>
        </w:rPr>
        <w:endnoteReference w:id="42"/>
      </w:r>
      <w:r w:rsidR="004B48A3">
        <w:t xml:space="preserve"> An audit conducted on behalf of Transport New South Wales found that over a third of train stations were either inaccessible or not independently accessible, and similarly</w:t>
      </w:r>
      <w:r w:rsidR="00785DFD">
        <w:t>,</w:t>
      </w:r>
      <w:r w:rsidR="004B48A3">
        <w:t xml:space="preserve"> a third of ferry wharves were inaccessible.</w:t>
      </w:r>
      <w:r w:rsidR="004B48A3">
        <w:rPr>
          <w:rStyle w:val="EndnoteReference"/>
        </w:rPr>
        <w:endnoteReference w:id="43"/>
      </w:r>
      <w:r w:rsidR="004B48A3">
        <w:t xml:space="preserve"> </w:t>
      </w:r>
    </w:p>
    <w:p w14:paraId="70A450F3" w14:textId="36DB6BC3" w:rsidR="00365EAE" w:rsidRDefault="009B2FEC" w:rsidP="00365EAE">
      <w:r>
        <w:t>M</w:t>
      </w:r>
      <w:r w:rsidR="00365EAE">
        <w:t xml:space="preserve">any providers and operators fail to comply with the Standards, suggesting that: </w:t>
      </w:r>
    </w:p>
    <w:p w14:paraId="6AC261FA" w14:textId="77777777" w:rsidR="00365EAE" w:rsidRDefault="00365EAE" w:rsidP="00365EAE">
      <w:pPr>
        <w:pStyle w:val="ListParagraph"/>
        <w:numPr>
          <w:ilvl w:val="0"/>
          <w:numId w:val="17"/>
        </w:numPr>
        <w:spacing w:before="0" w:after="160" w:line="259" w:lineRule="auto"/>
        <w:contextualSpacing/>
      </w:pPr>
      <w:r>
        <w:t xml:space="preserve">Transport operators and providers are not motivated to comply given the likelihood of legal consequences associated with non-compliance is low. </w:t>
      </w:r>
      <w:r w:rsidRPr="004537D5">
        <w:t xml:space="preserve">This is likely due to the ineffectiveness of current enforcement mechanisms balanced in their favour. </w:t>
      </w:r>
    </w:p>
    <w:p w14:paraId="2F88C402" w14:textId="4F81E572" w:rsidR="003331B4" w:rsidRDefault="00365EAE" w:rsidP="000F5C7E">
      <w:pPr>
        <w:pStyle w:val="ListParagraph"/>
        <w:numPr>
          <w:ilvl w:val="0"/>
          <w:numId w:val="17"/>
        </w:numPr>
        <w:spacing w:before="0" w:after="160" w:line="259" w:lineRule="auto"/>
        <w:contextualSpacing/>
      </w:pPr>
      <w:r>
        <w:t xml:space="preserve">Transport operators and providers may prefer to wait for a complaint to be made and rely on unjustifiable hardship provisions instead.   </w:t>
      </w:r>
    </w:p>
    <w:p w14:paraId="2A8E03EA" w14:textId="5398F993" w:rsidR="003331B4" w:rsidRDefault="002663B6" w:rsidP="003331B4">
      <w:pPr>
        <w:spacing w:before="0" w:after="160" w:line="259" w:lineRule="auto"/>
        <w:contextualSpacing/>
      </w:pPr>
      <w:r>
        <w:lastRenderedPageBreak/>
        <w:t xml:space="preserve">The Commission acknowledges the work </w:t>
      </w:r>
      <w:r w:rsidR="00106522">
        <w:t>of</w:t>
      </w:r>
      <w:r w:rsidR="00DA4B97">
        <w:t xml:space="preserve"> the</w:t>
      </w:r>
      <w:r>
        <w:t xml:space="preserve"> </w:t>
      </w:r>
      <w:r w:rsidR="009C670C">
        <w:t>Australian</w:t>
      </w:r>
      <w:r>
        <w:t>, state and territory governments and private providers to improve transport accessibility since the introduction of the Transport Standards</w:t>
      </w:r>
      <w:r w:rsidR="00AE6060">
        <w:t xml:space="preserve">, and the extent to which this has </w:t>
      </w:r>
      <w:r w:rsidR="00E55930">
        <w:t>removed discrimination</w:t>
      </w:r>
      <w:r>
        <w:t xml:space="preserve">. However, lack of </w:t>
      </w:r>
      <w:r w:rsidR="00175ED2">
        <w:t xml:space="preserve">full </w:t>
      </w:r>
      <w:r>
        <w:t>compliance with the Transport Standards means that the</w:t>
      </w:r>
      <w:r w:rsidR="00CF595C">
        <w:t>y</w:t>
      </w:r>
      <w:r>
        <w:t xml:space="preserve"> have not yet achieved their intended purpose</w:t>
      </w:r>
      <w:r w:rsidR="00133399">
        <w:t xml:space="preserve"> </w:t>
      </w:r>
      <w:r w:rsidR="00CE278F">
        <w:t>to</w:t>
      </w:r>
      <w:r w:rsidR="00D5054B">
        <w:t xml:space="preserve"> remove discrimination or the </w:t>
      </w:r>
      <w:r w:rsidR="00E57494">
        <w:t>object of the Disability Discrimination Act to</w:t>
      </w:r>
      <w:r w:rsidR="00CE278F">
        <w:t xml:space="preserve"> </w:t>
      </w:r>
      <w:r w:rsidR="00376BC3">
        <w:t>eliminate discrimination ‘as far as possible’.</w:t>
      </w:r>
      <w:r w:rsidR="00376BC3">
        <w:rPr>
          <w:rStyle w:val="EndnoteReference"/>
        </w:rPr>
        <w:endnoteReference w:id="44"/>
      </w:r>
      <w:r w:rsidR="005A6BFF">
        <w:t xml:space="preserve"> </w:t>
      </w:r>
      <w:r w:rsidR="003331B4">
        <w:t>The widespread lack of compliance with the Transport Standards results in ongoing inaccessibility of public transport services for people with disability.</w:t>
      </w:r>
    </w:p>
    <w:p w14:paraId="06AA9F97" w14:textId="25390093" w:rsidR="001E6EC0" w:rsidRDefault="00C2517F" w:rsidP="002663B6">
      <w:r w:rsidRPr="002D3A53">
        <w:t xml:space="preserve">The following case examples demonstrate the </w:t>
      </w:r>
      <w:r w:rsidR="001E6EC0" w:rsidRPr="002D3A53">
        <w:t>significant lack of progress to achieve compliance</w:t>
      </w:r>
      <w:r w:rsidR="002D3A53">
        <w:t xml:space="preserve"> and the impact this has on the lives of people with disability</w:t>
      </w:r>
      <w:r w:rsidR="001E6EC0" w:rsidRPr="002D3A53">
        <w:t>.</w:t>
      </w:r>
      <w:r w:rsidR="001E6EC0">
        <w:t xml:space="preserve"> </w:t>
      </w:r>
    </w:p>
    <w:tbl>
      <w:tblPr>
        <w:tblStyle w:val="TableGrid"/>
        <w:tblW w:w="0" w:type="auto"/>
        <w:tblLook w:val="04A0" w:firstRow="1" w:lastRow="0" w:firstColumn="1" w:lastColumn="0" w:noHBand="0" w:noVBand="1"/>
      </w:tblPr>
      <w:tblGrid>
        <w:gridCol w:w="9060"/>
      </w:tblGrid>
      <w:tr w:rsidR="001E6EC0" w14:paraId="5D44FC10" w14:textId="77777777" w:rsidTr="001E6EC0">
        <w:tc>
          <w:tcPr>
            <w:tcW w:w="9060" w:type="dxa"/>
            <w:shd w:val="clear" w:color="auto" w:fill="DEEAF6" w:themeFill="accent1" w:themeFillTint="33"/>
          </w:tcPr>
          <w:p w14:paraId="37CD2D11" w14:textId="77777777" w:rsidR="001E6EC0" w:rsidRDefault="001E6EC0" w:rsidP="002663B6">
            <w:pPr>
              <w:rPr>
                <w:b/>
                <w:bCs/>
              </w:rPr>
            </w:pPr>
            <w:r>
              <w:rPr>
                <w:b/>
                <w:bCs/>
              </w:rPr>
              <w:t>Train and Tram Networks</w:t>
            </w:r>
          </w:p>
          <w:p w14:paraId="503D8E93" w14:textId="30E7D64D" w:rsidR="001E6EC0" w:rsidRDefault="003E41D3" w:rsidP="002663B6">
            <w:r>
              <w:t>The issue with compliance is not merely a legal matter, it has real life impacts on the lives of many people with disability in Australia.</w:t>
            </w:r>
            <w:r w:rsidR="009152A3">
              <w:t xml:space="preserve"> </w:t>
            </w:r>
            <w:r w:rsidR="00A01D62">
              <w:t xml:space="preserve">Media attention has often been the only </w:t>
            </w:r>
            <w:r w:rsidR="00116C09">
              <w:t>avenue for people</w:t>
            </w:r>
            <w:r w:rsidR="002C64F0">
              <w:t xml:space="preserve"> with disability</w:t>
            </w:r>
            <w:r w:rsidR="00116C09">
              <w:t xml:space="preserve"> to</w:t>
            </w:r>
            <w:r w:rsidR="0084731D">
              <w:t xml:space="preserve"> </w:t>
            </w:r>
            <w:r w:rsidR="00116C09">
              <w:t xml:space="preserve">raise </w:t>
            </w:r>
            <w:r w:rsidR="00843F6F">
              <w:t>these issues</w:t>
            </w:r>
            <w:r w:rsidR="0084731D">
              <w:t xml:space="preserve"> a</w:t>
            </w:r>
            <w:r w:rsidR="00827032">
              <w:t xml:space="preserve">nd </w:t>
            </w:r>
            <w:r w:rsidR="00843F6F">
              <w:t xml:space="preserve">to </w:t>
            </w:r>
            <w:r w:rsidR="00827032">
              <w:t xml:space="preserve">demonstrate the extent of inaccessible public transport networks. </w:t>
            </w:r>
          </w:p>
          <w:p w14:paraId="78DC7509" w14:textId="478EDC12" w:rsidR="007D327D" w:rsidRDefault="005B7AFA" w:rsidP="002663B6">
            <w:r>
              <w:t xml:space="preserve">In June 2023, </w:t>
            </w:r>
            <w:r w:rsidR="00827032">
              <w:t xml:space="preserve">The Age reported </w:t>
            </w:r>
            <w:r w:rsidR="00843F6F">
              <w:t>that there have been no accessibility upgrades to tram stops across Melbourne</w:t>
            </w:r>
            <w:r w:rsidR="001A2973">
              <w:t xml:space="preserve"> in the </w:t>
            </w:r>
            <w:r w:rsidR="00CB30E2">
              <w:t xml:space="preserve">previous </w:t>
            </w:r>
            <w:r w:rsidR="001A2973">
              <w:t>12 months</w:t>
            </w:r>
            <w:r w:rsidR="00823875">
              <w:t xml:space="preserve">, and only four upgrades have been delivered in the last </w:t>
            </w:r>
            <w:r w:rsidR="001A2973">
              <w:t>three</w:t>
            </w:r>
            <w:r w:rsidR="00823875">
              <w:t xml:space="preserve"> years.</w:t>
            </w:r>
            <w:r w:rsidR="00823875">
              <w:rPr>
                <w:rStyle w:val="EndnoteReference"/>
              </w:rPr>
              <w:endnoteReference w:id="45"/>
            </w:r>
            <w:r w:rsidR="001E1761">
              <w:t xml:space="preserve"> The article highlights that almost 1200 tram stops are non-compliant with the Transport Standards</w:t>
            </w:r>
            <w:r w:rsidR="003D6E11">
              <w:t xml:space="preserve">, and </w:t>
            </w:r>
            <w:r w:rsidR="00BC23DF">
              <w:t xml:space="preserve">that the </w:t>
            </w:r>
            <w:r w:rsidR="003D6E11">
              <w:t>Victorian Government</w:t>
            </w:r>
            <w:r w:rsidR="00BA1A47">
              <w:t>’</w:t>
            </w:r>
            <w:r w:rsidR="003D6E11">
              <w:t>s 2023</w:t>
            </w:r>
            <w:r w:rsidR="00CB30E2">
              <w:t>–</w:t>
            </w:r>
            <w:r w:rsidR="003D6E11">
              <w:t xml:space="preserve">2024 </w:t>
            </w:r>
            <w:r w:rsidR="001A2973">
              <w:t>budget</w:t>
            </w:r>
            <w:r w:rsidR="00BC23DF">
              <w:t xml:space="preserve"> does not mention tram stop upgrades</w:t>
            </w:r>
            <w:r w:rsidR="00C125CE">
              <w:t>, despite commitments in the previous budget that were not completed</w:t>
            </w:r>
            <w:r w:rsidR="00BC23DF">
              <w:t>.</w:t>
            </w:r>
            <w:r w:rsidR="004A6A84">
              <w:t xml:space="preserve"> The lack of accessible tram stops </w:t>
            </w:r>
            <w:r w:rsidR="00787170">
              <w:t>means that many people are ‘locked out of the public transport network</w:t>
            </w:r>
            <w:r w:rsidR="002C64F0">
              <w:t>’</w:t>
            </w:r>
            <w:r w:rsidR="00C125CE">
              <w:t xml:space="preserve"> in Melbourne</w:t>
            </w:r>
            <w:r w:rsidR="007D327D">
              <w:t xml:space="preserve">. </w:t>
            </w:r>
          </w:p>
          <w:p w14:paraId="2BD9C691" w14:textId="440C5D8A" w:rsidR="00255EC0" w:rsidRDefault="00184349" w:rsidP="002663B6">
            <w:r>
              <w:t xml:space="preserve">In January 2023, </w:t>
            </w:r>
            <w:r w:rsidR="00C736F7">
              <w:t>ABC News</w:t>
            </w:r>
            <w:r>
              <w:t xml:space="preserve"> </w:t>
            </w:r>
            <w:r w:rsidR="00FA0E35">
              <w:t>reported similar concerns with train and tram networks across New South Wales and Victoria</w:t>
            </w:r>
            <w:r w:rsidR="00B65138">
              <w:t xml:space="preserve"> and</w:t>
            </w:r>
            <w:r>
              <w:t xml:space="preserve"> lack of compliance with the Transport Standards</w:t>
            </w:r>
            <w:r w:rsidR="00B65138">
              <w:t xml:space="preserve">, resulting in </w:t>
            </w:r>
            <w:r w:rsidR="001A4BA7">
              <w:t>‘isolating’ experience</w:t>
            </w:r>
            <w:r w:rsidR="006046C0">
              <w:t xml:space="preserve">s, and reduced job access and independence </w:t>
            </w:r>
            <w:r w:rsidR="001A4BA7">
              <w:t>for many.</w:t>
            </w:r>
            <w:r>
              <w:rPr>
                <w:rStyle w:val="EndnoteReference"/>
              </w:rPr>
              <w:endnoteReference w:id="46"/>
            </w:r>
            <w:r w:rsidR="00B15AF1">
              <w:t xml:space="preserve"> </w:t>
            </w:r>
          </w:p>
          <w:p w14:paraId="20A7B7DA" w14:textId="0AE8204E" w:rsidR="00B15AF1" w:rsidRPr="00A53861" w:rsidRDefault="00B15AF1" w:rsidP="002663B6">
            <w:r>
              <w:t>Understanding the lived experience of people with disability is essential to the conversation around transport inaccessibility. Christian Astourian told The Age that station closures due to level crossing removals will mean that he will be without public transport access due to a lack of accessible tram stops within 5.5km along Sydney Road</w:t>
            </w:r>
            <w:r w:rsidR="002927D4">
              <w:t xml:space="preserve">. Sarah-Jane Staszak expressed </w:t>
            </w:r>
            <w:r w:rsidR="00DB135E">
              <w:t>to ABC News that</w:t>
            </w:r>
            <w:r w:rsidR="00D31598">
              <w:t xml:space="preserve"> </w:t>
            </w:r>
            <w:r w:rsidR="00C45921">
              <w:t xml:space="preserve">train </w:t>
            </w:r>
            <w:r w:rsidR="00D31598">
              <w:t>station upgrades</w:t>
            </w:r>
            <w:r w:rsidR="00C45921">
              <w:t xml:space="preserve"> </w:t>
            </w:r>
            <w:r w:rsidR="00D31598">
              <w:t>in her local communit</w:t>
            </w:r>
            <w:r w:rsidR="00C45921">
              <w:t xml:space="preserve">y, while beneficial in the long run, </w:t>
            </w:r>
            <w:r w:rsidR="00D31598">
              <w:t xml:space="preserve">have </w:t>
            </w:r>
            <w:r w:rsidR="00C45921">
              <w:t xml:space="preserve">meant that she no longer has access to the station due to access ramps being blocked off, and no alternative accessibility arrangements provided to access the station. </w:t>
            </w:r>
            <w:r w:rsidR="009706B4">
              <w:t xml:space="preserve">Ms Staszak describes the process of </w:t>
            </w:r>
            <w:r w:rsidR="00A72CD4">
              <w:t xml:space="preserve">having to research </w:t>
            </w:r>
            <w:r w:rsidR="00D63DD6">
              <w:lastRenderedPageBreak/>
              <w:t xml:space="preserve">transport accessibility, and </w:t>
            </w:r>
            <w:r w:rsidR="00AF5D16">
              <w:t xml:space="preserve">inconsistent levels of accessibility </w:t>
            </w:r>
            <w:r w:rsidR="00EF2E78">
              <w:t>as ‘exhausting</w:t>
            </w:r>
            <w:r w:rsidR="005B1C37">
              <w:t>’</w:t>
            </w:r>
            <w:r w:rsidR="009B11E1">
              <w:t xml:space="preserve"> –</w:t>
            </w:r>
            <w:r w:rsidR="005B1C37">
              <w:t xml:space="preserve"> things that people without disability do not have to think twice about. </w:t>
            </w:r>
          </w:p>
        </w:tc>
      </w:tr>
    </w:tbl>
    <w:p w14:paraId="14019F68" w14:textId="77777777" w:rsidR="008732B7" w:rsidRDefault="008732B7" w:rsidP="008732B7">
      <w:r>
        <w:lastRenderedPageBreak/>
        <w:t xml:space="preserve">People with disability continue to face ongoing barriers to public transport and given there have been no material changes to the Transport Standards since the last review this remains an ongoing concern. </w:t>
      </w:r>
    </w:p>
    <w:p w14:paraId="1D4D1314" w14:textId="77777777" w:rsidR="008732B7" w:rsidRDefault="008732B7" w:rsidP="008732B7">
      <w:r>
        <w:t xml:space="preserve">Of the 4.1 million people over 5 years old with disability: </w:t>
      </w:r>
    </w:p>
    <w:p w14:paraId="30E1A5E2" w14:textId="0015B3FC" w:rsidR="008732B7" w:rsidRDefault="002A4486" w:rsidP="00461ACB">
      <w:pPr>
        <w:pStyle w:val="ListParagraph"/>
        <w:numPr>
          <w:ilvl w:val="0"/>
          <w:numId w:val="20"/>
        </w:numPr>
      </w:pPr>
      <w:r>
        <w:t>u</w:t>
      </w:r>
      <w:r w:rsidR="008732B7">
        <w:t>nder half used public transport (40.9%)</w:t>
      </w:r>
    </w:p>
    <w:p w14:paraId="5BA58ABE" w14:textId="50D4D843" w:rsidR="008732B7" w:rsidRDefault="002A4486" w:rsidP="00461ACB">
      <w:pPr>
        <w:pStyle w:val="ListParagraph"/>
        <w:numPr>
          <w:ilvl w:val="0"/>
          <w:numId w:val="20"/>
        </w:numPr>
      </w:pPr>
      <w:r>
        <w:t>a</w:t>
      </w:r>
      <w:r w:rsidR="008732B7">
        <w:t>lmost a quarter (24.6%) of people avoided public transport due to their disability</w:t>
      </w:r>
    </w:p>
    <w:p w14:paraId="78C88B56" w14:textId="107954C4" w:rsidR="008732B7" w:rsidRDefault="008732B7" w:rsidP="00461ACB">
      <w:pPr>
        <w:pStyle w:val="ListParagraph"/>
        <w:numPr>
          <w:ilvl w:val="0"/>
          <w:numId w:val="20"/>
        </w:numPr>
      </w:pPr>
      <w:r>
        <w:t xml:space="preserve">30% had difficulty or inability to use some or all forms of public transport </w:t>
      </w:r>
    </w:p>
    <w:p w14:paraId="40966D29" w14:textId="19B58F30" w:rsidR="008732B7" w:rsidRDefault="008732B7" w:rsidP="00461ACB">
      <w:pPr>
        <w:pStyle w:val="ListParagraph"/>
        <w:numPr>
          <w:ilvl w:val="0"/>
          <w:numId w:val="20"/>
        </w:numPr>
      </w:pPr>
      <w:r>
        <w:t xml:space="preserve">14.3% could not use any forms of public transport </w:t>
      </w:r>
    </w:p>
    <w:p w14:paraId="65E68EBD" w14:textId="53F6F46C" w:rsidR="008732B7" w:rsidRDefault="002A4486" w:rsidP="00461ACB">
      <w:pPr>
        <w:pStyle w:val="ListParagraph"/>
        <w:numPr>
          <w:ilvl w:val="0"/>
          <w:numId w:val="20"/>
        </w:numPr>
      </w:pPr>
      <w:r>
        <w:t>f</w:t>
      </w:r>
      <w:r w:rsidR="008732B7">
        <w:t>or those with profound or severe disability (5.7% of the total population), 47% could not use public transport at all.</w:t>
      </w:r>
      <w:r w:rsidR="008732B7">
        <w:rPr>
          <w:rStyle w:val="EndnoteReference"/>
        </w:rPr>
        <w:endnoteReference w:id="47"/>
      </w:r>
    </w:p>
    <w:p w14:paraId="58FEE87D" w14:textId="77777777" w:rsidR="008732B7" w:rsidRDefault="008732B7" w:rsidP="008732B7">
      <w:r>
        <w:t xml:space="preserve">People with disability and their carers who reported difficulty or inability to use public transport, indicated that the most common reasons for this were: </w:t>
      </w:r>
    </w:p>
    <w:p w14:paraId="4629D89B" w14:textId="440BC8B9" w:rsidR="008732B7" w:rsidRDefault="008732B7" w:rsidP="00461ACB">
      <w:pPr>
        <w:pStyle w:val="ListParagraph"/>
        <w:numPr>
          <w:ilvl w:val="0"/>
          <w:numId w:val="21"/>
        </w:numPr>
      </w:pPr>
      <w:r>
        <w:t>issues getting in or out of the vehicle because of steps (42.4%)</w:t>
      </w:r>
    </w:p>
    <w:p w14:paraId="4E6779F1" w14:textId="132033DB" w:rsidR="008732B7" w:rsidRDefault="008732B7" w:rsidP="00461ACB">
      <w:pPr>
        <w:pStyle w:val="ListParagraph"/>
        <w:numPr>
          <w:ilvl w:val="0"/>
          <w:numId w:val="21"/>
        </w:numPr>
      </w:pPr>
      <w:r>
        <w:t xml:space="preserve">getting to </w:t>
      </w:r>
      <w:proofErr w:type="gramStart"/>
      <w:r>
        <w:t>stops</w:t>
      </w:r>
      <w:proofErr w:type="gramEnd"/>
      <w:r>
        <w:t xml:space="preserve"> or stations (30.6%)</w:t>
      </w:r>
    </w:p>
    <w:p w14:paraId="72BDDEE6" w14:textId="55721972" w:rsidR="008732B7" w:rsidRDefault="008732B7" w:rsidP="00461ACB">
      <w:pPr>
        <w:pStyle w:val="ListParagraph"/>
        <w:numPr>
          <w:ilvl w:val="0"/>
          <w:numId w:val="21"/>
        </w:numPr>
      </w:pPr>
      <w:r>
        <w:t>fear or anxiety (23.0%)</w:t>
      </w:r>
    </w:p>
    <w:p w14:paraId="791D2147" w14:textId="77777777" w:rsidR="008732B7" w:rsidRDefault="008732B7" w:rsidP="00461ACB">
      <w:pPr>
        <w:pStyle w:val="ListParagraph"/>
        <w:numPr>
          <w:ilvl w:val="0"/>
          <w:numId w:val="21"/>
        </w:numPr>
      </w:pPr>
      <w:r>
        <w:t>lack of seating or difficulty standing (21.3%).</w:t>
      </w:r>
      <w:r>
        <w:rPr>
          <w:rStyle w:val="EndnoteReference"/>
        </w:rPr>
        <w:endnoteReference w:id="48"/>
      </w:r>
    </w:p>
    <w:p w14:paraId="6D928738" w14:textId="77777777" w:rsidR="008732B7" w:rsidRDefault="008732B7" w:rsidP="008732B7">
      <w:r>
        <w:t xml:space="preserve">It is impossible to make an accurate assumption that non-compliance with Transport Standards contributes wholly to these issues, however it is likely that greater compliance would reduce some, or all, of these barriers. </w:t>
      </w:r>
    </w:p>
    <w:p w14:paraId="295A54E0" w14:textId="473DC2B2" w:rsidR="008732B7" w:rsidRDefault="008732B7" w:rsidP="008732B7">
      <w:r>
        <w:t>The following examples go beyond the application of the Transport Standards to demonstrate the extent of widespread inaccessibility and speak to the Disability Discrimination Act more broadly:</w:t>
      </w:r>
    </w:p>
    <w:tbl>
      <w:tblPr>
        <w:tblStyle w:val="TableGrid"/>
        <w:tblW w:w="0" w:type="auto"/>
        <w:tblLook w:val="04A0" w:firstRow="1" w:lastRow="0" w:firstColumn="1" w:lastColumn="0" w:noHBand="0" w:noVBand="1"/>
      </w:tblPr>
      <w:tblGrid>
        <w:gridCol w:w="9060"/>
      </w:tblGrid>
      <w:tr w:rsidR="008732B7" w14:paraId="0C767F29" w14:textId="77777777" w:rsidTr="00E05726">
        <w:tc>
          <w:tcPr>
            <w:tcW w:w="9060" w:type="dxa"/>
            <w:shd w:val="clear" w:color="auto" w:fill="EFF6EA"/>
          </w:tcPr>
          <w:p w14:paraId="0976CDA6" w14:textId="77777777" w:rsidR="008732B7" w:rsidRDefault="008732B7" w:rsidP="00E05726">
            <w:pPr>
              <w:rPr>
                <w:b/>
                <w:bCs/>
              </w:rPr>
            </w:pPr>
            <w:r>
              <w:rPr>
                <w:b/>
                <w:bCs/>
              </w:rPr>
              <w:t xml:space="preserve">Examples of ongoing discrimination in public transport </w:t>
            </w:r>
          </w:p>
          <w:p w14:paraId="2DBC1C97" w14:textId="77777777" w:rsidR="008732B7" w:rsidRDefault="008732B7" w:rsidP="00461ACB">
            <w:pPr>
              <w:pStyle w:val="ListParagraph"/>
              <w:numPr>
                <w:ilvl w:val="0"/>
                <w:numId w:val="19"/>
              </w:numPr>
              <w:rPr>
                <w:b/>
                <w:bCs/>
              </w:rPr>
            </w:pPr>
            <w:r w:rsidRPr="001F461F">
              <w:rPr>
                <w:b/>
                <w:bCs/>
              </w:rPr>
              <w:t>Air Travel</w:t>
            </w:r>
          </w:p>
          <w:p w14:paraId="24A1AB0B" w14:textId="77777777" w:rsidR="008732B7" w:rsidRDefault="008732B7" w:rsidP="00E05726">
            <w:pPr>
              <w:pStyle w:val="ListParagraph"/>
            </w:pPr>
            <w:r>
              <w:lastRenderedPageBreak/>
              <w:t>The Commission acknowledges the work of the Department to consult on and deliver the Aviation White Paper which will set the policy framework for growth and innovation in the aviation sector to 2050.</w:t>
            </w:r>
            <w:r>
              <w:rPr>
                <w:rStyle w:val="EndnoteReference"/>
              </w:rPr>
              <w:endnoteReference w:id="49"/>
            </w:r>
          </w:p>
          <w:p w14:paraId="692B84D5" w14:textId="17AD76A6" w:rsidR="008732B7" w:rsidRDefault="008732B7" w:rsidP="00E05726">
            <w:pPr>
              <w:pStyle w:val="ListParagraph"/>
            </w:pPr>
            <w:r>
              <w:t>As per the Commission</w:t>
            </w:r>
            <w:r w:rsidR="002B7C09">
              <w:t>’</w:t>
            </w:r>
            <w:r>
              <w:t xml:space="preserve">s submission to the Aviation White Paper Terms of Reference, greater attention needs to be given to the ongoing discrimination </w:t>
            </w:r>
            <w:r w:rsidR="00125B76">
              <w:t xml:space="preserve">against </w:t>
            </w:r>
            <w:r>
              <w:t>people with disability in air travel.</w:t>
            </w:r>
            <w:r>
              <w:rPr>
                <w:rStyle w:val="EndnoteReference"/>
              </w:rPr>
              <w:endnoteReference w:id="50"/>
            </w:r>
            <w:r>
              <w:t xml:space="preserve"> The negative experiences of people with disability at airports and in airlines have been well reported in the media in recent years.</w:t>
            </w:r>
            <w:r>
              <w:rPr>
                <w:rStyle w:val="EndnoteReference"/>
              </w:rPr>
              <w:endnoteReference w:id="51"/>
            </w:r>
            <w:r>
              <w:t xml:space="preserve"> Mounting public concern exists around issues ranging from damage of personal mobility equipment, limits placed on access to aircrafts or types of ticket purchase (Jetstar, for example, only allows two wheelchair users per flight),</w:t>
            </w:r>
            <w:r>
              <w:rPr>
                <w:rStyle w:val="EndnoteReference"/>
              </w:rPr>
              <w:endnoteReference w:id="52"/>
            </w:r>
            <w:r>
              <w:t xml:space="preserve"> absence or insufficiency of equipment to assist people to board flights or move between their seat and amenities, refusal of travel due to assistance animals, and discriminatory and humiliating treatment at airport security, to name a few examples. </w:t>
            </w:r>
          </w:p>
          <w:p w14:paraId="4593D64A" w14:textId="50D36301" w:rsidR="008732B7" w:rsidRDefault="008732B7" w:rsidP="00E05726">
            <w:pPr>
              <w:pStyle w:val="ListParagraph"/>
            </w:pPr>
            <w:r>
              <w:t xml:space="preserve">Greater enforcement of compliance </w:t>
            </w:r>
            <w:r w:rsidR="00125B76">
              <w:t xml:space="preserve">with </w:t>
            </w:r>
            <w:r>
              <w:t xml:space="preserve">the Transport Standards, and specific consideration of air travel in the review and future reforms is required to improve the disparate accessibility, policies and procedures across the air travel sector to ensure a more dignified and equitable air travel experience for people with disability. </w:t>
            </w:r>
          </w:p>
          <w:p w14:paraId="5390B8D6" w14:textId="77777777" w:rsidR="008732B7" w:rsidRPr="002F347C" w:rsidRDefault="008732B7" w:rsidP="00E05726">
            <w:pPr>
              <w:pStyle w:val="ListParagraph"/>
            </w:pPr>
            <w:r w:rsidRPr="002F347C">
              <w:t xml:space="preserve">The Commission is hopeful that these issues will be picked up in the context of the Aviation White Paper. </w:t>
            </w:r>
          </w:p>
          <w:p w14:paraId="720FCF6B" w14:textId="77777777" w:rsidR="008732B7" w:rsidRDefault="008732B7" w:rsidP="00461ACB">
            <w:pPr>
              <w:pStyle w:val="ListParagraph"/>
              <w:numPr>
                <w:ilvl w:val="0"/>
                <w:numId w:val="19"/>
              </w:numPr>
              <w:rPr>
                <w:b/>
                <w:bCs/>
              </w:rPr>
            </w:pPr>
            <w:r>
              <w:rPr>
                <w:b/>
                <w:bCs/>
              </w:rPr>
              <w:t xml:space="preserve">Dedicated </w:t>
            </w:r>
            <w:r w:rsidRPr="001F461F">
              <w:rPr>
                <w:b/>
                <w:bCs/>
              </w:rPr>
              <w:t xml:space="preserve">School Busses </w:t>
            </w:r>
          </w:p>
          <w:p w14:paraId="6395285E" w14:textId="77777777" w:rsidR="008732B7" w:rsidRDefault="008732B7" w:rsidP="00E05726">
            <w:pPr>
              <w:pStyle w:val="ListParagraph"/>
            </w:pPr>
            <w:r>
              <w:t>Currently, dedicated school buses are exempt from certain physical access requirements in the Transport Standards.</w:t>
            </w:r>
            <w:r>
              <w:rPr>
                <w:rStyle w:val="EndnoteReference"/>
              </w:rPr>
              <w:endnoteReference w:id="53"/>
            </w:r>
            <w:r>
              <w:t xml:space="preserve"> This means that school buses only </w:t>
            </w:r>
            <w:proofErr w:type="gramStart"/>
            <w:r>
              <w:t>have to</w:t>
            </w:r>
            <w:proofErr w:type="gramEnd"/>
            <w:r>
              <w:t xml:space="preserve"> provide a small degree of accessibility and are not required to be accessible to all students with a disability, particularly those with mobility impairments. School buses that are not accessible, or do not provide services to children with disability, create further disadvantage and barriers to education, particularly access to mainstream education. People with disability, like all Australians, require various forms of transport to move around their community, and all transport providers should be held to the same universal standard. </w:t>
            </w:r>
          </w:p>
          <w:p w14:paraId="6C3A7896" w14:textId="27CBF93E" w:rsidR="008732B7" w:rsidRDefault="008732B7" w:rsidP="00E05726">
            <w:pPr>
              <w:pStyle w:val="ListParagraph"/>
            </w:pPr>
            <w:r>
              <w:t>State and Territories offer specialist school transport services for eligible children with disabilities and schools (generally specialist education).</w:t>
            </w:r>
            <w:r w:rsidR="00D82341">
              <w:rPr>
                <w:rStyle w:val="EndnoteReference"/>
              </w:rPr>
              <w:endnoteReference w:id="54"/>
            </w:r>
            <w:r>
              <w:t xml:space="preserve"> This can limit choices in education and place of residence, particularly in regional or remote areas. </w:t>
            </w:r>
          </w:p>
          <w:p w14:paraId="1A30F58D" w14:textId="77777777" w:rsidR="008732B7" w:rsidRDefault="008732B7" w:rsidP="00E05726">
            <w:pPr>
              <w:pStyle w:val="ListParagraph"/>
            </w:pPr>
            <w:r>
              <w:lastRenderedPageBreak/>
              <w:t>The exemptions result in there being no requirement to provide accessible transport for students with disability to travel to and from school. Removing or amending the exemptions would ensure that the Transport Standards are consistent with their objective to remove discrimination. It is worth noting that a staged removal of exemptions was recommended to the Australian Government through a regulatory impact statement analysis in 2009 following the 2007 Review.</w:t>
            </w:r>
            <w:r>
              <w:rPr>
                <w:rStyle w:val="EndnoteReference"/>
              </w:rPr>
              <w:endnoteReference w:id="55"/>
            </w:r>
            <w:r>
              <w:t xml:space="preserve"> No such amendment has been made. </w:t>
            </w:r>
          </w:p>
          <w:p w14:paraId="6348DACB" w14:textId="4012F634" w:rsidR="008732B7" w:rsidRPr="001F461F" w:rsidRDefault="008732B7" w:rsidP="00E05726">
            <w:pPr>
              <w:pStyle w:val="ListParagraph"/>
              <w:rPr>
                <w:b/>
                <w:bCs/>
              </w:rPr>
            </w:pPr>
            <w:r>
              <w:t>A lack of accessible school transport, and refusal to transport children with disabilities to education and related activities, also impacts on the availability of wheelchair accessible taxis during peak school pick up and drop off times</w:t>
            </w:r>
            <w:r w:rsidR="004D53ED">
              <w:t>,</w:t>
            </w:r>
            <w:r>
              <w:rPr>
                <w:rStyle w:val="EndnoteReference"/>
              </w:rPr>
              <w:endnoteReference w:id="56"/>
            </w:r>
            <w:r>
              <w:t xml:space="preserve"> </w:t>
            </w:r>
            <w:r w:rsidR="004D53ED">
              <w:t>as families must rely on taxis</w:t>
            </w:r>
            <w:r w:rsidR="00A6347F">
              <w:t xml:space="preserve"> instead.</w:t>
            </w:r>
            <w:r w:rsidR="00A6347F">
              <w:rPr>
                <w:rStyle w:val="EndnoteReference"/>
              </w:rPr>
              <w:endnoteReference w:id="57"/>
            </w:r>
            <w:r w:rsidR="00A6347F">
              <w:t xml:space="preserve"> </w:t>
            </w:r>
            <w:r>
              <w:t xml:space="preserve">This also has implications on the funding of policies such as the NDIS and state and territory taxi subsidy schemes. </w:t>
            </w:r>
          </w:p>
          <w:p w14:paraId="7CFE7CE7" w14:textId="568119AE" w:rsidR="008732B7" w:rsidRDefault="008732B7" w:rsidP="00154B15">
            <w:pPr>
              <w:pStyle w:val="ListParagraph"/>
              <w:keepNext/>
              <w:numPr>
                <w:ilvl w:val="0"/>
                <w:numId w:val="19"/>
              </w:numPr>
              <w:ind w:left="714" w:hanging="357"/>
              <w:rPr>
                <w:b/>
                <w:bCs/>
              </w:rPr>
            </w:pPr>
            <w:r w:rsidRPr="001F461F">
              <w:rPr>
                <w:b/>
                <w:bCs/>
              </w:rPr>
              <w:t xml:space="preserve">Taxis and </w:t>
            </w:r>
            <w:r>
              <w:rPr>
                <w:b/>
                <w:bCs/>
              </w:rPr>
              <w:t>rides</w:t>
            </w:r>
            <w:r w:rsidRPr="001F461F">
              <w:rPr>
                <w:b/>
                <w:bCs/>
              </w:rPr>
              <w:t xml:space="preserve">hare </w:t>
            </w:r>
          </w:p>
          <w:p w14:paraId="4A0A9DFB" w14:textId="31C311F0" w:rsidR="008732B7" w:rsidRDefault="008732B7" w:rsidP="00E05726">
            <w:pPr>
              <w:pStyle w:val="ListParagraph"/>
            </w:pPr>
            <w:r>
              <w:t>In the absence of available and/or accessible public transport across the whole of journey, many people with disabilities have limited transport choices and must travel in taxis, which is generally more costly to the individual. The Commission is aware of significant issues regarding the accessibility of taxis and rideshare services for many people with disability in Australia. These issues include:</w:t>
            </w:r>
          </w:p>
          <w:p w14:paraId="145B8DF6" w14:textId="4824F15C" w:rsidR="008732B7" w:rsidRDefault="008732B7" w:rsidP="00461ACB">
            <w:pPr>
              <w:pStyle w:val="ListParagraph"/>
              <w:numPr>
                <w:ilvl w:val="0"/>
                <w:numId w:val="31"/>
              </w:numPr>
            </w:pPr>
            <w:r>
              <w:t>limited availability of wheelchair accessible taxis (WAT), unreliability of WAT and significant wait times causing a lack of control over a person’s own time</w:t>
            </w:r>
            <w:r>
              <w:rPr>
                <w:rStyle w:val="EndnoteReference"/>
              </w:rPr>
              <w:endnoteReference w:id="58"/>
            </w:r>
          </w:p>
          <w:p w14:paraId="1761DFCD" w14:textId="33AE908A" w:rsidR="008732B7" w:rsidRDefault="003B0766" w:rsidP="00461ACB">
            <w:pPr>
              <w:pStyle w:val="ListParagraph"/>
              <w:numPr>
                <w:ilvl w:val="0"/>
                <w:numId w:val="31"/>
              </w:numPr>
            </w:pPr>
            <w:r>
              <w:t>r</w:t>
            </w:r>
            <w:r w:rsidR="008732B7">
              <w:t>efusal of service due to assistance animals,</w:t>
            </w:r>
            <w:r w:rsidR="00D71204">
              <w:rPr>
                <w:rStyle w:val="EndnoteReference"/>
              </w:rPr>
              <w:endnoteReference w:id="59"/>
            </w:r>
            <w:r w:rsidR="008732B7">
              <w:t xml:space="preserve"> or taxi vouchers</w:t>
            </w:r>
            <w:r w:rsidR="00C530AD">
              <w:rPr>
                <w:rStyle w:val="EndnoteReference"/>
              </w:rPr>
              <w:endnoteReference w:id="60"/>
            </w:r>
            <w:r w:rsidR="008732B7">
              <w:t xml:space="preserve"> </w:t>
            </w:r>
          </w:p>
          <w:p w14:paraId="20D36F40" w14:textId="610C8F2B" w:rsidR="008732B7" w:rsidRDefault="003B0766" w:rsidP="00461ACB">
            <w:pPr>
              <w:pStyle w:val="ListParagraph"/>
              <w:numPr>
                <w:ilvl w:val="0"/>
                <w:numId w:val="31"/>
              </w:numPr>
            </w:pPr>
            <w:r>
              <w:t>p</w:t>
            </w:r>
            <w:r w:rsidR="008732B7">
              <w:t>oor regulation of rideshare services under the Transport Standards</w:t>
            </w:r>
          </w:p>
          <w:p w14:paraId="6A5FB16E" w14:textId="1FE595E1" w:rsidR="008732B7" w:rsidRDefault="002C101D" w:rsidP="00461ACB">
            <w:pPr>
              <w:pStyle w:val="ListParagraph"/>
              <w:numPr>
                <w:ilvl w:val="0"/>
                <w:numId w:val="31"/>
              </w:numPr>
            </w:pPr>
            <w:r>
              <w:t>i</w:t>
            </w:r>
            <w:r w:rsidR="008732B7">
              <w:t xml:space="preserve">nconsistencies within the Transport Standards </w:t>
            </w:r>
            <w:r w:rsidR="00F93EC8">
              <w:t>concerning</w:t>
            </w:r>
            <w:r w:rsidR="008732B7">
              <w:t xml:space="preserve"> taxis</w:t>
            </w:r>
          </w:p>
          <w:p w14:paraId="5667FCA1" w14:textId="7C99DA8E" w:rsidR="003850CC" w:rsidRPr="007B3D5A" w:rsidRDefault="00F93EC8" w:rsidP="003850CC">
            <w:pPr>
              <w:pStyle w:val="ListParagraph"/>
              <w:numPr>
                <w:ilvl w:val="0"/>
                <w:numId w:val="31"/>
              </w:numPr>
              <w:rPr>
                <w:b/>
                <w:bCs/>
              </w:rPr>
            </w:pPr>
            <w:r>
              <w:t>i</w:t>
            </w:r>
            <w:r w:rsidR="008732B7">
              <w:t xml:space="preserve">nconsistencies with federal and state and territory discrimination legislation and transport service regulation. </w:t>
            </w:r>
          </w:p>
          <w:p w14:paraId="7426B83A" w14:textId="43B39998" w:rsidR="007B3D5A" w:rsidRPr="007B3D5A" w:rsidRDefault="007B3D5A" w:rsidP="007B3D5A">
            <w:r>
              <w:t>Regarding the ref</w:t>
            </w:r>
            <w:r w:rsidR="00A35096">
              <w:t>usal of assistance animals</w:t>
            </w:r>
            <w:r w:rsidR="004118CB">
              <w:t>, Dog Guide Handlers Australia</w:t>
            </w:r>
            <w:r w:rsidR="00627603">
              <w:t xml:space="preserve"> </w:t>
            </w:r>
            <w:r w:rsidR="00986ACF">
              <w:t xml:space="preserve">(DGHA) </w:t>
            </w:r>
            <w:r w:rsidR="002F18B2">
              <w:t>have captured instances of service refusal due to a</w:t>
            </w:r>
            <w:r w:rsidR="008A43F8">
              <w:t xml:space="preserve"> person’s Dog Guide.</w:t>
            </w:r>
            <w:r w:rsidR="000802E6">
              <w:t xml:space="preserve"> Of the instances reported, almost 70% of refusals were by taxi and rideshare drivers</w:t>
            </w:r>
            <w:r w:rsidR="002E438C">
              <w:t xml:space="preserve">, with reports of </w:t>
            </w:r>
            <w:r w:rsidR="00F46F35">
              <w:t>drivers locking doors and driving away as someone is grabbing the door handle.</w:t>
            </w:r>
            <w:r w:rsidR="000802E6">
              <w:rPr>
                <w:rStyle w:val="EndnoteReference"/>
              </w:rPr>
              <w:endnoteReference w:id="61"/>
            </w:r>
            <w:r w:rsidR="00986ACF">
              <w:t xml:space="preserve"> </w:t>
            </w:r>
            <w:r w:rsidR="00F53CB6">
              <w:t xml:space="preserve">It is unlawful under the Disability Discrimination Act to discriminate against someone due to them having an accredited and or </w:t>
            </w:r>
            <w:r w:rsidR="00F53CB6">
              <w:lastRenderedPageBreak/>
              <w:t>trained assistant animal.</w:t>
            </w:r>
            <w:r w:rsidR="00F53CB6">
              <w:rPr>
                <w:rStyle w:val="EndnoteReference"/>
              </w:rPr>
              <w:endnoteReference w:id="62"/>
            </w:r>
            <w:r w:rsidR="00F53CB6">
              <w:t xml:space="preserve"> Despite this, </w:t>
            </w:r>
            <w:r w:rsidR="00F46F35">
              <w:t xml:space="preserve">DGHA report </w:t>
            </w:r>
            <w:r w:rsidR="004D1D3B">
              <w:t>cases of service providers denying or disregarding discrimination and access laws.</w:t>
            </w:r>
            <w:r w:rsidR="00B05F8F">
              <w:t xml:space="preserve"> </w:t>
            </w:r>
            <w:r w:rsidR="00614B1C">
              <w:t xml:space="preserve">Assistance animals are </w:t>
            </w:r>
            <w:r w:rsidR="00A113AC">
              <w:t>considered</w:t>
            </w:r>
            <w:r w:rsidR="00614B1C">
              <w:t xml:space="preserve"> in some minimum standard</w:t>
            </w:r>
            <w:r w:rsidR="005063C6">
              <w:t xml:space="preserve">s under the Transport </w:t>
            </w:r>
            <w:r w:rsidR="00956E4E">
              <w:t>Standards;</w:t>
            </w:r>
            <w:r w:rsidR="005063C6">
              <w:t xml:space="preserve"> </w:t>
            </w:r>
            <w:r w:rsidR="009A774E">
              <w:t>however,</w:t>
            </w:r>
            <w:r w:rsidR="005063C6">
              <w:t xml:space="preserve"> this issue extends to </w:t>
            </w:r>
            <w:r w:rsidR="00956E4E">
              <w:t xml:space="preserve">discrimination under the </w:t>
            </w:r>
            <w:r w:rsidR="005063C6">
              <w:t xml:space="preserve">Disability Discrimination Act more broadly and </w:t>
            </w:r>
            <w:r w:rsidR="00601A50">
              <w:t>indicates that accessibility and disability discrimination training may be required across taxi and rideshare industries</w:t>
            </w:r>
            <w:r w:rsidR="00956E4E">
              <w:t xml:space="preserve"> to ensure both the Disability Discrimination Act and the Transport Standards operate effectively together. </w:t>
            </w:r>
            <w:r w:rsidR="00601A50">
              <w:t xml:space="preserve"> </w:t>
            </w:r>
            <w:r w:rsidR="00FB7A08">
              <w:t xml:space="preserve"> </w:t>
            </w:r>
          </w:p>
        </w:tc>
      </w:tr>
    </w:tbl>
    <w:p w14:paraId="38F90590" w14:textId="4E48DF80" w:rsidR="008732B7" w:rsidRPr="001C5102" w:rsidRDefault="008732B7" w:rsidP="008732B7">
      <w:pPr>
        <w:rPr>
          <w:b/>
          <w:bCs/>
        </w:rPr>
      </w:pPr>
      <w:r>
        <w:rPr>
          <w:b/>
          <w:bCs/>
        </w:rPr>
        <w:lastRenderedPageBreak/>
        <w:t xml:space="preserve">Recommendation </w:t>
      </w:r>
      <w:r w:rsidR="00A53A4E">
        <w:rPr>
          <w:b/>
          <w:bCs/>
        </w:rPr>
        <w:t>1</w:t>
      </w:r>
      <w:r>
        <w:rPr>
          <w:b/>
          <w:bCs/>
        </w:rPr>
        <w:t xml:space="preserve">: The Australian Government should remove the exemption for dedicated school buses to ensure all children have access to transport for educational purposes. </w:t>
      </w:r>
    </w:p>
    <w:p w14:paraId="09AB5DDF" w14:textId="4A3385C3" w:rsidR="00036AC5" w:rsidRDefault="008A3235" w:rsidP="000D3159">
      <w:r>
        <w:t>W</w:t>
      </w:r>
      <w:r w:rsidR="008D4E5B">
        <w:t xml:space="preserve">ithout </w:t>
      </w:r>
      <w:r w:rsidR="008C5F6A">
        <w:t>consistent</w:t>
      </w:r>
      <w:r w:rsidR="007C43AB">
        <w:t xml:space="preserve"> and robust data on</w:t>
      </w:r>
      <w:r w:rsidR="008C5F6A">
        <w:t xml:space="preserve"> compliance </w:t>
      </w:r>
      <w:r w:rsidR="00E6165C">
        <w:t>and the</w:t>
      </w:r>
      <w:r w:rsidR="008C5F6A">
        <w:t xml:space="preserve"> </w:t>
      </w:r>
      <w:r w:rsidR="006955B7">
        <w:t xml:space="preserve">reality of experiences of discrimination </w:t>
      </w:r>
      <w:r w:rsidR="00216D4B">
        <w:t xml:space="preserve">of people with disability </w:t>
      </w:r>
      <w:r w:rsidR="006955B7">
        <w:t>in accessing public transport on both a</w:t>
      </w:r>
      <w:r w:rsidR="00886FFE">
        <w:t xml:space="preserve"> local</w:t>
      </w:r>
      <w:r w:rsidR="006955B7">
        <w:t xml:space="preserve"> and national basis</w:t>
      </w:r>
      <w:r w:rsidR="00E6165C">
        <w:t xml:space="preserve">, it </w:t>
      </w:r>
      <w:r w:rsidR="006955B7">
        <w:t>is difficult to assess actual progress and compliance of the Transport Standards</w:t>
      </w:r>
      <w:r w:rsidR="00AF2FA2">
        <w:t xml:space="preserve"> in relation to </w:t>
      </w:r>
      <w:r w:rsidR="003F52DD">
        <w:t>achieving the targets and</w:t>
      </w:r>
      <w:r w:rsidR="00AF2FA2">
        <w:t xml:space="preserve"> removing discrimination</w:t>
      </w:r>
      <w:r w:rsidR="006955B7">
        <w:t>.</w:t>
      </w:r>
    </w:p>
    <w:p w14:paraId="7709CFDE" w14:textId="0021748A" w:rsidR="00A7402A" w:rsidRDefault="006D65A2" w:rsidP="000D3159">
      <w:r w:rsidRPr="001C7B70">
        <w:t xml:space="preserve">This alone raises </w:t>
      </w:r>
      <w:r w:rsidR="00A52CEC" w:rsidRPr="001C7B70">
        <w:t>concerns about the</w:t>
      </w:r>
      <w:r w:rsidR="00A53EFD" w:rsidRPr="001C7B70">
        <w:t xml:space="preserve"> effectiveness of</w:t>
      </w:r>
      <w:r w:rsidR="00A52CEC" w:rsidRPr="001C7B70">
        <w:t xml:space="preserve"> previous reviews </w:t>
      </w:r>
      <w:r w:rsidR="006017D1" w:rsidRPr="001C7B70">
        <w:t>to address issues with</w:t>
      </w:r>
      <w:r w:rsidR="000F04B5" w:rsidRPr="001C7B70">
        <w:t xml:space="preserve"> </w:t>
      </w:r>
      <w:r w:rsidR="00CC2D5B" w:rsidRPr="001C7B70">
        <w:t>uneven</w:t>
      </w:r>
      <w:r w:rsidR="006017D1" w:rsidRPr="001C7B70">
        <w:t xml:space="preserve"> compliance</w:t>
      </w:r>
      <w:r w:rsidR="00361698">
        <w:t>, lack of data,</w:t>
      </w:r>
      <w:r w:rsidR="006017D1" w:rsidRPr="001C7B70">
        <w:t xml:space="preserve"> </w:t>
      </w:r>
      <w:r w:rsidR="000F04B5" w:rsidRPr="001C7B70">
        <w:t>and</w:t>
      </w:r>
      <w:r w:rsidR="00B62B5E" w:rsidRPr="001C7B70">
        <w:t xml:space="preserve"> </w:t>
      </w:r>
      <w:r w:rsidR="00CC2D5B" w:rsidRPr="001C7B70">
        <w:t xml:space="preserve">the </w:t>
      </w:r>
      <w:r w:rsidR="00B62B5E" w:rsidRPr="001C7B70">
        <w:t xml:space="preserve">enforcement of the Transport </w:t>
      </w:r>
      <w:r w:rsidR="00E16226" w:rsidRPr="001C7B70">
        <w:t>S</w:t>
      </w:r>
      <w:r w:rsidR="00B62B5E" w:rsidRPr="001C7B70">
        <w:t>tandards</w:t>
      </w:r>
      <w:r w:rsidR="000F04B5" w:rsidRPr="001C7B70">
        <w:t>,</w:t>
      </w:r>
      <w:r w:rsidR="00B62B5E" w:rsidRPr="001C7B70">
        <w:t xml:space="preserve"> </w:t>
      </w:r>
      <w:r w:rsidR="00E16226" w:rsidRPr="001C7B70">
        <w:t xml:space="preserve">which have been </w:t>
      </w:r>
      <w:r w:rsidR="00B62B5E" w:rsidRPr="001C7B70">
        <w:t xml:space="preserve">raised </w:t>
      </w:r>
      <w:r w:rsidR="006A5657" w:rsidRPr="001C7B70">
        <w:t xml:space="preserve">in all </w:t>
      </w:r>
      <w:r w:rsidR="00BA42C8" w:rsidRPr="001C7B70">
        <w:t>prior review reports.</w:t>
      </w:r>
      <w:r w:rsidR="001F0BC9" w:rsidRPr="001C7B70">
        <w:rPr>
          <w:rStyle w:val="EndnoteReference"/>
        </w:rPr>
        <w:endnoteReference w:id="63"/>
      </w:r>
      <w:r w:rsidR="00B151F8">
        <w:t xml:space="preserve"> </w:t>
      </w:r>
      <w:r w:rsidR="00A90263" w:rsidRPr="001C7B70">
        <w:t>It is</w:t>
      </w:r>
      <w:r w:rsidR="00B3586D">
        <w:t xml:space="preserve"> very</w:t>
      </w:r>
      <w:r w:rsidR="00A90263" w:rsidRPr="001C7B70">
        <w:t xml:space="preserve"> concerning that </w:t>
      </w:r>
      <w:r w:rsidR="00CC2D5B" w:rsidRPr="001C7B70">
        <w:t>despite</w:t>
      </w:r>
      <w:r w:rsidR="00A90263" w:rsidRPr="001C7B70">
        <w:t xml:space="preserve"> repeated recommendations and the preference of the disability community for a stronger regulato</w:t>
      </w:r>
      <w:r w:rsidR="000D4FC1" w:rsidRPr="001C7B70">
        <w:t>ry approach with greater transparency, there has been little progress toward any national reporting framework.</w:t>
      </w:r>
      <w:r w:rsidR="000D4FC1">
        <w:t xml:space="preserve"> </w:t>
      </w:r>
    </w:p>
    <w:p w14:paraId="092A6BCF" w14:textId="4919CBAE" w:rsidR="00A7402A" w:rsidRDefault="008C5492" w:rsidP="000D3159">
      <w:pPr>
        <w:rPr>
          <w:rFonts w:cs="Open Sans"/>
          <w:b/>
          <w:bCs/>
        </w:rPr>
      </w:pPr>
      <w:r>
        <w:rPr>
          <w:b/>
          <w:bCs/>
        </w:rPr>
        <w:t>Recommendation</w:t>
      </w:r>
      <w:r w:rsidR="00C93CFC">
        <w:rPr>
          <w:b/>
          <w:bCs/>
        </w:rPr>
        <w:t xml:space="preserve"> </w:t>
      </w:r>
      <w:r w:rsidR="00A53A4E">
        <w:rPr>
          <w:b/>
          <w:bCs/>
        </w:rPr>
        <w:t>2:</w:t>
      </w:r>
      <w:r>
        <w:rPr>
          <w:b/>
          <w:bCs/>
        </w:rPr>
        <w:t xml:space="preserve"> </w:t>
      </w:r>
      <w:r w:rsidR="00A1457B" w:rsidRPr="00A1457B">
        <w:rPr>
          <w:b/>
          <w:bCs/>
        </w:rPr>
        <w:t xml:space="preserve">An </w:t>
      </w:r>
      <w:r w:rsidR="00745CAA" w:rsidRPr="00A1457B">
        <w:rPr>
          <w:rFonts w:cs="Open Sans"/>
          <w:b/>
          <w:bCs/>
          <w:color w:val="000000"/>
        </w:rPr>
        <w:t xml:space="preserve">independent review of the </w:t>
      </w:r>
      <w:r w:rsidR="00A1457B" w:rsidRPr="00A1457B">
        <w:rPr>
          <w:rFonts w:cs="Open Sans"/>
          <w:b/>
          <w:bCs/>
          <w:color w:val="000000"/>
        </w:rPr>
        <w:t>Transport</w:t>
      </w:r>
      <w:r w:rsidR="00745CAA" w:rsidRPr="00A1457B">
        <w:rPr>
          <w:rFonts w:cs="Open Sans"/>
          <w:b/>
          <w:bCs/>
        </w:rPr>
        <w:t xml:space="preserve"> </w:t>
      </w:r>
      <w:r w:rsidR="00A1457B">
        <w:rPr>
          <w:rFonts w:cs="Open Sans"/>
          <w:b/>
          <w:bCs/>
        </w:rPr>
        <w:t xml:space="preserve">Standards </w:t>
      </w:r>
      <w:r w:rsidR="00745CAA" w:rsidRPr="00A1457B">
        <w:rPr>
          <w:rFonts w:cs="Open Sans"/>
          <w:b/>
          <w:bCs/>
        </w:rPr>
        <w:t xml:space="preserve">should be conducted to consider their effectiveness in addressing unlawful discrimination, as well as the effectiveness of the current legislative, governance, </w:t>
      </w:r>
      <w:r w:rsidR="008A34C6" w:rsidRPr="00A1457B">
        <w:rPr>
          <w:rFonts w:cs="Open Sans"/>
          <w:b/>
          <w:bCs/>
        </w:rPr>
        <w:t>policy,</w:t>
      </w:r>
      <w:r w:rsidR="00745CAA" w:rsidRPr="00A1457B">
        <w:rPr>
          <w:rFonts w:cs="Open Sans"/>
          <w:b/>
          <w:bCs/>
        </w:rPr>
        <w:t xml:space="preserve"> and practice arrangements in place to implement and achieve compliance with the </w:t>
      </w:r>
      <w:r w:rsidR="00987A5F">
        <w:rPr>
          <w:rFonts w:cs="Open Sans"/>
          <w:b/>
          <w:bCs/>
        </w:rPr>
        <w:t>Transport Standards.</w:t>
      </w:r>
      <w:r w:rsidR="008E4624">
        <w:rPr>
          <w:rFonts w:cs="Open Sans"/>
          <w:b/>
          <w:bCs/>
        </w:rPr>
        <w:t xml:space="preserve"> </w:t>
      </w:r>
      <w:r w:rsidR="00980AA5">
        <w:rPr>
          <w:rFonts w:cs="Open Sans"/>
          <w:b/>
          <w:bCs/>
        </w:rPr>
        <w:t>An independent review should also consider appropriate monitoring, regulatory and complaint processes.</w:t>
      </w:r>
    </w:p>
    <w:p w14:paraId="15125C6C" w14:textId="5C6CA8C1" w:rsidR="00B0563C" w:rsidRDefault="00D26019" w:rsidP="00851A5F">
      <w:pPr>
        <w:pStyle w:val="Heading3"/>
      </w:pPr>
      <w:bookmarkStart w:id="26" w:name="_Toc138090500"/>
      <w:r>
        <w:t xml:space="preserve">Issues with assessing </w:t>
      </w:r>
      <w:r w:rsidR="00FE585B">
        <w:t>compliance</w:t>
      </w:r>
      <w:bookmarkEnd w:id="26"/>
    </w:p>
    <w:p w14:paraId="3DCF1B87" w14:textId="21BF147E" w:rsidR="0089140F" w:rsidRDefault="000D3159" w:rsidP="000D3159">
      <w:r>
        <w:t xml:space="preserve">Currently, there is limited publicly available information on compliance with the Transport Standards, as well as the general accessibility of transport services across Australia. All three reviews of the Transport Standards identified a lack of a national compliance </w:t>
      </w:r>
      <w:r w:rsidR="00C97A72">
        <w:t xml:space="preserve">reporting </w:t>
      </w:r>
      <w:r>
        <w:t xml:space="preserve">framework as a major issue impacting the effectiveness and efficiency of the </w:t>
      </w:r>
      <w:r w:rsidR="00A43A3C">
        <w:t>Transport Standards</w:t>
      </w:r>
      <w:r>
        <w:t>.</w:t>
      </w:r>
      <w:r>
        <w:rPr>
          <w:rStyle w:val="EndnoteReference"/>
        </w:rPr>
        <w:endnoteReference w:id="64"/>
      </w:r>
      <w:r>
        <w:t xml:space="preserve">  </w:t>
      </w:r>
    </w:p>
    <w:p w14:paraId="0580B222" w14:textId="4E556515" w:rsidR="00BC0762" w:rsidRDefault="000D3159" w:rsidP="00382A39">
      <w:r>
        <w:lastRenderedPageBreak/>
        <w:t>The need for a</w:t>
      </w:r>
      <w:r w:rsidR="009A324A">
        <w:t xml:space="preserve"> mandatory</w:t>
      </w:r>
      <w:r>
        <w:t xml:space="preserve"> national reporting framework to assess and monitor compliance, and to improve the effectiveness of the Transport Standards, has been raised repeatedly by the Commission and other stakeholders.</w:t>
      </w:r>
      <w:r>
        <w:rPr>
          <w:rStyle w:val="EndnoteReference"/>
        </w:rPr>
        <w:endnoteReference w:id="65"/>
      </w:r>
      <w:r>
        <w:t xml:space="preserve"> </w:t>
      </w:r>
    </w:p>
    <w:p w14:paraId="1BC2AC9D" w14:textId="31A3433E" w:rsidR="00215179" w:rsidRDefault="004C4A99" w:rsidP="00215179">
      <w:r w:rsidRPr="00187A6B">
        <w:t xml:space="preserve">Given the long-standing operation of the </w:t>
      </w:r>
      <w:r>
        <w:t xml:space="preserve">Transport </w:t>
      </w:r>
      <w:r w:rsidRPr="00187A6B">
        <w:t>Standards, operators and providers have had the opportunity to report their compliance voluntarily for years and should be aware of their level of compliance</w:t>
      </w:r>
      <w:r w:rsidR="00215179" w:rsidRPr="00187A6B">
        <w:t xml:space="preserve">. </w:t>
      </w:r>
      <w:r w:rsidR="005F7A0A">
        <w:t>T</w:t>
      </w:r>
      <w:r w:rsidR="005F7A0A" w:rsidRPr="00187A6B">
        <w:t xml:space="preserve">he </w:t>
      </w:r>
      <w:r w:rsidR="009A33E2">
        <w:t>dearth</w:t>
      </w:r>
      <w:r w:rsidR="009A33E2" w:rsidRPr="00187A6B">
        <w:t xml:space="preserve"> </w:t>
      </w:r>
      <w:r w:rsidR="005F7A0A" w:rsidRPr="00187A6B">
        <w:t>of robust and reliable compliance data demonstrates that the current approach is ineffective</w:t>
      </w:r>
      <w:r w:rsidR="005F7A0A">
        <w:t xml:space="preserve"> </w:t>
      </w:r>
      <w:r w:rsidR="005F7A0A" w:rsidRPr="00187A6B">
        <w:t>and that there is low motivation for transport providers to voluntar</w:t>
      </w:r>
      <w:r w:rsidR="005E4F6F">
        <w:t>ily</w:t>
      </w:r>
      <w:r w:rsidR="005F7A0A" w:rsidRPr="00187A6B">
        <w:t xml:space="preserve"> report on </w:t>
      </w:r>
      <w:r w:rsidR="005F7A0A">
        <w:t xml:space="preserve">compliance </w:t>
      </w:r>
      <w:r w:rsidR="005F7A0A" w:rsidRPr="00187A6B">
        <w:t>under a non-regulatory model.</w:t>
      </w:r>
      <w:r w:rsidR="005F7A0A">
        <w:t xml:space="preserve"> The Commission is unaware of where a voluntary reporting model for transport accessibility has worked anywhere in the world.</w:t>
      </w:r>
    </w:p>
    <w:p w14:paraId="62BEEEC9" w14:textId="68C2B515" w:rsidR="009A33E2" w:rsidRPr="0075117D" w:rsidRDefault="00930657" w:rsidP="00930657">
      <w:r>
        <w:t>C</w:t>
      </w:r>
      <w:r w:rsidRPr="00C86887">
        <w:t xml:space="preserve">ompliance with the Transport Standards </w:t>
      </w:r>
      <w:r>
        <w:t>remains</w:t>
      </w:r>
      <w:r w:rsidRPr="00C86887">
        <w:t xml:space="preserve"> a requirement under the Disability Discrimination Act</w:t>
      </w:r>
      <w:r w:rsidR="00F56E79">
        <w:t>,</w:t>
      </w:r>
      <w:r w:rsidR="006A3CA9">
        <w:rPr>
          <w:rStyle w:val="EndnoteReference"/>
        </w:rPr>
        <w:endnoteReference w:id="66"/>
      </w:r>
      <w:r>
        <w:t xml:space="preserve"> even in the absence of </w:t>
      </w:r>
      <w:r w:rsidRPr="00C86887">
        <w:t>mandatory reporting mechanisms</w:t>
      </w:r>
      <w:r w:rsidR="00301721">
        <w:t xml:space="preserve"> or a regulatory framework</w:t>
      </w:r>
      <w:r w:rsidR="002168B3">
        <w:t xml:space="preserve">. </w:t>
      </w:r>
      <w:r w:rsidR="00450532">
        <w:t>O</w:t>
      </w:r>
      <w:r w:rsidRPr="00C86887">
        <w:t xml:space="preserve">perators and providers of public transport services </w:t>
      </w:r>
      <w:r w:rsidR="00450532">
        <w:t xml:space="preserve">therefore </w:t>
      </w:r>
      <w:r w:rsidRPr="00C86887">
        <w:t>have a duty to measure, identify and rectify compliance issues as part of their usual business.</w:t>
      </w:r>
      <w:r w:rsidR="007242E1">
        <w:t xml:space="preserve"> </w:t>
      </w:r>
    </w:p>
    <w:p w14:paraId="422E685C" w14:textId="14A5C2EF" w:rsidR="009B4404" w:rsidRDefault="007B67E6" w:rsidP="001D21A4">
      <w:r>
        <w:t>A duty of any director of a corporation or senior official within a public organisation is to seek to know whether their corporation or organisation is compliant with the law (in this case, the Transport Standards). It is difficult to see how a lack of data would or should exist.</w:t>
      </w:r>
      <w:r w:rsidR="00780079">
        <w:t xml:space="preserve"> The introduction of a positive duty</w:t>
      </w:r>
      <w:r w:rsidR="00086458">
        <w:t xml:space="preserve"> to report compliance</w:t>
      </w:r>
      <w:r w:rsidR="00780079">
        <w:t xml:space="preserve"> </w:t>
      </w:r>
      <w:r w:rsidR="003D4F86">
        <w:t>against the</w:t>
      </w:r>
      <w:r w:rsidR="00780079">
        <w:t xml:space="preserve"> Transport Standards may </w:t>
      </w:r>
      <w:r w:rsidR="00086458">
        <w:t xml:space="preserve">ensure proactive engagement with </w:t>
      </w:r>
      <w:r w:rsidR="006317C2">
        <w:t>legal obligations. This is explored further in the following section</w:t>
      </w:r>
      <w:r w:rsidR="00AF3691">
        <w:t>,</w:t>
      </w:r>
      <w:r w:rsidR="006317C2">
        <w:t xml:space="preserve"> ‘issues with enforcement’. </w:t>
      </w:r>
    </w:p>
    <w:p w14:paraId="6FEAA5E5" w14:textId="32C481D0" w:rsidR="001D21A4" w:rsidRDefault="001D21A4" w:rsidP="001D21A4">
      <w:r>
        <w:t>Complianc</w:t>
      </w:r>
      <w:r w:rsidR="00BA208C">
        <w:t xml:space="preserve">e </w:t>
      </w:r>
      <w:r w:rsidR="0006147D">
        <w:t>and</w:t>
      </w:r>
      <w:r w:rsidR="00930657">
        <w:t xml:space="preserve"> </w:t>
      </w:r>
      <w:r w:rsidR="00BA208C">
        <w:t xml:space="preserve">broader accessibility considerations </w:t>
      </w:r>
      <w:r>
        <w:t>should be factored into jurisdictional transport</w:t>
      </w:r>
      <w:r w:rsidR="00BA208C">
        <w:t xml:space="preserve"> and infrastructure</w:t>
      </w:r>
      <w:r>
        <w:t xml:space="preserve"> budgets, including </w:t>
      </w:r>
      <w:r w:rsidR="00BA208C">
        <w:t xml:space="preserve">auditing and reporting. </w:t>
      </w:r>
      <w:r w:rsidR="007D111B">
        <w:t>Arguments</w:t>
      </w:r>
      <w:r w:rsidR="00FF1902">
        <w:t xml:space="preserve"> about r</w:t>
      </w:r>
      <w:r w:rsidR="00224126">
        <w:t>esourcing</w:t>
      </w:r>
      <w:r w:rsidR="00FF1902">
        <w:t xml:space="preserve"> constraints</w:t>
      </w:r>
      <w:r w:rsidR="00224126">
        <w:t xml:space="preserve"> to </w:t>
      </w:r>
      <w:r w:rsidR="00AF47E1">
        <w:t>ensure compliance with the Transport Standards need to be seen in the context of the transport budgets of the relevant stakeholders. For example, the NSW Transport Budget for 2022</w:t>
      </w:r>
      <w:r w:rsidR="00AF3691">
        <w:t>–</w:t>
      </w:r>
      <w:r w:rsidR="00AF47E1">
        <w:t>23 is $39.8 billion.</w:t>
      </w:r>
      <w:r w:rsidR="00AF47E1">
        <w:rPr>
          <w:rStyle w:val="EndnoteReference"/>
        </w:rPr>
        <w:endnoteReference w:id="67"/>
      </w:r>
      <w:r w:rsidR="00046C6A">
        <w:t xml:space="preserve"> </w:t>
      </w:r>
      <w:r w:rsidR="003D357A">
        <w:t>Given the inconsistencies in compliance, i</w:t>
      </w:r>
      <w:r w:rsidR="003D357A" w:rsidRPr="006242DF">
        <w:t>nvestment and support</w:t>
      </w:r>
      <w:r w:rsidR="003D357A">
        <w:t xml:space="preserve"> across jurisdictions </w:t>
      </w:r>
      <w:r w:rsidR="003D357A" w:rsidRPr="006242DF">
        <w:t>should be targeted towards areas of highest need</w:t>
      </w:r>
      <w:r w:rsidR="00AF3691">
        <w:t xml:space="preserve"> –</w:t>
      </w:r>
      <w:r w:rsidR="003D357A" w:rsidRPr="006242DF">
        <w:t xml:space="preserve"> such as regional, rural and remote areas.</w:t>
      </w:r>
    </w:p>
    <w:p w14:paraId="141210EA" w14:textId="7DA7BC02" w:rsidR="00FB53CC" w:rsidRDefault="00FB53CC" w:rsidP="00FB53CC">
      <w:pPr>
        <w:rPr>
          <w:b/>
          <w:bCs/>
        </w:rPr>
      </w:pPr>
      <w:r w:rsidRPr="001D0BCD">
        <w:rPr>
          <w:b/>
          <w:bCs/>
        </w:rPr>
        <w:t xml:space="preserve">Recommendation </w:t>
      </w:r>
      <w:r w:rsidR="00A53A4E">
        <w:rPr>
          <w:b/>
          <w:bCs/>
        </w:rPr>
        <w:t>3</w:t>
      </w:r>
      <w:r w:rsidRPr="001D0BCD">
        <w:rPr>
          <w:b/>
          <w:bCs/>
        </w:rPr>
        <w:t xml:space="preserve">: </w:t>
      </w:r>
      <w:r>
        <w:rPr>
          <w:b/>
          <w:bCs/>
        </w:rPr>
        <w:t>Australian Governments</w:t>
      </w:r>
      <w:r w:rsidRPr="003B4A9F">
        <w:rPr>
          <w:b/>
          <w:bCs/>
        </w:rPr>
        <w:t xml:space="preserve"> should</w:t>
      </w:r>
      <w:r>
        <w:rPr>
          <w:b/>
          <w:bCs/>
        </w:rPr>
        <w:t xml:space="preserve"> prioritise an independent audit of public transport conveyances against Schedule 1 of the Transport Standards to establish an accurate assessment of compliance to support the Review. </w:t>
      </w:r>
      <w:r w:rsidR="001804C1">
        <w:rPr>
          <w:b/>
          <w:bCs/>
        </w:rPr>
        <w:t xml:space="preserve">This will create a baseline for future reviews and support enforcement. </w:t>
      </w:r>
      <w:r>
        <w:rPr>
          <w:b/>
          <w:bCs/>
        </w:rPr>
        <w:t xml:space="preserve">Findings of this audit should be made public. </w:t>
      </w:r>
    </w:p>
    <w:p w14:paraId="5731C815" w14:textId="2C77A634" w:rsidR="00021694" w:rsidRPr="00FB53CC" w:rsidRDefault="00021694" w:rsidP="00B361D9">
      <w:pPr>
        <w:pStyle w:val="ListParagraph"/>
        <w:numPr>
          <w:ilvl w:val="0"/>
          <w:numId w:val="35"/>
        </w:numPr>
        <w:rPr>
          <w:rFonts w:cs="Open Sans"/>
          <w:b/>
          <w:bCs/>
        </w:rPr>
      </w:pPr>
      <w:r w:rsidRPr="0045516D">
        <w:rPr>
          <w:rStyle w:val="cf01"/>
          <w:rFonts w:ascii="Open Sans" w:hAnsi="Open Sans" w:cs="Open Sans"/>
          <w:b/>
          <w:bCs/>
          <w:sz w:val="24"/>
          <w:szCs w:val="24"/>
        </w:rPr>
        <w:lastRenderedPageBreak/>
        <w:t xml:space="preserve">The Commission, by way of its independence and </w:t>
      </w:r>
      <w:r>
        <w:rPr>
          <w:rStyle w:val="cf01"/>
          <w:rFonts w:ascii="Open Sans" w:hAnsi="Open Sans" w:cs="Open Sans"/>
          <w:b/>
          <w:bCs/>
          <w:sz w:val="24"/>
          <w:szCs w:val="24"/>
        </w:rPr>
        <w:t>functions under</w:t>
      </w:r>
      <w:r w:rsidRPr="0045516D">
        <w:rPr>
          <w:rStyle w:val="cf01"/>
          <w:rFonts w:ascii="Open Sans" w:hAnsi="Open Sans" w:cs="Open Sans"/>
          <w:b/>
          <w:bCs/>
          <w:sz w:val="24"/>
          <w:szCs w:val="24"/>
        </w:rPr>
        <w:t xml:space="preserve"> the </w:t>
      </w:r>
      <w:r>
        <w:rPr>
          <w:rStyle w:val="cf01"/>
          <w:rFonts w:ascii="Open Sans" w:hAnsi="Open Sans" w:cs="Open Sans"/>
          <w:b/>
          <w:bCs/>
          <w:sz w:val="24"/>
          <w:szCs w:val="24"/>
        </w:rPr>
        <w:t>Transport Standards</w:t>
      </w:r>
      <w:r w:rsidRPr="0045516D">
        <w:rPr>
          <w:rStyle w:val="cf01"/>
          <w:rFonts w:ascii="Open Sans" w:hAnsi="Open Sans" w:cs="Open Sans"/>
          <w:b/>
          <w:bCs/>
          <w:sz w:val="24"/>
          <w:szCs w:val="24"/>
        </w:rPr>
        <w:t>, could be well placed to undertake this audit, provided it is resourced to do s</w:t>
      </w:r>
      <w:r>
        <w:rPr>
          <w:rStyle w:val="cf01"/>
          <w:rFonts w:ascii="Open Sans" w:hAnsi="Open Sans" w:cs="Open Sans"/>
          <w:b/>
          <w:bCs/>
          <w:sz w:val="24"/>
          <w:szCs w:val="24"/>
        </w:rPr>
        <w:t xml:space="preserve">o. </w:t>
      </w:r>
    </w:p>
    <w:p w14:paraId="733B5EA9" w14:textId="74B21130" w:rsidR="00020ABB" w:rsidRDefault="00A04124" w:rsidP="00526016">
      <w:r>
        <w:t>A c</w:t>
      </w:r>
      <w:r w:rsidR="00FF1902">
        <w:t>ompliance and reporting framework</w:t>
      </w:r>
      <w:r w:rsidR="003F1F1D">
        <w:t xml:space="preserve"> should seek to move away from</w:t>
      </w:r>
      <w:r w:rsidR="00834DB5">
        <w:t xml:space="preserve"> an</w:t>
      </w:r>
      <w:r w:rsidR="003F1F1D">
        <w:t xml:space="preserve"> opt-in, voluntary approach</w:t>
      </w:r>
      <w:r w:rsidR="00BF45C7">
        <w:t>,</w:t>
      </w:r>
      <w:r w:rsidR="003F1F1D">
        <w:t xml:space="preserve"> which does not guarantee reporting, may disincentivise providers to report on areas of non-compliance that could be viewed as discriminatory, and will maintain an unwillingness to report. </w:t>
      </w:r>
      <w:r w:rsidR="00846E6C">
        <w:t>A non-regulatory model will</w:t>
      </w:r>
      <w:r w:rsidR="003F1F1D">
        <w:t xml:space="preserve"> contribute to the ongoing difficulties in enforcing and evaluating the Transport Standards. </w:t>
      </w:r>
      <w:r w:rsidR="00B51E2A">
        <w:t>Instead,</w:t>
      </w:r>
      <w:r w:rsidR="00846E6C">
        <w:t xml:space="preserve"> a</w:t>
      </w:r>
      <w:r w:rsidR="00442F4D">
        <w:t xml:space="preserve"> robust regulatory approach informing a national reporting framework would: </w:t>
      </w:r>
    </w:p>
    <w:p w14:paraId="47AB789F" w14:textId="29FFBDAE" w:rsidR="00020ABB" w:rsidRDefault="00660953" w:rsidP="00461ACB">
      <w:pPr>
        <w:pStyle w:val="ListParagraph"/>
        <w:numPr>
          <w:ilvl w:val="0"/>
          <w:numId w:val="18"/>
        </w:numPr>
        <w:contextualSpacing/>
      </w:pPr>
      <w:r>
        <w:t>e</w:t>
      </w:r>
      <w:r w:rsidR="00020ABB">
        <w:t xml:space="preserve">nsure consistency and transparency in </w:t>
      </w:r>
      <w:r w:rsidR="0012425A">
        <w:t>reporting</w:t>
      </w:r>
    </w:p>
    <w:p w14:paraId="18417294" w14:textId="77777777" w:rsidR="008C4516" w:rsidRDefault="00660953" w:rsidP="00454D55">
      <w:pPr>
        <w:pStyle w:val="ListParagraph"/>
        <w:numPr>
          <w:ilvl w:val="0"/>
          <w:numId w:val="18"/>
        </w:numPr>
        <w:contextualSpacing/>
      </w:pPr>
      <w:r>
        <w:t>h</w:t>
      </w:r>
      <w:r w:rsidR="00020ABB">
        <w:t xml:space="preserve">old providers and operators accountable to demonstrate and work towards their legal obligation of </w:t>
      </w:r>
      <w:r w:rsidR="0012425A">
        <w:t>compliance</w:t>
      </w:r>
    </w:p>
    <w:p w14:paraId="50D65A2A" w14:textId="108421AE" w:rsidR="00020ABB" w:rsidRDefault="00660953" w:rsidP="00454D55">
      <w:pPr>
        <w:pStyle w:val="ListParagraph"/>
        <w:numPr>
          <w:ilvl w:val="0"/>
          <w:numId w:val="18"/>
        </w:numPr>
        <w:contextualSpacing/>
      </w:pPr>
      <w:r>
        <w:t>b</w:t>
      </w:r>
      <w:r w:rsidR="00020ABB">
        <w:t xml:space="preserve">e important for the collection of reliable data and statistical analysis to measure progress </w:t>
      </w:r>
      <w:r w:rsidR="00020ABB" w:rsidRPr="002D7704">
        <w:t>and compliance against the Transport Standar</w:t>
      </w:r>
      <w:r w:rsidR="00020ABB">
        <w:t>ds</w:t>
      </w:r>
      <w:r w:rsidR="008C4516">
        <w:t xml:space="preserve"> </w:t>
      </w:r>
    </w:p>
    <w:p w14:paraId="4A4DE4BC" w14:textId="68CC27B2" w:rsidR="00020ABB" w:rsidRPr="002168B3" w:rsidRDefault="00660953" w:rsidP="00461ACB">
      <w:pPr>
        <w:pStyle w:val="ListParagraph"/>
        <w:numPr>
          <w:ilvl w:val="0"/>
          <w:numId w:val="18"/>
        </w:numPr>
        <w:contextualSpacing/>
      </w:pPr>
      <w:r>
        <w:t>s</w:t>
      </w:r>
      <w:r w:rsidR="00020ABB">
        <w:t>upport future reviews of the Transport Standards, which can then be used in conjunction with outcomes data associated with</w:t>
      </w:r>
      <w:r w:rsidR="00020ABB" w:rsidRPr="002168B3">
        <w:t xml:space="preserve"> Australia’s Disability Strateg</w:t>
      </w:r>
      <w:r w:rsidR="008C4516">
        <w:t>y</w:t>
      </w:r>
    </w:p>
    <w:p w14:paraId="294CD438" w14:textId="0E8F3BBF" w:rsidR="00020ABB" w:rsidRDefault="00660953" w:rsidP="00461ACB">
      <w:pPr>
        <w:pStyle w:val="ListParagraph"/>
        <w:numPr>
          <w:ilvl w:val="0"/>
          <w:numId w:val="18"/>
        </w:numPr>
        <w:contextualSpacing/>
      </w:pPr>
      <w:r>
        <w:t>a</w:t>
      </w:r>
      <w:r w:rsidR="00020ABB" w:rsidRPr="002168B3">
        <w:t>ssist the community</w:t>
      </w:r>
      <w:r w:rsidR="00020ABB">
        <w:t xml:space="preserve"> to better identify transport services accessible to their needs and plan their </w:t>
      </w:r>
      <w:r w:rsidR="0012425A">
        <w:t>journey</w:t>
      </w:r>
    </w:p>
    <w:p w14:paraId="03762C9C" w14:textId="2B39353D" w:rsidR="00020ABB" w:rsidRDefault="00660953" w:rsidP="00461ACB">
      <w:pPr>
        <w:pStyle w:val="ListParagraph"/>
        <w:numPr>
          <w:ilvl w:val="0"/>
          <w:numId w:val="18"/>
        </w:numPr>
        <w:contextualSpacing/>
      </w:pPr>
      <w:r>
        <w:t>s</w:t>
      </w:r>
      <w:r w:rsidR="00020ABB" w:rsidRPr="00220B21">
        <w:t xml:space="preserve">upport best practice and continuous improvement. </w:t>
      </w:r>
    </w:p>
    <w:p w14:paraId="5385525C" w14:textId="6F97364E" w:rsidR="005A667E" w:rsidRDefault="005A667E" w:rsidP="005A667E">
      <w:r w:rsidRPr="002D3F0D">
        <w:t xml:space="preserve">Considering Australia’s reporting obligations under </w:t>
      </w:r>
      <w:r w:rsidR="00660953">
        <w:t>a</w:t>
      </w:r>
      <w:r w:rsidRPr="002D3F0D">
        <w:t>rticle 31 of the CRPD</w:t>
      </w:r>
      <w:r w:rsidRPr="002D3F0D">
        <w:rPr>
          <w:rStyle w:val="EndnoteReference"/>
        </w:rPr>
        <w:endnoteReference w:id="68"/>
      </w:r>
      <w:r w:rsidRPr="002D3F0D">
        <w:t xml:space="preserve"> and Australia’s Disability Strategy</w:t>
      </w:r>
      <w:r w:rsidR="007B67E6">
        <w:t>,</w:t>
      </w:r>
      <w:r w:rsidR="007B67E6">
        <w:rPr>
          <w:rStyle w:val="EndnoteReference"/>
        </w:rPr>
        <w:endnoteReference w:id="69"/>
      </w:r>
      <w:r w:rsidRPr="002D3F0D">
        <w:t xml:space="preserve"> alongside the overwhelming support of a regulatory approach from the disability community</w:t>
      </w:r>
      <w:r w:rsidR="00B123AB" w:rsidRPr="002D3F0D">
        <w:t xml:space="preserve"> in</w:t>
      </w:r>
      <w:r w:rsidR="00B123AB">
        <w:t xml:space="preserve"> previous r</w:t>
      </w:r>
      <w:r w:rsidR="00AA5866">
        <w:t>eviews,</w:t>
      </w:r>
      <w:r w:rsidR="007B67E6">
        <w:rPr>
          <w:rStyle w:val="EndnoteReference"/>
        </w:rPr>
        <w:endnoteReference w:id="70"/>
      </w:r>
      <w:r w:rsidR="00AA5866">
        <w:t xml:space="preserve"> </w:t>
      </w:r>
      <w:r w:rsidR="00736778">
        <w:t xml:space="preserve">the Commission remains concerned about a lack of progress to </w:t>
      </w:r>
      <w:r w:rsidR="00CB568B">
        <w:t xml:space="preserve">establish a </w:t>
      </w:r>
      <w:r w:rsidR="00FB12EE">
        <w:t xml:space="preserve">national </w:t>
      </w:r>
      <w:r w:rsidR="00AD7F73">
        <w:t xml:space="preserve">framework for </w:t>
      </w:r>
      <w:r w:rsidR="00CB568B">
        <w:t xml:space="preserve">mandatory compliance </w:t>
      </w:r>
      <w:r w:rsidR="00AD7F73">
        <w:t>reporting</w:t>
      </w:r>
      <w:r w:rsidR="00D12182">
        <w:t xml:space="preserve"> to ensure the Transport Standards can achieve their intended purpose to remove</w:t>
      </w:r>
      <w:r w:rsidR="00B42A6F">
        <w:t xml:space="preserve"> discrimination and improve accessibility. </w:t>
      </w:r>
    </w:p>
    <w:p w14:paraId="3ADF0896" w14:textId="5BB2E9B7" w:rsidR="00F9527B" w:rsidRDefault="00846E6C" w:rsidP="001A21BB">
      <w:pPr>
        <w:rPr>
          <w:b/>
          <w:bCs/>
        </w:rPr>
      </w:pPr>
      <w:r>
        <w:rPr>
          <w:b/>
          <w:bCs/>
        </w:rPr>
        <w:t>Recommendation</w:t>
      </w:r>
      <w:r w:rsidR="00C0221C">
        <w:rPr>
          <w:b/>
          <w:bCs/>
        </w:rPr>
        <w:t xml:space="preserve"> </w:t>
      </w:r>
      <w:r w:rsidR="00A53A4E">
        <w:rPr>
          <w:b/>
          <w:bCs/>
        </w:rPr>
        <w:t>4</w:t>
      </w:r>
      <w:r w:rsidR="00C0221C">
        <w:rPr>
          <w:b/>
          <w:bCs/>
        </w:rPr>
        <w:t xml:space="preserve">: </w:t>
      </w:r>
      <w:r w:rsidR="00554F38">
        <w:rPr>
          <w:b/>
          <w:bCs/>
        </w:rPr>
        <w:t xml:space="preserve">The Australian Government should </w:t>
      </w:r>
      <w:r w:rsidR="003F094E">
        <w:rPr>
          <w:b/>
          <w:bCs/>
        </w:rPr>
        <w:t>establish and enact a</w:t>
      </w:r>
      <w:r w:rsidR="00D4147B">
        <w:rPr>
          <w:b/>
          <w:bCs/>
        </w:rPr>
        <w:t xml:space="preserve"> </w:t>
      </w:r>
      <w:r w:rsidR="00360590">
        <w:rPr>
          <w:b/>
          <w:bCs/>
        </w:rPr>
        <w:t>national framework for mandatory compliance reporting</w:t>
      </w:r>
      <w:r w:rsidR="00F6519D">
        <w:rPr>
          <w:b/>
          <w:bCs/>
        </w:rPr>
        <w:t>,</w:t>
      </w:r>
      <w:r w:rsidR="00F6519D" w:rsidRPr="00F6519D">
        <w:rPr>
          <w:b/>
          <w:bCs/>
        </w:rPr>
        <w:t xml:space="preserve"> </w:t>
      </w:r>
      <w:r w:rsidR="00F6519D">
        <w:rPr>
          <w:b/>
          <w:bCs/>
        </w:rPr>
        <w:t xml:space="preserve">as per the recommendation made by the </w:t>
      </w:r>
      <w:r w:rsidR="00DD4FFD">
        <w:rPr>
          <w:b/>
          <w:bCs/>
        </w:rPr>
        <w:t>UN</w:t>
      </w:r>
      <w:r w:rsidR="00F6519D">
        <w:rPr>
          <w:b/>
          <w:bCs/>
        </w:rPr>
        <w:t xml:space="preserve"> Committee</w:t>
      </w:r>
      <w:r w:rsidR="00DD4FFD">
        <w:rPr>
          <w:b/>
          <w:bCs/>
        </w:rPr>
        <w:t xml:space="preserve"> on the Rights of Persons with Disabilit</w:t>
      </w:r>
      <w:r w:rsidR="000C797D">
        <w:rPr>
          <w:b/>
          <w:bCs/>
        </w:rPr>
        <w:t>ies</w:t>
      </w:r>
      <w:r w:rsidR="003F094E">
        <w:rPr>
          <w:b/>
          <w:bCs/>
        </w:rPr>
        <w:t xml:space="preserve">. </w:t>
      </w:r>
      <w:r w:rsidR="00D4147B">
        <w:rPr>
          <w:b/>
          <w:bCs/>
        </w:rPr>
        <w:t>C</w:t>
      </w:r>
      <w:r w:rsidR="00C0221C" w:rsidRPr="00E36B6A">
        <w:rPr>
          <w:b/>
          <w:bCs/>
        </w:rPr>
        <w:t xml:space="preserve">ompliance data </w:t>
      </w:r>
      <w:r w:rsidR="00D4147B">
        <w:rPr>
          <w:b/>
          <w:bCs/>
        </w:rPr>
        <w:t>should be</w:t>
      </w:r>
      <w:r w:rsidR="00C0221C">
        <w:rPr>
          <w:b/>
          <w:bCs/>
        </w:rPr>
        <w:t xml:space="preserve"> </w:t>
      </w:r>
      <w:r w:rsidR="00C0221C" w:rsidRPr="00E36B6A">
        <w:rPr>
          <w:b/>
          <w:bCs/>
        </w:rPr>
        <w:t xml:space="preserve">collected on a mandatory basis on all assets covered by the </w:t>
      </w:r>
      <w:r w:rsidR="00D4147B">
        <w:rPr>
          <w:b/>
          <w:bCs/>
        </w:rPr>
        <w:t xml:space="preserve">Transport </w:t>
      </w:r>
      <w:r w:rsidR="00C0221C" w:rsidRPr="00E36B6A">
        <w:rPr>
          <w:b/>
          <w:bCs/>
        </w:rPr>
        <w:t xml:space="preserve">Standards. </w:t>
      </w:r>
      <w:r w:rsidR="00C0221C" w:rsidRPr="00445626">
        <w:rPr>
          <w:b/>
          <w:bCs/>
        </w:rPr>
        <w:t>All data collected should be done so at regular intervals, made publicly available and reported upon periodically.</w:t>
      </w:r>
    </w:p>
    <w:p w14:paraId="123CCE83" w14:textId="24A2446A" w:rsidR="0002338A" w:rsidRDefault="0002338A" w:rsidP="0002338A">
      <w:r>
        <w:rPr>
          <w:b/>
          <w:bCs/>
        </w:rPr>
        <w:t xml:space="preserve">Recommendation </w:t>
      </w:r>
      <w:r w:rsidR="00A53A4E">
        <w:rPr>
          <w:b/>
          <w:bCs/>
        </w:rPr>
        <w:t>5:</w:t>
      </w:r>
      <w:r>
        <w:rPr>
          <w:b/>
          <w:bCs/>
        </w:rPr>
        <w:t xml:space="preserve"> A</w:t>
      </w:r>
      <w:r w:rsidRPr="00AA6AA6">
        <w:rPr>
          <w:b/>
          <w:bCs/>
        </w:rPr>
        <w:t xml:space="preserve"> </w:t>
      </w:r>
      <w:r w:rsidR="00167AAE">
        <w:rPr>
          <w:b/>
          <w:bCs/>
        </w:rPr>
        <w:t xml:space="preserve">mandatory </w:t>
      </w:r>
      <w:r w:rsidRPr="00AA6AA6">
        <w:rPr>
          <w:b/>
          <w:bCs/>
        </w:rPr>
        <w:t>reporting</w:t>
      </w:r>
      <w:r w:rsidR="00975693">
        <w:rPr>
          <w:b/>
          <w:bCs/>
        </w:rPr>
        <w:t xml:space="preserve"> and compliance</w:t>
      </w:r>
      <w:r w:rsidRPr="00AA6AA6">
        <w:rPr>
          <w:b/>
          <w:bCs/>
        </w:rPr>
        <w:t xml:space="preserve"> framework should:</w:t>
      </w:r>
      <w:r>
        <w:t xml:space="preserve"> </w:t>
      </w:r>
    </w:p>
    <w:p w14:paraId="41CB455E" w14:textId="33DDB4AF" w:rsidR="0002338A" w:rsidRPr="00C465D5" w:rsidRDefault="0002338A" w:rsidP="000F5C7E">
      <w:pPr>
        <w:pStyle w:val="ListParagraph"/>
        <w:numPr>
          <w:ilvl w:val="0"/>
          <w:numId w:val="41"/>
        </w:numPr>
        <w:spacing w:before="0" w:after="160" w:line="259" w:lineRule="auto"/>
        <w:contextualSpacing/>
        <w:rPr>
          <w:b/>
          <w:bCs/>
        </w:rPr>
      </w:pPr>
      <w:r w:rsidRPr="00C465D5">
        <w:rPr>
          <w:b/>
          <w:bCs/>
        </w:rPr>
        <w:lastRenderedPageBreak/>
        <w:t xml:space="preserve">be aligned to the mandatory provisions under the Transport Standards, whilst including equivalent access considerations to allow for flexibility </w:t>
      </w:r>
    </w:p>
    <w:p w14:paraId="2E30EF75" w14:textId="4851BB2E" w:rsidR="0002338A" w:rsidRDefault="0002338A" w:rsidP="000F5C7E">
      <w:pPr>
        <w:pStyle w:val="ListParagraph"/>
        <w:numPr>
          <w:ilvl w:val="0"/>
          <w:numId w:val="41"/>
        </w:numPr>
        <w:spacing w:before="0" w:after="160" w:line="259" w:lineRule="auto"/>
        <w:contextualSpacing/>
        <w:rPr>
          <w:b/>
          <w:bCs/>
        </w:rPr>
      </w:pPr>
      <w:r w:rsidRPr="00C465D5">
        <w:rPr>
          <w:b/>
          <w:bCs/>
        </w:rPr>
        <w:t>set the minimum acceptable standard of public transport accessibility whilst encouraging innovative solutions and design beyond compliance to consider accessibility</w:t>
      </w:r>
    </w:p>
    <w:p w14:paraId="265F19D9" w14:textId="77777777" w:rsidR="0002338A" w:rsidRPr="00C465D5" w:rsidRDefault="0002338A" w:rsidP="000F5C7E">
      <w:pPr>
        <w:pStyle w:val="ListParagraph"/>
        <w:numPr>
          <w:ilvl w:val="0"/>
          <w:numId w:val="41"/>
        </w:numPr>
        <w:spacing w:before="0" w:after="160" w:line="259" w:lineRule="auto"/>
        <w:contextualSpacing/>
        <w:rPr>
          <w:b/>
          <w:bCs/>
        </w:rPr>
      </w:pPr>
      <w:r>
        <w:rPr>
          <w:b/>
          <w:bCs/>
        </w:rPr>
        <w:t xml:space="preserve">Include additional use elements, in particular the reporting of complaints made to an organisation. </w:t>
      </w:r>
    </w:p>
    <w:p w14:paraId="596D6E9E" w14:textId="002751DB" w:rsidR="0002338A" w:rsidRDefault="0002338A" w:rsidP="0002338A">
      <w:pPr>
        <w:rPr>
          <w:b/>
          <w:bCs/>
        </w:rPr>
      </w:pPr>
      <w:r>
        <w:rPr>
          <w:b/>
          <w:bCs/>
        </w:rPr>
        <w:t xml:space="preserve">Recommendation </w:t>
      </w:r>
      <w:r w:rsidR="00A53A4E">
        <w:rPr>
          <w:b/>
          <w:bCs/>
        </w:rPr>
        <w:t>6</w:t>
      </w:r>
      <w:r>
        <w:rPr>
          <w:b/>
          <w:bCs/>
        </w:rPr>
        <w:t xml:space="preserve">: </w:t>
      </w:r>
      <w:r w:rsidR="00410896">
        <w:rPr>
          <w:b/>
          <w:bCs/>
        </w:rPr>
        <w:t>The Department should prioritise c</w:t>
      </w:r>
      <w:r>
        <w:rPr>
          <w:b/>
          <w:bCs/>
        </w:rPr>
        <w:t>onsultation and co-design with the disability community in the development of a national reporting framework.</w:t>
      </w:r>
    </w:p>
    <w:p w14:paraId="4190EBC8" w14:textId="18C5CBDD" w:rsidR="000F2D9B" w:rsidRPr="000F2D9B" w:rsidRDefault="000F2D9B" w:rsidP="0002338A">
      <w:pPr>
        <w:rPr>
          <w:color w:val="FF0000"/>
        </w:rPr>
      </w:pPr>
      <w:r>
        <w:t>The Commission makes the case for a responsive regulatory framework</w:t>
      </w:r>
      <w:r w:rsidR="003813DD">
        <w:t xml:space="preserve"> to promote and enforce compliance with </w:t>
      </w:r>
      <w:r w:rsidR="00E65579">
        <w:t xml:space="preserve">federal </w:t>
      </w:r>
      <w:r w:rsidR="003813DD">
        <w:t>discrimination law</w:t>
      </w:r>
      <w:r>
        <w:t xml:space="preserve"> in </w:t>
      </w:r>
      <w:r w:rsidR="005D4ED0">
        <w:t>c</w:t>
      </w:r>
      <w:r>
        <w:t xml:space="preserve">hapter </w:t>
      </w:r>
      <w:r w:rsidR="001F233C">
        <w:t>three</w:t>
      </w:r>
      <w:r>
        <w:t>, section t</w:t>
      </w:r>
      <w:r w:rsidR="001F233C">
        <w:t>wo</w:t>
      </w:r>
      <w:r>
        <w:t xml:space="preserve"> of its </w:t>
      </w:r>
      <w:r w:rsidRPr="00E65579">
        <w:t>Free and Equal</w:t>
      </w:r>
      <w:r w:rsidR="00E65579">
        <w:rPr>
          <w:i/>
          <w:iCs/>
        </w:rPr>
        <w:t xml:space="preserve"> </w:t>
      </w:r>
      <w:r w:rsidR="001F233C">
        <w:t xml:space="preserve">Position </w:t>
      </w:r>
      <w:r w:rsidR="00E65579">
        <w:t>P</w:t>
      </w:r>
      <w:r w:rsidR="001F233C">
        <w:t>aper.</w:t>
      </w:r>
      <w:r w:rsidR="005D4ED0">
        <w:rPr>
          <w:rStyle w:val="EndnoteReference"/>
        </w:rPr>
        <w:endnoteReference w:id="71"/>
      </w:r>
      <w:r w:rsidR="003813DD">
        <w:t xml:space="preserve"> Whil</w:t>
      </w:r>
      <w:r w:rsidR="00660953">
        <w:t>e</w:t>
      </w:r>
      <w:r w:rsidR="003813DD">
        <w:t xml:space="preserve"> this </w:t>
      </w:r>
      <w:r w:rsidR="00E65579">
        <w:t>p</w:t>
      </w:r>
      <w:r w:rsidR="003813DD">
        <w:t xml:space="preserve">aper </w:t>
      </w:r>
      <w:r w:rsidR="006C1A71">
        <w:t>focuses on broad reform, it provides an insightful evidence base for strengthening and modernising regulatory frameworks, relevant to</w:t>
      </w:r>
      <w:r w:rsidR="00E31C9C">
        <w:t xml:space="preserve"> </w:t>
      </w:r>
      <w:r w:rsidR="006C1A71">
        <w:t xml:space="preserve">the Transport Standards. </w:t>
      </w:r>
    </w:p>
    <w:p w14:paraId="264B3E42" w14:textId="19F3E71A" w:rsidR="00D26019" w:rsidRDefault="00D26019" w:rsidP="00851A5F">
      <w:pPr>
        <w:pStyle w:val="Heading3"/>
      </w:pPr>
      <w:bookmarkStart w:id="27" w:name="_Toc138090501"/>
      <w:r>
        <w:t>Issues with enforcement</w:t>
      </w:r>
      <w:bookmarkEnd w:id="27"/>
      <w:r>
        <w:t xml:space="preserve"> </w:t>
      </w:r>
    </w:p>
    <w:p w14:paraId="25A5FABA" w14:textId="772A96C1" w:rsidR="00B23C93" w:rsidRDefault="004C75C5" w:rsidP="00AE391A">
      <w:r>
        <w:t xml:space="preserve">As highlighted earlier in this submission, the complaints process is </w:t>
      </w:r>
      <w:r w:rsidR="00F91893">
        <w:t>the primary</w:t>
      </w:r>
      <w:r w:rsidR="00D812AF">
        <w:t xml:space="preserve"> </w:t>
      </w:r>
      <w:r w:rsidR="0048516E">
        <w:t>mechanism to</w:t>
      </w:r>
      <w:r w:rsidR="00C35F22">
        <w:t xml:space="preserve"> address </w:t>
      </w:r>
      <w:r w:rsidR="001630A2">
        <w:t xml:space="preserve">and remedy </w:t>
      </w:r>
      <w:r w:rsidR="00C35F22">
        <w:t>breaches of complianc</w:t>
      </w:r>
      <w:r w:rsidR="009A33E2">
        <w:t>e</w:t>
      </w:r>
      <w:r w:rsidR="00D735EF">
        <w:t>, with indi</w:t>
      </w:r>
      <w:r w:rsidR="00575652">
        <w:t>vidual legal action the only way that compliance has been enforced</w:t>
      </w:r>
      <w:r w:rsidR="00C35F22">
        <w:t xml:space="preserve">. </w:t>
      </w:r>
      <w:r w:rsidR="00A94F22">
        <w:t xml:space="preserve">The Commission’s investigation and conciliation function ensures that people with disability have an avenue of redress against </w:t>
      </w:r>
      <w:r w:rsidR="009A33E2">
        <w:t xml:space="preserve">alleged </w:t>
      </w:r>
      <w:r w:rsidR="00A94F22">
        <w:t>discrimination by transport operators and providers</w:t>
      </w:r>
      <w:r w:rsidR="00B23C93">
        <w:t>.</w:t>
      </w:r>
      <w:r w:rsidR="0086403D">
        <w:t xml:space="preserve"> </w:t>
      </w:r>
      <w:r w:rsidR="00B23C93">
        <w:t>However,</w:t>
      </w:r>
      <w:r w:rsidR="0086403D">
        <w:t xml:space="preserve"> there are often power-imbalances </w:t>
      </w:r>
      <w:r w:rsidR="00B23C93">
        <w:t xml:space="preserve">due to the material and significant differences in resources of public transport operators and providers and people with disability. </w:t>
      </w:r>
    </w:p>
    <w:p w14:paraId="6ADCBBCF" w14:textId="442CF25F" w:rsidR="00F45DE6" w:rsidRPr="006B1629" w:rsidRDefault="00BA591B" w:rsidP="00AE391A">
      <w:r>
        <w:t>Whil</w:t>
      </w:r>
      <w:r w:rsidR="00C11639">
        <w:t>e</w:t>
      </w:r>
      <w:r>
        <w:t xml:space="preserve"> complaints mechanisms are critical</w:t>
      </w:r>
      <w:r w:rsidR="00765140">
        <w:t xml:space="preserve"> to ensure remedies to discrimination, t</w:t>
      </w:r>
      <w:r w:rsidR="003B7AD3">
        <w:t xml:space="preserve">he </w:t>
      </w:r>
      <w:r w:rsidR="003B7AD3" w:rsidRPr="006B1629">
        <w:t xml:space="preserve">Commission </w:t>
      </w:r>
      <w:r w:rsidR="00ED2679" w:rsidRPr="006B1629">
        <w:t xml:space="preserve">has raised issues with the effectiveness </w:t>
      </w:r>
      <w:r w:rsidR="00F45DE6" w:rsidRPr="006B1629">
        <w:t>of this model, in that</w:t>
      </w:r>
      <w:r w:rsidR="00C11639">
        <w:t xml:space="preserve"> it</w:t>
      </w:r>
    </w:p>
    <w:p w14:paraId="4A6E2911" w14:textId="0B5B0C58" w:rsidR="003B7AD3" w:rsidRPr="006B1629" w:rsidRDefault="00F45DE6" w:rsidP="00EB2D54">
      <w:pPr>
        <w:ind w:left="720"/>
        <w:rPr>
          <w:sz w:val="22"/>
          <w:szCs w:val="22"/>
        </w:rPr>
      </w:pPr>
      <w:r w:rsidRPr="006B1629">
        <w:rPr>
          <w:sz w:val="22"/>
          <w:szCs w:val="22"/>
        </w:rPr>
        <w:t xml:space="preserve">is reliant on an individual to make a complaint; the ADR </w:t>
      </w:r>
      <w:r w:rsidR="004F292F">
        <w:rPr>
          <w:sz w:val="22"/>
          <w:szCs w:val="22"/>
        </w:rPr>
        <w:t xml:space="preserve">[alternative dispute resolution] </w:t>
      </w:r>
      <w:r w:rsidRPr="006B1629">
        <w:rPr>
          <w:sz w:val="22"/>
          <w:szCs w:val="22"/>
        </w:rPr>
        <w:t>proceedings, being conducted confidentially do not generate a sense of expectations or benchmarks; access to a remedy</w:t>
      </w:r>
      <w:r w:rsidR="00EB2D54" w:rsidRPr="006B1629">
        <w:rPr>
          <w:sz w:val="22"/>
          <w:szCs w:val="22"/>
        </w:rPr>
        <w:t xml:space="preserve"> </w:t>
      </w:r>
      <w:r w:rsidRPr="006B1629">
        <w:rPr>
          <w:sz w:val="22"/>
          <w:szCs w:val="22"/>
        </w:rPr>
        <w:t>through judicial pathways is potentially very costly; the Commission has limited investigation powers and</w:t>
      </w:r>
      <w:r w:rsidR="00EB2D54" w:rsidRPr="006B1629">
        <w:rPr>
          <w:sz w:val="22"/>
          <w:szCs w:val="22"/>
        </w:rPr>
        <w:t xml:space="preserve"> </w:t>
      </w:r>
      <w:r w:rsidRPr="006B1629">
        <w:rPr>
          <w:sz w:val="22"/>
          <w:szCs w:val="22"/>
        </w:rPr>
        <w:t>no enforcement powers.</w:t>
      </w:r>
      <w:r w:rsidR="00831362" w:rsidRPr="006B1629">
        <w:rPr>
          <w:rStyle w:val="EndnoteReference"/>
          <w:szCs w:val="22"/>
        </w:rPr>
        <w:endnoteReference w:id="72"/>
      </w:r>
    </w:p>
    <w:p w14:paraId="2834A43E" w14:textId="1ACBC5B6" w:rsidR="00306BD1" w:rsidRPr="00306BD1" w:rsidRDefault="00765140" w:rsidP="006B1629">
      <w:pPr>
        <w:autoSpaceDE w:val="0"/>
        <w:autoSpaceDN w:val="0"/>
        <w:adjustRightInd w:val="0"/>
        <w:spacing w:before="0" w:after="0"/>
        <w:rPr>
          <w:rFonts w:eastAsia="Times New Roman" w:cs="Open Sans"/>
        </w:rPr>
      </w:pPr>
      <w:r w:rsidRPr="006B1629">
        <w:rPr>
          <w:rFonts w:cs="Open Sans"/>
        </w:rPr>
        <w:t xml:space="preserve">In this regard, the Commission </w:t>
      </w:r>
      <w:r w:rsidR="004F292F">
        <w:rPr>
          <w:rFonts w:cs="Open Sans"/>
        </w:rPr>
        <w:t xml:space="preserve">is of </w:t>
      </w:r>
      <w:r w:rsidR="00F0652C">
        <w:rPr>
          <w:rFonts w:cs="Open Sans"/>
        </w:rPr>
        <w:t>the</w:t>
      </w:r>
      <w:r w:rsidRPr="006B1629">
        <w:rPr>
          <w:rFonts w:cs="Open Sans"/>
        </w:rPr>
        <w:t xml:space="preserve"> view that </w:t>
      </w:r>
      <w:r w:rsidR="006C0AB6">
        <w:rPr>
          <w:rFonts w:cs="Open Sans"/>
        </w:rPr>
        <w:t xml:space="preserve">due to </w:t>
      </w:r>
      <w:r w:rsidRPr="006B1629">
        <w:rPr>
          <w:rFonts w:cs="Open Sans"/>
        </w:rPr>
        <w:t xml:space="preserve">complaint </w:t>
      </w:r>
      <w:r w:rsidR="006B1629" w:rsidRPr="006B1629">
        <w:rPr>
          <w:rFonts w:cs="Open Sans"/>
        </w:rPr>
        <w:t>mechanisms</w:t>
      </w:r>
      <w:r w:rsidR="006C0AB6">
        <w:rPr>
          <w:rFonts w:cs="Open Sans"/>
        </w:rPr>
        <w:t xml:space="preserve"> focusing on redress rather than prevention</w:t>
      </w:r>
      <w:r w:rsidR="00104A4C">
        <w:rPr>
          <w:rFonts w:cs="Open Sans"/>
        </w:rPr>
        <w:t>,</w:t>
      </w:r>
      <w:r w:rsidR="006C0AB6">
        <w:rPr>
          <w:rFonts w:cs="Open Sans"/>
        </w:rPr>
        <w:t xml:space="preserve"> they</w:t>
      </w:r>
      <w:r w:rsidRPr="006B1629">
        <w:rPr>
          <w:rFonts w:cs="Open Sans"/>
        </w:rPr>
        <w:t xml:space="preserve"> ‘should not be the first or only </w:t>
      </w:r>
      <w:r w:rsidR="006B1629" w:rsidRPr="006B1629">
        <w:rPr>
          <w:rFonts w:eastAsia="Times New Roman" w:cs="Open Sans"/>
        </w:rPr>
        <w:t>mechanism for addressing discrimination’</w:t>
      </w:r>
      <w:r w:rsidR="00104A4C">
        <w:rPr>
          <w:rFonts w:eastAsia="Times New Roman" w:cs="Open Sans"/>
        </w:rPr>
        <w:t>.</w:t>
      </w:r>
      <w:r w:rsidR="00165481">
        <w:rPr>
          <w:rStyle w:val="EndnoteReference"/>
          <w:rFonts w:eastAsia="Times New Roman" w:cs="Open Sans"/>
        </w:rPr>
        <w:endnoteReference w:id="73"/>
      </w:r>
      <w:r w:rsidR="00707370">
        <w:rPr>
          <w:rFonts w:eastAsia="Times New Roman" w:cs="Open Sans"/>
        </w:rPr>
        <w:t xml:space="preserve"> </w:t>
      </w:r>
      <w:r w:rsidR="00104A4C">
        <w:rPr>
          <w:rFonts w:eastAsia="Times New Roman" w:cs="Open Sans"/>
        </w:rPr>
        <w:t>This has</w:t>
      </w:r>
      <w:r w:rsidR="00F0652C">
        <w:rPr>
          <w:rFonts w:eastAsia="Times New Roman" w:cs="Open Sans"/>
        </w:rPr>
        <w:t xml:space="preserve"> </w:t>
      </w:r>
      <w:r w:rsidR="00D77139">
        <w:rPr>
          <w:rFonts w:eastAsia="Times New Roman" w:cs="Open Sans"/>
        </w:rPr>
        <w:t xml:space="preserve">been </w:t>
      </w:r>
      <w:r w:rsidR="00F0652C">
        <w:rPr>
          <w:rFonts w:eastAsia="Times New Roman" w:cs="Open Sans"/>
        </w:rPr>
        <w:t>a ‘principal reason why anti-discrimination laws have been unable to address ongoing issues of entrenched and systemic discriminatory practices’.</w:t>
      </w:r>
      <w:r w:rsidR="00F0652C">
        <w:rPr>
          <w:rStyle w:val="EndnoteReference"/>
          <w:rFonts w:eastAsia="Times New Roman" w:cs="Open Sans"/>
        </w:rPr>
        <w:endnoteReference w:id="74"/>
      </w:r>
    </w:p>
    <w:p w14:paraId="56896707" w14:textId="5A56E66E" w:rsidR="0086403D" w:rsidRDefault="00104A4C" w:rsidP="00AE391A">
      <w:r>
        <w:lastRenderedPageBreak/>
        <w:t>Under</w:t>
      </w:r>
      <w:r w:rsidR="00A216A8">
        <w:t xml:space="preserve"> the Disability Discrimination Act</w:t>
      </w:r>
      <w:r w:rsidR="00A175D4">
        <w:t xml:space="preserve">, </w:t>
      </w:r>
      <w:r w:rsidR="00A216A8">
        <w:t>o</w:t>
      </w:r>
      <w:r w:rsidR="003B6886">
        <w:t>rganisations may</w:t>
      </w:r>
      <w:r w:rsidR="00107E81">
        <w:t xml:space="preserve"> submit </w:t>
      </w:r>
      <w:r w:rsidR="009A33E2">
        <w:t>Disability A</w:t>
      </w:r>
      <w:r w:rsidR="00107E81">
        <w:t xml:space="preserve">ction </w:t>
      </w:r>
      <w:r w:rsidR="009A33E2">
        <w:t>P</w:t>
      </w:r>
      <w:r w:rsidR="00107E81">
        <w:t>lans to the Commission at their discretion</w:t>
      </w:r>
      <w:r w:rsidR="00A216A8">
        <w:t>.</w:t>
      </w:r>
      <w:r w:rsidR="00107E81">
        <w:rPr>
          <w:rStyle w:val="EndnoteReference"/>
        </w:rPr>
        <w:endnoteReference w:id="75"/>
      </w:r>
      <w:r w:rsidR="00107E81">
        <w:t xml:space="preserve"> However,</w:t>
      </w:r>
      <w:r w:rsidR="00103C38">
        <w:t xml:space="preserve"> these plans are more a form of </w:t>
      </w:r>
      <w:r w:rsidR="00C10021">
        <w:t xml:space="preserve">identifying actions to progress </w:t>
      </w:r>
      <w:r w:rsidR="00103C38">
        <w:t>compliance than an enforcement mechanism</w:t>
      </w:r>
      <w:r w:rsidR="00DB5ECA">
        <w:t xml:space="preserve">. Currently, </w:t>
      </w:r>
      <w:r w:rsidR="00E30BF9">
        <w:t xml:space="preserve">24 public transport operators or providers have lodged </w:t>
      </w:r>
      <w:r w:rsidR="00EF4F5B">
        <w:t>D</w:t>
      </w:r>
      <w:r w:rsidR="00E30BF9">
        <w:t xml:space="preserve">isability </w:t>
      </w:r>
      <w:r w:rsidR="00EF4F5B">
        <w:t>A</w:t>
      </w:r>
      <w:r w:rsidR="00E30BF9">
        <w:t xml:space="preserve">ction </w:t>
      </w:r>
      <w:r w:rsidR="00EF4F5B">
        <w:t>P</w:t>
      </w:r>
      <w:r w:rsidR="00E30BF9">
        <w:t>lans with the Commission</w:t>
      </w:r>
      <w:r w:rsidR="0010247C">
        <w:t>, however 15 of these</w:t>
      </w:r>
      <w:r w:rsidR="001D62FF">
        <w:t xml:space="preserve"> were developed 10 or more years ago. </w:t>
      </w:r>
      <w:r w:rsidR="00FB0C1E">
        <w:t>In the Free and Equal Position Paper, the</w:t>
      </w:r>
      <w:r w:rsidR="0044609B">
        <w:t xml:space="preserve"> Commission highlighted that</w:t>
      </w:r>
      <w:r w:rsidR="00F41ADE">
        <w:t xml:space="preserve"> action plans are limited in their effectiveness a</w:t>
      </w:r>
      <w:r w:rsidR="007D4832">
        <w:t>s</w:t>
      </w:r>
      <w:r w:rsidR="00F41ADE">
        <w:t xml:space="preserve"> a regulatory tool</w:t>
      </w:r>
      <w:r w:rsidR="00BC06D7">
        <w:t>, and</w:t>
      </w:r>
      <w:r w:rsidR="0044609B">
        <w:t xml:space="preserve"> </w:t>
      </w:r>
      <w:r w:rsidR="00EB2A02">
        <w:t xml:space="preserve">while </w:t>
      </w:r>
      <w:r w:rsidR="0044609B">
        <w:t xml:space="preserve">stakeholders </w:t>
      </w:r>
      <w:r w:rsidR="00EB2A02">
        <w:t xml:space="preserve">considered </w:t>
      </w:r>
      <w:r w:rsidR="0044609B">
        <w:t>that such plans</w:t>
      </w:r>
      <w:r w:rsidR="00F41ADE">
        <w:t xml:space="preserve"> are ‘necessary and helpful’ </w:t>
      </w:r>
      <w:r w:rsidR="00BC06D7">
        <w:t>the introduction of voluntary audits and positive dutie</w:t>
      </w:r>
      <w:r w:rsidR="00767B9C">
        <w:t>s would be of significant value.</w:t>
      </w:r>
      <w:r w:rsidR="00767B9C">
        <w:rPr>
          <w:rStyle w:val="EndnoteReference"/>
        </w:rPr>
        <w:endnoteReference w:id="76"/>
      </w:r>
    </w:p>
    <w:p w14:paraId="08C8BA41" w14:textId="3FD5E1AD" w:rsidR="005B3627" w:rsidRPr="005B3627" w:rsidRDefault="005B3627" w:rsidP="00AE391A">
      <w:pPr>
        <w:rPr>
          <w:b/>
          <w:bCs/>
        </w:rPr>
      </w:pPr>
      <w:r>
        <w:rPr>
          <w:b/>
          <w:bCs/>
        </w:rPr>
        <w:t xml:space="preserve">Recommendation </w:t>
      </w:r>
      <w:r w:rsidR="00A53A4E">
        <w:rPr>
          <w:b/>
          <w:bCs/>
        </w:rPr>
        <w:t>7</w:t>
      </w:r>
      <w:r>
        <w:rPr>
          <w:b/>
          <w:bCs/>
        </w:rPr>
        <w:t xml:space="preserve">: Operators and Providers of </w:t>
      </w:r>
      <w:r w:rsidR="00335AB1">
        <w:rPr>
          <w:b/>
          <w:bCs/>
        </w:rPr>
        <w:t xml:space="preserve">public transport should </w:t>
      </w:r>
      <w:r w:rsidR="00F95000">
        <w:rPr>
          <w:b/>
          <w:bCs/>
        </w:rPr>
        <w:t xml:space="preserve">commit to developing Disability Action </w:t>
      </w:r>
      <w:r w:rsidR="00550CB7">
        <w:rPr>
          <w:b/>
          <w:bCs/>
        </w:rPr>
        <w:t xml:space="preserve">Plans, as per the provisions </w:t>
      </w:r>
      <w:r w:rsidR="00CB5C6E">
        <w:rPr>
          <w:b/>
          <w:bCs/>
        </w:rPr>
        <w:t>under section 61 of the Disability Discrimination Act. These plans should include actions to achieve compliance with the Transport Standards</w:t>
      </w:r>
      <w:r w:rsidR="009767AC">
        <w:rPr>
          <w:b/>
          <w:bCs/>
        </w:rPr>
        <w:t xml:space="preserve"> based on accessibility audits an</w:t>
      </w:r>
      <w:r w:rsidR="00792754">
        <w:rPr>
          <w:b/>
          <w:bCs/>
        </w:rPr>
        <w:t xml:space="preserve">d strategies towards enhanced </w:t>
      </w:r>
      <w:r w:rsidR="006C2592">
        <w:rPr>
          <w:b/>
          <w:bCs/>
        </w:rPr>
        <w:t>accessibility and</w:t>
      </w:r>
      <w:r w:rsidR="00E7692A">
        <w:rPr>
          <w:b/>
          <w:bCs/>
        </w:rPr>
        <w:t xml:space="preserve"> </w:t>
      </w:r>
      <w:r w:rsidR="00451DE2">
        <w:rPr>
          <w:b/>
          <w:bCs/>
        </w:rPr>
        <w:t xml:space="preserve">should be publicly reported against. </w:t>
      </w:r>
    </w:p>
    <w:p w14:paraId="7FA2E9EC" w14:textId="1F8DDBCC" w:rsidR="002D53CB" w:rsidRDefault="00680A94" w:rsidP="00AE391A">
      <w:r>
        <w:t>Whil</w:t>
      </w:r>
      <w:r w:rsidR="00EB2A02">
        <w:t>e</w:t>
      </w:r>
      <w:r w:rsidR="00032DE1">
        <w:t xml:space="preserve"> reasonable adjustment provisions under the Disability Discrimination Act</w:t>
      </w:r>
      <w:r w:rsidR="00ED4FB1">
        <w:rPr>
          <w:rStyle w:val="EndnoteReference"/>
        </w:rPr>
        <w:endnoteReference w:id="77"/>
      </w:r>
      <w:r w:rsidR="00032DE1">
        <w:t xml:space="preserve"> and the </w:t>
      </w:r>
      <w:r w:rsidR="00137EBE">
        <w:t xml:space="preserve">requirements of the Transport Standards </w:t>
      </w:r>
      <w:r w:rsidR="000D6834">
        <w:t>to implement minimum standards of accessibility</w:t>
      </w:r>
      <w:r w:rsidR="00EB2A02">
        <w:t>,</w:t>
      </w:r>
      <w:r w:rsidR="000D6834">
        <w:t xml:space="preserve"> </w:t>
      </w:r>
      <w:r w:rsidR="00137EBE">
        <w:t>intend to impose a positive duty on operators and providers</w:t>
      </w:r>
      <w:r w:rsidR="004130B8">
        <w:t xml:space="preserve"> to prevent discrimination</w:t>
      </w:r>
      <w:r w:rsidR="00137EBE">
        <w:t>,</w:t>
      </w:r>
      <w:r w:rsidR="00EA0D0C">
        <w:t xml:space="preserve"> </w:t>
      </w:r>
      <w:r w:rsidR="009A1B21">
        <w:t xml:space="preserve">the burden placed on individuals to make a complaint </w:t>
      </w:r>
      <w:r w:rsidR="002A58F3">
        <w:t>to enforce this significantly limits the ef</w:t>
      </w:r>
      <w:r w:rsidR="004130B8">
        <w:t>fectiveness</w:t>
      </w:r>
      <w:r w:rsidR="00C77913">
        <w:t xml:space="preserve">. </w:t>
      </w:r>
      <w:r w:rsidR="00EB2A02">
        <w:t>O</w:t>
      </w:r>
      <w:r w:rsidR="00DC7529">
        <w:t xml:space="preserve">perators and providers have no clear </w:t>
      </w:r>
      <w:r w:rsidR="00906500">
        <w:t xml:space="preserve">accountability to ensure that they have complied </w:t>
      </w:r>
      <w:r w:rsidR="00B20BA5">
        <w:t xml:space="preserve">with </w:t>
      </w:r>
      <w:r w:rsidR="00906500">
        <w:t xml:space="preserve">the </w:t>
      </w:r>
      <w:r w:rsidR="008C137D">
        <w:t>Transport</w:t>
      </w:r>
      <w:r w:rsidR="00906500">
        <w:t xml:space="preserve"> Standards or taken all reasonable steps to prevent </w:t>
      </w:r>
      <w:r w:rsidR="00883E10">
        <w:t>discrimination unless</w:t>
      </w:r>
      <w:r w:rsidR="008C137D">
        <w:t xml:space="preserve"> they are seeking to respond to claims of alleged discrimination.</w:t>
      </w:r>
      <w:r w:rsidR="00E73E40" w:rsidRPr="00E73E40">
        <w:t xml:space="preserve"> </w:t>
      </w:r>
      <w:r w:rsidR="00C46780">
        <w:t>M</w:t>
      </w:r>
      <w:r w:rsidR="006E26A7">
        <w:t>any inc</w:t>
      </w:r>
      <w:r w:rsidR="00FC7D7B">
        <w:t xml:space="preserve">idents of non-compliance </w:t>
      </w:r>
      <w:r w:rsidR="00C46780">
        <w:t xml:space="preserve">may </w:t>
      </w:r>
      <w:r w:rsidR="00FC7D7B">
        <w:t xml:space="preserve">go unaddressed. </w:t>
      </w:r>
      <w:r>
        <w:t>The low number of complaints</w:t>
      </w:r>
      <w:r w:rsidRPr="00E72305">
        <w:t xml:space="preserve"> </w:t>
      </w:r>
      <w:r>
        <w:t xml:space="preserve">made under the Transport Standards </w:t>
      </w:r>
      <w:r w:rsidR="00C46780">
        <w:t xml:space="preserve">are an ineffective measure of </w:t>
      </w:r>
      <w:r w:rsidR="003C006B">
        <w:t xml:space="preserve">assessing compliance and </w:t>
      </w:r>
      <w:r>
        <w:t>demonstrate</w:t>
      </w:r>
      <w:r w:rsidR="002A5DB9">
        <w:t xml:space="preserve"> </w:t>
      </w:r>
      <w:r>
        <w:t>that the current model is not effective in enforcing compliance or to ensure preventative measures are taken</w:t>
      </w:r>
      <w:r w:rsidR="00102A7E">
        <w:t>.</w:t>
      </w:r>
    </w:p>
    <w:p w14:paraId="02DE5316" w14:textId="0C166E92" w:rsidR="00CB2134" w:rsidRDefault="00FD222C" w:rsidP="00AE391A">
      <w:r>
        <w:t>In the Free and Equal Position Paper, the Commission recommends that a positive duty be introduced to</w:t>
      </w:r>
      <w:r w:rsidR="007123C3">
        <w:t xml:space="preserve"> federal discrimination laws.</w:t>
      </w:r>
      <w:r w:rsidR="004F78C4">
        <w:rPr>
          <w:rStyle w:val="EndnoteReference"/>
        </w:rPr>
        <w:endnoteReference w:id="78"/>
      </w:r>
      <w:r w:rsidR="007123C3">
        <w:t xml:space="preserve"> In the absence of broader reforms</w:t>
      </w:r>
      <w:r w:rsidR="00C0755A">
        <w:t xml:space="preserve"> to the Disability Discrimination Act</w:t>
      </w:r>
      <w:r w:rsidR="007123C3">
        <w:t xml:space="preserve"> during this review cycle, there may be merit </w:t>
      </w:r>
      <w:r w:rsidR="00C1559B">
        <w:t xml:space="preserve">in </w:t>
      </w:r>
      <w:r w:rsidR="007123C3">
        <w:t>introducing a</w:t>
      </w:r>
      <w:r w:rsidR="00C0755A">
        <w:t xml:space="preserve"> </w:t>
      </w:r>
      <w:r w:rsidR="007123C3">
        <w:t>positive duty</w:t>
      </w:r>
      <w:r w:rsidR="009878D4">
        <w:t xml:space="preserve"> </w:t>
      </w:r>
      <w:r w:rsidR="007123C3">
        <w:t>within the Transport Standards</w:t>
      </w:r>
      <w:r w:rsidR="00F16869">
        <w:t>.</w:t>
      </w:r>
      <w:r w:rsidR="00D5638F">
        <w:t xml:space="preserve"> </w:t>
      </w:r>
      <w:r w:rsidR="00173DB1">
        <w:t xml:space="preserve">A positive duty </w:t>
      </w:r>
      <w:r w:rsidR="001F5A1C">
        <w:t>could</w:t>
      </w:r>
      <w:r w:rsidR="00173DB1">
        <w:t xml:space="preserve"> enforce greater compliance by </w:t>
      </w:r>
      <w:r w:rsidR="00BA48F1">
        <w:t>requiring duty holders to</w:t>
      </w:r>
      <w:r w:rsidR="003F764C">
        <w:t xml:space="preserve"> engage proactively</w:t>
      </w:r>
      <w:r w:rsidR="00BA48F1">
        <w:t xml:space="preserve"> </w:t>
      </w:r>
      <w:r w:rsidR="001F5A1C">
        <w:t xml:space="preserve">with </w:t>
      </w:r>
      <w:r w:rsidR="00CB2134">
        <w:t xml:space="preserve">their </w:t>
      </w:r>
      <w:r w:rsidR="003F764C">
        <w:t xml:space="preserve">legal </w:t>
      </w:r>
      <w:r w:rsidR="00CB2134">
        <w:t xml:space="preserve">obligations. </w:t>
      </w:r>
    </w:p>
    <w:p w14:paraId="3D814A68" w14:textId="520D83D3" w:rsidR="00C1559B" w:rsidRDefault="00FB5978" w:rsidP="00AE391A">
      <w:r>
        <w:t>To assist</w:t>
      </w:r>
      <w:r w:rsidR="00AA6F37">
        <w:t xml:space="preserve"> operators and providers to understand this duty in the context of the requirement to comply with the Transport Standards, </w:t>
      </w:r>
      <w:r w:rsidR="00721E7C">
        <w:t>procedural duties, such as policies or compliance plans, should be included</w:t>
      </w:r>
      <w:r w:rsidR="007807D3">
        <w:t>.</w:t>
      </w:r>
      <w:r w:rsidR="00721E7C">
        <w:rPr>
          <w:rStyle w:val="EndnoteReference"/>
        </w:rPr>
        <w:endnoteReference w:id="79"/>
      </w:r>
      <w:r w:rsidR="00721E7C">
        <w:t xml:space="preserve"> </w:t>
      </w:r>
      <w:r w:rsidR="002A2868">
        <w:t xml:space="preserve">This may </w:t>
      </w:r>
      <w:r w:rsidR="001B7F79">
        <w:t>include</w:t>
      </w:r>
      <w:r w:rsidR="002A2868">
        <w:t xml:space="preserve"> </w:t>
      </w:r>
      <w:r w:rsidR="00425841">
        <w:t xml:space="preserve">identifying areas of non-compliance, developing strategies to meet and maintain compliance, and evaluating and improving compliance, as explained in the </w:t>
      </w:r>
      <w:r w:rsidR="008C6967">
        <w:lastRenderedPageBreak/>
        <w:t xml:space="preserve">Explanatory Memorandum for the Victorian </w:t>
      </w:r>
      <w:r w:rsidR="008C6967">
        <w:rPr>
          <w:i/>
          <w:iCs/>
        </w:rPr>
        <w:t>Equal Opportunity Act 2010</w:t>
      </w:r>
      <w:r w:rsidR="008C6967">
        <w:t xml:space="preserve"> (Vic)</w:t>
      </w:r>
      <w:r w:rsidR="00987FD1">
        <w:t>.</w:t>
      </w:r>
      <w:r w:rsidR="00E87913">
        <w:rPr>
          <w:rStyle w:val="EndnoteReference"/>
        </w:rPr>
        <w:endnoteReference w:id="80"/>
      </w:r>
      <w:r w:rsidR="000A3BD7">
        <w:t xml:space="preserve"> Additionally, a positive duty may </w:t>
      </w:r>
      <w:r w:rsidR="00BA3732">
        <w:t>assist the enforcement of a mandatory compliance reporting framework and encourage a culture of prevention rather than non-compliance.</w:t>
      </w:r>
    </w:p>
    <w:p w14:paraId="43E974EF" w14:textId="7C23028C" w:rsidR="00914E28" w:rsidRDefault="007807D3" w:rsidP="00C3175D">
      <w:pPr>
        <w:rPr>
          <w:b/>
          <w:bCs/>
        </w:rPr>
      </w:pPr>
      <w:r>
        <w:rPr>
          <w:b/>
          <w:bCs/>
        </w:rPr>
        <w:t xml:space="preserve">Recommendation </w:t>
      </w:r>
      <w:r w:rsidR="00A53A4E">
        <w:rPr>
          <w:b/>
          <w:bCs/>
        </w:rPr>
        <w:t>8</w:t>
      </w:r>
      <w:r>
        <w:rPr>
          <w:b/>
          <w:bCs/>
        </w:rPr>
        <w:t xml:space="preserve">: The Australian Government should </w:t>
      </w:r>
      <w:r w:rsidR="00112D78">
        <w:rPr>
          <w:b/>
          <w:bCs/>
        </w:rPr>
        <w:t>introduce a positive duty with procedural duties to</w:t>
      </w:r>
      <w:r w:rsidR="00F630CD">
        <w:rPr>
          <w:b/>
          <w:bCs/>
        </w:rPr>
        <w:t xml:space="preserve"> either</w:t>
      </w:r>
      <w:r w:rsidR="00112D78">
        <w:rPr>
          <w:b/>
          <w:bCs/>
        </w:rPr>
        <w:t xml:space="preserve"> the </w:t>
      </w:r>
      <w:r w:rsidR="00FE312D">
        <w:rPr>
          <w:b/>
          <w:bCs/>
        </w:rPr>
        <w:t xml:space="preserve">Disability Discrimination Act or the </w:t>
      </w:r>
      <w:r w:rsidR="00112D78">
        <w:rPr>
          <w:b/>
          <w:bCs/>
        </w:rPr>
        <w:t>Transport Standards</w:t>
      </w:r>
      <w:r w:rsidR="00914E28">
        <w:rPr>
          <w:b/>
          <w:bCs/>
        </w:rPr>
        <w:t>, in line with the recommendations made in the Commission</w:t>
      </w:r>
      <w:r w:rsidR="006C3625">
        <w:rPr>
          <w:b/>
          <w:bCs/>
        </w:rPr>
        <w:t>’s</w:t>
      </w:r>
      <w:r w:rsidR="00914E28">
        <w:rPr>
          <w:b/>
          <w:bCs/>
        </w:rPr>
        <w:t xml:space="preserve"> Free and Equal Position Paper</w:t>
      </w:r>
      <w:r w:rsidR="00202FE7">
        <w:rPr>
          <w:b/>
          <w:bCs/>
        </w:rPr>
        <w:t xml:space="preserve">. </w:t>
      </w:r>
    </w:p>
    <w:p w14:paraId="1F0387C8" w14:textId="1396F387" w:rsidR="00C3175D" w:rsidRPr="00C3175D" w:rsidRDefault="00FE312D" w:rsidP="00C3175D">
      <w:pPr>
        <w:rPr>
          <w:b/>
          <w:bCs/>
        </w:rPr>
      </w:pPr>
      <w:r>
        <w:rPr>
          <w:b/>
          <w:bCs/>
        </w:rPr>
        <w:t xml:space="preserve">Positive duties </w:t>
      </w:r>
      <w:r w:rsidR="003D38B9">
        <w:rPr>
          <w:b/>
          <w:bCs/>
        </w:rPr>
        <w:t xml:space="preserve">should </w:t>
      </w:r>
      <w:r w:rsidR="006962BD">
        <w:rPr>
          <w:b/>
          <w:bCs/>
        </w:rPr>
        <w:t>consider</w:t>
      </w:r>
      <w:r w:rsidR="00401116">
        <w:rPr>
          <w:b/>
          <w:bCs/>
        </w:rPr>
        <w:t xml:space="preserve"> certain factors to determine whethe</w:t>
      </w:r>
      <w:r w:rsidR="00DB1D6D">
        <w:rPr>
          <w:b/>
          <w:bCs/>
        </w:rPr>
        <w:t>r a</w:t>
      </w:r>
      <w:r w:rsidR="00401116">
        <w:rPr>
          <w:b/>
          <w:bCs/>
        </w:rPr>
        <w:t xml:space="preserve"> measure is reasonable and proportionate </w:t>
      </w:r>
      <w:r w:rsidR="00DB1D6D">
        <w:rPr>
          <w:b/>
          <w:bCs/>
        </w:rPr>
        <w:t>such as:</w:t>
      </w:r>
      <w:r w:rsidR="00401116">
        <w:rPr>
          <w:b/>
          <w:bCs/>
        </w:rPr>
        <w:t xml:space="preserve"> the</w:t>
      </w:r>
      <w:r w:rsidR="004F7D7E">
        <w:rPr>
          <w:b/>
          <w:bCs/>
        </w:rPr>
        <w:t xml:space="preserve"> industry, size and nature of the organisation, </w:t>
      </w:r>
      <w:r w:rsidR="00DB1D6D">
        <w:rPr>
          <w:b/>
          <w:bCs/>
        </w:rPr>
        <w:t xml:space="preserve">resources of the organisation, practicality and cost, and other relevant facts or circumstances. </w:t>
      </w:r>
    </w:p>
    <w:p w14:paraId="420B5347" w14:textId="545926D2" w:rsidR="00165749" w:rsidRPr="00FE2776" w:rsidRDefault="00C3175D" w:rsidP="00FE2776">
      <w:pPr>
        <w:pStyle w:val="Default"/>
        <w:rPr>
          <w:b/>
          <w:bCs/>
          <w:color w:val="auto"/>
        </w:rPr>
      </w:pPr>
      <w:r w:rsidRPr="00C3175D">
        <w:rPr>
          <w:b/>
          <w:bCs/>
          <w:color w:val="auto"/>
        </w:rPr>
        <w:t xml:space="preserve">Recommendation </w:t>
      </w:r>
      <w:r w:rsidR="00A53A4E">
        <w:rPr>
          <w:b/>
          <w:bCs/>
          <w:color w:val="auto"/>
        </w:rPr>
        <w:t>9</w:t>
      </w:r>
      <w:r w:rsidRPr="00C3175D">
        <w:rPr>
          <w:b/>
          <w:bCs/>
          <w:color w:val="auto"/>
        </w:rPr>
        <w:t xml:space="preserve">: Any positive duty should also be accompanied by significant education and other outreach, as well as support for the Commission, legal assistance providers and business peak bodies, to be able to provide clear and accessible guidance about the positive duty. </w:t>
      </w:r>
      <w:r w:rsidR="007C10EC">
        <w:t xml:space="preserve"> </w:t>
      </w:r>
      <w:r w:rsidR="00165749">
        <w:rPr>
          <w:b/>
          <w:bCs/>
        </w:rPr>
        <w:t xml:space="preserve"> </w:t>
      </w:r>
    </w:p>
    <w:p w14:paraId="7F348559" w14:textId="3B9616E3" w:rsidR="00A05AA0" w:rsidRDefault="00165749" w:rsidP="00AE391A">
      <w:r>
        <w:t>W</w:t>
      </w:r>
      <w:r w:rsidR="00F6649C">
        <w:t xml:space="preserve">ithout </w:t>
      </w:r>
      <w:r w:rsidR="008E2B72">
        <w:t xml:space="preserve">greater </w:t>
      </w:r>
      <w:r w:rsidR="001B7F79">
        <w:t xml:space="preserve">coordinated </w:t>
      </w:r>
      <w:r w:rsidR="008E2B72">
        <w:t>leadership across all levels of government there is little incentive for operators and providers to comply</w:t>
      </w:r>
      <w:r w:rsidR="00705BE9">
        <w:t xml:space="preserve"> and to demonstrate compliance</w:t>
      </w:r>
      <w:r w:rsidR="00564D27">
        <w:t xml:space="preserve">. </w:t>
      </w:r>
      <w:r w:rsidR="00EF4BF3">
        <w:t>State and territory governments have the power to ensure that their legislation</w:t>
      </w:r>
      <w:r w:rsidR="00A05AA0">
        <w:t xml:space="preserve"> and contractual arrangements with transport operators and providers</w:t>
      </w:r>
      <w:r w:rsidR="00EF4BF3">
        <w:t xml:space="preserve"> align</w:t>
      </w:r>
      <w:r w:rsidR="00A05AA0">
        <w:t xml:space="preserve"> </w:t>
      </w:r>
      <w:r w:rsidR="00EF4BF3">
        <w:t>with the Transport Standards to improve accountability</w:t>
      </w:r>
      <w:r w:rsidR="008B128A">
        <w:t>, and that there is adequate funding and incentive to conduct audits</w:t>
      </w:r>
      <w:r w:rsidR="007221D3">
        <w:t xml:space="preserve">. </w:t>
      </w:r>
    </w:p>
    <w:p w14:paraId="3D87FB2B" w14:textId="3659929D" w:rsidR="00DA184C" w:rsidRDefault="0076457C" w:rsidP="0076457C">
      <w:pPr>
        <w:rPr>
          <w:b/>
          <w:bCs/>
        </w:rPr>
      </w:pPr>
      <w:r>
        <w:rPr>
          <w:b/>
          <w:bCs/>
        </w:rPr>
        <w:t xml:space="preserve">Recommendation </w:t>
      </w:r>
      <w:r w:rsidR="00F818F5">
        <w:rPr>
          <w:b/>
          <w:bCs/>
        </w:rPr>
        <w:t>1</w:t>
      </w:r>
      <w:r w:rsidR="00A53A4E">
        <w:rPr>
          <w:b/>
          <w:bCs/>
        </w:rPr>
        <w:t>0</w:t>
      </w:r>
      <w:r>
        <w:rPr>
          <w:b/>
          <w:bCs/>
        </w:rPr>
        <w:t xml:space="preserve">: The Australian Government Minister for Infrastructure, Transport, Regional Development and Local Government should </w:t>
      </w:r>
      <w:r w:rsidR="00EA722C">
        <w:rPr>
          <w:b/>
          <w:bCs/>
        </w:rPr>
        <w:t>write to</w:t>
      </w:r>
      <w:r w:rsidR="00DA184C">
        <w:rPr>
          <w:b/>
          <w:bCs/>
        </w:rPr>
        <w:t>:</w:t>
      </w:r>
    </w:p>
    <w:p w14:paraId="61852E3B" w14:textId="169603FD" w:rsidR="00CE5D66" w:rsidRPr="00FF0FD4" w:rsidRDefault="00EA722C" w:rsidP="0053179A">
      <w:pPr>
        <w:pStyle w:val="ListParagraph"/>
        <w:numPr>
          <w:ilvl w:val="0"/>
          <w:numId w:val="42"/>
        </w:numPr>
        <w:rPr>
          <w:b/>
          <w:bCs/>
        </w:rPr>
      </w:pPr>
      <w:r w:rsidRPr="00DA184C">
        <w:rPr>
          <w:b/>
          <w:bCs/>
        </w:rPr>
        <w:t xml:space="preserve">all Transport Ministers </w:t>
      </w:r>
      <w:r w:rsidR="00FF433F">
        <w:rPr>
          <w:b/>
          <w:bCs/>
        </w:rPr>
        <w:t xml:space="preserve">and state auditor-generals to recommend inclusion of at least one performance audit </w:t>
      </w:r>
      <w:r w:rsidR="00D9280E">
        <w:rPr>
          <w:b/>
          <w:bCs/>
        </w:rPr>
        <w:t>related to implementation of the Transport Standards in the auditor-general’s work programs</w:t>
      </w:r>
      <w:r w:rsidR="00CE5D66">
        <w:rPr>
          <w:b/>
          <w:bCs/>
        </w:rPr>
        <w:t xml:space="preserve"> </w:t>
      </w:r>
      <w:r w:rsidR="00356694">
        <w:rPr>
          <w:b/>
          <w:bCs/>
        </w:rPr>
        <w:t>from 2025 to inform</w:t>
      </w:r>
      <w:r w:rsidR="00A3660E">
        <w:rPr>
          <w:b/>
          <w:bCs/>
        </w:rPr>
        <w:t xml:space="preserve"> future reviews of the Transport Standards</w:t>
      </w:r>
      <w:r w:rsidR="00FF0FD4">
        <w:rPr>
          <w:b/>
          <w:bCs/>
        </w:rPr>
        <w:t xml:space="preserve">. </w:t>
      </w:r>
      <w:r w:rsidR="00FF0FD4" w:rsidRPr="00FF0FD4">
        <w:rPr>
          <w:b/>
          <w:bCs/>
        </w:rPr>
        <w:t>This could be through</w:t>
      </w:r>
      <w:r w:rsidR="00FF0FD4">
        <w:rPr>
          <w:b/>
          <w:bCs/>
        </w:rPr>
        <w:t xml:space="preserve"> </w:t>
      </w:r>
      <w:r w:rsidR="00FF0FD4" w:rsidRPr="00FF0FD4">
        <w:rPr>
          <w:b/>
          <w:bCs/>
        </w:rPr>
        <w:t>consideration of the</w:t>
      </w:r>
      <w:r w:rsidR="00FF0FD4">
        <w:rPr>
          <w:b/>
          <w:bCs/>
        </w:rPr>
        <w:t xml:space="preserve"> </w:t>
      </w:r>
      <w:r w:rsidR="00FF0FD4" w:rsidRPr="00FF0FD4">
        <w:rPr>
          <w:b/>
          <w:bCs/>
        </w:rPr>
        <w:t>implementation of the</w:t>
      </w:r>
      <w:r w:rsidR="00FF0FD4">
        <w:rPr>
          <w:b/>
          <w:bCs/>
        </w:rPr>
        <w:t xml:space="preserve"> Transport</w:t>
      </w:r>
      <w:r w:rsidR="00FF0FD4" w:rsidRPr="00FF0FD4">
        <w:rPr>
          <w:b/>
          <w:bCs/>
        </w:rPr>
        <w:t xml:space="preserve"> Standards where relevant to an aspect of an existing</w:t>
      </w:r>
      <w:r w:rsidR="00FF0FD4">
        <w:rPr>
          <w:b/>
          <w:bCs/>
        </w:rPr>
        <w:t xml:space="preserve"> </w:t>
      </w:r>
      <w:r w:rsidR="00FF0FD4" w:rsidRPr="00FF0FD4">
        <w:rPr>
          <w:b/>
          <w:bCs/>
        </w:rPr>
        <w:t>planned performance audit</w:t>
      </w:r>
      <w:r w:rsidR="00FF0FD4">
        <w:rPr>
          <w:b/>
          <w:bCs/>
        </w:rPr>
        <w:t xml:space="preserve">. </w:t>
      </w:r>
    </w:p>
    <w:p w14:paraId="6DA4B73C" w14:textId="585DA7B2" w:rsidR="004735B2" w:rsidRPr="004735B2" w:rsidRDefault="00FF0FD4" w:rsidP="0053179A">
      <w:pPr>
        <w:pStyle w:val="ListParagraph"/>
        <w:numPr>
          <w:ilvl w:val="0"/>
          <w:numId w:val="42"/>
        </w:numPr>
        <w:rPr>
          <w:b/>
          <w:bCs/>
        </w:rPr>
      </w:pPr>
      <w:r>
        <w:rPr>
          <w:b/>
          <w:bCs/>
        </w:rPr>
        <w:t>All Tra</w:t>
      </w:r>
      <w:r w:rsidR="000A480B">
        <w:rPr>
          <w:b/>
          <w:bCs/>
        </w:rPr>
        <w:t>nsport Minister</w:t>
      </w:r>
      <w:r w:rsidR="004735B2">
        <w:rPr>
          <w:b/>
          <w:bCs/>
        </w:rPr>
        <w:t>s</w:t>
      </w:r>
      <w:r w:rsidR="000A480B">
        <w:rPr>
          <w:b/>
          <w:bCs/>
        </w:rPr>
        <w:t xml:space="preserve">, and other relevant Ministers, </w:t>
      </w:r>
      <w:r w:rsidR="004735B2">
        <w:rPr>
          <w:b/>
          <w:bCs/>
        </w:rPr>
        <w:t>asking</w:t>
      </w:r>
      <w:r w:rsidR="00915D90" w:rsidRPr="00DA184C">
        <w:rPr>
          <w:b/>
          <w:bCs/>
        </w:rPr>
        <w:t xml:space="preserve"> them to</w:t>
      </w:r>
      <w:r w:rsidR="006D5636" w:rsidRPr="00DA184C">
        <w:rPr>
          <w:b/>
          <w:bCs/>
        </w:rPr>
        <w:t xml:space="preserve"> </w:t>
      </w:r>
      <w:r w:rsidR="004735B2" w:rsidRPr="004735B2">
        <w:rPr>
          <w:b/>
          <w:bCs/>
        </w:rPr>
        <w:t xml:space="preserve">ensure any arrangements within their portfolio for </w:t>
      </w:r>
      <w:r w:rsidR="004735B2">
        <w:rPr>
          <w:b/>
          <w:bCs/>
        </w:rPr>
        <w:t>Transport</w:t>
      </w:r>
      <w:r w:rsidR="004735B2" w:rsidRPr="004735B2">
        <w:rPr>
          <w:b/>
          <w:bCs/>
        </w:rPr>
        <w:t xml:space="preserve"> have appropriate regard to the requirements of</w:t>
      </w:r>
      <w:r w:rsidR="00640FCE">
        <w:rPr>
          <w:b/>
          <w:bCs/>
        </w:rPr>
        <w:t>, and compliance with,</w:t>
      </w:r>
      <w:r w:rsidR="004735B2" w:rsidRPr="004735B2">
        <w:rPr>
          <w:b/>
          <w:bCs/>
        </w:rPr>
        <w:t xml:space="preserve"> the </w:t>
      </w:r>
      <w:r w:rsidR="004735B2">
        <w:rPr>
          <w:b/>
          <w:bCs/>
        </w:rPr>
        <w:t xml:space="preserve">Transport </w:t>
      </w:r>
      <w:r w:rsidR="004735B2" w:rsidRPr="004735B2">
        <w:rPr>
          <w:b/>
          <w:bCs/>
        </w:rPr>
        <w:t>Standards</w:t>
      </w:r>
      <w:r w:rsidR="00640FCE">
        <w:rPr>
          <w:b/>
          <w:bCs/>
        </w:rPr>
        <w:t>.</w:t>
      </w:r>
      <w:r w:rsidR="00D928A4" w:rsidRPr="004735B2">
        <w:rPr>
          <w:b/>
          <w:bCs/>
        </w:rPr>
        <w:t xml:space="preserve"> </w:t>
      </w:r>
    </w:p>
    <w:p w14:paraId="5E71912B" w14:textId="255A5AD7" w:rsidR="00035BEC" w:rsidRDefault="00035BEC" w:rsidP="00AE391A">
      <w:pPr>
        <w:rPr>
          <w:b/>
          <w:bCs/>
        </w:rPr>
      </w:pPr>
      <w:r>
        <w:rPr>
          <w:b/>
          <w:bCs/>
        </w:rPr>
        <w:lastRenderedPageBreak/>
        <w:t xml:space="preserve">Recommendation </w:t>
      </w:r>
      <w:r w:rsidR="00F818F5">
        <w:rPr>
          <w:b/>
          <w:bCs/>
        </w:rPr>
        <w:t>1</w:t>
      </w:r>
      <w:r w:rsidR="00A53A4E">
        <w:rPr>
          <w:b/>
          <w:bCs/>
        </w:rPr>
        <w:t>1</w:t>
      </w:r>
      <w:r>
        <w:rPr>
          <w:b/>
          <w:bCs/>
        </w:rPr>
        <w:t xml:space="preserve">: State and Territory governments should align the procurement </w:t>
      </w:r>
      <w:r w:rsidR="00F86CE2">
        <w:rPr>
          <w:b/>
          <w:bCs/>
        </w:rPr>
        <w:t>and</w:t>
      </w:r>
      <w:r>
        <w:rPr>
          <w:b/>
          <w:bCs/>
        </w:rPr>
        <w:t xml:space="preserve"> contractual arrangements with transport operators and providers</w:t>
      </w:r>
      <w:r w:rsidR="00F86CE2">
        <w:rPr>
          <w:b/>
          <w:bCs/>
        </w:rPr>
        <w:t xml:space="preserve"> to</w:t>
      </w:r>
      <w:r>
        <w:rPr>
          <w:b/>
          <w:bCs/>
        </w:rPr>
        <w:t xml:space="preserve"> the Transport Standards </w:t>
      </w:r>
      <w:r w:rsidR="00F86CE2">
        <w:rPr>
          <w:b/>
          <w:bCs/>
        </w:rPr>
        <w:t>as a mechanism to</w:t>
      </w:r>
      <w:r>
        <w:rPr>
          <w:b/>
          <w:bCs/>
        </w:rPr>
        <w:t xml:space="preserve"> enforce compliance</w:t>
      </w:r>
      <w:r w:rsidR="00F86CE2">
        <w:rPr>
          <w:b/>
          <w:bCs/>
        </w:rPr>
        <w:t xml:space="preserve">. </w:t>
      </w:r>
    </w:p>
    <w:p w14:paraId="16537B82" w14:textId="165BC0BA" w:rsidR="007221D3" w:rsidRPr="007221D3" w:rsidRDefault="0009016D" w:rsidP="00AE391A">
      <w:pPr>
        <w:rPr>
          <w:i/>
          <w:iCs/>
        </w:rPr>
      </w:pPr>
      <w:r>
        <w:rPr>
          <w:b/>
          <w:bCs/>
        </w:rPr>
        <w:t xml:space="preserve">Recommendation </w:t>
      </w:r>
      <w:r w:rsidR="00F818F5">
        <w:rPr>
          <w:b/>
          <w:bCs/>
        </w:rPr>
        <w:t>1</w:t>
      </w:r>
      <w:r w:rsidR="00A53A4E">
        <w:rPr>
          <w:b/>
          <w:bCs/>
        </w:rPr>
        <w:t>2</w:t>
      </w:r>
      <w:r>
        <w:rPr>
          <w:b/>
          <w:bCs/>
        </w:rPr>
        <w:t xml:space="preserve">: </w:t>
      </w:r>
      <w:r w:rsidR="00A77AD1">
        <w:rPr>
          <w:b/>
          <w:bCs/>
        </w:rPr>
        <w:t xml:space="preserve">State and Territory Governments should review </w:t>
      </w:r>
      <w:r w:rsidR="003455D2">
        <w:rPr>
          <w:b/>
          <w:bCs/>
        </w:rPr>
        <w:t xml:space="preserve">relevant </w:t>
      </w:r>
      <w:r w:rsidR="00A77AD1">
        <w:rPr>
          <w:b/>
          <w:bCs/>
        </w:rPr>
        <w:t xml:space="preserve">legislation to ensure </w:t>
      </w:r>
      <w:r w:rsidR="00747344">
        <w:rPr>
          <w:b/>
          <w:bCs/>
        </w:rPr>
        <w:t xml:space="preserve">it is aligned with the Transport Standards. </w:t>
      </w:r>
      <w:r w:rsidR="00A77AD1">
        <w:rPr>
          <w:b/>
          <w:bCs/>
        </w:rPr>
        <w:t xml:space="preserve"> </w:t>
      </w:r>
      <w:r w:rsidR="007221D3">
        <w:rPr>
          <w:i/>
          <w:iCs/>
        </w:rPr>
        <w:t xml:space="preserve"> </w:t>
      </w:r>
    </w:p>
    <w:p w14:paraId="35D79586" w14:textId="37CAFFE2" w:rsidR="004E2790" w:rsidRDefault="0086403D" w:rsidP="00AE391A">
      <w:r>
        <w:t xml:space="preserve">The absence of additional and effective enforcement mechanisms </w:t>
      </w:r>
      <w:r w:rsidR="00396D92">
        <w:t>creates difficultie</w:t>
      </w:r>
      <w:r w:rsidR="00F6649C">
        <w:t>s in ensuring that the rights of people with disability are upheld in respect to transport accessibility. An e</w:t>
      </w:r>
      <w:r w:rsidR="00AE391A">
        <w:t xml:space="preserve">nhanced </w:t>
      </w:r>
      <w:r w:rsidR="00051483">
        <w:t>regulatory approach to enforcement of the Transport Standards would undoubtedly result in improved accessibility for people with disability across public transport services and infrastructure</w:t>
      </w:r>
      <w:r w:rsidR="008760F7">
        <w:t xml:space="preserve">. This is aligned </w:t>
      </w:r>
      <w:r w:rsidR="002E129F">
        <w:t xml:space="preserve">with </w:t>
      </w:r>
      <w:r w:rsidR="00606C17">
        <w:t xml:space="preserve">the purpose of the Transport Standards as well as </w:t>
      </w:r>
      <w:r w:rsidR="002E129F">
        <w:t xml:space="preserve">article </w:t>
      </w:r>
      <w:r w:rsidR="00606C17">
        <w:t>9 of the CRPD.</w:t>
      </w:r>
      <w:r w:rsidR="0023156E">
        <w:rPr>
          <w:rStyle w:val="EndnoteReference"/>
        </w:rPr>
        <w:endnoteReference w:id="81"/>
      </w:r>
      <w:r w:rsidR="00606C17">
        <w:t xml:space="preserve"> </w:t>
      </w:r>
      <w:r w:rsidR="0023156E" w:rsidRPr="0023156E">
        <w:rPr>
          <w:b/>
          <w:bCs/>
        </w:rPr>
        <w:t xml:space="preserve"> </w:t>
      </w:r>
      <w:r w:rsidR="005E739B">
        <w:t>Consideration should also be given</w:t>
      </w:r>
      <w:r w:rsidR="00D355A2">
        <w:t xml:space="preserve"> to the Commission having an oversight role with regulatory powers to enforce compliance, in line with the reform agenda set out in the Free and Equal Position Paper.</w:t>
      </w:r>
      <w:r w:rsidR="000371B2">
        <w:rPr>
          <w:rStyle w:val="EndnoteReference"/>
        </w:rPr>
        <w:endnoteReference w:id="82"/>
      </w:r>
      <w:r w:rsidR="007477D1">
        <w:t xml:space="preserve"> </w:t>
      </w:r>
      <w:r w:rsidR="00A57137">
        <w:t>R</w:t>
      </w:r>
      <w:r w:rsidR="00333703">
        <w:t>esourcing an independent</w:t>
      </w:r>
      <w:r w:rsidR="00AC166A">
        <w:t xml:space="preserve"> monitoring body (</w:t>
      </w:r>
      <w:r w:rsidR="00A57137">
        <w:t>such as the Commission</w:t>
      </w:r>
      <w:r w:rsidR="00AC166A">
        <w:t>)</w:t>
      </w:r>
      <w:r w:rsidR="00333703">
        <w:t xml:space="preserve"> </w:t>
      </w:r>
      <w:r w:rsidR="00AC166A">
        <w:t>to oversee enforcement has also been</w:t>
      </w:r>
      <w:r w:rsidR="00A60021">
        <w:t xml:space="preserve"> recommended</w:t>
      </w:r>
      <w:r w:rsidR="00BF1924">
        <w:t xml:space="preserve"> by </w:t>
      </w:r>
      <w:r w:rsidR="00BF1924" w:rsidRPr="00A57137">
        <w:t xml:space="preserve">the Public </w:t>
      </w:r>
      <w:r w:rsidR="00DB4FE1" w:rsidRPr="00A57137">
        <w:t>Interest Advocacy Centre</w:t>
      </w:r>
      <w:r w:rsidR="00A60021" w:rsidRPr="00A57137">
        <w:t>.</w:t>
      </w:r>
      <w:r w:rsidR="00A60021" w:rsidRPr="00A57137">
        <w:rPr>
          <w:rStyle w:val="EndnoteReference"/>
        </w:rPr>
        <w:endnoteReference w:id="83"/>
      </w:r>
    </w:p>
    <w:p w14:paraId="00AA1140" w14:textId="1B86A904" w:rsidR="00A070AE" w:rsidRDefault="00A070AE" w:rsidP="00A070AE">
      <w:r>
        <w:t xml:space="preserve">At present, the Commission has </w:t>
      </w:r>
      <w:r w:rsidR="006C7735">
        <w:t xml:space="preserve">insufficient </w:t>
      </w:r>
      <w:r>
        <w:t>allocated resourcing to discharge its statutory functions</w:t>
      </w:r>
      <w:r w:rsidR="006C7735">
        <w:t xml:space="preserve">, </w:t>
      </w:r>
      <w:r>
        <w:t xml:space="preserve">limiting </w:t>
      </w:r>
      <w:r w:rsidR="000B2D24">
        <w:t>its</w:t>
      </w:r>
      <w:r>
        <w:t xml:space="preserve"> ability to monitor and report on the operation of disability standards</w:t>
      </w:r>
      <w:r w:rsidR="006C7735">
        <w:t>, including the Transport Standards</w:t>
      </w:r>
      <w:r>
        <w:t xml:space="preserve">. The Disability Rights Team overseeing the Disability Discrimination Commissioner’s policy portfolio is currently funded for one EL2 Director, one APS5/6 Policy Adviser and one Executive Assistant. </w:t>
      </w:r>
    </w:p>
    <w:p w14:paraId="17647C99" w14:textId="0BC8DEE7" w:rsidR="00A070AE" w:rsidRDefault="00A070AE" w:rsidP="00A070AE">
      <w:r>
        <w:t xml:space="preserve">The Commission, as the National Human Rights Institution, can provide significant independent and expert analysis to any review or reform of the Transport Standards, </w:t>
      </w:r>
      <w:r w:rsidR="003F7D45">
        <w:t>including</w:t>
      </w:r>
      <w:r>
        <w:t xml:space="preserve"> ongoing monitoring of the operation of the Standards</w:t>
      </w:r>
      <w:r w:rsidR="003F7D45">
        <w:t>,</w:t>
      </w:r>
      <w:r w:rsidR="004F6E38">
        <w:t xml:space="preserve"> </w:t>
      </w:r>
      <w:r w:rsidR="003F7D45">
        <w:t xml:space="preserve">as well as </w:t>
      </w:r>
      <w:r w:rsidR="00C9386C">
        <w:t xml:space="preserve">education </w:t>
      </w:r>
      <w:r w:rsidR="003F7D45">
        <w:t>and</w:t>
      </w:r>
      <w:r w:rsidR="004F6E38">
        <w:t xml:space="preserve"> guidance materials</w:t>
      </w:r>
      <w:r>
        <w:t xml:space="preserve"> – with adequate resourcing to perform such functions. </w:t>
      </w:r>
    </w:p>
    <w:p w14:paraId="58B451E1" w14:textId="489C3F12" w:rsidR="00181093" w:rsidRDefault="004F6E38" w:rsidP="00AE391A">
      <w:pPr>
        <w:rPr>
          <w:b/>
          <w:bCs/>
        </w:rPr>
      </w:pPr>
      <w:r>
        <w:rPr>
          <w:b/>
          <w:bCs/>
        </w:rPr>
        <w:t>Recommendation 1</w:t>
      </w:r>
      <w:r w:rsidR="00A53A4E">
        <w:rPr>
          <w:b/>
          <w:bCs/>
        </w:rPr>
        <w:t>3</w:t>
      </w:r>
      <w:r>
        <w:rPr>
          <w:b/>
          <w:bCs/>
        </w:rPr>
        <w:t>: The Australian Government should provide sufficient funding to the Australian Human Rights Commission to undertake the statutory functions conferred to the Commission under s</w:t>
      </w:r>
      <w:r w:rsidR="00D21A34">
        <w:rPr>
          <w:b/>
          <w:bCs/>
        </w:rPr>
        <w:t>ection</w:t>
      </w:r>
      <w:r>
        <w:rPr>
          <w:b/>
          <w:bCs/>
        </w:rPr>
        <w:t xml:space="preserve"> 67 of the Disability Discrimination Act</w:t>
      </w:r>
      <w:r w:rsidR="00181093">
        <w:rPr>
          <w:b/>
          <w:bCs/>
        </w:rPr>
        <w:t xml:space="preserve">, which </w:t>
      </w:r>
      <w:r w:rsidR="008A3741">
        <w:rPr>
          <w:b/>
          <w:bCs/>
        </w:rPr>
        <w:t>would increase the Commissions capacity to undertake the following functions</w:t>
      </w:r>
      <w:r w:rsidR="00181093">
        <w:rPr>
          <w:b/>
          <w:bCs/>
        </w:rPr>
        <w:t xml:space="preserve">: </w:t>
      </w:r>
    </w:p>
    <w:p w14:paraId="4F512447" w14:textId="4BECA315" w:rsidR="00A070AE" w:rsidRDefault="00446D93" w:rsidP="00181093">
      <w:pPr>
        <w:pStyle w:val="ListParagraph"/>
        <w:numPr>
          <w:ilvl w:val="0"/>
          <w:numId w:val="40"/>
        </w:numPr>
        <w:rPr>
          <w:b/>
          <w:bCs/>
        </w:rPr>
      </w:pPr>
      <w:r>
        <w:rPr>
          <w:b/>
          <w:bCs/>
        </w:rPr>
        <w:t>m</w:t>
      </w:r>
      <w:r w:rsidR="00181093">
        <w:rPr>
          <w:b/>
          <w:bCs/>
        </w:rPr>
        <w:t>onitoring and reporting on the operation of disability standards</w:t>
      </w:r>
    </w:p>
    <w:p w14:paraId="42EEE982" w14:textId="28D66720" w:rsidR="004C3024" w:rsidRDefault="00446D93" w:rsidP="00181093">
      <w:pPr>
        <w:pStyle w:val="ListParagraph"/>
        <w:numPr>
          <w:ilvl w:val="0"/>
          <w:numId w:val="40"/>
        </w:numPr>
        <w:rPr>
          <w:b/>
          <w:bCs/>
        </w:rPr>
      </w:pPr>
      <w:r>
        <w:rPr>
          <w:b/>
          <w:bCs/>
        </w:rPr>
        <w:t>promoting an understanding and acceptance of, and compliance with the Disability Discrimination and Transport Standards</w:t>
      </w:r>
    </w:p>
    <w:p w14:paraId="586270FF" w14:textId="10F36642" w:rsidR="00446D93" w:rsidRDefault="003D28CA" w:rsidP="00181093">
      <w:pPr>
        <w:pStyle w:val="ListParagraph"/>
        <w:numPr>
          <w:ilvl w:val="0"/>
          <w:numId w:val="40"/>
        </w:numPr>
        <w:rPr>
          <w:b/>
          <w:bCs/>
        </w:rPr>
      </w:pPr>
      <w:r>
        <w:rPr>
          <w:b/>
          <w:bCs/>
        </w:rPr>
        <w:lastRenderedPageBreak/>
        <w:t>u</w:t>
      </w:r>
      <w:r w:rsidR="00727F6B">
        <w:rPr>
          <w:b/>
          <w:bCs/>
        </w:rPr>
        <w:t>ndertaking research, educational and other programs for the purpose of promoting the Disability Discrimination Act and Transport Standards</w:t>
      </w:r>
    </w:p>
    <w:p w14:paraId="3005D4FE" w14:textId="3B93098A" w:rsidR="00727F6B" w:rsidRPr="0082658B" w:rsidRDefault="00B276AF" w:rsidP="0082658B">
      <w:pPr>
        <w:pStyle w:val="ListParagraph"/>
        <w:numPr>
          <w:ilvl w:val="0"/>
          <w:numId w:val="40"/>
        </w:numPr>
        <w:rPr>
          <w:b/>
          <w:bCs/>
        </w:rPr>
      </w:pPr>
      <w:r w:rsidRPr="6D9CB396">
        <w:rPr>
          <w:b/>
          <w:bCs/>
        </w:rPr>
        <w:t>D</w:t>
      </w:r>
      <w:r w:rsidR="00727F6B" w:rsidRPr="6D9CB396">
        <w:rPr>
          <w:b/>
          <w:bCs/>
        </w:rPr>
        <w:t>evelop</w:t>
      </w:r>
      <w:r w:rsidRPr="6D9CB396">
        <w:rPr>
          <w:b/>
          <w:bCs/>
        </w:rPr>
        <w:t>ment of</w:t>
      </w:r>
      <w:r w:rsidR="00727F6B" w:rsidRPr="6D9CB396">
        <w:rPr>
          <w:b/>
          <w:bCs/>
        </w:rPr>
        <w:t xml:space="preserve"> </w:t>
      </w:r>
      <w:r w:rsidR="003D28CA" w:rsidRPr="6D9CB396">
        <w:rPr>
          <w:b/>
          <w:bCs/>
        </w:rPr>
        <w:t>guidelines for the avoidance of disability discrimination</w:t>
      </w:r>
      <w:r w:rsidR="00A47D6E" w:rsidRPr="6D9CB396">
        <w:rPr>
          <w:b/>
          <w:bCs/>
        </w:rPr>
        <w:t>, in relation to the Transport Standards</w:t>
      </w:r>
      <w:r w:rsidR="003D28CA" w:rsidRPr="6D9CB396">
        <w:rPr>
          <w:b/>
          <w:bCs/>
        </w:rPr>
        <w:t xml:space="preserve">. </w:t>
      </w:r>
    </w:p>
    <w:p w14:paraId="54B243EB" w14:textId="77777777" w:rsidR="00D26488" w:rsidRPr="009E6B27" w:rsidRDefault="00D26488" w:rsidP="00D26488">
      <w:pPr>
        <w:pStyle w:val="Heading3"/>
      </w:pPr>
      <w:bookmarkStart w:id="28" w:name="_Toc138090502"/>
      <w:r w:rsidRPr="009E6B27">
        <w:t>Measuring and evaluating benefits of accessible public transport</w:t>
      </w:r>
      <w:bookmarkEnd w:id="28"/>
      <w:r w:rsidRPr="009E6B27">
        <w:t xml:space="preserve"> </w:t>
      </w:r>
    </w:p>
    <w:p w14:paraId="6ABFA812" w14:textId="77777777" w:rsidR="006F3559" w:rsidRDefault="006F3559" w:rsidP="006F3559">
      <w:r w:rsidRPr="00875D9C">
        <w:t xml:space="preserve">The </w:t>
      </w:r>
      <w:r>
        <w:t xml:space="preserve">absence of a national compliance reporting framework impacts the Australian Government’s ability to measure the effectiveness of the Transport Standards adequately and robustly. This also impedes robust regulatory impact analyses of future reforms, as well as the social and economic impact of non-compliance and the benefits of enhanced accessibility. Measuring levels of transport accessibility is an important element of Australia’s Disability Strategy Outcomes Framework, and essential to understanding cross-cutting benefits of improving transport accessibility. </w:t>
      </w:r>
    </w:p>
    <w:p w14:paraId="559FAB3B" w14:textId="05BA3B4B" w:rsidR="006F3559" w:rsidRDefault="006F3559" w:rsidP="006F3559">
      <w:r>
        <w:t>Enhanced data collection and compliance with the Transport Standards is one way to start to illustrate this in Australia</w:t>
      </w:r>
      <w:r w:rsidR="007531A3">
        <w:t>.</w:t>
      </w:r>
      <w:r w:rsidR="006E0085">
        <w:t xml:space="preserve"> </w:t>
      </w:r>
      <w:r w:rsidR="007531A3">
        <w:t>T</w:t>
      </w:r>
      <w:r>
        <w:t xml:space="preserve">he Australian Government should consider conducting work outside the scope of this review to explore how a reporting framework under the Transport Standards, and measuring the benefits of accessibility, can inform broader disability policy frameworks such as Australia’s Disability Strategy. </w:t>
      </w:r>
    </w:p>
    <w:p w14:paraId="6978D777" w14:textId="7FA080B0" w:rsidR="006F3559" w:rsidRDefault="006F3559" w:rsidP="006F3559">
      <w:r>
        <w:t>Any work undertaken by the Australian Government to better understand national rates of compliance with the Transport Standards can inform and set a baseline for</w:t>
      </w:r>
      <w:r w:rsidR="006034B9">
        <w:t xml:space="preserve"> </w:t>
      </w:r>
      <w:r>
        <w:t>outcomes and benefits framework</w:t>
      </w:r>
      <w:r w:rsidR="006034B9">
        <w:t>s</w:t>
      </w:r>
      <w:r>
        <w:t xml:space="preserve">. </w:t>
      </w:r>
    </w:p>
    <w:p w14:paraId="6C539928" w14:textId="0C693AC7" w:rsidR="00BE3AE5" w:rsidRPr="00BE3AE5" w:rsidRDefault="00BE3AE5" w:rsidP="00D26488">
      <w:pPr>
        <w:rPr>
          <w:i/>
          <w:iCs/>
        </w:rPr>
      </w:pPr>
      <w:r>
        <w:rPr>
          <w:i/>
          <w:iCs/>
        </w:rPr>
        <w:t>Understanding the economic benefits of improved transport accessibility</w:t>
      </w:r>
    </w:p>
    <w:p w14:paraId="0726FA5A" w14:textId="0692F960" w:rsidR="00531BF6" w:rsidRDefault="00114B9C" w:rsidP="00D26488">
      <w:r>
        <w:t>A report by the International Transport Forum, of which Australia is a member,</w:t>
      </w:r>
      <w:r w:rsidR="008E4DAD">
        <w:t xml:space="preserve"> acknowledges that ‘a lack of a common </w:t>
      </w:r>
      <w:r w:rsidR="006F1BBA">
        <w:t>framework</w:t>
      </w:r>
      <w:r w:rsidR="008E4DAD">
        <w:t xml:space="preserve"> to value the economic benefits of accessibility</w:t>
      </w:r>
      <w:r w:rsidR="006F1BBA">
        <w:t xml:space="preserve"> still constitutes a barrier to investment and regulatory decisions’ </w:t>
      </w:r>
      <w:r w:rsidR="00F35485">
        <w:t xml:space="preserve">impacting </w:t>
      </w:r>
      <w:r w:rsidR="00941C8C">
        <w:t xml:space="preserve">the prioritisation of accessibility improvements </w:t>
      </w:r>
      <w:r w:rsidR="006F1BBA">
        <w:t>in the transport sector.</w:t>
      </w:r>
      <w:r w:rsidR="006F1BBA">
        <w:rPr>
          <w:rStyle w:val="EndnoteReference"/>
        </w:rPr>
        <w:endnoteReference w:id="84"/>
      </w:r>
      <w:r w:rsidR="006504DB">
        <w:t xml:space="preserve"> </w:t>
      </w:r>
      <w:r w:rsidR="00447450">
        <w:t xml:space="preserve">The report </w:t>
      </w:r>
      <w:r w:rsidR="00471737">
        <w:t>establishes the case a</w:t>
      </w:r>
      <w:r w:rsidR="007F7759">
        <w:t>nd</w:t>
      </w:r>
      <w:r w:rsidR="00945C76">
        <w:t xml:space="preserve"> a proposed</w:t>
      </w:r>
      <w:r w:rsidR="007F7759">
        <w:t xml:space="preserve"> framework</w:t>
      </w:r>
      <w:r w:rsidR="0028738E">
        <w:rPr>
          <w:rStyle w:val="EndnoteReference"/>
        </w:rPr>
        <w:endnoteReference w:id="85"/>
      </w:r>
      <w:r w:rsidR="007F7759">
        <w:t xml:space="preserve"> for the inclusion of accessibility considerations in transport appraisals to demonstrate the benefits </w:t>
      </w:r>
      <w:r w:rsidR="008D4A44">
        <w:t>of enhanced accessibility and the costs of inaction</w:t>
      </w:r>
      <w:r w:rsidR="000205AC">
        <w:t xml:space="preserve">, </w:t>
      </w:r>
      <w:r w:rsidR="009F73EF">
        <w:t xml:space="preserve">and calls </w:t>
      </w:r>
      <w:r w:rsidR="000205AC">
        <w:t xml:space="preserve">for </w:t>
      </w:r>
      <w:r w:rsidR="00164E28">
        <w:t xml:space="preserve">inclusion to be an explicit goal in transport policy. </w:t>
      </w:r>
    </w:p>
    <w:p w14:paraId="5876656E" w14:textId="32A353A2" w:rsidR="000A0F17" w:rsidRDefault="000A0F17" w:rsidP="00D26488">
      <w:r>
        <w:t>A key recommendatio</w:t>
      </w:r>
      <w:r w:rsidR="000D07D0">
        <w:t>n of this report is</w:t>
      </w:r>
      <w:r w:rsidR="009876F6">
        <w:t xml:space="preserve"> to</w:t>
      </w:r>
      <w:r w:rsidR="000D07D0">
        <w:t xml:space="preserve"> </w:t>
      </w:r>
      <w:r w:rsidR="00736646">
        <w:t>int</w:t>
      </w:r>
      <w:r w:rsidR="008D49E0">
        <w:t>egrate accessibility research with</w:t>
      </w:r>
      <w:r w:rsidR="009876F6">
        <w:t xml:space="preserve"> health and wellbeing research</w:t>
      </w:r>
      <w:r w:rsidR="008B257E">
        <w:t>,</w:t>
      </w:r>
      <w:r w:rsidR="009876F6">
        <w:t xml:space="preserve"> </w:t>
      </w:r>
      <w:r w:rsidR="00991781">
        <w:t xml:space="preserve">to account for broader cross-sector </w:t>
      </w:r>
      <w:r w:rsidR="00F05DCD">
        <w:t>benefits and objectives</w:t>
      </w:r>
      <w:r w:rsidR="0050584D">
        <w:t xml:space="preserve"> in economic</w:t>
      </w:r>
      <w:r w:rsidR="006C4CCA">
        <w:t xml:space="preserve"> analysis </w:t>
      </w:r>
      <w:r w:rsidR="0050584D">
        <w:t xml:space="preserve">considerations. </w:t>
      </w:r>
      <w:r w:rsidR="00894D72">
        <w:t xml:space="preserve">The framework presented in the report includes </w:t>
      </w:r>
      <w:r w:rsidR="00EB427A">
        <w:t>broad analysis of accessibility benefits</w:t>
      </w:r>
      <w:r w:rsidR="00894D72">
        <w:t xml:space="preserve"> </w:t>
      </w:r>
      <w:r w:rsidR="00F70B27">
        <w:t xml:space="preserve">across four core domains: </w:t>
      </w:r>
      <w:r w:rsidR="00F70B27">
        <w:lastRenderedPageBreak/>
        <w:t>agency benefits (transport</w:t>
      </w:r>
      <w:r w:rsidR="007A385B">
        <w:t xml:space="preserve">); User benefits including people with and without disability; non-user benefits (broader society); </w:t>
      </w:r>
      <w:r w:rsidR="0017080B">
        <w:t xml:space="preserve">and </w:t>
      </w:r>
      <w:r w:rsidR="0047479B">
        <w:t>enhance</w:t>
      </w:r>
      <w:r w:rsidR="00DD1132">
        <w:t>d</w:t>
      </w:r>
      <w:r w:rsidR="0047479B">
        <w:t xml:space="preserve"> capability of people with disability.</w:t>
      </w:r>
      <w:r w:rsidR="00971A76">
        <w:rPr>
          <w:rStyle w:val="EndnoteReference"/>
        </w:rPr>
        <w:endnoteReference w:id="86"/>
      </w:r>
    </w:p>
    <w:p w14:paraId="6CFA8644" w14:textId="1422970D" w:rsidR="00114B9C" w:rsidRDefault="00D732FC" w:rsidP="00D26488">
      <w:r>
        <w:t>Commitment</w:t>
      </w:r>
      <w:r w:rsidR="006504DB">
        <w:t xml:space="preserve"> from Australian Governments is required to </w:t>
      </w:r>
      <w:r w:rsidR="009B1B75">
        <w:t>undertake further</w:t>
      </w:r>
      <w:r w:rsidR="000A0F17">
        <w:t xml:space="preserve"> cross-sector</w:t>
      </w:r>
      <w:r w:rsidR="009B1B75">
        <w:t xml:space="preserve"> research to develop and build</w:t>
      </w:r>
      <w:r w:rsidR="00531BF6">
        <w:t xml:space="preserve"> on</w:t>
      </w:r>
      <w:r w:rsidR="009B1B75">
        <w:t xml:space="preserve"> the evidence base </w:t>
      </w:r>
      <w:r w:rsidR="006B6251">
        <w:t>of the economic benefits of</w:t>
      </w:r>
      <w:r w:rsidR="00531BF6">
        <w:t xml:space="preserve"> improved accessibility to inform transport investment</w:t>
      </w:r>
      <w:r w:rsidR="00104A78">
        <w:t xml:space="preserve">, and to build </w:t>
      </w:r>
      <w:r w:rsidR="00E624D0">
        <w:t xml:space="preserve">this </w:t>
      </w:r>
      <w:r w:rsidR="00104A78">
        <w:t>into improving the effectiveness of the Transport Standards.</w:t>
      </w:r>
      <w:r w:rsidR="002E569C">
        <w:t xml:space="preserve"> Gathering </w:t>
      </w:r>
      <w:r w:rsidR="00C92497">
        <w:t>consistent</w:t>
      </w:r>
      <w:r w:rsidR="002C4861">
        <w:t xml:space="preserve"> Transport Standards</w:t>
      </w:r>
      <w:r w:rsidR="00C92497">
        <w:t xml:space="preserve"> </w:t>
      </w:r>
      <w:r w:rsidR="002E569C">
        <w:t>compliance data</w:t>
      </w:r>
      <w:r w:rsidR="00C92497">
        <w:t xml:space="preserve"> can both inform and be informed by this</w:t>
      </w:r>
      <w:r w:rsidR="002C4861">
        <w:t>.</w:t>
      </w:r>
      <w:r w:rsidR="002E569C">
        <w:t xml:space="preserve"> </w:t>
      </w:r>
      <w:r w:rsidR="00294BD8">
        <w:t xml:space="preserve">An enhanced and consistent approach to defining, quantifying, </w:t>
      </w:r>
      <w:r w:rsidR="005E2C0A">
        <w:t>measuring,</w:t>
      </w:r>
      <w:r w:rsidR="00294BD8">
        <w:t xml:space="preserve"> and publishing the benefits of accessibility, aligns with the Australian Government’s </w:t>
      </w:r>
      <w:r w:rsidR="00E101F2">
        <w:t>commitment to</w:t>
      </w:r>
      <w:r w:rsidR="00294BD8">
        <w:t xml:space="preserve"> ‘measure what matters’ </w:t>
      </w:r>
      <w:r w:rsidR="00E101F2">
        <w:t>in a revised national wellbeing framework.</w:t>
      </w:r>
      <w:r w:rsidR="0008271B">
        <w:rPr>
          <w:rStyle w:val="EndnoteReference"/>
        </w:rPr>
        <w:endnoteReference w:id="87"/>
      </w:r>
      <w:r w:rsidR="00E101F2">
        <w:t xml:space="preserve"> </w:t>
      </w:r>
    </w:p>
    <w:p w14:paraId="1FE68D92" w14:textId="4BEC7A31" w:rsidR="005E2C0A" w:rsidRDefault="005E2C0A" w:rsidP="00D26488">
      <w:pPr>
        <w:rPr>
          <w:b/>
          <w:bCs/>
        </w:rPr>
      </w:pPr>
      <w:r>
        <w:rPr>
          <w:b/>
          <w:bCs/>
        </w:rPr>
        <w:t xml:space="preserve">Recommendation </w:t>
      </w:r>
      <w:r w:rsidR="00F818F5">
        <w:rPr>
          <w:b/>
          <w:bCs/>
        </w:rPr>
        <w:t>1</w:t>
      </w:r>
      <w:r w:rsidR="00A53A4E">
        <w:rPr>
          <w:b/>
          <w:bCs/>
        </w:rPr>
        <w:t>4</w:t>
      </w:r>
      <w:r>
        <w:rPr>
          <w:b/>
          <w:bCs/>
        </w:rPr>
        <w:t xml:space="preserve">: </w:t>
      </w:r>
      <w:r w:rsidR="00970C93">
        <w:rPr>
          <w:b/>
          <w:bCs/>
        </w:rPr>
        <w:t xml:space="preserve">The Australian Government </w:t>
      </w:r>
      <w:r w:rsidR="00CF7592">
        <w:rPr>
          <w:b/>
          <w:bCs/>
        </w:rPr>
        <w:t xml:space="preserve">should invest in research to </w:t>
      </w:r>
      <w:r w:rsidR="00E54F0C">
        <w:rPr>
          <w:b/>
          <w:bCs/>
        </w:rPr>
        <w:t>establish an evidence base for the economic benefits of accessibility</w:t>
      </w:r>
      <w:r w:rsidR="005933E9">
        <w:rPr>
          <w:b/>
          <w:bCs/>
        </w:rPr>
        <w:t xml:space="preserve"> and inclusion</w:t>
      </w:r>
      <w:r w:rsidR="00E54F0C">
        <w:rPr>
          <w:b/>
          <w:bCs/>
        </w:rPr>
        <w:t xml:space="preserve">, with the view to establish a consistent national framework for the appraisal of public transport investment. </w:t>
      </w:r>
    </w:p>
    <w:p w14:paraId="5643B572" w14:textId="5FF0ED4D" w:rsidR="00576F6D" w:rsidRDefault="005028F8" w:rsidP="005028F8">
      <w:pPr>
        <w:pStyle w:val="Heading3"/>
      </w:pPr>
      <w:bookmarkStart w:id="29" w:name="_Toc138090503"/>
      <w:r w:rsidRPr="009E6B27">
        <w:t>The role of minimum standards to improve accessibility.</w:t>
      </w:r>
      <w:bookmarkEnd w:id="29"/>
      <w:r w:rsidRPr="009E6B27">
        <w:t xml:space="preserve"> </w:t>
      </w:r>
      <w:r w:rsidR="00576F6D">
        <w:t xml:space="preserve"> </w:t>
      </w:r>
    </w:p>
    <w:p w14:paraId="0CC967C0" w14:textId="35FCB952" w:rsidR="005B3E94" w:rsidRDefault="00080F31" w:rsidP="005028F8">
      <w:r>
        <w:t>The role of the Transport Standards is to provide a benchmark for compliance against a set of minimum standards</w:t>
      </w:r>
      <w:r w:rsidR="00857806">
        <w:t xml:space="preserve"> and act as a regulatory tool to </w:t>
      </w:r>
      <w:r w:rsidR="00A8109C">
        <w:t>systemically increase</w:t>
      </w:r>
      <w:r w:rsidR="00857806">
        <w:t xml:space="preserve"> access to public transport for people with disability. </w:t>
      </w:r>
      <w:r w:rsidR="008047AE">
        <w:t xml:space="preserve">Minimum standards </w:t>
      </w:r>
      <w:r w:rsidR="00B13823">
        <w:t>are developed with the intention to remove</w:t>
      </w:r>
      <w:r w:rsidR="00F24DA4">
        <w:t xml:space="preserve"> barriers </w:t>
      </w:r>
      <w:r w:rsidR="00B13823">
        <w:t xml:space="preserve">to access </w:t>
      </w:r>
      <w:r w:rsidR="00F24DA4">
        <w:t xml:space="preserve">and discrimination </w:t>
      </w:r>
      <w:r w:rsidR="00B13823">
        <w:t xml:space="preserve">in a way that does not further disadvantage people with disability. </w:t>
      </w:r>
      <w:r w:rsidR="00F714DA">
        <w:t>While</w:t>
      </w:r>
      <w:r w:rsidR="00B13823">
        <w:t xml:space="preserve"> minimum standards require </w:t>
      </w:r>
      <w:r w:rsidR="00855E7F">
        <w:t>review</w:t>
      </w:r>
      <w:r w:rsidR="00BB4E9C">
        <w:t xml:space="preserve"> and reform</w:t>
      </w:r>
      <w:r w:rsidR="00855E7F">
        <w:t xml:space="preserve"> to ensure they are consistent with community expectations, </w:t>
      </w:r>
      <w:r w:rsidR="00BB4E9C">
        <w:t xml:space="preserve">new and </w:t>
      </w:r>
      <w:r w:rsidR="00855E7F">
        <w:t>emerging technology and</w:t>
      </w:r>
      <w:r w:rsidR="00BB4E9C">
        <w:t xml:space="preserve"> other standards and codes, </w:t>
      </w:r>
      <w:r w:rsidR="00F048F4">
        <w:t>compliance with</w:t>
      </w:r>
      <w:r w:rsidR="001541DF">
        <w:t xml:space="preserve"> the Transport Standards </w:t>
      </w:r>
      <w:r w:rsidR="00F75340">
        <w:t>constitutes compliance with</w:t>
      </w:r>
      <w:r w:rsidR="001C5040">
        <w:t xml:space="preserve"> the</w:t>
      </w:r>
      <w:r w:rsidR="00F75340">
        <w:t xml:space="preserve"> Disability Discrimination Act</w:t>
      </w:r>
      <w:r w:rsidR="001C5040">
        <w:t xml:space="preserve"> </w:t>
      </w:r>
      <w:r w:rsidR="00F75340">
        <w:t xml:space="preserve">protecting against unlawful discrimination. If the Transport Standards fail to do this from a technical </w:t>
      </w:r>
      <w:r w:rsidR="00AB7E57">
        <w:t xml:space="preserve">perspective, then they will not achieve their purpose. </w:t>
      </w:r>
    </w:p>
    <w:p w14:paraId="7A4B1812" w14:textId="670E20E8" w:rsidR="002579AE" w:rsidRDefault="00F714DA" w:rsidP="005028F8">
      <w:r w:rsidRPr="004D2D3E">
        <w:t>Whil</w:t>
      </w:r>
      <w:r>
        <w:t>e</w:t>
      </w:r>
      <w:r w:rsidR="002579AE" w:rsidRPr="004D2D3E">
        <w:t xml:space="preserve"> compliance data, or lack thereof, tells one part of the story, the other consideration required by this Review is whether the minimum standards set under the Transport Standards are sufficient to ensure people with disability have equitable access to public transport services, and whether there are appropriate enforcement mechanisms to realise this.</w:t>
      </w:r>
    </w:p>
    <w:p w14:paraId="4689E92C" w14:textId="561CED28" w:rsidR="00080F31" w:rsidRDefault="0044510D" w:rsidP="005028F8">
      <w:r>
        <w:t xml:space="preserve">The Commission is </w:t>
      </w:r>
      <w:r w:rsidR="00D1068C">
        <w:t xml:space="preserve">concerned with the interpretation </w:t>
      </w:r>
      <w:r w:rsidR="00D1068C" w:rsidRPr="00384EE3">
        <w:t xml:space="preserve">of the concept of </w:t>
      </w:r>
      <w:r w:rsidR="00C02D8D">
        <w:t>‘</w:t>
      </w:r>
      <w:r w:rsidR="00D1068C" w:rsidRPr="00384EE3">
        <w:t>minimum</w:t>
      </w:r>
      <w:r w:rsidR="00C02D8D">
        <w:t>’</w:t>
      </w:r>
      <w:r w:rsidR="00D1068C" w:rsidRPr="00384EE3">
        <w:t xml:space="preserve"> standards</w:t>
      </w:r>
      <w:r w:rsidR="00D1068C">
        <w:t xml:space="preserve"> on the Department</w:t>
      </w:r>
      <w:r w:rsidR="00C02D8D">
        <w:t>’</w:t>
      </w:r>
      <w:r w:rsidR="00D1068C">
        <w:t xml:space="preserve">s Reform </w:t>
      </w:r>
      <w:r w:rsidR="00BE2CB4">
        <w:t xml:space="preserve">webpage which states: </w:t>
      </w:r>
    </w:p>
    <w:p w14:paraId="57CBF130" w14:textId="47AB3138" w:rsidR="00BE2CB4" w:rsidRDefault="000A74F4" w:rsidP="00BE2CB4">
      <w:pPr>
        <w:ind w:left="720"/>
        <w:rPr>
          <w:sz w:val="22"/>
          <w:szCs w:val="22"/>
        </w:rPr>
      </w:pPr>
      <w:r w:rsidRPr="000A74F4">
        <w:rPr>
          <w:sz w:val="22"/>
          <w:szCs w:val="22"/>
        </w:rPr>
        <w:t xml:space="preserve">transport operators and providers who take only a minimum standard interpretation of the Transport Standards in fact face greater risk of failing to </w:t>
      </w:r>
      <w:r w:rsidRPr="000A74F4">
        <w:rPr>
          <w:sz w:val="22"/>
          <w:szCs w:val="22"/>
        </w:rPr>
        <w:lastRenderedPageBreak/>
        <w:t>meet the objectives of accessible public transport. This is because minimum standards do not always achieve the best functional outcomes for people with disability and can result in an unintended discriminatory outcome.</w:t>
      </w:r>
      <w:r w:rsidR="00FC674F">
        <w:rPr>
          <w:rStyle w:val="EndnoteReference"/>
          <w:szCs w:val="22"/>
        </w:rPr>
        <w:endnoteReference w:id="88"/>
      </w:r>
    </w:p>
    <w:p w14:paraId="601836F2" w14:textId="0602AEE2" w:rsidR="006333B2" w:rsidRDefault="006333B2" w:rsidP="006333B2">
      <w:r>
        <w:t xml:space="preserve">The Commission acknowledges the importance of ensuring reviews and reforms address shortcomings of minimum standards </w:t>
      </w:r>
      <w:r w:rsidR="00D05627">
        <w:t>but disagrees with</w:t>
      </w:r>
      <w:r>
        <w:t xml:space="preserve"> the sentiment in this statement. </w:t>
      </w:r>
      <w:r w:rsidR="003E4128">
        <w:t xml:space="preserve">In principle, minimum standards </w:t>
      </w:r>
      <w:r w:rsidR="00F0175E">
        <w:t xml:space="preserve">should be set to achieve the objective of accessible public transport and are developed in consultation with various stakeholder groups to ensure this. This statement undermines the </w:t>
      </w:r>
      <w:r w:rsidR="00E60D0D">
        <w:t>application of the Transport Standards</w:t>
      </w:r>
      <w:r w:rsidR="00D50CCD">
        <w:t xml:space="preserve"> and does not align with the spirit of the </w:t>
      </w:r>
      <w:r w:rsidR="00973A89">
        <w:t xml:space="preserve">Transport </w:t>
      </w:r>
      <w:r w:rsidR="00D50CCD">
        <w:t>Standards and Disability Discrimination Act</w:t>
      </w:r>
      <w:r w:rsidR="00E60D0D">
        <w:t>.</w:t>
      </w:r>
    </w:p>
    <w:p w14:paraId="1C88E89D" w14:textId="21924BAA" w:rsidR="00E60D0D" w:rsidRDefault="00E60D0D" w:rsidP="006333B2">
      <w:r>
        <w:t xml:space="preserve">The Commission </w:t>
      </w:r>
      <w:r w:rsidR="00D30596">
        <w:t>also acknowledges that</w:t>
      </w:r>
      <w:r>
        <w:t xml:space="preserve"> operators and providers should </w:t>
      </w:r>
      <w:r w:rsidR="00357365">
        <w:t>strive</w:t>
      </w:r>
      <w:r w:rsidR="00615725">
        <w:t>,</w:t>
      </w:r>
      <w:r w:rsidR="002737FD">
        <w:t xml:space="preserve"> </w:t>
      </w:r>
      <w:r w:rsidR="00357365">
        <w:t>and</w:t>
      </w:r>
      <w:r w:rsidR="00D30596">
        <w:t xml:space="preserve"> be encourage</w:t>
      </w:r>
      <w:r w:rsidR="00357365">
        <w:t>d</w:t>
      </w:r>
      <w:r w:rsidR="00615725">
        <w:t>,</w:t>
      </w:r>
      <w:r w:rsidR="00D30596">
        <w:t xml:space="preserve"> </w:t>
      </w:r>
      <w:r>
        <w:t>to increase accessibility beyond compliance to minimum standards</w:t>
      </w:r>
      <w:r w:rsidR="00F0327A">
        <w:t xml:space="preserve">, and that </w:t>
      </w:r>
      <w:r w:rsidR="00357365">
        <w:t xml:space="preserve">the Transport Standards may have the effect of </w:t>
      </w:r>
      <w:r w:rsidR="00214870">
        <w:t xml:space="preserve">reducing compliance to a minimum standard rather than encouraging innovative best practice. </w:t>
      </w:r>
      <w:r w:rsidR="00F92419">
        <w:t>W</w:t>
      </w:r>
      <w:r w:rsidR="00E460B7">
        <w:t>ithin an effective regulatory framework</w:t>
      </w:r>
      <w:r w:rsidR="00F92419">
        <w:t>,</w:t>
      </w:r>
      <w:r w:rsidR="002D30B8">
        <w:t xml:space="preserve"> both compliance and best practice </w:t>
      </w:r>
      <w:r w:rsidR="00E023DD">
        <w:t xml:space="preserve">is possible. </w:t>
      </w:r>
    </w:p>
    <w:p w14:paraId="64AFE182" w14:textId="4AD9F332" w:rsidR="00AE05CE" w:rsidRDefault="00AE05CE" w:rsidP="00AE05CE">
      <w:r>
        <w:t xml:space="preserve">There is an ongoing need to ensure that </w:t>
      </w:r>
      <w:r w:rsidR="00AF5958">
        <w:t xml:space="preserve">minimum standards are complied with </w:t>
      </w:r>
      <w:r w:rsidR="00F92419">
        <w:t>supported by</w:t>
      </w:r>
      <w:r w:rsidR="001E0F68">
        <w:t xml:space="preserve"> effective enforcement mechanisms. It is also valuable </w:t>
      </w:r>
      <w:r w:rsidR="00291DA1">
        <w:t xml:space="preserve">to ensure there are incentives to </w:t>
      </w:r>
      <w:r w:rsidR="001E0F68">
        <w:t xml:space="preserve">encourage and build the capacity of the sector towards </w:t>
      </w:r>
      <w:r w:rsidR="00585F07">
        <w:t>incorporating accessibility</w:t>
      </w:r>
      <w:r w:rsidR="00912B0F">
        <w:t xml:space="preserve"> and inclusion</w:t>
      </w:r>
      <w:r w:rsidR="00585F07">
        <w:t xml:space="preserve"> as part of universal design </w:t>
      </w:r>
      <w:r w:rsidR="00291DA1">
        <w:t>practices</w:t>
      </w:r>
      <w:r w:rsidR="00DD6798">
        <w:t xml:space="preserve"> and policies</w:t>
      </w:r>
      <w:r w:rsidR="009C7D22">
        <w:t xml:space="preserve">, moving beyond minimum </w:t>
      </w:r>
      <w:r w:rsidR="00F615AD">
        <w:t>standards</w:t>
      </w:r>
      <w:r w:rsidR="009872E4">
        <w:t>. This would ensure that accessibility is not an afterthought</w:t>
      </w:r>
      <w:r w:rsidR="00CE04BA">
        <w:t xml:space="preserve">, applied retrospectively, </w:t>
      </w:r>
      <w:r w:rsidR="009872E4">
        <w:t xml:space="preserve">or merely a </w:t>
      </w:r>
      <w:r w:rsidR="005C0F4F">
        <w:t xml:space="preserve">practice of compliance, and that </w:t>
      </w:r>
      <w:r w:rsidR="00E8659D">
        <w:t xml:space="preserve">the rights of </w:t>
      </w:r>
      <w:r w:rsidR="005C0F4F">
        <w:t>people with disability are</w:t>
      </w:r>
      <w:r w:rsidR="00E8659D">
        <w:t xml:space="preserve"> promoted and protected</w:t>
      </w:r>
      <w:r w:rsidR="003732CC">
        <w:t xml:space="preserve"> to </w:t>
      </w:r>
      <w:r w:rsidR="005C0F4F">
        <w:t>af</w:t>
      </w:r>
      <w:r w:rsidR="001C5102">
        <w:t>ford</w:t>
      </w:r>
      <w:r w:rsidR="00E8659D">
        <w:t xml:space="preserve"> them</w:t>
      </w:r>
      <w:r w:rsidR="003732CC">
        <w:t xml:space="preserve"> with</w:t>
      </w:r>
      <w:r w:rsidR="005C0F4F">
        <w:t xml:space="preserve"> respect, dignity, and equal participation on all levels. </w:t>
      </w:r>
    </w:p>
    <w:p w14:paraId="082C0840" w14:textId="0BE52A61" w:rsidR="00BF4573" w:rsidRPr="00BF4573" w:rsidRDefault="00BF4573" w:rsidP="00AE05CE">
      <w:pPr>
        <w:rPr>
          <w:rFonts w:cs="Open Sans"/>
          <w:b/>
          <w:bCs/>
        </w:rPr>
      </w:pPr>
      <w:r>
        <w:rPr>
          <w:rStyle w:val="cf01"/>
          <w:rFonts w:ascii="Open Sans" w:hAnsi="Open Sans" w:cs="Open Sans"/>
          <w:b/>
          <w:bCs/>
          <w:sz w:val="24"/>
          <w:szCs w:val="24"/>
        </w:rPr>
        <w:t xml:space="preserve">Recommendation </w:t>
      </w:r>
      <w:r w:rsidR="00F22BE2">
        <w:rPr>
          <w:rStyle w:val="cf01"/>
          <w:rFonts w:ascii="Open Sans" w:hAnsi="Open Sans" w:cs="Open Sans"/>
          <w:b/>
          <w:bCs/>
          <w:sz w:val="24"/>
          <w:szCs w:val="24"/>
        </w:rPr>
        <w:t>1</w:t>
      </w:r>
      <w:r w:rsidR="00A53A4E">
        <w:rPr>
          <w:rStyle w:val="cf01"/>
          <w:rFonts w:ascii="Open Sans" w:hAnsi="Open Sans" w:cs="Open Sans"/>
          <w:b/>
          <w:bCs/>
          <w:sz w:val="24"/>
          <w:szCs w:val="24"/>
        </w:rPr>
        <w:t>5</w:t>
      </w:r>
      <w:r>
        <w:rPr>
          <w:rStyle w:val="cf01"/>
          <w:rFonts w:ascii="Open Sans" w:hAnsi="Open Sans" w:cs="Open Sans"/>
          <w:b/>
          <w:bCs/>
          <w:sz w:val="24"/>
          <w:szCs w:val="24"/>
        </w:rPr>
        <w:t xml:space="preserve">: </w:t>
      </w:r>
      <w:r w:rsidRPr="00BF4573">
        <w:rPr>
          <w:rStyle w:val="cf01"/>
          <w:rFonts w:ascii="Open Sans" w:hAnsi="Open Sans" w:cs="Open Sans"/>
          <w:b/>
          <w:bCs/>
          <w:sz w:val="24"/>
          <w:szCs w:val="24"/>
        </w:rPr>
        <w:t xml:space="preserve">The </w:t>
      </w:r>
      <w:r w:rsidR="005401BA">
        <w:rPr>
          <w:rStyle w:val="cf01"/>
          <w:rFonts w:ascii="Open Sans" w:hAnsi="Open Sans" w:cs="Open Sans"/>
          <w:b/>
          <w:bCs/>
          <w:sz w:val="24"/>
          <w:szCs w:val="24"/>
        </w:rPr>
        <w:t xml:space="preserve">Australian Government </w:t>
      </w:r>
      <w:r w:rsidRPr="00BF4573">
        <w:rPr>
          <w:rStyle w:val="cf01"/>
          <w:rFonts w:ascii="Open Sans" w:hAnsi="Open Sans" w:cs="Open Sans"/>
          <w:b/>
          <w:bCs/>
          <w:sz w:val="24"/>
          <w:szCs w:val="24"/>
        </w:rPr>
        <w:t>should review the Transport Standards in the context of Universal Design Principles to ensure the minimum standards maximise accessibility, use and benefit.</w:t>
      </w:r>
    </w:p>
    <w:p w14:paraId="56490D23" w14:textId="6F6F84A7" w:rsidR="00176CD6" w:rsidRPr="00176CD6" w:rsidRDefault="00176CD6" w:rsidP="00AE05CE">
      <w:pPr>
        <w:rPr>
          <w:b/>
          <w:bCs/>
        </w:rPr>
      </w:pPr>
      <w:r>
        <w:rPr>
          <w:b/>
          <w:bCs/>
        </w:rPr>
        <w:t xml:space="preserve">Recommendation </w:t>
      </w:r>
      <w:r w:rsidR="00F22BE2">
        <w:rPr>
          <w:b/>
          <w:bCs/>
        </w:rPr>
        <w:t>1</w:t>
      </w:r>
      <w:r w:rsidR="00A53A4E">
        <w:rPr>
          <w:b/>
          <w:bCs/>
        </w:rPr>
        <w:t>6</w:t>
      </w:r>
      <w:r>
        <w:rPr>
          <w:b/>
          <w:bCs/>
        </w:rPr>
        <w:t xml:space="preserve">: The Australian Government should consider creating an Accessibility </w:t>
      </w:r>
      <w:r w:rsidR="009A6BE5">
        <w:rPr>
          <w:b/>
          <w:bCs/>
        </w:rPr>
        <w:t xml:space="preserve">Targeted Action Plan under Australia’s Disability Strategy, with specific actions </w:t>
      </w:r>
      <w:r w:rsidR="004312F8">
        <w:rPr>
          <w:b/>
          <w:bCs/>
        </w:rPr>
        <w:t xml:space="preserve">related to improving transport accessibility and compliance to the minimum standards set out in the Transport Standards. </w:t>
      </w:r>
    </w:p>
    <w:p w14:paraId="00A48AC5" w14:textId="117F88CD" w:rsidR="0006510F" w:rsidRDefault="0006510F" w:rsidP="0006510F">
      <w:pPr>
        <w:pStyle w:val="Heading2"/>
      </w:pPr>
      <w:bookmarkStart w:id="30" w:name="_Toc138090504"/>
      <w:r>
        <w:t>Unjustifiable Hardship</w:t>
      </w:r>
      <w:r w:rsidR="00F726EB">
        <w:t xml:space="preserve"> </w:t>
      </w:r>
      <w:r w:rsidR="00D13248">
        <w:t xml:space="preserve">and Equivalent Access </w:t>
      </w:r>
      <w:r w:rsidR="00F726EB">
        <w:t>Provisions</w:t>
      </w:r>
      <w:bookmarkEnd w:id="30"/>
    </w:p>
    <w:p w14:paraId="25EE8C74" w14:textId="6971C7A5" w:rsidR="00D13248" w:rsidRDefault="00D13248" w:rsidP="00D13248">
      <w:r>
        <w:t xml:space="preserve">The Commission is aware that transport operators and providers have sought ‘legal certainty’ of what could constitute an </w:t>
      </w:r>
      <w:r w:rsidR="00E97B69">
        <w:t>‘</w:t>
      </w:r>
      <w:r>
        <w:t>unjustifiable hardship</w:t>
      </w:r>
      <w:r w:rsidR="00E97B69">
        <w:t>’</w:t>
      </w:r>
      <w:r>
        <w:t xml:space="preserve"> claim in previous review and reform processes.</w:t>
      </w:r>
      <w:r>
        <w:rPr>
          <w:rStyle w:val="EndnoteReference"/>
        </w:rPr>
        <w:endnoteReference w:id="89"/>
      </w:r>
      <w:r>
        <w:t xml:space="preserve"> Unjustifiable hardship is a defence to a claim of discrimination under the </w:t>
      </w:r>
      <w:r w:rsidRPr="006E0085">
        <w:t>Disability Discrimination Act</w:t>
      </w:r>
      <w:r w:rsidRPr="00172734">
        <w:rPr>
          <w:i/>
          <w:iCs/>
        </w:rPr>
        <w:t xml:space="preserve"> </w:t>
      </w:r>
      <w:r>
        <w:t xml:space="preserve">and the Transport </w:t>
      </w:r>
      <w:r>
        <w:lastRenderedPageBreak/>
        <w:t>Standards.</w:t>
      </w:r>
      <w:r>
        <w:rPr>
          <w:rStyle w:val="EndnoteReference"/>
        </w:rPr>
        <w:endnoteReference w:id="90"/>
      </w:r>
      <w:r>
        <w:t xml:space="preserve"> The burden of proving that </w:t>
      </w:r>
      <w:r w:rsidR="00293EBE">
        <w:t xml:space="preserve">compliance </w:t>
      </w:r>
      <w:r>
        <w:t xml:space="preserve">would impose unjustifiable hardship lies on the person claiming unjustifiable hardship. Implicit in the concept of unjustifiable hardship is that some hardship will be justifiable: </w:t>
      </w:r>
    </w:p>
    <w:p w14:paraId="4B8F0D1D" w14:textId="44D1A2C7" w:rsidR="00D13248" w:rsidRPr="00143D24" w:rsidRDefault="00D13248" w:rsidP="00D13248">
      <w:pPr>
        <w:ind w:left="720"/>
        <w:rPr>
          <w:sz w:val="22"/>
          <w:szCs w:val="22"/>
        </w:rPr>
      </w:pPr>
      <w:r w:rsidRPr="00143D24">
        <w:rPr>
          <w:sz w:val="22"/>
          <w:szCs w:val="22"/>
        </w:rPr>
        <w:t>the concept of ‘unjustifiable hardship’ connotes much more than just hardship on the respondent. The objects of the [D</w:t>
      </w:r>
      <w:r>
        <w:rPr>
          <w:sz w:val="22"/>
        </w:rPr>
        <w:t xml:space="preserve">isability </w:t>
      </w:r>
      <w:r w:rsidRPr="00143D24">
        <w:rPr>
          <w:sz w:val="22"/>
          <w:szCs w:val="22"/>
        </w:rPr>
        <w:t>D</w:t>
      </w:r>
      <w:r>
        <w:rPr>
          <w:sz w:val="22"/>
        </w:rPr>
        <w:t xml:space="preserve">iscrimination </w:t>
      </w:r>
      <w:r w:rsidRPr="00143D24">
        <w:rPr>
          <w:sz w:val="22"/>
          <w:szCs w:val="22"/>
        </w:rPr>
        <w:t>A</w:t>
      </w:r>
      <w:r>
        <w:rPr>
          <w:sz w:val="22"/>
        </w:rPr>
        <w:t>ct</w:t>
      </w:r>
      <w:r w:rsidRPr="00143D24">
        <w:rPr>
          <w:sz w:val="22"/>
          <w:szCs w:val="22"/>
        </w:rPr>
        <w:t>] make it clear that elimination of discrimination as far as possible is the legislation’s purpose. Considered in that context, it is reasonable to expect that [a respondent] should have to undergo some hardship</w:t>
      </w:r>
      <w:r w:rsidR="00293EBE">
        <w:rPr>
          <w:sz w:val="22"/>
          <w:szCs w:val="22"/>
        </w:rPr>
        <w:t>.</w:t>
      </w:r>
      <w:r>
        <w:rPr>
          <w:rStyle w:val="EndnoteReference"/>
          <w:sz w:val="22"/>
        </w:rPr>
        <w:endnoteReference w:id="91"/>
      </w:r>
      <w:r w:rsidRPr="00143D24">
        <w:rPr>
          <w:sz w:val="22"/>
          <w:szCs w:val="22"/>
        </w:rPr>
        <w:t xml:space="preserve"> </w:t>
      </w:r>
    </w:p>
    <w:p w14:paraId="49F6FC9B" w14:textId="6E6889F6" w:rsidR="00D13248" w:rsidRDefault="00D13248" w:rsidP="00D13248">
      <w:r>
        <w:t xml:space="preserve">In </w:t>
      </w:r>
      <w:r w:rsidRPr="00BA0B00">
        <w:rPr>
          <w:i/>
          <w:iCs/>
        </w:rPr>
        <w:t>Francey v Hilton Hotels of Australia Pty Ltd</w:t>
      </w:r>
      <w:r w:rsidRPr="003A677E">
        <w:rPr>
          <w:rStyle w:val="EndnoteReference"/>
        </w:rPr>
        <w:endnoteReference w:id="92"/>
      </w:r>
      <w:r>
        <w:t xml:space="preserve"> (‘Francey’)</w:t>
      </w:r>
      <w:r w:rsidR="00CD7A48">
        <w:t xml:space="preserve">, </w:t>
      </w:r>
      <w:r w:rsidR="00293EBE">
        <w:t>then</w:t>
      </w:r>
      <w:r w:rsidR="00CD7A48">
        <w:t xml:space="preserve"> Disability Discrimination </w:t>
      </w:r>
      <w:r>
        <w:t xml:space="preserve">Commissioner </w:t>
      </w:r>
      <w:r w:rsidR="00293EBE">
        <w:t xml:space="preserve">Graeme </w:t>
      </w:r>
      <w:r>
        <w:t xml:space="preserve">Innes held that the financial circumstances of the respondent should also be viewed from this perspective: </w:t>
      </w:r>
    </w:p>
    <w:p w14:paraId="2345B5CE" w14:textId="539C0F34" w:rsidR="00D13248" w:rsidRDefault="00D13248" w:rsidP="00D13248">
      <w:pPr>
        <w:ind w:left="720"/>
        <w:rPr>
          <w:sz w:val="22"/>
        </w:rPr>
      </w:pPr>
      <w:r w:rsidRPr="00143D24">
        <w:rPr>
          <w:sz w:val="22"/>
          <w:szCs w:val="22"/>
        </w:rPr>
        <w:t>Many respondents imply that [their financial circumstances] should be given greater weight than other factors. Whilst it is important, it, along with all other provisions of the [</w:t>
      </w:r>
      <w:r>
        <w:rPr>
          <w:sz w:val="22"/>
        </w:rPr>
        <w:t>Disability Discrimination Act</w:t>
      </w:r>
      <w:r w:rsidRPr="00143D24">
        <w:rPr>
          <w:sz w:val="22"/>
          <w:szCs w:val="22"/>
        </w:rPr>
        <w:t>], must be considered in the context of the [D</w:t>
      </w:r>
      <w:r>
        <w:rPr>
          <w:sz w:val="22"/>
        </w:rPr>
        <w:t>isability Discrimination Act</w:t>
      </w:r>
      <w:r w:rsidRPr="00143D24">
        <w:rPr>
          <w:sz w:val="22"/>
          <w:szCs w:val="22"/>
        </w:rPr>
        <w:t>’s] objects. I do not suggest that intolerable financial imposts should be placed on respondents. However, for this defence to be made out the hardship borne must be unjustifiable. Therefore, if other factors mitigate in favour of preventing the discrimination – which is the Parliament’s intention in this legislation – then the bearing of a financial burden by the respondent may cause hardship which is deemed justifiable.</w:t>
      </w:r>
      <w:r>
        <w:rPr>
          <w:rStyle w:val="EndnoteReference"/>
          <w:sz w:val="22"/>
        </w:rPr>
        <w:endnoteReference w:id="93"/>
      </w:r>
    </w:p>
    <w:p w14:paraId="445C5E1A" w14:textId="2440EF1C" w:rsidR="00D13248" w:rsidRDefault="00D13248" w:rsidP="00D13248">
      <w:r>
        <w:t xml:space="preserve">The lack of precedent regarding unjustifiable hardship claims under the Transport Standards </w:t>
      </w:r>
      <w:r w:rsidR="00013202">
        <w:t>reflects</w:t>
      </w:r>
      <w:r>
        <w:t xml:space="preserve"> the small number of complaints in relation to the Transport Standards, and the even smaller number that </w:t>
      </w:r>
      <w:r w:rsidR="00B81219">
        <w:t>proceed to court</w:t>
      </w:r>
      <w:r>
        <w:t>.</w:t>
      </w:r>
      <w:r w:rsidR="00F02540">
        <w:t xml:space="preserve"> </w:t>
      </w:r>
      <w:r w:rsidR="00320CD7">
        <w:t>The case</w:t>
      </w:r>
      <w:r w:rsidR="006154E1">
        <w:t xml:space="preserve"> of</w:t>
      </w:r>
      <w:r w:rsidR="00A70D6C">
        <w:t xml:space="preserve"> </w:t>
      </w:r>
      <w:r w:rsidR="00A70D6C">
        <w:rPr>
          <w:i/>
          <w:iCs/>
        </w:rPr>
        <w:t>King v Jetstar Airways</w:t>
      </w:r>
      <w:r w:rsidR="004C356B">
        <w:rPr>
          <w:i/>
          <w:iCs/>
        </w:rPr>
        <w:t xml:space="preserve"> P</w:t>
      </w:r>
      <w:r w:rsidR="006F73E7">
        <w:rPr>
          <w:i/>
          <w:iCs/>
        </w:rPr>
        <w:t>ty Ltd (No 2)</w:t>
      </w:r>
      <w:r w:rsidR="006F73E7" w:rsidRPr="003A677E">
        <w:rPr>
          <w:rStyle w:val="EndnoteReference"/>
        </w:rPr>
        <w:endnoteReference w:id="94"/>
      </w:r>
      <w:r w:rsidR="00B92983">
        <w:t xml:space="preserve"> </w:t>
      </w:r>
      <w:r w:rsidR="00320CD7">
        <w:t xml:space="preserve">(13 January 2012) </w:t>
      </w:r>
      <w:r w:rsidR="00374F05">
        <w:t xml:space="preserve">is </w:t>
      </w:r>
      <w:r w:rsidR="001D764D">
        <w:t>one</w:t>
      </w:r>
      <w:r w:rsidR="00176CD6">
        <w:t xml:space="preserve"> example of </w:t>
      </w:r>
      <w:r w:rsidR="00245313">
        <w:t>a</w:t>
      </w:r>
      <w:r w:rsidR="00374F05">
        <w:t xml:space="preserve"> </w:t>
      </w:r>
      <w:r w:rsidR="00176CD6">
        <w:t xml:space="preserve">successful </w:t>
      </w:r>
      <w:r w:rsidR="00374F05">
        <w:t xml:space="preserve">claim of unjustifiable hardship in the context of direct disability </w:t>
      </w:r>
      <w:r w:rsidR="006154E1">
        <w:t>discrimination, however it did not expressly consider the Transport Standards.</w:t>
      </w:r>
      <w:r w:rsidR="00F3026B">
        <w:t xml:space="preserve"> </w:t>
      </w:r>
      <w:r w:rsidR="00F3026B">
        <w:rPr>
          <w:rFonts w:eastAsia="Times New Roman" w:cs="Open Sans"/>
        </w:rPr>
        <w:t>Since</w:t>
      </w:r>
      <w:r w:rsidR="00F3026B">
        <w:rPr>
          <w:rFonts w:eastAsia="Times New Roman" w:cs="Open Sans"/>
          <w:i/>
          <w:iCs/>
        </w:rPr>
        <w:t xml:space="preserve"> King v Jetstar</w:t>
      </w:r>
      <w:r w:rsidR="00F3026B">
        <w:rPr>
          <w:rFonts w:eastAsia="Times New Roman" w:cs="Open Sans"/>
        </w:rPr>
        <w:t xml:space="preserve">, the Commission is aware of only a few other cases where unjustifiable hardship has been considered, </w:t>
      </w:r>
      <w:proofErr w:type="gramStart"/>
      <w:r w:rsidR="00F3026B">
        <w:rPr>
          <w:rFonts w:eastAsia="Times New Roman" w:cs="Open Sans"/>
        </w:rPr>
        <w:t>taking into account</w:t>
      </w:r>
      <w:proofErr w:type="gramEnd"/>
      <w:r w:rsidR="00F3026B">
        <w:rPr>
          <w:rFonts w:eastAsia="Times New Roman" w:cs="Open Sans"/>
        </w:rPr>
        <w:t xml:space="preserve"> the individual circumstances in each case</w:t>
      </w:r>
      <w:r w:rsidR="0098458F">
        <w:rPr>
          <w:rFonts w:eastAsia="Times New Roman" w:cs="Open Sans"/>
        </w:rPr>
        <w:t>.</w:t>
      </w:r>
      <w:r w:rsidR="0098458F">
        <w:rPr>
          <w:rStyle w:val="EndnoteReference"/>
          <w:rFonts w:eastAsia="Times New Roman" w:cs="Open Sans"/>
        </w:rPr>
        <w:endnoteReference w:id="95"/>
      </w:r>
      <w:r w:rsidR="006154E1">
        <w:t xml:space="preserve"> </w:t>
      </w:r>
    </w:p>
    <w:p w14:paraId="2692E31D" w14:textId="1F7CDD5C" w:rsidR="00D13248" w:rsidRDefault="00013202" w:rsidP="00D13248">
      <w:r>
        <w:t>To</w:t>
      </w:r>
      <w:r w:rsidR="00D13248">
        <w:t xml:space="preserve"> demonstrate unjustifiable hardship, operators and providers need to show they have taken efforts in good faith to comply with the relevant requirements</w:t>
      </w:r>
      <w:r w:rsidR="00D13248">
        <w:rPr>
          <w:rStyle w:val="EndnoteReference"/>
        </w:rPr>
        <w:endnoteReference w:id="96"/>
      </w:r>
      <w:r w:rsidR="00D13248">
        <w:t xml:space="preserve"> and exhausted all opportunities for providing equivalent access.</w:t>
      </w:r>
      <w:r w:rsidR="00D13248">
        <w:rPr>
          <w:rStyle w:val="EndnoteReference"/>
        </w:rPr>
        <w:endnoteReference w:id="97"/>
      </w:r>
      <w:r w:rsidR="00D13248">
        <w:t xml:space="preserve"> In July 2020, the Commission published Equivalent Access Guidelines</w:t>
      </w:r>
      <w:r w:rsidR="00D13248">
        <w:rPr>
          <w:rStyle w:val="EndnoteReference"/>
        </w:rPr>
        <w:endnoteReference w:id="98"/>
      </w:r>
      <w:r w:rsidR="00D13248">
        <w:t xml:space="preserve"> to provide clear and practical assistance to facilitate compliance with the Transport Standards </w:t>
      </w:r>
      <w:proofErr w:type="gramStart"/>
      <w:r w:rsidR="00D13248">
        <w:t>through the use of</w:t>
      </w:r>
      <w:proofErr w:type="gramEnd"/>
      <w:r w:rsidR="00D13248">
        <w:t xml:space="preserve"> equivalent access. The Commission considers that these Guidelines will help operators and providers avoid and, if necessary, respond to allegations that measures intended to make public transport accessible do not constitute equivalent access, including in relation to claims of unjustifiable hardship.</w:t>
      </w:r>
    </w:p>
    <w:p w14:paraId="6C1F96F1" w14:textId="16E46D6E" w:rsidR="00D13248" w:rsidRDefault="00D13248" w:rsidP="00D13248">
      <w:r>
        <w:lastRenderedPageBreak/>
        <w:t xml:space="preserve">The Commission </w:t>
      </w:r>
      <w:r w:rsidR="005D047C">
        <w:t>considers</w:t>
      </w:r>
      <w:r>
        <w:t xml:space="preserve"> that further legal guidance or certainty regarding unjustifiable hardship is </w:t>
      </w:r>
      <w:r w:rsidR="005D047C">
        <w:t xml:space="preserve">not </w:t>
      </w:r>
      <w:r>
        <w:t>appropriate or required under the Transport Standards.</w:t>
      </w:r>
      <w:r w:rsidR="00766DF1">
        <w:t xml:space="preserve"> </w:t>
      </w:r>
      <w:r>
        <w:t>A final determination regarding a claim of unjustifiable hardship can only be made by the Court in the case that a formal complaint has been lodged</w:t>
      </w:r>
      <w:r w:rsidR="00E246D7">
        <w:t xml:space="preserve"> with the Commission</w:t>
      </w:r>
      <w:r>
        <w:t xml:space="preserve"> in the first instance and is based on the circumstance and evidence provided by the respondent.</w:t>
      </w:r>
      <w:r w:rsidR="000F766A">
        <w:t xml:space="preserve"> </w:t>
      </w:r>
      <w:r>
        <w:t>The Commission is of the view that the Transport Standards provide the required information for providers and operators to understand their legal obligations and grounds on which they may make a claim of unjustifiable hardship, as set out under section 33.7(3) of the Transport Standards. These provisions also include cost considerations and the balance of benefits and detriments to both people with disability, the wider community and the operator or provider.</w:t>
      </w:r>
      <w:r>
        <w:rPr>
          <w:rStyle w:val="EndnoteReference"/>
        </w:rPr>
        <w:endnoteReference w:id="99"/>
      </w:r>
      <w:r>
        <w:t xml:space="preserve">  </w:t>
      </w:r>
    </w:p>
    <w:p w14:paraId="128022A4" w14:textId="50CF3B63" w:rsidR="00F726EB" w:rsidRPr="00F726EB" w:rsidRDefault="00D13248" w:rsidP="00F726EB">
      <w:r>
        <w:t xml:space="preserve">Transport providers and operators should be encouraged to take all reasonable and appropriate steps to incorporate accessibility measures as part of their decision-making processes, to both comply and go beyond the Transport Standards to eliminate discrimination. It is vital that there are clear directives and incentives to do so to promote inclusion and universal design, rather than a culture of non-compliant practice. </w:t>
      </w:r>
    </w:p>
    <w:p w14:paraId="70597199" w14:textId="5F2BFAE3" w:rsidR="0026668E" w:rsidRDefault="0026668E" w:rsidP="0026668E">
      <w:pPr>
        <w:pStyle w:val="Heading2"/>
      </w:pPr>
      <w:bookmarkStart w:id="31" w:name="_Toc138090505"/>
      <w:r>
        <w:t xml:space="preserve">Amendments to legislation </w:t>
      </w:r>
      <w:bookmarkEnd w:id="31"/>
    </w:p>
    <w:p w14:paraId="6C2359D5" w14:textId="2B131543" w:rsidR="00B51B7E" w:rsidRDefault="006541AD" w:rsidP="00B51B7E">
      <w:r>
        <w:t xml:space="preserve">The </w:t>
      </w:r>
      <w:r w:rsidR="00122569">
        <w:t xml:space="preserve">decision by the Federal Court of Australia </w:t>
      </w:r>
      <w:r w:rsidR="00EF55F8">
        <w:t xml:space="preserve">in </w:t>
      </w:r>
      <w:r w:rsidR="00EF55F8">
        <w:rPr>
          <w:i/>
          <w:iCs/>
        </w:rPr>
        <w:t>Haraksin v Murrays Australia Limited (No 2)</w:t>
      </w:r>
      <w:r w:rsidR="00EF55F8">
        <w:t>,</w:t>
      </w:r>
      <w:r w:rsidR="00F72E80">
        <w:rPr>
          <w:rStyle w:val="EndnoteReference"/>
        </w:rPr>
        <w:endnoteReference w:id="100"/>
      </w:r>
      <w:r w:rsidR="00EF55F8">
        <w:t xml:space="preserve"> on 14 March 2013, </w:t>
      </w:r>
      <w:r w:rsidR="00DA52C1">
        <w:t>established</w:t>
      </w:r>
      <w:r w:rsidR="00670938">
        <w:t xml:space="preserve"> </w:t>
      </w:r>
      <w:r w:rsidR="00BC0F04">
        <w:t>that non-compliance with the Transport Standards does not itself provide a sufficient bases for a person to</w:t>
      </w:r>
      <w:r w:rsidR="00524233" w:rsidRPr="00524233">
        <w:t xml:space="preserve"> lodge a complaint alleging unlawful discrimination under the Australian Human Rights Commission Ac</w:t>
      </w:r>
      <w:r w:rsidR="00524233">
        <w:t xml:space="preserve">t. </w:t>
      </w:r>
    </w:p>
    <w:p w14:paraId="3D6AF4D1" w14:textId="3F06CBD2" w:rsidR="00074721" w:rsidRDefault="00524233" w:rsidP="00074721">
      <w:pPr>
        <w:pStyle w:val="Default"/>
        <w:rPr>
          <w:color w:val="auto"/>
        </w:rPr>
      </w:pPr>
      <w:r w:rsidRPr="0036493F">
        <w:rPr>
          <w:color w:val="auto"/>
        </w:rPr>
        <w:t xml:space="preserve">In this case, </w:t>
      </w:r>
      <w:r w:rsidR="00C03643" w:rsidRPr="0036493F">
        <w:rPr>
          <w:color w:val="auto"/>
        </w:rPr>
        <w:t>Nicholas J held that</w:t>
      </w:r>
      <w:r w:rsidR="007F5D18" w:rsidRPr="0036493F">
        <w:rPr>
          <w:color w:val="auto"/>
        </w:rPr>
        <w:t xml:space="preserve"> the </w:t>
      </w:r>
      <w:r w:rsidR="00D22C10" w:rsidRPr="0036493F">
        <w:rPr>
          <w:color w:val="auto"/>
        </w:rPr>
        <w:t>applicant</w:t>
      </w:r>
      <w:r w:rsidR="000561D6">
        <w:rPr>
          <w:color w:val="auto"/>
        </w:rPr>
        <w:t>’</w:t>
      </w:r>
      <w:r w:rsidR="00D22C10" w:rsidRPr="0036493F">
        <w:rPr>
          <w:color w:val="auto"/>
        </w:rPr>
        <w:t>s claim that the respondent</w:t>
      </w:r>
      <w:r w:rsidR="005D0A03" w:rsidRPr="0036493F">
        <w:rPr>
          <w:color w:val="auto"/>
        </w:rPr>
        <w:t xml:space="preserve"> had discriminated against her and contravened the Transport Standards by not allowing her to book a wheelchair accessible seat on a coach service operated by the respondent</w:t>
      </w:r>
      <w:r w:rsidR="0036493F" w:rsidRPr="0036493F">
        <w:rPr>
          <w:color w:val="auto"/>
        </w:rPr>
        <w:t xml:space="preserve">, </w:t>
      </w:r>
      <w:r w:rsidR="0036493F" w:rsidRPr="00DD3EAB">
        <w:rPr>
          <w:color w:val="auto"/>
        </w:rPr>
        <w:t xml:space="preserve">was based on a misconception as to the scope of section 46P and section 46PO(1) of the </w:t>
      </w:r>
      <w:r w:rsidR="004724BE">
        <w:rPr>
          <w:color w:val="auto"/>
        </w:rPr>
        <w:t>[</w:t>
      </w:r>
      <w:r w:rsidR="00991D70">
        <w:rPr>
          <w:color w:val="auto"/>
        </w:rPr>
        <w:t>Australian Human Rights Commission</w:t>
      </w:r>
      <w:r w:rsidR="0036493F" w:rsidRPr="00DD3EAB">
        <w:rPr>
          <w:color w:val="auto"/>
        </w:rPr>
        <w:t xml:space="preserve"> Act</w:t>
      </w:r>
      <w:r w:rsidR="004724BE">
        <w:rPr>
          <w:color w:val="auto"/>
        </w:rPr>
        <w:t>]</w:t>
      </w:r>
      <w:r w:rsidR="0036493F" w:rsidRPr="00DD3EAB">
        <w:rPr>
          <w:color w:val="auto"/>
        </w:rPr>
        <w:t xml:space="preserve"> because </w:t>
      </w:r>
      <w:r w:rsidR="00C03643" w:rsidRPr="00DD3EAB">
        <w:rPr>
          <w:color w:val="auto"/>
        </w:rPr>
        <w:t xml:space="preserve">‘non-compliance with the </w:t>
      </w:r>
      <w:r w:rsidR="002B4B59" w:rsidRPr="00DD3EAB">
        <w:rPr>
          <w:color w:val="auto"/>
        </w:rPr>
        <w:t>Transport</w:t>
      </w:r>
      <w:r w:rsidR="00C03643" w:rsidRPr="00DD3EAB">
        <w:rPr>
          <w:color w:val="auto"/>
        </w:rPr>
        <w:t xml:space="preserve"> Standards does not itself </w:t>
      </w:r>
      <w:r w:rsidR="002B4B59" w:rsidRPr="00DD3EAB">
        <w:rPr>
          <w:color w:val="auto"/>
        </w:rPr>
        <w:t>constitute unlawful discrimination</w:t>
      </w:r>
      <w:r w:rsidR="002E2098">
        <w:rPr>
          <w:color w:val="auto"/>
        </w:rPr>
        <w:t>’</w:t>
      </w:r>
      <w:r w:rsidR="002B4B59" w:rsidRPr="00DD3EAB">
        <w:rPr>
          <w:color w:val="auto"/>
        </w:rPr>
        <w:t>.</w:t>
      </w:r>
      <w:r w:rsidR="00DA52C1">
        <w:rPr>
          <w:rStyle w:val="EndnoteReference"/>
          <w:color w:val="auto"/>
        </w:rPr>
        <w:endnoteReference w:id="101"/>
      </w:r>
    </w:p>
    <w:p w14:paraId="203D2A6C" w14:textId="58A8EF65" w:rsidR="00DD3EAB" w:rsidRDefault="00074721" w:rsidP="00DD3EAB">
      <w:pPr>
        <w:pStyle w:val="Default"/>
        <w:spacing w:before="240"/>
        <w:rPr>
          <w:sz w:val="23"/>
          <w:szCs w:val="23"/>
        </w:rPr>
      </w:pPr>
      <w:r>
        <w:rPr>
          <w:color w:val="auto"/>
        </w:rPr>
        <w:t xml:space="preserve">In arriving at this view, </w:t>
      </w:r>
      <w:r w:rsidRPr="00074721">
        <w:t>Nicholas J did not refer to section 32 of the Disability Discrimination Act which provides that it is unlawful to contravene a disability standard, or to the definition of ‘unlawful discrimination’ in section 3 of the Australian Human Rights Commission Act, which specifically includes ‘acts, omissions or practices that are unlawful … under Part 2 of the [D</w:t>
      </w:r>
      <w:r w:rsidR="006758EC">
        <w:t>isability Discrimination Act</w:t>
      </w:r>
      <w:r w:rsidRPr="00074721">
        <w:t>]’</w:t>
      </w:r>
      <w:r w:rsidR="002E2098">
        <w:t xml:space="preserve">, </w:t>
      </w:r>
      <w:r w:rsidRPr="00074721">
        <w:t>which includes section 32.</w:t>
      </w:r>
      <w:r>
        <w:rPr>
          <w:sz w:val="23"/>
          <w:szCs w:val="23"/>
        </w:rPr>
        <w:t xml:space="preserve"> </w:t>
      </w:r>
    </w:p>
    <w:p w14:paraId="22EDF7F2" w14:textId="2FF9548F" w:rsidR="00DD4005" w:rsidRPr="00E72CF9" w:rsidRDefault="00DD4005" w:rsidP="00E72CF9">
      <w:pPr>
        <w:pStyle w:val="Default"/>
        <w:spacing w:before="240"/>
        <w:rPr>
          <w:sz w:val="23"/>
          <w:szCs w:val="23"/>
        </w:rPr>
      </w:pPr>
      <w:r>
        <w:rPr>
          <w:color w:val="auto"/>
        </w:rPr>
        <w:lastRenderedPageBreak/>
        <w:t>The Commission remains concerned with</w:t>
      </w:r>
      <w:r w:rsidR="001575FD">
        <w:rPr>
          <w:color w:val="auto"/>
        </w:rPr>
        <w:t xml:space="preserve"> </w:t>
      </w:r>
      <w:r w:rsidR="0037760E">
        <w:rPr>
          <w:color w:val="auto"/>
        </w:rPr>
        <w:t xml:space="preserve">the </w:t>
      </w:r>
      <w:r w:rsidR="001575FD">
        <w:rPr>
          <w:color w:val="auto"/>
        </w:rPr>
        <w:t>legal correctness and</w:t>
      </w:r>
      <w:r>
        <w:rPr>
          <w:color w:val="auto"/>
        </w:rPr>
        <w:t xml:space="preserve"> impact of this decision </w:t>
      </w:r>
      <w:r w:rsidR="006821C3">
        <w:rPr>
          <w:color w:val="auto"/>
        </w:rPr>
        <w:t>on the enforcement of the Transport Standards, as raised in the Commissions 2018 Submission to the 2017 Review of the Transport Standards</w:t>
      </w:r>
      <w:r w:rsidR="0093485B">
        <w:rPr>
          <w:color w:val="auto"/>
        </w:rPr>
        <w:t>.</w:t>
      </w:r>
      <w:r w:rsidR="0093485B">
        <w:rPr>
          <w:rStyle w:val="EndnoteReference"/>
          <w:color w:val="auto"/>
        </w:rPr>
        <w:endnoteReference w:id="102"/>
      </w:r>
      <w:r w:rsidR="00DD3EAB">
        <w:rPr>
          <w:color w:val="auto"/>
        </w:rPr>
        <w:t xml:space="preserve"> </w:t>
      </w:r>
      <w:r w:rsidR="00E72CF9">
        <w:rPr>
          <w:color w:val="auto"/>
        </w:rPr>
        <w:t xml:space="preserve">In this submission, the Commission made recommendations to ensure that a </w:t>
      </w:r>
      <w:r w:rsidR="00DD3EAB" w:rsidRPr="00DD3EAB">
        <w:t xml:space="preserve">breach of the Transport Standards (and therefore, a breach of </w:t>
      </w:r>
      <w:r w:rsidR="00C553E7">
        <w:t>s</w:t>
      </w:r>
      <w:r w:rsidR="00C553E7" w:rsidRPr="00DD3EAB">
        <w:t xml:space="preserve">ection </w:t>
      </w:r>
      <w:r w:rsidR="00DD3EAB" w:rsidRPr="00DD3EAB">
        <w:t xml:space="preserve">32 of the Disability Discrimination Act) provides a standalone mechanism for lodging a complaint of unlawful discrimination with the Commission. </w:t>
      </w:r>
      <w:r w:rsidR="00E72CF9">
        <w:t xml:space="preserve">These recommendations have not been addressed by the </w:t>
      </w:r>
      <w:r w:rsidR="00AE2FB5">
        <w:t>Department and</w:t>
      </w:r>
      <w:r w:rsidR="00E72CF9">
        <w:t xml:space="preserve"> are repeated below. </w:t>
      </w:r>
    </w:p>
    <w:p w14:paraId="383F8850" w14:textId="0B2DBF94" w:rsidR="003E4957" w:rsidRDefault="003E4957" w:rsidP="003E4957">
      <w:pPr>
        <w:pStyle w:val="Default"/>
        <w:spacing w:before="240"/>
      </w:pPr>
      <w:r w:rsidRPr="003E4957">
        <w:rPr>
          <w:b/>
          <w:bCs/>
        </w:rPr>
        <w:t xml:space="preserve">Recommendation </w:t>
      </w:r>
      <w:r w:rsidR="00F22BE2">
        <w:rPr>
          <w:b/>
          <w:bCs/>
        </w:rPr>
        <w:t>1</w:t>
      </w:r>
      <w:r w:rsidR="00A53A4E">
        <w:rPr>
          <w:b/>
          <w:bCs/>
        </w:rPr>
        <w:t>7</w:t>
      </w:r>
      <w:r w:rsidRPr="003E4957">
        <w:rPr>
          <w:b/>
          <w:bCs/>
        </w:rPr>
        <w:t>:</w:t>
      </w:r>
      <w:r>
        <w:t xml:space="preserve"> </w:t>
      </w:r>
      <w:r w:rsidRPr="00E72CF9">
        <w:rPr>
          <w:b/>
          <w:bCs/>
        </w:rPr>
        <w:t xml:space="preserve">The Department should seek legal advice about the correctness of the decision in </w:t>
      </w:r>
      <w:r w:rsidRPr="00E72CF9">
        <w:rPr>
          <w:b/>
          <w:bCs/>
          <w:i/>
          <w:iCs/>
        </w:rPr>
        <w:t>Haraksin v Murrays Australia Limited (No 2)</w:t>
      </w:r>
      <w:r w:rsidRPr="00E72CF9">
        <w:rPr>
          <w:b/>
          <w:bCs/>
        </w:rPr>
        <w:t xml:space="preserve"> as it relates to whether a breach of the Transport Standards can constitute ‘unlawful discrimination’ for the purposes of bringing a complaint under the Australian Human Rights Commission Act.</w:t>
      </w:r>
    </w:p>
    <w:p w14:paraId="1E9BDCB2" w14:textId="700D436C" w:rsidR="003E4957" w:rsidRPr="00DD3EAB" w:rsidRDefault="003E4957" w:rsidP="00831E98">
      <w:pPr>
        <w:pStyle w:val="Default"/>
        <w:spacing w:before="240"/>
      </w:pPr>
      <w:r w:rsidRPr="00831E98">
        <w:rPr>
          <w:b/>
          <w:bCs/>
        </w:rPr>
        <w:t>Recommendation</w:t>
      </w:r>
      <w:r w:rsidR="00831E98" w:rsidRPr="00831E98">
        <w:rPr>
          <w:b/>
          <w:bCs/>
        </w:rPr>
        <w:t xml:space="preserve"> </w:t>
      </w:r>
      <w:r w:rsidR="00F22BE2">
        <w:rPr>
          <w:b/>
          <w:bCs/>
        </w:rPr>
        <w:t>1</w:t>
      </w:r>
      <w:r w:rsidR="00A53A4E">
        <w:rPr>
          <w:b/>
          <w:bCs/>
        </w:rPr>
        <w:t>8</w:t>
      </w:r>
      <w:r w:rsidR="00831E98" w:rsidRPr="00E72CF9">
        <w:t>:</w:t>
      </w:r>
      <w:r w:rsidRPr="00E72CF9">
        <w:t xml:space="preserve"> </w:t>
      </w:r>
      <w:r w:rsidRPr="00E72CF9">
        <w:rPr>
          <w:b/>
          <w:bCs/>
        </w:rPr>
        <w:t>If the Department receives advice that it is reasonably arguable that a breach of the Transport Standards does not constitute ‘unlawful discrimination’ for the purposes of bringing a complaint under the Australian Human Rights Commission Act, then the Commission recommends making any necessary amendments to the Disability Discrimination Act, the Transport Standards and the Australian Human Rights Commission</w:t>
      </w:r>
      <w:r w:rsidR="00831E98" w:rsidRPr="00E72CF9">
        <w:rPr>
          <w:b/>
          <w:bCs/>
        </w:rPr>
        <w:t xml:space="preserve"> </w:t>
      </w:r>
      <w:r w:rsidRPr="00E72CF9">
        <w:rPr>
          <w:b/>
          <w:bCs/>
        </w:rPr>
        <w:t>Act to ensure that a breach of the Transport Standards provides a standalone mechanism for lodging a complaint of unlawful discrimination under the Australian Human Rights Commission Act.</w:t>
      </w:r>
    </w:p>
    <w:p w14:paraId="5597A2AF" w14:textId="2F0DD1BA" w:rsidR="00A6285D" w:rsidRDefault="006258F0" w:rsidP="00A6285D">
      <w:pPr>
        <w:pStyle w:val="Heading2"/>
      </w:pPr>
      <w:bookmarkStart w:id="32" w:name="_Toc138090506"/>
      <w:r>
        <w:t xml:space="preserve">Inclusion and consideration of </w:t>
      </w:r>
      <w:r w:rsidR="00C35F2F">
        <w:t xml:space="preserve">people </w:t>
      </w:r>
      <w:r>
        <w:t xml:space="preserve">with disabilities in the review and reform processes </w:t>
      </w:r>
      <w:bookmarkEnd w:id="32"/>
    </w:p>
    <w:p w14:paraId="731055AB" w14:textId="034BEA06" w:rsidR="00A6285D" w:rsidRPr="00A6285D" w:rsidRDefault="00A6285D" w:rsidP="00A6285D">
      <w:pPr>
        <w:pStyle w:val="Default"/>
      </w:pPr>
      <w:r w:rsidRPr="00A6285D">
        <w:t xml:space="preserve">The engagement, consultation and inclusion of people with disability is a vital consideration for this review of the Transport Standards. </w:t>
      </w:r>
    </w:p>
    <w:p w14:paraId="744CB2AE" w14:textId="00C0B279" w:rsidR="005B3E45" w:rsidRDefault="00733736" w:rsidP="005B3E45">
      <w:r>
        <w:t xml:space="preserve">To improve the current inefficiencies and effectiveness of the Transport Standards to remove discrimination, the benefits for people with disability and the broader community should be given sufficient weight in the review and </w:t>
      </w:r>
      <w:r w:rsidR="008B7170">
        <w:t xml:space="preserve">subsequent </w:t>
      </w:r>
      <w:r>
        <w:t xml:space="preserve">reform decision-making processes. </w:t>
      </w:r>
    </w:p>
    <w:p w14:paraId="129C7554" w14:textId="5536E401" w:rsidR="00BE3CFA" w:rsidRDefault="006F5B32" w:rsidP="005B3E45">
      <w:r>
        <w:t xml:space="preserve">People with disability, their families, </w:t>
      </w:r>
      <w:r w:rsidR="00E95803">
        <w:t>carers</w:t>
      </w:r>
      <w:r>
        <w:t xml:space="preserve"> and representative organisations should be </w:t>
      </w:r>
      <w:r w:rsidR="00B44E18">
        <w:t xml:space="preserve">consulted </w:t>
      </w:r>
      <w:r w:rsidR="00E95803">
        <w:t xml:space="preserve">with </w:t>
      </w:r>
      <w:r w:rsidR="00B44E18">
        <w:t xml:space="preserve">and included in the design </w:t>
      </w:r>
      <w:r w:rsidR="00BC00CC">
        <w:t>of services</w:t>
      </w:r>
      <w:r w:rsidR="00901E34">
        <w:t xml:space="preserve">, standards and </w:t>
      </w:r>
      <w:r w:rsidR="00BC00CC">
        <w:t xml:space="preserve">policies that </w:t>
      </w:r>
      <w:r w:rsidR="00DE7714">
        <w:t>affect them</w:t>
      </w:r>
      <w:r w:rsidR="00BC00CC">
        <w:t>.</w:t>
      </w:r>
      <w:r w:rsidR="00DE7714">
        <w:t xml:space="preserve"> </w:t>
      </w:r>
      <w:r w:rsidR="00611EEF">
        <w:t xml:space="preserve">In conjunction with their duty to comply with the Transport Standards, </w:t>
      </w:r>
      <w:r w:rsidR="00625F20">
        <w:t>o</w:t>
      </w:r>
      <w:r w:rsidR="00DE7714">
        <w:t xml:space="preserve">perators and </w:t>
      </w:r>
      <w:r w:rsidR="00C553E7">
        <w:t xml:space="preserve">providers </w:t>
      </w:r>
      <w:r w:rsidR="00DE7714">
        <w:t xml:space="preserve">of public transport should seek the </w:t>
      </w:r>
      <w:r w:rsidR="0091512D">
        <w:t xml:space="preserve">expertise of the disability community in all stages of public transport </w:t>
      </w:r>
      <w:r w:rsidR="0091512D">
        <w:lastRenderedPageBreak/>
        <w:t>planning and implementation</w:t>
      </w:r>
      <w:r w:rsidR="00611EEF">
        <w:t xml:space="preserve"> to ensure accessibility and </w:t>
      </w:r>
      <w:r w:rsidR="000D1E73">
        <w:t xml:space="preserve">universal design principles are considered </w:t>
      </w:r>
      <w:r w:rsidR="00C056A1">
        <w:t>to</w:t>
      </w:r>
      <w:r w:rsidR="000D1E73">
        <w:t xml:space="preserve"> meet the needs of the community.</w:t>
      </w:r>
      <w:r w:rsidR="00611EEF">
        <w:t xml:space="preserve"> </w:t>
      </w:r>
      <w:r w:rsidR="000E7B53">
        <w:t xml:space="preserve">Consultation with people with disability is also a </w:t>
      </w:r>
      <w:r w:rsidR="002776BE">
        <w:t>requirement under equivalent access provisions in the Transport Standards</w:t>
      </w:r>
      <w:r w:rsidR="002A7003">
        <w:t xml:space="preserve">, and </w:t>
      </w:r>
      <w:r w:rsidR="006650E7">
        <w:t>a consideration in claims of unjustifiable hardship.</w:t>
      </w:r>
      <w:r w:rsidR="006650E7">
        <w:rPr>
          <w:rStyle w:val="EndnoteReference"/>
        </w:rPr>
        <w:endnoteReference w:id="103"/>
      </w:r>
    </w:p>
    <w:p w14:paraId="2E7F4C09" w14:textId="6B5FF0B1" w:rsidR="00F55EDD" w:rsidRDefault="00BC00CC" w:rsidP="005B3E45">
      <w:r>
        <w:t xml:space="preserve">The Commission encourages the Department to </w:t>
      </w:r>
      <w:r w:rsidR="00BE3CFA">
        <w:t xml:space="preserve">consult the </w:t>
      </w:r>
      <w:r w:rsidR="00BE3CFA" w:rsidRPr="00BE3CFA">
        <w:rPr>
          <w:rFonts w:cs="Open Sans"/>
          <w:i/>
          <w:iCs/>
        </w:rPr>
        <w:t>Good Practice Guidelines for the Engagement of People with Disability</w:t>
      </w:r>
      <w:r w:rsidR="0080791E">
        <w:t xml:space="preserve">, once published as part of Australia’s Disability Strategy supporting documents. </w:t>
      </w:r>
    </w:p>
    <w:p w14:paraId="578D5AAF" w14:textId="7EB2AFD8" w:rsidR="0077441D" w:rsidRPr="0077441D" w:rsidRDefault="0080791E" w:rsidP="0077441D">
      <w:pPr>
        <w:rPr>
          <w:b/>
          <w:bCs/>
        </w:rPr>
      </w:pPr>
      <w:r>
        <w:rPr>
          <w:b/>
          <w:bCs/>
        </w:rPr>
        <w:t xml:space="preserve">Recommendation </w:t>
      </w:r>
      <w:r w:rsidR="00A53A4E">
        <w:rPr>
          <w:b/>
          <w:bCs/>
        </w:rPr>
        <w:t>19</w:t>
      </w:r>
      <w:r>
        <w:rPr>
          <w:b/>
          <w:bCs/>
        </w:rPr>
        <w:t xml:space="preserve">: Australian Governments, operators and providers of public transport should prioritise </w:t>
      </w:r>
      <w:r w:rsidR="00A65D13">
        <w:rPr>
          <w:b/>
          <w:bCs/>
        </w:rPr>
        <w:t>the inclusion of people with disability in the following ways:</w:t>
      </w:r>
    </w:p>
    <w:p w14:paraId="1479B9EF" w14:textId="0A4584D1" w:rsidR="00A65D13" w:rsidRDefault="00FA4551" w:rsidP="00461ACB">
      <w:pPr>
        <w:pStyle w:val="ListParagraph"/>
        <w:numPr>
          <w:ilvl w:val="0"/>
          <w:numId w:val="27"/>
        </w:numPr>
        <w:rPr>
          <w:b/>
          <w:bCs/>
        </w:rPr>
      </w:pPr>
      <w:r>
        <w:rPr>
          <w:b/>
          <w:bCs/>
        </w:rPr>
        <w:t xml:space="preserve">Genuine </w:t>
      </w:r>
      <w:r w:rsidR="0077441D">
        <w:rPr>
          <w:b/>
          <w:bCs/>
        </w:rPr>
        <w:t xml:space="preserve">consultation and </w:t>
      </w:r>
      <w:r w:rsidR="00AC75A6">
        <w:rPr>
          <w:b/>
          <w:bCs/>
        </w:rPr>
        <w:t xml:space="preserve">co-design of </w:t>
      </w:r>
      <w:r w:rsidR="0077441D">
        <w:rPr>
          <w:b/>
          <w:bCs/>
        </w:rPr>
        <w:t xml:space="preserve">services, </w:t>
      </w:r>
      <w:r w:rsidR="000E7B53">
        <w:rPr>
          <w:b/>
          <w:bCs/>
        </w:rPr>
        <w:t xml:space="preserve">policies, </w:t>
      </w:r>
      <w:r w:rsidR="007B0E10">
        <w:rPr>
          <w:b/>
          <w:bCs/>
        </w:rPr>
        <w:t>practices,</w:t>
      </w:r>
      <w:r w:rsidR="000E7B53">
        <w:rPr>
          <w:b/>
          <w:bCs/>
        </w:rPr>
        <w:t xml:space="preserve"> and </w:t>
      </w:r>
      <w:r w:rsidR="00625F20">
        <w:rPr>
          <w:b/>
          <w:bCs/>
        </w:rPr>
        <w:t xml:space="preserve">public transport developments. </w:t>
      </w:r>
    </w:p>
    <w:p w14:paraId="016F2261" w14:textId="77777777" w:rsidR="007B0E10" w:rsidRDefault="009921D1" w:rsidP="00461ACB">
      <w:pPr>
        <w:pStyle w:val="ListParagraph"/>
        <w:numPr>
          <w:ilvl w:val="0"/>
          <w:numId w:val="27"/>
        </w:numPr>
        <w:rPr>
          <w:b/>
          <w:bCs/>
        </w:rPr>
      </w:pPr>
      <w:r>
        <w:rPr>
          <w:b/>
          <w:bCs/>
        </w:rPr>
        <w:t>Prioritise the employment of people with disability in their organisations.</w:t>
      </w:r>
    </w:p>
    <w:p w14:paraId="2F2D5C60" w14:textId="08772EFB" w:rsidR="009921D1" w:rsidRPr="007B0E10" w:rsidRDefault="007B0E10" w:rsidP="00461ACB">
      <w:pPr>
        <w:pStyle w:val="ListParagraph"/>
        <w:numPr>
          <w:ilvl w:val="0"/>
          <w:numId w:val="27"/>
        </w:numPr>
        <w:rPr>
          <w:b/>
          <w:bCs/>
        </w:rPr>
      </w:pPr>
      <w:r>
        <w:rPr>
          <w:b/>
          <w:bCs/>
        </w:rPr>
        <w:t xml:space="preserve">Developing, publishing, and reporting against Disability Action Plans. </w:t>
      </w:r>
      <w:r w:rsidR="009921D1" w:rsidRPr="007B0E10">
        <w:rPr>
          <w:b/>
          <w:bCs/>
        </w:rPr>
        <w:t xml:space="preserve"> </w:t>
      </w:r>
    </w:p>
    <w:p w14:paraId="2BA23D7C" w14:textId="5A1CB75A" w:rsidR="006E349A" w:rsidRPr="00B91643" w:rsidRDefault="0018658D" w:rsidP="006E349A">
      <w:pPr>
        <w:pStyle w:val="Heading2"/>
      </w:pPr>
      <w:bookmarkStart w:id="33" w:name="_Toc138090507"/>
      <w:r w:rsidRPr="00B91643">
        <w:t>Enhanced guid</w:t>
      </w:r>
      <w:r w:rsidR="00465CCB" w:rsidRPr="00B91643">
        <w:t>ance on the</w:t>
      </w:r>
      <w:r w:rsidR="000D1342" w:rsidRPr="00B91643">
        <w:t xml:space="preserve"> Transport </w:t>
      </w:r>
      <w:r w:rsidR="00C70B83" w:rsidRPr="00B91643">
        <w:t>Standards</w:t>
      </w:r>
      <w:r w:rsidR="00E23F7F" w:rsidRPr="00B91643">
        <w:t xml:space="preserve"> and </w:t>
      </w:r>
      <w:r w:rsidR="00835D90">
        <w:t>rights of people with disability</w:t>
      </w:r>
      <w:bookmarkEnd w:id="33"/>
    </w:p>
    <w:p w14:paraId="6FD6BE5D" w14:textId="7938AEE4" w:rsidR="005D5B9F" w:rsidRDefault="009555AF" w:rsidP="00D910BD">
      <w:pPr>
        <w:rPr>
          <w:color w:val="000000"/>
          <w:shd w:val="clear" w:color="auto" w:fill="FFFFFF"/>
        </w:rPr>
      </w:pPr>
      <w:r>
        <w:t>C</w:t>
      </w:r>
      <w:r w:rsidR="005D5B9F" w:rsidRPr="00E23F7F">
        <w:t>ore objec</w:t>
      </w:r>
      <w:r>
        <w:t>ts</w:t>
      </w:r>
      <w:r w:rsidR="005D5B9F" w:rsidRPr="00E23F7F">
        <w:t xml:space="preserve"> of the Disability Discrimination Act </w:t>
      </w:r>
      <w:r>
        <w:t xml:space="preserve">are to eliminate </w:t>
      </w:r>
      <w:r w:rsidR="006A3655">
        <w:t xml:space="preserve">discrimination </w:t>
      </w:r>
      <w:proofErr w:type="gramStart"/>
      <w:r w:rsidR="006A3655">
        <w:t>on the basis of</w:t>
      </w:r>
      <w:proofErr w:type="gramEnd"/>
      <w:r w:rsidR="006A3655">
        <w:t xml:space="preserve"> disability </w:t>
      </w:r>
      <w:r>
        <w:t>as far as possible</w:t>
      </w:r>
      <w:r w:rsidR="006A3655">
        <w:rPr>
          <w:rStyle w:val="EndnoteReference"/>
        </w:rPr>
        <w:endnoteReference w:id="104"/>
      </w:r>
      <w:r w:rsidR="006D6BE1">
        <w:t xml:space="preserve"> and to</w:t>
      </w:r>
      <w:r>
        <w:t xml:space="preserve"> ‘</w:t>
      </w:r>
      <w:r w:rsidR="005D5B9F" w:rsidRPr="00E23F7F">
        <w:t xml:space="preserve">promote </w:t>
      </w:r>
      <w:r w:rsidR="00E23F7F" w:rsidRPr="00E23F7F">
        <w:rPr>
          <w:color w:val="000000"/>
          <w:shd w:val="clear" w:color="auto" w:fill="FFFFFF"/>
        </w:rPr>
        <w:t>recognition and acceptance within the community of the principle that persons with disabilities have the same fundamental rights as the rest of the community’.</w:t>
      </w:r>
      <w:r w:rsidR="00E23F7F" w:rsidRPr="00710F73">
        <w:rPr>
          <w:rStyle w:val="EndnoteReference"/>
          <w:color w:val="000000"/>
          <w:szCs w:val="20"/>
          <w:shd w:val="clear" w:color="auto" w:fill="FFFFFF"/>
        </w:rPr>
        <w:endnoteReference w:id="105"/>
      </w:r>
      <w:r w:rsidR="00D92A77">
        <w:rPr>
          <w:color w:val="000000"/>
          <w:shd w:val="clear" w:color="auto" w:fill="FFFFFF"/>
        </w:rPr>
        <w:t xml:space="preserve"> The Transport Standards seek to address the first objective</w:t>
      </w:r>
      <w:r w:rsidR="008A604D">
        <w:rPr>
          <w:color w:val="000000"/>
          <w:shd w:val="clear" w:color="auto" w:fill="FFFFFF"/>
        </w:rPr>
        <w:t xml:space="preserve"> by enabling public transport operators and providers to remove discrimination. </w:t>
      </w:r>
      <w:r w:rsidR="00C715DC">
        <w:rPr>
          <w:color w:val="000000"/>
          <w:shd w:val="clear" w:color="auto" w:fill="FFFFFF"/>
        </w:rPr>
        <w:t xml:space="preserve">Whilst the Transport Standards </w:t>
      </w:r>
      <w:r w:rsidR="00F9453F">
        <w:rPr>
          <w:color w:val="000000"/>
          <w:shd w:val="clear" w:color="auto" w:fill="FFFFFF"/>
        </w:rPr>
        <w:t>d</w:t>
      </w:r>
      <w:r w:rsidR="00C715DC">
        <w:rPr>
          <w:color w:val="000000"/>
          <w:shd w:val="clear" w:color="auto" w:fill="FFFFFF"/>
        </w:rPr>
        <w:t>o no</w:t>
      </w:r>
      <w:r w:rsidR="00317A9B">
        <w:rPr>
          <w:color w:val="000000"/>
          <w:shd w:val="clear" w:color="auto" w:fill="FFFFFF"/>
        </w:rPr>
        <w:t xml:space="preserve">t </w:t>
      </w:r>
      <w:r w:rsidR="00CB7AAB">
        <w:rPr>
          <w:color w:val="000000"/>
          <w:shd w:val="clear" w:color="auto" w:fill="FFFFFF"/>
        </w:rPr>
        <w:t xml:space="preserve">give </w:t>
      </w:r>
      <w:r w:rsidR="00C01B7A">
        <w:rPr>
          <w:color w:val="000000"/>
          <w:shd w:val="clear" w:color="auto" w:fill="FFFFFF"/>
        </w:rPr>
        <w:t>explicit reference to rights, they acknowledge that certain rights exist,</w:t>
      </w:r>
      <w:r w:rsidR="00C01B7A">
        <w:rPr>
          <w:rStyle w:val="EndnoteReference"/>
          <w:color w:val="000000"/>
          <w:shd w:val="clear" w:color="auto" w:fill="FFFFFF"/>
        </w:rPr>
        <w:endnoteReference w:id="106"/>
      </w:r>
      <w:r w:rsidR="00C01B7A">
        <w:rPr>
          <w:color w:val="000000"/>
          <w:shd w:val="clear" w:color="auto" w:fill="FFFFFF"/>
        </w:rPr>
        <w:t xml:space="preserve"> and </w:t>
      </w:r>
      <w:r w:rsidR="00066884">
        <w:rPr>
          <w:color w:val="000000"/>
          <w:shd w:val="clear" w:color="auto" w:fill="FFFFFF"/>
        </w:rPr>
        <w:t xml:space="preserve">as subordinate legislation to the Disability Discrimination Act </w:t>
      </w:r>
      <w:r w:rsidR="000954A4">
        <w:rPr>
          <w:color w:val="000000"/>
          <w:shd w:val="clear" w:color="auto" w:fill="FFFFFF"/>
        </w:rPr>
        <w:t xml:space="preserve">have a role in giving effect to the rights under the CRPD to </w:t>
      </w:r>
      <w:r w:rsidR="00544D07">
        <w:rPr>
          <w:color w:val="000000"/>
          <w:shd w:val="clear" w:color="auto" w:fill="FFFFFF"/>
        </w:rPr>
        <w:t>achieve their purpose</w:t>
      </w:r>
      <w:r w:rsidR="000954A4">
        <w:rPr>
          <w:color w:val="000000"/>
          <w:shd w:val="clear" w:color="auto" w:fill="FFFFFF"/>
        </w:rPr>
        <w:t>.</w:t>
      </w:r>
      <w:r w:rsidR="00C8436D">
        <w:rPr>
          <w:rStyle w:val="EndnoteReference"/>
          <w:color w:val="000000"/>
          <w:shd w:val="clear" w:color="auto" w:fill="FFFFFF"/>
        </w:rPr>
        <w:endnoteReference w:id="107"/>
      </w:r>
    </w:p>
    <w:p w14:paraId="69AC17A2" w14:textId="3514FB79" w:rsidR="00317A9B" w:rsidRDefault="00BE0B9D" w:rsidP="00317A9B">
      <w:r>
        <w:t xml:space="preserve">The previous review identified that a lack of understanding </w:t>
      </w:r>
      <w:r w:rsidR="00A96B24">
        <w:t xml:space="preserve">and disability awareness </w:t>
      </w:r>
      <w:r>
        <w:t>by public transport staff act</w:t>
      </w:r>
      <w:r w:rsidR="000275F9">
        <w:t>s</w:t>
      </w:r>
      <w:r>
        <w:t xml:space="preserve"> as a barrier to public transport use by people with disability</w:t>
      </w:r>
      <w:r w:rsidR="00B91643">
        <w:t>,</w:t>
      </w:r>
      <w:r w:rsidR="007E223D">
        <w:rPr>
          <w:rStyle w:val="EndnoteReference"/>
        </w:rPr>
        <w:endnoteReference w:id="108"/>
      </w:r>
      <w:r w:rsidR="00B91643">
        <w:t xml:space="preserve"> and that </w:t>
      </w:r>
      <w:r w:rsidR="007A713B">
        <w:t xml:space="preserve">the disability community </w:t>
      </w:r>
      <w:r w:rsidR="00B37AD8">
        <w:t>called for</w:t>
      </w:r>
      <w:r w:rsidR="00525339">
        <w:t xml:space="preserve"> the</w:t>
      </w:r>
      <w:r w:rsidR="00B37AD8">
        <w:t xml:space="preserve"> </w:t>
      </w:r>
      <w:r w:rsidR="00E5036E">
        <w:t>incorporation of the CRP</w:t>
      </w:r>
      <w:r w:rsidR="003046FD">
        <w:t xml:space="preserve">D </w:t>
      </w:r>
      <w:r w:rsidR="00C90923">
        <w:t>within the Transport Standards</w:t>
      </w:r>
      <w:r w:rsidR="00E5036E">
        <w:t xml:space="preserve"> to improve accessibility outcomes.</w:t>
      </w:r>
      <w:r w:rsidR="008707E4">
        <w:rPr>
          <w:rStyle w:val="EndnoteReference"/>
        </w:rPr>
        <w:endnoteReference w:id="109"/>
      </w:r>
      <w:r>
        <w:t xml:space="preserve"> It also highlighted the need </w:t>
      </w:r>
      <w:r w:rsidR="001D7CA6">
        <w:t>for greater promotion of the Transport Standards</w:t>
      </w:r>
      <w:r w:rsidR="00BA7B58">
        <w:t xml:space="preserve"> and guidance.</w:t>
      </w:r>
      <w:r w:rsidR="00BA7B58">
        <w:rPr>
          <w:rStyle w:val="EndnoteReference"/>
        </w:rPr>
        <w:endnoteReference w:id="110"/>
      </w:r>
      <w:r w:rsidR="00F15D94">
        <w:t xml:space="preserve"> The Commission believes these to be areas requiring ongoing attention, which could benefit from </w:t>
      </w:r>
      <w:r w:rsidR="00B253DE">
        <w:t xml:space="preserve">further education </w:t>
      </w:r>
      <w:r w:rsidR="00A82124">
        <w:lastRenderedPageBreak/>
        <w:t xml:space="preserve">and guidance </w:t>
      </w:r>
      <w:r w:rsidR="00B253DE">
        <w:t>materials</w:t>
      </w:r>
      <w:r w:rsidR="00E5036E">
        <w:t xml:space="preserve"> to </w:t>
      </w:r>
      <w:r w:rsidR="006E2109">
        <w:t xml:space="preserve">promote the rights of people with disability and </w:t>
      </w:r>
      <w:r w:rsidR="00E5036E">
        <w:t xml:space="preserve">advance the objective of the </w:t>
      </w:r>
      <w:r w:rsidR="00544D07">
        <w:t>Transport Standards</w:t>
      </w:r>
      <w:r w:rsidR="006E2109">
        <w:t xml:space="preserve">. </w:t>
      </w:r>
    </w:p>
    <w:p w14:paraId="49D7B479" w14:textId="55980D25" w:rsidR="00B66662" w:rsidRDefault="00C73EFE" w:rsidP="00D910BD">
      <w:r>
        <w:t>It is a s</w:t>
      </w:r>
      <w:r w:rsidR="00317A9B" w:rsidRPr="002C2F95">
        <w:t xml:space="preserve">tatutory function of </w:t>
      </w:r>
      <w:r w:rsidR="005B2C5B">
        <w:t xml:space="preserve">the </w:t>
      </w:r>
      <w:r w:rsidR="00317A9B" w:rsidRPr="002C2F95">
        <w:t xml:space="preserve">Commission to </w:t>
      </w:r>
      <w:r>
        <w:t xml:space="preserve">promote </w:t>
      </w:r>
      <w:r w:rsidR="00AB37F9">
        <w:t xml:space="preserve">an understanding and acceptance of </w:t>
      </w:r>
      <w:r w:rsidR="00FB0272">
        <w:t>human rights in Australia</w:t>
      </w:r>
      <w:r w:rsidR="008450DA">
        <w:t>,</w:t>
      </w:r>
      <w:r w:rsidR="000A3B08">
        <w:t xml:space="preserve"> and</w:t>
      </w:r>
      <w:r w:rsidR="008450DA">
        <w:t xml:space="preserve"> to undertake educational programs for this purpose</w:t>
      </w:r>
      <w:r w:rsidR="00D17C34">
        <w:t>.</w:t>
      </w:r>
      <w:r w:rsidR="00FB0272">
        <w:rPr>
          <w:rStyle w:val="EndnoteReference"/>
        </w:rPr>
        <w:endnoteReference w:id="111"/>
      </w:r>
      <w:r w:rsidR="00D17C34">
        <w:t xml:space="preserve"> Under the Disability Discrimination Act, the Commission also has statutory functions to promote an understanding and acceptance of, and compliance with the Ac</w:t>
      </w:r>
      <w:r w:rsidR="00C83A1C">
        <w:t xml:space="preserve">t, to undertake educational programs to </w:t>
      </w:r>
      <w:r w:rsidR="00437A57">
        <w:t>promote</w:t>
      </w:r>
      <w:r w:rsidR="00C83A1C">
        <w:t xml:space="preserve"> the </w:t>
      </w:r>
      <w:r w:rsidR="00437A57">
        <w:t xml:space="preserve">objects </w:t>
      </w:r>
      <w:r w:rsidR="00C83A1C">
        <w:t xml:space="preserve">of the </w:t>
      </w:r>
      <w:r w:rsidR="00A82124">
        <w:t>A</w:t>
      </w:r>
      <w:r w:rsidR="00C83A1C">
        <w:t xml:space="preserve">ct, and to </w:t>
      </w:r>
      <w:r w:rsidR="00437A57">
        <w:t>prepare</w:t>
      </w:r>
      <w:r w:rsidR="00C83A1C">
        <w:t xml:space="preserve"> and publi</w:t>
      </w:r>
      <w:r w:rsidR="00437A57">
        <w:t>sh</w:t>
      </w:r>
      <w:r w:rsidR="00C83A1C">
        <w:t xml:space="preserve"> guidelines for the avoidance of </w:t>
      </w:r>
      <w:r w:rsidR="00437A57">
        <w:t>discrimination on the basis of disability.</w:t>
      </w:r>
      <w:r w:rsidR="00437A57">
        <w:rPr>
          <w:rStyle w:val="EndnoteReference"/>
        </w:rPr>
        <w:endnoteReference w:id="112"/>
      </w:r>
      <w:r w:rsidR="00B66662">
        <w:t xml:space="preserve"> </w:t>
      </w:r>
    </w:p>
    <w:p w14:paraId="6276B29D" w14:textId="4FE9BE6A" w:rsidR="000D1342" w:rsidRDefault="000D1342" w:rsidP="00D910BD">
      <w:r>
        <w:t xml:space="preserve">The need to translate </w:t>
      </w:r>
      <w:r w:rsidR="00B21DD0">
        <w:t>rights and responsibilities under the</w:t>
      </w:r>
      <w:r>
        <w:t xml:space="preserve"> Transport Standards</w:t>
      </w:r>
      <w:r w:rsidR="001C5638">
        <w:t xml:space="preserve">, </w:t>
      </w:r>
      <w:r w:rsidR="00DA3F9D">
        <w:t>and educate on accessibility</w:t>
      </w:r>
      <w:r>
        <w:t xml:space="preserve"> is </w:t>
      </w:r>
      <w:r w:rsidR="00DA3F9D">
        <w:t>twofold</w:t>
      </w:r>
      <w:r>
        <w:t xml:space="preserve">: </w:t>
      </w:r>
    </w:p>
    <w:p w14:paraId="644CB65E" w14:textId="38563F12" w:rsidR="005C3A7C" w:rsidRDefault="000275F9" w:rsidP="00461ACB">
      <w:pPr>
        <w:pStyle w:val="ListParagraph"/>
        <w:numPr>
          <w:ilvl w:val="0"/>
          <w:numId w:val="26"/>
        </w:numPr>
      </w:pPr>
      <w:r>
        <w:t>t</w:t>
      </w:r>
      <w:r w:rsidR="000D1342">
        <w:t>o educate people with disability on their rights</w:t>
      </w:r>
      <w:r w:rsidR="005F60FB">
        <w:t xml:space="preserve"> </w:t>
      </w:r>
      <w:r w:rsidR="00BE0B9D">
        <w:t xml:space="preserve">to accessible transport </w:t>
      </w:r>
      <w:r w:rsidR="005F60FB">
        <w:t xml:space="preserve">and </w:t>
      </w:r>
      <w:r w:rsidR="001C5638">
        <w:t xml:space="preserve">what is required of </w:t>
      </w:r>
      <w:r w:rsidR="00C52A5D">
        <w:t xml:space="preserve">operators and </w:t>
      </w:r>
      <w:r w:rsidR="001C5638">
        <w:t xml:space="preserve">providers under the Transport </w:t>
      </w:r>
      <w:r w:rsidR="00612C8C">
        <w:t>Standards</w:t>
      </w:r>
      <w:r w:rsidR="00B91643">
        <w:t>. This includes in accessible and easy read formats</w:t>
      </w:r>
      <w:r w:rsidR="00C2301B">
        <w:t>.</w:t>
      </w:r>
    </w:p>
    <w:p w14:paraId="1DD1A662" w14:textId="68010BF7" w:rsidR="001C5638" w:rsidRDefault="000275F9" w:rsidP="00461ACB">
      <w:pPr>
        <w:pStyle w:val="ListParagraph"/>
        <w:numPr>
          <w:ilvl w:val="0"/>
          <w:numId w:val="26"/>
        </w:numPr>
      </w:pPr>
      <w:r>
        <w:t>t</w:t>
      </w:r>
      <w:r w:rsidR="001C5638">
        <w:t xml:space="preserve">o build capacity </w:t>
      </w:r>
      <w:r w:rsidR="00DA3F9D">
        <w:t>of the sector to</w:t>
      </w:r>
      <w:r w:rsidR="00993736">
        <w:t xml:space="preserve"> understand </w:t>
      </w:r>
      <w:r w:rsidR="00BE0B9D">
        <w:t xml:space="preserve">the rights of people with disability, </w:t>
      </w:r>
      <w:r w:rsidR="000E06F9">
        <w:t xml:space="preserve">their responsibilities as a duty </w:t>
      </w:r>
      <w:r w:rsidR="00C52A5D">
        <w:t xml:space="preserve">holder </w:t>
      </w:r>
      <w:r w:rsidR="000E06F9">
        <w:t>under the Transport Standards</w:t>
      </w:r>
      <w:r w:rsidR="00993736">
        <w:t xml:space="preserve">, </w:t>
      </w:r>
      <w:r w:rsidR="00BE0B9D">
        <w:t xml:space="preserve">and </w:t>
      </w:r>
      <w:r w:rsidR="00993736">
        <w:t xml:space="preserve">to identify, respond to and prevent </w:t>
      </w:r>
      <w:r w:rsidR="00F70E7E">
        <w:t>non-compliance.</w:t>
      </w:r>
      <w:r w:rsidR="005C3A7C">
        <w:t xml:space="preserve"> </w:t>
      </w:r>
      <w:r w:rsidR="00643811">
        <w:t xml:space="preserve">This </w:t>
      </w:r>
      <w:r w:rsidR="00CD6147">
        <w:t>could also</w:t>
      </w:r>
      <w:r w:rsidR="00643811">
        <w:t xml:space="preserve"> include providing further </w:t>
      </w:r>
      <w:r w:rsidR="00CD6147">
        <w:t xml:space="preserve">assistance on the development of disability action plans. </w:t>
      </w:r>
    </w:p>
    <w:p w14:paraId="1DC21350" w14:textId="4F0D92FB" w:rsidR="00B66662" w:rsidRPr="00E23F7F" w:rsidRDefault="00AD396A" w:rsidP="00B66662">
      <w:r>
        <w:t xml:space="preserve">There is also a </w:t>
      </w:r>
      <w:r w:rsidR="00E519E4">
        <w:t xml:space="preserve">general </w:t>
      </w:r>
      <w:r>
        <w:t xml:space="preserve">need to improve the awareness of accessibility </w:t>
      </w:r>
      <w:r w:rsidR="00F52DB5">
        <w:t>within transport sector</w:t>
      </w:r>
      <w:r w:rsidR="00E519E4">
        <w:t>s</w:t>
      </w:r>
      <w:r w:rsidR="00F52DB5">
        <w:t xml:space="preserve">, as identified </w:t>
      </w:r>
      <w:r w:rsidR="002E191A">
        <w:t>by</w:t>
      </w:r>
      <w:r w:rsidR="00F52DB5">
        <w:t xml:space="preserve"> the previously mentioned International Transport Forum Report.</w:t>
      </w:r>
      <w:r w:rsidR="00F52DB5">
        <w:rPr>
          <w:rStyle w:val="EndnoteReference"/>
        </w:rPr>
        <w:endnoteReference w:id="113"/>
      </w:r>
      <w:r w:rsidR="00F52DB5">
        <w:t xml:space="preserve"> </w:t>
      </w:r>
      <w:r w:rsidR="00B66662">
        <w:t>The Commission</w:t>
      </w:r>
      <w:r w:rsidR="000275F9">
        <w:t>’</w:t>
      </w:r>
      <w:r w:rsidR="00B66662">
        <w:t>s Equivalent Access Guidelines</w:t>
      </w:r>
      <w:r w:rsidR="00B66662">
        <w:rPr>
          <w:rStyle w:val="EndnoteReference"/>
        </w:rPr>
        <w:endnoteReference w:id="114"/>
      </w:r>
      <w:r w:rsidR="00B66662">
        <w:t xml:space="preserve"> and </w:t>
      </w:r>
      <w:r w:rsidR="00B66662" w:rsidRPr="005B2C5B">
        <w:t>the Department</w:t>
      </w:r>
      <w:r w:rsidR="000275F9">
        <w:t>’</w:t>
      </w:r>
      <w:r w:rsidR="00B66662" w:rsidRPr="005B2C5B">
        <w:t>s</w:t>
      </w:r>
      <w:r w:rsidR="00B66662">
        <w:t xml:space="preserve"> Whole of Journey Guide</w:t>
      </w:r>
      <w:r w:rsidR="00B66662">
        <w:rPr>
          <w:rStyle w:val="EndnoteReference"/>
        </w:rPr>
        <w:endnoteReference w:id="115"/>
      </w:r>
      <w:r w:rsidR="00B66662">
        <w:t xml:space="preserve"> are positive examples of approaches to build capacity of the sector towards best practice and proactive effort. </w:t>
      </w:r>
      <w:r w:rsidR="00F6081D">
        <w:t>T</w:t>
      </w:r>
      <w:r w:rsidR="00B66662">
        <w:t xml:space="preserve">here is </w:t>
      </w:r>
      <w:r w:rsidR="00F6081D">
        <w:t>also</w:t>
      </w:r>
      <w:r w:rsidR="00B66662">
        <w:t xml:space="preserve"> more that can be done to </w:t>
      </w:r>
      <w:r w:rsidR="00716B11">
        <w:t xml:space="preserve">work with stakeholders and people with disability to co-design better guidance </w:t>
      </w:r>
      <w:r w:rsidR="00D57C9B">
        <w:t xml:space="preserve">to facilitate the inclusion of people with disability on public transport. </w:t>
      </w:r>
    </w:p>
    <w:p w14:paraId="3546F6FF" w14:textId="60949D2E" w:rsidR="00B66662" w:rsidRDefault="00B66662" w:rsidP="00B66662">
      <w:r>
        <w:t xml:space="preserve">The Commission has been told in consultations that there </w:t>
      </w:r>
      <w:r w:rsidR="0045779E">
        <w:t xml:space="preserve">would be </w:t>
      </w:r>
      <w:r>
        <w:t>value in expanding the range of guidance materials, particularly on emerging issues</w:t>
      </w:r>
      <w:r w:rsidR="004B2E14">
        <w:t>.</w:t>
      </w:r>
      <w:r>
        <w:rPr>
          <w:rStyle w:val="EndnoteReference"/>
        </w:rPr>
        <w:endnoteReference w:id="116"/>
      </w:r>
      <w:r w:rsidR="00346FFC">
        <w:t xml:space="preserve"> </w:t>
      </w:r>
      <w:r w:rsidR="00005891">
        <w:t>H</w:t>
      </w:r>
      <w:r>
        <w:t>owever</w:t>
      </w:r>
      <w:r w:rsidR="00C20E33">
        <w:t>,</w:t>
      </w:r>
      <w:r>
        <w:t xml:space="preserve"> in addition to resourcing of the Commission </w:t>
      </w:r>
      <w:r w:rsidR="00005891">
        <w:t>being a</w:t>
      </w:r>
      <w:r>
        <w:t xml:space="preserve"> key constraint</w:t>
      </w:r>
      <w:r w:rsidR="00005891">
        <w:t xml:space="preserve">, </w:t>
      </w:r>
      <w:r w:rsidR="00116C1F">
        <w:t>there are limitations to providing guidance where there is a lack</w:t>
      </w:r>
      <w:r w:rsidR="00B80415">
        <w:t xml:space="preserve"> of judicial interpretation which re</w:t>
      </w:r>
      <w:r w:rsidR="0027236E">
        <w:t xml:space="preserve">quires these materials to be generalised rather than a precise interpretation of the law. </w:t>
      </w:r>
      <w:r>
        <w:t>The Commission is dedicated to engag</w:t>
      </w:r>
      <w:r w:rsidR="00F5123E">
        <w:t>ing</w:t>
      </w:r>
      <w:r>
        <w:t xml:space="preserve"> with key stakeholders to identify where guidance material would be of most value</w:t>
      </w:r>
      <w:r w:rsidR="0050397B">
        <w:t xml:space="preserve"> acknowledging these limitations</w:t>
      </w:r>
      <w:r>
        <w:t xml:space="preserve">. </w:t>
      </w:r>
    </w:p>
    <w:p w14:paraId="6A8BD29D" w14:textId="670B1568" w:rsidR="00185FE9" w:rsidRDefault="009F4EA7" w:rsidP="00B66662">
      <w:r>
        <w:t xml:space="preserve">See recommendation 14 regarding </w:t>
      </w:r>
      <w:r w:rsidR="00236A53">
        <w:t xml:space="preserve">resourcing the </w:t>
      </w:r>
      <w:r w:rsidR="004028D4">
        <w:t>Commission to</w:t>
      </w:r>
      <w:r w:rsidR="00FA6C48">
        <w:t xml:space="preserve"> ensure it </w:t>
      </w:r>
      <w:r w:rsidR="007B6AFC">
        <w:t>has sufficient funding to</w:t>
      </w:r>
      <w:r w:rsidR="004028D4">
        <w:t xml:space="preserve"> undert</w:t>
      </w:r>
      <w:r w:rsidR="00FA6C48">
        <w:t>ake its statutory functions</w:t>
      </w:r>
      <w:r w:rsidR="00FC4EB3">
        <w:t>. This</w:t>
      </w:r>
      <w:r w:rsidR="007B6AFC">
        <w:t xml:space="preserve"> will </w:t>
      </w:r>
      <w:r w:rsidR="00FC4EB3">
        <w:t xml:space="preserve">enhance the </w:t>
      </w:r>
      <w:r w:rsidR="00FC4EB3">
        <w:lastRenderedPageBreak/>
        <w:t>capacity of the Commission to develop further resources, guidance, and education materials</w:t>
      </w:r>
      <w:r w:rsidR="00887D02">
        <w:t xml:space="preserve"> </w:t>
      </w:r>
      <w:r w:rsidR="00FC4EB3">
        <w:t xml:space="preserve">and to engage with key stakeholders on the Transport </w:t>
      </w:r>
      <w:r w:rsidR="00F44594">
        <w:t>S</w:t>
      </w:r>
      <w:r w:rsidR="00FC4EB3">
        <w:t xml:space="preserve">tandards. </w:t>
      </w:r>
    </w:p>
    <w:p w14:paraId="3234EB84" w14:textId="77777777" w:rsidR="008D64DC" w:rsidRDefault="008D64DC" w:rsidP="00A17F39">
      <w:pPr>
        <w:pStyle w:val="Heading2"/>
      </w:pPr>
      <w:bookmarkStart w:id="34" w:name="_Toc138090508"/>
      <w:r>
        <w:t>International Examples</w:t>
      </w:r>
      <w:bookmarkEnd w:id="34"/>
      <w:r>
        <w:t xml:space="preserve"> </w:t>
      </w:r>
    </w:p>
    <w:p w14:paraId="6B8761C3" w14:textId="7800EFCA" w:rsidR="00B27225" w:rsidRDefault="00F20374" w:rsidP="003D4DFB">
      <w:r>
        <w:t xml:space="preserve">International examples of best practice regarding transport accessibility and regulation should be considered by the Department in this review. </w:t>
      </w:r>
    </w:p>
    <w:p w14:paraId="06374346" w14:textId="66FF7FB0" w:rsidR="00E56E4C" w:rsidRDefault="007777E0" w:rsidP="003D4DFB">
      <w:r>
        <w:t>One example</w:t>
      </w:r>
      <w:r w:rsidR="00EC069F">
        <w:t xml:space="preserve"> is the </w:t>
      </w:r>
      <w:r w:rsidR="0035356B">
        <w:rPr>
          <w:i/>
          <w:iCs/>
        </w:rPr>
        <w:t xml:space="preserve">Accessible Canada Act </w:t>
      </w:r>
      <w:r w:rsidR="0035356B">
        <w:t>passed</w:t>
      </w:r>
      <w:r>
        <w:t xml:space="preserve"> in 2019. Th</w:t>
      </w:r>
      <w:r w:rsidR="00FB5A6B">
        <w:t xml:space="preserve">e purpose of the Act is to remove </w:t>
      </w:r>
      <w:r w:rsidR="0099153C">
        <w:t xml:space="preserve">and prevent barriers </w:t>
      </w:r>
      <w:r w:rsidR="00A033FC">
        <w:t xml:space="preserve">to access </w:t>
      </w:r>
      <w:r w:rsidR="0099153C">
        <w:t>in Canada by 1 January 2040</w:t>
      </w:r>
      <w:r w:rsidR="00F62554">
        <w:t xml:space="preserve"> across a wide range of areas including, but not limited to, the built environment, transportation, and employment.</w:t>
      </w:r>
      <w:r w:rsidR="00EF5769">
        <w:rPr>
          <w:rStyle w:val="EndnoteReference"/>
        </w:rPr>
        <w:endnoteReference w:id="117"/>
      </w:r>
      <w:r w:rsidR="00D5443B">
        <w:t xml:space="preserve"> </w:t>
      </w:r>
      <w:r w:rsidR="00843141">
        <w:t xml:space="preserve">The Act </w:t>
      </w:r>
      <w:r w:rsidR="00975B1C">
        <w:t>includes a</w:t>
      </w:r>
      <w:r w:rsidR="00843141">
        <w:t xml:space="preserve"> positive dut</w:t>
      </w:r>
      <w:r w:rsidR="00391564">
        <w:t xml:space="preserve">y </w:t>
      </w:r>
      <w:r w:rsidR="00975B1C">
        <w:t xml:space="preserve">on </w:t>
      </w:r>
      <w:r w:rsidR="008669BC">
        <w:t xml:space="preserve">federally </w:t>
      </w:r>
      <w:r w:rsidR="00975B1C">
        <w:t>regulated entities</w:t>
      </w:r>
      <w:r w:rsidR="005F415B">
        <w:t xml:space="preserve"> to prepare, publish and report </w:t>
      </w:r>
      <w:r w:rsidR="00236FBD">
        <w:t xml:space="preserve">on accessibility plans </w:t>
      </w:r>
      <w:r w:rsidR="008841DE">
        <w:t>to identify, remove and prevent accessibility barriers through their policies, programs, practices and services.</w:t>
      </w:r>
      <w:r w:rsidR="008841DE">
        <w:rPr>
          <w:rStyle w:val="EndnoteReference"/>
        </w:rPr>
        <w:endnoteReference w:id="118"/>
      </w:r>
      <w:r w:rsidR="00843141">
        <w:t xml:space="preserve"> </w:t>
      </w:r>
      <w:r w:rsidR="008841DE">
        <w:t>This also includes the duty to consult people with disabilities</w:t>
      </w:r>
      <w:r w:rsidR="00580BF2">
        <w:t xml:space="preserve"> and to update their plans every three years.</w:t>
      </w:r>
      <w:r w:rsidR="00E56E4C">
        <w:rPr>
          <w:rStyle w:val="EndnoteReference"/>
        </w:rPr>
        <w:endnoteReference w:id="119"/>
      </w:r>
      <w:r w:rsidR="00E56E4C">
        <w:t xml:space="preserve"> </w:t>
      </w:r>
    </w:p>
    <w:p w14:paraId="7F54EE1B" w14:textId="5445B2A9" w:rsidR="000227CB" w:rsidRPr="000227CB" w:rsidRDefault="000227CB" w:rsidP="003D4DFB">
      <w:r>
        <w:t xml:space="preserve">The Act establishes the mandate for the Canadian Accessibility Standards </w:t>
      </w:r>
      <w:r w:rsidR="00835F88">
        <w:t>D</w:t>
      </w:r>
      <w:r>
        <w:t xml:space="preserve">evelopment Organisation to </w:t>
      </w:r>
      <w:r w:rsidR="00ED507C">
        <w:t>develop accessibility standards</w:t>
      </w:r>
      <w:r w:rsidR="009F2F32">
        <w:t>,</w:t>
      </w:r>
      <w:r w:rsidR="00ED507C">
        <w:rPr>
          <w:rStyle w:val="EndnoteReference"/>
        </w:rPr>
        <w:endnoteReference w:id="120"/>
      </w:r>
      <w:r w:rsidR="00ED507C">
        <w:t xml:space="preserve"> </w:t>
      </w:r>
      <w:r w:rsidR="00C456D3">
        <w:t>and the Accessibility Commissioner</w:t>
      </w:r>
      <w:r w:rsidR="00EF71AB">
        <w:t xml:space="preserve"> to monitor and enforce the Ac</w:t>
      </w:r>
      <w:r w:rsidR="00F23BE4">
        <w:t>t, including</w:t>
      </w:r>
      <w:r w:rsidR="00C41DEA">
        <w:t xml:space="preserve"> compliance orders</w:t>
      </w:r>
      <w:r w:rsidR="000B0C60">
        <w:t>.</w:t>
      </w:r>
      <w:r w:rsidR="00A02160">
        <w:rPr>
          <w:rStyle w:val="EndnoteReference"/>
        </w:rPr>
        <w:endnoteReference w:id="121"/>
      </w:r>
      <w:r w:rsidR="000B0C60">
        <w:t xml:space="preserve"> The Accessibility Commissioner is a member of the Canadian Human Rights Commission</w:t>
      </w:r>
      <w:r w:rsidR="00AB2247">
        <w:t xml:space="preserve"> at the federal level</w:t>
      </w:r>
      <w:r w:rsidR="000B0C60">
        <w:t xml:space="preserve">. </w:t>
      </w:r>
      <w:r w:rsidR="0081791F">
        <w:t xml:space="preserve">Although the Australian Disability Discrimination Commissioner and the Canadian Accessibility Commissioner share similar roles in relation to reporting to Ministers in respect to their relevant legislation, </w:t>
      </w:r>
      <w:r w:rsidR="000A060A">
        <w:t>there are no equivalent regulatory powers to enforce compliance</w:t>
      </w:r>
      <w:r w:rsidR="009F2F32">
        <w:t xml:space="preserve"> in Australia</w:t>
      </w:r>
      <w:r w:rsidR="000A060A">
        <w:t xml:space="preserve">. </w:t>
      </w:r>
    </w:p>
    <w:p w14:paraId="6BA1C7E7" w14:textId="57AB9635" w:rsidR="00EC069F" w:rsidRDefault="00D5443B" w:rsidP="003D4DFB">
      <w:r>
        <w:t xml:space="preserve">The Act is accompanied by the </w:t>
      </w:r>
      <w:r>
        <w:rPr>
          <w:i/>
          <w:iCs/>
        </w:rPr>
        <w:t>Accessible Canada Regulations</w:t>
      </w:r>
      <w:r>
        <w:t xml:space="preserve"> which outlines duty </w:t>
      </w:r>
      <w:r w:rsidR="00E56E4C">
        <w:t>holders’</w:t>
      </w:r>
      <w:r>
        <w:t xml:space="preserve"> </w:t>
      </w:r>
      <w:r w:rsidR="00843141">
        <w:t xml:space="preserve">responsibilities regarding </w:t>
      </w:r>
      <w:r w:rsidR="00337B2D">
        <w:t xml:space="preserve">accessibility plans and </w:t>
      </w:r>
      <w:r w:rsidR="00C41DEA">
        <w:t xml:space="preserve">penalties </w:t>
      </w:r>
      <w:r w:rsidR="00C55877">
        <w:t xml:space="preserve">for non-compliance. </w:t>
      </w:r>
    </w:p>
    <w:p w14:paraId="3531CC0E" w14:textId="0D95977E" w:rsidR="00430D0F" w:rsidRDefault="006D7BD4" w:rsidP="003D4DFB">
      <w:r>
        <w:t>Accessibility st</w:t>
      </w:r>
      <w:r w:rsidR="00F00372">
        <w:t>andards developed are considered voluntary until they are adopted into re</w:t>
      </w:r>
      <w:r w:rsidR="004A35DD">
        <w:t xml:space="preserve">gulation making them mandatory. </w:t>
      </w:r>
      <w:r>
        <w:t xml:space="preserve">The Canadian Government have yet to establish any accessibility standards, however </w:t>
      </w:r>
      <w:r w:rsidR="001E26B6">
        <w:t xml:space="preserve">the </w:t>
      </w:r>
      <w:r w:rsidR="00550AE5">
        <w:t xml:space="preserve">standards will impose the same duty to identify, eliminate and prevent barriers to accessibility. </w:t>
      </w:r>
    </w:p>
    <w:p w14:paraId="074D7187" w14:textId="01A1B9E9" w:rsidR="00E9511C" w:rsidRDefault="00011908" w:rsidP="003D4DFB">
      <w:r>
        <w:t>This is a positive example of the harmonisation of accessibility legislation across various settings and entities to ensure there is a consistent removal of barriers for people with disability</w:t>
      </w:r>
      <w:r w:rsidR="00550AE5">
        <w:t>, while acknowledging the need for technical specificity as required</w:t>
      </w:r>
      <w:r w:rsidR="008D175B">
        <w:t>.</w:t>
      </w:r>
      <w:r w:rsidR="002064EB">
        <w:t xml:space="preserve"> </w:t>
      </w:r>
      <w:r w:rsidR="00D344C8">
        <w:t>The</w:t>
      </w:r>
      <w:r w:rsidR="00430D0F">
        <w:t xml:space="preserve"> Act </w:t>
      </w:r>
      <w:r w:rsidR="00D344C8">
        <w:t>also</w:t>
      </w:r>
      <w:r w:rsidR="00430D0F">
        <w:t xml:space="preserve"> refers to the benefit of ‘all persons’ acknowledging that accessibility practices have broad reaching societal impact</w:t>
      </w:r>
      <w:r w:rsidR="00550AE5">
        <w:t>.</w:t>
      </w:r>
    </w:p>
    <w:p w14:paraId="31134755" w14:textId="735592AF" w:rsidR="00011908" w:rsidRPr="00D5443B" w:rsidRDefault="00E9511C" w:rsidP="003D4DFB">
      <w:r>
        <w:rPr>
          <w:b/>
          <w:bCs/>
        </w:rPr>
        <w:lastRenderedPageBreak/>
        <w:t xml:space="preserve">Recommendation </w:t>
      </w:r>
      <w:r w:rsidR="005535AC">
        <w:rPr>
          <w:b/>
          <w:bCs/>
        </w:rPr>
        <w:t>2</w:t>
      </w:r>
      <w:r w:rsidR="00147308">
        <w:rPr>
          <w:b/>
          <w:bCs/>
        </w:rPr>
        <w:t>0</w:t>
      </w:r>
      <w:r>
        <w:rPr>
          <w:b/>
          <w:bCs/>
        </w:rPr>
        <w:t xml:space="preserve">: The Australian Government should consider international examples of best practice in the context of the review. </w:t>
      </w:r>
    </w:p>
    <w:p w14:paraId="26C6B9B5" w14:textId="028B549B" w:rsidR="00B6672F" w:rsidRDefault="00B6672F" w:rsidP="00F66D5C">
      <w:pPr>
        <w:pStyle w:val="Heading1"/>
      </w:pPr>
      <w:bookmarkStart w:id="35" w:name="_Toc138090509"/>
      <w:r>
        <w:t>Conclusion</w:t>
      </w:r>
      <w:bookmarkEnd w:id="35"/>
      <w:r>
        <w:t xml:space="preserve"> </w:t>
      </w:r>
    </w:p>
    <w:p w14:paraId="20CCFE3D" w14:textId="47C3EADF" w:rsidR="00824A9A" w:rsidRDefault="00C012AD" w:rsidP="00A53437">
      <w:r>
        <w:t xml:space="preserve">Access to transport </w:t>
      </w:r>
      <w:r w:rsidR="009B568B">
        <w:t>enabl</w:t>
      </w:r>
      <w:r w:rsidR="00AA1DFC">
        <w:t>es</w:t>
      </w:r>
      <w:r w:rsidR="009B568B">
        <w:t xml:space="preserve"> inclusion and participation in </w:t>
      </w:r>
      <w:r w:rsidR="00E613C9">
        <w:t xml:space="preserve">the community for all people. </w:t>
      </w:r>
      <w:r w:rsidR="00AA1DFC">
        <w:t>It also plays a critical role in social and economic life, having positive impacts on health, employment, social</w:t>
      </w:r>
      <w:r w:rsidR="004A2ECE">
        <w:t xml:space="preserve">, and education outcomes. For people with disability, transport is also essential to enabling consistent and reliable access to disability supports and services. </w:t>
      </w:r>
      <w:r w:rsidR="00F102DE">
        <w:rPr>
          <w:rStyle w:val="ui-provider"/>
        </w:rPr>
        <w:t>Ensuring the Transport Standards are effective in achieving their intended purpose to remove discrimination is vital to improving outcomes and the realisation of economic, social and cultural rights for people with disability</w:t>
      </w:r>
      <w:r w:rsidR="001D4291">
        <w:rPr>
          <w:rStyle w:val="ui-provider"/>
        </w:rPr>
        <w:t xml:space="preserve">. </w:t>
      </w:r>
    </w:p>
    <w:p w14:paraId="7B33FD2F" w14:textId="71FE8EB1" w:rsidR="00A53437" w:rsidRPr="001F4F87" w:rsidRDefault="00A53437" w:rsidP="00A53437">
      <w:r>
        <w:t>A lack of</w:t>
      </w:r>
      <w:r w:rsidRPr="00EC5FAC">
        <w:t xml:space="preserve"> full compliance to the Transport Standards means people with disability in Australia continue to face discrimination on public transport and are disadvantaged across the whole journey. </w:t>
      </w:r>
      <w:r>
        <w:t xml:space="preserve">Without stronger regulatory </w:t>
      </w:r>
      <w:r w:rsidR="00F102DE">
        <w:t>mechanisms</w:t>
      </w:r>
      <w:r>
        <w:t xml:space="preserve"> to ensure compliance to the Transport Standards and the Disability Discrimination Act, the capacity of the Transport Standards to create systemic change will be limited. </w:t>
      </w:r>
    </w:p>
    <w:p w14:paraId="342B6DD7" w14:textId="15881007" w:rsidR="00104FD0" w:rsidRDefault="00B6672F" w:rsidP="0088526A">
      <w:r>
        <w:rPr>
          <w:rStyle w:val="ui-provider"/>
        </w:rPr>
        <w:t xml:space="preserve">The </w:t>
      </w:r>
      <w:r w:rsidRPr="0044097D">
        <w:rPr>
          <w:rStyle w:val="ui-provider"/>
        </w:rPr>
        <w:t>importance</w:t>
      </w:r>
      <w:r>
        <w:rPr>
          <w:rStyle w:val="ui-provider"/>
        </w:rPr>
        <w:t xml:space="preserve"> of the Transport Standards</w:t>
      </w:r>
      <w:r w:rsidRPr="0044097D">
        <w:rPr>
          <w:rStyle w:val="ui-provider"/>
        </w:rPr>
        <w:t xml:space="preserve"> in the broader disability policy landscape should not be understated</w:t>
      </w:r>
      <w:r w:rsidR="00F47446">
        <w:rPr>
          <w:rStyle w:val="ui-provider"/>
        </w:rPr>
        <w:t xml:space="preserve">. </w:t>
      </w:r>
      <w:r w:rsidR="00104FD0">
        <w:t>Given there will not be an opportunity to review the Transport Standards for another 10 years, it is vital that the outcomes of this review represent the views and lived experience of the disability community with the central goal to improve accessibility, not limit the intended effect of the Transport Standards</w:t>
      </w:r>
      <w:r w:rsidR="00466CBA">
        <w:t xml:space="preserve"> for another decade</w:t>
      </w:r>
      <w:r w:rsidR="00104FD0">
        <w:t xml:space="preserve">. </w:t>
      </w:r>
      <w:r w:rsidR="003570F3">
        <w:rPr>
          <w:rStyle w:val="ui-provider"/>
        </w:rPr>
        <w:t>As such, the</w:t>
      </w:r>
      <w:r w:rsidR="003570F3" w:rsidRPr="0044097D">
        <w:rPr>
          <w:rStyle w:val="ui-provider"/>
        </w:rPr>
        <w:t xml:space="preserve"> review should seek to </w:t>
      </w:r>
      <w:r w:rsidR="003570F3">
        <w:rPr>
          <w:rStyle w:val="ui-provider"/>
        </w:rPr>
        <w:t>enhance the regulatory framework</w:t>
      </w:r>
      <w:r w:rsidR="003570F3" w:rsidRPr="0044097D">
        <w:rPr>
          <w:rStyle w:val="ui-provider"/>
        </w:rPr>
        <w:t xml:space="preserve"> </w:t>
      </w:r>
      <w:r w:rsidR="003570F3">
        <w:rPr>
          <w:rStyle w:val="ui-provider"/>
        </w:rPr>
        <w:t>to build a culture of inclusion rather than non-complia</w:t>
      </w:r>
      <w:r w:rsidR="0099029C">
        <w:rPr>
          <w:rStyle w:val="ui-provider"/>
        </w:rPr>
        <w:t>nt practice</w:t>
      </w:r>
      <w:r w:rsidR="003570F3">
        <w:rPr>
          <w:rStyle w:val="ui-provider"/>
        </w:rPr>
        <w:t xml:space="preserve">. </w:t>
      </w:r>
    </w:p>
    <w:p w14:paraId="461E7F9D" w14:textId="71C459A1" w:rsidR="0088526A" w:rsidRDefault="00C64738" w:rsidP="0088526A">
      <w:r>
        <w:rPr>
          <w:rStyle w:val="ui-provider"/>
        </w:rPr>
        <w:t xml:space="preserve">If </w:t>
      </w:r>
      <w:r w:rsidR="007A4E4C">
        <w:rPr>
          <w:rStyle w:val="ui-provider"/>
        </w:rPr>
        <w:t xml:space="preserve">reviewed </w:t>
      </w:r>
      <w:r>
        <w:rPr>
          <w:rStyle w:val="ui-provider"/>
        </w:rPr>
        <w:t xml:space="preserve">with </w:t>
      </w:r>
      <w:r w:rsidR="00A64FF0">
        <w:rPr>
          <w:rStyle w:val="ui-provider"/>
        </w:rPr>
        <w:t xml:space="preserve">the benefits to </w:t>
      </w:r>
      <w:r>
        <w:rPr>
          <w:rStyle w:val="ui-provider"/>
        </w:rPr>
        <w:t>people with disability at the centre</w:t>
      </w:r>
      <w:r w:rsidR="00A64FF0">
        <w:rPr>
          <w:rStyle w:val="ui-provider"/>
        </w:rPr>
        <w:t xml:space="preserve"> of decision-making, the </w:t>
      </w:r>
      <w:r w:rsidR="00F47446">
        <w:rPr>
          <w:rStyle w:val="ui-provider"/>
        </w:rPr>
        <w:t>Transport Standards</w:t>
      </w:r>
      <w:r w:rsidR="00FF121C">
        <w:rPr>
          <w:rStyle w:val="ui-provider"/>
        </w:rPr>
        <w:t xml:space="preserve"> </w:t>
      </w:r>
      <w:r w:rsidR="00A64FF0">
        <w:rPr>
          <w:rStyle w:val="ui-provider"/>
        </w:rPr>
        <w:t>can be a vital</w:t>
      </w:r>
      <w:r w:rsidR="00FF121C">
        <w:rPr>
          <w:rStyle w:val="ui-provider"/>
        </w:rPr>
        <w:t xml:space="preserve"> </w:t>
      </w:r>
      <w:r>
        <w:rPr>
          <w:rStyle w:val="ui-provider"/>
        </w:rPr>
        <w:t xml:space="preserve">platform from which the benefits of </w:t>
      </w:r>
      <w:r w:rsidR="00A64FF0">
        <w:rPr>
          <w:rStyle w:val="ui-provider"/>
        </w:rPr>
        <w:t xml:space="preserve">inclusion and </w:t>
      </w:r>
      <w:r>
        <w:rPr>
          <w:rStyle w:val="ui-provider"/>
        </w:rPr>
        <w:t>accessibility can be</w:t>
      </w:r>
      <w:r w:rsidR="00B6672F" w:rsidRPr="0044097D">
        <w:rPr>
          <w:rStyle w:val="ui-provider"/>
        </w:rPr>
        <w:t xml:space="preserve"> </w:t>
      </w:r>
      <w:r w:rsidR="007A4E4C">
        <w:rPr>
          <w:rStyle w:val="ui-provider"/>
        </w:rPr>
        <w:t>demonstrated</w:t>
      </w:r>
      <w:r w:rsidR="00D91D55">
        <w:rPr>
          <w:rStyle w:val="ui-provider"/>
        </w:rPr>
        <w:t xml:space="preserve">, </w:t>
      </w:r>
      <w:r w:rsidR="007A4E4C">
        <w:rPr>
          <w:rStyle w:val="ui-provider"/>
        </w:rPr>
        <w:t>mov</w:t>
      </w:r>
      <w:r w:rsidR="00D91D55">
        <w:rPr>
          <w:rStyle w:val="ui-provider"/>
        </w:rPr>
        <w:t xml:space="preserve">ing </w:t>
      </w:r>
      <w:r w:rsidR="007A4E4C">
        <w:rPr>
          <w:rStyle w:val="ui-provider"/>
        </w:rPr>
        <w:t>Australia towards a system of more equitable and universal infrastructure design</w:t>
      </w:r>
      <w:r w:rsidR="00EE2C77">
        <w:rPr>
          <w:rStyle w:val="ui-provider"/>
        </w:rPr>
        <w:t xml:space="preserve"> and policy</w:t>
      </w:r>
      <w:r w:rsidR="007A4E4C">
        <w:rPr>
          <w:rStyle w:val="ui-provider"/>
        </w:rPr>
        <w:t xml:space="preserve">. </w:t>
      </w:r>
      <w:r w:rsidR="00E4164F">
        <w:rPr>
          <w:rStyle w:val="ui-provider"/>
        </w:rPr>
        <w:t xml:space="preserve">This may also require harmonisation of </w:t>
      </w:r>
      <w:r w:rsidR="00423F9F">
        <w:rPr>
          <w:rStyle w:val="ui-provider"/>
        </w:rPr>
        <w:t xml:space="preserve">accessibility legislation in Australia to </w:t>
      </w:r>
      <w:r w:rsidR="00235022">
        <w:rPr>
          <w:rStyle w:val="ui-provider"/>
        </w:rPr>
        <w:t>address barriers to transport outside the scope of this review</w:t>
      </w:r>
      <w:r w:rsidR="004F1FDF">
        <w:rPr>
          <w:rStyle w:val="ui-provider"/>
        </w:rPr>
        <w:t xml:space="preserve"> or the Transport Standards</w:t>
      </w:r>
      <w:r w:rsidR="00235022">
        <w:rPr>
          <w:rStyle w:val="ui-provider"/>
        </w:rPr>
        <w:t xml:space="preserve">. True accessibility and inclusion cannot be achieved in isolation from the broader </w:t>
      </w:r>
      <w:r w:rsidR="008521E2">
        <w:rPr>
          <w:rStyle w:val="ui-provider"/>
        </w:rPr>
        <w:t>environment and has social and economic benefit for all people</w:t>
      </w:r>
      <w:r w:rsidR="00642193">
        <w:rPr>
          <w:rStyle w:val="ui-provider"/>
        </w:rPr>
        <w:t xml:space="preserve">. </w:t>
      </w:r>
    </w:p>
    <w:p w14:paraId="43AEEE0C" w14:textId="23A9DE11" w:rsidR="0088526A" w:rsidRDefault="0088526A">
      <w:pPr>
        <w:spacing w:before="0" w:after="0"/>
      </w:pPr>
      <w:r>
        <w:br w:type="page"/>
      </w:r>
    </w:p>
    <w:p w14:paraId="32FCEE8A" w14:textId="77777777" w:rsidR="003423F4" w:rsidRPr="0088526A" w:rsidRDefault="003423F4" w:rsidP="0088526A"/>
    <w:sectPr w:rsidR="003423F4" w:rsidRPr="0088526A" w:rsidSect="0061320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9EE" w14:textId="77777777" w:rsidR="00820B9F" w:rsidRDefault="00820B9F" w:rsidP="00F14C6D">
      <w:r>
        <w:separator/>
      </w:r>
    </w:p>
  </w:endnote>
  <w:endnote w:type="continuationSeparator" w:id="0">
    <w:p w14:paraId="1EA8178A" w14:textId="77777777" w:rsidR="00820B9F" w:rsidRDefault="00820B9F" w:rsidP="00F14C6D">
      <w:r>
        <w:continuationSeparator/>
      </w:r>
    </w:p>
  </w:endnote>
  <w:endnote w:type="continuationNotice" w:id="1">
    <w:p w14:paraId="3EA27538" w14:textId="77777777" w:rsidR="00820B9F" w:rsidRDefault="00820B9F">
      <w:pPr>
        <w:spacing w:before="0" w:after="0"/>
      </w:pPr>
    </w:p>
  </w:endnote>
  <w:endnote w:id="2">
    <w:p w14:paraId="7A758DAD" w14:textId="3DE103D4" w:rsidR="00A02EA4" w:rsidRPr="0016306F" w:rsidRDefault="00A02EA4">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Disability Discrimination Act 1992</w:t>
      </w:r>
      <w:r w:rsidRPr="0016306F">
        <w:rPr>
          <w:rFonts w:cs="Open Sans"/>
        </w:rPr>
        <w:t xml:space="preserve"> (Cth) s 31.</w:t>
      </w:r>
    </w:p>
  </w:endnote>
  <w:endnote w:id="3">
    <w:p w14:paraId="138A87CF" w14:textId="448E7C78" w:rsidR="00144D56" w:rsidRPr="0016306F" w:rsidRDefault="00144D56" w:rsidP="00144D56">
      <w:pPr>
        <w:pStyle w:val="pf0"/>
        <w:spacing w:before="0" w:beforeAutospacing="0" w:after="0" w:afterAutospacing="0"/>
        <w:rPr>
          <w:rFonts w:ascii="Open Sans" w:hAnsi="Open Sans" w:cs="Open Sans"/>
          <w:sz w:val="20"/>
          <w:szCs w:val="20"/>
        </w:rPr>
      </w:pPr>
      <w:r w:rsidRPr="0016306F">
        <w:rPr>
          <w:rStyle w:val="EndnoteReference"/>
          <w:rFonts w:cs="Open Sans"/>
          <w:szCs w:val="20"/>
        </w:rPr>
        <w:endnoteRef/>
      </w:r>
      <w:r w:rsidRPr="0016306F">
        <w:rPr>
          <w:rFonts w:ascii="Open Sans" w:hAnsi="Open Sans" w:cs="Open Sans"/>
          <w:sz w:val="20"/>
          <w:szCs w:val="20"/>
        </w:rPr>
        <w:t xml:space="preserve"> </w:t>
      </w:r>
      <w:r w:rsidR="00B022E6">
        <w:rPr>
          <w:rFonts w:ascii="Open Sans" w:hAnsi="Open Sans" w:cs="Open Sans"/>
          <w:sz w:val="20"/>
          <w:szCs w:val="20"/>
        </w:rPr>
        <w:t>James Vincent et al</w:t>
      </w:r>
      <w:r w:rsidR="00D9053B">
        <w:rPr>
          <w:rFonts w:ascii="Open Sans" w:hAnsi="Open Sans" w:cs="Open Sans"/>
          <w:sz w:val="20"/>
          <w:szCs w:val="20"/>
        </w:rPr>
        <w:t xml:space="preserve">, </w:t>
      </w:r>
      <w:r w:rsidR="00375E97">
        <w:rPr>
          <w:rFonts w:ascii="Open Sans" w:hAnsi="Open Sans" w:cs="Open Sans"/>
          <w:sz w:val="20"/>
          <w:szCs w:val="20"/>
        </w:rPr>
        <w:t>‘</w:t>
      </w:r>
      <w:r w:rsidR="00D9053B" w:rsidRPr="00375E97">
        <w:rPr>
          <w:rFonts w:ascii="Open Sans" w:hAnsi="Open Sans" w:cs="Open Sans"/>
          <w:sz w:val="20"/>
          <w:szCs w:val="20"/>
        </w:rPr>
        <w:t>Economic cost of violence abuse, neglect and exploitation of people with disability</w:t>
      </w:r>
      <w:r w:rsidR="00375E97">
        <w:rPr>
          <w:rFonts w:ascii="Open Sans" w:hAnsi="Open Sans" w:cs="Open Sans"/>
          <w:sz w:val="20"/>
          <w:szCs w:val="20"/>
        </w:rPr>
        <w:t>’</w:t>
      </w:r>
      <w:r w:rsidR="00D9053B">
        <w:rPr>
          <w:rFonts w:ascii="Open Sans" w:hAnsi="Open Sans" w:cs="Open Sans"/>
          <w:i/>
          <w:iCs/>
          <w:sz w:val="20"/>
          <w:szCs w:val="20"/>
        </w:rPr>
        <w:t xml:space="preserve"> </w:t>
      </w:r>
      <w:r w:rsidR="00D9053B">
        <w:rPr>
          <w:rFonts w:ascii="Open Sans" w:hAnsi="Open Sans" w:cs="Open Sans"/>
          <w:sz w:val="20"/>
          <w:szCs w:val="20"/>
        </w:rPr>
        <w:t>(Research Report</w:t>
      </w:r>
      <w:r w:rsidR="000F67A8">
        <w:rPr>
          <w:rFonts w:ascii="Open Sans" w:hAnsi="Open Sans" w:cs="Open Sans"/>
          <w:sz w:val="20"/>
          <w:szCs w:val="20"/>
        </w:rPr>
        <w:t xml:space="preserve">, </w:t>
      </w:r>
      <w:r w:rsidRPr="0016306F">
        <w:rPr>
          <w:rFonts w:ascii="Open Sans" w:hAnsi="Open Sans" w:cs="Open Sans"/>
          <w:sz w:val="20"/>
          <w:szCs w:val="20"/>
        </w:rPr>
        <w:t>Royal Commission into Violence, Abuse, Neglect and Exploitation of People with Disability, February 2023</w:t>
      </w:r>
      <w:r w:rsidR="00A143AE">
        <w:rPr>
          <w:rFonts w:ascii="Open Sans" w:hAnsi="Open Sans" w:cs="Open Sans"/>
          <w:sz w:val="20"/>
          <w:szCs w:val="20"/>
        </w:rPr>
        <w:t xml:space="preserve">) </w:t>
      </w:r>
      <w:r w:rsidR="006F18A5">
        <w:rPr>
          <w:rFonts w:ascii="Open Sans" w:hAnsi="Open Sans" w:cs="Open Sans"/>
          <w:sz w:val="20"/>
          <w:szCs w:val="20"/>
        </w:rPr>
        <w:t xml:space="preserve">82, </w:t>
      </w:r>
      <w:r w:rsidR="00EB749B">
        <w:rPr>
          <w:rFonts w:ascii="Open Sans" w:hAnsi="Open Sans" w:cs="Open Sans"/>
          <w:sz w:val="20"/>
          <w:szCs w:val="20"/>
        </w:rPr>
        <w:t xml:space="preserve">176, 185-6, </w:t>
      </w:r>
      <w:r w:rsidR="00F04618">
        <w:rPr>
          <w:rFonts w:ascii="Open Sans" w:hAnsi="Open Sans" w:cs="Open Sans"/>
          <w:sz w:val="20"/>
          <w:szCs w:val="20"/>
        </w:rPr>
        <w:t xml:space="preserve">187. </w:t>
      </w:r>
    </w:p>
  </w:endnote>
  <w:endnote w:id="4">
    <w:p w14:paraId="41B80D3D" w14:textId="119156CE" w:rsidR="00073781" w:rsidRPr="005838F2" w:rsidRDefault="00073781">
      <w:pPr>
        <w:pStyle w:val="EndnoteText"/>
        <w:rPr>
          <w:rFonts w:cs="Open Sans"/>
        </w:rPr>
      </w:pPr>
      <w:r w:rsidRPr="0016306F">
        <w:rPr>
          <w:rStyle w:val="EndnoteReference"/>
          <w:rFonts w:cs="Open Sans"/>
        </w:rPr>
        <w:endnoteRef/>
      </w:r>
      <w:r w:rsidRPr="0016306F">
        <w:rPr>
          <w:rFonts w:cs="Open Sans"/>
        </w:rPr>
        <w:t xml:space="preserve"> </w:t>
      </w:r>
      <w:r w:rsidR="005838F2">
        <w:rPr>
          <w:rFonts w:cs="Open Sans"/>
        </w:rPr>
        <w:t xml:space="preserve">See </w:t>
      </w:r>
      <w:r w:rsidR="00D646F9">
        <w:rPr>
          <w:rFonts w:cs="Open Sans"/>
        </w:rPr>
        <w:t xml:space="preserve">Australian Human Rights Commission, Submission No </w:t>
      </w:r>
      <w:r w:rsidR="00ED04E2">
        <w:rPr>
          <w:rFonts w:cs="Open Sans"/>
        </w:rPr>
        <w:t>30 to the Department of Infrastructure, Regional Development and Cities</w:t>
      </w:r>
      <w:r w:rsidR="00E62593">
        <w:rPr>
          <w:rFonts w:cs="Open Sans"/>
        </w:rPr>
        <w:t xml:space="preserve">, </w:t>
      </w:r>
      <w:r w:rsidR="00E62593">
        <w:rPr>
          <w:rFonts w:cs="Open Sans"/>
          <w:i/>
          <w:iCs/>
        </w:rPr>
        <w:t xml:space="preserve">2017 Review of the Disability Standards for Accessible Public Transport </w:t>
      </w:r>
      <w:r w:rsidR="005838F2">
        <w:rPr>
          <w:rFonts w:cs="Open Sans"/>
          <w:i/>
          <w:iCs/>
        </w:rPr>
        <w:t>2002</w:t>
      </w:r>
      <w:r w:rsidR="005838F2">
        <w:rPr>
          <w:rFonts w:cs="Open Sans"/>
        </w:rPr>
        <w:t xml:space="preserve"> (6 December 2018). </w:t>
      </w:r>
    </w:p>
  </w:endnote>
  <w:endnote w:id="5">
    <w:p w14:paraId="28B64F28" w14:textId="749DBEA4" w:rsidR="00570F58" w:rsidRPr="0016306F" w:rsidRDefault="00570F58">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Australian Human Rights Commission Act 1986</w:t>
      </w:r>
      <w:r w:rsidRPr="0016306F">
        <w:rPr>
          <w:rFonts w:cs="Open Sans"/>
        </w:rPr>
        <w:t xml:space="preserve"> (Cth) s 7.</w:t>
      </w:r>
    </w:p>
  </w:endnote>
  <w:endnote w:id="6">
    <w:p w14:paraId="25DCB918" w14:textId="74C447F5" w:rsidR="00C11034" w:rsidRPr="0016306F" w:rsidRDefault="00C11034" w:rsidP="00C11034">
      <w:pPr>
        <w:pStyle w:val="EndnoteText"/>
        <w:rPr>
          <w:rFonts w:cs="Open Sans"/>
        </w:rPr>
      </w:pPr>
      <w:r w:rsidRPr="0016306F">
        <w:rPr>
          <w:rStyle w:val="EndnoteReference"/>
          <w:rFonts w:cs="Open Sans"/>
        </w:rPr>
        <w:endnoteRef/>
      </w:r>
      <w:r w:rsidRPr="0016306F">
        <w:rPr>
          <w:rFonts w:cs="Open Sans"/>
        </w:rPr>
        <w:t xml:space="preserve"> </w:t>
      </w:r>
      <w:r w:rsidR="005838F2">
        <w:rPr>
          <w:rFonts w:cs="Open Sans"/>
        </w:rPr>
        <w:t>Ibid</w:t>
      </w:r>
      <w:r w:rsidRPr="0016306F">
        <w:rPr>
          <w:rFonts w:cs="Open Sans"/>
        </w:rPr>
        <w:t xml:space="preserve"> s 11(1)(g). </w:t>
      </w:r>
    </w:p>
  </w:endnote>
  <w:endnote w:id="7">
    <w:p w14:paraId="6B091D17" w14:textId="77777777" w:rsidR="00A116B1" w:rsidRPr="0016306F" w:rsidRDefault="00A116B1" w:rsidP="00A116B1">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United Nations Convention on the Rights of Persons with Disabilities</w:t>
      </w:r>
      <w:r w:rsidRPr="0016306F">
        <w:rPr>
          <w:rFonts w:cs="Open Sans"/>
        </w:rPr>
        <w:t>, opened for signature 30 March 2007, 2515 UNTS 3 (entered into force 3 May 2008) (</w:t>
      </w:r>
      <w:r w:rsidRPr="0016306F">
        <w:rPr>
          <w:rFonts w:cs="Open Sans"/>
          <w:i/>
          <w:iCs/>
        </w:rPr>
        <w:t>‘CRPD’</w:t>
      </w:r>
      <w:r w:rsidRPr="0016306F">
        <w:rPr>
          <w:rFonts w:cs="Open Sans"/>
        </w:rPr>
        <w:t>).</w:t>
      </w:r>
    </w:p>
  </w:endnote>
  <w:endnote w:id="8">
    <w:p w14:paraId="57ADE7DA" w14:textId="77777777" w:rsidR="00A116B1" w:rsidRPr="0016306F" w:rsidRDefault="00A116B1" w:rsidP="00A116B1">
      <w:pPr>
        <w:pStyle w:val="EndnoteText"/>
        <w:rPr>
          <w:rFonts w:cs="Open Sans"/>
        </w:rPr>
      </w:pPr>
      <w:r w:rsidRPr="0016306F">
        <w:rPr>
          <w:rStyle w:val="EndnoteReference"/>
          <w:rFonts w:cs="Open Sans"/>
        </w:rPr>
        <w:endnoteRef/>
      </w:r>
      <w:r w:rsidRPr="0016306F">
        <w:rPr>
          <w:rFonts w:cs="Open Sans"/>
        </w:rPr>
        <w:t xml:space="preserve"> Ibid art 4(1)(b).</w:t>
      </w:r>
    </w:p>
  </w:endnote>
  <w:endnote w:id="9">
    <w:p w14:paraId="2E999864" w14:textId="0AD90085" w:rsidR="000F0C8E" w:rsidRPr="0016306F" w:rsidRDefault="000F0C8E" w:rsidP="000F0C8E">
      <w:pPr>
        <w:pStyle w:val="EndnoteText"/>
        <w:rPr>
          <w:rFonts w:cs="Open Sans"/>
        </w:rPr>
      </w:pPr>
      <w:r w:rsidRPr="0016306F">
        <w:rPr>
          <w:rStyle w:val="EndnoteReference"/>
          <w:rFonts w:cs="Open Sans"/>
        </w:rPr>
        <w:endnoteRef/>
      </w:r>
      <w:r w:rsidRPr="0016306F">
        <w:rPr>
          <w:rFonts w:cs="Open Sans"/>
        </w:rPr>
        <w:t xml:space="preserve"> </w:t>
      </w:r>
      <w:r w:rsidR="00110965">
        <w:rPr>
          <w:rFonts w:cs="Open Sans"/>
        </w:rPr>
        <w:t xml:space="preserve">Ibid </w:t>
      </w:r>
      <w:r w:rsidRPr="0016306F">
        <w:rPr>
          <w:rFonts w:cs="Open Sans"/>
        </w:rPr>
        <w:t>art 4(5).</w:t>
      </w:r>
    </w:p>
  </w:endnote>
  <w:endnote w:id="10">
    <w:p w14:paraId="510EDCE8" w14:textId="610A22B4" w:rsidR="008B4236" w:rsidRPr="0016306F" w:rsidRDefault="008B4236">
      <w:pPr>
        <w:pStyle w:val="EndnoteText"/>
        <w:rPr>
          <w:rFonts w:cs="Open Sans"/>
        </w:rPr>
      </w:pPr>
      <w:r w:rsidRPr="0016306F">
        <w:rPr>
          <w:rStyle w:val="EndnoteReference"/>
          <w:rFonts w:cs="Open Sans"/>
        </w:rPr>
        <w:endnoteRef/>
      </w:r>
      <w:r w:rsidRPr="0016306F">
        <w:rPr>
          <w:rFonts w:cs="Open Sans"/>
        </w:rPr>
        <w:t xml:space="preserve"> </w:t>
      </w:r>
      <w:r w:rsidR="00110965">
        <w:rPr>
          <w:rFonts w:cs="Open Sans"/>
        </w:rPr>
        <w:t>Ibid</w:t>
      </w:r>
      <w:r w:rsidRPr="0016306F">
        <w:rPr>
          <w:rFonts w:cs="Open Sans"/>
        </w:rPr>
        <w:t xml:space="preserve"> </w:t>
      </w:r>
      <w:r w:rsidR="00110965">
        <w:rPr>
          <w:rFonts w:cs="Open Sans"/>
        </w:rPr>
        <w:t>art</w:t>
      </w:r>
      <w:r w:rsidRPr="0016306F">
        <w:rPr>
          <w:rFonts w:cs="Open Sans"/>
        </w:rPr>
        <w:t xml:space="preserve"> 3(f)</w:t>
      </w:r>
      <w:r w:rsidR="00110965">
        <w:rPr>
          <w:rFonts w:cs="Open Sans"/>
        </w:rPr>
        <w:t>.</w:t>
      </w:r>
    </w:p>
  </w:endnote>
  <w:endnote w:id="11">
    <w:p w14:paraId="64EEE980" w14:textId="5004BE6C" w:rsidR="00C11034" w:rsidRPr="0016306F" w:rsidRDefault="00C11034" w:rsidP="00C11034">
      <w:pPr>
        <w:pStyle w:val="EndnoteText"/>
        <w:rPr>
          <w:rFonts w:cs="Open Sans"/>
        </w:rPr>
      </w:pPr>
      <w:r w:rsidRPr="0016306F">
        <w:rPr>
          <w:rStyle w:val="EndnoteReference"/>
          <w:rFonts w:cs="Open Sans"/>
        </w:rPr>
        <w:endnoteRef/>
      </w:r>
      <w:r w:rsidRPr="0016306F">
        <w:rPr>
          <w:rFonts w:cs="Open Sans"/>
        </w:rPr>
        <w:t xml:space="preserve"> </w:t>
      </w:r>
      <w:r w:rsidR="00110965">
        <w:rPr>
          <w:rFonts w:cs="Open Sans"/>
        </w:rPr>
        <w:t>Ibid a</w:t>
      </w:r>
      <w:r w:rsidRPr="0016306F">
        <w:rPr>
          <w:rFonts w:cs="Open Sans"/>
        </w:rPr>
        <w:t>rt 9</w:t>
      </w:r>
      <w:r w:rsidR="00110965">
        <w:rPr>
          <w:rFonts w:cs="Open Sans"/>
        </w:rPr>
        <w:t>.</w:t>
      </w:r>
    </w:p>
  </w:endnote>
  <w:endnote w:id="12">
    <w:p w14:paraId="4C80A2FD" w14:textId="1EB66D5A" w:rsidR="00282C20" w:rsidRPr="0016306F" w:rsidRDefault="00282C20" w:rsidP="00282C20">
      <w:pPr>
        <w:pStyle w:val="EndnoteText"/>
        <w:rPr>
          <w:rFonts w:cs="Open Sans"/>
        </w:rPr>
      </w:pPr>
      <w:r w:rsidRPr="0016306F">
        <w:rPr>
          <w:rStyle w:val="EndnoteReference"/>
          <w:rFonts w:cs="Open Sans"/>
        </w:rPr>
        <w:endnoteRef/>
      </w:r>
      <w:r w:rsidRPr="0016306F">
        <w:rPr>
          <w:rFonts w:cs="Open Sans"/>
        </w:rPr>
        <w:t xml:space="preserve"> </w:t>
      </w:r>
      <w:r w:rsidR="00110965">
        <w:rPr>
          <w:rFonts w:cs="Open Sans"/>
        </w:rPr>
        <w:t xml:space="preserve">Ibid </w:t>
      </w:r>
      <w:r w:rsidRPr="0016306F">
        <w:rPr>
          <w:rFonts w:cs="Open Sans"/>
        </w:rPr>
        <w:t xml:space="preserve">art 31. </w:t>
      </w:r>
    </w:p>
  </w:endnote>
  <w:endnote w:id="13">
    <w:p w14:paraId="672D68C2" w14:textId="6EF94291" w:rsidR="00C328ED" w:rsidRDefault="00306989" w:rsidP="00FD3FC0">
      <w:pPr>
        <w:pStyle w:val="EndnoteText"/>
      </w:pPr>
      <w:r>
        <w:rPr>
          <w:rStyle w:val="EndnoteReference"/>
        </w:rPr>
        <w:endnoteRef/>
      </w:r>
      <w:r>
        <w:t xml:space="preserve"> </w:t>
      </w:r>
      <w:r w:rsidR="00EB7DCF">
        <w:t>Article 3</w:t>
      </w:r>
      <w:r w:rsidR="00E02700">
        <w:t xml:space="preserve">3 of the </w:t>
      </w:r>
      <w:r w:rsidR="00E02700" w:rsidRPr="003046A7">
        <w:rPr>
          <w:i/>
          <w:iCs/>
        </w:rPr>
        <w:t>CR</w:t>
      </w:r>
      <w:r w:rsidR="00B44864" w:rsidRPr="003046A7">
        <w:rPr>
          <w:i/>
          <w:iCs/>
        </w:rPr>
        <w:t>PD</w:t>
      </w:r>
      <w:r w:rsidR="00C328ED" w:rsidRPr="003046A7">
        <w:t xml:space="preserve"> (n 6)</w:t>
      </w:r>
      <w:r w:rsidR="00F0454E" w:rsidRPr="003046A7">
        <w:t xml:space="preserve"> is in</w:t>
      </w:r>
      <w:r w:rsidR="00F0454E">
        <w:t xml:space="preserve"> relation to National Implementati</w:t>
      </w:r>
      <w:r w:rsidR="00FC2705">
        <w:t xml:space="preserve">on and Monitoring. Article 33(2) specifies that: </w:t>
      </w:r>
    </w:p>
    <w:p w14:paraId="2F36CA19" w14:textId="1431367A" w:rsidR="00FC2705" w:rsidRPr="005F21BF" w:rsidRDefault="00FD3FC0" w:rsidP="005F21BF">
      <w:pPr>
        <w:pStyle w:val="EndnoteText"/>
        <w:ind w:left="862" w:firstLine="0"/>
        <w:rPr>
          <w:sz w:val="18"/>
          <w:szCs w:val="18"/>
        </w:rPr>
      </w:pPr>
      <w:r w:rsidRPr="005F21BF">
        <w:rPr>
          <w:sz w:val="18"/>
          <w:szCs w:val="18"/>
        </w:rPr>
        <w:t>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r w:rsidR="00C328ED">
        <w:rPr>
          <w:sz w:val="18"/>
          <w:szCs w:val="18"/>
        </w:rPr>
        <w:t xml:space="preserve">. </w:t>
      </w:r>
    </w:p>
  </w:endnote>
  <w:endnote w:id="14">
    <w:p w14:paraId="3C80CCE2" w14:textId="77777777" w:rsidR="00C11034" w:rsidRPr="0016306F" w:rsidRDefault="00C11034" w:rsidP="00C11034">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rPr>
        <w:t>Committee on the Rights of Persons with Disabilities</w:t>
      </w:r>
      <w:r w:rsidRPr="0016306F">
        <w:rPr>
          <w:rFonts w:cs="Open Sans"/>
        </w:rPr>
        <w:t xml:space="preserve">, </w:t>
      </w:r>
      <w:r w:rsidRPr="0016306F">
        <w:rPr>
          <w:rFonts w:cs="Open Sans"/>
          <w:i/>
          <w:iCs/>
        </w:rPr>
        <w:t>Concluding Observations on the combined second and third periodic reports of Australia</w:t>
      </w:r>
      <w:r w:rsidRPr="0016306F">
        <w:rPr>
          <w:rFonts w:cs="Open Sans"/>
        </w:rPr>
        <w:t>, 22</w:t>
      </w:r>
      <w:r w:rsidRPr="0016306F">
        <w:rPr>
          <w:rFonts w:cs="Open Sans"/>
          <w:vertAlign w:val="superscript"/>
        </w:rPr>
        <w:t>nd</w:t>
      </w:r>
      <w:r w:rsidRPr="0016306F">
        <w:rPr>
          <w:rFonts w:cs="Open Sans"/>
        </w:rPr>
        <w:t xml:space="preserve"> sess, UN Doc CRPD/C/AUS/CO/2-3 (15 October 2019, adopted 20 September 2019) 5 [18a].</w:t>
      </w:r>
    </w:p>
  </w:endnote>
  <w:endnote w:id="15">
    <w:p w14:paraId="01A8CA54" w14:textId="7CC77D86" w:rsidR="00585F33" w:rsidRPr="0016306F" w:rsidRDefault="00585F33">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Disability Discrimination Act 1992</w:t>
      </w:r>
      <w:r w:rsidRPr="0016306F">
        <w:rPr>
          <w:rFonts w:cs="Open Sans"/>
        </w:rPr>
        <w:t xml:space="preserve"> (Cth) s 4.</w:t>
      </w:r>
    </w:p>
  </w:endnote>
  <w:endnote w:id="16">
    <w:p w14:paraId="6D847C44" w14:textId="0636180E" w:rsidR="00AE56D5" w:rsidRPr="0016306F" w:rsidRDefault="00AE56D5" w:rsidP="00AE56D5">
      <w:pPr>
        <w:pStyle w:val="EndnoteText"/>
        <w:rPr>
          <w:rFonts w:cs="Open Sans"/>
        </w:rPr>
      </w:pPr>
      <w:r w:rsidRPr="0016306F">
        <w:rPr>
          <w:rStyle w:val="EndnoteReference"/>
          <w:rFonts w:cs="Open Sans"/>
        </w:rPr>
        <w:endnoteRef/>
      </w:r>
      <w:r w:rsidRPr="0016306F">
        <w:rPr>
          <w:rFonts w:cs="Open Sans"/>
        </w:rPr>
        <w:t xml:space="preserve"> </w:t>
      </w:r>
      <w:r w:rsidR="00ED504E">
        <w:rPr>
          <w:rFonts w:cs="Open Sans"/>
        </w:rPr>
        <w:t xml:space="preserve">Ibid </w:t>
      </w:r>
      <w:r w:rsidRPr="0016306F">
        <w:rPr>
          <w:rFonts w:cs="Open Sans"/>
        </w:rPr>
        <w:t>s 5</w:t>
      </w:r>
      <w:r w:rsidR="005D6F38" w:rsidRPr="0016306F">
        <w:rPr>
          <w:rFonts w:cs="Open Sans"/>
        </w:rPr>
        <w:t>.</w:t>
      </w:r>
    </w:p>
  </w:endnote>
  <w:endnote w:id="17">
    <w:p w14:paraId="097D2C4C" w14:textId="656165C5" w:rsidR="00D85928" w:rsidRPr="0016306F" w:rsidRDefault="00D85928">
      <w:pPr>
        <w:pStyle w:val="EndnoteText"/>
        <w:rPr>
          <w:rFonts w:cs="Open Sans"/>
        </w:rPr>
      </w:pPr>
      <w:r w:rsidRPr="0016306F">
        <w:rPr>
          <w:rStyle w:val="EndnoteReference"/>
          <w:rFonts w:cs="Open Sans"/>
        </w:rPr>
        <w:endnoteRef/>
      </w:r>
      <w:r w:rsidRPr="0016306F">
        <w:rPr>
          <w:rFonts w:cs="Open Sans"/>
        </w:rPr>
        <w:t xml:space="preserve"> </w:t>
      </w:r>
      <w:r w:rsidR="00ED504E">
        <w:rPr>
          <w:rFonts w:cs="Open Sans"/>
        </w:rPr>
        <w:t>Ibid</w:t>
      </w:r>
      <w:r w:rsidR="00ED504E" w:rsidRPr="0016306F">
        <w:rPr>
          <w:rFonts w:cs="Open Sans"/>
        </w:rPr>
        <w:t xml:space="preserve"> </w:t>
      </w:r>
      <w:r w:rsidRPr="0016306F">
        <w:rPr>
          <w:rFonts w:cs="Open Sans"/>
        </w:rPr>
        <w:t>s 6</w:t>
      </w:r>
      <w:r w:rsidR="005D6F38" w:rsidRPr="0016306F">
        <w:rPr>
          <w:rFonts w:cs="Open Sans"/>
        </w:rPr>
        <w:t>.</w:t>
      </w:r>
    </w:p>
  </w:endnote>
  <w:endnote w:id="18">
    <w:p w14:paraId="736AD76F" w14:textId="1AA2B2F0" w:rsidR="00B57DF3" w:rsidRPr="0016306F" w:rsidRDefault="00B57DF3" w:rsidP="00733062">
      <w:pPr>
        <w:pStyle w:val="EndnoteText"/>
        <w:rPr>
          <w:rFonts w:cs="Open Sans"/>
        </w:rPr>
      </w:pPr>
      <w:r w:rsidRPr="0016306F">
        <w:rPr>
          <w:rStyle w:val="EndnoteReference"/>
          <w:rFonts w:cs="Open Sans"/>
        </w:rPr>
        <w:endnoteRef/>
      </w:r>
      <w:r w:rsidRPr="0016306F">
        <w:rPr>
          <w:rFonts w:cs="Open Sans"/>
        </w:rPr>
        <w:t xml:space="preserve"> </w:t>
      </w:r>
      <w:r w:rsidR="00ED504E">
        <w:rPr>
          <w:rFonts w:cs="Open Sans"/>
        </w:rPr>
        <w:t>Ibid</w:t>
      </w:r>
      <w:r w:rsidR="00ED504E" w:rsidRPr="0016306F">
        <w:rPr>
          <w:rFonts w:cs="Open Sans"/>
        </w:rPr>
        <w:t xml:space="preserve"> </w:t>
      </w:r>
      <w:r w:rsidR="00733062" w:rsidRPr="0016306F">
        <w:rPr>
          <w:rFonts w:cs="Open Sans"/>
        </w:rPr>
        <w:t>s</w:t>
      </w:r>
      <w:r w:rsidR="00826949" w:rsidRPr="0016306F">
        <w:rPr>
          <w:rFonts w:cs="Open Sans"/>
        </w:rPr>
        <w:t>s</w:t>
      </w:r>
      <w:r w:rsidR="00733062" w:rsidRPr="0016306F">
        <w:rPr>
          <w:rFonts w:cs="Open Sans"/>
        </w:rPr>
        <w:t xml:space="preserve"> 5</w:t>
      </w:r>
      <w:r w:rsidR="00444F4F" w:rsidRPr="0016306F">
        <w:rPr>
          <w:rFonts w:cs="Open Sans"/>
        </w:rPr>
        <w:t>-</w:t>
      </w:r>
      <w:r w:rsidR="00826949" w:rsidRPr="0016306F">
        <w:rPr>
          <w:rFonts w:cs="Open Sans"/>
        </w:rPr>
        <w:t>6</w:t>
      </w:r>
      <w:r w:rsidR="00444F4F" w:rsidRPr="0016306F">
        <w:rPr>
          <w:rFonts w:cs="Open Sans"/>
        </w:rPr>
        <w:t>.</w:t>
      </w:r>
    </w:p>
  </w:endnote>
  <w:endnote w:id="19">
    <w:p w14:paraId="4E12C9D1" w14:textId="527C8145" w:rsidR="00A4533A" w:rsidRPr="0016306F" w:rsidRDefault="00A4533A">
      <w:pPr>
        <w:pStyle w:val="EndnoteText"/>
        <w:rPr>
          <w:rFonts w:cs="Open Sans"/>
        </w:rPr>
      </w:pPr>
      <w:r w:rsidRPr="0016306F">
        <w:rPr>
          <w:rStyle w:val="EndnoteReference"/>
          <w:rFonts w:cs="Open Sans"/>
        </w:rPr>
        <w:endnoteRef/>
      </w:r>
      <w:r w:rsidRPr="0016306F">
        <w:rPr>
          <w:rFonts w:cs="Open Sans"/>
        </w:rPr>
        <w:t xml:space="preserve"> </w:t>
      </w:r>
      <w:r w:rsidR="00ED504E">
        <w:rPr>
          <w:rFonts w:cs="Open Sans"/>
        </w:rPr>
        <w:t>Ibid</w:t>
      </w:r>
      <w:r w:rsidR="00ED504E" w:rsidRPr="0016306F">
        <w:rPr>
          <w:rFonts w:cs="Open Sans"/>
        </w:rPr>
        <w:t xml:space="preserve"> </w:t>
      </w:r>
      <w:r w:rsidR="00585FF3" w:rsidRPr="0016306F">
        <w:rPr>
          <w:rFonts w:cs="Open Sans"/>
        </w:rPr>
        <w:t>s 11.</w:t>
      </w:r>
    </w:p>
  </w:endnote>
  <w:endnote w:id="20">
    <w:p w14:paraId="2CA7C53A" w14:textId="22312787" w:rsidR="00FB4B6C" w:rsidRPr="0016306F" w:rsidRDefault="00FB4B6C">
      <w:pPr>
        <w:pStyle w:val="EndnoteText"/>
        <w:rPr>
          <w:rFonts w:cs="Open Sans"/>
        </w:rPr>
      </w:pPr>
      <w:r w:rsidRPr="0016306F">
        <w:rPr>
          <w:rStyle w:val="EndnoteReference"/>
          <w:rFonts w:cs="Open Sans"/>
        </w:rPr>
        <w:endnoteRef/>
      </w:r>
      <w:r w:rsidRPr="0016306F">
        <w:rPr>
          <w:rFonts w:cs="Open Sans"/>
        </w:rPr>
        <w:t xml:space="preserve"> </w:t>
      </w:r>
      <w:r w:rsidR="00ED504E">
        <w:rPr>
          <w:rFonts w:cs="Open Sans"/>
        </w:rPr>
        <w:t>Ibid</w:t>
      </w:r>
      <w:r w:rsidR="00ED504E" w:rsidRPr="0016306F">
        <w:rPr>
          <w:rFonts w:cs="Open Sans"/>
        </w:rPr>
        <w:t xml:space="preserve"> </w:t>
      </w:r>
      <w:r w:rsidRPr="0016306F">
        <w:rPr>
          <w:rFonts w:cs="Open Sans"/>
        </w:rPr>
        <w:t>s 31.</w:t>
      </w:r>
    </w:p>
  </w:endnote>
  <w:endnote w:id="21">
    <w:p w14:paraId="12426A7A" w14:textId="1508ABBE" w:rsidR="000A08D4" w:rsidRPr="000A08D4" w:rsidRDefault="000A08D4">
      <w:pPr>
        <w:pStyle w:val="EndnoteText"/>
      </w:pPr>
      <w:r>
        <w:rPr>
          <w:rStyle w:val="EndnoteReference"/>
        </w:rPr>
        <w:endnoteRef/>
      </w:r>
      <w:r>
        <w:t xml:space="preserve"> Ibid s 31(2)(a). </w:t>
      </w:r>
    </w:p>
  </w:endnote>
  <w:endnote w:id="22">
    <w:p w14:paraId="2D791B7F" w14:textId="0F3B0CCC" w:rsidR="008A12E2" w:rsidRDefault="008A12E2">
      <w:pPr>
        <w:pStyle w:val="EndnoteText"/>
      </w:pPr>
      <w:r>
        <w:rPr>
          <w:rStyle w:val="EndnoteReference"/>
        </w:rPr>
        <w:endnoteRef/>
      </w:r>
      <w:r>
        <w:t xml:space="preserve"> Under the </w:t>
      </w:r>
      <w:r>
        <w:rPr>
          <w:i/>
          <w:iCs/>
        </w:rPr>
        <w:t xml:space="preserve">Disability Discrimination Act 1992 </w:t>
      </w:r>
      <w:r>
        <w:t xml:space="preserve">(Cth), </w:t>
      </w:r>
      <w:r w:rsidRPr="008A12E2">
        <w:rPr>
          <w:rStyle w:val="cf01"/>
          <w:rFonts w:ascii="Open Sans" w:hAnsi="Open Sans" w:cs="Open Sans"/>
          <w:sz w:val="20"/>
          <w:szCs w:val="20"/>
        </w:rPr>
        <w:t>Part 2 deals with ‘Prohibition of disability discrimination</w:t>
      </w:r>
      <w:r w:rsidR="005D3F63">
        <w:rPr>
          <w:rStyle w:val="cf01"/>
          <w:rFonts w:ascii="Open Sans" w:hAnsi="Open Sans" w:cs="Open Sans"/>
          <w:sz w:val="20"/>
          <w:szCs w:val="20"/>
        </w:rPr>
        <w:t>’. S</w:t>
      </w:r>
      <w:r w:rsidRPr="008A12E2">
        <w:rPr>
          <w:rStyle w:val="cf01"/>
          <w:rFonts w:ascii="Open Sans" w:hAnsi="Open Sans" w:cs="Open Sans"/>
          <w:sz w:val="20"/>
          <w:szCs w:val="20"/>
        </w:rPr>
        <w:t>ection 34 provides ‘If a person acts in accordance with a disability standard this Part does not apply to the person’s act</w:t>
      </w:r>
      <w:r w:rsidR="005D3F63">
        <w:rPr>
          <w:rStyle w:val="cf01"/>
          <w:rFonts w:ascii="Open Sans" w:hAnsi="Open Sans" w:cs="Open Sans"/>
          <w:sz w:val="20"/>
          <w:szCs w:val="20"/>
        </w:rPr>
        <w:t xml:space="preserve">’. </w:t>
      </w:r>
    </w:p>
  </w:endnote>
  <w:endnote w:id="23">
    <w:p w14:paraId="708CF363" w14:textId="04ECA16F" w:rsidR="00F9447C" w:rsidRPr="0016306F" w:rsidRDefault="00F9447C">
      <w:pPr>
        <w:pStyle w:val="EndnoteText"/>
        <w:rPr>
          <w:rFonts w:cs="Open Sans"/>
        </w:rPr>
      </w:pPr>
      <w:r w:rsidRPr="0016306F">
        <w:rPr>
          <w:rStyle w:val="EndnoteReference"/>
          <w:rFonts w:cs="Open Sans"/>
        </w:rPr>
        <w:endnoteRef/>
      </w:r>
      <w:r w:rsidRPr="0016306F">
        <w:rPr>
          <w:rFonts w:cs="Open Sans"/>
        </w:rPr>
        <w:t xml:space="preserve"> </w:t>
      </w:r>
      <w:r w:rsidR="001F2471" w:rsidRPr="0016306F">
        <w:rPr>
          <w:rFonts w:cs="Open Sans"/>
        </w:rPr>
        <w:t xml:space="preserve">See </w:t>
      </w:r>
      <w:r w:rsidR="001F2471" w:rsidRPr="0016306F">
        <w:rPr>
          <w:rFonts w:cs="Open Sans"/>
          <w:i/>
          <w:iCs/>
        </w:rPr>
        <w:t>Discrimination Act 1991</w:t>
      </w:r>
      <w:r w:rsidR="001F2471" w:rsidRPr="0016306F">
        <w:rPr>
          <w:rFonts w:cs="Open Sans"/>
        </w:rPr>
        <w:t xml:space="preserve"> (ACT); </w:t>
      </w:r>
      <w:r w:rsidR="001F2471" w:rsidRPr="0016306F">
        <w:rPr>
          <w:rFonts w:cs="Open Sans"/>
          <w:i/>
          <w:iCs/>
        </w:rPr>
        <w:t>Anti-Discrimination Act 1977</w:t>
      </w:r>
      <w:r w:rsidR="001F2471" w:rsidRPr="0016306F">
        <w:rPr>
          <w:rFonts w:cs="Open Sans"/>
        </w:rPr>
        <w:t xml:space="preserve"> (NSW);</w:t>
      </w:r>
      <w:r w:rsidR="001F2471" w:rsidRPr="0016306F">
        <w:rPr>
          <w:rFonts w:cs="Open Sans"/>
          <w:i/>
          <w:iCs/>
        </w:rPr>
        <w:t xml:space="preserve"> Anti-Discrimination Act 199</w:t>
      </w:r>
      <w:r w:rsidR="002B4055" w:rsidRPr="0016306F">
        <w:rPr>
          <w:rFonts w:cs="Open Sans"/>
          <w:i/>
          <w:iCs/>
        </w:rPr>
        <w:t>2</w:t>
      </w:r>
      <w:r w:rsidR="001F2471" w:rsidRPr="0016306F">
        <w:rPr>
          <w:rFonts w:cs="Open Sans"/>
        </w:rPr>
        <w:t xml:space="preserve"> (NT); </w:t>
      </w:r>
      <w:r w:rsidR="001F2471" w:rsidRPr="0016306F">
        <w:rPr>
          <w:rFonts w:cs="Open Sans"/>
          <w:i/>
          <w:iCs/>
        </w:rPr>
        <w:t>Anti-Discrimination Act 1991</w:t>
      </w:r>
      <w:r w:rsidR="001F2471" w:rsidRPr="0016306F">
        <w:rPr>
          <w:rFonts w:cs="Open Sans"/>
        </w:rPr>
        <w:t xml:space="preserve"> (Qld); </w:t>
      </w:r>
      <w:r w:rsidR="001F2471" w:rsidRPr="0016306F">
        <w:rPr>
          <w:rFonts w:cs="Open Sans"/>
          <w:i/>
          <w:iCs/>
        </w:rPr>
        <w:t>Equal Opportunity Act 1984</w:t>
      </w:r>
      <w:r w:rsidR="001F2471" w:rsidRPr="0016306F">
        <w:rPr>
          <w:rFonts w:cs="Open Sans"/>
        </w:rPr>
        <w:t xml:space="preserve"> (SA); </w:t>
      </w:r>
      <w:r w:rsidR="001F2471" w:rsidRPr="0016306F">
        <w:rPr>
          <w:rFonts w:cs="Open Sans"/>
          <w:i/>
          <w:iCs/>
        </w:rPr>
        <w:t>Anti-Discrimination Act 1998</w:t>
      </w:r>
      <w:r w:rsidR="001F2471" w:rsidRPr="0016306F">
        <w:rPr>
          <w:rFonts w:cs="Open Sans"/>
        </w:rPr>
        <w:t xml:space="preserve"> (Tas</w:t>
      </w:r>
      <w:r w:rsidR="001F2471" w:rsidRPr="0016306F">
        <w:rPr>
          <w:rFonts w:cs="Open Sans"/>
          <w:i/>
          <w:iCs/>
        </w:rPr>
        <w:t>); Equal Opportunity Act 2010</w:t>
      </w:r>
      <w:r w:rsidR="001F2471" w:rsidRPr="0016306F">
        <w:rPr>
          <w:rFonts w:cs="Open Sans"/>
        </w:rPr>
        <w:t xml:space="preserve"> (Vic); </w:t>
      </w:r>
      <w:r w:rsidR="001F2471" w:rsidRPr="0016306F">
        <w:rPr>
          <w:rFonts w:cs="Open Sans"/>
          <w:i/>
          <w:iCs/>
        </w:rPr>
        <w:t>Equal Opportunity Act 1984</w:t>
      </w:r>
      <w:r w:rsidR="001F2471" w:rsidRPr="0016306F">
        <w:rPr>
          <w:rFonts w:cs="Open Sans"/>
        </w:rPr>
        <w:t xml:space="preserve"> (WA).</w:t>
      </w:r>
    </w:p>
  </w:endnote>
  <w:endnote w:id="24">
    <w:p w14:paraId="72334D1D" w14:textId="7AD3B5ED" w:rsidR="00995B5B" w:rsidRPr="00163D69" w:rsidRDefault="00995B5B">
      <w:pPr>
        <w:pStyle w:val="EndnoteText"/>
      </w:pPr>
      <w:r>
        <w:rPr>
          <w:rStyle w:val="EndnoteReference"/>
        </w:rPr>
        <w:endnoteRef/>
      </w:r>
      <w:r>
        <w:t xml:space="preserve"> </w:t>
      </w:r>
      <w:r w:rsidR="005874ED">
        <w:t xml:space="preserve">See </w:t>
      </w:r>
      <w:r w:rsidR="00ED223C">
        <w:t xml:space="preserve">Department of Social Services (Cth, </w:t>
      </w:r>
      <w:r w:rsidR="00ED223C">
        <w:rPr>
          <w:i/>
          <w:iCs/>
        </w:rPr>
        <w:t>Australia’s Disability Strategy 2021-2023</w:t>
      </w:r>
      <w:r w:rsidR="00222161">
        <w:rPr>
          <w:i/>
          <w:iCs/>
        </w:rPr>
        <w:t xml:space="preserve"> </w:t>
      </w:r>
      <w:r w:rsidR="00222161">
        <w:t>(</w:t>
      </w:r>
      <w:r w:rsidR="005874ED">
        <w:t xml:space="preserve">3 </w:t>
      </w:r>
      <w:r w:rsidR="00520E35">
        <w:t>December 2021)</w:t>
      </w:r>
      <w:r w:rsidR="005874ED">
        <w:t xml:space="preserve"> &lt;</w:t>
      </w:r>
      <w:r w:rsidR="005874ED" w:rsidRPr="005874ED">
        <w:t xml:space="preserve"> </w:t>
      </w:r>
      <w:hyperlink r:id="rId1" w:history="1">
        <w:r w:rsidR="005874ED">
          <w:rPr>
            <w:rStyle w:val="Hyperlink"/>
          </w:rPr>
          <w:t>Australia’s Disability Strategy 2021–2031 | Disability Gateway</w:t>
        </w:r>
      </w:hyperlink>
      <w:r w:rsidR="005874ED">
        <w:t xml:space="preserve">&gt; </w:t>
      </w:r>
      <w:r w:rsidR="00163D69">
        <w:t>(</w:t>
      </w:r>
      <w:r w:rsidR="00163D69">
        <w:rPr>
          <w:i/>
          <w:iCs/>
        </w:rPr>
        <w:t>‘Australia’s Disability Strategy’</w:t>
      </w:r>
      <w:r w:rsidR="00163D69">
        <w:t xml:space="preserve">). </w:t>
      </w:r>
    </w:p>
  </w:endnote>
  <w:endnote w:id="25">
    <w:p w14:paraId="2119439C" w14:textId="195CA999" w:rsidR="000F4679" w:rsidRPr="0016306F" w:rsidRDefault="000F4679">
      <w:pPr>
        <w:pStyle w:val="EndnoteText"/>
        <w:rPr>
          <w:rFonts w:cs="Open Sans"/>
        </w:rPr>
      </w:pPr>
      <w:r w:rsidRPr="0016306F">
        <w:rPr>
          <w:rStyle w:val="EndnoteReference"/>
          <w:rFonts w:cs="Open Sans"/>
        </w:rPr>
        <w:endnoteRef/>
      </w:r>
      <w:r w:rsidRPr="0016306F">
        <w:rPr>
          <w:rFonts w:cs="Open Sans"/>
        </w:rPr>
        <w:t xml:space="preserve"> Department of Social Services (Cth), </w:t>
      </w:r>
      <w:r w:rsidRPr="005869AA">
        <w:rPr>
          <w:rFonts w:cs="Open Sans"/>
          <w:i/>
          <w:iCs/>
        </w:rPr>
        <w:t>Australia’s Disability Strategy 2021-2031 Outcomes Framework</w:t>
      </w:r>
      <w:r w:rsidR="005869AA">
        <w:rPr>
          <w:rFonts w:cs="Open Sans"/>
        </w:rPr>
        <w:t xml:space="preserve"> </w:t>
      </w:r>
      <w:r w:rsidR="0076311E" w:rsidRPr="0016306F">
        <w:rPr>
          <w:rFonts w:cs="Open Sans"/>
        </w:rPr>
        <w:t>(</w:t>
      </w:r>
      <w:r w:rsidR="00FD22C3">
        <w:rPr>
          <w:rFonts w:cs="Open Sans"/>
        </w:rPr>
        <w:t>28 February 2023</w:t>
      </w:r>
      <w:r w:rsidR="0076311E" w:rsidRPr="0016306F">
        <w:rPr>
          <w:rFonts w:cs="Open Sans"/>
        </w:rPr>
        <w:t xml:space="preserve">) 2 &lt; </w:t>
      </w:r>
      <w:hyperlink r:id="rId2" w:history="1">
        <w:r w:rsidR="0076311E" w:rsidRPr="0016306F">
          <w:rPr>
            <w:rStyle w:val="Hyperlink"/>
            <w:rFonts w:cs="Open Sans"/>
          </w:rPr>
          <w:t>https://www.disabilitygateway.gov.au/sites/default/files/documents/2021-11/1816-outcomes-framework.pdf</w:t>
        </w:r>
      </w:hyperlink>
      <w:r w:rsidR="0076311E" w:rsidRPr="0016306F">
        <w:rPr>
          <w:rFonts w:cs="Open Sans"/>
        </w:rPr>
        <w:t xml:space="preserve">&gt;. </w:t>
      </w:r>
    </w:p>
  </w:endnote>
  <w:endnote w:id="26">
    <w:p w14:paraId="49D1DF7B" w14:textId="0B97A55F" w:rsidR="0031648F" w:rsidRPr="0016306F" w:rsidRDefault="0031648F">
      <w:pPr>
        <w:pStyle w:val="EndnoteText"/>
        <w:rPr>
          <w:rFonts w:cs="Open Sans"/>
        </w:rPr>
      </w:pPr>
      <w:r w:rsidRPr="0016306F">
        <w:rPr>
          <w:rStyle w:val="EndnoteReference"/>
          <w:rFonts w:cs="Open Sans"/>
        </w:rPr>
        <w:endnoteRef/>
      </w:r>
      <w:r w:rsidRPr="0016306F">
        <w:rPr>
          <w:rFonts w:cs="Open Sans"/>
        </w:rPr>
        <w:t xml:space="preserve"> </w:t>
      </w:r>
      <w:r w:rsidR="00477305">
        <w:rPr>
          <w:rFonts w:cs="Open Sans"/>
        </w:rPr>
        <w:t xml:space="preserve">See </w:t>
      </w:r>
      <w:r w:rsidRPr="0016306F">
        <w:rPr>
          <w:rFonts w:cs="Open Sans"/>
        </w:rPr>
        <w:t xml:space="preserve">Australian Human Rights Commission, </w:t>
      </w:r>
      <w:r w:rsidRPr="00477305">
        <w:rPr>
          <w:rFonts w:cs="Open Sans"/>
          <w:i/>
          <w:iCs/>
        </w:rPr>
        <w:t>Free and Equal</w:t>
      </w:r>
      <w:r w:rsidR="0063768F" w:rsidRPr="00477305">
        <w:rPr>
          <w:rFonts w:cs="Open Sans"/>
          <w:i/>
          <w:iCs/>
        </w:rPr>
        <w:t>: A reform agenda for federal discrimination laws</w:t>
      </w:r>
      <w:r w:rsidR="0063768F" w:rsidRPr="0016306F">
        <w:rPr>
          <w:rFonts w:cs="Open Sans"/>
        </w:rPr>
        <w:t xml:space="preserve"> (</w:t>
      </w:r>
      <w:r w:rsidR="00AE21A4" w:rsidRPr="0016306F">
        <w:rPr>
          <w:rFonts w:cs="Open Sans"/>
        </w:rPr>
        <w:t xml:space="preserve">Position Paper, </w:t>
      </w:r>
      <w:r w:rsidR="0063768F" w:rsidRPr="0016306F">
        <w:rPr>
          <w:rFonts w:cs="Open Sans"/>
        </w:rPr>
        <w:t>December 2021) &lt;</w:t>
      </w:r>
      <w:r w:rsidR="00AE21A4" w:rsidRPr="0016306F">
        <w:rPr>
          <w:rFonts w:cs="Open Sans"/>
        </w:rPr>
        <w:t xml:space="preserve"> </w:t>
      </w:r>
      <w:hyperlink r:id="rId3" w:history="1">
        <w:r w:rsidR="00AE21A4" w:rsidRPr="0016306F">
          <w:rPr>
            <w:rStyle w:val="Hyperlink"/>
            <w:rFonts w:cs="Open Sans"/>
          </w:rPr>
          <w:t>Free and Equal: A reform agenda for federal discrimination laws (2021) | Australian Human Rights Commission</w:t>
        </w:r>
      </w:hyperlink>
      <w:r w:rsidR="00AE21A4" w:rsidRPr="0016306F">
        <w:rPr>
          <w:rFonts w:cs="Open Sans"/>
        </w:rPr>
        <w:t>&gt;</w:t>
      </w:r>
      <w:r w:rsidR="00477305">
        <w:rPr>
          <w:rFonts w:cs="Open Sans"/>
        </w:rPr>
        <w:t xml:space="preserve"> (</w:t>
      </w:r>
      <w:r w:rsidR="00477305">
        <w:rPr>
          <w:rFonts w:cs="Open Sans"/>
          <w:i/>
          <w:iCs/>
        </w:rPr>
        <w:t>‘Free and Equal Position Paper</w:t>
      </w:r>
      <w:r w:rsidR="00D24367">
        <w:rPr>
          <w:rFonts w:cs="Open Sans"/>
          <w:i/>
          <w:iCs/>
        </w:rPr>
        <w:t>’</w:t>
      </w:r>
      <w:r w:rsidR="00D24367">
        <w:rPr>
          <w:rFonts w:cs="Open Sans"/>
        </w:rPr>
        <w:t>)</w:t>
      </w:r>
      <w:r w:rsidR="00AE21A4" w:rsidRPr="0016306F">
        <w:rPr>
          <w:rFonts w:cs="Open Sans"/>
        </w:rPr>
        <w:t xml:space="preserve">. </w:t>
      </w:r>
    </w:p>
  </w:endnote>
  <w:endnote w:id="27">
    <w:p w14:paraId="23942432" w14:textId="796BE3EC" w:rsidR="008A50B5" w:rsidRPr="0016306F" w:rsidRDefault="008A50B5" w:rsidP="008A50B5">
      <w:pPr>
        <w:pStyle w:val="EndnoteText"/>
        <w:rPr>
          <w:rFonts w:cs="Open Sans"/>
        </w:rPr>
      </w:pPr>
      <w:r w:rsidRPr="0016306F">
        <w:rPr>
          <w:rStyle w:val="EndnoteReference"/>
          <w:rFonts w:cs="Open Sans"/>
        </w:rPr>
        <w:endnoteRef/>
      </w:r>
      <w:r w:rsidRPr="0016306F">
        <w:rPr>
          <w:rFonts w:cs="Open Sans"/>
        </w:rPr>
        <w:t xml:space="preserve"> </w:t>
      </w:r>
      <w:r w:rsidR="00D24367">
        <w:rPr>
          <w:rFonts w:cs="Open Sans"/>
        </w:rPr>
        <w:t>Ibid</w:t>
      </w:r>
      <w:r w:rsidR="000B5CAB" w:rsidRPr="0016306F">
        <w:rPr>
          <w:rFonts w:cs="Open Sans"/>
        </w:rPr>
        <w:t xml:space="preserve"> 141.</w:t>
      </w:r>
    </w:p>
  </w:endnote>
  <w:endnote w:id="28">
    <w:p w14:paraId="6F88FF67" w14:textId="5E1562A7" w:rsidR="008A50B5" w:rsidRPr="0016306F" w:rsidRDefault="008A50B5">
      <w:pPr>
        <w:pStyle w:val="EndnoteText"/>
        <w:rPr>
          <w:rFonts w:cs="Open Sans"/>
        </w:rPr>
      </w:pPr>
      <w:r w:rsidRPr="0016306F">
        <w:rPr>
          <w:rStyle w:val="EndnoteReference"/>
          <w:rFonts w:cs="Open Sans"/>
        </w:rPr>
        <w:endnoteRef/>
      </w:r>
      <w:r w:rsidRPr="0016306F">
        <w:rPr>
          <w:rFonts w:cs="Open Sans"/>
        </w:rPr>
        <w:t xml:space="preserve"> </w:t>
      </w:r>
      <w:r w:rsidR="00C70AD4" w:rsidRPr="0016306F">
        <w:rPr>
          <w:rFonts w:cs="Open Sans"/>
        </w:rPr>
        <w:t>Ibid</w:t>
      </w:r>
      <w:r w:rsidR="000B5CAB" w:rsidRPr="0016306F">
        <w:rPr>
          <w:rFonts w:cs="Open Sans"/>
        </w:rPr>
        <w:t xml:space="preserve"> </w:t>
      </w:r>
      <w:r w:rsidR="00C70AD4" w:rsidRPr="0016306F">
        <w:rPr>
          <w:rFonts w:cs="Open Sans"/>
        </w:rPr>
        <w:t xml:space="preserve">citing </w:t>
      </w:r>
      <w:r w:rsidR="00A47099" w:rsidRPr="00860067">
        <w:rPr>
          <w:rFonts w:cs="Open Sans"/>
        </w:rPr>
        <w:t xml:space="preserve">Queensland Advocacy Incorporated, Submission 63, </w:t>
      </w:r>
      <w:r w:rsidR="00A47099" w:rsidRPr="00860067">
        <w:rPr>
          <w:rFonts w:cs="Open Sans"/>
          <w:i/>
          <w:iCs/>
        </w:rPr>
        <w:t>Free &amp; Equal Inquiry</w:t>
      </w:r>
      <w:r w:rsidR="00A47099" w:rsidRPr="00860067">
        <w:rPr>
          <w:rFonts w:cs="Open Sans"/>
        </w:rPr>
        <w:t xml:space="preserve">, 11; Legal Aid NSW, Submission 12, </w:t>
      </w:r>
      <w:r w:rsidR="00A47099" w:rsidRPr="00860067">
        <w:rPr>
          <w:rFonts w:cs="Open Sans"/>
          <w:i/>
          <w:iCs/>
        </w:rPr>
        <w:t>Free &amp; Equal Inquiry</w:t>
      </w:r>
      <w:r w:rsidR="00A47099" w:rsidRPr="00860067">
        <w:rPr>
          <w:rFonts w:cs="Open Sans"/>
        </w:rPr>
        <w:t>, 19</w:t>
      </w:r>
      <w:r w:rsidR="000B5CAB" w:rsidRPr="00860067">
        <w:rPr>
          <w:rFonts w:cs="Open Sans"/>
        </w:rPr>
        <w:t xml:space="preserve">. </w:t>
      </w:r>
    </w:p>
  </w:endnote>
  <w:endnote w:id="29">
    <w:p w14:paraId="447502CB" w14:textId="78CE7966" w:rsidR="00CB46C7" w:rsidRPr="0016306F" w:rsidRDefault="00CB46C7">
      <w:pPr>
        <w:pStyle w:val="EndnoteText"/>
        <w:rPr>
          <w:rFonts w:cs="Open Sans"/>
        </w:rPr>
      </w:pPr>
      <w:r w:rsidRPr="0016306F">
        <w:rPr>
          <w:rStyle w:val="EndnoteReference"/>
          <w:rFonts w:cs="Open Sans"/>
        </w:rPr>
        <w:endnoteRef/>
      </w:r>
      <w:r w:rsidRPr="0016306F">
        <w:rPr>
          <w:rFonts w:cs="Open Sans"/>
        </w:rPr>
        <w:t xml:space="preserve"> </w:t>
      </w:r>
      <w:r w:rsidR="00FD7F00" w:rsidRPr="0016306F">
        <w:rPr>
          <w:rFonts w:cs="Open Sans"/>
          <w:i/>
          <w:iCs/>
        </w:rPr>
        <w:t xml:space="preserve">Australian Human Rights Commission Act 1986 </w:t>
      </w:r>
      <w:r w:rsidR="00FD7F00" w:rsidRPr="0016306F">
        <w:rPr>
          <w:rFonts w:cs="Open Sans"/>
        </w:rPr>
        <w:t>(Cth)</w:t>
      </w:r>
      <w:r w:rsidR="00876D0B" w:rsidRPr="0016306F">
        <w:rPr>
          <w:rFonts w:cs="Open Sans"/>
        </w:rPr>
        <w:t xml:space="preserve"> s 11(1)(a)-(ab)</w:t>
      </w:r>
    </w:p>
  </w:endnote>
  <w:endnote w:id="30">
    <w:p w14:paraId="4F117DEF" w14:textId="12BCB8A1" w:rsidR="00B525B5" w:rsidRPr="0016306F" w:rsidRDefault="00B525B5" w:rsidP="00B525B5">
      <w:pPr>
        <w:pStyle w:val="EndnoteText"/>
        <w:rPr>
          <w:rFonts w:cs="Open Sans"/>
        </w:rPr>
      </w:pPr>
      <w:r w:rsidRPr="0016306F">
        <w:rPr>
          <w:rStyle w:val="EndnoteReference"/>
          <w:rFonts w:cs="Open Sans"/>
        </w:rPr>
        <w:endnoteRef/>
      </w:r>
      <w:r w:rsidRPr="0016306F">
        <w:rPr>
          <w:rFonts w:cs="Open Sans"/>
        </w:rPr>
        <w:t xml:space="preserve"> Department of Infrastructure, Transport, Regional Development and Communications (</w:t>
      </w:r>
      <w:r w:rsidR="00A6388C">
        <w:rPr>
          <w:rFonts w:cs="Open Sans"/>
        </w:rPr>
        <w:t>Ct</w:t>
      </w:r>
      <w:r w:rsidR="00A6388C" w:rsidRPr="00A6388C">
        <w:rPr>
          <w:rFonts w:cs="Open Sans"/>
        </w:rPr>
        <w:t>h</w:t>
      </w:r>
      <w:r w:rsidRPr="00A6388C">
        <w:rPr>
          <w:rFonts w:cs="Open Sans"/>
        </w:rPr>
        <w:t>),</w:t>
      </w:r>
      <w:r w:rsidRPr="0016306F">
        <w:rPr>
          <w:rFonts w:cs="Open Sans"/>
          <w:i/>
          <w:iCs/>
        </w:rPr>
        <w:t xml:space="preserve"> Third Review of the Disability Standards for Accessible Public Transport</w:t>
      </w:r>
      <w:r w:rsidRPr="0016306F">
        <w:rPr>
          <w:rFonts w:cs="Open Sans"/>
        </w:rPr>
        <w:t xml:space="preserve"> </w:t>
      </w:r>
      <w:r w:rsidRPr="0016306F">
        <w:rPr>
          <w:rFonts w:cs="Open Sans"/>
          <w:i/>
          <w:iCs/>
        </w:rPr>
        <w:t>2002</w:t>
      </w:r>
      <w:r w:rsidRPr="0016306F">
        <w:rPr>
          <w:rFonts w:cs="Open Sans"/>
        </w:rPr>
        <w:t xml:space="preserve"> (</w:t>
      </w:r>
      <w:r w:rsidR="00A6388C">
        <w:rPr>
          <w:rFonts w:cs="Open Sans"/>
        </w:rPr>
        <w:t xml:space="preserve">Final Report, </w:t>
      </w:r>
      <w:r w:rsidRPr="0016306F">
        <w:rPr>
          <w:rFonts w:cs="Open Sans"/>
        </w:rPr>
        <w:t>November 2021) 13 (‘</w:t>
      </w:r>
      <w:r w:rsidRPr="0016306F">
        <w:rPr>
          <w:rFonts w:cs="Open Sans"/>
          <w:i/>
          <w:iCs/>
        </w:rPr>
        <w:t>Third Review of Transport Standards’)</w:t>
      </w:r>
      <w:r w:rsidRPr="0016306F">
        <w:rPr>
          <w:rFonts w:cs="Open Sans"/>
        </w:rPr>
        <w:t xml:space="preserve">.  </w:t>
      </w:r>
    </w:p>
  </w:endnote>
  <w:endnote w:id="31">
    <w:p w14:paraId="3358A523" w14:textId="0844B0F4" w:rsidR="00DA420A" w:rsidRPr="00006D4D" w:rsidRDefault="00DA420A">
      <w:pPr>
        <w:pStyle w:val="EndnoteText"/>
      </w:pPr>
      <w:r>
        <w:rPr>
          <w:rStyle w:val="EndnoteReference"/>
        </w:rPr>
        <w:endnoteRef/>
      </w:r>
      <w:r>
        <w:t xml:space="preserve"> </w:t>
      </w:r>
      <w:r w:rsidR="00006D4D">
        <w:t xml:space="preserve">Australian Human Rights Commission, </w:t>
      </w:r>
      <w:r w:rsidR="00006D4D">
        <w:rPr>
          <w:i/>
          <w:iCs/>
        </w:rPr>
        <w:t>Annual Report 2012-2022</w:t>
      </w:r>
      <w:r w:rsidR="00006D4D">
        <w:t xml:space="preserve"> (</w:t>
      </w:r>
      <w:r w:rsidR="00416A7A">
        <w:t xml:space="preserve">3 November 2022) 18. </w:t>
      </w:r>
    </w:p>
  </w:endnote>
  <w:endnote w:id="32">
    <w:p w14:paraId="08A6BE0A" w14:textId="6D213471" w:rsidR="00605981" w:rsidRPr="0016306F" w:rsidRDefault="00605981" w:rsidP="00605981">
      <w:pPr>
        <w:pStyle w:val="EndnoteText"/>
        <w:rPr>
          <w:rFonts w:cs="Open Sans"/>
        </w:rPr>
      </w:pPr>
      <w:r w:rsidRPr="0016306F">
        <w:rPr>
          <w:rStyle w:val="EndnoteReference"/>
          <w:rFonts w:cs="Open Sans"/>
        </w:rPr>
        <w:endnoteRef/>
      </w:r>
      <w:r w:rsidRPr="0016306F">
        <w:rPr>
          <w:rFonts w:cs="Open Sans"/>
        </w:rPr>
        <w:t xml:space="preserve"> As </w:t>
      </w:r>
      <w:r w:rsidR="005245FF" w:rsidRPr="0016306F">
        <w:rPr>
          <w:rFonts w:cs="Open Sans"/>
        </w:rPr>
        <w:t>of</w:t>
      </w:r>
      <w:r w:rsidRPr="0016306F">
        <w:rPr>
          <w:rFonts w:cs="Open Sans"/>
        </w:rPr>
        <w:t xml:space="preserve"> 7 June 2023.</w:t>
      </w:r>
    </w:p>
  </w:endnote>
  <w:endnote w:id="33">
    <w:p w14:paraId="6BF6FFA0" w14:textId="77777777" w:rsidR="00984115" w:rsidRPr="0016306F" w:rsidRDefault="005955ED">
      <w:pPr>
        <w:pStyle w:val="EndnoteText"/>
        <w:rPr>
          <w:rFonts w:cs="Open Sans"/>
        </w:rPr>
      </w:pPr>
      <w:r w:rsidRPr="0016306F">
        <w:rPr>
          <w:rStyle w:val="EndnoteReference"/>
          <w:rFonts w:cs="Open Sans"/>
        </w:rPr>
        <w:endnoteRef/>
      </w:r>
      <w:r w:rsidRPr="0016306F">
        <w:rPr>
          <w:rFonts w:cs="Open Sans"/>
        </w:rPr>
        <w:t xml:space="preserve"> </w:t>
      </w:r>
      <w:r w:rsidR="00C2479A" w:rsidRPr="0016306F">
        <w:rPr>
          <w:rFonts w:cs="Open Sans"/>
        </w:rPr>
        <w:t xml:space="preserve">In the following reporting years, the specified </w:t>
      </w:r>
      <w:r w:rsidRPr="0016306F">
        <w:rPr>
          <w:rFonts w:cs="Open Sans"/>
        </w:rPr>
        <w:t xml:space="preserve">number of complaints </w:t>
      </w:r>
      <w:r w:rsidR="00605457" w:rsidRPr="0016306F">
        <w:rPr>
          <w:rFonts w:cs="Open Sans"/>
        </w:rPr>
        <w:t>have referred specifically to the Transport Standards</w:t>
      </w:r>
      <w:r w:rsidR="00C2479A" w:rsidRPr="0016306F">
        <w:rPr>
          <w:rFonts w:cs="Open Sans"/>
        </w:rPr>
        <w:t xml:space="preserve">: </w:t>
      </w:r>
    </w:p>
    <w:p w14:paraId="68FB7DE0" w14:textId="62A4FD09" w:rsidR="00984115" w:rsidRPr="0016306F" w:rsidRDefault="00C2479A" w:rsidP="00461ACB">
      <w:pPr>
        <w:pStyle w:val="EndnoteText"/>
        <w:numPr>
          <w:ilvl w:val="0"/>
          <w:numId w:val="30"/>
        </w:numPr>
        <w:rPr>
          <w:rFonts w:cs="Open Sans"/>
        </w:rPr>
      </w:pPr>
      <w:r w:rsidRPr="0016306F">
        <w:rPr>
          <w:rFonts w:cs="Open Sans"/>
        </w:rPr>
        <w:t>2017-18</w:t>
      </w:r>
      <w:r w:rsidR="00984115" w:rsidRPr="0016306F">
        <w:rPr>
          <w:rFonts w:cs="Open Sans"/>
        </w:rPr>
        <w:t xml:space="preserve">: </w:t>
      </w:r>
      <w:r w:rsidR="005955ED" w:rsidRPr="0016306F">
        <w:rPr>
          <w:rFonts w:cs="Open Sans"/>
        </w:rPr>
        <w:t>10</w:t>
      </w:r>
      <w:r w:rsidR="00984115" w:rsidRPr="0016306F">
        <w:rPr>
          <w:rFonts w:cs="Open Sans"/>
        </w:rPr>
        <w:t xml:space="preserve"> complaints</w:t>
      </w:r>
    </w:p>
    <w:p w14:paraId="794197D1" w14:textId="77777777" w:rsidR="00842AF3" w:rsidRPr="0016306F" w:rsidRDefault="00984115" w:rsidP="00461ACB">
      <w:pPr>
        <w:pStyle w:val="EndnoteText"/>
        <w:numPr>
          <w:ilvl w:val="0"/>
          <w:numId w:val="30"/>
        </w:numPr>
        <w:rPr>
          <w:rFonts w:cs="Open Sans"/>
        </w:rPr>
      </w:pPr>
      <w:r w:rsidRPr="0016306F">
        <w:rPr>
          <w:rFonts w:cs="Open Sans"/>
        </w:rPr>
        <w:t>2018-19</w:t>
      </w:r>
      <w:r w:rsidR="00842AF3" w:rsidRPr="0016306F">
        <w:rPr>
          <w:rFonts w:cs="Open Sans"/>
        </w:rPr>
        <w:t>: 7</w:t>
      </w:r>
      <w:r w:rsidR="005955ED" w:rsidRPr="0016306F">
        <w:rPr>
          <w:rFonts w:cs="Open Sans"/>
        </w:rPr>
        <w:t xml:space="preserve"> </w:t>
      </w:r>
      <w:r w:rsidR="00842AF3" w:rsidRPr="0016306F">
        <w:rPr>
          <w:rFonts w:cs="Open Sans"/>
        </w:rPr>
        <w:t xml:space="preserve">complaints </w:t>
      </w:r>
    </w:p>
    <w:p w14:paraId="2490DCFA" w14:textId="77777777" w:rsidR="00842AF3" w:rsidRPr="0016306F" w:rsidRDefault="00842AF3" w:rsidP="00461ACB">
      <w:pPr>
        <w:pStyle w:val="EndnoteText"/>
        <w:numPr>
          <w:ilvl w:val="0"/>
          <w:numId w:val="30"/>
        </w:numPr>
        <w:rPr>
          <w:rFonts w:cs="Open Sans"/>
        </w:rPr>
      </w:pPr>
      <w:r w:rsidRPr="0016306F">
        <w:rPr>
          <w:rFonts w:cs="Open Sans"/>
        </w:rPr>
        <w:t xml:space="preserve">2019-20: 53 complaints </w:t>
      </w:r>
    </w:p>
    <w:p w14:paraId="6A278DF6" w14:textId="77777777" w:rsidR="00842AF3" w:rsidRPr="0016306F" w:rsidRDefault="00842AF3" w:rsidP="00461ACB">
      <w:pPr>
        <w:pStyle w:val="EndnoteText"/>
        <w:numPr>
          <w:ilvl w:val="0"/>
          <w:numId w:val="30"/>
        </w:numPr>
        <w:rPr>
          <w:rFonts w:cs="Open Sans"/>
        </w:rPr>
      </w:pPr>
      <w:r w:rsidRPr="0016306F">
        <w:rPr>
          <w:rFonts w:cs="Open Sans"/>
        </w:rPr>
        <w:t>2020-21: 4 complaints</w:t>
      </w:r>
    </w:p>
    <w:p w14:paraId="35898F25" w14:textId="77777777" w:rsidR="00842AF3" w:rsidRPr="0016306F" w:rsidRDefault="00842AF3" w:rsidP="00461ACB">
      <w:pPr>
        <w:pStyle w:val="EndnoteText"/>
        <w:numPr>
          <w:ilvl w:val="0"/>
          <w:numId w:val="30"/>
        </w:numPr>
        <w:rPr>
          <w:rFonts w:cs="Open Sans"/>
        </w:rPr>
      </w:pPr>
      <w:r w:rsidRPr="0016306F">
        <w:rPr>
          <w:rFonts w:cs="Open Sans"/>
        </w:rPr>
        <w:t xml:space="preserve">2021-2022: 4 complaints </w:t>
      </w:r>
    </w:p>
    <w:p w14:paraId="65E363D7" w14:textId="445E8D12" w:rsidR="005955ED" w:rsidRPr="0016306F" w:rsidRDefault="00842AF3" w:rsidP="00461ACB">
      <w:pPr>
        <w:pStyle w:val="EndnoteText"/>
        <w:numPr>
          <w:ilvl w:val="0"/>
          <w:numId w:val="30"/>
        </w:numPr>
        <w:rPr>
          <w:rFonts w:cs="Open Sans"/>
        </w:rPr>
      </w:pPr>
      <w:r w:rsidRPr="0016306F">
        <w:rPr>
          <w:rFonts w:cs="Open Sans"/>
        </w:rPr>
        <w:t xml:space="preserve">2022-23: </w:t>
      </w:r>
      <w:r w:rsidR="005245FF" w:rsidRPr="0016306F">
        <w:rPr>
          <w:rFonts w:cs="Open Sans"/>
        </w:rPr>
        <w:t xml:space="preserve">8 complaints (up to 7 June 2023). </w:t>
      </w:r>
      <w:r w:rsidR="005955ED" w:rsidRPr="0016306F">
        <w:rPr>
          <w:rFonts w:cs="Open Sans"/>
        </w:rPr>
        <w:t xml:space="preserve"> </w:t>
      </w:r>
    </w:p>
  </w:endnote>
  <w:endnote w:id="34">
    <w:p w14:paraId="04D5953E" w14:textId="2AB6DE86" w:rsidR="009F3DB2" w:rsidRPr="0016306F" w:rsidRDefault="009F3DB2" w:rsidP="009F3DB2">
      <w:pPr>
        <w:pStyle w:val="EndnoteText"/>
        <w:rPr>
          <w:rFonts w:cs="Open Sans"/>
        </w:rPr>
      </w:pPr>
      <w:r w:rsidRPr="0016306F">
        <w:rPr>
          <w:rStyle w:val="EndnoteReference"/>
          <w:rFonts w:cs="Open Sans"/>
        </w:rPr>
        <w:endnoteRef/>
      </w:r>
      <w:r w:rsidRPr="0016306F">
        <w:rPr>
          <w:rFonts w:cs="Open Sans"/>
        </w:rPr>
        <w:t xml:space="preserve"> </w:t>
      </w:r>
      <w:r w:rsidRPr="000E0D88">
        <w:rPr>
          <w:rFonts w:cs="Open Sans"/>
          <w:i/>
          <w:iCs/>
        </w:rPr>
        <w:t>Disability Discrimination Act 1992</w:t>
      </w:r>
      <w:r w:rsidRPr="0016306F">
        <w:rPr>
          <w:rFonts w:cs="Open Sans"/>
        </w:rPr>
        <w:t xml:space="preserve"> (Cth</w:t>
      </w:r>
      <w:r w:rsidR="000E0D88">
        <w:rPr>
          <w:rFonts w:cs="Open Sans"/>
        </w:rPr>
        <w:t>)</w:t>
      </w:r>
      <w:r w:rsidRPr="0016306F">
        <w:rPr>
          <w:rFonts w:cs="Open Sans"/>
        </w:rPr>
        <w:t xml:space="preserve"> s 55; </w:t>
      </w:r>
      <w:r w:rsidRPr="000E0D88">
        <w:rPr>
          <w:rFonts w:cs="Open Sans"/>
          <w:i/>
          <w:iCs/>
        </w:rPr>
        <w:t>Disability Standards for Accessible Public Transport 2002</w:t>
      </w:r>
      <w:r w:rsidRPr="0016306F">
        <w:rPr>
          <w:rFonts w:cs="Open Sans"/>
        </w:rPr>
        <w:t xml:space="preserve"> (Cth) 33A.1; </w:t>
      </w:r>
      <w:r w:rsidRPr="000E0D88">
        <w:rPr>
          <w:rFonts w:cs="Open Sans"/>
          <w:i/>
          <w:iCs/>
        </w:rPr>
        <w:t>Disability (Access to Premises – Buildings) Standards 2010</w:t>
      </w:r>
      <w:r w:rsidRPr="0016306F">
        <w:rPr>
          <w:rFonts w:cs="Open Sans"/>
        </w:rPr>
        <w:t xml:space="preserve"> (Cth)</w:t>
      </w:r>
      <w:r w:rsidR="000E0D88">
        <w:rPr>
          <w:rFonts w:cs="Open Sans"/>
        </w:rPr>
        <w:t xml:space="preserve"> </w:t>
      </w:r>
      <w:r w:rsidRPr="0016306F">
        <w:rPr>
          <w:rFonts w:cs="Open Sans"/>
        </w:rPr>
        <w:t>s 5.1.</w:t>
      </w:r>
    </w:p>
  </w:endnote>
  <w:endnote w:id="35">
    <w:p w14:paraId="164B1CC4" w14:textId="77777777" w:rsidR="00D37C81" w:rsidRPr="0016306F" w:rsidRDefault="00D37C81" w:rsidP="00D37C81">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(Cth) pt 33A</w:t>
      </w:r>
      <w:r w:rsidRPr="0016306F">
        <w:rPr>
          <w:rStyle w:val="cf01"/>
          <w:rFonts w:ascii="Open Sans" w:hAnsi="Open Sans" w:cs="Open Sans"/>
          <w:sz w:val="20"/>
          <w:szCs w:val="20"/>
        </w:rPr>
        <w:t>.</w:t>
      </w:r>
    </w:p>
  </w:endnote>
  <w:endnote w:id="36">
    <w:p w14:paraId="5216B084" w14:textId="7D892968" w:rsidR="00997137" w:rsidRPr="0016306F" w:rsidRDefault="00997137">
      <w:pPr>
        <w:pStyle w:val="EndnoteText"/>
        <w:rPr>
          <w:rFonts w:cs="Open Sans"/>
        </w:rPr>
      </w:pPr>
      <w:r w:rsidRPr="0016306F">
        <w:rPr>
          <w:rStyle w:val="EndnoteReference"/>
          <w:rFonts w:cs="Open Sans"/>
        </w:rPr>
        <w:endnoteRef/>
      </w:r>
      <w:r w:rsidRPr="0016306F">
        <w:rPr>
          <w:rFonts w:cs="Open Sans"/>
        </w:rPr>
        <w:t xml:space="preserve"> </w:t>
      </w:r>
      <w:r w:rsidR="00A170CD" w:rsidRPr="0016306F">
        <w:rPr>
          <w:rFonts w:cs="Open Sans"/>
        </w:rPr>
        <w:t>An overview of exemption</w:t>
      </w:r>
      <w:r w:rsidR="005B5953" w:rsidRPr="0016306F">
        <w:rPr>
          <w:rFonts w:cs="Open Sans"/>
        </w:rPr>
        <w:t xml:space="preserve"> applications and outcomes is available on the Commissions website: </w:t>
      </w:r>
      <w:r w:rsidR="00F802F5" w:rsidRPr="0016306F">
        <w:rPr>
          <w:rFonts w:cs="Open Sans"/>
        </w:rPr>
        <w:t xml:space="preserve">‘Exemption applications under the Disability Discrimination Act 1992 (Cth)’, </w:t>
      </w:r>
      <w:r w:rsidR="00F802F5" w:rsidRPr="0016306F">
        <w:rPr>
          <w:rFonts w:cs="Open Sans"/>
          <w:i/>
          <w:iCs/>
        </w:rPr>
        <w:t xml:space="preserve">Australian Human Rights Commission </w:t>
      </w:r>
      <w:r w:rsidR="00F802F5" w:rsidRPr="0016306F">
        <w:rPr>
          <w:rFonts w:cs="Open Sans"/>
        </w:rPr>
        <w:t xml:space="preserve">(Web Page) </w:t>
      </w:r>
      <w:r w:rsidR="00140E7E" w:rsidRPr="0016306F">
        <w:rPr>
          <w:rFonts w:cs="Open Sans"/>
        </w:rPr>
        <w:t>&lt;</w:t>
      </w:r>
      <w:hyperlink r:id="rId4" w:history="1">
        <w:r w:rsidR="00140E7E" w:rsidRPr="0016306F">
          <w:rPr>
            <w:rStyle w:val="Hyperlink"/>
            <w:rFonts w:cs="Open Sans"/>
          </w:rPr>
          <w:t>Exemption applications under the Disability Discrimination Act 1992 (Cth) | Australian Human Rights Commission</w:t>
        </w:r>
      </w:hyperlink>
      <w:r w:rsidR="00140E7E" w:rsidRPr="0016306F">
        <w:rPr>
          <w:rFonts w:cs="Open Sans"/>
        </w:rPr>
        <w:t>&gt;.</w:t>
      </w:r>
    </w:p>
  </w:endnote>
  <w:endnote w:id="37">
    <w:p w14:paraId="1D1151F6" w14:textId="6C67CF39" w:rsidR="00BF7C82" w:rsidRPr="0016306F" w:rsidRDefault="00BF7C82" w:rsidP="00BF7C82">
      <w:pPr>
        <w:pStyle w:val="EndnoteText"/>
        <w:rPr>
          <w:rFonts w:cs="Open Sans"/>
        </w:rPr>
      </w:pPr>
      <w:r w:rsidRPr="0016306F">
        <w:rPr>
          <w:rStyle w:val="EndnoteReference"/>
          <w:rFonts w:cs="Open Sans"/>
        </w:rPr>
        <w:endnoteRef/>
      </w:r>
      <w:r w:rsidR="00482270">
        <w:rPr>
          <w:rFonts w:cs="Open Sans"/>
        </w:rPr>
        <w:t xml:space="preserve"> </w:t>
      </w:r>
      <w:r w:rsidR="000406A9">
        <w:rPr>
          <w:rFonts w:cs="Open Sans"/>
        </w:rPr>
        <w:t xml:space="preserve">Australian Human Rights Commission, </w:t>
      </w:r>
      <w:r w:rsidR="002B6C5C">
        <w:rPr>
          <w:rFonts w:cs="Open Sans"/>
          <w:i/>
          <w:iCs/>
        </w:rPr>
        <w:t>Notice of decision on application for temporary exemptions: Australasian Railway Association</w:t>
      </w:r>
      <w:r w:rsidRPr="0016306F">
        <w:rPr>
          <w:rFonts w:cs="Open Sans"/>
        </w:rPr>
        <w:t xml:space="preserve"> </w:t>
      </w:r>
      <w:r w:rsidR="002B6C5C">
        <w:rPr>
          <w:rFonts w:cs="Open Sans"/>
        </w:rPr>
        <w:t>(9 June 2022)</w:t>
      </w:r>
      <w:r w:rsidR="00313DD9">
        <w:rPr>
          <w:rFonts w:cs="Open Sans"/>
        </w:rPr>
        <w:t xml:space="preserve"> [2.2]</w:t>
      </w:r>
      <w:r w:rsidR="00585AEB">
        <w:rPr>
          <w:rFonts w:cs="Open Sans"/>
        </w:rPr>
        <w:t xml:space="preserve">, </w:t>
      </w:r>
      <w:r w:rsidR="00585AEB" w:rsidRPr="008307E7">
        <w:rPr>
          <w:rFonts w:cs="Open Sans"/>
        </w:rPr>
        <w:t>pt</w:t>
      </w:r>
      <w:r w:rsidR="000B53A1" w:rsidRPr="008307E7">
        <w:rPr>
          <w:rFonts w:cs="Open Sans"/>
        </w:rPr>
        <w:t xml:space="preserve"> A</w:t>
      </w:r>
      <w:r w:rsidR="008307E7" w:rsidRPr="008307E7">
        <w:rPr>
          <w:rFonts w:cs="Open Sans"/>
        </w:rPr>
        <w:t>, pt B</w:t>
      </w:r>
      <w:r w:rsidR="002B6C5C">
        <w:rPr>
          <w:rFonts w:cs="Open Sans"/>
        </w:rPr>
        <w:t xml:space="preserve"> &lt;</w:t>
      </w:r>
      <w:hyperlink r:id="rId5" w:anchor="COR202" w:history="1">
        <w:r w:rsidR="002B6C5C">
          <w:rPr>
            <w:rStyle w:val="Hyperlink"/>
          </w:rPr>
          <w:t>Exemption applications under the Disability Discrimination Act 1992 (Cth) | Australian Human Rights Commission</w:t>
        </w:r>
      </w:hyperlink>
      <w:r w:rsidR="002B6C5C">
        <w:t xml:space="preserve">&gt;. </w:t>
      </w:r>
      <w:r w:rsidR="00482270">
        <w:rPr>
          <w:rFonts w:cs="Open Sans"/>
        </w:rPr>
        <w:t xml:space="preserve">See also: </w:t>
      </w:r>
      <w:r w:rsidRPr="0016306F">
        <w:rPr>
          <w:rFonts w:cs="Open Sans"/>
        </w:rPr>
        <w:t xml:space="preserve">Australian Human Rights Commission, ‘Australasian Railway Association exemption application (2020)’, </w:t>
      </w:r>
      <w:r w:rsidRPr="0016306F">
        <w:rPr>
          <w:rFonts w:cs="Open Sans"/>
          <w:i/>
          <w:iCs/>
        </w:rPr>
        <w:t xml:space="preserve">Exemption application under the Disability Discrimination Act 1992 </w:t>
      </w:r>
      <w:r w:rsidRPr="000464C8">
        <w:rPr>
          <w:rFonts w:cs="Open Sans"/>
        </w:rPr>
        <w:t>(Cth)</w:t>
      </w:r>
      <w:r w:rsidRPr="0016306F">
        <w:rPr>
          <w:rFonts w:cs="Open Sans"/>
          <w:i/>
          <w:iCs/>
        </w:rPr>
        <w:t xml:space="preserve"> </w:t>
      </w:r>
      <w:r w:rsidRPr="0016306F">
        <w:rPr>
          <w:rFonts w:cs="Open Sans"/>
        </w:rPr>
        <w:t xml:space="preserve">(Web Page) &lt;https://humanrights.gov.au/our-work/legal/exemption-applications-under-disability-discrimination-act-1992-cth#ARA2020&gt;. </w:t>
      </w:r>
    </w:p>
  </w:endnote>
  <w:endnote w:id="38">
    <w:p w14:paraId="2FF1DB3D" w14:textId="765017BC" w:rsidR="005F7C02" w:rsidRPr="0016306F" w:rsidRDefault="005F7C02" w:rsidP="005F7C02">
      <w:pPr>
        <w:pStyle w:val="EndnoteText"/>
        <w:rPr>
          <w:rFonts w:cs="Open Sans"/>
        </w:rPr>
      </w:pPr>
      <w:r w:rsidRPr="0016306F">
        <w:rPr>
          <w:rStyle w:val="EndnoteReference"/>
          <w:rFonts w:cs="Open Sans"/>
        </w:rPr>
        <w:endnoteRef/>
      </w:r>
      <w:r w:rsidRPr="0016306F">
        <w:rPr>
          <w:rFonts w:cs="Open Sans"/>
        </w:rPr>
        <w:t xml:space="preserve"> </w:t>
      </w:r>
      <w:r w:rsidR="00E76508">
        <w:rPr>
          <w:rFonts w:cs="Open Sans"/>
        </w:rPr>
        <w:t xml:space="preserve">See </w:t>
      </w:r>
      <w:r w:rsidRPr="0016306F">
        <w:rPr>
          <w:rFonts w:cs="Open Sans"/>
        </w:rPr>
        <w:t xml:space="preserve">Australian Human Rights Commission, ‘City of Ryde Council temporary exemption application (2021)’, </w:t>
      </w:r>
      <w:r w:rsidRPr="0016306F">
        <w:rPr>
          <w:rFonts w:cs="Open Sans"/>
          <w:i/>
          <w:iCs/>
        </w:rPr>
        <w:t>Exemption application</w:t>
      </w:r>
      <w:r w:rsidR="00E76508">
        <w:rPr>
          <w:rFonts w:cs="Open Sans"/>
          <w:i/>
          <w:iCs/>
        </w:rPr>
        <w:t xml:space="preserve">s </w:t>
      </w:r>
      <w:r w:rsidRPr="0016306F">
        <w:rPr>
          <w:rFonts w:cs="Open Sans"/>
          <w:i/>
          <w:iCs/>
        </w:rPr>
        <w:t xml:space="preserve">under the Disability Discrimination Act 1992 </w:t>
      </w:r>
      <w:r w:rsidRPr="000464C8">
        <w:rPr>
          <w:rFonts w:cs="Open Sans"/>
        </w:rPr>
        <w:t>(Cth)</w:t>
      </w:r>
      <w:r w:rsidRPr="0016306F">
        <w:rPr>
          <w:rFonts w:cs="Open Sans"/>
          <w:i/>
          <w:iCs/>
        </w:rPr>
        <w:t xml:space="preserve"> </w:t>
      </w:r>
      <w:r w:rsidRPr="0016306F">
        <w:rPr>
          <w:rFonts w:cs="Open Sans"/>
        </w:rPr>
        <w:t>(Web Page) &lt;https://humanrights.gov.au/our-work/legal/exemption-applications-under-disability-discrimination-act-1992-cth#COR2021&gt;.</w:t>
      </w:r>
    </w:p>
  </w:endnote>
  <w:endnote w:id="39">
    <w:p w14:paraId="61EE5966" w14:textId="77799754" w:rsidR="00BF7C82" w:rsidRPr="00D040E6" w:rsidRDefault="00BF7C82" w:rsidP="00BF7C82">
      <w:pPr>
        <w:pStyle w:val="EndnoteText"/>
        <w:rPr>
          <w:rFonts w:cs="Open Sans"/>
        </w:rPr>
      </w:pPr>
      <w:r w:rsidRPr="0016306F">
        <w:rPr>
          <w:rStyle w:val="EndnoteReference"/>
          <w:rFonts w:cs="Open Sans"/>
        </w:rPr>
        <w:endnoteRef/>
      </w:r>
      <w:r w:rsidRPr="0016306F">
        <w:rPr>
          <w:rFonts w:cs="Open Sans"/>
        </w:rPr>
        <w:t xml:space="preserve"> See: </w:t>
      </w:r>
      <w:r w:rsidR="00D040E6">
        <w:rPr>
          <w:rFonts w:cs="Open Sans"/>
        </w:rPr>
        <w:t xml:space="preserve">Australian Human Rights Commission, </w:t>
      </w:r>
      <w:r w:rsidR="00D040E6">
        <w:rPr>
          <w:rFonts w:cs="Open Sans"/>
          <w:i/>
          <w:iCs/>
        </w:rPr>
        <w:t>Notice of decision on application for temporary exemption: City of Ryde Council</w:t>
      </w:r>
      <w:r w:rsidR="00D040E6">
        <w:rPr>
          <w:rFonts w:cs="Open Sans"/>
        </w:rPr>
        <w:t xml:space="preserve"> </w:t>
      </w:r>
      <w:r w:rsidR="00FF5971">
        <w:rPr>
          <w:rFonts w:cs="Open Sans"/>
        </w:rPr>
        <w:t>(18 May 2023) &lt;</w:t>
      </w:r>
      <w:hyperlink r:id="rId6" w:anchor="COR202" w:history="1">
        <w:r w:rsidR="00916019">
          <w:rPr>
            <w:rStyle w:val="Hyperlink"/>
          </w:rPr>
          <w:t>Exemption applications under the Disability Discrimination Act 1992 (Cth) | Australian Human Rights Commission</w:t>
        </w:r>
      </w:hyperlink>
      <w:r w:rsidR="00916019">
        <w:t xml:space="preserve">&gt;. </w:t>
      </w:r>
    </w:p>
  </w:endnote>
  <w:endnote w:id="40">
    <w:p w14:paraId="124E5DD6" w14:textId="745993DE" w:rsidR="00175ED2" w:rsidRPr="0016306F" w:rsidRDefault="00175ED2" w:rsidP="00175ED2">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(Cth) s 1.2(2)</w:t>
      </w:r>
      <w:r w:rsidR="00320F3A" w:rsidRPr="0016306F">
        <w:rPr>
          <w:rFonts w:cs="Open Sans"/>
        </w:rPr>
        <w:t>.</w:t>
      </w:r>
    </w:p>
  </w:endnote>
  <w:endnote w:id="41">
    <w:p w14:paraId="3B93C4F4" w14:textId="4CD71ED5" w:rsidR="00320F3A" w:rsidRPr="0016306F" w:rsidRDefault="00320F3A">
      <w:pPr>
        <w:pStyle w:val="EndnoteText"/>
        <w:rPr>
          <w:rFonts w:cs="Open Sans"/>
          <w:i/>
          <w:iCs/>
        </w:rPr>
      </w:pPr>
      <w:r w:rsidRPr="0016306F">
        <w:rPr>
          <w:rStyle w:val="EndnoteReference"/>
          <w:rFonts w:cs="Open Sans"/>
        </w:rPr>
        <w:endnoteRef/>
      </w:r>
      <w:r w:rsidRPr="0016306F">
        <w:rPr>
          <w:rFonts w:cs="Open Sans"/>
        </w:rPr>
        <w:t xml:space="preserve"> </w:t>
      </w:r>
      <w:r w:rsidR="00E76508" w:rsidRPr="00E76508">
        <w:rPr>
          <w:rFonts w:cs="Open Sans"/>
        </w:rPr>
        <w:t>Ibid</w:t>
      </w:r>
      <w:r w:rsidRPr="0016306F">
        <w:rPr>
          <w:rFonts w:cs="Open Sans"/>
        </w:rPr>
        <w:t xml:space="preserve"> sch 1.</w:t>
      </w:r>
    </w:p>
  </w:endnote>
  <w:endnote w:id="42">
    <w:p w14:paraId="0A17874D" w14:textId="77777777" w:rsidR="004B48A3" w:rsidRPr="0016306F" w:rsidRDefault="004B48A3" w:rsidP="004B48A3">
      <w:pPr>
        <w:pStyle w:val="EndnoteText"/>
        <w:rPr>
          <w:rFonts w:cs="Open Sans"/>
        </w:rPr>
      </w:pPr>
      <w:r w:rsidRPr="0016306F">
        <w:rPr>
          <w:rStyle w:val="EndnoteReference"/>
          <w:rFonts w:cs="Open Sans"/>
        </w:rPr>
        <w:endnoteRef/>
      </w:r>
      <w:r w:rsidRPr="0016306F">
        <w:rPr>
          <w:rFonts w:cs="Open Sans"/>
        </w:rPr>
        <w:t xml:space="preserve"> See: Victorian Auditor-Generals Office, </w:t>
      </w:r>
      <w:r w:rsidRPr="0016306F">
        <w:rPr>
          <w:rFonts w:cs="Open Sans"/>
          <w:i/>
          <w:iCs/>
        </w:rPr>
        <w:t>Accessibility of Tram Services</w:t>
      </w:r>
      <w:r w:rsidRPr="0016306F">
        <w:rPr>
          <w:rFonts w:cs="Open Sans"/>
        </w:rPr>
        <w:t xml:space="preserve"> (Independent Assurance Report to Parliament 2020-21:7, October 2020) &lt; </w:t>
      </w:r>
      <w:hyperlink r:id="rId7" w:anchor=":~:text=The%20Disability%20Discrimination%20Act%201992,compliant%20by%2031%20December%202032" w:history="1">
        <w:r w:rsidRPr="0016306F">
          <w:rPr>
            <w:rStyle w:val="Hyperlink"/>
            <w:rFonts w:cs="Open Sans"/>
          </w:rPr>
          <w:t>Accessibility of Tram Services | Victorian Auditor-General's Office</w:t>
        </w:r>
      </w:hyperlink>
      <w:r w:rsidRPr="0016306F">
        <w:rPr>
          <w:rFonts w:cs="Open Sans"/>
        </w:rPr>
        <w:t xml:space="preserve">&gt;. </w:t>
      </w:r>
    </w:p>
  </w:endnote>
  <w:endnote w:id="43">
    <w:p w14:paraId="43AE5663" w14:textId="1818AA2F" w:rsidR="004B48A3" w:rsidRPr="0016306F" w:rsidRDefault="004B48A3" w:rsidP="004B48A3">
      <w:pPr>
        <w:pStyle w:val="EndnoteText"/>
        <w:rPr>
          <w:rFonts w:cs="Open Sans"/>
        </w:rPr>
      </w:pPr>
      <w:r w:rsidRPr="0016306F">
        <w:rPr>
          <w:rStyle w:val="EndnoteReference"/>
          <w:rFonts w:cs="Open Sans"/>
        </w:rPr>
        <w:endnoteRef/>
      </w:r>
      <w:r w:rsidRPr="0016306F">
        <w:rPr>
          <w:rFonts w:cs="Open Sans"/>
        </w:rPr>
        <w:t xml:space="preserve"> Transport for New South Wales, </w:t>
      </w:r>
      <w:r w:rsidRPr="00BC7259">
        <w:rPr>
          <w:rFonts w:cs="Open Sans"/>
          <w:i/>
          <w:iCs/>
        </w:rPr>
        <w:t>Accessibility Audit Findings</w:t>
      </w:r>
      <w:r w:rsidR="00BC7259">
        <w:rPr>
          <w:rFonts w:cs="Open Sans"/>
        </w:rPr>
        <w:t xml:space="preserve"> </w:t>
      </w:r>
      <w:r w:rsidRPr="0016306F">
        <w:rPr>
          <w:rFonts w:cs="Open Sans"/>
        </w:rPr>
        <w:t>(Report, July 2021) 6 &lt;</w:t>
      </w:r>
      <w:hyperlink r:id="rId8" w:history="1">
        <w:r w:rsidRPr="0016306F">
          <w:rPr>
            <w:rStyle w:val="Hyperlink"/>
            <w:rFonts w:cs="Open Sans"/>
          </w:rPr>
          <w:t>Accessibility Audit Findings Report (nsw.gov.au)</w:t>
        </w:r>
      </w:hyperlink>
      <w:r w:rsidRPr="0016306F">
        <w:rPr>
          <w:rFonts w:cs="Open Sans"/>
        </w:rPr>
        <w:t xml:space="preserve">&gt;. </w:t>
      </w:r>
    </w:p>
  </w:endnote>
  <w:endnote w:id="44">
    <w:p w14:paraId="0DE3BAC6" w14:textId="6E1D0EDF" w:rsidR="00376BC3" w:rsidRPr="0016306F" w:rsidRDefault="00376BC3">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Discrimination Act 1992 </w:t>
      </w:r>
      <w:r w:rsidRPr="0016306F">
        <w:rPr>
          <w:rFonts w:cs="Open Sans"/>
        </w:rPr>
        <w:t xml:space="preserve">(Cth) s </w:t>
      </w:r>
      <w:r w:rsidR="00E57494" w:rsidRPr="0016306F">
        <w:rPr>
          <w:rFonts w:cs="Open Sans"/>
        </w:rPr>
        <w:t>3</w:t>
      </w:r>
      <w:r w:rsidR="002F58DB" w:rsidRPr="0016306F">
        <w:rPr>
          <w:rFonts w:cs="Open Sans"/>
        </w:rPr>
        <w:t xml:space="preserve"> (a). </w:t>
      </w:r>
      <w:r w:rsidR="00D5054B" w:rsidRPr="0016306F">
        <w:rPr>
          <w:rFonts w:cs="Open Sans"/>
        </w:rPr>
        <w:t xml:space="preserve"> </w:t>
      </w:r>
    </w:p>
  </w:endnote>
  <w:endnote w:id="45">
    <w:p w14:paraId="572A8298" w14:textId="21F81B91" w:rsidR="00823875" w:rsidRPr="00823875" w:rsidRDefault="00823875">
      <w:pPr>
        <w:pStyle w:val="EndnoteText"/>
      </w:pPr>
      <w:r>
        <w:rPr>
          <w:rStyle w:val="EndnoteReference"/>
        </w:rPr>
        <w:endnoteRef/>
      </w:r>
      <w:r>
        <w:t xml:space="preserve"> Patrick Hatch, ‘People with disabilities ‘locked at home’ as brakes slammed on transport accessibility’ </w:t>
      </w:r>
      <w:r>
        <w:rPr>
          <w:i/>
          <w:iCs/>
        </w:rPr>
        <w:t xml:space="preserve">The Age </w:t>
      </w:r>
      <w:r>
        <w:t>(Online, 17 June 2023) &lt;</w:t>
      </w:r>
      <w:r w:rsidR="001E1761" w:rsidRPr="001E1761">
        <w:t xml:space="preserve"> </w:t>
      </w:r>
      <w:hyperlink r:id="rId9" w:history="1">
        <w:r w:rsidR="001E1761">
          <w:rPr>
            <w:rStyle w:val="Hyperlink"/>
          </w:rPr>
          <w:t>Disability access on Melbourne’s tram network stalls, with no new accessible stops in 12 months (theage.com.au)</w:t>
        </w:r>
      </w:hyperlink>
      <w:r w:rsidR="001E1761">
        <w:t>&gt;.</w:t>
      </w:r>
    </w:p>
  </w:endnote>
  <w:endnote w:id="46">
    <w:p w14:paraId="2B48FF1E" w14:textId="34D4E2BB" w:rsidR="00184349" w:rsidRPr="00F37C04" w:rsidRDefault="00184349">
      <w:pPr>
        <w:pStyle w:val="EndnoteText"/>
      </w:pPr>
      <w:r>
        <w:rPr>
          <w:rStyle w:val="EndnoteReference"/>
        </w:rPr>
        <w:endnoteRef/>
      </w:r>
      <w:r>
        <w:t xml:space="preserve"> Alison Xiao, ‘</w:t>
      </w:r>
      <w:r w:rsidR="00F37C04" w:rsidRPr="00F37C04">
        <w:t>Australia misses 20-year public transport accessibility target as many train and tram networks fail people with disabilities</w:t>
      </w:r>
      <w:r w:rsidR="00F37C04">
        <w:t xml:space="preserve">’ </w:t>
      </w:r>
      <w:r w:rsidR="00F37C04">
        <w:rPr>
          <w:i/>
          <w:iCs/>
        </w:rPr>
        <w:t>ABC News</w:t>
      </w:r>
      <w:r w:rsidR="00F37C04">
        <w:t xml:space="preserve"> (Online, 16 January 2023) &lt;</w:t>
      </w:r>
      <w:r w:rsidR="00F37C04" w:rsidRPr="00F37C04">
        <w:t xml:space="preserve"> </w:t>
      </w:r>
      <w:hyperlink r:id="rId10" w:history="1">
        <w:r w:rsidR="00F37C04">
          <w:rPr>
            <w:rStyle w:val="Hyperlink"/>
          </w:rPr>
          <w:t>Australia misses 20-year public transport accessibility target as many train and tram networks fail people with disabilities - ABC News</w:t>
        </w:r>
      </w:hyperlink>
      <w:r w:rsidR="00F37C04">
        <w:t xml:space="preserve">&gt;. </w:t>
      </w:r>
    </w:p>
  </w:endnote>
  <w:endnote w:id="47">
    <w:p w14:paraId="58C55E9D" w14:textId="77777777"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w:t>
      </w:r>
      <w:r w:rsidRPr="0016306F">
        <w:rPr>
          <w:rStyle w:val="cf01"/>
          <w:rFonts w:ascii="Open Sans" w:hAnsi="Open Sans" w:cs="Open Sans"/>
          <w:sz w:val="20"/>
          <w:szCs w:val="20"/>
        </w:rPr>
        <w:t xml:space="preserve">Australian Bureau of Statistics, </w:t>
      </w:r>
      <w:r w:rsidRPr="0016306F">
        <w:rPr>
          <w:rStyle w:val="cf11"/>
          <w:rFonts w:ascii="Open Sans" w:hAnsi="Open Sans" w:cs="Open Sans"/>
          <w:sz w:val="20"/>
          <w:szCs w:val="20"/>
        </w:rPr>
        <w:t>Disability, Ageing and Carers, Australia: Summary of Findings (</w:t>
      </w:r>
      <w:r w:rsidRPr="0016306F">
        <w:rPr>
          <w:rStyle w:val="cf01"/>
          <w:rFonts w:ascii="Open Sans" w:hAnsi="Open Sans" w:cs="Open Sans"/>
          <w:sz w:val="20"/>
          <w:szCs w:val="20"/>
        </w:rPr>
        <w:t>24 October 2018) Cat. no. 4430.0 &lt;</w:t>
      </w:r>
      <w:hyperlink r:id="rId11" w:history="1">
        <w:r w:rsidRPr="0016306F">
          <w:rPr>
            <w:rStyle w:val="Hyperlink"/>
            <w:rFonts w:cs="Open Sans"/>
          </w:rPr>
          <w:t>Disability, Ageing and Carers, Australia: Summary of Findings, 2018 | Australian Bureau of Statistics (abs.gov.au)</w:t>
        </w:r>
      </w:hyperlink>
      <w:r w:rsidRPr="0016306F">
        <w:rPr>
          <w:rFonts w:cs="Open Sans"/>
        </w:rPr>
        <w:t>&gt;.</w:t>
      </w:r>
    </w:p>
  </w:endnote>
  <w:endnote w:id="48">
    <w:p w14:paraId="26CB8A2C" w14:textId="77777777"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Ibid. </w:t>
      </w:r>
    </w:p>
  </w:endnote>
  <w:endnote w:id="49">
    <w:p w14:paraId="69808B5B" w14:textId="64846EB0"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Department of Infrastructure, Transport, Regional Development, Communications and the Arts</w:t>
      </w:r>
      <w:r w:rsidR="005F5E41">
        <w:rPr>
          <w:rFonts w:cs="Open Sans"/>
        </w:rPr>
        <w:t xml:space="preserve"> (Cth)</w:t>
      </w:r>
      <w:r w:rsidRPr="0016306F">
        <w:rPr>
          <w:rFonts w:cs="Open Sans"/>
        </w:rPr>
        <w:t>, ‘Aviation White Paper’ (Web Page) &lt;</w:t>
      </w:r>
      <w:hyperlink r:id="rId12" w:history="1">
        <w:r w:rsidRPr="0016306F">
          <w:rPr>
            <w:rStyle w:val="Hyperlink"/>
            <w:rFonts w:cs="Open Sans"/>
          </w:rPr>
          <w:t>https://www.infrastructure.gov.au/infrastructure-transport-vehicles/aviation/aviation-white-paper</w:t>
        </w:r>
      </w:hyperlink>
      <w:r w:rsidRPr="0016306F">
        <w:rPr>
          <w:rFonts w:cs="Open Sans"/>
        </w:rPr>
        <w:t>&gt;</w:t>
      </w:r>
      <w:r w:rsidR="00B06B73">
        <w:rPr>
          <w:rFonts w:cs="Open Sans"/>
        </w:rPr>
        <w:t xml:space="preserve">; </w:t>
      </w:r>
      <w:r w:rsidR="00B06B73" w:rsidRPr="0016306F">
        <w:rPr>
          <w:rFonts w:cs="Open Sans"/>
        </w:rPr>
        <w:t>Department of Infrastructure, Transport, Regional Development, Communications and the Arts</w:t>
      </w:r>
      <w:r w:rsidR="00B06B73">
        <w:rPr>
          <w:rFonts w:cs="Open Sans"/>
        </w:rPr>
        <w:t xml:space="preserve"> (Cth)</w:t>
      </w:r>
      <w:r w:rsidR="00B06B73" w:rsidRPr="0016306F">
        <w:rPr>
          <w:rFonts w:cs="Open Sans"/>
        </w:rPr>
        <w:t>, ‘Aviation White Paper</w:t>
      </w:r>
      <w:r w:rsidR="00B06B73">
        <w:rPr>
          <w:rFonts w:cs="Open Sans"/>
        </w:rPr>
        <w:t xml:space="preserve"> – Terms of reference</w:t>
      </w:r>
      <w:r w:rsidR="00B06B73" w:rsidRPr="0016306F">
        <w:rPr>
          <w:rFonts w:cs="Open Sans"/>
        </w:rPr>
        <w:t>’ (Web Page) &lt;</w:t>
      </w:r>
      <w:r w:rsidR="00B06B73" w:rsidRPr="00B06B73">
        <w:t xml:space="preserve"> </w:t>
      </w:r>
      <w:hyperlink r:id="rId13" w:history="1">
        <w:r w:rsidR="00B06B73">
          <w:rPr>
            <w:rStyle w:val="Hyperlink"/>
          </w:rPr>
          <w:t>Aviation White Paper - Terms of Reference | Department of Infrastructure, Transport, Regional Development, Communications and the Arts</w:t>
        </w:r>
      </w:hyperlink>
      <w:r w:rsidR="00B06B73" w:rsidRPr="0016306F">
        <w:rPr>
          <w:rFonts w:cs="Open Sans"/>
        </w:rPr>
        <w:t>&gt;</w:t>
      </w:r>
      <w:r w:rsidR="00B06B73">
        <w:rPr>
          <w:rFonts w:cs="Open Sans"/>
        </w:rPr>
        <w:t>;</w:t>
      </w:r>
    </w:p>
  </w:endnote>
  <w:endnote w:id="50">
    <w:p w14:paraId="036F05F1" w14:textId="42C99B16"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See Australian Human Rights Commission, Submission a16 to the Department of Infrastructure, Transport, Regional Development, Communications and the Arts</w:t>
      </w:r>
      <w:r w:rsidR="00B06B73">
        <w:rPr>
          <w:rFonts w:cs="Open Sans"/>
        </w:rPr>
        <w:t xml:space="preserve"> (Cth)</w:t>
      </w:r>
      <w:r w:rsidRPr="0016306F">
        <w:rPr>
          <w:rFonts w:cs="Open Sans"/>
        </w:rPr>
        <w:t xml:space="preserve">, </w:t>
      </w:r>
      <w:r w:rsidRPr="0016306F">
        <w:rPr>
          <w:rFonts w:cs="Open Sans"/>
          <w:i/>
          <w:iCs/>
        </w:rPr>
        <w:t xml:space="preserve">Aviation White Paper Terms of Reference </w:t>
      </w:r>
      <w:r w:rsidRPr="0016306F">
        <w:rPr>
          <w:rFonts w:cs="Open Sans"/>
        </w:rPr>
        <w:t xml:space="preserve">(9 March 2023). </w:t>
      </w:r>
    </w:p>
  </w:endnote>
  <w:endnote w:id="51">
    <w:p w14:paraId="5543A6E5" w14:textId="4D1C7092" w:rsidR="008732B7" w:rsidRPr="0016306F" w:rsidRDefault="008732B7" w:rsidP="008732B7">
      <w:pPr>
        <w:pStyle w:val="EndnoteText"/>
        <w:rPr>
          <w:rFonts w:cs="Open Sans"/>
        </w:rPr>
      </w:pPr>
      <w:r w:rsidRPr="00E031B9">
        <w:rPr>
          <w:rStyle w:val="EndnoteReference"/>
          <w:rFonts w:cs="Open Sans"/>
        </w:rPr>
        <w:endnoteRef/>
      </w:r>
      <w:r w:rsidRPr="00E031B9">
        <w:rPr>
          <w:rFonts w:cs="Open Sans"/>
        </w:rPr>
        <w:t xml:space="preserve"> See </w:t>
      </w:r>
      <w:r w:rsidR="00297CDB" w:rsidRPr="00E031B9">
        <w:rPr>
          <w:rFonts w:cs="Open Sans"/>
        </w:rPr>
        <w:t>Elias Visontay,</w:t>
      </w:r>
      <w:r w:rsidRPr="00E031B9">
        <w:rPr>
          <w:rFonts w:cs="Open Sans"/>
        </w:rPr>
        <w:t xml:space="preserve"> ‘</w:t>
      </w:r>
      <w:r w:rsidRPr="0016306F">
        <w:rPr>
          <w:rFonts w:cs="Open Sans"/>
        </w:rPr>
        <w:t>Australia’s airlines and airports urged to improve treatment of travellers with disabilities’</w:t>
      </w:r>
      <w:r w:rsidR="002E5208">
        <w:rPr>
          <w:rFonts w:cs="Open Sans"/>
        </w:rPr>
        <w:t xml:space="preserve">, </w:t>
      </w:r>
      <w:r w:rsidR="002E5208">
        <w:rPr>
          <w:rFonts w:cs="Open Sans"/>
          <w:i/>
          <w:iCs/>
        </w:rPr>
        <w:t>The Guardian</w:t>
      </w:r>
      <w:r w:rsidR="00297CDB">
        <w:rPr>
          <w:rFonts w:cs="Open Sans"/>
          <w:i/>
          <w:iCs/>
        </w:rPr>
        <w:t xml:space="preserve"> </w:t>
      </w:r>
      <w:r w:rsidR="00297CDB">
        <w:rPr>
          <w:rFonts w:cs="Open Sans"/>
        </w:rPr>
        <w:t>(Onlin</w:t>
      </w:r>
      <w:r w:rsidR="00B262F2">
        <w:rPr>
          <w:rFonts w:cs="Open Sans"/>
        </w:rPr>
        <w:t>e, 3 February 2023</w:t>
      </w:r>
      <w:r w:rsidR="00297CDB">
        <w:rPr>
          <w:rFonts w:cs="Open Sans"/>
        </w:rPr>
        <w:t xml:space="preserve">) </w:t>
      </w:r>
      <w:r w:rsidRPr="0016306F">
        <w:rPr>
          <w:rFonts w:cs="Open Sans"/>
        </w:rPr>
        <w:t>&lt;</w:t>
      </w:r>
      <w:hyperlink r:id="rId14" w:history="1">
        <w:r w:rsidRPr="0016306F">
          <w:rPr>
            <w:rStyle w:val="Hyperlink"/>
            <w:rFonts w:cs="Open Sans"/>
          </w:rPr>
          <w:t>https://www.theguardian.com/australia-news/2023/feb/03/australias-airlines-and-airports-urged-to-improve-treatment-of-travellers-with-disabilities</w:t>
        </w:r>
      </w:hyperlink>
      <w:r w:rsidRPr="0016306F">
        <w:rPr>
          <w:rFonts w:cs="Open Sans"/>
        </w:rPr>
        <w:t xml:space="preserve">&gt;; </w:t>
      </w:r>
      <w:r w:rsidR="008319B9">
        <w:rPr>
          <w:rFonts w:cs="Open Sans"/>
        </w:rPr>
        <w:t>Zach Harvard,</w:t>
      </w:r>
      <w:r w:rsidRPr="0016306F">
        <w:rPr>
          <w:rFonts w:cs="Open Sans"/>
        </w:rPr>
        <w:t xml:space="preserve"> ‘Airlines and airports alike have been called to improve their treatment of passengers with disabilities by a Royal Commission into Disability’</w:t>
      </w:r>
      <w:r w:rsidR="008319B9">
        <w:rPr>
          <w:rFonts w:cs="Open Sans"/>
        </w:rPr>
        <w:t xml:space="preserve">, </w:t>
      </w:r>
      <w:r w:rsidR="008319B9">
        <w:rPr>
          <w:rFonts w:cs="Open Sans"/>
          <w:i/>
          <w:iCs/>
        </w:rPr>
        <w:t xml:space="preserve">Travel Weekly </w:t>
      </w:r>
      <w:r w:rsidR="00B262F2">
        <w:rPr>
          <w:rFonts w:cs="Open Sans"/>
        </w:rPr>
        <w:t xml:space="preserve">(Online, </w:t>
      </w:r>
      <w:r w:rsidR="008319B9">
        <w:rPr>
          <w:rFonts w:cs="Open Sans"/>
        </w:rPr>
        <w:t xml:space="preserve">7 February 2023) </w:t>
      </w:r>
      <w:r w:rsidRPr="0016306F">
        <w:rPr>
          <w:rFonts w:cs="Open Sans"/>
        </w:rPr>
        <w:t>&lt;</w:t>
      </w:r>
      <w:hyperlink r:id="rId15" w:history="1">
        <w:r w:rsidRPr="0016306F">
          <w:rPr>
            <w:rStyle w:val="Hyperlink"/>
            <w:rFonts w:cs="Open Sans"/>
          </w:rPr>
          <w:t>https://www.travelweekly.com.au/article/airlines-and-airports-to-step-up-treatment-of-disabled-travellers/</w:t>
        </w:r>
      </w:hyperlink>
      <w:r w:rsidRPr="0016306F">
        <w:rPr>
          <w:rFonts w:cs="Open Sans"/>
        </w:rPr>
        <w:t xml:space="preserve">&gt;; </w:t>
      </w:r>
      <w:r w:rsidR="009071C8">
        <w:rPr>
          <w:rFonts w:cs="Open Sans"/>
        </w:rPr>
        <w:t>Joe Attanasio,</w:t>
      </w:r>
      <w:r w:rsidRPr="0016306F">
        <w:rPr>
          <w:rFonts w:cs="Open Sans"/>
        </w:rPr>
        <w:t xml:space="preserve"> ‘Turned away from flights, crawling down aisles and rejected loo breaks: Australians with disabilities say they are being 'dehumanised and humiliated'’</w:t>
      </w:r>
      <w:r w:rsidR="009071C8">
        <w:rPr>
          <w:rFonts w:cs="Open Sans"/>
        </w:rPr>
        <w:t xml:space="preserve">, </w:t>
      </w:r>
      <w:r w:rsidR="009071C8">
        <w:rPr>
          <w:rFonts w:cs="Open Sans"/>
          <w:i/>
          <w:iCs/>
        </w:rPr>
        <w:t xml:space="preserve">9 News </w:t>
      </w:r>
      <w:r w:rsidR="009071C8">
        <w:rPr>
          <w:rFonts w:cs="Open Sans"/>
        </w:rPr>
        <w:t>(18 November 2022)</w:t>
      </w:r>
      <w:r w:rsidRPr="0016306F">
        <w:rPr>
          <w:rFonts w:cs="Open Sans"/>
        </w:rPr>
        <w:t xml:space="preserve"> &lt;</w:t>
      </w:r>
      <w:hyperlink r:id="rId16" w:history="1">
        <w:r w:rsidRPr="0016306F">
          <w:rPr>
            <w:rStyle w:val="Hyperlink"/>
            <w:rFonts w:cs="Open Sans"/>
          </w:rPr>
          <w:t>https://www.9news.com.au/national/australians-with-disabilities-suffer-dehumanising-treatment-at-airports-travel-news/b7de6139-258a-4e86-a615-031eb0e89074</w:t>
        </w:r>
      </w:hyperlink>
      <w:r w:rsidRPr="0016306F">
        <w:rPr>
          <w:rFonts w:cs="Open Sans"/>
        </w:rPr>
        <w:t xml:space="preserve">&gt;; </w:t>
      </w:r>
      <w:r w:rsidR="009A5309">
        <w:rPr>
          <w:rFonts w:cs="Open Sans"/>
        </w:rPr>
        <w:t>Eleanor Beidatsch,</w:t>
      </w:r>
      <w:r w:rsidRPr="0016306F">
        <w:rPr>
          <w:rFonts w:cs="Open Sans"/>
        </w:rPr>
        <w:t xml:space="preserve"> ‘Budget airlines make it hard for people with disabilities to travel, but Australian tourist sights get top marks’</w:t>
      </w:r>
      <w:r w:rsidR="009A5309">
        <w:rPr>
          <w:rFonts w:cs="Open Sans"/>
        </w:rPr>
        <w:t xml:space="preserve">, </w:t>
      </w:r>
      <w:r w:rsidR="009A5309">
        <w:rPr>
          <w:rFonts w:cs="Open Sans"/>
          <w:i/>
          <w:iCs/>
        </w:rPr>
        <w:t xml:space="preserve">ABC News </w:t>
      </w:r>
      <w:r w:rsidR="009A5309">
        <w:rPr>
          <w:rFonts w:cs="Open Sans"/>
        </w:rPr>
        <w:t xml:space="preserve">(online, 6 October 2022) </w:t>
      </w:r>
      <w:r w:rsidRPr="0016306F">
        <w:rPr>
          <w:rFonts w:cs="Open Sans"/>
        </w:rPr>
        <w:t>&lt;</w:t>
      </w:r>
      <w:hyperlink r:id="rId17" w:history="1">
        <w:r w:rsidRPr="0016306F">
          <w:rPr>
            <w:rStyle w:val="Hyperlink"/>
            <w:rFonts w:cs="Open Sans"/>
          </w:rPr>
          <w:t>https://www.abc.net.au/news/2022-10-06/why-people-with-disabilities-stay-home-and-avoid-flying-analysis/101440056</w:t>
        </w:r>
      </w:hyperlink>
      <w:r w:rsidRPr="0016306F">
        <w:rPr>
          <w:rFonts w:cs="Open Sans"/>
        </w:rPr>
        <w:t xml:space="preserve">&gt;; </w:t>
      </w:r>
      <w:r w:rsidR="00412CCE">
        <w:rPr>
          <w:rFonts w:cs="Open Sans"/>
        </w:rPr>
        <w:t>Cait Kelly, ‘</w:t>
      </w:r>
      <w:r w:rsidRPr="0016306F">
        <w:rPr>
          <w:rFonts w:cs="Open Sans"/>
        </w:rPr>
        <w:t>Second-class citizen’: man lifted on to plane as Darwin airport had no ramp for wheelchair users’</w:t>
      </w:r>
      <w:r w:rsidR="00412CCE">
        <w:rPr>
          <w:rFonts w:cs="Open Sans"/>
        </w:rPr>
        <w:t xml:space="preserve">, </w:t>
      </w:r>
      <w:r w:rsidR="00412CCE">
        <w:rPr>
          <w:rFonts w:cs="Open Sans"/>
          <w:i/>
          <w:iCs/>
        </w:rPr>
        <w:t xml:space="preserve">The Guardian </w:t>
      </w:r>
      <w:r w:rsidR="00412CCE">
        <w:rPr>
          <w:rFonts w:cs="Open Sans"/>
        </w:rPr>
        <w:t xml:space="preserve">(online, </w:t>
      </w:r>
      <w:r w:rsidR="00CE2CE7">
        <w:rPr>
          <w:rFonts w:cs="Open Sans"/>
        </w:rPr>
        <w:t xml:space="preserve">6 October 2022) </w:t>
      </w:r>
      <w:r w:rsidRPr="0016306F">
        <w:rPr>
          <w:rFonts w:cs="Open Sans"/>
        </w:rPr>
        <w:t>&lt;</w:t>
      </w:r>
      <w:hyperlink r:id="rId18" w:history="1">
        <w:r w:rsidRPr="0016306F">
          <w:rPr>
            <w:rStyle w:val="Hyperlink"/>
            <w:rFonts w:cs="Open Sans"/>
          </w:rPr>
          <w:t>https://www.theguardian.com/society/2022/oct/06/second-class-citizen-man-lifted-on-to-plane-as-darwin-airport-had-no-ramp-for-wheelchair-users</w:t>
        </w:r>
      </w:hyperlink>
      <w:r w:rsidRPr="0016306F">
        <w:rPr>
          <w:rFonts w:cs="Open Sans"/>
        </w:rPr>
        <w:t xml:space="preserve">&gt;; </w:t>
      </w:r>
      <w:r w:rsidR="00CE2CE7">
        <w:rPr>
          <w:rFonts w:cs="Open Sans"/>
        </w:rPr>
        <w:t>Melanie Dimmitt,</w:t>
      </w:r>
      <w:r w:rsidRPr="0016306F">
        <w:rPr>
          <w:rFonts w:cs="Open Sans"/>
        </w:rPr>
        <w:t xml:space="preserve"> ‘A timeline of Aussie travellers with disability being mistreated by airlines’ </w:t>
      </w:r>
      <w:r w:rsidR="00CE2CE7">
        <w:rPr>
          <w:rFonts w:cs="Open Sans"/>
          <w:i/>
          <w:iCs/>
        </w:rPr>
        <w:t xml:space="preserve">Hireup </w:t>
      </w:r>
      <w:r w:rsidR="00CE2CE7">
        <w:rPr>
          <w:rFonts w:cs="Open Sans"/>
        </w:rPr>
        <w:t xml:space="preserve">(online, 14 October 2022) </w:t>
      </w:r>
      <w:r w:rsidRPr="0016306F">
        <w:rPr>
          <w:rFonts w:cs="Open Sans"/>
        </w:rPr>
        <w:t>&lt;</w:t>
      </w:r>
      <w:hyperlink r:id="rId19" w:history="1">
        <w:r w:rsidRPr="0016306F">
          <w:rPr>
            <w:rStyle w:val="Hyperlink"/>
            <w:rFonts w:cs="Open Sans"/>
          </w:rPr>
          <w:t>https://hireup.com.au/news/a-timeline-of-aussie-travellers-with-disability-being-mistreated-by-airlines/</w:t>
        </w:r>
      </w:hyperlink>
      <w:r w:rsidRPr="0016306F">
        <w:rPr>
          <w:rFonts w:cs="Open Sans"/>
        </w:rPr>
        <w:t xml:space="preserve">&gt;; </w:t>
      </w:r>
      <w:r w:rsidR="003C61CB">
        <w:rPr>
          <w:rFonts w:cs="Open Sans"/>
        </w:rPr>
        <w:t>Evelyn Leckie,</w:t>
      </w:r>
      <w:r w:rsidRPr="0016306F">
        <w:rPr>
          <w:rFonts w:cs="Open Sans"/>
        </w:rPr>
        <w:t xml:space="preserve"> ‘Former disability discrimination commissioner Graeme Innes calls for change after 'humiliating' Adelaide Airport experience’</w:t>
      </w:r>
      <w:r w:rsidR="003C61CB">
        <w:rPr>
          <w:rFonts w:cs="Open Sans"/>
        </w:rPr>
        <w:t xml:space="preserve">, </w:t>
      </w:r>
      <w:r w:rsidR="003C61CB">
        <w:rPr>
          <w:rFonts w:cs="Open Sans"/>
          <w:i/>
          <w:iCs/>
        </w:rPr>
        <w:t xml:space="preserve">ABC News </w:t>
      </w:r>
      <w:r w:rsidR="003C61CB">
        <w:rPr>
          <w:rFonts w:cs="Open Sans"/>
        </w:rPr>
        <w:t xml:space="preserve">(online, 15 May 2022) </w:t>
      </w:r>
      <w:r w:rsidRPr="0016306F">
        <w:rPr>
          <w:rFonts w:cs="Open Sans"/>
        </w:rPr>
        <w:t>&lt;</w:t>
      </w:r>
      <w:hyperlink r:id="rId20" w:history="1">
        <w:r w:rsidRPr="0016306F">
          <w:rPr>
            <w:rStyle w:val="Hyperlink"/>
            <w:rFonts w:cs="Open Sans"/>
          </w:rPr>
          <w:t>https://www.abc.net.au/news/2022-05-15/sa-adelaide-airport-disability-discrimination-complaint/101068140</w:t>
        </w:r>
      </w:hyperlink>
      <w:r w:rsidRPr="0016306F">
        <w:rPr>
          <w:rFonts w:cs="Open Sans"/>
        </w:rPr>
        <w:t>&gt;</w:t>
      </w:r>
      <w:r w:rsidR="003C61CB">
        <w:rPr>
          <w:rFonts w:cs="Open Sans"/>
        </w:rPr>
        <w:t>.</w:t>
      </w:r>
    </w:p>
  </w:endnote>
  <w:endnote w:id="52">
    <w:p w14:paraId="1F668FD0" w14:textId="0F4CCBA0" w:rsidR="008732B7" w:rsidRPr="0016306F" w:rsidRDefault="008732B7" w:rsidP="008732B7">
      <w:pPr>
        <w:pStyle w:val="EndnoteText"/>
        <w:rPr>
          <w:rFonts w:cs="Open Sans"/>
          <w:lang w:val="en-GB"/>
        </w:rPr>
      </w:pPr>
      <w:r w:rsidRPr="0016306F">
        <w:rPr>
          <w:rStyle w:val="EndnoteReference"/>
          <w:rFonts w:cs="Open Sans"/>
        </w:rPr>
        <w:endnoteRef/>
      </w:r>
      <w:r w:rsidRPr="0016306F">
        <w:rPr>
          <w:rFonts w:cs="Open Sans"/>
        </w:rPr>
        <w:t xml:space="preserve"> </w:t>
      </w:r>
      <w:r w:rsidR="00D11BC1">
        <w:rPr>
          <w:rFonts w:cs="Open Sans"/>
          <w:lang w:val="en-GB"/>
        </w:rPr>
        <w:t>Marta Pascual Juanola and Nell Geraets,</w:t>
      </w:r>
      <w:r w:rsidRPr="0016306F">
        <w:rPr>
          <w:rFonts w:cs="Open Sans"/>
          <w:lang w:val="en-GB"/>
        </w:rPr>
        <w:t xml:space="preserve"> ‘Tired of the fight’: Paralympian not allowed on flight with wheelchair’</w:t>
      </w:r>
      <w:r w:rsidR="00D11BC1">
        <w:rPr>
          <w:rFonts w:cs="Open Sans"/>
          <w:lang w:val="en-GB"/>
        </w:rPr>
        <w:t xml:space="preserve">, </w:t>
      </w:r>
      <w:r w:rsidR="00D11BC1">
        <w:rPr>
          <w:rFonts w:cs="Open Sans"/>
          <w:i/>
          <w:iCs/>
          <w:lang w:val="en-GB"/>
        </w:rPr>
        <w:t xml:space="preserve">The Syndey Morning Herald </w:t>
      </w:r>
      <w:r w:rsidR="00D11BC1">
        <w:rPr>
          <w:rFonts w:cs="Open Sans"/>
          <w:lang w:val="en-GB"/>
        </w:rPr>
        <w:t xml:space="preserve">(Online, </w:t>
      </w:r>
      <w:r w:rsidR="00E031B9">
        <w:rPr>
          <w:rFonts w:cs="Open Sans"/>
          <w:lang w:val="en-GB"/>
        </w:rPr>
        <w:t>2 June 2022) &lt;</w:t>
      </w:r>
      <w:hyperlink r:id="rId21" w:history="1">
        <w:r w:rsidR="00E031B9">
          <w:rPr>
            <w:rStyle w:val="Hyperlink"/>
          </w:rPr>
          <w:t>Paralympian Karni Liddell blocked from boarding Jetstar flight with wheelchair (smh.com.au)</w:t>
        </w:r>
      </w:hyperlink>
      <w:r w:rsidR="00E031B9">
        <w:t xml:space="preserve">&gt;. </w:t>
      </w:r>
    </w:p>
  </w:endnote>
  <w:endnote w:id="53">
    <w:p w14:paraId="3CA7D243" w14:textId="194C4E22"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Department of Infrastructure, Transport, Regional Development and Communications</w:t>
      </w:r>
      <w:r w:rsidR="00DA424D">
        <w:rPr>
          <w:rFonts w:cs="Open Sans"/>
        </w:rPr>
        <w:t xml:space="preserve"> (Cth)</w:t>
      </w:r>
      <w:r w:rsidRPr="0016306F">
        <w:rPr>
          <w:rFonts w:cs="Open Sans"/>
        </w:rPr>
        <w:t xml:space="preserve">, </w:t>
      </w:r>
      <w:r w:rsidRPr="00DA424D">
        <w:rPr>
          <w:rFonts w:cs="Open Sans"/>
          <w:i/>
          <w:iCs/>
        </w:rPr>
        <w:t xml:space="preserve">Scope of conveyances: </w:t>
      </w:r>
      <w:r w:rsidR="00DA424D" w:rsidRPr="00DA424D">
        <w:rPr>
          <w:rFonts w:cs="Open Sans"/>
          <w:i/>
          <w:iCs/>
        </w:rPr>
        <w:t>d</w:t>
      </w:r>
      <w:r w:rsidRPr="00DA424D">
        <w:rPr>
          <w:rFonts w:cs="Open Sans"/>
          <w:i/>
          <w:iCs/>
        </w:rPr>
        <w:t>edicated school buses</w:t>
      </w:r>
      <w:r w:rsidR="00DA424D">
        <w:rPr>
          <w:rFonts w:cs="Open Sans"/>
        </w:rPr>
        <w:t xml:space="preserve"> </w:t>
      </w:r>
      <w:r w:rsidRPr="0016306F">
        <w:rPr>
          <w:rFonts w:cs="Open Sans"/>
        </w:rPr>
        <w:t>(</w:t>
      </w:r>
      <w:r w:rsidRPr="006C6A05">
        <w:rPr>
          <w:rFonts w:cs="Open Sans"/>
        </w:rPr>
        <w:t>Consultation Paper,</w:t>
      </w:r>
      <w:r w:rsidRPr="0016306F">
        <w:rPr>
          <w:rFonts w:cs="Open Sans"/>
        </w:rPr>
        <w:t xml:space="preserve"> Stage 2 Reforms of the Disability Standards for Accessible Public Transport 2002) &lt; </w:t>
      </w:r>
      <w:hyperlink r:id="rId22" w:history="1">
        <w:r w:rsidRPr="0016306F">
          <w:rPr>
            <w:rStyle w:val="Hyperlink"/>
            <w:rFonts w:cs="Open Sans"/>
          </w:rPr>
          <w:t>https://www.infrastructure.gov.au/sites/default/files/documents/dedicated-school-buses.pdf</w:t>
        </w:r>
      </w:hyperlink>
      <w:r w:rsidRPr="0016306F">
        <w:rPr>
          <w:rFonts w:cs="Open Sans"/>
        </w:rPr>
        <w:t xml:space="preserve">&gt;. </w:t>
      </w:r>
    </w:p>
  </w:endnote>
  <w:endnote w:id="54">
    <w:p w14:paraId="5725759F" w14:textId="2E445C29" w:rsidR="00D82341" w:rsidRPr="0016306F" w:rsidRDefault="00D82341">
      <w:pPr>
        <w:pStyle w:val="EndnoteText"/>
        <w:rPr>
          <w:rFonts w:cs="Open Sans"/>
        </w:rPr>
      </w:pPr>
      <w:r w:rsidRPr="0016306F">
        <w:rPr>
          <w:rStyle w:val="EndnoteReference"/>
          <w:rFonts w:cs="Open Sans"/>
        </w:rPr>
        <w:endnoteRef/>
      </w:r>
      <w:r w:rsidRPr="0016306F">
        <w:rPr>
          <w:rFonts w:cs="Open Sans"/>
        </w:rPr>
        <w:t xml:space="preserve"> </w:t>
      </w:r>
      <w:r w:rsidR="00765D3D" w:rsidRPr="0016306F">
        <w:rPr>
          <w:rFonts w:cs="Open Sans"/>
          <w:b/>
          <w:bCs/>
        </w:rPr>
        <w:t>Victoria</w:t>
      </w:r>
      <w:r w:rsidR="00765D3D" w:rsidRPr="0016306F">
        <w:rPr>
          <w:rFonts w:cs="Open Sans"/>
        </w:rPr>
        <w:t xml:space="preserve"> </w:t>
      </w:r>
      <w:r w:rsidR="00765D3D" w:rsidRPr="0016306F">
        <w:rPr>
          <w:rFonts w:cs="Open Sans"/>
          <w:b/>
          <w:bCs/>
        </w:rPr>
        <w:t>‘Students with Disabilities Transport Program’</w:t>
      </w:r>
      <w:r w:rsidR="00765D3D" w:rsidRPr="0016306F">
        <w:rPr>
          <w:rFonts w:cs="Open Sans"/>
        </w:rPr>
        <w:t xml:space="preserve">: </w:t>
      </w:r>
      <w:r w:rsidR="00D97008">
        <w:rPr>
          <w:rFonts w:cs="Open Sans"/>
        </w:rPr>
        <w:t xml:space="preserve">See </w:t>
      </w:r>
      <w:r w:rsidR="001F3AD4" w:rsidRPr="0016306F">
        <w:rPr>
          <w:rFonts w:cs="Open Sans"/>
        </w:rPr>
        <w:t>‘Getting to and from school for students with disability’</w:t>
      </w:r>
      <w:r w:rsidR="00F33678" w:rsidRPr="0016306F">
        <w:rPr>
          <w:rFonts w:cs="Open Sans"/>
        </w:rPr>
        <w:t xml:space="preserve">, </w:t>
      </w:r>
      <w:r w:rsidR="005B5412" w:rsidRPr="0016306F">
        <w:rPr>
          <w:rFonts w:cs="Open Sans"/>
          <w:i/>
          <w:iCs/>
        </w:rPr>
        <w:t>Vic.Gov.Au</w:t>
      </w:r>
      <w:r w:rsidR="005B5412" w:rsidRPr="0016306F">
        <w:rPr>
          <w:rFonts w:cs="Open Sans"/>
        </w:rPr>
        <w:t xml:space="preserve"> (Web Page 23 December 2021) &lt;</w:t>
      </w:r>
      <w:hyperlink r:id="rId23" w:anchor="students-with-disabilities-transport-program" w:history="1">
        <w:r w:rsidR="00056D34" w:rsidRPr="0016306F">
          <w:rPr>
            <w:rStyle w:val="Hyperlink"/>
            <w:rFonts w:cs="Open Sans"/>
          </w:rPr>
          <w:t>Getting to and from school for students with disability | Victorian Government (www.vic.gov.au)</w:t>
        </w:r>
      </w:hyperlink>
      <w:r w:rsidR="00056D34" w:rsidRPr="0016306F">
        <w:rPr>
          <w:rFonts w:cs="Open Sans"/>
        </w:rPr>
        <w:t xml:space="preserve">&gt;; </w:t>
      </w:r>
      <w:r w:rsidR="00056D34" w:rsidRPr="0016306F">
        <w:rPr>
          <w:rFonts w:cs="Open Sans"/>
          <w:b/>
          <w:bCs/>
        </w:rPr>
        <w:t>N</w:t>
      </w:r>
      <w:r w:rsidR="003E241B" w:rsidRPr="0016306F">
        <w:rPr>
          <w:rFonts w:cs="Open Sans"/>
          <w:b/>
          <w:bCs/>
        </w:rPr>
        <w:t xml:space="preserve">ew </w:t>
      </w:r>
      <w:r w:rsidR="00056D34" w:rsidRPr="0016306F">
        <w:rPr>
          <w:rFonts w:cs="Open Sans"/>
          <w:b/>
          <w:bCs/>
        </w:rPr>
        <w:t>S</w:t>
      </w:r>
      <w:r w:rsidR="003E241B" w:rsidRPr="0016306F">
        <w:rPr>
          <w:rFonts w:cs="Open Sans"/>
          <w:b/>
          <w:bCs/>
        </w:rPr>
        <w:t xml:space="preserve">outh </w:t>
      </w:r>
      <w:r w:rsidR="00056D34" w:rsidRPr="0016306F">
        <w:rPr>
          <w:rFonts w:cs="Open Sans"/>
          <w:b/>
          <w:bCs/>
        </w:rPr>
        <w:t>W</w:t>
      </w:r>
      <w:r w:rsidR="003E241B" w:rsidRPr="0016306F">
        <w:rPr>
          <w:rFonts w:cs="Open Sans"/>
          <w:b/>
          <w:bCs/>
        </w:rPr>
        <w:t>ales (NSW)</w:t>
      </w:r>
      <w:r w:rsidR="00056D34" w:rsidRPr="0016306F">
        <w:rPr>
          <w:rFonts w:cs="Open Sans"/>
          <w:b/>
          <w:bCs/>
        </w:rPr>
        <w:t xml:space="preserve"> </w:t>
      </w:r>
      <w:r w:rsidR="00CB781F" w:rsidRPr="0016306F">
        <w:rPr>
          <w:rFonts w:cs="Open Sans"/>
          <w:b/>
          <w:bCs/>
        </w:rPr>
        <w:t>‘Assisted School Travel Program’:</w:t>
      </w:r>
      <w:r w:rsidR="00CB781F" w:rsidRPr="0016306F">
        <w:rPr>
          <w:rFonts w:cs="Open Sans"/>
        </w:rPr>
        <w:t xml:space="preserve"> </w:t>
      </w:r>
      <w:r w:rsidR="00D97008">
        <w:rPr>
          <w:rFonts w:cs="Open Sans"/>
        </w:rPr>
        <w:t xml:space="preserve">See </w:t>
      </w:r>
      <w:r w:rsidR="00CB781F" w:rsidRPr="0016306F">
        <w:rPr>
          <w:rFonts w:cs="Open Sans"/>
        </w:rPr>
        <w:t>‘Assisted School Travel Program</w:t>
      </w:r>
      <w:r w:rsidR="000253A2" w:rsidRPr="0016306F">
        <w:rPr>
          <w:rFonts w:cs="Open Sans"/>
        </w:rPr>
        <w:t xml:space="preserve"> for school students with disability</w:t>
      </w:r>
      <w:r w:rsidR="00CB781F" w:rsidRPr="0016306F">
        <w:rPr>
          <w:rFonts w:cs="Open Sans"/>
        </w:rPr>
        <w:t xml:space="preserve">’, </w:t>
      </w:r>
      <w:r w:rsidR="00CB781F" w:rsidRPr="0016306F">
        <w:rPr>
          <w:rFonts w:cs="Open Sans"/>
          <w:i/>
          <w:iCs/>
        </w:rPr>
        <w:t xml:space="preserve">NSW Government </w:t>
      </w:r>
      <w:r w:rsidR="00CB781F" w:rsidRPr="0016306F">
        <w:rPr>
          <w:rFonts w:cs="Open Sans"/>
        </w:rPr>
        <w:t>(</w:t>
      </w:r>
      <w:r w:rsidR="009015C1" w:rsidRPr="0016306F">
        <w:rPr>
          <w:rFonts w:cs="Open Sans"/>
        </w:rPr>
        <w:t>Policy</w:t>
      </w:r>
      <w:r w:rsidR="00117F2A" w:rsidRPr="0016306F">
        <w:rPr>
          <w:rFonts w:cs="Open Sans"/>
        </w:rPr>
        <w:t>) &lt;</w:t>
      </w:r>
      <w:hyperlink r:id="rId24" w:history="1">
        <w:r w:rsidR="00117F2A" w:rsidRPr="0016306F">
          <w:rPr>
            <w:rStyle w:val="Hyperlink"/>
            <w:rFonts w:cs="Open Sans"/>
          </w:rPr>
          <w:t>Assisted School Travel Program for School Students with Disability (nsw.gov.au)</w:t>
        </w:r>
      </w:hyperlink>
      <w:r w:rsidR="00117F2A" w:rsidRPr="0016306F">
        <w:rPr>
          <w:rFonts w:cs="Open Sans"/>
        </w:rPr>
        <w:t xml:space="preserve">&gt;; </w:t>
      </w:r>
      <w:r w:rsidR="003E241B" w:rsidRPr="0016306F">
        <w:rPr>
          <w:rFonts w:cs="Open Sans"/>
          <w:b/>
          <w:bCs/>
        </w:rPr>
        <w:t xml:space="preserve">Queensland </w:t>
      </w:r>
      <w:r w:rsidR="000C3075" w:rsidRPr="0016306F">
        <w:rPr>
          <w:rFonts w:cs="Open Sans"/>
          <w:b/>
          <w:bCs/>
        </w:rPr>
        <w:t>‘School Transport Assistance Program’:</w:t>
      </w:r>
      <w:r w:rsidR="00D97008">
        <w:rPr>
          <w:rFonts w:cs="Open Sans"/>
        </w:rPr>
        <w:t xml:space="preserve"> See </w:t>
      </w:r>
      <w:r w:rsidR="000C3075" w:rsidRPr="0016306F">
        <w:rPr>
          <w:rFonts w:cs="Open Sans"/>
        </w:rPr>
        <w:t xml:space="preserve">‘School </w:t>
      </w:r>
      <w:r w:rsidR="009015C1" w:rsidRPr="0016306F">
        <w:rPr>
          <w:rFonts w:cs="Open Sans"/>
        </w:rPr>
        <w:t>t</w:t>
      </w:r>
      <w:r w:rsidR="000C3075" w:rsidRPr="0016306F">
        <w:rPr>
          <w:rFonts w:cs="Open Sans"/>
        </w:rPr>
        <w:t xml:space="preserve">ransport </w:t>
      </w:r>
      <w:r w:rsidR="009015C1" w:rsidRPr="0016306F">
        <w:rPr>
          <w:rFonts w:cs="Open Sans"/>
        </w:rPr>
        <w:t>a</w:t>
      </w:r>
      <w:r w:rsidR="000C3075" w:rsidRPr="0016306F">
        <w:rPr>
          <w:rFonts w:cs="Open Sans"/>
        </w:rPr>
        <w:t xml:space="preserve">ssistance </w:t>
      </w:r>
      <w:r w:rsidR="009015C1" w:rsidRPr="0016306F">
        <w:rPr>
          <w:rFonts w:cs="Open Sans"/>
        </w:rPr>
        <w:t>p</w:t>
      </w:r>
      <w:r w:rsidR="000C3075" w:rsidRPr="0016306F">
        <w:rPr>
          <w:rFonts w:cs="Open Sans"/>
        </w:rPr>
        <w:t>rogr</w:t>
      </w:r>
      <w:r w:rsidR="009015C1" w:rsidRPr="0016306F">
        <w:rPr>
          <w:rFonts w:cs="Open Sans"/>
        </w:rPr>
        <w:t>am for students with disability</w:t>
      </w:r>
      <w:r w:rsidR="002A6085" w:rsidRPr="0016306F">
        <w:rPr>
          <w:rFonts w:cs="Open Sans"/>
        </w:rPr>
        <w:t xml:space="preserve"> procedure</w:t>
      </w:r>
      <w:r w:rsidR="000C3075" w:rsidRPr="0016306F">
        <w:rPr>
          <w:rFonts w:cs="Open Sans"/>
        </w:rPr>
        <w:t xml:space="preserve">’, </w:t>
      </w:r>
      <w:r w:rsidR="000C3075" w:rsidRPr="0016306F">
        <w:rPr>
          <w:rFonts w:cs="Open Sans"/>
          <w:i/>
          <w:iCs/>
        </w:rPr>
        <w:t xml:space="preserve">Queensland Government </w:t>
      </w:r>
      <w:r w:rsidR="000C3075" w:rsidRPr="0016306F">
        <w:rPr>
          <w:rFonts w:cs="Open Sans"/>
        </w:rPr>
        <w:t>(</w:t>
      </w:r>
      <w:r w:rsidR="008705D1" w:rsidRPr="0016306F">
        <w:rPr>
          <w:rFonts w:cs="Open Sans"/>
        </w:rPr>
        <w:t>Web Page</w:t>
      </w:r>
      <w:r w:rsidR="000C3075" w:rsidRPr="0016306F">
        <w:rPr>
          <w:rFonts w:cs="Open Sans"/>
        </w:rPr>
        <w:t xml:space="preserve">, </w:t>
      </w:r>
      <w:r w:rsidR="001D1565" w:rsidRPr="0016306F">
        <w:rPr>
          <w:rFonts w:cs="Open Sans"/>
        </w:rPr>
        <w:t>27</w:t>
      </w:r>
      <w:r w:rsidR="000C3075" w:rsidRPr="0016306F">
        <w:rPr>
          <w:rFonts w:cs="Open Sans"/>
        </w:rPr>
        <w:t xml:space="preserve"> </w:t>
      </w:r>
      <w:r w:rsidR="001D1565" w:rsidRPr="0016306F">
        <w:rPr>
          <w:rFonts w:cs="Open Sans"/>
        </w:rPr>
        <w:t>October</w:t>
      </w:r>
      <w:r w:rsidR="000C3075" w:rsidRPr="0016306F">
        <w:rPr>
          <w:rFonts w:cs="Open Sans"/>
        </w:rPr>
        <w:t xml:space="preserve"> 20</w:t>
      </w:r>
      <w:r w:rsidR="001D1565" w:rsidRPr="0016306F">
        <w:rPr>
          <w:rFonts w:cs="Open Sans"/>
        </w:rPr>
        <w:t>22</w:t>
      </w:r>
      <w:r w:rsidR="000C3075" w:rsidRPr="0016306F">
        <w:rPr>
          <w:rFonts w:cs="Open Sans"/>
        </w:rPr>
        <w:t>)</w:t>
      </w:r>
      <w:r w:rsidR="008705D1" w:rsidRPr="0016306F">
        <w:rPr>
          <w:rFonts w:cs="Open Sans"/>
        </w:rPr>
        <w:t xml:space="preserve"> &lt;</w:t>
      </w:r>
      <w:hyperlink r:id="rId25" w:history="1">
        <w:r w:rsidR="001D1565" w:rsidRPr="0016306F">
          <w:rPr>
            <w:rStyle w:val="Hyperlink"/>
            <w:rFonts w:cs="Open Sans"/>
          </w:rPr>
          <w:t>School transport assistance program for students with disability procedure (qed.qld.gov.au)</w:t>
        </w:r>
      </w:hyperlink>
      <w:r w:rsidR="001D1565" w:rsidRPr="0016306F">
        <w:rPr>
          <w:rFonts w:cs="Open Sans"/>
        </w:rPr>
        <w:t xml:space="preserve">&gt;; </w:t>
      </w:r>
      <w:r w:rsidR="00231A20" w:rsidRPr="0016306F">
        <w:rPr>
          <w:rFonts w:cs="Open Sans"/>
          <w:b/>
          <w:bCs/>
        </w:rPr>
        <w:t>Northern Territory ‘</w:t>
      </w:r>
      <w:r w:rsidR="0059092A" w:rsidRPr="0016306F">
        <w:rPr>
          <w:rFonts w:cs="Open Sans"/>
          <w:b/>
          <w:bCs/>
        </w:rPr>
        <w:t xml:space="preserve">Special Needs Transport’: </w:t>
      </w:r>
      <w:r w:rsidR="00D97008">
        <w:rPr>
          <w:rFonts w:cs="Open Sans"/>
        </w:rPr>
        <w:t xml:space="preserve">See </w:t>
      </w:r>
      <w:r w:rsidR="0059092A" w:rsidRPr="0016306F">
        <w:rPr>
          <w:rFonts w:cs="Open Sans"/>
        </w:rPr>
        <w:t xml:space="preserve">‘Transport for students with special needs’, </w:t>
      </w:r>
      <w:r w:rsidR="0059092A" w:rsidRPr="0016306F">
        <w:rPr>
          <w:rFonts w:cs="Open Sans"/>
          <w:i/>
          <w:iCs/>
        </w:rPr>
        <w:t xml:space="preserve">NT.Gov.Au </w:t>
      </w:r>
      <w:r w:rsidR="0059092A" w:rsidRPr="0016306F">
        <w:rPr>
          <w:rFonts w:cs="Open Sans"/>
        </w:rPr>
        <w:t>(Web Page, 4 December 2018)</w:t>
      </w:r>
      <w:r w:rsidR="009F04BA" w:rsidRPr="0016306F">
        <w:rPr>
          <w:rFonts w:cs="Open Sans"/>
        </w:rPr>
        <w:t xml:space="preserve"> &lt;</w:t>
      </w:r>
      <w:hyperlink r:id="rId26" w:history="1">
        <w:r w:rsidR="009F04BA" w:rsidRPr="0016306F">
          <w:rPr>
            <w:rStyle w:val="Hyperlink"/>
            <w:rFonts w:cs="Open Sans"/>
          </w:rPr>
          <w:t>Transport for students with special needs | NT.GOV.AU</w:t>
        </w:r>
      </w:hyperlink>
      <w:r w:rsidR="009F04BA" w:rsidRPr="0016306F">
        <w:rPr>
          <w:rFonts w:cs="Open Sans"/>
        </w:rPr>
        <w:t xml:space="preserve">&gt;; </w:t>
      </w:r>
      <w:r w:rsidR="00B06016" w:rsidRPr="0016306F">
        <w:rPr>
          <w:rFonts w:cs="Open Sans"/>
          <w:b/>
          <w:bCs/>
        </w:rPr>
        <w:t xml:space="preserve">South Australia ‘Transport for students with disabilities’: </w:t>
      </w:r>
      <w:r w:rsidR="00D97008">
        <w:rPr>
          <w:rFonts w:cs="Open Sans"/>
        </w:rPr>
        <w:t xml:space="preserve">See </w:t>
      </w:r>
      <w:r w:rsidR="00774E10" w:rsidRPr="0016306F">
        <w:rPr>
          <w:rFonts w:cs="Open Sans"/>
        </w:rPr>
        <w:t xml:space="preserve">Department of Education (SA) </w:t>
      </w:r>
      <w:r w:rsidR="00747587" w:rsidRPr="0016306F">
        <w:rPr>
          <w:rFonts w:cs="Open Sans"/>
          <w:i/>
          <w:iCs/>
        </w:rPr>
        <w:t xml:space="preserve">School Transport Policy </w:t>
      </w:r>
      <w:r w:rsidR="00747587" w:rsidRPr="0016306F">
        <w:rPr>
          <w:rFonts w:cs="Open Sans"/>
        </w:rPr>
        <w:t>(</w:t>
      </w:r>
      <w:r w:rsidR="00802647" w:rsidRPr="0016306F">
        <w:rPr>
          <w:rFonts w:cs="Open Sans"/>
        </w:rPr>
        <w:t xml:space="preserve">1 February 2021) </w:t>
      </w:r>
      <w:r w:rsidR="00774E10" w:rsidRPr="0016306F">
        <w:rPr>
          <w:rFonts w:cs="Open Sans"/>
        </w:rPr>
        <w:t>33-4</w:t>
      </w:r>
      <w:r w:rsidR="00802647" w:rsidRPr="0016306F">
        <w:rPr>
          <w:rFonts w:cs="Open Sans"/>
        </w:rPr>
        <w:t xml:space="preserve"> &lt;</w:t>
      </w:r>
      <w:hyperlink r:id="rId27" w:history="1">
        <w:r w:rsidR="00802647" w:rsidRPr="0016306F">
          <w:rPr>
            <w:rStyle w:val="Hyperlink"/>
            <w:rFonts w:cs="Open Sans"/>
          </w:rPr>
          <w:t>School transport policy (education.sa.gov.au)</w:t>
        </w:r>
      </w:hyperlink>
      <w:r w:rsidR="00802647" w:rsidRPr="0016306F">
        <w:rPr>
          <w:rFonts w:cs="Open Sans"/>
        </w:rPr>
        <w:t xml:space="preserve">&gt;; </w:t>
      </w:r>
      <w:r w:rsidR="00802647" w:rsidRPr="0016306F">
        <w:rPr>
          <w:rFonts w:cs="Open Sans"/>
          <w:b/>
          <w:bCs/>
        </w:rPr>
        <w:t>Western Australia</w:t>
      </w:r>
      <w:r w:rsidR="0043107E" w:rsidRPr="0016306F">
        <w:rPr>
          <w:rFonts w:cs="Open Sans"/>
          <w:b/>
          <w:bCs/>
        </w:rPr>
        <w:t xml:space="preserve"> ‘Transport Assistance Program’: </w:t>
      </w:r>
      <w:r w:rsidR="00D97008">
        <w:rPr>
          <w:rFonts w:cs="Open Sans"/>
        </w:rPr>
        <w:t xml:space="preserve">See </w:t>
      </w:r>
      <w:r w:rsidR="0043107E" w:rsidRPr="0016306F">
        <w:rPr>
          <w:rFonts w:cs="Open Sans"/>
        </w:rPr>
        <w:t xml:space="preserve">‘Education Support Students’ </w:t>
      </w:r>
      <w:r w:rsidR="0043107E" w:rsidRPr="0016306F">
        <w:rPr>
          <w:rFonts w:cs="Open Sans"/>
          <w:i/>
          <w:iCs/>
        </w:rPr>
        <w:t xml:space="preserve">School Bus Services </w:t>
      </w:r>
      <w:r w:rsidR="0043107E" w:rsidRPr="0016306F">
        <w:rPr>
          <w:rFonts w:cs="Open Sans"/>
        </w:rPr>
        <w:t>(Web Page) &lt;</w:t>
      </w:r>
      <w:hyperlink r:id="rId28" w:anchor="Eligibility-Educational-Support-Students-1" w:history="1">
        <w:r w:rsidR="00406D51" w:rsidRPr="0016306F">
          <w:rPr>
            <w:rStyle w:val="Hyperlink"/>
            <w:rFonts w:cs="Open Sans"/>
          </w:rPr>
          <w:t>School Buses &gt; Transport Assistance &gt; Who's Eligible &gt; ED Support Students</w:t>
        </w:r>
      </w:hyperlink>
      <w:r w:rsidR="00406D51" w:rsidRPr="0016306F">
        <w:rPr>
          <w:rFonts w:cs="Open Sans"/>
        </w:rPr>
        <w:t>&gt;</w:t>
      </w:r>
      <w:r w:rsidR="00327300" w:rsidRPr="0016306F">
        <w:rPr>
          <w:rFonts w:cs="Open Sans"/>
          <w:b/>
          <w:bCs/>
        </w:rPr>
        <w:t>; Tasmania</w:t>
      </w:r>
      <w:r w:rsidR="003C76C7" w:rsidRPr="0016306F">
        <w:rPr>
          <w:rFonts w:cs="Open Sans"/>
          <w:b/>
          <w:bCs/>
        </w:rPr>
        <w:t xml:space="preserve"> ‘Transport Assistance Program for Students with Disability’</w:t>
      </w:r>
      <w:r w:rsidR="0003519F" w:rsidRPr="0016306F">
        <w:rPr>
          <w:rFonts w:cs="Open Sans"/>
          <w:b/>
          <w:bCs/>
        </w:rPr>
        <w:t xml:space="preserve">: </w:t>
      </w:r>
      <w:r w:rsidR="00D97008">
        <w:rPr>
          <w:rFonts w:cs="Open Sans"/>
        </w:rPr>
        <w:t xml:space="preserve">See </w:t>
      </w:r>
      <w:r w:rsidR="0003519F" w:rsidRPr="0016306F">
        <w:rPr>
          <w:rFonts w:cs="Open Sans"/>
        </w:rPr>
        <w:t xml:space="preserve">Department </w:t>
      </w:r>
      <w:r w:rsidR="00856A07" w:rsidRPr="0016306F">
        <w:rPr>
          <w:rFonts w:cs="Open Sans"/>
        </w:rPr>
        <w:t>of Education</w:t>
      </w:r>
      <w:r w:rsidR="007B2839" w:rsidRPr="0016306F">
        <w:rPr>
          <w:rFonts w:cs="Open Sans"/>
        </w:rPr>
        <w:t xml:space="preserve"> (Tas), </w:t>
      </w:r>
      <w:r w:rsidR="007B2839" w:rsidRPr="0016306F">
        <w:rPr>
          <w:rFonts w:cs="Open Sans"/>
          <w:i/>
          <w:iCs/>
        </w:rPr>
        <w:t xml:space="preserve">Transport Assistance Program for Students with Disability Procedure </w:t>
      </w:r>
      <w:r w:rsidR="003B4A9F" w:rsidRPr="0016306F">
        <w:rPr>
          <w:rFonts w:cs="Open Sans"/>
        </w:rPr>
        <w:t>(</w:t>
      </w:r>
      <w:r w:rsidR="006940EA" w:rsidRPr="0016306F">
        <w:rPr>
          <w:rFonts w:cs="Open Sans"/>
        </w:rPr>
        <w:t xml:space="preserve">2 November 2021) </w:t>
      </w:r>
      <w:hyperlink r:id="rId29" w:history="1">
        <w:r w:rsidR="009808DB" w:rsidRPr="0016306F">
          <w:rPr>
            <w:rStyle w:val="Hyperlink"/>
            <w:rFonts w:cs="Open Sans"/>
          </w:rPr>
          <w:t>https://publicdocumentcentre.education.tas.gov.au/library/Document%20Centre/Transport-Assistance-Program-for-Students-with-Disability-Procedures.pdf</w:t>
        </w:r>
      </w:hyperlink>
      <w:r w:rsidR="009808DB" w:rsidRPr="0016306F">
        <w:rPr>
          <w:rFonts w:cs="Open Sans"/>
        </w:rPr>
        <w:t>.</w:t>
      </w:r>
      <w:r w:rsidR="00406D51" w:rsidRPr="0016306F">
        <w:rPr>
          <w:rFonts w:cs="Open Sans"/>
          <w:b/>
          <w:bCs/>
        </w:rPr>
        <w:t>; Australian Capital Territory ‘</w:t>
      </w:r>
      <w:r w:rsidR="00EA156D" w:rsidRPr="0016306F">
        <w:rPr>
          <w:rFonts w:cs="Open Sans"/>
          <w:b/>
          <w:bCs/>
        </w:rPr>
        <w:t xml:space="preserve">Special Needs Transport’: </w:t>
      </w:r>
      <w:r w:rsidR="00D97008">
        <w:rPr>
          <w:rFonts w:cs="Open Sans"/>
        </w:rPr>
        <w:t xml:space="preserve">See </w:t>
      </w:r>
      <w:r w:rsidR="00E4566B" w:rsidRPr="0016306F">
        <w:rPr>
          <w:rFonts w:cs="Open Sans"/>
        </w:rPr>
        <w:t xml:space="preserve">‘Special </w:t>
      </w:r>
      <w:r w:rsidR="00A04CDB" w:rsidRPr="0016306F">
        <w:rPr>
          <w:rFonts w:cs="Open Sans"/>
        </w:rPr>
        <w:t>N</w:t>
      </w:r>
      <w:r w:rsidR="00E4566B" w:rsidRPr="0016306F">
        <w:rPr>
          <w:rFonts w:cs="Open Sans"/>
        </w:rPr>
        <w:t xml:space="preserve">eeds </w:t>
      </w:r>
      <w:r w:rsidR="00A04CDB" w:rsidRPr="0016306F">
        <w:rPr>
          <w:rFonts w:cs="Open Sans"/>
        </w:rPr>
        <w:t>Tr</w:t>
      </w:r>
      <w:r w:rsidR="00E4566B" w:rsidRPr="0016306F">
        <w:rPr>
          <w:rFonts w:cs="Open Sans"/>
        </w:rPr>
        <w:t xml:space="preserve">ansport </w:t>
      </w:r>
      <w:r w:rsidR="00A04CDB" w:rsidRPr="0016306F">
        <w:rPr>
          <w:rFonts w:cs="Open Sans"/>
        </w:rPr>
        <w:t>Guidelines</w:t>
      </w:r>
      <w:r w:rsidR="00E4566B" w:rsidRPr="0016306F">
        <w:rPr>
          <w:rFonts w:cs="Open Sans"/>
        </w:rPr>
        <w:t xml:space="preserve">, </w:t>
      </w:r>
      <w:r w:rsidR="00E4566B" w:rsidRPr="0016306F">
        <w:rPr>
          <w:rFonts w:cs="Open Sans"/>
          <w:i/>
          <w:iCs/>
        </w:rPr>
        <w:t xml:space="preserve">Transport Canberra ACT Government </w:t>
      </w:r>
      <w:r w:rsidR="00E4566B" w:rsidRPr="0016306F">
        <w:rPr>
          <w:rFonts w:cs="Open Sans"/>
        </w:rPr>
        <w:t>(Web Page</w:t>
      </w:r>
      <w:r w:rsidR="006118E2" w:rsidRPr="0016306F">
        <w:rPr>
          <w:rFonts w:cs="Open Sans"/>
        </w:rPr>
        <w:t>) &lt;</w:t>
      </w:r>
      <w:hyperlink r:id="rId30" w:history="1">
        <w:r w:rsidR="006118E2" w:rsidRPr="0016306F">
          <w:rPr>
            <w:rStyle w:val="Hyperlink"/>
            <w:rFonts w:cs="Open Sans"/>
          </w:rPr>
          <w:t>Special Needs Transport Guidelines - Transport Canberra (act.gov.au)</w:t>
        </w:r>
      </w:hyperlink>
      <w:r w:rsidR="006118E2" w:rsidRPr="0016306F">
        <w:rPr>
          <w:rFonts w:cs="Open Sans"/>
        </w:rPr>
        <w:t xml:space="preserve">&gt;. </w:t>
      </w:r>
    </w:p>
  </w:endnote>
  <w:endnote w:id="55">
    <w:p w14:paraId="0D3A3AEC" w14:textId="640E84CD"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See The Allen Consulting Group, </w:t>
      </w:r>
      <w:r w:rsidRPr="00B31CC0">
        <w:rPr>
          <w:rFonts w:cs="Open Sans"/>
          <w:i/>
          <w:iCs/>
        </w:rPr>
        <w:t>RIS analysis of Dedicated School Bus exclusion option</w:t>
      </w:r>
      <w:r w:rsidR="00B31CC0" w:rsidRPr="00B31CC0">
        <w:rPr>
          <w:rFonts w:cs="Open Sans"/>
          <w:i/>
          <w:iCs/>
        </w:rPr>
        <w:t xml:space="preserve"> </w:t>
      </w:r>
      <w:r w:rsidRPr="0016306F">
        <w:rPr>
          <w:rFonts w:cs="Open Sans"/>
        </w:rPr>
        <w:t xml:space="preserve">(Report, October 2009) &lt; </w:t>
      </w:r>
      <w:hyperlink r:id="rId31" w:history="1">
        <w:r w:rsidRPr="0016306F">
          <w:rPr>
            <w:rStyle w:val="Hyperlink"/>
            <w:rFonts w:cs="Open Sans"/>
          </w:rPr>
          <w:t>https://www.infrastructure.gov.au/sites/default/files/migrated/transport/disabilities/review/files/School_Bus_RIS_final.pdf</w:t>
        </w:r>
      </w:hyperlink>
      <w:r w:rsidRPr="0016306F">
        <w:rPr>
          <w:rFonts w:cs="Open Sans"/>
        </w:rPr>
        <w:t>&gt;.</w:t>
      </w:r>
    </w:p>
  </w:endnote>
  <w:endnote w:id="56">
    <w:p w14:paraId="0DF31667" w14:textId="338A7C40" w:rsidR="008732B7" w:rsidRPr="0016306F" w:rsidRDefault="008732B7" w:rsidP="008732B7">
      <w:pPr>
        <w:pStyle w:val="EndnoteText"/>
        <w:rPr>
          <w:rFonts w:cs="Open Sans"/>
          <w:i/>
          <w:iCs/>
        </w:rPr>
      </w:pPr>
      <w:r w:rsidRPr="0016306F">
        <w:rPr>
          <w:rStyle w:val="EndnoteReference"/>
          <w:rFonts w:cs="Open Sans"/>
        </w:rPr>
        <w:endnoteRef/>
      </w:r>
      <w:r w:rsidRPr="0016306F">
        <w:rPr>
          <w:rFonts w:cs="Open Sans"/>
        </w:rPr>
        <w:t xml:space="preserve"> </w:t>
      </w:r>
      <w:r w:rsidR="00332C7B">
        <w:rPr>
          <w:rFonts w:cs="Open Sans"/>
        </w:rPr>
        <w:t>Ibid</w:t>
      </w:r>
      <w:r w:rsidRPr="0016306F">
        <w:rPr>
          <w:rFonts w:cs="Open Sans"/>
        </w:rPr>
        <w:t xml:space="preserve"> 7</w:t>
      </w:r>
      <w:r w:rsidR="00332C7B">
        <w:rPr>
          <w:rFonts w:cs="Open Sans"/>
        </w:rPr>
        <w:t xml:space="preserve">; </w:t>
      </w:r>
      <w:r w:rsidR="00A23FFB" w:rsidRPr="0016306F">
        <w:rPr>
          <w:rFonts w:cs="Open Sans"/>
        </w:rPr>
        <w:t xml:space="preserve">See </w:t>
      </w:r>
      <w:r w:rsidR="001467A6" w:rsidRPr="0016306F">
        <w:rPr>
          <w:rFonts w:cs="Open Sans"/>
        </w:rPr>
        <w:t xml:space="preserve">Public Interest Advocacy Centre, </w:t>
      </w:r>
      <w:r w:rsidR="00845487" w:rsidRPr="00332C7B">
        <w:rPr>
          <w:rFonts w:cs="Open Sans"/>
          <w:i/>
          <w:iCs/>
        </w:rPr>
        <w:t>Submission to Reforms of the Disability Standards for Accessible Public Transport 2002 – Stage 2 Consultation Regulation Impact Statement</w:t>
      </w:r>
      <w:r w:rsidR="001B4194" w:rsidRPr="0016306F">
        <w:rPr>
          <w:rFonts w:cs="Open Sans"/>
        </w:rPr>
        <w:t xml:space="preserve"> (9 August 2022) </w:t>
      </w:r>
      <w:r w:rsidR="00A23FFB" w:rsidRPr="0016306F">
        <w:rPr>
          <w:rFonts w:cs="Open Sans"/>
        </w:rPr>
        <w:t>20 &lt;</w:t>
      </w:r>
      <w:hyperlink r:id="rId32" w:history="1">
        <w:r w:rsidR="00A23FFB" w:rsidRPr="0016306F">
          <w:rPr>
            <w:rStyle w:val="Hyperlink"/>
            <w:rFonts w:cs="Open Sans"/>
          </w:rPr>
          <w:t>Submission to the Reforms of the Disability Standards for Accessible Public Transport 2002 – Stage 2 Consultation Regulation Impact Statement | Public Interest Advocacy Centre (piac.asn.au)</w:t>
        </w:r>
      </w:hyperlink>
      <w:r w:rsidR="00A23FFB" w:rsidRPr="0016306F">
        <w:rPr>
          <w:rFonts w:cs="Open Sans"/>
        </w:rPr>
        <w:t xml:space="preserve">&gt;. </w:t>
      </w:r>
    </w:p>
  </w:endnote>
  <w:endnote w:id="57">
    <w:p w14:paraId="327C02E1" w14:textId="7D818CD7" w:rsidR="00A6347F" w:rsidRPr="0016306F" w:rsidRDefault="00A6347F">
      <w:pPr>
        <w:pStyle w:val="EndnoteText"/>
        <w:rPr>
          <w:rFonts w:cs="Open Sans"/>
        </w:rPr>
      </w:pPr>
      <w:r w:rsidRPr="0016306F">
        <w:rPr>
          <w:rStyle w:val="EndnoteReference"/>
          <w:rFonts w:cs="Open Sans"/>
        </w:rPr>
        <w:endnoteRef/>
      </w:r>
      <w:r w:rsidRPr="0016306F">
        <w:rPr>
          <w:rFonts w:cs="Open Sans"/>
        </w:rPr>
        <w:t xml:space="preserve"> Physical Disability Council of NSW</w:t>
      </w:r>
      <w:r w:rsidR="00434AFC" w:rsidRPr="0016306F">
        <w:rPr>
          <w:rFonts w:cs="Open Sans"/>
        </w:rPr>
        <w:t xml:space="preserve">, </w:t>
      </w:r>
      <w:r w:rsidR="00E67D61" w:rsidRPr="00332C7B">
        <w:rPr>
          <w:rFonts w:cs="Open Sans"/>
          <w:i/>
          <w:iCs/>
        </w:rPr>
        <w:t>Response to the Reform of the Disability Standards for Accessible Public Transport Regulation Impact Statement</w:t>
      </w:r>
      <w:r w:rsidR="004C15F0" w:rsidRPr="0016306F">
        <w:rPr>
          <w:rFonts w:cs="Open Sans"/>
          <w:i/>
          <w:iCs/>
        </w:rPr>
        <w:t xml:space="preserve"> </w:t>
      </w:r>
      <w:r w:rsidR="004C15F0" w:rsidRPr="0016306F">
        <w:rPr>
          <w:rFonts w:cs="Open Sans"/>
        </w:rPr>
        <w:t xml:space="preserve">(9 August 2022) </w:t>
      </w:r>
      <w:r w:rsidR="00B32132" w:rsidRPr="0016306F">
        <w:rPr>
          <w:rFonts w:cs="Open Sans"/>
        </w:rPr>
        <w:t xml:space="preserve">14. </w:t>
      </w:r>
    </w:p>
  </w:endnote>
  <w:endnote w:id="58">
    <w:p w14:paraId="41AF1667" w14:textId="761CA612" w:rsidR="008732B7" w:rsidRPr="0016306F" w:rsidRDefault="008732B7" w:rsidP="008732B7">
      <w:pPr>
        <w:pStyle w:val="EndnoteText"/>
        <w:rPr>
          <w:rFonts w:cs="Open Sans"/>
        </w:rPr>
      </w:pPr>
      <w:r w:rsidRPr="0016306F">
        <w:rPr>
          <w:rStyle w:val="EndnoteReference"/>
          <w:rFonts w:cs="Open Sans"/>
        </w:rPr>
        <w:endnoteRef/>
      </w:r>
      <w:r w:rsidRPr="0016306F">
        <w:rPr>
          <w:rFonts w:cs="Open Sans"/>
        </w:rPr>
        <w:t xml:space="preserve"> See Physical Disability Council of New South Wales</w:t>
      </w:r>
      <w:r w:rsidRPr="00332C7B">
        <w:rPr>
          <w:rFonts w:cs="Open Sans"/>
          <w:i/>
          <w:iCs/>
        </w:rPr>
        <w:t>, Taxi Troubles: the experiences of people with disability and taxis in NSW</w:t>
      </w:r>
      <w:r w:rsidR="00332C7B">
        <w:rPr>
          <w:rFonts w:cs="Open Sans"/>
        </w:rPr>
        <w:t xml:space="preserve"> </w:t>
      </w:r>
      <w:r w:rsidRPr="0016306F">
        <w:rPr>
          <w:rFonts w:cs="Open Sans"/>
        </w:rPr>
        <w:t>(Report, February 2023) &lt;</w:t>
      </w:r>
      <w:hyperlink r:id="rId33" w:history="1">
        <w:r w:rsidRPr="0016306F">
          <w:rPr>
            <w:rStyle w:val="Hyperlink"/>
            <w:rFonts w:cs="Open Sans"/>
          </w:rPr>
          <w:t>apo-nid322005.docx (live.com)</w:t>
        </w:r>
      </w:hyperlink>
      <w:r w:rsidRPr="0016306F">
        <w:rPr>
          <w:rFonts w:cs="Open Sans"/>
        </w:rPr>
        <w:t>&gt; 12-13</w:t>
      </w:r>
      <w:r w:rsidR="00406E2D" w:rsidRPr="0016306F">
        <w:rPr>
          <w:rFonts w:cs="Open Sans"/>
        </w:rPr>
        <w:t xml:space="preserve">; Eden Gillespie, </w:t>
      </w:r>
      <w:r w:rsidR="006874E3" w:rsidRPr="0016306F">
        <w:rPr>
          <w:rFonts w:cs="Open Sans"/>
        </w:rPr>
        <w:t>‘</w:t>
      </w:r>
      <w:r w:rsidR="00106DB1" w:rsidRPr="0016306F">
        <w:rPr>
          <w:rFonts w:cs="Open Sans"/>
        </w:rPr>
        <w:t xml:space="preserve">We’re not a priority’: people with disabilities wait up to three hours for transport in regional Queensland’, </w:t>
      </w:r>
      <w:r w:rsidR="00106DB1" w:rsidRPr="0016306F">
        <w:rPr>
          <w:rFonts w:cs="Open Sans"/>
          <w:i/>
          <w:iCs/>
        </w:rPr>
        <w:t>The Guardian</w:t>
      </w:r>
      <w:r w:rsidR="00106DB1" w:rsidRPr="0016306F">
        <w:rPr>
          <w:rFonts w:cs="Open Sans"/>
        </w:rPr>
        <w:t xml:space="preserve"> (Online, 21 April 2022) &lt;</w:t>
      </w:r>
      <w:hyperlink r:id="rId34" w:history="1">
        <w:r w:rsidR="00106DB1" w:rsidRPr="0016306F">
          <w:rPr>
            <w:rStyle w:val="Hyperlink"/>
            <w:rFonts w:cs="Open Sans"/>
          </w:rPr>
          <w:t>‘We’re not a priority’: people with disabilities wait up to three hours for transport in regional Queensland | Queensland | The Guardian</w:t>
        </w:r>
      </w:hyperlink>
      <w:r w:rsidR="00106DB1" w:rsidRPr="0016306F">
        <w:rPr>
          <w:rFonts w:cs="Open Sans"/>
        </w:rPr>
        <w:t xml:space="preserve">&gt;. </w:t>
      </w:r>
    </w:p>
  </w:endnote>
  <w:endnote w:id="59">
    <w:p w14:paraId="1CC22036" w14:textId="102E8E4B" w:rsidR="00D71204" w:rsidRDefault="00D71204">
      <w:pPr>
        <w:pStyle w:val="EndnoteText"/>
      </w:pPr>
      <w:r>
        <w:rPr>
          <w:rStyle w:val="EndnoteReference"/>
        </w:rPr>
        <w:endnoteRef/>
      </w:r>
      <w:r>
        <w:t xml:space="preserve"> </w:t>
      </w:r>
      <w:r w:rsidR="007D255E">
        <w:t xml:space="preserve">Victorian Equal Opportunity and Human Rights Commission, ‘Who’s on board? Public transport for people with disabilities in Victoria’ (Report, October 2013) </w:t>
      </w:r>
      <w:r w:rsidR="00237B88">
        <w:t>14</w:t>
      </w:r>
      <w:r w:rsidR="0080735C">
        <w:t>; See Annette Ferguson, ‘Dog Guide Refusal Incident Report 28 October 2022’ (Report, Dog Guide Handlers Australia).</w:t>
      </w:r>
    </w:p>
  </w:endnote>
  <w:endnote w:id="60">
    <w:p w14:paraId="05FA0FB8" w14:textId="15541AEB" w:rsidR="00C530AD" w:rsidRPr="001A3A01" w:rsidRDefault="00C530AD">
      <w:pPr>
        <w:pStyle w:val="EndnoteText"/>
      </w:pPr>
      <w:r>
        <w:rPr>
          <w:rStyle w:val="EndnoteReference"/>
        </w:rPr>
        <w:endnoteRef/>
      </w:r>
      <w:r>
        <w:t xml:space="preserve"> </w:t>
      </w:r>
      <w:r w:rsidR="00295911">
        <w:t xml:space="preserve">See </w:t>
      </w:r>
      <w:r w:rsidR="001A3A01">
        <w:t xml:space="preserve">Matilda Marozzi, ‘People with disabilities left feeling ‘helpless’ and ‘humiliated’ after </w:t>
      </w:r>
      <w:r w:rsidR="00295911">
        <w:t>trying</w:t>
      </w:r>
      <w:r w:rsidR="001A3A01">
        <w:t xml:space="preserve"> to access subsidised taxi fares’ </w:t>
      </w:r>
      <w:r w:rsidR="001A3A01">
        <w:rPr>
          <w:i/>
          <w:iCs/>
        </w:rPr>
        <w:t xml:space="preserve">ABC News </w:t>
      </w:r>
      <w:r w:rsidR="001A3A01">
        <w:t>(Online, 18 October 2022) &lt;</w:t>
      </w:r>
      <w:r w:rsidR="00295911" w:rsidRPr="00295911">
        <w:t xml:space="preserve"> </w:t>
      </w:r>
      <w:hyperlink r:id="rId35" w:history="1">
        <w:r w:rsidR="00295911">
          <w:rPr>
            <w:rStyle w:val="Hyperlink"/>
          </w:rPr>
          <w:t>People with disabilities left feeling 'helpless' and 'humiliated' after trying to access subsidised taxi fares - ABC News</w:t>
        </w:r>
      </w:hyperlink>
      <w:r w:rsidR="00295911">
        <w:t>&gt;.</w:t>
      </w:r>
    </w:p>
  </w:endnote>
  <w:endnote w:id="61">
    <w:p w14:paraId="72EBAF6E" w14:textId="10504178" w:rsidR="000802E6" w:rsidRDefault="000802E6">
      <w:pPr>
        <w:pStyle w:val="EndnoteText"/>
      </w:pPr>
      <w:r>
        <w:rPr>
          <w:rStyle w:val="EndnoteReference"/>
        </w:rPr>
        <w:endnoteRef/>
      </w:r>
      <w:r>
        <w:t xml:space="preserve"> Annette Ferguson, ‘Do</w:t>
      </w:r>
      <w:r w:rsidR="00F32433">
        <w:t>g Guide Refusal Incident Report 28 October 2022’ (Report, Dog Guide Handlers Australia</w:t>
      </w:r>
      <w:r w:rsidR="00A33609">
        <w:t xml:space="preserve">). </w:t>
      </w:r>
    </w:p>
  </w:endnote>
  <w:endnote w:id="62">
    <w:p w14:paraId="1EDD7E17" w14:textId="77777777" w:rsidR="00F53CB6" w:rsidRPr="000B293D" w:rsidRDefault="00F53CB6" w:rsidP="00F53CB6">
      <w:pPr>
        <w:pStyle w:val="EndnoteText"/>
      </w:pPr>
      <w:r>
        <w:rPr>
          <w:rStyle w:val="EndnoteReference"/>
        </w:rPr>
        <w:endnoteRef/>
      </w:r>
      <w:r>
        <w:t xml:space="preserve"> </w:t>
      </w:r>
      <w:r>
        <w:rPr>
          <w:i/>
          <w:iCs/>
        </w:rPr>
        <w:t xml:space="preserve">Disability Discrimination Act 1992 </w:t>
      </w:r>
      <w:r>
        <w:t>(Cth) s 8.</w:t>
      </w:r>
    </w:p>
  </w:endnote>
  <w:endnote w:id="63">
    <w:p w14:paraId="057B89CC" w14:textId="4F2FDF9B" w:rsidR="001F0BC9" w:rsidRPr="0016306F" w:rsidRDefault="001F0BC9">
      <w:pPr>
        <w:pStyle w:val="EndnoteText"/>
        <w:rPr>
          <w:rFonts w:cs="Open Sans"/>
        </w:rPr>
      </w:pPr>
      <w:r w:rsidRPr="0016306F">
        <w:rPr>
          <w:rStyle w:val="EndnoteReference"/>
          <w:rFonts w:cs="Open Sans"/>
        </w:rPr>
        <w:endnoteRef/>
      </w:r>
      <w:r w:rsidRPr="0016306F">
        <w:rPr>
          <w:rFonts w:cs="Open Sans"/>
        </w:rPr>
        <w:t xml:space="preserve"> </w:t>
      </w:r>
      <w:r w:rsidR="009D78AC">
        <w:rPr>
          <w:rFonts w:cs="Open Sans"/>
        </w:rPr>
        <w:t xml:space="preserve">See </w:t>
      </w:r>
      <w:r w:rsidR="002C1563">
        <w:rPr>
          <w:rFonts w:cs="Open Sans"/>
        </w:rPr>
        <w:t xml:space="preserve">The </w:t>
      </w:r>
      <w:r w:rsidR="003C7EEF">
        <w:rPr>
          <w:rFonts w:cs="Open Sans"/>
        </w:rPr>
        <w:t xml:space="preserve">Allen Consulting Group, </w:t>
      </w:r>
      <w:r w:rsidR="003C7EEF">
        <w:rPr>
          <w:rFonts w:cs="Open Sans"/>
          <w:i/>
          <w:iCs/>
        </w:rPr>
        <w:t xml:space="preserve">Review of the </w:t>
      </w:r>
      <w:r w:rsidR="00453405">
        <w:rPr>
          <w:rFonts w:cs="Open Sans"/>
          <w:i/>
          <w:iCs/>
        </w:rPr>
        <w:t>Disability</w:t>
      </w:r>
      <w:r w:rsidR="003C7EEF">
        <w:rPr>
          <w:rFonts w:cs="Open Sans"/>
          <w:i/>
          <w:iCs/>
        </w:rPr>
        <w:t xml:space="preserve"> Standards for Accessible Public Transport </w:t>
      </w:r>
      <w:r w:rsidR="003C7EEF">
        <w:rPr>
          <w:rFonts w:cs="Open Sans"/>
        </w:rPr>
        <w:t>(Final Report, Minister for Inrfastructure</w:t>
      </w:r>
      <w:r w:rsidR="00B43C53">
        <w:rPr>
          <w:rFonts w:cs="Open Sans"/>
        </w:rPr>
        <w:t xml:space="preserve">, Transport, Regional Development and Local Government and the </w:t>
      </w:r>
      <w:r w:rsidR="00B43C53" w:rsidRPr="009D78AC">
        <w:rPr>
          <w:rFonts w:cs="Open Sans"/>
        </w:rPr>
        <w:t>Attorney General (Cth), October 2009)</w:t>
      </w:r>
      <w:r w:rsidR="0020368C" w:rsidRPr="009D78AC">
        <w:rPr>
          <w:rFonts w:cs="Open Sans"/>
        </w:rPr>
        <w:t xml:space="preserve">; Department of Infrastructure and Regional Development (Cth), </w:t>
      </w:r>
      <w:r w:rsidR="0020368C" w:rsidRPr="009D78AC">
        <w:rPr>
          <w:rFonts w:cs="Open Sans"/>
          <w:i/>
          <w:iCs/>
        </w:rPr>
        <w:t xml:space="preserve">Review of the Disability Standards for Accessible Public Transport 2002 </w:t>
      </w:r>
      <w:r w:rsidR="0020368C" w:rsidRPr="009D78AC">
        <w:rPr>
          <w:rFonts w:cs="Open Sans"/>
        </w:rPr>
        <w:t>(Final Report, July 2015);</w:t>
      </w:r>
      <w:r w:rsidR="0020368C">
        <w:rPr>
          <w:rFonts w:cs="Open Sans"/>
        </w:rPr>
        <w:t xml:space="preserve"> </w:t>
      </w:r>
      <w:r w:rsidR="0020368C">
        <w:rPr>
          <w:rFonts w:cs="Open Sans"/>
          <w:i/>
          <w:iCs/>
        </w:rPr>
        <w:t xml:space="preserve">Third Review of the Transport Standards </w:t>
      </w:r>
      <w:r w:rsidR="0020368C">
        <w:rPr>
          <w:rFonts w:cs="Open Sans"/>
        </w:rPr>
        <w:t>(n</w:t>
      </w:r>
      <w:r w:rsidR="00453405">
        <w:rPr>
          <w:rFonts w:cs="Open Sans"/>
        </w:rPr>
        <w:t xml:space="preserve"> 2</w:t>
      </w:r>
      <w:r w:rsidR="007F03B2">
        <w:rPr>
          <w:rFonts w:cs="Open Sans"/>
        </w:rPr>
        <w:t>9</w:t>
      </w:r>
      <w:r w:rsidR="00453405">
        <w:rPr>
          <w:rFonts w:cs="Open Sans"/>
        </w:rPr>
        <w:t>)</w:t>
      </w:r>
      <w:r w:rsidR="009D78AC">
        <w:rPr>
          <w:rFonts w:cs="Open Sans"/>
        </w:rPr>
        <w:t xml:space="preserve">. </w:t>
      </w:r>
      <w:r w:rsidRPr="0016306F">
        <w:rPr>
          <w:rFonts w:cs="Open Sans"/>
        </w:rPr>
        <w:t xml:space="preserve"> </w:t>
      </w:r>
    </w:p>
  </w:endnote>
  <w:endnote w:id="64">
    <w:p w14:paraId="06B17DFD" w14:textId="39364945" w:rsidR="000D3159" w:rsidRPr="0016306F" w:rsidRDefault="000D3159" w:rsidP="000D3159">
      <w:pPr>
        <w:pStyle w:val="EndnoteText"/>
        <w:rPr>
          <w:rFonts w:cs="Open Sans"/>
        </w:rPr>
      </w:pPr>
      <w:r w:rsidRPr="0016306F">
        <w:rPr>
          <w:rStyle w:val="EndnoteReference"/>
          <w:rFonts w:cs="Open Sans"/>
        </w:rPr>
        <w:endnoteRef/>
      </w:r>
      <w:r w:rsidRPr="0016306F">
        <w:rPr>
          <w:rFonts w:cs="Open Sans"/>
        </w:rPr>
        <w:t xml:space="preserve"> </w:t>
      </w:r>
      <w:r w:rsidR="00247349">
        <w:rPr>
          <w:rFonts w:cs="Open Sans"/>
        </w:rPr>
        <w:t xml:space="preserve">See The Allen Consulting Group, </w:t>
      </w:r>
      <w:r w:rsidR="00247349">
        <w:rPr>
          <w:rFonts w:cs="Open Sans"/>
          <w:i/>
          <w:iCs/>
        </w:rPr>
        <w:t xml:space="preserve">Review of the Disability Standards for Accessible Public Transport </w:t>
      </w:r>
      <w:r w:rsidR="00247349">
        <w:rPr>
          <w:rFonts w:cs="Open Sans"/>
        </w:rPr>
        <w:t xml:space="preserve">(Final Report, Minister for Inrfastructure, Transport, Regional Development and Local Government and the </w:t>
      </w:r>
      <w:r w:rsidR="00247349" w:rsidRPr="009D78AC">
        <w:rPr>
          <w:rFonts w:cs="Open Sans"/>
        </w:rPr>
        <w:t xml:space="preserve">Attorney General (Cth), October 2009); Department of Infrastructure and Regional Development (Cth), </w:t>
      </w:r>
      <w:r w:rsidR="00247349" w:rsidRPr="009D78AC">
        <w:rPr>
          <w:rFonts w:cs="Open Sans"/>
          <w:i/>
          <w:iCs/>
        </w:rPr>
        <w:t xml:space="preserve">Review of the Disability Standards for Accessible Public Transport 2002 </w:t>
      </w:r>
      <w:r w:rsidR="00247349" w:rsidRPr="009D78AC">
        <w:rPr>
          <w:rFonts w:cs="Open Sans"/>
        </w:rPr>
        <w:t>(Final Report, July 2015);</w:t>
      </w:r>
      <w:r w:rsidR="00247349">
        <w:rPr>
          <w:rFonts w:cs="Open Sans"/>
        </w:rPr>
        <w:t xml:space="preserve"> </w:t>
      </w:r>
      <w:r w:rsidR="00247349">
        <w:rPr>
          <w:rFonts w:cs="Open Sans"/>
          <w:i/>
          <w:iCs/>
        </w:rPr>
        <w:t xml:space="preserve">Third Review of the Transport Standards </w:t>
      </w:r>
      <w:r w:rsidR="00247349">
        <w:rPr>
          <w:rFonts w:cs="Open Sans"/>
        </w:rPr>
        <w:t>(n 2</w:t>
      </w:r>
      <w:r w:rsidR="007F03B2">
        <w:rPr>
          <w:rFonts w:cs="Open Sans"/>
        </w:rPr>
        <w:t>9</w:t>
      </w:r>
      <w:r w:rsidR="00247349">
        <w:rPr>
          <w:rFonts w:cs="Open Sans"/>
        </w:rPr>
        <w:t xml:space="preserve">). </w:t>
      </w:r>
      <w:r w:rsidR="00247349" w:rsidRPr="0016306F">
        <w:rPr>
          <w:rFonts w:cs="Open Sans"/>
        </w:rPr>
        <w:t xml:space="preserve"> </w:t>
      </w:r>
    </w:p>
  </w:endnote>
  <w:endnote w:id="65">
    <w:p w14:paraId="623B18BE" w14:textId="31DB27A0" w:rsidR="000D3159" w:rsidRPr="0016306F" w:rsidRDefault="000D3159" w:rsidP="000D3159">
      <w:pPr>
        <w:pStyle w:val="EndnoteText"/>
        <w:rPr>
          <w:rFonts w:cs="Open Sans"/>
        </w:rPr>
      </w:pPr>
      <w:r w:rsidRPr="0016306F">
        <w:rPr>
          <w:rStyle w:val="EndnoteReference"/>
          <w:rFonts w:cs="Open Sans"/>
        </w:rPr>
        <w:endnoteRef/>
      </w:r>
      <w:r w:rsidRPr="0016306F">
        <w:rPr>
          <w:rFonts w:cs="Open Sans"/>
        </w:rPr>
        <w:t xml:space="preserve"> Australian Human Rights Commission, Submission No 30 to Disabilities Transport Access Secretariat, Department of Infrastructure, Regional Development and Cities, </w:t>
      </w:r>
      <w:r w:rsidRPr="0016306F">
        <w:rPr>
          <w:rFonts w:cs="Open Sans"/>
          <w:i/>
          <w:iCs/>
        </w:rPr>
        <w:t xml:space="preserve">Review of the Disability Standards for Accessible Public Transport 2002 </w:t>
      </w:r>
      <w:r w:rsidRPr="0016306F">
        <w:rPr>
          <w:rFonts w:cs="Open Sans"/>
        </w:rPr>
        <w:t xml:space="preserve">(6 December 2018) 4; Public Interest Advocacy Centre, Submission 90, </w:t>
      </w:r>
      <w:r w:rsidRPr="0016306F">
        <w:rPr>
          <w:rFonts w:cs="Open Sans"/>
          <w:i/>
          <w:iCs/>
        </w:rPr>
        <w:t>Free &amp; Equal Inquiry</w:t>
      </w:r>
      <w:r w:rsidRPr="0016306F">
        <w:rPr>
          <w:rFonts w:cs="Open Sans"/>
        </w:rPr>
        <w:t xml:space="preserve">, 8; The Committee on the Rights of Persons with Disabilities, </w:t>
      </w:r>
      <w:r w:rsidRPr="0016306F">
        <w:rPr>
          <w:rFonts w:cs="Open Sans"/>
          <w:i/>
          <w:iCs/>
        </w:rPr>
        <w:t>Concluding Observations on the Second and Third Combined Reports of Australia</w:t>
      </w:r>
      <w:r w:rsidRPr="0016306F">
        <w:rPr>
          <w:rFonts w:cs="Open Sans"/>
        </w:rPr>
        <w:t>, 22</w:t>
      </w:r>
      <w:r w:rsidRPr="0016306F">
        <w:rPr>
          <w:rFonts w:cs="Open Sans"/>
          <w:vertAlign w:val="superscript"/>
        </w:rPr>
        <w:t>nd</w:t>
      </w:r>
      <w:r w:rsidRPr="0016306F">
        <w:rPr>
          <w:rFonts w:cs="Open Sans"/>
        </w:rPr>
        <w:t xml:space="preserve"> sess, UN Doc CRPD/C/AUS/CO/2-3 (15 October 2019) para 18(a)(c); </w:t>
      </w:r>
      <w:r w:rsidRPr="0016306F">
        <w:rPr>
          <w:rFonts w:cs="Open Sans"/>
          <w:i/>
          <w:iCs/>
        </w:rPr>
        <w:t xml:space="preserve">Royal Commission into Violence, Abuse, Neglect and Exploitation of People with Disability, </w:t>
      </w:r>
      <w:r w:rsidRPr="0016306F">
        <w:rPr>
          <w:rFonts w:cs="Open Sans"/>
        </w:rPr>
        <w:t>Overview of responses to the Promoting inclusion Issues paper (October 2021); Public sentiment for a mandatory reporting framework is also documented in the Department of Infrastructure, Transport, Regional Development, Communications and the Arts</w:t>
      </w:r>
      <w:r w:rsidR="00963D06">
        <w:rPr>
          <w:rFonts w:cs="Open Sans"/>
        </w:rPr>
        <w:t xml:space="preserve"> (Cth), </w:t>
      </w:r>
      <w:r w:rsidRPr="0016306F">
        <w:rPr>
          <w:rFonts w:cs="Open Sans"/>
          <w:i/>
          <w:iCs/>
        </w:rPr>
        <w:t xml:space="preserve">Stage 2 Reforms of the Disability Standards for Accessible Public Transport 2002 </w:t>
      </w:r>
      <w:r w:rsidRPr="0016306F">
        <w:rPr>
          <w:rFonts w:cs="Open Sans"/>
        </w:rPr>
        <w:t>(Public Consultation Report Summary</w:t>
      </w:r>
      <w:r w:rsidRPr="0016306F">
        <w:rPr>
          <w:rFonts w:cs="Open Sans"/>
          <w:i/>
          <w:iCs/>
        </w:rPr>
        <w:t xml:space="preserve">, </w:t>
      </w:r>
      <w:r w:rsidRPr="0016306F">
        <w:rPr>
          <w:rFonts w:cs="Open Sans"/>
        </w:rPr>
        <w:t xml:space="preserve">September 2022) 4. </w:t>
      </w:r>
    </w:p>
  </w:endnote>
  <w:endnote w:id="66">
    <w:p w14:paraId="0BC6B03D" w14:textId="00187753" w:rsidR="006A3CA9" w:rsidRPr="0016306F" w:rsidRDefault="006A3CA9">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Discrimination Act </w:t>
      </w:r>
      <w:r w:rsidR="00310CDB" w:rsidRPr="0016306F">
        <w:rPr>
          <w:rFonts w:cs="Open Sans"/>
          <w:i/>
          <w:iCs/>
        </w:rPr>
        <w:t xml:space="preserve">1992 </w:t>
      </w:r>
      <w:r w:rsidR="00310CDB" w:rsidRPr="0016306F">
        <w:rPr>
          <w:rFonts w:cs="Open Sans"/>
        </w:rPr>
        <w:t>(Cth)</w:t>
      </w:r>
      <w:r w:rsidR="00714C6F" w:rsidRPr="0016306F">
        <w:rPr>
          <w:rFonts w:cs="Open Sans"/>
        </w:rPr>
        <w:t xml:space="preserve"> </w:t>
      </w:r>
      <w:r w:rsidRPr="0016306F">
        <w:rPr>
          <w:rFonts w:cs="Open Sans"/>
        </w:rPr>
        <w:t>s</w:t>
      </w:r>
      <w:r w:rsidR="005D54C6" w:rsidRPr="0016306F">
        <w:rPr>
          <w:rFonts w:cs="Open Sans"/>
        </w:rPr>
        <w:t xml:space="preserve"> </w:t>
      </w:r>
      <w:r w:rsidR="00714C6F" w:rsidRPr="0016306F">
        <w:rPr>
          <w:rFonts w:cs="Open Sans"/>
        </w:rPr>
        <w:t>32</w:t>
      </w:r>
      <w:r w:rsidR="00E36ACF">
        <w:rPr>
          <w:rFonts w:cs="Open Sans"/>
        </w:rPr>
        <w:t xml:space="preserve">. </w:t>
      </w:r>
    </w:p>
  </w:endnote>
  <w:endnote w:id="67">
    <w:p w14:paraId="7CF5A67A" w14:textId="77777777" w:rsidR="00AF47E1" w:rsidRPr="0016306F" w:rsidRDefault="00AF47E1" w:rsidP="00AF47E1">
      <w:pPr>
        <w:pStyle w:val="EndnoteText"/>
        <w:rPr>
          <w:rFonts w:cs="Open Sans"/>
        </w:rPr>
      </w:pPr>
      <w:r w:rsidRPr="0016306F">
        <w:rPr>
          <w:rStyle w:val="EndnoteReference"/>
          <w:rFonts w:cs="Open Sans"/>
        </w:rPr>
        <w:endnoteRef/>
      </w:r>
      <w:r w:rsidRPr="0016306F">
        <w:rPr>
          <w:rFonts w:cs="Open Sans"/>
        </w:rPr>
        <w:t xml:space="preserve"> See: New South Wales Government, ‘NSW Budget 2022-23 – Record Investment for Regional Transport and Roads’</w:t>
      </w:r>
      <w:r w:rsidRPr="0016306F">
        <w:rPr>
          <w:rFonts w:cs="Open Sans"/>
          <w:i/>
          <w:iCs/>
        </w:rPr>
        <w:t xml:space="preserve"> </w:t>
      </w:r>
      <w:r w:rsidRPr="0016306F">
        <w:rPr>
          <w:rFonts w:cs="Open Sans"/>
        </w:rPr>
        <w:t>(Media Release, 21 June 2022) &lt;</w:t>
      </w:r>
      <w:hyperlink r:id="rId36" w:history="1">
        <w:r w:rsidRPr="0016306F">
          <w:rPr>
            <w:rStyle w:val="Hyperlink"/>
            <w:rFonts w:cs="Open Sans"/>
          </w:rPr>
          <w:t>https://www.budget.nsw.gov.au/sites/default/files/2022-06/20220620_01_FARRAWAY-Record-investment-for-regional-transport-and-roads-continues-to-soar.pdf</w:t>
        </w:r>
      </w:hyperlink>
      <w:r w:rsidRPr="0016306F">
        <w:rPr>
          <w:rStyle w:val="Hyperlink"/>
          <w:rFonts w:cs="Open Sans"/>
        </w:rPr>
        <w:t xml:space="preserve">&gt;. </w:t>
      </w:r>
    </w:p>
  </w:endnote>
  <w:endnote w:id="68">
    <w:p w14:paraId="334D28C3" w14:textId="2B8DFA4E" w:rsidR="00277E95" w:rsidRDefault="005A667E" w:rsidP="00277E95">
      <w:pPr>
        <w:pStyle w:val="EndnoteText"/>
        <w:rPr>
          <w:rFonts w:cs="Open Sans"/>
          <w:b/>
          <w:bCs/>
        </w:rPr>
      </w:pPr>
      <w:r w:rsidRPr="0016306F">
        <w:rPr>
          <w:rStyle w:val="EndnoteReference"/>
          <w:rFonts w:cs="Open Sans"/>
        </w:rPr>
        <w:endnoteRef/>
      </w:r>
      <w:r w:rsidRPr="0016306F">
        <w:rPr>
          <w:rFonts w:cs="Open Sans"/>
        </w:rPr>
        <w:t xml:space="preserve"> </w:t>
      </w:r>
      <w:r w:rsidR="00E36ACF" w:rsidRPr="003046A7">
        <w:rPr>
          <w:rFonts w:cs="Open Sans"/>
          <w:i/>
          <w:iCs/>
        </w:rPr>
        <w:t xml:space="preserve">CRPD </w:t>
      </w:r>
      <w:r w:rsidR="00E36ACF" w:rsidRPr="003046A7">
        <w:rPr>
          <w:rFonts w:cs="Open Sans"/>
        </w:rPr>
        <w:t>(n 6)</w:t>
      </w:r>
      <w:r w:rsidRPr="003046A7">
        <w:rPr>
          <w:rFonts w:cs="Open Sans"/>
        </w:rPr>
        <w:t xml:space="preserve"> art</w:t>
      </w:r>
      <w:r w:rsidRPr="0016306F">
        <w:rPr>
          <w:rFonts w:cs="Open Sans"/>
        </w:rPr>
        <w:t xml:space="preserve"> 31</w:t>
      </w:r>
      <w:r w:rsidR="00410AF3">
        <w:rPr>
          <w:rFonts w:cs="Open Sans"/>
        </w:rPr>
        <w:t xml:space="preserve">. </w:t>
      </w:r>
      <w:r w:rsidR="0030185A">
        <w:rPr>
          <w:rFonts w:cs="Open Sans"/>
          <w:b/>
          <w:bCs/>
        </w:rPr>
        <w:t>Article 31 – Statistics and Data Collection</w:t>
      </w:r>
      <w:r w:rsidR="00410AF3">
        <w:rPr>
          <w:rFonts w:cs="Open Sans"/>
          <w:b/>
          <w:bCs/>
        </w:rPr>
        <w:t>:</w:t>
      </w:r>
    </w:p>
    <w:p w14:paraId="185B6097" w14:textId="77777777" w:rsidR="00BA64FA" w:rsidRDefault="00277E95" w:rsidP="00461ACB">
      <w:pPr>
        <w:pStyle w:val="EndnoteText"/>
        <w:numPr>
          <w:ilvl w:val="0"/>
          <w:numId w:val="34"/>
        </w:numPr>
        <w:rPr>
          <w:rFonts w:cs="Open Sans"/>
          <w:b/>
          <w:bCs/>
        </w:rPr>
      </w:pPr>
      <w:r w:rsidRPr="00277E95">
        <w:rPr>
          <w:rFonts w:cs="Open Sans"/>
        </w:rPr>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2780F2AA" w14:textId="77777777" w:rsidR="00BA64FA" w:rsidRDefault="00277E95" w:rsidP="00461ACB">
      <w:pPr>
        <w:pStyle w:val="EndnoteText"/>
        <w:numPr>
          <w:ilvl w:val="1"/>
          <w:numId w:val="34"/>
        </w:numPr>
        <w:rPr>
          <w:rFonts w:cs="Open Sans"/>
          <w:b/>
          <w:bCs/>
        </w:rPr>
      </w:pPr>
      <w:r w:rsidRPr="00BA64FA">
        <w:rPr>
          <w:rFonts w:cs="Open Sans"/>
        </w:rPr>
        <w:t>Comply with legally established safeguards, including legislation on data protection, to ensure confidentiality and respect for the privacy of persons with disabilities;</w:t>
      </w:r>
    </w:p>
    <w:p w14:paraId="23E73102" w14:textId="77777777" w:rsidR="00BA64FA" w:rsidRDefault="00277E95" w:rsidP="00461ACB">
      <w:pPr>
        <w:pStyle w:val="EndnoteText"/>
        <w:numPr>
          <w:ilvl w:val="1"/>
          <w:numId w:val="34"/>
        </w:numPr>
        <w:rPr>
          <w:rFonts w:cs="Open Sans"/>
          <w:b/>
          <w:bCs/>
        </w:rPr>
      </w:pPr>
      <w:r w:rsidRPr="00BA64FA">
        <w:rPr>
          <w:rFonts w:cs="Open Sans"/>
        </w:rPr>
        <w:t>Comply with internationally accepted norms to protect human rights and fundamental freedoms and ethical principles in the collection and use of statistics.</w:t>
      </w:r>
    </w:p>
    <w:p w14:paraId="78A60826" w14:textId="77777777" w:rsidR="00BA64FA" w:rsidRDefault="00277E95" w:rsidP="00461ACB">
      <w:pPr>
        <w:pStyle w:val="EndnoteText"/>
        <w:numPr>
          <w:ilvl w:val="0"/>
          <w:numId w:val="34"/>
        </w:numPr>
        <w:rPr>
          <w:rFonts w:cs="Open Sans"/>
          <w:b/>
          <w:bCs/>
        </w:rPr>
      </w:pPr>
      <w:r w:rsidRPr="00BA64FA">
        <w:rPr>
          <w:rFonts w:cs="Open Sans"/>
        </w:rPr>
        <w:t>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w:t>
      </w:r>
    </w:p>
    <w:p w14:paraId="479E2471" w14:textId="13CE9E92" w:rsidR="005A667E" w:rsidRPr="00BA64FA" w:rsidRDefault="00277E95" w:rsidP="00461ACB">
      <w:pPr>
        <w:pStyle w:val="EndnoteText"/>
        <w:numPr>
          <w:ilvl w:val="0"/>
          <w:numId w:val="34"/>
        </w:numPr>
        <w:rPr>
          <w:rFonts w:cs="Open Sans"/>
          <w:b/>
          <w:bCs/>
        </w:rPr>
      </w:pPr>
      <w:r w:rsidRPr="00BA64FA">
        <w:rPr>
          <w:rFonts w:cs="Open Sans"/>
        </w:rPr>
        <w:t>States Parties shall assume responsibility for the dissemination of these statistics and ensure their accessibility to persons with disabilities and others</w:t>
      </w:r>
    </w:p>
  </w:endnote>
  <w:endnote w:id="69">
    <w:p w14:paraId="30A5437A" w14:textId="6D2D4EAA" w:rsidR="007B67E6" w:rsidRPr="00163D69" w:rsidRDefault="007B67E6">
      <w:pPr>
        <w:pStyle w:val="EndnoteText"/>
        <w:rPr>
          <w:rFonts w:cs="Open Sans"/>
        </w:rPr>
      </w:pPr>
      <w:r w:rsidRPr="0016306F">
        <w:rPr>
          <w:rStyle w:val="EndnoteReference"/>
          <w:rFonts w:cs="Open Sans"/>
        </w:rPr>
        <w:endnoteRef/>
      </w:r>
      <w:r w:rsidRPr="0016306F">
        <w:rPr>
          <w:rFonts w:cs="Open Sans"/>
        </w:rPr>
        <w:t xml:space="preserve"> </w:t>
      </w:r>
      <w:r w:rsidR="00163D69">
        <w:rPr>
          <w:rFonts w:cs="Open Sans"/>
          <w:i/>
          <w:iCs/>
        </w:rPr>
        <w:t xml:space="preserve">Australia’s Disability Strategy </w:t>
      </w:r>
      <w:r w:rsidR="00163D69">
        <w:rPr>
          <w:rFonts w:cs="Open Sans"/>
        </w:rPr>
        <w:t>(n 2</w:t>
      </w:r>
      <w:r w:rsidR="00860067">
        <w:rPr>
          <w:rFonts w:cs="Open Sans"/>
        </w:rPr>
        <w:t>3</w:t>
      </w:r>
      <w:r w:rsidR="00163D69">
        <w:rPr>
          <w:rFonts w:cs="Open Sans"/>
        </w:rPr>
        <w:t xml:space="preserve">) </w:t>
      </w:r>
      <w:r w:rsidR="00163D69">
        <w:t>41-2.</w:t>
      </w:r>
    </w:p>
  </w:endnote>
  <w:endnote w:id="70">
    <w:p w14:paraId="126E0446" w14:textId="56A88056" w:rsidR="007B67E6" w:rsidRPr="0016306F" w:rsidRDefault="007B67E6" w:rsidP="00CE4EC0">
      <w:pPr>
        <w:pStyle w:val="EndnoteText"/>
        <w:rPr>
          <w:rFonts w:cs="Open Sans"/>
        </w:rPr>
      </w:pPr>
      <w:r w:rsidRPr="0016306F">
        <w:rPr>
          <w:rStyle w:val="EndnoteReference"/>
          <w:rFonts w:cs="Open Sans"/>
        </w:rPr>
        <w:endnoteRef/>
      </w:r>
      <w:r w:rsidRPr="0016306F">
        <w:rPr>
          <w:rFonts w:cs="Open Sans"/>
        </w:rPr>
        <w:t xml:space="preserve"> </w:t>
      </w:r>
      <w:r w:rsidR="00CE4EC0">
        <w:rPr>
          <w:rFonts w:cs="Open Sans"/>
        </w:rPr>
        <w:t xml:space="preserve">See The Allen Consulting Group, </w:t>
      </w:r>
      <w:r w:rsidR="00CE4EC0">
        <w:rPr>
          <w:rFonts w:cs="Open Sans"/>
          <w:i/>
          <w:iCs/>
        </w:rPr>
        <w:t xml:space="preserve">Review of the Disability Standards for Accessible Public Transport </w:t>
      </w:r>
      <w:r w:rsidR="00CE4EC0">
        <w:rPr>
          <w:rFonts w:cs="Open Sans"/>
        </w:rPr>
        <w:t xml:space="preserve">(Final Report, Minister for Inrfastructure, Transport, Regional Development and Local Government and the </w:t>
      </w:r>
      <w:r w:rsidR="00CE4EC0" w:rsidRPr="009D78AC">
        <w:rPr>
          <w:rFonts w:cs="Open Sans"/>
        </w:rPr>
        <w:t xml:space="preserve">Attorney General (Cth), October 2009); Department of Infrastructure and Regional Development (Cth), </w:t>
      </w:r>
      <w:r w:rsidR="00CE4EC0" w:rsidRPr="009D78AC">
        <w:rPr>
          <w:rFonts w:cs="Open Sans"/>
          <w:i/>
          <w:iCs/>
        </w:rPr>
        <w:t xml:space="preserve">Review of the Disability Standards for Accessible Public Transport 2002 </w:t>
      </w:r>
      <w:r w:rsidR="00CE4EC0" w:rsidRPr="009D78AC">
        <w:rPr>
          <w:rFonts w:cs="Open Sans"/>
        </w:rPr>
        <w:t>(Final Report, July 2015);</w:t>
      </w:r>
      <w:r w:rsidR="00CE4EC0">
        <w:rPr>
          <w:rFonts w:cs="Open Sans"/>
        </w:rPr>
        <w:t xml:space="preserve"> </w:t>
      </w:r>
      <w:r w:rsidR="00CE4EC0">
        <w:rPr>
          <w:rFonts w:cs="Open Sans"/>
          <w:i/>
          <w:iCs/>
        </w:rPr>
        <w:t xml:space="preserve">Third Review of the Transport Standards </w:t>
      </w:r>
      <w:r w:rsidR="00CE4EC0">
        <w:rPr>
          <w:rFonts w:cs="Open Sans"/>
        </w:rPr>
        <w:t>(n 2</w:t>
      </w:r>
      <w:r w:rsidR="007F03B2">
        <w:rPr>
          <w:rFonts w:cs="Open Sans"/>
        </w:rPr>
        <w:t>9</w:t>
      </w:r>
      <w:r w:rsidR="00CE4EC0">
        <w:rPr>
          <w:rFonts w:cs="Open Sans"/>
        </w:rPr>
        <w:t xml:space="preserve">). </w:t>
      </w:r>
      <w:r w:rsidR="00CE4EC0" w:rsidRPr="0016306F">
        <w:rPr>
          <w:rFonts w:cs="Open Sans"/>
        </w:rPr>
        <w:t xml:space="preserve"> </w:t>
      </w:r>
    </w:p>
  </w:endnote>
  <w:endnote w:id="71">
    <w:p w14:paraId="410BAF72" w14:textId="3E258940" w:rsidR="005D4ED0" w:rsidRPr="0016306F" w:rsidRDefault="005D4ED0">
      <w:pPr>
        <w:pStyle w:val="EndnoteText"/>
        <w:rPr>
          <w:rFonts w:cs="Open Sans"/>
        </w:rPr>
      </w:pPr>
      <w:r w:rsidRPr="0016306F">
        <w:rPr>
          <w:rStyle w:val="EndnoteReference"/>
          <w:rFonts w:cs="Open Sans"/>
        </w:rPr>
        <w:endnoteRef/>
      </w:r>
      <w:r w:rsidRPr="0016306F">
        <w:rPr>
          <w:rFonts w:cs="Open Sans"/>
        </w:rPr>
        <w:t xml:space="preserve"> See </w:t>
      </w:r>
      <w:r w:rsidR="00BA64FA">
        <w:rPr>
          <w:rFonts w:cs="Open Sans"/>
          <w:i/>
          <w:iCs/>
        </w:rPr>
        <w:t xml:space="preserve">Free and Equal Position Paper </w:t>
      </w:r>
      <w:r w:rsidR="004B47AE">
        <w:rPr>
          <w:rFonts w:cs="Open Sans"/>
        </w:rPr>
        <w:t>(n 2</w:t>
      </w:r>
      <w:r w:rsidR="0016115E">
        <w:rPr>
          <w:rFonts w:cs="Open Sans"/>
        </w:rPr>
        <w:t>5</w:t>
      </w:r>
      <w:r w:rsidR="004B47AE">
        <w:rPr>
          <w:rFonts w:cs="Open Sans"/>
        </w:rPr>
        <w:t xml:space="preserve">) </w:t>
      </w:r>
      <w:r w:rsidRPr="0016306F">
        <w:rPr>
          <w:rFonts w:cs="Open Sans"/>
        </w:rPr>
        <w:t>91-</w:t>
      </w:r>
      <w:r w:rsidR="00E31C9C" w:rsidRPr="0016306F">
        <w:rPr>
          <w:rFonts w:cs="Open Sans"/>
        </w:rPr>
        <w:t>186.</w:t>
      </w:r>
    </w:p>
  </w:endnote>
  <w:endnote w:id="72">
    <w:p w14:paraId="0DE3FC27" w14:textId="4BFAEEFB" w:rsidR="00831362" w:rsidRPr="0016306F" w:rsidRDefault="00831362">
      <w:pPr>
        <w:pStyle w:val="EndnoteText"/>
        <w:rPr>
          <w:rFonts w:cs="Open Sans"/>
        </w:rPr>
      </w:pPr>
      <w:r w:rsidRPr="004B47AE">
        <w:rPr>
          <w:rStyle w:val="EndnoteReference"/>
          <w:rFonts w:cs="Open Sans"/>
        </w:rPr>
        <w:endnoteRef/>
      </w:r>
      <w:r w:rsidRPr="004B47AE">
        <w:rPr>
          <w:rFonts w:cs="Open Sans"/>
        </w:rPr>
        <w:t xml:space="preserve"> </w:t>
      </w:r>
      <w:r w:rsidR="004B47AE" w:rsidRPr="004B47AE">
        <w:rPr>
          <w:rFonts w:cs="Open Sans"/>
        </w:rPr>
        <w:t xml:space="preserve">Ibid </w:t>
      </w:r>
      <w:r w:rsidR="002929D3" w:rsidRPr="004B47AE">
        <w:rPr>
          <w:rFonts w:cs="Open Sans"/>
        </w:rPr>
        <w:t>39.</w:t>
      </w:r>
      <w:r w:rsidR="002929D3" w:rsidRPr="0016306F">
        <w:rPr>
          <w:rFonts w:cs="Open Sans"/>
        </w:rPr>
        <w:t xml:space="preserve"> </w:t>
      </w:r>
    </w:p>
  </w:endnote>
  <w:endnote w:id="73">
    <w:p w14:paraId="7FF14489" w14:textId="591DD38C" w:rsidR="00165481" w:rsidRPr="0016306F" w:rsidRDefault="00165481">
      <w:pPr>
        <w:pStyle w:val="EndnoteText"/>
        <w:rPr>
          <w:rFonts w:cs="Open Sans"/>
        </w:rPr>
      </w:pPr>
      <w:r w:rsidRPr="0016306F">
        <w:rPr>
          <w:rStyle w:val="EndnoteReference"/>
          <w:rFonts w:cs="Open Sans"/>
        </w:rPr>
        <w:endnoteRef/>
      </w:r>
      <w:r w:rsidRPr="0016306F">
        <w:rPr>
          <w:rFonts w:cs="Open Sans"/>
        </w:rPr>
        <w:t xml:space="preserve"> Ibid 55.</w:t>
      </w:r>
    </w:p>
  </w:endnote>
  <w:endnote w:id="74">
    <w:p w14:paraId="61C993FB" w14:textId="3FA064DC" w:rsidR="00F0652C" w:rsidRPr="0016306F" w:rsidRDefault="00F0652C">
      <w:pPr>
        <w:pStyle w:val="EndnoteText"/>
        <w:rPr>
          <w:rFonts w:cs="Open Sans"/>
        </w:rPr>
      </w:pPr>
      <w:r w:rsidRPr="0016306F">
        <w:rPr>
          <w:rStyle w:val="EndnoteReference"/>
          <w:rFonts w:cs="Open Sans"/>
        </w:rPr>
        <w:endnoteRef/>
      </w:r>
      <w:r w:rsidRPr="0016306F">
        <w:rPr>
          <w:rFonts w:cs="Open Sans"/>
        </w:rPr>
        <w:t xml:space="preserve"> Ibid 58.</w:t>
      </w:r>
    </w:p>
  </w:endnote>
  <w:endnote w:id="75">
    <w:p w14:paraId="7DE0A401" w14:textId="2E0E8E02" w:rsidR="00107E81" w:rsidRPr="00860828" w:rsidRDefault="00107E81">
      <w:pPr>
        <w:pStyle w:val="EndnoteText"/>
        <w:rPr>
          <w:rFonts w:cs="Open Sans"/>
        </w:rPr>
      </w:pPr>
      <w:r w:rsidRPr="0016306F">
        <w:rPr>
          <w:rStyle w:val="EndnoteReference"/>
          <w:rFonts w:cs="Open Sans"/>
        </w:rPr>
        <w:endnoteRef/>
      </w:r>
      <w:r w:rsidRPr="0016306F">
        <w:rPr>
          <w:rFonts w:cs="Open Sans"/>
        </w:rPr>
        <w:t xml:space="preserve"> </w:t>
      </w:r>
      <w:r w:rsidR="00860828">
        <w:rPr>
          <w:rFonts w:cs="Open Sans"/>
        </w:rPr>
        <w:t xml:space="preserve">See </w:t>
      </w:r>
      <w:r w:rsidR="00860828">
        <w:rPr>
          <w:rFonts w:cs="Open Sans"/>
          <w:i/>
          <w:iCs/>
        </w:rPr>
        <w:t xml:space="preserve">Disability Discrimination Act 1992 </w:t>
      </w:r>
      <w:r w:rsidR="00860828">
        <w:rPr>
          <w:rFonts w:cs="Open Sans"/>
        </w:rPr>
        <w:t>(Cth) pt 3.</w:t>
      </w:r>
    </w:p>
  </w:endnote>
  <w:endnote w:id="76">
    <w:p w14:paraId="30551FF1" w14:textId="00053D3F" w:rsidR="00767B9C" w:rsidRPr="0016306F" w:rsidRDefault="00767B9C">
      <w:pPr>
        <w:pStyle w:val="EndnoteText"/>
        <w:rPr>
          <w:rFonts w:cs="Open Sans"/>
        </w:rPr>
      </w:pPr>
      <w:r w:rsidRPr="0016306F">
        <w:rPr>
          <w:rStyle w:val="EndnoteReference"/>
          <w:rFonts w:cs="Open Sans"/>
        </w:rPr>
        <w:endnoteRef/>
      </w:r>
      <w:r w:rsidRPr="0016306F">
        <w:rPr>
          <w:rFonts w:cs="Open Sans"/>
        </w:rPr>
        <w:t xml:space="preserve"> </w:t>
      </w:r>
      <w:r w:rsidR="00BE6760" w:rsidRPr="0016306F">
        <w:rPr>
          <w:rFonts w:cs="Open Sans"/>
          <w:color w:val="313131"/>
        </w:rPr>
        <w:t xml:space="preserve">Queensland Advocacy Incorporated, Submission 63, </w:t>
      </w:r>
      <w:r w:rsidR="00BE6760" w:rsidRPr="0016306F">
        <w:rPr>
          <w:rFonts w:cs="Open Sans"/>
          <w:i/>
          <w:iCs/>
          <w:color w:val="313131"/>
        </w:rPr>
        <w:t>Free &amp; Equal Inquiry</w:t>
      </w:r>
      <w:r w:rsidR="00BE6760" w:rsidRPr="0016306F">
        <w:rPr>
          <w:rFonts w:cs="Open Sans"/>
          <w:color w:val="313131"/>
        </w:rPr>
        <w:t>, 11 cited in</w:t>
      </w:r>
      <w:r w:rsidR="00860828">
        <w:rPr>
          <w:rFonts w:cs="Open Sans"/>
        </w:rPr>
        <w:t xml:space="preserve"> </w:t>
      </w:r>
      <w:r w:rsidR="00860828">
        <w:rPr>
          <w:rFonts w:cs="Open Sans"/>
          <w:i/>
          <w:iCs/>
        </w:rPr>
        <w:t xml:space="preserve">Free and Equal Position Paper </w:t>
      </w:r>
      <w:r w:rsidR="00860828">
        <w:rPr>
          <w:rFonts w:cs="Open Sans"/>
        </w:rPr>
        <w:t xml:space="preserve">(n </w:t>
      </w:r>
      <w:r w:rsidR="003947E3">
        <w:rPr>
          <w:rFonts w:cs="Open Sans"/>
        </w:rPr>
        <w:t>2</w:t>
      </w:r>
      <w:r w:rsidR="0016115E">
        <w:rPr>
          <w:rFonts w:cs="Open Sans"/>
        </w:rPr>
        <w:t>5</w:t>
      </w:r>
      <w:r w:rsidR="003947E3">
        <w:rPr>
          <w:rFonts w:cs="Open Sans"/>
        </w:rPr>
        <w:t xml:space="preserve">) </w:t>
      </w:r>
      <w:r w:rsidR="00F05279" w:rsidRPr="0016306F">
        <w:rPr>
          <w:rFonts w:cs="Open Sans"/>
        </w:rPr>
        <w:t xml:space="preserve">119. </w:t>
      </w:r>
    </w:p>
  </w:endnote>
  <w:endnote w:id="77">
    <w:p w14:paraId="308C15B1" w14:textId="19FAE77F" w:rsidR="00ED4FB1" w:rsidRPr="00F70545" w:rsidRDefault="00ED4FB1">
      <w:pPr>
        <w:pStyle w:val="EndnoteText"/>
        <w:rPr>
          <w:rFonts w:cs="Open Sans"/>
        </w:rPr>
      </w:pPr>
      <w:r w:rsidRPr="0016306F">
        <w:rPr>
          <w:rStyle w:val="EndnoteReference"/>
          <w:rFonts w:cs="Open Sans"/>
        </w:rPr>
        <w:endnoteRef/>
      </w:r>
      <w:r w:rsidRPr="0016306F">
        <w:rPr>
          <w:rFonts w:cs="Open Sans"/>
        </w:rPr>
        <w:t xml:space="preserve"> </w:t>
      </w:r>
      <w:r w:rsidR="00F70545">
        <w:rPr>
          <w:rFonts w:cs="Open Sans"/>
          <w:i/>
          <w:iCs/>
        </w:rPr>
        <w:t xml:space="preserve">Disability Discrimination Act 1992 </w:t>
      </w:r>
      <w:r w:rsidR="00F70545">
        <w:rPr>
          <w:rFonts w:cs="Open Sans"/>
        </w:rPr>
        <w:t>(Cth) ss 5(</w:t>
      </w:r>
      <w:r w:rsidR="001968D6">
        <w:rPr>
          <w:rFonts w:cs="Open Sans"/>
        </w:rPr>
        <w:t>2)-(3), 6(</w:t>
      </w:r>
      <w:r w:rsidR="00DD72BA">
        <w:rPr>
          <w:rFonts w:cs="Open Sans"/>
        </w:rPr>
        <w:t>2)(b)-(c)</w:t>
      </w:r>
      <w:r w:rsidR="005120A5">
        <w:rPr>
          <w:rFonts w:cs="Open Sans"/>
        </w:rPr>
        <w:t>.</w:t>
      </w:r>
    </w:p>
  </w:endnote>
  <w:endnote w:id="78">
    <w:p w14:paraId="0ED94AC3" w14:textId="0359E20E" w:rsidR="004F78C4" w:rsidRPr="0016306F" w:rsidRDefault="004F78C4" w:rsidP="004F78C4">
      <w:pPr>
        <w:pStyle w:val="EndnoteText"/>
        <w:rPr>
          <w:rFonts w:cs="Open Sans"/>
        </w:rPr>
      </w:pPr>
      <w:r w:rsidRPr="0016306F">
        <w:rPr>
          <w:rStyle w:val="EndnoteReference"/>
          <w:rFonts w:cs="Open Sans"/>
        </w:rPr>
        <w:endnoteRef/>
      </w:r>
      <w:r w:rsidRPr="0016306F">
        <w:rPr>
          <w:rFonts w:cs="Open Sans"/>
        </w:rPr>
        <w:t xml:space="preserve"> See </w:t>
      </w:r>
      <w:r>
        <w:rPr>
          <w:rFonts w:cs="Open Sans"/>
          <w:i/>
          <w:iCs/>
        </w:rPr>
        <w:t xml:space="preserve">Free and Equal Position Paper </w:t>
      </w:r>
      <w:r>
        <w:rPr>
          <w:rFonts w:cs="Open Sans"/>
        </w:rPr>
        <w:t>(n 2</w:t>
      </w:r>
      <w:r w:rsidR="0016115E">
        <w:rPr>
          <w:rFonts w:cs="Open Sans"/>
        </w:rPr>
        <w:t>5</w:t>
      </w:r>
      <w:r>
        <w:rPr>
          <w:rFonts w:cs="Open Sans"/>
        </w:rPr>
        <w:t>)</w:t>
      </w:r>
      <w:r w:rsidRPr="0016306F">
        <w:rPr>
          <w:rFonts w:cs="Open Sans"/>
        </w:rPr>
        <w:t xml:space="preserve"> 58-80.</w:t>
      </w:r>
    </w:p>
  </w:endnote>
  <w:endnote w:id="79">
    <w:p w14:paraId="5AEA2CA5" w14:textId="1070B42D" w:rsidR="00721E7C" w:rsidRPr="0016306F" w:rsidRDefault="00721E7C">
      <w:pPr>
        <w:pStyle w:val="EndnoteText"/>
        <w:rPr>
          <w:rFonts w:cs="Open Sans"/>
        </w:rPr>
      </w:pPr>
      <w:r w:rsidRPr="0016306F">
        <w:rPr>
          <w:rStyle w:val="EndnoteReference"/>
          <w:rFonts w:cs="Open Sans"/>
        </w:rPr>
        <w:endnoteRef/>
      </w:r>
      <w:r w:rsidRPr="0016306F">
        <w:rPr>
          <w:rFonts w:cs="Open Sans"/>
        </w:rPr>
        <w:t xml:space="preserve"> See </w:t>
      </w:r>
      <w:r w:rsidR="00C448C3">
        <w:rPr>
          <w:rFonts w:cs="Open Sans"/>
        </w:rPr>
        <w:t xml:space="preserve">Ibid </w:t>
      </w:r>
      <w:r w:rsidRPr="0016306F">
        <w:rPr>
          <w:rFonts w:cs="Open Sans"/>
        </w:rPr>
        <w:t>75-76.</w:t>
      </w:r>
    </w:p>
  </w:endnote>
  <w:endnote w:id="80">
    <w:p w14:paraId="14FA207B" w14:textId="330DEB81" w:rsidR="00E87913" w:rsidRPr="0016306F" w:rsidRDefault="00E87913">
      <w:pPr>
        <w:pStyle w:val="EndnoteText"/>
        <w:rPr>
          <w:rFonts w:cs="Open Sans"/>
        </w:rPr>
      </w:pPr>
      <w:r w:rsidRPr="0016306F">
        <w:rPr>
          <w:rStyle w:val="EndnoteReference"/>
          <w:rFonts w:cs="Open Sans"/>
        </w:rPr>
        <w:endnoteRef/>
      </w:r>
      <w:r w:rsidRPr="0016306F">
        <w:rPr>
          <w:rFonts w:cs="Open Sans"/>
        </w:rPr>
        <w:t xml:space="preserve"> </w:t>
      </w:r>
      <w:r w:rsidR="00987FD1" w:rsidRPr="00860067">
        <w:rPr>
          <w:rFonts w:cs="Open Sans"/>
        </w:rPr>
        <w:t xml:space="preserve">Explanatory Memorandum, Equal Opportunity Bill 2010 (Vic) 17 quoted in </w:t>
      </w:r>
      <w:r w:rsidR="00C448C3" w:rsidRPr="00860067">
        <w:rPr>
          <w:rFonts w:cs="Open Sans"/>
          <w:i/>
          <w:iCs/>
        </w:rPr>
        <w:t xml:space="preserve">Free </w:t>
      </w:r>
      <w:r w:rsidR="00C448C3">
        <w:rPr>
          <w:rFonts w:cs="Open Sans"/>
          <w:i/>
          <w:iCs/>
        </w:rPr>
        <w:t xml:space="preserve">and Equal Position Paper </w:t>
      </w:r>
      <w:r w:rsidR="00C448C3">
        <w:rPr>
          <w:rFonts w:cs="Open Sans"/>
        </w:rPr>
        <w:t>(n 2</w:t>
      </w:r>
      <w:r w:rsidR="00860067">
        <w:rPr>
          <w:rFonts w:cs="Open Sans"/>
        </w:rPr>
        <w:t>5</w:t>
      </w:r>
      <w:r w:rsidR="00C448C3">
        <w:rPr>
          <w:rFonts w:cs="Open Sans"/>
        </w:rPr>
        <w:t>)</w:t>
      </w:r>
      <w:r w:rsidR="00987FD1" w:rsidRPr="0016306F">
        <w:rPr>
          <w:rFonts w:cs="Open Sans"/>
        </w:rPr>
        <w:t xml:space="preserve"> 63.</w:t>
      </w:r>
    </w:p>
  </w:endnote>
  <w:endnote w:id="81">
    <w:p w14:paraId="3DFBCE29" w14:textId="01164CDE" w:rsidR="0023156E" w:rsidRPr="0016306F" w:rsidRDefault="0023156E">
      <w:pPr>
        <w:pStyle w:val="EndnoteText"/>
        <w:rPr>
          <w:rFonts w:cs="Open Sans"/>
        </w:rPr>
      </w:pPr>
      <w:r w:rsidRPr="0016306F">
        <w:rPr>
          <w:rStyle w:val="EndnoteReference"/>
          <w:rFonts w:cs="Open Sans"/>
        </w:rPr>
        <w:endnoteRef/>
      </w:r>
      <w:r w:rsidRPr="0016306F">
        <w:rPr>
          <w:rFonts w:cs="Open Sans"/>
        </w:rPr>
        <w:t xml:space="preserve"> </w:t>
      </w:r>
      <w:r w:rsidR="004C77C8" w:rsidRPr="0016306F">
        <w:rPr>
          <w:rFonts w:cs="Open Sans"/>
        </w:rPr>
        <w:t xml:space="preserve"> </w:t>
      </w:r>
      <w:r w:rsidR="004C77C8" w:rsidRPr="003046A7">
        <w:rPr>
          <w:rFonts w:cs="Open Sans"/>
          <w:i/>
          <w:iCs/>
        </w:rPr>
        <w:t xml:space="preserve">CRPD </w:t>
      </w:r>
      <w:r w:rsidR="004C77C8" w:rsidRPr="003046A7">
        <w:rPr>
          <w:rFonts w:cs="Open Sans"/>
        </w:rPr>
        <w:t xml:space="preserve">(n </w:t>
      </w:r>
      <w:r w:rsidR="00C763F1" w:rsidRPr="003046A7">
        <w:rPr>
          <w:rFonts w:cs="Open Sans"/>
        </w:rPr>
        <w:t>6</w:t>
      </w:r>
      <w:r w:rsidR="004C77C8" w:rsidRPr="003046A7">
        <w:rPr>
          <w:rFonts w:cs="Open Sans"/>
        </w:rPr>
        <w:t>) art 9.</w:t>
      </w:r>
      <w:r w:rsidR="004C77C8" w:rsidRPr="0016306F">
        <w:rPr>
          <w:rFonts w:cs="Open Sans"/>
        </w:rPr>
        <w:t xml:space="preserve"> </w:t>
      </w:r>
    </w:p>
  </w:endnote>
  <w:endnote w:id="82">
    <w:p w14:paraId="1FD9CC5E" w14:textId="1C425C44" w:rsidR="000371B2" w:rsidRPr="00EC51A1" w:rsidRDefault="000371B2">
      <w:pPr>
        <w:pStyle w:val="EndnoteText"/>
        <w:rPr>
          <w:rFonts w:cs="Open Sans"/>
        </w:rPr>
      </w:pPr>
      <w:r w:rsidRPr="0016306F">
        <w:rPr>
          <w:rStyle w:val="EndnoteReference"/>
          <w:rFonts w:cs="Open Sans"/>
        </w:rPr>
        <w:endnoteRef/>
      </w:r>
      <w:r w:rsidRPr="0016306F">
        <w:rPr>
          <w:rFonts w:cs="Open Sans"/>
        </w:rPr>
        <w:t xml:space="preserve"> See</w:t>
      </w:r>
      <w:r w:rsidR="00B72516" w:rsidRPr="0016306F">
        <w:rPr>
          <w:rFonts w:cs="Open Sans"/>
        </w:rPr>
        <w:t xml:space="preserve"> </w:t>
      </w:r>
      <w:r w:rsidR="00EC51A1">
        <w:rPr>
          <w:rFonts w:cs="Open Sans"/>
          <w:i/>
          <w:iCs/>
        </w:rPr>
        <w:t xml:space="preserve">Free and Equal Position Paper </w:t>
      </w:r>
      <w:r w:rsidR="00EC51A1">
        <w:rPr>
          <w:rFonts w:cs="Open Sans"/>
        </w:rPr>
        <w:t>(n 2</w:t>
      </w:r>
      <w:r w:rsidR="00860067">
        <w:rPr>
          <w:rFonts w:cs="Open Sans"/>
        </w:rPr>
        <w:t>5</w:t>
      </w:r>
      <w:r w:rsidR="00EC51A1">
        <w:rPr>
          <w:rFonts w:cs="Open Sans"/>
        </w:rPr>
        <w:t xml:space="preserve">). </w:t>
      </w:r>
    </w:p>
  </w:endnote>
  <w:endnote w:id="83">
    <w:p w14:paraId="7028CD78" w14:textId="2B177CD0" w:rsidR="00A60021" w:rsidRPr="0016306F" w:rsidRDefault="00A60021">
      <w:pPr>
        <w:pStyle w:val="EndnoteText"/>
        <w:rPr>
          <w:rFonts w:cs="Open Sans"/>
        </w:rPr>
      </w:pPr>
      <w:r w:rsidRPr="007E5B7E">
        <w:rPr>
          <w:rStyle w:val="EndnoteReference"/>
          <w:rFonts w:cs="Open Sans"/>
        </w:rPr>
        <w:endnoteRef/>
      </w:r>
      <w:r w:rsidRPr="007E5B7E">
        <w:rPr>
          <w:rFonts w:cs="Open Sans"/>
        </w:rPr>
        <w:t xml:space="preserve"> </w:t>
      </w:r>
      <w:r w:rsidR="00EC51A1" w:rsidRPr="002D64A6">
        <w:rPr>
          <w:rFonts w:cs="Open Sans"/>
          <w:i/>
          <w:iCs/>
        </w:rPr>
        <w:t>Free and Equal Po</w:t>
      </w:r>
      <w:r w:rsidR="00344678" w:rsidRPr="002D64A6">
        <w:rPr>
          <w:rFonts w:cs="Open Sans"/>
          <w:i/>
          <w:iCs/>
        </w:rPr>
        <w:t xml:space="preserve">sition Paper </w:t>
      </w:r>
      <w:r w:rsidR="00344678" w:rsidRPr="002D64A6">
        <w:rPr>
          <w:rFonts w:cs="Open Sans"/>
        </w:rPr>
        <w:t>(n 2</w:t>
      </w:r>
      <w:r w:rsidR="00860067" w:rsidRPr="002D64A6">
        <w:rPr>
          <w:rFonts w:cs="Open Sans"/>
        </w:rPr>
        <w:t>5</w:t>
      </w:r>
      <w:r w:rsidR="00344678" w:rsidRPr="002D64A6">
        <w:rPr>
          <w:rFonts w:cs="Open Sans"/>
        </w:rPr>
        <w:t>)</w:t>
      </w:r>
      <w:r w:rsidR="00CB47F9" w:rsidRPr="002D64A6">
        <w:rPr>
          <w:rFonts w:cs="Open Sans"/>
        </w:rPr>
        <w:t xml:space="preserve"> 140</w:t>
      </w:r>
      <w:r w:rsidR="00B05C1B" w:rsidRPr="002D64A6">
        <w:rPr>
          <w:rFonts w:cs="Open Sans"/>
        </w:rPr>
        <w:t>,</w:t>
      </w:r>
      <w:r w:rsidR="00CB47F9" w:rsidRPr="002D64A6">
        <w:rPr>
          <w:rFonts w:cs="Open Sans"/>
        </w:rPr>
        <w:t xml:space="preserve"> citing </w:t>
      </w:r>
      <w:r w:rsidR="00AA4557" w:rsidRPr="002D64A6">
        <w:rPr>
          <w:rFonts w:cs="Open Sans"/>
        </w:rPr>
        <w:t xml:space="preserve">Public Interest Advocacy Centre, Submission 90, </w:t>
      </w:r>
      <w:r w:rsidR="00AA4557" w:rsidRPr="002D64A6">
        <w:rPr>
          <w:rFonts w:cs="Open Sans"/>
          <w:i/>
          <w:iCs/>
        </w:rPr>
        <w:t>Free &amp; Equal Inquiry</w:t>
      </w:r>
      <w:r w:rsidR="00AA4557" w:rsidRPr="002D64A6">
        <w:rPr>
          <w:rFonts w:cs="Open Sans"/>
        </w:rPr>
        <w:t>, 9.</w:t>
      </w:r>
    </w:p>
  </w:endnote>
  <w:endnote w:id="84">
    <w:p w14:paraId="6B5A155B" w14:textId="30E733D9" w:rsidR="006F1BBA" w:rsidRPr="0016306F" w:rsidRDefault="006F1BBA">
      <w:pPr>
        <w:pStyle w:val="EndnoteText"/>
        <w:rPr>
          <w:rFonts w:cs="Open Sans"/>
        </w:rPr>
      </w:pPr>
      <w:r w:rsidRPr="0016306F">
        <w:rPr>
          <w:rStyle w:val="EndnoteReference"/>
          <w:rFonts w:cs="Open Sans"/>
        </w:rPr>
        <w:endnoteRef/>
      </w:r>
      <w:r w:rsidRPr="0016306F">
        <w:rPr>
          <w:rFonts w:cs="Open Sans"/>
        </w:rPr>
        <w:t xml:space="preserve"> International Transport Forum, </w:t>
      </w:r>
      <w:r w:rsidR="00E945C4" w:rsidRPr="0016306F">
        <w:rPr>
          <w:rFonts w:cs="Open Sans"/>
        </w:rPr>
        <w:t xml:space="preserve">OECD, </w:t>
      </w:r>
      <w:r w:rsidRPr="004D734C">
        <w:rPr>
          <w:rFonts w:cs="Open Sans"/>
          <w:i/>
          <w:iCs/>
        </w:rPr>
        <w:t>Economic Benefits of Improving Transport Accessib</w:t>
      </w:r>
      <w:r w:rsidR="00B77815" w:rsidRPr="004D734C">
        <w:rPr>
          <w:rFonts w:cs="Open Sans"/>
          <w:i/>
          <w:iCs/>
        </w:rPr>
        <w:t>ility</w:t>
      </w:r>
      <w:r w:rsidR="004D734C">
        <w:rPr>
          <w:rFonts w:cs="Open Sans"/>
        </w:rPr>
        <w:t xml:space="preserve"> </w:t>
      </w:r>
      <w:r w:rsidR="00F57BC4" w:rsidRPr="0016306F">
        <w:rPr>
          <w:rFonts w:cs="Open Sans"/>
        </w:rPr>
        <w:t>(Roundtable Report 165,</w:t>
      </w:r>
      <w:r w:rsidR="00E945C4" w:rsidRPr="0016306F">
        <w:rPr>
          <w:rFonts w:cs="Open Sans"/>
        </w:rPr>
        <w:t xml:space="preserve"> </w:t>
      </w:r>
      <w:r w:rsidR="00F568BF" w:rsidRPr="0016306F">
        <w:rPr>
          <w:rFonts w:cs="Open Sans"/>
        </w:rPr>
        <w:t>2017)</w:t>
      </w:r>
      <w:r w:rsidR="00534A66" w:rsidRPr="0016306F">
        <w:rPr>
          <w:rFonts w:cs="Open Sans"/>
        </w:rPr>
        <w:t xml:space="preserve"> 9. </w:t>
      </w:r>
    </w:p>
  </w:endnote>
  <w:endnote w:id="85">
    <w:p w14:paraId="3984BEAF" w14:textId="2BFD8CBF" w:rsidR="0028738E" w:rsidRDefault="0028738E">
      <w:pPr>
        <w:pStyle w:val="EndnoteText"/>
      </w:pPr>
      <w:r>
        <w:rPr>
          <w:rStyle w:val="EndnoteReference"/>
        </w:rPr>
        <w:endnoteRef/>
      </w:r>
      <w:r>
        <w:t xml:space="preserve"> </w:t>
      </w:r>
      <w:r w:rsidR="00A7645C">
        <w:t>See Daphne Federing and David Lewis, ‘Towards a Framework for Identifying and Measuring the Benefits of Accessibility’ (Discussion Paper No 2017-03, International Transport Forum, February 2017).</w:t>
      </w:r>
    </w:p>
  </w:endnote>
  <w:endnote w:id="86">
    <w:p w14:paraId="07736DE1" w14:textId="12E591F5" w:rsidR="00971A76" w:rsidRPr="0016306F" w:rsidRDefault="00971A76">
      <w:pPr>
        <w:pStyle w:val="EndnoteText"/>
        <w:rPr>
          <w:rFonts w:cs="Open Sans"/>
        </w:rPr>
      </w:pPr>
      <w:r w:rsidRPr="0016306F">
        <w:rPr>
          <w:rStyle w:val="EndnoteReference"/>
          <w:rFonts w:cs="Open Sans"/>
        </w:rPr>
        <w:endnoteRef/>
      </w:r>
      <w:r w:rsidRPr="0016306F">
        <w:rPr>
          <w:rFonts w:cs="Open Sans"/>
        </w:rPr>
        <w:t xml:space="preserve"> </w:t>
      </w:r>
      <w:r w:rsidR="00B43465" w:rsidRPr="0016306F">
        <w:rPr>
          <w:rFonts w:cs="Open Sans"/>
        </w:rPr>
        <w:t xml:space="preserve">See </w:t>
      </w:r>
      <w:r w:rsidRPr="0016306F">
        <w:rPr>
          <w:rFonts w:cs="Open Sans"/>
        </w:rPr>
        <w:t xml:space="preserve">Ibid </w:t>
      </w:r>
      <w:r w:rsidR="00B43465" w:rsidRPr="0016306F">
        <w:rPr>
          <w:rFonts w:cs="Open Sans"/>
        </w:rPr>
        <w:t>40-55.</w:t>
      </w:r>
    </w:p>
  </w:endnote>
  <w:endnote w:id="87">
    <w:p w14:paraId="0E0977C3" w14:textId="60C3082D" w:rsidR="0008271B" w:rsidRPr="0016306F" w:rsidRDefault="0008271B">
      <w:pPr>
        <w:pStyle w:val="EndnoteText"/>
        <w:rPr>
          <w:rFonts w:cs="Open Sans"/>
        </w:rPr>
      </w:pPr>
      <w:r w:rsidRPr="0016306F">
        <w:rPr>
          <w:rStyle w:val="EndnoteReference"/>
          <w:rFonts w:cs="Open Sans"/>
        </w:rPr>
        <w:endnoteRef/>
      </w:r>
      <w:r w:rsidRPr="0016306F">
        <w:rPr>
          <w:rFonts w:cs="Open Sans"/>
        </w:rPr>
        <w:t xml:space="preserve"> See </w:t>
      </w:r>
      <w:r w:rsidR="00241E7D" w:rsidRPr="0016306F">
        <w:rPr>
          <w:rFonts w:cs="Open Sans"/>
        </w:rPr>
        <w:t xml:space="preserve">Australian Government, </w:t>
      </w:r>
      <w:r w:rsidR="00E55B33" w:rsidRPr="0016306F">
        <w:rPr>
          <w:rFonts w:cs="Open Sans"/>
          <w:i/>
          <w:iCs/>
        </w:rPr>
        <w:t>Budget Strategy and Outlook</w:t>
      </w:r>
      <w:r w:rsidR="00354293" w:rsidRPr="0016306F">
        <w:rPr>
          <w:rFonts w:cs="Open Sans"/>
          <w:i/>
          <w:iCs/>
        </w:rPr>
        <w:t xml:space="preserve"> </w:t>
      </w:r>
      <w:r w:rsidR="00354293" w:rsidRPr="0016306F">
        <w:rPr>
          <w:rFonts w:cs="Open Sans"/>
        </w:rPr>
        <w:t>(Budget Paper No 1, October 2022)</w:t>
      </w:r>
      <w:r w:rsidR="003E3501" w:rsidRPr="0016306F">
        <w:rPr>
          <w:rFonts w:cs="Open Sans"/>
        </w:rPr>
        <w:t xml:space="preserve"> </w:t>
      </w:r>
      <w:r w:rsidR="00121667" w:rsidRPr="0016306F">
        <w:rPr>
          <w:rFonts w:cs="Open Sans"/>
        </w:rPr>
        <w:t>119-145</w:t>
      </w:r>
      <w:r w:rsidR="00201213" w:rsidRPr="0016306F">
        <w:rPr>
          <w:rFonts w:cs="Open Sans"/>
        </w:rPr>
        <w:t xml:space="preserve"> &lt; </w:t>
      </w:r>
      <w:hyperlink r:id="rId37" w:history="1">
        <w:r w:rsidR="00201213" w:rsidRPr="0016306F">
          <w:rPr>
            <w:rStyle w:val="Hyperlink"/>
            <w:rFonts w:cs="Open Sans"/>
          </w:rPr>
          <w:t>https://archive.budget.gov.au/2022-23-october/bp1/download/bp1_2022-23.pdf</w:t>
        </w:r>
      </w:hyperlink>
      <w:r w:rsidR="00201213" w:rsidRPr="0016306F">
        <w:rPr>
          <w:rFonts w:cs="Open Sans"/>
        </w:rPr>
        <w:t xml:space="preserve">&gt;. </w:t>
      </w:r>
    </w:p>
  </w:endnote>
  <w:endnote w:id="88">
    <w:p w14:paraId="51C5DE81" w14:textId="43180B1A" w:rsidR="00FC674F" w:rsidRPr="0016306F" w:rsidRDefault="00FC674F">
      <w:pPr>
        <w:pStyle w:val="EndnoteText"/>
        <w:rPr>
          <w:rFonts w:cs="Open Sans"/>
        </w:rPr>
      </w:pPr>
      <w:r w:rsidRPr="0016306F">
        <w:rPr>
          <w:rStyle w:val="EndnoteReference"/>
          <w:rFonts w:cs="Open Sans"/>
        </w:rPr>
        <w:endnoteRef/>
      </w:r>
      <w:r w:rsidRPr="0016306F">
        <w:rPr>
          <w:rFonts w:cs="Open Sans"/>
        </w:rPr>
        <w:t xml:space="preserve"> </w:t>
      </w:r>
      <w:r w:rsidR="00061EAF" w:rsidRPr="0016306F">
        <w:rPr>
          <w:rFonts w:cs="Open Sans"/>
        </w:rPr>
        <w:t xml:space="preserve">‘Reform of the Disability Standards for Accessible Public Transport 2002 (Transport Standards)’, </w:t>
      </w:r>
      <w:r w:rsidR="00061EAF" w:rsidRPr="0016306F">
        <w:rPr>
          <w:rFonts w:cs="Open Sans"/>
          <w:i/>
          <w:iCs/>
        </w:rPr>
        <w:t xml:space="preserve">Department of Infrastructure, Transport, Regional Development, Communications and the Arts </w:t>
      </w:r>
      <w:r w:rsidR="00061EAF" w:rsidRPr="0016306F">
        <w:rPr>
          <w:rFonts w:cs="Open Sans"/>
        </w:rPr>
        <w:t>(web Page) &lt;</w:t>
      </w:r>
      <w:r w:rsidR="005B3E94" w:rsidRPr="0016306F">
        <w:rPr>
          <w:rFonts w:cs="Open Sans"/>
        </w:rPr>
        <w:t xml:space="preserve"> </w:t>
      </w:r>
      <w:hyperlink r:id="rId38" w:history="1">
        <w:r w:rsidR="005B3E94" w:rsidRPr="0016306F">
          <w:rPr>
            <w:rStyle w:val="Hyperlink"/>
            <w:rFonts w:cs="Open Sans"/>
          </w:rPr>
          <w:t>Reform of the Disability Standards for Accessible Public Transport 2002 (Transport Standards) | Department of Infrastructure, Transport, Regional Development, Communications and the Arts</w:t>
        </w:r>
      </w:hyperlink>
      <w:r w:rsidR="005B3E94" w:rsidRPr="0016306F">
        <w:rPr>
          <w:rFonts w:cs="Open Sans"/>
        </w:rPr>
        <w:t xml:space="preserve">&gt;. </w:t>
      </w:r>
    </w:p>
  </w:endnote>
  <w:endnote w:id="89">
    <w:p w14:paraId="26A78585" w14:textId="386087FD"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Third Review of Transport Standards </w:t>
      </w:r>
      <w:r w:rsidRPr="0016306F">
        <w:rPr>
          <w:rFonts w:cs="Open Sans"/>
        </w:rPr>
        <w:t>(n</w:t>
      </w:r>
      <w:r w:rsidR="00C6668B">
        <w:rPr>
          <w:rFonts w:cs="Open Sans"/>
        </w:rPr>
        <w:t xml:space="preserve"> </w:t>
      </w:r>
      <w:r w:rsidR="007E5B7E">
        <w:rPr>
          <w:rFonts w:cs="Open Sans"/>
        </w:rPr>
        <w:t>2</w:t>
      </w:r>
      <w:r w:rsidR="007F03B2">
        <w:rPr>
          <w:rFonts w:cs="Open Sans"/>
        </w:rPr>
        <w:t>9</w:t>
      </w:r>
      <w:r w:rsidRPr="0016306F">
        <w:rPr>
          <w:rFonts w:cs="Open Sans"/>
        </w:rPr>
        <w:t>) 71,118.</w:t>
      </w:r>
    </w:p>
  </w:endnote>
  <w:endnote w:id="90">
    <w:p w14:paraId="03B9F771" w14:textId="77777777"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Disability Discrimination Act 1992</w:t>
      </w:r>
      <w:r w:rsidRPr="0016306F">
        <w:rPr>
          <w:rFonts w:cs="Open Sans"/>
        </w:rPr>
        <w:t xml:space="preserve"> (Cth) sub-ss 21B, 29A; </w:t>
      </w:r>
      <w:r w:rsidRPr="0016306F">
        <w:rPr>
          <w:rFonts w:cs="Open Sans"/>
          <w:i/>
          <w:iCs/>
        </w:rPr>
        <w:t xml:space="preserve">Disability Standards for Accessible Public Transport 2002 </w:t>
      </w:r>
      <w:r w:rsidRPr="0016306F">
        <w:rPr>
          <w:rFonts w:cs="Open Sans"/>
        </w:rPr>
        <w:t xml:space="preserve">(Cth) pt 33.7. </w:t>
      </w:r>
    </w:p>
  </w:endnote>
  <w:endnote w:id="91">
    <w:p w14:paraId="10565F67" w14:textId="642E1EA0"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Style w:val="cf01"/>
          <w:rFonts w:ascii="Open Sans" w:hAnsi="Open Sans" w:cs="Open Sans"/>
          <w:sz w:val="20"/>
          <w:szCs w:val="20"/>
        </w:rPr>
        <w:t>Finney v Hills Grammar School [1999] HREOCA 14 (extract at (1999) EOC 93-020). Affirmed on review in Hills Grammar School v Human Rights and Equal Opportunity Commission (2000) 100 FCR 306, 318 [48]. See also Access For All Alliance (Hervey Bay) v Hervey Bay City Council [2004] FMCA 915, [84]</w:t>
      </w:r>
      <w:r w:rsidR="00147229">
        <w:rPr>
          <w:rStyle w:val="cf01"/>
          <w:rFonts w:ascii="Open Sans" w:hAnsi="Open Sans" w:cs="Open Sans"/>
          <w:sz w:val="20"/>
          <w:szCs w:val="20"/>
        </w:rPr>
        <w:t>.</w:t>
      </w:r>
    </w:p>
  </w:endnote>
  <w:endnote w:id="92">
    <w:p w14:paraId="5C96B27B" w14:textId="77777777"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Style w:val="cf01"/>
          <w:rFonts w:ascii="Open Sans" w:hAnsi="Open Sans" w:cs="Open Sans"/>
          <w:sz w:val="20"/>
          <w:szCs w:val="20"/>
        </w:rPr>
        <w:t>(1997) EOC 92-903</w:t>
      </w:r>
    </w:p>
  </w:endnote>
  <w:endnote w:id="93">
    <w:p w14:paraId="1C49FE24" w14:textId="455AB436"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Style w:val="cf01"/>
          <w:rFonts w:ascii="Open Sans" w:hAnsi="Open Sans" w:cs="Open Sans"/>
          <w:sz w:val="20"/>
          <w:szCs w:val="20"/>
        </w:rPr>
        <w:t>(1997) EOC 92-903, 77, 453.</w:t>
      </w:r>
      <w:r w:rsidR="00125286">
        <w:rPr>
          <w:rStyle w:val="cf01"/>
          <w:rFonts w:ascii="Open Sans" w:hAnsi="Open Sans" w:cs="Open Sans"/>
          <w:sz w:val="20"/>
          <w:szCs w:val="20"/>
        </w:rPr>
        <w:t xml:space="preserve"> Since 2000, Commissioners have had no role in the handling of complaints. </w:t>
      </w:r>
    </w:p>
  </w:endnote>
  <w:endnote w:id="94">
    <w:p w14:paraId="379FFDCF" w14:textId="0C4388E5" w:rsidR="006F73E7" w:rsidRPr="00322ACB" w:rsidRDefault="006F73E7" w:rsidP="006F73E7">
      <w:pPr>
        <w:pStyle w:val="EndnoteText"/>
      </w:pPr>
      <w:r>
        <w:rPr>
          <w:rStyle w:val="EndnoteReference"/>
        </w:rPr>
        <w:endnoteRef/>
      </w:r>
      <w:r>
        <w:t xml:space="preserve"> </w:t>
      </w:r>
      <w:r w:rsidRPr="006F73E7">
        <w:rPr>
          <w:i/>
          <w:iCs/>
        </w:rPr>
        <w:t xml:space="preserve">King v Jetstar Airways Pty </w:t>
      </w:r>
      <w:r w:rsidRPr="00322ACB">
        <w:rPr>
          <w:i/>
          <w:iCs/>
        </w:rPr>
        <w:t>Ltd (No 2) [2012] FCA 8</w:t>
      </w:r>
      <w:r w:rsidR="00322ACB">
        <w:t>.</w:t>
      </w:r>
    </w:p>
  </w:endnote>
  <w:endnote w:id="95">
    <w:p w14:paraId="72845533" w14:textId="718B3AE1" w:rsidR="0098458F" w:rsidRPr="0098458F" w:rsidRDefault="0098458F" w:rsidP="0098458F">
      <w:pPr>
        <w:spacing w:before="0" w:after="0"/>
        <w:rPr>
          <w:rFonts w:ascii="Calibri" w:eastAsiaTheme="minorHAnsi" w:hAnsi="Calibri"/>
          <w:sz w:val="22"/>
          <w:szCs w:val="22"/>
        </w:rPr>
      </w:pPr>
      <w:r>
        <w:rPr>
          <w:rStyle w:val="EndnoteReference"/>
        </w:rPr>
        <w:endnoteRef/>
      </w:r>
      <w:r>
        <w:t xml:space="preserve"> </w:t>
      </w:r>
      <w:r w:rsidRPr="0098458F">
        <w:rPr>
          <w:rFonts w:cs="Open Sans"/>
          <w:i/>
          <w:iCs/>
          <w:sz w:val="20"/>
          <w:szCs w:val="20"/>
        </w:rPr>
        <w:t>Kristjansson v Queensland</w:t>
      </w:r>
      <w:r w:rsidRPr="0098458F">
        <w:rPr>
          <w:rFonts w:cs="Open Sans"/>
          <w:sz w:val="20"/>
          <w:szCs w:val="20"/>
        </w:rPr>
        <w:t xml:space="preserve"> </w:t>
      </w:r>
      <w:hyperlink r:id="rId39" w:history="1">
        <w:r w:rsidRPr="0098458F">
          <w:rPr>
            <w:rStyle w:val="Hyperlink"/>
            <w:rFonts w:cs="Open Sans"/>
            <w:sz w:val="20"/>
            <w:szCs w:val="20"/>
          </w:rPr>
          <w:t>[2018] FCCA 3894</w:t>
        </w:r>
      </w:hyperlink>
      <w:r w:rsidRPr="0098458F">
        <w:rPr>
          <w:rFonts w:eastAsiaTheme="minorHAnsi" w:cs="Open Sans"/>
          <w:sz w:val="20"/>
          <w:szCs w:val="20"/>
        </w:rPr>
        <w:t xml:space="preserve">; </w:t>
      </w:r>
      <w:r w:rsidRPr="0098458F">
        <w:rPr>
          <w:rFonts w:cs="Open Sans"/>
          <w:i/>
          <w:iCs/>
          <w:sz w:val="20"/>
          <w:szCs w:val="20"/>
        </w:rPr>
        <w:t>Sklavos v Australasian College of Dermatologists</w:t>
      </w:r>
      <w:r w:rsidRPr="0098458F">
        <w:rPr>
          <w:rFonts w:cs="Open Sans"/>
          <w:sz w:val="20"/>
          <w:szCs w:val="20"/>
        </w:rPr>
        <w:t xml:space="preserve"> </w:t>
      </w:r>
      <w:hyperlink r:id="rId40" w:history="1">
        <w:r w:rsidRPr="0098458F">
          <w:rPr>
            <w:rStyle w:val="Hyperlink"/>
            <w:rFonts w:cs="Open Sans"/>
            <w:sz w:val="20"/>
            <w:szCs w:val="20"/>
          </w:rPr>
          <w:t>[2016] FCA 179</w:t>
        </w:r>
      </w:hyperlink>
      <w:r w:rsidRPr="0098458F">
        <w:rPr>
          <w:rFonts w:eastAsiaTheme="minorHAnsi" w:cs="Open Sans"/>
          <w:sz w:val="20"/>
          <w:szCs w:val="20"/>
        </w:rPr>
        <w:t xml:space="preserve">; </w:t>
      </w:r>
      <w:r w:rsidRPr="0098458F">
        <w:rPr>
          <w:rFonts w:cs="Open Sans"/>
          <w:i/>
          <w:iCs/>
          <w:sz w:val="20"/>
          <w:szCs w:val="20"/>
        </w:rPr>
        <w:t>Forest v HK and W Investments Pty Ltd</w:t>
      </w:r>
      <w:r w:rsidRPr="0098458F">
        <w:rPr>
          <w:rFonts w:cs="Open Sans"/>
          <w:sz w:val="20"/>
          <w:szCs w:val="20"/>
        </w:rPr>
        <w:t xml:space="preserve"> </w:t>
      </w:r>
      <w:hyperlink r:id="rId41" w:history="1">
        <w:r w:rsidRPr="0098458F">
          <w:rPr>
            <w:rStyle w:val="Hyperlink"/>
            <w:rFonts w:cs="Open Sans"/>
            <w:sz w:val="20"/>
            <w:szCs w:val="20"/>
          </w:rPr>
          <w:t>[2014] FCCA 209</w:t>
        </w:r>
      </w:hyperlink>
      <w:r>
        <w:rPr>
          <w:rFonts w:cs="Open Sans"/>
          <w:sz w:val="20"/>
          <w:szCs w:val="20"/>
        </w:rPr>
        <w:t xml:space="preserve">. </w:t>
      </w:r>
      <w:r w:rsidR="00EB60A1">
        <w:rPr>
          <w:rFonts w:cs="Open Sans"/>
          <w:sz w:val="20"/>
          <w:szCs w:val="20"/>
        </w:rPr>
        <w:t xml:space="preserve">In these cases, unjustifiable </w:t>
      </w:r>
      <w:r w:rsidR="00EB60A1" w:rsidRPr="00EB60A1">
        <w:rPr>
          <w:rFonts w:cs="Open Sans"/>
          <w:sz w:val="20"/>
          <w:szCs w:val="20"/>
        </w:rPr>
        <w:t>hardship was considered in the context of indirect/direct disability discrimination also, not the Transport Standards</w:t>
      </w:r>
      <w:r w:rsidR="00EB60A1">
        <w:rPr>
          <w:rFonts w:cs="Open Sans"/>
          <w:sz w:val="20"/>
          <w:szCs w:val="20"/>
        </w:rPr>
        <w:t xml:space="preserve">. </w:t>
      </w:r>
    </w:p>
  </w:endnote>
  <w:endnote w:id="96">
    <w:p w14:paraId="5DA75C4E" w14:textId="77777777"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(Cth) pt 33.7(</w:t>
      </w:r>
      <w:r w:rsidRPr="0016306F">
        <w:rPr>
          <w:rStyle w:val="cf01"/>
          <w:rFonts w:ascii="Open Sans" w:hAnsi="Open Sans" w:cs="Open Sans"/>
          <w:sz w:val="20"/>
          <w:szCs w:val="20"/>
        </w:rPr>
        <w:t>3)(m).</w:t>
      </w:r>
    </w:p>
  </w:endnote>
  <w:endnote w:id="97">
    <w:p w14:paraId="788D0322" w14:textId="77777777"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(Cth) pt 33.7(</w:t>
      </w:r>
      <w:r w:rsidRPr="0016306F">
        <w:rPr>
          <w:rStyle w:val="cf01"/>
          <w:rFonts w:ascii="Open Sans" w:hAnsi="Open Sans" w:cs="Open Sans"/>
          <w:sz w:val="20"/>
          <w:szCs w:val="20"/>
        </w:rPr>
        <w:t xml:space="preserve">3)(l). </w:t>
      </w:r>
    </w:p>
  </w:endnote>
  <w:endnote w:id="98">
    <w:p w14:paraId="54BE37A5" w14:textId="5640EA33"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Australian Human Rights Commission, </w:t>
      </w:r>
      <w:r w:rsidRPr="0016306F">
        <w:rPr>
          <w:rFonts w:cs="Open Sans"/>
          <w:i/>
          <w:iCs/>
        </w:rPr>
        <w:t xml:space="preserve">Equivalent Access under the Disability Standards for Accessible Public Transport 2002 </w:t>
      </w:r>
      <w:r w:rsidRPr="00CD294F">
        <w:rPr>
          <w:rFonts w:cs="Open Sans"/>
        </w:rPr>
        <w:t>(Cth)</w:t>
      </w:r>
      <w:r w:rsidRPr="0016306F">
        <w:rPr>
          <w:rFonts w:cs="Open Sans"/>
          <w:i/>
          <w:iCs/>
        </w:rPr>
        <w:t xml:space="preserve"> </w:t>
      </w:r>
      <w:r w:rsidRPr="0016306F">
        <w:rPr>
          <w:rFonts w:cs="Open Sans"/>
        </w:rPr>
        <w:t>(Guidelines, July 2002) &lt;</w:t>
      </w:r>
      <w:hyperlink r:id="rId42" w:history="1">
        <w:r w:rsidRPr="0016306F">
          <w:rPr>
            <w:rStyle w:val="Hyperlink"/>
            <w:rFonts w:cs="Open Sans"/>
          </w:rPr>
          <w:t>https://humanrights.gov.au/our-work/disability-rights/publications/guidelines-equivalent-access-under-disability-standards</w:t>
        </w:r>
      </w:hyperlink>
      <w:r w:rsidRPr="0016306F">
        <w:rPr>
          <w:rFonts w:cs="Open Sans"/>
        </w:rPr>
        <w:t>&gt;</w:t>
      </w:r>
      <w:r w:rsidR="00286A61">
        <w:rPr>
          <w:rFonts w:cs="Open Sans"/>
        </w:rPr>
        <w:t xml:space="preserve"> (</w:t>
      </w:r>
      <w:r w:rsidR="00286A61">
        <w:rPr>
          <w:rFonts w:cs="Open Sans"/>
          <w:i/>
          <w:iCs/>
        </w:rPr>
        <w:t>‘Equivalent Access Guidelines’</w:t>
      </w:r>
      <w:r w:rsidR="00286A61">
        <w:rPr>
          <w:rFonts w:cs="Open Sans"/>
        </w:rPr>
        <w:t>)</w:t>
      </w:r>
      <w:r w:rsidRPr="0016306F">
        <w:rPr>
          <w:rFonts w:cs="Open Sans"/>
        </w:rPr>
        <w:t xml:space="preserve">. </w:t>
      </w:r>
    </w:p>
  </w:endnote>
  <w:endnote w:id="99">
    <w:p w14:paraId="20699E5E" w14:textId="77777777" w:rsidR="00D13248" w:rsidRPr="0016306F" w:rsidRDefault="00D13248" w:rsidP="00D13248">
      <w:pPr>
        <w:pStyle w:val="EndnoteText"/>
        <w:rPr>
          <w:rFonts w:cs="Open Sans"/>
        </w:rPr>
      </w:pPr>
      <w:r w:rsidRPr="0016306F">
        <w:rPr>
          <w:rStyle w:val="EndnoteReference"/>
          <w:rFonts w:cs="Open Sans"/>
        </w:rPr>
        <w:endnoteRef/>
      </w:r>
      <w:r w:rsidRPr="0016306F">
        <w:rPr>
          <w:rFonts w:cs="Open Sans"/>
        </w:rPr>
        <w:t xml:space="preserve"> See generally </w:t>
      </w:r>
      <w:r w:rsidRPr="0016306F">
        <w:rPr>
          <w:rFonts w:cs="Open Sans"/>
          <w:i/>
          <w:iCs/>
        </w:rPr>
        <w:t xml:space="preserve">Disability Standards for Accessible Public Transport 2002 </w:t>
      </w:r>
      <w:r w:rsidRPr="0016306F">
        <w:rPr>
          <w:rFonts w:cs="Open Sans"/>
        </w:rPr>
        <w:t>(Cth) pt 33.7(</w:t>
      </w:r>
      <w:r w:rsidRPr="0016306F">
        <w:rPr>
          <w:rStyle w:val="cf01"/>
          <w:rFonts w:ascii="Open Sans" w:hAnsi="Open Sans" w:cs="Open Sans"/>
          <w:sz w:val="20"/>
          <w:szCs w:val="20"/>
        </w:rPr>
        <w:t>3).</w:t>
      </w:r>
    </w:p>
  </w:endnote>
  <w:endnote w:id="100">
    <w:p w14:paraId="0944543F" w14:textId="3820400E" w:rsidR="00F72E80" w:rsidRDefault="00F72E80">
      <w:pPr>
        <w:pStyle w:val="EndnoteText"/>
      </w:pPr>
      <w:r>
        <w:rPr>
          <w:rStyle w:val="EndnoteReference"/>
        </w:rPr>
        <w:endnoteRef/>
      </w:r>
      <w:r>
        <w:t xml:space="preserve"> </w:t>
      </w:r>
      <w:r w:rsidRPr="00F72E80">
        <w:rPr>
          <w:i/>
          <w:iCs/>
        </w:rPr>
        <w:t xml:space="preserve">Haraksin v Murrays Australia </w:t>
      </w:r>
      <w:r w:rsidRPr="00DA52C1">
        <w:rPr>
          <w:i/>
          <w:iCs/>
        </w:rPr>
        <w:t>Limited (No 2) [2013] FCA 217.</w:t>
      </w:r>
      <w:r>
        <w:t xml:space="preserve">  </w:t>
      </w:r>
    </w:p>
  </w:endnote>
  <w:endnote w:id="101">
    <w:p w14:paraId="3DA2D725" w14:textId="138201D7" w:rsidR="00DA52C1" w:rsidRDefault="00DA52C1">
      <w:pPr>
        <w:pStyle w:val="EndnoteText"/>
      </w:pPr>
      <w:r>
        <w:rPr>
          <w:rStyle w:val="EndnoteReference"/>
        </w:rPr>
        <w:endnoteRef/>
      </w:r>
      <w:r>
        <w:t xml:space="preserve"> </w:t>
      </w:r>
      <w:r>
        <w:rPr>
          <w:i/>
          <w:iCs/>
        </w:rPr>
        <w:t xml:space="preserve">Haraksin v Murrays Australia Limited (No 2) [2013] FCA 217 </w:t>
      </w:r>
      <w:r>
        <w:t xml:space="preserve">at [86].  </w:t>
      </w:r>
    </w:p>
  </w:endnote>
  <w:endnote w:id="102">
    <w:p w14:paraId="7C84FB43" w14:textId="200A43CA" w:rsidR="0093485B" w:rsidRDefault="0093485B">
      <w:pPr>
        <w:pStyle w:val="EndnoteText"/>
      </w:pPr>
      <w:r>
        <w:rPr>
          <w:rStyle w:val="EndnoteReference"/>
        </w:rPr>
        <w:endnoteRef/>
      </w:r>
      <w:r>
        <w:t xml:space="preserve"> </w:t>
      </w:r>
      <w:r>
        <w:rPr>
          <w:rFonts w:cs="Open Sans"/>
        </w:rPr>
        <w:t xml:space="preserve">Australian Human Rights Commission, Submission No 30 to the Department of Infrastructure, Regional Development and Cities, </w:t>
      </w:r>
      <w:r>
        <w:rPr>
          <w:rFonts w:cs="Open Sans"/>
          <w:i/>
          <w:iCs/>
        </w:rPr>
        <w:t>2017 Review of the Disability Standards for Accessible Public Transport 2002</w:t>
      </w:r>
      <w:r>
        <w:rPr>
          <w:rFonts w:cs="Open Sans"/>
        </w:rPr>
        <w:t xml:space="preserve"> (6 December 2018) 14-5. </w:t>
      </w:r>
    </w:p>
  </w:endnote>
  <w:endnote w:id="103">
    <w:p w14:paraId="4B48CC94" w14:textId="4AAD3EAA" w:rsidR="006650E7" w:rsidRPr="0016306F" w:rsidRDefault="006650E7">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 xml:space="preserve">(Cth) s </w:t>
      </w:r>
      <w:r w:rsidR="00D308AE" w:rsidRPr="0016306F">
        <w:rPr>
          <w:rFonts w:cs="Open Sans"/>
        </w:rPr>
        <w:t>33.4, 33.7(3)(</w:t>
      </w:r>
      <w:r w:rsidR="0051656E" w:rsidRPr="0016306F">
        <w:rPr>
          <w:rFonts w:cs="Open Sans"/>
        </w:rPr>
        <w:t>o).</w:t>
      </w:r>
    </w:p>
  </w:endnote>
  <w:endnote w:id="104">
    <w:p w14:paraId="06FBCDBE" w14:textId="6C34B113" w:rsidR="006A3655" w:rsidRPr="0016306F" w:rsidRDefault="006A3655">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Discrimination Act 1992 </w:t>
      </w:r>
      <w:r w:rsidRPr="0016306F">
        <w:rPr>
          <w:rFonts w:cs="Open Sans"/>
        </w:rPr>
        <w:t>(Cth) s 3(a).</w:t>
      </w:r>
    </w:p>
  </w:endnote>
  <w:endnote w:id="105">
    <w:p w14:paraId="326E0062" w14:textId="414AC357" w:rsidR="00E23F7F" w:rsidRPr="0016306F" w:rsidRDefault="00E23F7F">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Discrimination Act 1992 </w:t>
      </w:r>
      <w:r w:rsidRPr="0016306F">
        <w:rPr>
          <w:rFonts w:cs="Open Sans"/>
        </w:rPr>
        <w:t xml:space="preserve">(Cth) s 3(c). </w:t>
      </w:r>
    </w:p>
  </w:endnote>
  <w:endnote w:id="106">
    <w:p w14:paraId="527C1727" w14:textId="2D15748F" w:rsidR="00C01B7A" w:rsidRPr="0016306F" w:rsidRDefault="00C01B7A">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Standards for Accessible Public Transport 2002 </w:t>
      </w:r>
      <w:r w:rsidRPr="0016306F">
        <w:rPr>
          <w:rFonts w:cs="Open Sans"/>
        </w:rPr>
        <w:t>(Cth)</w:t>
      </w:r>
      <w:r w:rsidR="00066884" w:rsidRPr="0016306F">
        <w:rPr>
          <w:rFonts w:cs="Open Sans"/>
        </w:rPr>
        <w:t xml:space="preserve"> s 1.3.</w:t>
      </w:r>
    </w:p>
  </w:endnote>
  <w:endnote w:id="107">
    <w:p w14:paraId="4081C8AE" w14:textId="358D6620" w:rsidR="00C8436D" w:rsidRPr="0016306F" w:rsidRDefault="00C8436D">
      <w:pPr>
        <w:pStyle w:val="EndnoteText"/>
        <w:rPr>
          <w:rFonts w:cs="Open Sans"/>
          <w:i/>
          <w:iCs/>
        </w:rPr>
      </w:pPr>
      <w:r w:rsidRPr="0016306F">
        <w:rPr>
          <w:rStyle w:val="EndnoteReference"/>
          <w:rFonts w:cs="Open Sans"/>
        </w:rPr>
        <w:endnoteRef/>
      </w:r>
      <w:r w:rsidRPr="0016306F">
        <w:rPr>
          <w:rFonts w:cs="Open Sans"/>
        </w:rPr>
        <w:t xml:space="preserve"> See </w:t>
      </w:r>
      <w:r w:rsidRPr="0016306F">
        <w:rPr>
          <w:rFonts w:cs="Open Sans"/>
          <w:i/>
          <w:iCs/>
        </w:rPr>
        <w:t xml:space="preserve">Disability Discrimination Act 1992 </w:t>
      </w:r>
      <w:r w:rsidRPr="0016306F">
        <w:rPr>
          <w:rFonts w:cs="Open Sans"/>
        </w:rPr>
        <w:t>(Cth) s 12(</w:t>
      </w:r>
      <w:r w:rsidR="000F2058" w:rsidRPr="0016306F">
        <w:rPr>
          <w:rFonts w:cs="Open Sans"/>
        </w:rPr>
        <w:t>8)(ba).</w:t>
      </w:r>
    </w:p>
  </w:endnote>
  <w:endnote w:id="108">
    <w:p w14:paraId="09BF72E3" w14:textId="44D0BB21" w:rsidR="007E223D" w:rsidRDefault="007E223D">
      <w:pPr>
        <w:pStyle w:val="EndnoteText"/>
      </w:pPr>
      <w:r>
        <w:rPr>
          <w:rStyle w:val="EndnoteReference"/>
        </w:rPr>
        <w:endnoteRef/>
      </w:r>
      <w:r>
        <w:t xml:space="preserve"> </w:t>
      </w:r>
      <w:r>
        <w:rPr>
          <w:i/>
          <w:iCs/>
        </w:rPr>
        <w:t xml:space="preserve">Third Review of Transport Standards </w:t>
      </w:r>
      <w:r>
        <w:t>(n 2</w:t>
      </w:r>
      <w:r w:rsidR="007F03B2">
        <w:t>9</w:t>
      </w:r>
      <w:r>
        <w:t>) 98-9.</w:t>
      </w:r>
    </w:p>
  </w:endnote>
  <w:endnote w:id="109">
    <w:p w14:paraId="65FE47E8" w14:textId="1763F41E" w:rsidR="008707E4" w:rsidRDefault="008707E4">
      <w:pPr>
        <w:pStyle w:val="EndnoteText"/>
      </w:pPr>
      <w:r>
        <w:rPr>
          <w:rStyle w:val="EndnoteReference"/>
        </w:rPr>
        <w:endnoteRef/>
      </w:r>
      <w:r>
        <w:t xml:space="preserve"> </w:t>
      </w:r>
      <w:r w:rsidR="007E223D">
        <w:t xml:space="preserve">Ibid </w:t>
      </w:r>
      <w:r w:rsidR="00381EF0" w:rsidRPr="00011EFF">
        <w:t>10,</w:t>
      </w:r>
      <w:r w:rsidR="00F6739A" w:rsidRPr="00011EFF">
        <w:t xml:space="preserve"> 104,</w:t>
      </w:r>
      <w:r w:rsidR="00011EFF" w:rsidRPr="00011EFF">
        <w:t xml:space="preserve"> 123.</w:t>
      </w:r>
    </w:p>
  </w:endnote>
  <w:endnote w:id="110">
    <w:p w14:paraId="3FD9DEA0" w14:textId="1EB15ABA" w:rsidR="00BA7B58" w:rsidRPr="0016306F" w:rsidRDefault="00BA7B58">
      <w:pPr>
        <w:pStyle w:val="EndnoteText"/>
        <w:rPr>
          <w:rFonts w:cs="Open Sans"/>
        </w:rPr>
      </w:pPr>
      <w:r w:rsidRPr="00286A61">
        <w:rPr>
          <w:rStyle w:val="EndnoteReference"/>
          <w:rFonts w:cs="Open Sans"/>
        </w:rPr>
        <w:endnoteRef/>
      </w:r>
      <w:r w:rsidR="00080C9A">
        <w:rPr>
          <w:rFonts w:cs="Open Sans"/>
        </w:rPr>
        <w:t xml:space="preserve"> </w:t>
      </w:r>
      <w:r w:rsidR="00286A61" w:rsidRPr="00286A61">
        <w:rPr>
          <w:rFonts w:cs="Open Sans"/>
        </w:rPr>
        <w:t>Ibid</w:t>
      </w:r>
      <w:r w:rsidR="00080C9A">
        <w:rPr>
          <w:rFonts w:cs="Open Sans"/>
        </w:rPr>
        <w:t xml:space="preserve"> </w:t>
      </w:r>
      <w:r w:rsidR="00011EFF" w:rsidRPr="00080C9A">
        <w:rPr>
          <w:rFonts w:cs="Open Sans"/>
        </w:rPr>
        <w:t>125,</w:t>
      </w:r>
      <w:r w:rsidR="00987E4D" w:rsidRPr="00080C9A">
        <w:rPr>
          <w:rFonts w:cs="Open Sans"/>
        </w:rPr>
        <w:t xml:space="preserve"> 136, 139</w:t>
      </w:r>
      <w:r w:rsidR="00080C9A" w:rsidRPr="00080C9A">
        <w:rPr>
          <w:rFonts w:cs="Open Sans"/>
        </w:rPr>
        <w:t>.</w:t>
      </w:r>
    </w:p>
  </w:endnote>
  <w:endnote w:id="111">
    <w:p w14:paraId="3FD94A95" w14:textId="51CF6E19" w:rsidR="00FB0272" w:rsidRPr="0016306F" w:rsidRDefault="00FB0272">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Australian Human Rights Commission Act 1986 </w:t>
      </w:r>
      <w:r w:rsidRPr="0016306F">
        <w:rPr>
          <w:rFonts w:cs="Open Sans"/>
        </w:rPr>
        <w:t>(Cth) s 11(g)</w:t>
      </w:r>
      <w:r w:rsidR="008450DA" w:rsidRPr="0016306F">
        <w:rPr>
          <w:rFonts w:cs="Open Sans"/>
        </w:rPr>
        <w:t>-(h)</w:t>
      </w:r>
      <w:r w:rsidR="00286A61">
        <w:rPr>
          <w:rFonts w:cs="Open Sans"/>
        </w:rPr>
        <w:t>.</w:t>
      </w:r>
    </w:p>
  </w:endnote>
  <w:endnote w:id="112">
    <w:p w14:paraId="5071D136" w14:textId="1761A48A" w:rsidR="00437A57" w:rsidRPr="0016306F" w:rsidRDefault="00437A57">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 xml:space="preserve">Disability Discrimination Act 1992 </w:t>
      </w:r>
      <w:r w:rsidRPr="0016306F">
        <w:rPr>
          <w:rFonts w:cs="Open Sans"/>
        </w:rPr>
        <w:t>(Cth) s 67(</w:t>
      </w:r>
      <w:r w:rsidR="004F4E79" w:rsidRPr="0016306F">
        <w:rPr>
          <w:rFonts w:cs="Open Sans"/>
        </w:rPr>
        <w:t xml:space="preserve">g)-(h), (k). </w:t>
      </w:r>
    </w:p>
  </w:endnote>
  <w:endnote w:id="113">
    <w:p w14:paraId="5510745F" w14:textId="57EA4730" w:rsidR="00F52DB5" w:rsidRPr="0016306F" w:rsidRDefault="00F52DB5">
      <w:pPr>
        <w:pStyle w:val="EndnoteText"/>
        <w:rPr>
          <w:rFonts w:cs="Open Sans"/>
        </w:rPr>
      </w:pPr>
      <w:r w:rsidRPr="0016306F">
        <w:rPr>
          <w:rStyle w:val="EndnoteReference"/>
          <w:rFonts w:cs="Open Sans"/>
        </w:rPr>
        <w:endnoteRef/>
      </w:r>
      <w:r w:rsidRPr="0016306F">
        <w:rPr>
          <w:rFonts w:cs="Open Sans"/>
        </w:rPr>
        <w:t xml:space="preserve"> See International Transport Forum, OECD,</w:t>
      </w:r>
      <w:r w:rsidR="00286A61">
        <w:rPr>
          <w:rFonts w:cs="Open Sans"/>
          <w:i/>
          <w:iCs/>
        </w:rPr>
        <w:t xml:space="preserve"> </w:t>
      </w:r>
      <w:r w:rsidRPr="00286A61">
        <w:rPr>
          <w:rFonts w:cs="Open Sans"/>
          <w:i/>
          <w:iCs/>
        </w:rPr>
        <w:t>Economic Benefits of Improving Transport Accessibility</w:t>
      </w:r>
      <w:r w:rsidR="00286A61">
        <w:rPr>
          <w:rFonts w:cs="Open Sans"/>
          <w:i/>
          <w:iCs/>
        </w:rPr>
        <w:t xml:space="preserve"> </w:t>
      </w:r>
      <w:r w:rsidRPr="0016306F">
        <w:rPr>
          <w:rFonts w:cs="Open Sans"/>
        </w:rPr>
        <w:t>(Roundtable Report 165, 2017) 58-</w:t>
      </w:r>
      <w:r w:rsidR="00455CE1" w:rsidRPr="0016306F">
        <w:rPr>
          <w:rFonts w:cs="Open Sans"/>
        </w:rPr>
        <w:t xml:space="preserve">72. </w:t>
      </w:r>
    </w:p>
  </w:endnote>
  <w:endnote w:id="114">
    <w:p w14:paraId="396BA40D" w14:textId="63E39B5E" w:rsidR="00B66662" w:rsidRPr="00286A61" w:rsidRDefault="00B66662" w:rsidP="00B66662">
      <w:pPr>
        <w:pStyle w:val="EndnoteText"/>
        <w:rPr>
          <w:rFonts w:cs="Open Sans"/>
        </w:rPr>
      </w:pPr>
      <w:r w:rsidRPr="0016306F">
        <w:rPr>
          <w:rStyle w:val="EndnoteReference"/>
          <w:rFonts w:cs="Open Sans"/>
        </w:rPr>
        <w:endnoteRef/>
      </w:r>
      <w:r w:rsidRPr="0016306F">
        <w:rPr>
          <w:rFonts w:cs="Open Sans"/>
        </w:rPr>
        <w:t xml:space="preserve"> </w:t>
      </w:r>
      <w:r w:rsidR="009C6E26" w:rsidRPr="0016306F">
        <w:rPr>
          <w:rFonts w:cs="Open Sans"/>
        </w:rPr>
        <w:t xml:space="preserve">See </w:t>
      </w:r>
      <w:r w:rsidR="00286A61">
        <w:rPr>
          <w:rFonts w:cs="Open Sans"/>
          <w:i/>
          <w:iCs/>
        </w:rPr>
        <w:t xml:space="preserve">Equivalent Access Guidelines </w:t>
      </w:r>
      <w:r w:rsidR="00286A61">
        <w:rPr>
          <w:rFonts w:cs="Open Sans"/>
        </w:rPr>
        <w:t xml:space="preserve">(n </w:t>
      </w:r>
      <w:r w:rsidR="002D64A6">
        <w:rPr>
          <w:rFonts w:cs="Open Sans"/>
        </w:rPr>
        <w:t>97</w:t>
      </w:r>
      <w:r w:rsidR="00286A61">
        <w:rPr>
          <w:rFonts w:cs="Open Sans"/>
        </w:rPr>
        <w:t xml:space="preserve">). </w:t>
      </w:r>
    </w:p>
  </w:endnote>
  <w:endnote w:id="115">
    <w:p w14:paraId="71816534" w14:textId="62A58574" w:rsidR="00B66662" w:rsidRPr="0016306F" w:rsidRDefault="00B66662" w:rsidP="00B66662">
      <w:pPr>
        <w:pStyle w:val="EndnoteText"/>
        <w:rPr>
          <w:rFonts w:cs="Open Sans"/>
        </w:rPr>
      </w:pPr>
      <w:r w:rsidRPr="0016306F">
        <w:rPr>
          <w:rStyle w:val="EndnoteReference"/>
          <w:rFonts w:cs="Open Sans"/>
        </w:rPr>
        <w:endnoteRef/>
      </w:r>
      <w:r w:rsidRPr="0016306F">
        <w:rPr>
          <w:rFonts w:cs="Open Sans"/>
        </w:rPr>
        <w:t xml:space="preserve"> </w:t>
      </w:r>
      <w:r w:rsidR="009C6E26" w:rsidRPr="0016306F">
        <w:rPr>
          <w:rFonts w:cs="Open Sans"/>
        </w:rPr>
        <w:t xml:space="preserve">See </w:t>
      </w:r>
      <w:r w:rsidR="00D337A2" w:rsidRPr="0016306F">
        <w:rPr>
          <w:rFonts w:cs="Open Sans"/>
        </w:rPr>
        <w:t>Department of Infrastructure and Regional Development</w:t>
      </w:r>
      <w:r w:rsidR="003B6010" w:rsidRPr="0016306F">
        <w:rPr>
          <w:rFonts w:cs="Open Sans"/>
        </w:rPr>
        <w:t xml:space="preserve"> (Cth)</w:t>
      </w:r>
      <w:r w:rsidR="00D337A2" w:rsidRPr="0016306F">
        <w:rPr>
          <w:rFonts w:cs="Open Sans"/>
        </w:rPr>
        <w:t>,</w:t>
      </w:r>
      <w:r w:rsidR="003B6010" w:rsidRPr="0016306F">
        <w:rPr>
          <w:rFonts w:cs="Open Sans"/>
        </w:rPr>
        <w:t xml:space="preserve"> </w:t>
      </w:r>
      <w:r w:rsidR="0043602C" w:rsidRPr="00286A61">
        <w:rPr>
          <w:rFonts w:cs="Open Sans"/>
          <w:i/>
          <w:iCs/>
        </w:rPr>
        <w:t>The Whole Journey: a guide for thinking beyond compliance to create accessible public transport journeys</w:t>
      </w:r>
      <w:r w:rsidR="0043602C" w:rsidRPr="0016306F">
        <w:rPr>
          <w:rFonts w:cs="Open Sans"/>
        </w:rPr>
        <w:t xml:space="preserve"> (</w:t>
      </w:r>
      <w:r w:rsidR="00C33CA1" w:rsidRPr="0016306F">
        <w:rPr>
          <w:rFonts w:cs="Open Sans"/>
        </w:rPr>
        <w:t>2017)</w:t>
      </w:r>
      <w:r w:rsidR="009C6E26" w:rsidRPr="0016306F">
        <w:rPr>
          <w:rFonts w:cs="Open Sans"/>
        </w:rPr>
        <w:t>.</w:t>
      </w:r>
    </w:p>
  </w:endnote>
  <w:endnote w:id="116">
    <w:p w14:paraId="2D2AE475" w14:textId="42CE4719" w:rsidR="00B66662" w:rsidRPr="0016306F" w:rsidRDefault="00B66662" w:rsidP="00B66662">
      <w:pPr>
        <w:pStyle w:val="EndnoteText"/>
        <w:rPr>
          <w:rFonts w:cs="Open Sans"/>
        </w:rPr>
      </w:pPr>
      <w:r w:rsidRPr="00286A61">
        <w:rPr>
          <w:rStyle w:val="EndnoteReference"/>
          <w:rFonts w:cs="Open Sans"/>
        </w:rPr>
        <w:endnoteRef/>
      </w:r>
      <w:r w:rsidRPr="00286A61">
        <w:rPr>
          <w:rFonts w:cs="Open Sans"/>
        </w:rPr>
        <w:t xml:space="preserve"> </w:t>
      </w:r>
      <w:r w:rsidR="00286A61" w:rsidRPr="00286A61">
        <w:rPr>
          <w:rFonts w:cs="Open Sans"/>
          <w:i/>
          <w:iCs/>
        </w:rPr>
        <w:t xml:space="preserve">Free and Equal Position Paper </w:t>
      </w:r>
      <w:r w:rsidR="00286A61" w:rsidRPr="00286A61">
        <w:rPr>
          <w:rFonts w:cs="Open Sans"/>
        </w:rPr>
        <w:t>(n 2</w:t>
      </w:r>
      <w:r w:rsidR="00860067">
        <w:rPr>
          <w:rFonts w:cs="Open Sans"/>
        </w:rPr>
        <w:t>5</w:t>
      </w:r>
      <w:r w:rsidR="00286A61" w:rsidRPr="00286A61">
        <w:rPr>
          <w:rFonts w:cs="Open Sans"/>
        </w:rPr>
        <w:t>)</w:t>
      </w:r>
      <w:r w:rsidRPr="00286A61">
        <w:rPr>
          <w:rFonts w:cs="Open Sans"/>
        </w:rPr>
        <w:t xml:space="preserve"> 116.</w:t>
      </w:r>
    </w:p>
  </w:endnote>
  <w:endnote w:id="117">
    <w:p w14:paraId="20E6236E" w14:textId="1C452A87" w:rsidR="00EF5769" w:rsidRPr="0016306F" w:rsidRDefault="00EF5769">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Accessible Canada Act</w:t>
      </w:r>
      <w:r w:rsidR="00C55877" w:rsidRPr="0016306F">
        <w:rPr>
          <w:rFonts w:cs="Open Sans"/>
          <w:i/>
          <w:iCs/>
        </w:rPr>
        <w:t>,</w:t>
      </w:r>
      <w:r w:rsidR="009F6991" w:rsidRPr="0016306F">
        <w:rPr>
          <w:rFonts w:cs="Open Sans"/>
          <w:i/>
          <w:iCs/>
        </w:rPr>
        <w:t xml:space="preserve"> </w:t>
      </w:r>
      <w:r w:rsidR="002E3A8D" w:rsidRPr="0016306F">
        <w:rPr>
          <w:rFonts w:cs="Open Sans"/>
        </w:rPr>
        <w:t>SC 2019, c. 10</w:t>
      </w:r>
      <w:r w:rsidRPr="0016306F">
        <w:rPr>
          <w:rFonts w:cs="Open Sans"/>
          <w:i/>
          <w:iCs/>
        </w:rPr>
        <w:t xml:space="preserve"> </w:t>
      </w:r>
      <w:r w:rsidR="007D518D" w:rsidRPr="0016306F">
        <w:rPr>
          <w:rFonts w:cs="Open Sans"/>
        </w:rPr>
        <w:t xml:space="preserve">(Canada) s 5. </w:t>
      </w:r>
    </w:p>
  </w:endnote>
  <w:endnote w:id="118">
    <w:p w14:paraId="10751BF8" w14:textId="7C9E0502" w:rsidR="008841DE" w:rsidRPr="0016306F" w:rsidRDefault="008841DE">
      <w:pPr>
        <w:pStyle w:val="EndnoteText"/>
        <w:rPr>
          <w:rFonts w:cs="Open Sans"/>
        </w:rPr>
      </w:pPr>
      <w:r w:rsidRPr="0016306F">
        <w:rPr>
          <w:rStyle w:val="EndnoteReference"/>
          <w:rFonts w:cs="Open Sans"/>
        </w:rPr>
        <w:endnoteRef/>
      </w:r>
      <w:r w:rsidRPr="0016306F">
        <w:rPr>
          <w:rFonts w:cs="Open Sans"/>
        </w:rPr>
        <w:t xml:space="preserve"> </w:t>
      </w:r>
      <w:r w:rsidR="004D2D3E" w:rsidRPr="0016306F">
        <w:rPr>
          <w:rFonts w:cs="Open Sans"/>
        </w:rPr>
        <w:t>Ibid</w:t>
      </w:r>
      <w:r w:rsidR="00C55877" w:rsidRPr="0016306F">
        <w:rPr>
          <w:rFonts w:cs="Open Sans"/>
        </w:rPr>
        <w:t xml:space="preserve"> </w:t>
      </w:r>
      <w:r w:rsidRPr="0016306F">
        <w:rPr>
          <w:rFonts w:cs="Open Sans"/>
        </w:rPr>
        <w:t>s 42.</w:t>
      </w:r>
    </w:p>
  </w:endnote>
  <w:endnote w:id="119">
    <w:p w14:paraId="0BFC4BCD" w14:textId="7CE61404" w:rsidR="00E56E4C" w:rsidRPr="0016306F" w:rsidRDefault="00E56E4C">
      <w:pPr>
        <w:pStyle w:val="EndnoteText"/>
        <w:rPr>
          <w:rFonts w:cs="Open Sans"/>
        </w:rPr>
      </w:pPr>
      <w:r w:rsidRPr="0016306F">
        <w:rPr>
          <w:rStyle w:val="EndnoteReference"/>
          <w:rFonts w:cs="Open Sans"/>
        </w:rPr>
        <w:endnoteRef/>
      </w:r>
      <w:r w:rsidRPr="0016306F">
        <w:rPr>
          <w:rFonts w:cs="Open Sans"/>
        </w:rPr>
        <w:t xml:space="preserve"> </w:t>
      </w:r>
      <w:r w:rsidR="004D2D3E" w:rsidRPr="0016306F">
        <w:rPr>
          <w:rFonts w:cs="Open Sans"/>
        </w:rPr>
        <w:t>Ibid</w:t>
      </w:r>
      <w:r w:rsidR="00C55877" w:rsidRPr="0016306F">
        <w:rPr>
          <w:rFonts w:cs="Open Sans"/>
        </w:rPr>
        <w:t xml:space="preserve"> </w:t>
      </w:r>
      <w:r w:rsidRPr="0016306F">
        <w:rPr>
          <w:rFonts w:cs="Open Sans"/>
        </w:rPr>
        <w:t>s</w:t>
      </w:r>
      <w:r w:rsidR="001E6180" w:rsidRPr="0016306F">
        <w:rPr>
          <w:rFonts w:cs="Open Sans"/>
        </w:rPr>
        <w:t xml:space="preserve">s 42(2), </w:t>
      </w:r>
      <w:r w:rsidR="00BB1316" w:rsidRPr="0016306F">
        <w:rPr>
          <w:rFonts w:cs="Open Sans"/>
        </w:rPr>
        <w:t>42</w:t>
      </w:r>
      <w:r w:rsidRPr="0016306F">
        <w:rPr>
          <w:rFonts w:cs="Open Sans"/>
        </w:rPr>
        <w:t>(4).</w:t>
      </w:r>
    </w:p>
  </w:endnote>
  <w:endnote w:id="120">
    <w:p w14:paraId="4E97B27D" w14:textId="6C34348A" w:rsidR="00ED507C" w:rsidRPr="0016306F" w:rsidRDefault="00ED507C">
      <w:pPr>
        <w:pStyle w:val="EndnoteText"/>
        <w:rPr>
          <w:rFonts w:cs="Open Sans"/>
        </w:rPr>
      </w:pPr>
      <w:r w:rsidRPr="0016306F">
        <w:rPr>
          <w:rStyle w:val="EndnoteReference"/>
          <w:rFonts w:cs="Open Sans"/>
        </w:rPr>
        <w:endnoteRef/>
      </w:r>
      <w:r w:rsidRPr="0016306F">
        <w:rPr>
          <w:rFonts w:cs="Open Sans"/>
        </w:rPr>
        <w:t xml:space="preserve"> </w:t>
      </w:r>
      <w:r w:rsidR="004D2D3E" w:rsidRPr="0016306F">
        <w:rPr>
          <w:rFonts w:cs="Open Sans"/>
        </w:rPr>
        <w:t>Ibid</w:t>
      </w:r>
      <w:r w:rsidR="00C55877" w:rsidRPr="0016306F">
        <w:rPr>
          <w:rFonts w:cs="Open Sans"/>
        </w:rPr>
        <w:t xml:space="preserve"> </w:t>
      </w:r>
      <w:r w:rsidRPr="0016306F">
        <w:rPr>
          <w:rFonts w:cs="Open Sans"/>
        </w:rPr>
        <w:t>s</w:t>
      </w:r>
      <w:r w:rsidR="00C456D3" w:rsidRPr="0016306F">
        <w:rPr>
          <w:rFonts w:cs="Open Sans"/>
        </w:rPr>
        <w:t xml:space="preserve"> 18. </w:t>
      </w:r>
    </w:p>
  </w:endnote>
  <w:endnote w:id="121">
    <w:p w14:paraId="76BD198F" w14:textId="5B47B29C" w:rsidR="00A02160" w:rsidRDefault="00A02160">
      <w:pPr>
        <w:pStyle w:val="EndnoteText"/>
      </w:pPr>
      <w:r w:rsidRPr="0016306F">
        <w:rPr>
          <w:rStyle w:val="EndnoteReference"/>
          <w:rFonts w:cs="Open Sans"/>
        </w:rPr>
        <w:endnoteRef/>
      </w:r>
      <w:r w:rsidR="004D2D3E" w:rsidRPr="0016306F">
        <w:rPr>
          <w:rFonts w:cs="Open Sans"/>
        </w:rPr>
        <w:t xml:space="preserve"> Ibid</w:t>
      </w:r>
      <w:r w:rsidR="00C55877" w:rsidRPr="0016306F">
        <w:rPr>
          <w:rFonts w:cs="Open Sans"/>
        </w:rPr>
        <w:t xml:space="preserve"> </w:t>
      </w:r>
      <w:r w:rsidR="00EF044D" w:rsidRPr="0016306F">
        <w:rPr>
          <w:rFonts w:cs="Open Sans"/>
        </w:rPr>
        <w:t>s</w:t>
      </w:r>
      <w:r w:rsidR="00CC6637" w:rsidRPr="0016306F">
        <w:rPr>
          <w:rFonts w:cs="Open Sans"/>
        </w:rPr>
        <w:t xml:space="preserve"> 37, pt 5</w:t>
      </w:r>
      <w:r w:rsidR="00F23BE4" w:rsidRPr="0016306F">
        <w:rPr>
          <w:rFonts w:cs="Open San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7FD5" w14:textId="77777777" w:rsidR="00AC636D" w:rsidRPr="000465F1" w:rsidRDefault="00AC636D" w:rsidP="000465F1">
    <w:pPr>
      <w:pStyle w:val="Footer"/>
    </w:pPr>
    <w:r w:rsidRPr="000465F1">
      <w:t>ABN 47 996 232 602</w:t>
    </w:r>
  </w:p>
  <w:p w14:paraId="3F8EF46E" w14:textId="77777777" w:rsidR="00AC636D" w:rsidRPr="000465F1" w:rsidRDefault="00AC636D" w:rsidP="000465F1">
    <w:pPr>
      <w:pStyle w:val="Footer"/>
    </w:pPr>
    <w:r w:rsidRPr="000465F1">
      <w:t>Level 3, 175 Pitt Street, Sydney NSW 2000</w:t>
    </w:r>
  </w:p>
  <w:p w14:paraId="6A4408EF" w14:textId="77777777" w:rsidR="00AC636D" w:rsidRPr="000465F1" w:rsidRDefault="00AC636D" w:rsidP="000465F1">
    <w:pPr>
      <w:pStyle w:val="Footer"/>
    </w:pPr>
    <w:r w:rsidRPr="000465F1">
      <w:t>GPO Box 5218, Sydney NSW 2001</w:t>
    </w:r>
  </w:p>
  <w:p w14:paraId="4F17A505" w14:textId="77777777" w:rsidR="00AC636D" w:rsidRPr="000465F1" w:rsidRDefault="00AC636D" w:rsidP="000465F1">
    <w:pPr>
      <w:pStyle w:val="Footer"/>
    </w:pPr>
    <w:r w:rsidRPr="000465F1">
      <w:t>General enquiries 1300 369 711</w:t>
    </w:r>
  </w:p>
  <w:p w14:paraId="592295BE" w14:textId="77777777" w:rsidR="00AC636D" w:rsidRPr="000465F1" w:rsidRDefault="00AC636D" w:rsidP="000465F1">
    <w:pPr>
      <w:pStyle w:val="Footer"/>
    </w:pPr>
    <w:r w:rsidRPr="000465F1">
      <w:t>Complaints info line 1300 656 419</w:t>
    </w:r>
  </w:p>
  <w:p w14:paraId="1ED78D91"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40"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283A"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06C8"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A803" w14:textId="77777777" w:rsidR="00820B9F" w:rsidRDefault="00820B9F" w:rsidP="00F14C6D">
      <w:r>
        <w:separator/>
      </w:r>
    </w:p>
  </w:footnote>
  <w:footnote w:type="continuationSeparator" w:id="0">
    <w:p w14:paraId="62CE0E8F" w14:textId="77777777" w:rsidR="00820B9F" w:rsidRDefault="00820B9F" w:rsidP="00F14C6D">
      <w:r>
        <w:continuationSeparator/>
      </w:r>
    </w:p>
  </w:footnote>
  <w:footnote w:type="continuationNotice" w:id="1">
    <w:p w14:paraId="36755B75" w14:textId="77777777" w:rsidR="00820B9F" w:rsidRDefault="00820B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AA1" w14:textId="77777777" w:rsidR="00BF6406" w:rsidRPr="000465F1" w:rsidRDefault="00000000" w:rsidP="000465F1">
    <w:pPr>
      <w:pStyle w:val="Header"/>
    </w:pPr>
    <w:r>
      <w:pict w14:anchorId="50BC0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4356BB63"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2D9" w14:textId="77777777" w:rsidR="00B34946" w:rsidRPr="000465F1" w:rsidRDefault="00000000" w:rsidP="000465F1">
    <w:r>
      <w:pict w14:anchorId="59242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6DA73225"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6AB2" w14:textId="77777777" w:rsidR="00CC2AA0" w:rsidRDefault="00000000" w:rsidP="002012F7">
    <w:pPr>
      <w:pStyle w:val="Header"/>
    </w:pPr>
    <w:r>
      <w:pict w14:anchorId="5A348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2C2F225F">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3B1EE5A9" w14:textId="77777777" w:rsidR="008B3899" w:rsidRDefault="008B3899" w:rsidP="002012F7">
    <w:pPr>
      <w:pStyle w:val="Header"/>
    </w:pPr>
  </w:p>
  <w:p w14:paraId="2B5D6AAC"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8EE5" w14:textId="77777777" w:rsidR="0015239E" w:rsidRPr="000465F1" w:rsidRDefault="0015239E" w:rsidP="0015239E">
    <w:pPr>
      <w:pStyle w:val="Header"/>
    </w:pPr>
    <w:r w:rsidRPr="000465F1">
      <w:t>Australian Human Rights Commission</w:t>
    </w:r>
  </w:p>
  <w:p w14:paraId="094D9C78" w14:textId="66D3CA98" w:rsidR="00C00733" w:rsidRPr="000465F1" w:rsidRDefault="00C00733" w:rsidP="00C00733">
    <w:pPr>
      <w:pStyle w:val="HeaderDocumentDate"/>
    </w:pPr>
    <w:r>
      <w:rPr>
        <w:rStyle w:val="HeaderDocumentTitle"/>
      </w:rPr>
      <w:t>Submission</w:t>
    </w:r>
    <w:r w:rsidRPr="001F62CC">
      <w:rPr>
        <w:rStyle w:val="HeaderDocumentTitle"/>
      </w:rPr>
      <w:t xml:space="preserve"> </w:t>
    </w:r>
    <w:r>
      <w:rPr>
        <w:rStyle w:val="HeaderDocumentTitle"/>
      </w:rPr>
      <w:t>title</w:t>
    </w:r>
    <w:r w:rsidRPr="001F62CC">
      <w:rPr>
        <w:rStyle w:val="HeaderDocumentTitle"/>
      </w:rPr>
      <w:t>,</w:t>
    </w:r>
    <w:r>
      <w:t xml:space="preserve"> </w:t>
    </w:r>
    <w:r>
      <w:fldChar w:fldCharType="begin"/>
    </w:r>
    <w:r>
      <w:instrText xml:space="preserve"> CREATEDATE  \@ "d MMMM yyyy"  \* MERGEFORMAT </w:instrText>
    </w:r>
    <w:r>
      <w:fldChar w:fldCharType="separate"/>
    </w:r>
    <w:r w:rsidR="00233515">
      <w:rPr>
        <w:noProof/>
      </w:rPr>
      <w:t>11 July 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2984" w14:textId="77777777" w:rsidR="00BF6406" w:rsidRPr="000465F1" w:rsidRDefault="00BF6406" w:rsidP="00CA5D90">
    <w:pPr>
      <w:pStyle w:val="Header"/>
    </w:pPr>
    <w:bookmarkStart w:id="36" w:name="_Hlk514672172"/>
    <w:bookmarkStart w:id="37" w:name="_Hlk514672173"/>
    <w:r w:rsidRPr="000465F1">
      <w:t>Australian Human Rights Commission</w:t>
    </w:r>
  </w:p>
  <w:bookmarkEnd w:id="36"/>
  <w:bookmarkEnd w:id="37"/>
  <w:p w14:paraId="739F5DCE" w14:textId="236C8147" w:rsidR="00C00733" w:rsidRPr="000465F1" w:rsidRDefault="00F766E1" w:rsidP="00F766E1">
    <w:pPr>
      <w:pStyle w:val="HeaderDocumentDate"/>
    </w:pPr>
    <w:r>
      <w:rPr>
        <w:rStyle w:val="HeaderDocumentTitle"/>
      </w:rPr>
      <w:t xml:space="preserve">Review of the Disability Standards for Accessible Public </w:t>
    </w:r>
    <w:r w:rsidRPr="007A4C0D">
      <w:rPr>
        <w:rStyle w:val="HeaderDocumentTitle"/>
      </w:rPr>
      <w:t>Transport</w:t>
    </w:r>
    <w:r w:rsidR="005E6D26">
      <w:rPr>
        <w:rStyle w:val="HeaderDocumentTitle"/>
      </w:rPr>
      <w:t xml:space="preserve"> 2002</w:t>
    </w:r>
    <w:r w:rsidRPr="007A4C0D">
      <w:rPr>
        <w:rStyle w:val="HeaderDocumentTitle"/>
      </w:rPr>
      <w:t>,</w:t>
    </w:r>
    <w:r w:rsidRPr="007A4C0D">
      <w:t xml:space="preserve"> </w:t>
    </w:r>
    <w:r w:rsidRPr="007A4C0D">
      <w:fldChar w:fldCharType="begin"/>
    </w:r>
    <w:r w:rsidRPr="007A4C0D">
      <w:instrText xml:space="preserve"> CREATEDATE  \@ "d MMMM yyyy"  \* MERGEFORMAT </w:instrText>
    </w:r>
    <w:r w:rsidRPr="007A4C0D">
      <w:fldChar w:fldCharType="separate"/>
    </w:r>
    <w:r w:rsidR="00233515">
      <w:rPr>
        <w:noProof/>
      </w:rPr>
      <w:t>11 July 2023</w:t>
    </w:r>
    <w:r w:rsidRPr="007A4C0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D11F" w14:textId="77777777" w:rsidR="0063009F" w:rsidRPr="000465F1" w:rsidRDefault="0063009F" w:rsidP="0063009F">
    <w:pPr>
      <w:pStyle w:val="Header"/>
    </w:pPr>
    <w:r w:rsidRPr="000465F1">
      <w:t>Australian Human Rights Commission</w:t>
    </w:r>
  </w:p>
  <w:p w14:paraId="35228102" w14:textId="427E78E8" w:rsidR="0063009F" w:rsidRPr="000465F1" w:rsidRDefault="00F924DA" w:rsidP="0063009F">
    <w:pPr>
      <w:pStyle w:val="HeaderDocumentDate"/>
    </w:pPr>
    <w:r>
      <w:rPr>
        <w:rStyle w:val="HeaderDocumentTitle"/>
      </w:rPr>
      <w:t>Review of the Disability Standards for Accessible Public Transport</w:t>
    </w:r>
    <w:r w:rsidR="005E6D26">
      <w:rPr>
        <w:rStyle w:val="HeaderDocumentTitle"/>
      </w:rPr>
      <w:t xml:space="preserve"> 2002</w:t>
    </w:r>
    <w:r w:rsidR="0063009F" w:rsidRPr="001F62CC">
      <w:rPr>
        <w:rStyle w:val="HeaderDocumentTitle"/>
      </w:rPr>
      <w:t>,</w:t>
    </w:r>
    <w:r w:rsidR="0063009F">
      <w:t xml:space="preserve"> </w:t>
    </w:r>
    <w:r w:rsidR="00650E26">
      <w:fldChar w:fldCharType="begin"/>
    </w:r>
    <w:r w:rsidR="00650E26">
      <w:instrText xml:space="preserve"> CREATEDATE  \@ "d MMMM yyyy"  \* MERGEFORMAT </w:instrText>
    </w:r>
    <w:r w:rsidR="00650E26">
      <w:fldChar w:fldCharType="separate"/>
    </w:r>
    <w:r w:rsidR="00233515">
      <w:rPr>
        <w:noProof/>
      </w:rPr>
      <w:t>11 July 2023</w:t>
    </w:r>
    <w:r w:rsidR="00650E2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EE03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08100DD"/>
    <w:multiLevelType w:val="hybridMultilevel"/>
    <w:tmpl w:val="FE0475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4D15C2"/>
    <w:multiLevelType w:val="hybridMultilevel"/>
    <w:tmpl w:val="B8B4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965D94"/>
    <w:multiLevelType w:val="hybridMultilevel"/>
    <w:tmpl w:val="5708386A"/>
    <w:lvl w:ilvl="0" w:tplc="B0482642">
      <w:start w:val="1"/>
      <w:numFmt w:val="lowerRoman"/>
      <w:lvlText w:val="%1."/>
      <w:lvlJc w:val="left"/>
      <w:pPr>
        <w:ind w:left="1080" w:hanging="720"/>
      </w:pPr>
      <w:rPr>
        <w:b w:val="0"/>
        <w:bCs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E06275"/>
    <w:multiLevelType w:val="hybridMultilevel"/>
    <w:tmpl w:val="C17E7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1BF4A92"/>
    <w:multiLevelType w:val="hybridMultilevel"/>
    <w:tmpl w:val="72A6A7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462E42"/>
    <w:multiLevelType w:val="hybridMultilevel"/>
    <w:tmpl w:val="C3F88DDA"/>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8" w15:restartNumberingAfterBreak="0">
    <w:nsid w:val="28810E52"/>
    <w:multiLevelType w:val="hybridMultilevel"/>
    <w:tmpl w:val="CBB46DA4"/>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A297D"/>
    <w:multiLevelType w:val="hybridMultilevel"/>
    <w:tmpl w:val="B4C45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022D1E"/>
    <w:multiLevelType w:val="hybridMultilevel"/>
    <w:tmpl w:val="12A6B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7C0BF5"/>
    <w:multiLevelType w:val="hybridMultilevel"/>
    <w:tmpl w:val="F172240C"/>
    <w:lvl w:ilvl="0" w:tplc="5666139A">
      <w:start w:val="1"/>
      <w:numFmt w:val="lowerLetter"/>
      <w:lvlText w:val="%1)"/>
      <w:lvlJc w:val="left"/>
      <w:pPr>
        <w:ind w:left="720" w:hanging="360"/>
      </w:pPr>
      <w:rPr>
        <w:rFonts w:ascii="Open Sans" w:hAnsi="Open Sans" w:cs="Open San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086715"/>
    <w:multiLevelType w:val="hybridMultilevel"/>
    <w:tmpl w:val="5AE0D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5B7519"/>
    <w:multiLevelType w:val="hybridMultilevel"/>
    <w:tmpl w:val="1E96E7D0"/>
    <w:lvl w:ilvl="0" w:tplc="CEC27DA0">
      <w:start w:val="1"/>
      <w:numFmt w:val="bullet"/>
      <w:lvlText w:val=""/>
      <w:lvlJc w:val="left"/>
      <w:pPr>
        <w:ind w:left="1440" w:hanging="360"/>
      </w:pPr>
      <w:rPr>
        <w:rFonts w:ascii="Symbol" w:hAnsi="Symbol"/>
      </w:rPr>
    </w:lvl>
    <w:lvl w:ilvl="1" w:tplc="D89C6CFA">
      <w:start w:val="1"/>
      <w:numFmt w:val="bullet"/>
      <w:lvlText w:val=""/>
      <w:lvlJc w:val="left"/>
      <w:pPr>
        <w:ind w:left="1440" w:hanging="360"/>
      </w:pPr>
      <w:rPr>
        <w:rFonts w:ascii="Symbol" w:hAnsi="Symbol"/>
      </w:rPr>
    </w:lvl>
    <w:lvl w:ilvl="2" w:tplc="1862D6C4">
      <w:start w:val="1"/>
      <w:numFmt w:val="bullet"/>
      <w:lvlText w:val=""/>
      <w:lvlJc w:val="left"/>
      <w:pPr>
        <w:ind w:left="1440" w:hanging="360"/>
      </w:pPr>
      <w:rPr>
        <w:rFonts w:ascii="Symbol" w:hAnsi="Symbol"/>
      </w:rPr>
    </w:lvl>
    <w:lvl w:ilvl="3" w:tplc="D2769EC8">
      <w:start w:val="1"/>
      <w:numFmt w:val="bullet"/>
      <w:lvlText w:val=""/>
      <w:lvlJc w:val="left"/>
      <w:pPr>
        <w:ind w:left="1440" w:hanging="360"/>
      </w:pPr>
      <w:rPr>
        <w:rFonts w:ascii="Symbol" w:hAnsi="Symbol"/>
      </w:rPr>
    </w:lvl>
    <w:lvl w:ilvl="4" w:tplc="F8547884">
      <w:start w:val="1"/>
      <w:numFmt w:val="bullet"/>
      <w:lvlText w:val=""/>
      <w:lvlJc w:val="left"/>
      <w:pPr>
        <w:ind w:left="1440" w:hanging="360"/>
      </w:pPr>
      <w:rPr>
        <w:rFonts w:ascii="Symbol" w:hAnsi="Symbol"/>
      </w:rPr>
    </w:lvl>
    <w:lvl w:ilvl="5" w:tplc="EA78B206">
      <w:start w:val="1"/>
      <w:numFmt w:val="bullet"/>
      <w:lvlText w:val=""/>
      <w:lvlJc w:val="left"/>
      <w:pPr>
        <w:ind w:left="1440" w:hanging="360"/>
      </w:pPr>
      <w:rPr>
        <w:rFonts w:ascii="Symbol" w:hAnsi="Symbol"/>
      </w:rPr>
    </w:lvl>
    <w:lvl w:ilvl="6" w:tplc="44386644">
      <w:start w:val="1"/>
      <w:numFmt w:val="bullet"/>
      <w:lvlText w:val=""/>
      <w:lvlJc w:val="left"/>
      <w:pPr>
        <w:ind w:left="1440" w:hanging="360"/>
      </w:pPr>
      <w:rPr>
        <w:rFonts w:ascii="Symbol" w:hAnsi="Symbol"/>
      </w:rPr>
    </w:lvl>
    <w:lvl w:ilvl="7" w:tplc="C402FB96">
      <w:start w:val="1"/>
      <w:numFmt w:val="bullet"/>
      <w:lvlText w:val=""/>
      <w:lvlJc w:val="left"/>
      <w:pPr>
        <w:ind w:left="1440" w:hanging="360"/>
      </w:pPr>
      <w:rPr>
        <w:rFonts w:ascii="Symbol" w:hAnsi="Symbol"/>
      </w:rPr>
    </w:lvl>
    <w:lvl w:ilvl="8" w:tplc="60225D5C">
      <w:start w:val="1"/>
      <w:numFmt w:val="bullet"/>
      <w:lvlText w:val=""/>
      <w:lvlJc w:val="left"/>
      <w:pPr>
        <w:ind w:left="1440" w:hanging="360"/>
      </w:pPr>
      <w:rPr>
        <w:rFonts w:ascii="Symbol" w:hAnsi="Symbol"/>
      </w:rPr>
    </w:lvl>
  </w:abstractNum>
  <w:abstractNum w:abstractNumId="24" w15:restartNumberingAfterBreak="0">
    <w:nsid w:val="3E905CDA"/>
    <w:multiLevelType w:val="hybridMultilevel"/>
    <w:tmpl w:val="A4E20E0E"/>
    <w:lvl w:ilvl="0" w:tplc="8EDC071C">
      <w:start w:val="1"/>
      <w:numFmt w:val="decimal"/>
      <w:lvlText w:val="%1."/>
      <w:lvlJc w:val="left"/>
      <w:pPr>
        <w:ind w:left="720" w:hanging="360"/>
      </w:pPr>
    </w:lvl>
    <w:lvl w:ilvl="1" w:tplc="07F6D9F8">
      <w:start w:val="1"/>
      <w:numFmt w:val="decimal"/>
      <w:lvlText w:val="%2."/>
      <w:lvlJc w:val="left"/>
      <w:pPr>
        <w:ind w:left="720" w:hanging="360"/>
      </w:pPr>
    </w:lvl>
    <w:lvl w:ilvl="2" w:tplc="924E30B8">
      <w:start w:val="1"/>
      <w:numFmt w:val="decimal"/>
      <w:lvlText w:val="%3."/>
      <w:lvlJc w:val="left"/>
      <w:pPr>
        <w:ind w:left="720" w:hanging="360"/>
      </w:pPr>
    </w:lvl>
    <w:lvl w:ilvl="3" w:tplc="7C786C0E">
      <w:start w:val="1"/>
      <w:numFmt w:val="decimal"/>
      <w:lvlText w:val="%4."/>
      <w:lvlJc w:val="left"/>
      <w:pPr>
        <w:ind w:left="720" w:hanging="360"/>
      </w:pPr>
    </w:lvl>
    <w:lvl w:ilvl="4" w:tplc="F7EA90DA">
      <w:start w:val="1"/>
      <w:numFmt w:val="decimal"/>
      <w:lvlText w:val="%5."/>
      <w:lvlJc w:val="left"/>
      <w:pPr>
        <w:ind w:left="720" w:hanging="360"/>
      </w:pPr>
    </w:lvl>
    <w:lvl w:ilvl="5" w:tplc="85AEC4D8">
      <w:start w:val="1"/>
      <w:numFmt w:val="decimal"/>
      <w:lvlText w:val="%6."/>
      <w:lvlJc w:val="left"/>
      <w:pPr>
        <w:ind w:left="720" w:hanging="360"/>
      </w:pPr>
    </w:lvl>
    <w:lvl w:ilvl="6" w:tplc="232495D4">
      <w:start w:val="1"/>
      <w:numFmt w:val="decimal"/>
      <w:lvlText w:val="%7."/>
      <w:lvlJc w:val="left"/>
      <w:pPr>
        <w:ind w:left="720" w:hanging="360"/>
      </w:pPr>
    </w:lvl>
    <w:lvl w:ilvl="7" w:tplc="85C69070">
      <w:start w:val="1"/>
      <w:numFmt w:val="decimal"/>
      <w:lvlText w:val="%8."/>
      <w:lvlJc w:val="left"/>
      <w:pPr>
        <w:ind w:left="720" w:hanging="360"/>
      </w:pPr>
    </w:lvl>
    <w:lvl w:ilvl="8" w:tplc="80BAC4CE">
      <w:start w:val="1"/>
      <w:numFmt w:val="decimal"/>
      <w:lvlText w:val="%9."/>
      <w:lvlJc w:val="left"/>
      <w:pPr>
        <w:ind w:left="720" w:hanging="360"/>
      </w:p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05480D"/>
    <w:multiLevelType w:val="hybridMultilevel"/>
    <w:tmpl w:val="A1944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83EAE"/>
    <w:multiLevelType w:val="hybridMultilevel"/>
    <w:tmpl w:val="C3960732"/>
    <w:lvl w:ilvl="0" w:tplc="380A394C">
      <w:start w:val="1"/>
      <w:numFmt w:val="decimal"/>
      <w:lvlText w:val="%1."/>
      <w:lvlJc w:val="left"/>
      <w:pPr>
        <w:ind w:left="720" w:hanging="360"/>
      </w:pPr>
      <w:rPr>
        <w:b w:val="0"/>
        <w:bCs w:val="0"/>
      </w:rPr>
    </w:lvl>
    <w:lvl w:ilvl="1" w:tplc="8720393E">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270CD7"/>
    <w:multiLevelType w:val="hybridMultilevel"/>
    <w:tmpl w:val="76FACD86"/>
    <w:lvl w:ilvl="0" w:tplc="4BBE49BE">
      <w:start w:val="1"/>
      <w:numFmt w:val="bullet"/>
      <w:lvlText w:val=""/>
      <w:lvlJc w:val="left"/>
      <w:pPr>
        <w:ind w:left="1440" w:hanging="360"/>
      </w:pPr>
      <w:rPr>
        <w:rFonts w:ascii="Symbol" w:hAnsi="Symbol"/>
      </w:rPr>
    </w:lvl>
    <w:lvl w:ilvl="1" w:tplc="5524ABF8">
      <w:start w:val="1"/>
      <w:numFmt w:val="bullet"/>
      <w:lvlText w:val=""/>
      <w:lvlJc w:val="left"/>
      <w:pPr>
        <w:ind w:left="1440" w:hanging="360"/>
      </w:pPr>
      <w:rPr>
        <w:rFonts w:ascii="Symbol" w:hAnsi="Symbol"/>
      </w:rPr>
    </w:lvl>
    <w:lvl w:ilvl="2" w:tplc="FA702B16">
      <w:start w:val="1"/>
      <w:numFmt w:val="bullet"/>
      <w:lvlText w:val=""/>
      <w:lvlJc w:val="left"/>
      <w:pPr>
        <w:ind w:left="1440" w:hanging="360"/>
      </w:pPr>
      <w:rPr>
        <w:rFonts w:ascii="Symbol" w:hAnsi="Symbol"/>
      </w:rPr>
    </w:lvl>
    <w:lvl w:ilvl="3" w:tplc="64A220BA">
      <w:start w:val="1"/>
      <w:numFmt w:val="bullet"/>
      <w:lvlText w:val=""/>
      <w:lvlJc w:val="left"/>
      <w:pPr>
        <w:ind w:left="1440" w:hanging="360"/>
      </w:pPr>
      <w:rPr>
        <w:rFonts w:ascii="Symbol" w:hAnsi="Symbol"/>
      </w:rPr>
    </w:lvl>
    <w:lvl w:ilvl="4" w:tplc="0932308E">
      <w:start w:val="1"/>
      <w:numFmt w:val="bullet"/>
      <w:lvlText w:val=""/>
      <w:lvlJc w:val="left"/>
      <w:pPr>
        <w:ind w:left="1440" w:hanging="360"/>
      </w:pPr>
      <w:rPr>
        <w:rFonts w:ascii="Symbol" w:hAnsi="Symbol"/>
      </w:rPr>
    </w:lvl>
    <w:lvl w:ilvl="5" w:tplc="3AA41FCA">
      <w:start w:val="1"/>
      <w:numFmt w:val="bullet"/>
      <w:lvlText w:val=""/>
      <w:lvlJc w:val="left"/>
      <w:pPr>
        <w:ind w:left="1440" w:hanging="360"/>
      </w:pPr>
      <w:rPr>
        <w:rFonts w:ascii="Symbol" w:hAnsi="Symbol"/>
      </w:rPr>
    </w:lvl>
    <w:lvl w:ilvl="6" w:tplc="0D42E560">
      <w:start w:val="1"/>
      <w:numFmt w:val="bullet"/>
      <w:lvlText w:val=""/>
      <w:lvlJc w:val="left"/>
      <w:pPr>
        <w:ind w:left="1440" w:hanging="360"/>
      </w:pPr>
      <w:rPr>
        <w:rFonts w:ascii="Symbol" w:hAnsi="Symbol"/>
      </w:rPr>
    </w:lvl>
    <w:lvl w:ilvl="7" w:tplc="4F7E00D4">
      <w:start w:val="1"/>
      <w:numFmt w:val="bullet"/>
      <w:lvlText w:val=""/>
      <w:lvlJc w:val="left"/>
      <w:pPr>
        <w:ind w:left="1440" w:hanging="360"/>
      </w:pPr>
      <w:rPr>
        <w:rFonts w:ascii="Symbol" w:hAnsi="Symbol"/>
      </w:rPr>
    </w:lvl>
    <w:lvl w:ilvl="8" w:tplc="2C2C065C">
      <w:start w:val="1"/>
      <w:numFmt w:val="bullet"/>
      <w:lvlText w:val=""/>
      <w:lvlJc w:val="left"/>
      <w:pPr>
        <w:ind w:left="1440" w:hanging="360"/>
      </w:pPr>
      <w:rPr>
        <w:rFonts w:ascii="Symbol" w:hAnsi="Symbol"/>
      </w:rPr>
    </w:lvl>
  </w:abstractNum>
  <w:abstractNum w:abstractNumId="29" w15:restartNumberingAfterBreak="0">
    <w:nsid w:val="47E02CA7"/>
    <w:multiLevelType w:val="hybridMultilevel"/>
    <w:tmpl w:val="5AE0D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2C75AF0"/>
    <w:multiLevelType w:val="hybridMultilevel"/>
    <w:tmpl w:val="BF00EEC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3" w15:restartNumberingAfterBreak="0">
    <w:nsid w:val="52F841B4"/>
    <w:multiLevelType w:val="hybridMultilevel"/>
    <w:tmpl w:val="A58EDC6E"/>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4" w15:restartNumberingAfterBreak="0">
    <w:nsid w:val="57437BAB"/>
    <w:multiLevelType w:val="hybridMultilevel"/>
    <w:tmpl w:val="E7461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BC6B71"/>
    <w:multiLevelType w:val="hybridMultilevel"/>
    <w:tmpl w:val="49D61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F96105"/>
    <w:multiLevelType w:val="hybridMultilevel"/>
    <w:tmpl w:val="87A8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F051F3"/>
    <w:multiLevelType w:val="hybridMultilevel"/>
    <w:tmpl w:val="594AE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923CFB"/>
    <w:multiLevelType w:val="hybridMultilevel"/>
    <w:tmpl w:val="5A6A1782"/>
    <w:lvl w:ilvl="0" w:tplc="5C5825C2">
      <w:start w:val="1"/>
      <w:numFmt w:val="lowerRoman"/>
      <w:lvlText w:val="%1."/>
      <w:lvlJc w:val="right"/>
      <w:pPr>
        <w:ind w:left="1780" w:hanging="360"/>
      </w:pPr>
    </w:lvl>
    <w:lvl w:ilvl="1" w:tplc="03529DF4">
      <w:start w:val="1"/>
      <w:numFmt w:val="lowerRoman"/>
      <w:lvlText w:val="%2."/>
      <w:lvlJc w:val="right"/>
      <w:pPr>
        <w:ind w:left="1780" w:hanging="360"/>
      </w:pPr>
    </w:lvl>
    <w:lvl w:ilvl="2" w:tplc="3BD83400">
      <w:start w:val="1"/>
      <w:numFmt w:val="lowerRoman"/>
      <w:lvlText w:val="%3."/>
      <w:lvlJc w:val="right"/>
      <w:pPr>
        <w:ind w:left="1780" w:hanging="360"/>
      </w:pPr>
    </w:lvl>
    <w:lvl w:ilvl="3" w:tplc="34A4F63C">
      <w:start w:val="1"/>
      <w:numFmt w:val="lowerRoman"/>
      <w:lvlText w:val="%4."/>
      <w:lvlJc w:val="right"/>
      <w:pPr>
        <w:ind w:left="1780" w:hanging="360"/>
      </w:pPr>
    </w:lvl>
    <w:lvl w:ilvl="4" w:tplc="F3ACA12A">
      <w:start w:val="1"/>
      <w:numFmt w:val="lowerRoman"/>
      <w:lvlText w:val="%5."/>
      <w:lvlJc w:val="right"/>
      <w:pPr>
        <w:ind w:left="1780" w:hanging="360"/>
      </w:pPr>
    </w:lvl>
    <w:lvl w:ilvl="5" w:tplc="45729948">
      <w:start w:val="1"/>
      <w:numFmt w:val="lowerRoman"/>
      <w:lvlText w:val="%6."/>
      <w:lvlJc w:val="right"/>
      <w:pPr>
        <w:ind w:left="1780" w:hanging="360"/>
      </w:pPr>
    </w:lvl>
    <w:lvl w:ilvl="6" w:tplc="C83A060E">
      <w:start w:val="1"/>
      <w:numFmt w:val="lowerRoman"/>
      <w:lvlText w:val="%7."/>
      <w:lvlJc w:val="right"/>
      <w:pPr>
        <w:ind w:left="1780" w:hanging="360"/>
      </w:pPr>
    </w:lvl>
    <w:lvl w:ilvl="7" w:tplc="A7002082">
      <w:start w:val="1"/>
      <w:numFmt w:val="lowerRoman"/>
      <w:lvlText w:val="%8."/>
      <w:lvlJc w:val="right"/>
      <w:pPr>
        <w:ind w:left="1780" w:hanging="360"/>
      </w:pPr>
    </w:lvl>
    <w:lvl w:ilvl="8" w:tplc="70BEBAA4">
      <w:start w:val="1"/>
      <w:numFmt w:val="lowerRoman"/>
      <w:lvlText w:val="%9."/>
      <w:lvlJc w:val="right"/>
      <w:pPr>
        <w:ind w:left="1780" w:hanging="360"/>
      </w:pPr>
    </w:lvl>
  </w:abstractNum>
  <w:abstractNum w:abstractNumId="39" w15:restartNumberingAfterBreak="0">
    <w:nsid w:val="7A265781"/>
    <w:multiLevelType w:val="hybridMultilevel"/>
    <w:tmpl w:val="72A6A7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F44283"/>
    <w:multiLevelType w:val="hybridMultilevel"/>
    <w:tmpl w:val="1CCC0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2434796">
    <w:abstractNumId w:val="30"/>
  </w:num>
  <w:num w:numId="2" w16cid:durableId="1100182615">
    <w:abstractNumId w:val="9"/>
  </w:num>
  <w:num w:numId="3" w16cid:durableId="1049763508">
    <w:abstractNumId w:val="7"/>
  </w:num>
  <w:num w:numId="4" w16cid:durableId="724531187">
    <w:abstractNumId w:val="6"/>
  </w:num>
  <w:num w:numId="5" w16cid:durableId="1241719907">
    <w:abstractNumId w:val="5"/>
  </w:num>
  <w:num w:numId="6" w16cid:durableId="1761561526">
    <w:abstractNumId w:val="4"/>
  </w:num>
  <w:num w:numId="7" w16cid:durableId="717514257">
    <w:abstractNumId w:val="8"/>
  </w:num>
  <w:num w:numId="8" w16cid:durableId="1063523949">
    <w:abstractNumId w:val="1"/>
  </w:num>
  <w:num w:numId="9" w16cid:durableId="1253853525">
    <w:abstractNumId w:val="0"/>
  </w:num>
  <w:num w:numId="10" w16cid:durableId="531647266">
    <w:abstractNumId w:val="3"/>
  </w:num>
  <w:num w:numId="11" w16cid:durableId="189732893">
    <w:abstractNumId w:val="2"/>
  </w:num>
  <w:num w:numId="12" w16cid:durableId="1714236294">
    <w:abstractNumId w:val="31"/>
  </w:num>
  <w:num w:numId="13" w16cid:durableId="397821544">
    <w:abstractNumId w:val="25"/>
  </w:num>
  <w:num w:numId="14" w16cid:durableId="1864317886">
    <w:abstractNumId w:val="15"/>
  </w:num>
  <w:num w:numId="15" w16cid:durableId="1330598284">
    <w:abstractNumId w:val="14"/>
  </w:num>
  <w:num w:numId="16" w16cid:durableId="297034335">
    <w:abstractNumId w:val="19"/>
  </w:num>
  <w:num w:numId="17" w16cid:durableId="1024787789">
    <w:abstractNumId w:val="13"/>
  </w:num>
  <w:num w:numId="18" w16cid:durableId="2241827">
    <w:abstractNumId w:val="11"/>
  </w:num>
  <w:num w:numId="19" w16cid:durableId="1453354444">
    <w:abstractNumId w:val="40"/>
  </w:num>
  <w:num w:numId="20" w16cid:durableId="1733384503">
    <w:abstractNumId w:val="35"/>
  </w:num>
  <w:num w:numId="21" w16cid:durableId="1700156519">
    <w:abstractNumId w:val="26"/>
  </w:num>
  <w:num w:numId="22" w16cid:durableId="946696906">
    <w:abstractNumId w:val="39"/>
  </w:num>
  <w:num w:numId="23" w16cid:durableId="962617656">
    <w:abstractNumId w:val="37"/>
  </w:num>
  <w:num w:numId="24" w16cid:durableId="494028889">
    <w:abstractNumId w:val="20"/>
  </w:num>
  <w:num w:numId="25" w16cid:durableId="1977252590">
    <w:abstractNumId w:val="32"/>
  </w:num>
  <w:num w:numId="26" w16cid:durableId="583300633">
    <w:abstractNumId w:val="18"/>
  </w:num>
  <w:num w:numId="27" w16cid:durableId="1456682380">
    <w:abstractNumId w:val="10"/>
  </w:num>
  <w:num w:numId="28" w16cid:durableId="1062169241">
    <w:abstractNumId w:val="21"/>
  </w:num>
  <w:num w:numId="29" w16cid:durableId="1651013718">
    <w:abstractNumId w:val="29"/>
  </w:num>
  <w:num w:numId="30" w16cid:durableId="1467502766">
    <w:abstractNumId w:val="36"/>
  </w:num>
  <w:num w:numId="31" w16cid:durableId="38744274">
    <w:abstractNumId w:val="17"/>
  </w:num>
  <w:num w:numId="32" w16cid:durableId="1410081224">
    <w:abstractNumId w:val="24"/>
  </w:num>
  <w:num w:numId="33" w16cid:durableId="611862251">
    <w:abstractNumId w:val="28"/>
  </w:num>
  <w:num w:numId="34" w16cid:durableId="251401705">
    <w:abstractNumId w:val="27"/>
  </w:num>
  <w:num w:numId="35" w16cid:durableId="666905835">
    <w:abstractNumId w:val="34"/>
  </w:num>
  <w:num w:numId="36" w16cid:durableId="343555365">
    <w:abstractNumId w:val="23"/>
  </w:num>
  <w:num w:numId="37" w16cid:durableId="1703433640">
    <w:abstractNumId w:val="38"/>
  </w:num>
  <w:num w:numId="38" w16cid:durableId="1428382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0540611">
    <w:abstractNumId w:val="12"/>
  </w:num>
  <w:num w:numId="40" w16cid:durableId="1599875563">
    <w:abstractNumId w:val="33"/>
  </w:num>
  <w:num w:numId="41" w16cid:durableId="126624690">
    <w:abstractNumId w:val="16"/>
  </w:num>
  <w:num w:numId="42" w16cid:durableId="1252622047">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DA"/>
    <w:rsid w:val="00000C0C"/>
    <w:rsid w:val="00001167"/>
    <w:rsid w:val="000015EC"/>
    <w:rsid w:val="00001BF3"/>
    <w:rsid w:val="00002842"/>
    <w:rsid w:val="00003EA5"/>
    <w:rsid w:val="00004B17"/>
    <w:rsid w:val="00004BFD"/>
    <w:rsid w:val="00005891"/>
    <w:rsid w:val="00005CF4"/>
    <w:rsid w:val="00005E17"/>
    <w:rsid w:val="00006A7E"/>
    <w:rsid w:val="00006D4D"/>
    <w:rsid w:val="00011908"/>
    <w:rsid w:val="00011EFF"/>
    <w:rsid w:val="00012606"/>
    <w:rsid w:val="000129DD"/>
    <w:rsid w:val="00013202"/>
    <w:rsid w:val="00013C13"/>
    <w:rsid w:val="00014993"/>
    <w:rsid w:val="00015BB9"/>
    <w:rsid w:val="00015D36"/>
    <w:rsid w:val="0001617D"/>
    <w:rsid w:val="000161C2"/>
    <w:rsid w:val="00016BB3"/>
    <w:rsid w:val="00016CBD"/>
    <w:rsid w:val="00017883"/>
    <w:rsid w:val="000205AC"/>
    <w:rsid w:val="00020747"/>
    <w:rsid w:val="00020ABB"/>
    <w:rsid w:val="00020CF1"/>
    <w:rsid w:val="00021694"/>
    <w:rsid w:val="000218F4"/>
    <w:rsid w:val="00021CCC"/>
    <w:rsid w:val="000227CB"/>
    <w:rsid w:val="0002338A"/>
    <w:rsid w:val="00023F93"/>
    <w:rsid w:val="0002476A"/>
    <w:rsid w:val="00025149"/>
    <w:rsid w:val="000252BA"/>
    <w:rsid w:val="000253A2"/>
    <w:rsid w:val="0002549C"/>
    <w:rsid w:val="00025D4A"/>
    <w:rsid w:val="00026A1B"/>
    <w:rsid w:val="000275F9"/>
    <w:rsid w:val="000279E2"/>
    <w:rsid w:val="00027C3C"/>
    <w:rsid w:val="00031B39"/>
    <w:rsid w:val="00032DE1"/>
    <w:rsid w:val="00033D15"/>
    <w:rsid w:val="0003426E"/>
    <w:rsid w:val="000343D3"/>
    <w:rsid w:val="0003519F"/>
    <w:rsid w:val="00035390"/>
    <w:rsid w:val="00035BEC"/>
    <w:rsid w:val="00036AC5"/>
    <w:rsid w:val="00036BE4"/>
    <w:rsid w:val="000371B2"/>
    <w:rsid w:val="000406A9"/>
    <w:rsid w:val="00040B1D"/>
    <w:rsid w:val="00042654"/>
    <w:rsid w:val="00042ADA"/>
    <w:rsid w:val="000430B8"/>
    <w:rsid w:val="00044671"/>
    <w:rsid w:val="00045712"/>
    <w:rsid w:val="00045C4B"/>
    <w:rsid w:val="00045FF1"/>
    <w:rsid w:val="000460F5"/>
    <w:rsid w:val="000464C8"/>
    <w:rsid w:val="000465F1"/>
    <w:rsid w:val="00046C6A"/>
    <w:rsid w:val="000477A4"/>
    <w:rsid w:val="000502F4"/>
    <w:rsid w:val="00050A22"/>
    <w:rsid w:val="00051483"/>
    <w:rsid w:val="00051612"/>
    <w:rsid w:val="0005199C"/>
    <w:rsid w:val="00051C5D"/>
    <w:rsid w:val="00052838"/>
    <w:rsid w:val="00052A93"/>
    <w:rsid w:val="0005315C"/>
    <w:rsid w:val="000531A6"/>
    <w:rsid w:val="000548C5"/>
    <w:rsid w:val="00055B11"/>
    <w:rsid w:val="000561D6"/>
    <w:rsid w:val="00056D34"/>
    <w:rsid w:val="0005728B"/>
    <w:rsid w:val="000579B1"/>
    <w:rsid w:val="0006097F"/>
    <w:rsid w:val="0006147D"/>
    <w:rsid w:val="00061C6C"/>
    <w:rsid w:val="00061EAF"/>
    <w:rsid w:val="000620FA"/>
    <w:rsid w:val="0006316D"/>
    <w:rsid w:val="00063339"/>
    <w:rsid w:val="00064884"/>
    <w:rsid w:val="00064FCF"/>
    <w:rsid w:val="0006510F"/>
    <w:rsid w:val="0006512F"/>
    <w:rsid w:val="00066884"/>
    <w:rsid w:val="00066BA0"/>
    <w:rsid w:val="00070CDA"/>
    <w:rsid w:val="00072EDA"/>
    <w:rsid w:val="00073781"/>
    <w:rsid w:val="00074721"/>
    <w:rsid w:val="000759B2"/>
    <w:rsid w:val="00076154"/>
    <w:rsid w:val="00076333"/>
    <w:rsid w:val="00076CAF"/>
    <w:rsid w:val="00076F1F"/>
    <w:rsid w:val="000802E6"/>
    <w:rsid w:val="00080C9A"/>
    <w:rsid w:val="00080D62"/>
    <w:rsid w:val="00080F31"/>
    <w:rsid w:val="00081E12"/>
    <w:rsid w:val="0008271B"/>
    <w:rsid w:val="000834AB"/>
    <w:rsid w:val="00084C9B"/>
    <w:rsid w:val="00084D39"/>
    <w:rsid w:val="0008612D"/>
    <w:rsid w:val="00086458"/>
    <w:rsid w:val="0008648A"/>
    <w:rsid w:val="0008731D"/>
    <w:rsid w:val="0009016D"/>
    <w:rsid w:val="00090432"/>
    <w:rsid w:val="000904B3"/>
    <w:rsid w:val="000908CF"/>
    <w:rsid w:val="000916C6"/>
    <w:rsid w:val="00091AEA"/>
    <w:rsid w:val="0009413F"/>
    <w:rsid w:val="000954A4"/>
    <w:rsid w:val="00095829"/>
    <w:rsid w:val="000A060A"/>
    <w:rsid w:val="000A08D4"/>
    <w:rsid w:val="000A0F17"/>
    <w:rsid w:val="000A12FD"/>
    <w:rsid w:val="000A1DB8"/>
    <w:rsid w:val="000A2A93"/>
    <w:rsid w:val="000A310C"/>
    <w:rsid w:val="000A3B08"/>
    <w:rsid w:val="000A3BD7"/>
    <w:rsid w:val="000A480B"/>
    <w:rsid w:val="000A48AC"/>
    <w:rsid w:val="000A510F"/>
    <w:rsid w:val="000A520E"/>
    <w:rsid w:val="000A6182"/>
    <w:rsid w:val="000A74F4"/>
    <w:rsid w:val="000B0387"/>
    <w:rsid w:val="000B0603"/>
    <w:rsid w:val="000B0A5D"/>
    <w:rsid w:val="000B0C60"/>
    <w:rsid w:val="000B2138"/>
    <w:rsid w:val="000B293D"/>
    <w:rsid w:val="000B2D24"/>
    <w:rsid w:val="000B332D"/>
    <w:rsid w:val="000B35B7"/>
    <w:rsid w:val="000B445E"/>
    <w:rsid w:val="000B4BC5"/>
    <w:rsid w:val="000B53A1"/>
    <w:rsid w:val="000B59B3"/>
    <w:rsid w:val="000B5B68"/>
    <w:rsid w:val="000B5BAA"/>
    <w:rsid w:val="000B5CAB"/>
    <w:rsid w:val="000B7126"/>
    <w:rsid w:val="000C024D"/>
    <w:rsid w:val="000C23C7"/>
    <w:rsid w:val="000C27B0"/>
    <w:rsid w:val="000C29DC"/>
    <w:rsid w:val="000C3075"/>
    <w:rsid w:val="000C38D4"/>
    <w:rsid w:val="000C4BD0"/>
    <w:rsid w:val="000C4F57"/>
    <w:rsid w:val="000C5608"/>
    <w:rsid w:val="000C5DA6"/>
    <w:rsid w:val="000C718F"/>
    <w:rsid w:val="000C76F9"/>
    <w:rsid w:val="000C797D"/>
    <w:rsid w:val="000D07D0"/>
    <w:rsid w:val="000D1173"/>
    <w:rsid w:val="000D1179"/>
    <w:rsid w:val="000D1342"/>
    <w:rsid w:val="000D1E73"/>
    <w:rsid w:val="000D253D"/>
    <w:rsid w:val="000D3159"/>
    <w:rsid w:val="000D43EA"/>
    <w:rsid w:val="000D49A5"/>
    <w:rsid w:val="000D4B2F"/>
    <w:rsid w:val="000D4FC1"/>
    <w:rsid w:val="000D5E41"/>
    <w:rsid w:val="000D64AD"/>
    <w:rsid w:val="000D6834"/>
    <w:rsid w:val="000E06F9"/>
    <w:rsid w:val="000E0A16"/>
    <w:rsid w:val="000E0D88"/>
    <w:rsid w:val="000E130A"/>
    <w:rsid w:val="000E187A"/>
    <w:rsid w:val="000E3A78"/>
    <w:rsid w:val="000E4D04"/>
    <w:rsid w:val="000E4EFB"/>
    <w:rsid w:val="000E582A"/>
    <w:rsid w:val="000E6122"/>
    <w:rsid w:val="000E6A61"/>
    <w:rsid w:val="000E6C9F"/>
    <w:rsid w:val="000E7375"/>
    <w:rsid w:val="000E7B53"/>
    <w:rsid w:val="000F04B5"/>
    <w:rsid w:val="000F0C8E"/>
    <w:rsid w:val="000F0E9F"/>
    <w:rsid w:val="000F184F"/>
    <w:rsid w:val="000F2058"/>
    <w:rsid w:val="000F2D9B"/>
    <w:rsid w:val="000F4679"/>
    <w:rsid w:val="000F4A25"/>
    <w:rsid w:val="000F4D4A"/>
    <w:rsid w:val="000F5B4F"/>
    <w:rsid w:val="000F5C7E"/>
    <w:rsid w:val="000F5D35"/>
    <w:rsid w:val="000F6062"/>
    <w:rsid w:val="000F67A8"/>
    <w:rsid w:val="000F702A"/>
    <w:rsid w:val="000F766A"/>
    <w:rsid w:val="00100105"/>
    <w:rsid w:val="001001AE"/>
    <w:rsid w:val="0010189C"/>
    <w:rsid w:val="00101DE1"/>
    <w:rsid w:val="0010247C"/>
    <w:rsid w:val="001028C1"/>
    <w:rsid w:val="00102A7E"/>
    <w:rsid w:val="00103AE5"/>
    <w:rsid w:val="00103C38"/>
    <w:rsid w:val="00104A4C"/>
    <w:rsid w:val="00104A78"/>
    <w:rsid w:val="00104FD0"/>
    <w:rsid w:val="00106522"/>
    <w:rsid w:val="001066E4"/>
    <w:rsid w:val="00106D24"/>
    <w:rsid w:val="00106DB1"/>
    <w:rsid w:val="00106FBD"/>
    <w:rsid w:val="00107E81"/>
    <w:rsid w:val="00110965"/>
    <w:rsid w:val="00111BBE"/>
    <w:rsid w:val="00111D93"/>
    <w:rsid w:val="00112D78"/>
    <w:rsid w:val="00112F3C"/>
    <w:rsid w:val="001134BE"/>
    <w:rsid w:val="00114B9C"/>
    <w:rsid w:val="00114FD9"/>
    <w:rsid w:val="001157CD"/>
    <w:rsid w:val="001158C5"/>
    <w:rsid w:val="00115966"/>
    <w:rsid w:val="00116C09"/>
    <w:rsid w:val="00116C1F"/>
    <w:rsid w:val="00116CB9"/>
    <w:rsid w:val="00117F2A"/>
    <w:rsid w:val="00121667"/>
    <w:rsid w:val="00122569"/>
    <w:rsid w:val="001226F3"/>
    <w:rsid w:val="0012307D"/>
    <w:rsid w:val="001239B7"/>
    <w:rsid w:val="0012425A"/>
    <w:rsid w:val="0012449B"/>
    <w:rsid w:val="00125286"/>
    <w:rsid w:val="0012577C"/>
    <w:rsid w:val="00125B76"/>
    <w:rsid w:val="0012635A"/>
    <w:rsid w:val="00131D78"/>
    <w:rsid w:val="00132121"/>
    <w:rsid w:val="00132666"/>
    <w:rsid w:val="00132F89"/>
    <w:rsid w:val="00133399"/>
    <w:rsid w:val="00134774"/>
    <w:rsid w:val="0013604F"/>
    <w:rsid w:val="00137280"/>
    <w:rsid w:val="0013799A"/>
    <w:rsid w:val="001379F2"/>
    <w:rsid w:val="00137D63"/>
    <w:rsid w:val="00137EBE"/>
    <w:rsid w:val="00140274"/>
    <w:rsid w:val="00140E7E"/>
    <w:rsid w:val="00140F4A"/>
    <w:rsid w:val="00142A1D"/>
    <w:rsid w:val="00143202"/>
    <w:rsid w:val="00144A89"/>
    <w:rsid w:val="00144D56"/>
    <w:rsid w:val="00144E24"/>
    <w:rsid w:val="0014577C"/>
    <w:rsid w:val="001467A6"/>
    <w:rsid w:val="00147229"/>
    <w:rsid w:val="00147308"/>
    <w:rsid w:val="00151263"/>
    <w:rsid w:val="00151C63"/>
    <w:rsid w:val="00151D2E"/>
    <w:rsid w:val="00151D6D"/>
    <w:rsid w:val="0015239E"/>
    <w:rsid w:val="00152903"/>
    <w:rsid w:val="00152DE2"/>
    <w:rsid w:val="00152F08"/>
    <w:rsid w:val="001541DF"/>
    <w:rsid w:val="00154772"/>
    <w:rsid w:val="00154B15"/>
    <w:rsid w:val="00155DE4"/>
    <w:rsid w:val="001563DC"/>
    <w:rsid w:val="00156E31"/>
    <w:rsid w:val="001575FD"/>
    <w:rsid w:val="0016115E"/>
    <w:rsid w:val="001615B7"/>
    <w:rsid w:val="00162067"/>
    <w:rsid w:val="0016266F"/>
    <w:rsid w:val="00162789"/>
    <w:rsid w:val="00162934"/>
    <w:rsid w:val="00162A8D"/>
    <w:rsid w:val="0016306F"/>
    <w:rsid w:val="001630A2"/>
    <w:rsid w:val="00163D69"/>
    <w:rsid w:val="00164E28"/>
    <w:rsid w:val="00165481"/>
    <w:rsid w:val="00165749"/>
    <w:rsid w:val="00165E3C"/>
    <w:rsid w:val="00167AAE"/>
    <w:rsid w:val="0017080B"/>
    <w:rsid w:val="00170AA4"/>
    <w:rsid w:val="00173730"/>
    <w:rsid w:val="00173DB1"/>
    <w:rsid w:val="00173FB5"/>
    <w:rsid w:val="00174D9A"/>
    <w:rsid w:val="00175AE2"/>
    <w:rsid w:val="00175ED2"/>
    <w:rsid w:val="00176C41"/>
    <w:rsid w:val="00176CD6"/>
    <w:rsid w:val="001804C1"/>
    <w:rsid w:val="00180575"/>
    <w:rsid w:val="001809B0"/>
    <w:rsid w:val="00180E98"/>
    <w:rsid w:val="00181093"/>
    <w:rsid w:val="00181A8E"/>
    <w:rsid w:val="001834DC"/>
    <w:rsid w:val="00183A74"/>
    <w:rsid w:val="001842F4"/>
    <w:rsid w:val="00184349"/>
    <w:rsid w:val="00184451"/>
    <w:rsid w:val="0018452D"/>
    <w:rsid w:val="00185FE9"/>
    <w:rsid w:val="0018658D"/>
    <w:rsid w:val="00186E33"/>
    <w:rsid w:val="00190F10"/>
    <w:rsid w:val="00191DB8"/>
    <w:rsid w:val="001945EF"/>
    <w:rsid w:val="00194807"/>
    <w:rsid w:val="00195367"/>
    <w:rsid w:val="00195EDE"/>
    <w:rsid w:val="001968D6"/>
    <w:rsid w:val="0019770C"/>
    <w:rsid w:val="001A1A82"/>
    <w:rsid w:val="001A1B16"/>
    <w:rsid w:val="001A21BB"/>
    <w:rsid w:val="001A2973"/>
    <w:rsid w:val="001A3A01"/>
    <w:rsid w:val="001A3A9D"/>
    <w:rsid w:val="001A486D"/>
    <w:rsid w:val="001A4BA7"/>
    <w:rsid w:val="001A6450"/>
    <w:rsid w:val="001A7201"/>
    <w:rsid w:val="001A79EE"/>
    <w:rsid w:val="001B0353"/>
    <w:rsid w:val="001B09FC"/>
    <w:rsid w:val="001B0DB9"/>
    <w:rsid w:val="001B10C1"/>
    <w:rsid w:val="001B10F4"/>
    <w:rsid w:val="001B2437"/>
    <w:rsid w:val="001B4194"/>
    <w:rsid w:val="001B4CF0"/>
    <w:rsid w:val="001B5928"/>
    <w:rsid w:val="001B6F65"/>
    <w:rsid w:val="001B736B"/>
    <w:rsid w:val="001B7F79"/>
    <w:rsid w:val="001C0322"/>
    <w:rsid w:val="001C16FB"/>
    <w:rsid w:val="001C1F8B"/>
    <w:rsid w:val="001C32C0"/>
    <w:rsid w:val="001C3611"/>
    <w:rsid w:val="001C4429"/>
    <w:rsid w:val="001C4485"/>
    <w:rsid w:val="001C4702"/>
    <w:rsid w:val="001C4A31"/>
    <w:rsid w:val="001C5040"/>
    <w:rsid w:val="001C5102"/>
    <w:rsid w:val="001C5638"/>
    <w:rsid w:val="001C58CD"/>
    <w:rsid w:val="001C6859"/>
    <w:rsid w:val="001C7B70"/>
    <w:rsid w:val="001D0732"/>
    <w:rsid w:val="001D0BCD"/>
    <w:rsid w:val="001D10C9"/>
    <w:rsid w:val="001D1565"/>
    <w:rsid w:val="001D1689"/>
    <w:rsid w:val="001D21A4"/>
    <w:rsid w:val="001D3C33"/>
    <w:rsid w:val="001D3E8E"/>
    <w:rsid w:val="001D4291"/>
    <w:rsid w:val="001D46B6"/>
    <w:rsid w:val="001D5F71"/>
    <w:rsid w:val="001D62FF"/>
    <w:rsid w:val="001D6AEA"/>
    <w:rsid w:val="001D709E"/>
    <w:rsid w:val="001D764D"/>
    <w:rsid w:val="001D7869"/>
    <w:rsid w:val="001D7CA6"/>
    <w:rsid w:val="001D7F8C"/>
    <w:rsid w:val="001E0673"/>
    <w:rsid w:val="001E0F68"/>
    <w:rsid w:val="001E1222"/>
    <w:rsid w:val="001E1761"/>
    <w:rsid w:val="001E1968"/>
    <w:rsid w:val="001E26B6"/>
    <w:rsid w:val="001E2AC1"/>
    <w:rsid w:val="001E2CE1"/>
    <w:rsid w:val="001E30D9"/>
    <w:rsid w:val="001E4BC0"/>
    <w:rsid w:val="001E5676"/>
    <w:rsid w:val="001E5C91"/>
    <w:rsid w:val="001E6180"/>
    <w:rsid w:val="001E6EC0"/>
    <w:rsid w:val="001E7482"/>
    <w:rsid w:val="001F01F9"/>
    <w:rsid w:val="001F0BC3"/>
    <w:rsid w:val="001F0BC9"/>
    <w:rsid w:val="001F11BA"/>
    <w:rsid w:val="001F1AF7"/>
    <w:rsid w:val="001F233C"/>
    <w:rsid w:val="001F2471"/>
    <w:rsid w:val="001F2BBB"/>
    <w:rsid w:val="001F3AD4"/>
    <w:rsid w:val="001F43B4"/>
    <w:rsid w:val="001F461F"/>
    <w:rsid w:val="001F4F87"/>
    <w:rsid w:val="001F52FD"/>
    <w:rsid w:val="001F572D"/>
    <w:rsid w:val="001F5A1C"/>
    <w:rsid w:val="001F62CC"/>
    <w:rsid w:val="00200677"/>
    <w:rsid w:val="00200987"/>
    <w:rsid w:val="00200EAF"/>
    <w:rsid w:val="00201213"/>
    <w:rsid w:val="002012F7"/>
    <w:rsid w:val="0020175B"/>
    <w:rsid w:val="00201869"/>
    <w:rsid w:val="00202492"/>
    <w:rsid w:val="002027F6"/>
    <w:rsid w:val="0020299D"/>
    <w:rsid w:val="00202E0E"/>
    <w:rsid w:val="00202FE3"/>
    <w:rsid w:val="00202FE7"/>
    <w:rsid w:val="00203642"/>
    <w:rsid w:val="0020368C"/>
    <w:rsid w:val="0020423E"/>
    <w:rsid w:val="00204835"/>
    <w:rsid w:val="00205CD6"/>
    <w:rsid w:val="00205EF4"/>
    <w:rsid w:val="002064EB"/>
    <w:rsid w:val="002068EB"/>
    <w:rsid w:val="00207271"/>
    <w:rsid w:val="00210BF6"/>
    <w:rsid w:val="00211518"/>
    <w:rsid w:val="00212513"/>
    <w:rsid w:val="002128ED"/>
    <w:rsid w:val="00214870"/>
    <w:rsid w:val="00214D28"/>
    <w:rsid w:val="00215179"/>
    <w:rsid w:val="00215748"/>
    <w:rsid w:val="002168B3"/>
    <w:rsid w:val="00216D4B"/>
    <w:rsid w:val="00217A77"/>
    <w:rsid w:val="002201C9"/>
    <w:rsid w:val="00222161"/>
    <w:rsid w:val="0022222E"/>
    <w:rsid w:val="00223533"/>
    <w:rsid w:val="00224126"/>
    <w:rsid w:val="00224C58"/>
    <w:rsid w:val="002277D5"/>
    <w:rsid w:val="00230527"/>
    <w:rsid w:val="00230566"/>
    <w:rsid w:val="00230C19"/>
    <w:rsid w:val="0023156E"/>
    <w:rsid w:val="00231A20"/>
    <w:rsid w:val="00231C9E"/>
    <w:rsid w:val="00231ED1"/>
    <w:rsid w:val="00232931"/>
    <w:rsid w:val="00232A75"/>
    <w:rsid w:val="002334C8"/>
    <w:rsid w:val="0023350A"/>
    <w:rsid w:val="00233515"/>
    <w:rsid w:val="00233B63"/>
    <w:rsid w:val="00234B98"/>
    <w:rsid w:val="00235022"/>
    <w:rsid w:val="00235671"/>
    <w:rsid w:val="0023587E"/>
    <w:rsid w:val="00236A53"/>
    <w:rsid w:val="00236A57"/>
    <w:rsid w:val="00236FBD"/>
    <w:rsid w:val="00237649"/>
    <w:rsid w:val="00237B88"/>
    <w:rsid w:val="00240B87"/>
    <w:rsid w:val="002413B9"/>
    <w:rsid w:val="00241523"/>
    <w:rsid w:val="00241E7D"/>
    <w:rsid w:val="00242624"/>
    <w:rsid w:val="00242B51"/>
    <w:rsid w:val="002438B3"/>
    <w:rsid w:val="00244CE7"/>
    <w:rsid w:val="0024510D"/>
    <w:rsid w:val="00245313"/>
    <w:rsid w:val="002453EF"/>
    <w:rsid w:val="0024557E"/>
    <w:rsid w:val="002471FD"/>
    <w:rsid w:val="00247349"/>
    <w:rsid w:val="0025180D"/>
    <w:rsid w:val="00252AE7"/>
    <w:rsid w:val="00253A2B"/>
    <w:rsid w:val="00253D77"/>
    <w:rsid w:val="002540ED"/>
    <w:rsid w:val="002544F7"/>
    <w:rsid w:val="00254DBA"/>
    <w:rsid w:val="00255661"/>
    <w:rsid w:val="00255A16"/>
    <w:rsid w:val="00255EC0"/>
    <w:rsid w:val="00256D53"/>
    <w:rsid w:val="00257393"/>
    <w:rsid w:val="002579AE"/>
    <w:rsid w:val="00257C01"/>
    <w:rsid w:val="002603F4"/>
    <w:rsid w:val="002606B1"/>
    <w:rsid w:val="002614B7"/>
    <w:rsid w:val="002622E7"/>
    <w:rsid w:val="002632EA"/>
    <w:rsid w:val="0026438A"/>
    <w:rsid w:val="00264C3B"/>
    <w:rsid w:val="00264F51"/>
    <w:rsid w:val="00265B00"/>
    <w:rsid w:val="00265D67"/>
    <w:rsid w:val="002663B6"/>
    <w:rsid w:val="0026668E"/>
    <w:rsid w:val="002679C5"/>
    <w:rsid w:val="00267CE9"/>
    <w:rsid w:val="00267EF2"/>
    <w:rsid w:val="0027236E"/>
    <w:rsid w:val="00272BD6"/>
    <w:rsid w:val="00272C74"/>
    <w:rsid w:val="002737FD"/>
    <w:rsid w:val="00273988"/>
    <w:rsid w:val="00273BCF"/>
    <w:rsid w:val="0027447D"/>
    <w:rsid w:val="00275ACB"/>
    <w:rsid w:val="002776BE"/>
    <w:rsid w:val="00277B3D"/>
    <w:rsid w:val="00277E95"/>
    <w:rsid w:val="00281E34"/>
    <w:rsid w:val="00282C20"/>
    <w:rsid w:val="0028506A"/>
    <w:rsid w:val="002850B0"/>
    <w:rsid w:val="00286117"/>
    <w:rsid w:val="002863D7"/>
    <w:rsid w:val="00286A61"/>
    <w:rsid w:val="0028738E"/>
    <w:rsid w:val="002873B4"/>
    <w:rsid w:val="0029139C"/>
    <w:rsid w:val="00291DA1"/>
    <w:rsid w:val="002927D4"/>
    <w:rsid w:val="002929D3"/>
    <w:rsid w:val="00292AB5"/>
    <w:rsid w:val="002932A4"/>
    <w:rsid w:val="002934D7"/>
    <w:rsid w:val="00293EBE"/>
    <w:rsid w:val="002941A4"/>
    <w:rsid w:val="002942B6"/>
    <w:rsid w:val="0029478A"/>
    <w:rsid w:val="00294A3D"/>
    <w:rsid w:val="00294BD8"/>
    <w:rsid w:val="00294C1E"/>
    <w:rsid w:val="00295911"/>
    <w:rsid w:val="002970D9"/>
    <w:rsid w:val="00297CDB"/>
    <w:rsid w:val="002A02C7"/>
    <w:rsid w:val="002A0ABA"/>
    <w:rsid w:val="002A0ECA"/>
    <w:rsid w:val="002A2868"/>
    <w:rsid w:val="002A29BB"/>
    <w:rsid w:val="002A43C2"/>
    <w:rsid w:val="002A4486"/>
    <w:rsid w:val="002A5088"/>
    <w:rsid w:val="002A559E"/>
    <w:rsid w:val="002A58F3"/>
    <w:rsid w:val="002A5DB9"/>
    <w:rsid w:val="002A6085"/>
    <w:rsid w:val="002A61DD"/>
    <w:rsid w:val="002A64F4"/>
    <w:rsid w:val="002A7003"/>
    <w:rsid w:val="002A7FD0"/>
    <w:rsid w:val="002B05D2"/>
    <w:rsid w:val="002B0BA9"/>
    <w:rsid w:val="002B0C68"/>
    <w:rsid w:val="002B0DB5"/>
    <w:rsid w:val="002B1234"/>
    <w:rsid w:val="002B1B65"/>
    <w:rsid w:val="002B3A48"/>
    <w:rsid w:val="002B4055"/>
    <w:rsid w:val="002B4100"/>
    <w:rsid w:val="002B4B59"/>
    <w:rsid w:val="002B6C5C"/>
    <w:rsid w:val="002B6E39"/>
    <w:rsid w:val="002B7C09"/>
    <w:rsid w:val="002C02DB"/>
    <w:rsid w:val="002C070D"/>
    <w:rsid w:val="002C101D"/>
    <w:rsid w:val="002C1563"/>
    <w:rsid w:val="002C1866"/>
    <w:rsid w:val="002C1FC6"/>
    <w:rsid w:val="002C291C"/>
    <w:rsid w:val="002C2F95"/>
    <w:rsid w:val="002C4428"/>
    <w:rsid w:val="002C4861"/>
    <w:rsid w:val="002C5505"/>
    <w:rsid w:val="002C5BB3"/>
    <w:rsid w:val="002C64F0"/>
    <w:rsid w:val="002D098B"/>
    <w:rsid w:val="002D10F7"/>
    <w:rsid w:val="002D127D"/>
    <w:rsid w:val="002D1701"/>
    <w:rsid w:val="002D2B2E"/>
    <w:rsid w:val="002D30B8"/>
    <w:rsid w:val="002D3A53"/>
    <w:rsid w:val="002D3F0D"/>
    <w:rsid w:val="002D53CB"/>
    <w:rsid w:val="002D64A6"/>
    <w:rsid w:val="002D69E2"/>
    <w:rsid w:val="002E129F"/>
    <w:rsid w:val="002E1829"/>
    <w:rsid w:val="002E191A"/>
    <w:rsid w:val="002E2098"/>
    <w:rsid w:val="002E2D57"/>
    <w:rsid w:val="002E3A56"/>
    <w:rsid w:val="002E3A8D"/>
    <w:rsid w:val="002E3D10"/>
    <w:rsid w:val="002E438C"/>
    <w:rsid w:val="002E4825"/>
    <w:rsid w:val="002E4B54"/>
    <w:rsid w:val="002E5208"/>
    <w:rsid w:val="002E569C"/>
    <w:rsid w:val="002E5A1B"/>
    <w:rsid w:val="002F18B2"/>
    <w:rsid w:val="002F2167"/>
    <w:rsid w:val="002F27F1"/>
    <w:rsid w:val="002F330F"/>
    <w:rsid w:val="002F347C"/>
    <w:rsid w:val="002F4CE1"/>
    <w:rsid w:val="002F58DB"/>
    <w:rsid w:val="002F5DE3"/>
    <w:rsid w:val="002F5E96"/>
    <w:rsid w:val="002F6B1D"/>
    <w:rsid w:val="002F7B6A"/>
    <w:rsid w:val="0030053D"/>
    <w:rsid w:val="00300F22"/>
    <w:rsid w:val="00301721"/>
    <w:rsid w:val="0030185A"/>
    <w:rsid w:val="00301C99"/>
    <w:rsid w:val="00301E56"/>
    <w:rsid w:val="003038DF"/>
    <w:rsid w:val="003046A7"/>
    <w:rsid w:val="003046FD"/>
    <w:rsid w:val="00304A37"/>
    <w:rsid w:val="003055B8"/>
    <w:rsid w:val="00305640"/>
    <w:rsid w:val="00306989"/>
    <w:rsid w:val="00306BD1"/>
    <w:rsid w:val="0031040E"/>
    <w:rsid w:val="00310CDB"/>
    <w:rsid w:val="00310DC4"/>
    <w:rsid w:val="00310ED4"/>
    <w:rsid w:val="00312301"/>
    <w:rsid w:val="00312623"/>
    <w:rsid w:val="00313114"/>
    <w:rsid w:val="00313530"/>
    <w:rsid w:val="00313DD9"/>
    <w:rsid w:val="003145D6"/>
    <w:rsid w:val="0031492A"/>
    <w:rsid w:val="0031648F"/>
    <w:rsid w:val="00316C1A"/>
    <w:rsid w:val="00317701"/>
    <w:rsid w:val="00317A9B"/>
    <w:rsid w:val="00320CD7"/>
    <w:rsid w:val="00320F3A"/>
    <w:rsid w:val="00321116"/>
    <w:rsid w:val="003211F8"/>
    <w:rsid w:val="00321EA4"/>
    <w:rsid w:val="00322ACB"/>
    <w:rsid w:val="00322BDF"/>
    <w:rsid w:val="003230BB"/>
    <w:rsid w:val="003234E2"/>
    <w:rsid w:val="00323C73"/>
    <w:rsid w:val="0032409B"/>
    <w:rsid w:val="0032707B"/>
    <w:rsid w:val="00327300"/>
    <w:rsid w:val="00330F26"/>
    <w:rsid w:val="00331141"/>
    <w:rsid w:val="00331FDC"/>
    <w:rsid w:val="00332C7B"/>
    <w:rsid w:val="003331B4"/>
    <w:rsid w:val="00333683"/>
    <w:rsid w:val="00333703"/>
    <w:rsid w:val="00333B21"/>
    <w:rsid w:val="00333EBA"/>
    <w:rsid w:val="00334283"/>
    <w:rsid w:val="00334B7F"/>
    <w:rsid w:val="00335AB1"/>
    <w:rsid w:val="00336175"/>
    <w:rsid w:val="00337B2D"/>
    <w:rsid w:val="00340A37"/>
    <w:rsid w:val="003416E4"/>
    <w:rsid w:val="003423F4"/>
    <w:rsid w:val="00344678"/>
    <w:rsid w:val="00344758"/>
    <w:rsid w:val="003455D2"/>
    <w:rsid w:val="00345B15"/>
    <w:rsid w:val="00345DBF"/>
    <w:rsid w:val="00346FFC"/>
    <w:rsid w:val="00347142"/>
    <w:rsid w:val="00350D1B"/>
    <w:rsid w:val="00352B51"/>
    <w:rsid w:val="003531A8"/>
    <w:rsid w:val="0035356B"/>
    <w:rsid w:val="00354293"/>
    <w:rsid w:val="003565A8"/>
    <w:rsid w:val="00356694"/>
    <w:rsid w:val="003566EA"/>
    <w:rsid w:val="003570F3"/>
    <w:rsid w:val="00357365"/>
    <w:rsid w:val="0036010C"/>
    <w:rsid w:val="00360590"/>
    <w:rsid w:val="00361521"/>
    <w:rsid w:val="00361698"/>
    <w:rsid w:val="00361C11"/>
    <w:rsid w:val="00362428"/>
    <w:rsid w:val="00362C6C"/>
    <w:rsid w:val="003632A1"/>
    <w:rsid w:val="00363413"/>
    <w:rsid w:val="00363843"/>
    <w:rsid w:val="0036493F"/>
    <w:rsid w:val="00364946"/>
    <w:rsid w:val="00365759"/>
    <w:rsid w:val="00365EAE"/>
    <w:rsid w:val="00370AD1"/>
    <w:rsid w:val="00370FD2"/>
    <w:rsid w:val="00371157"/>
    <w:rsid w:val="00371F9C"/>
    <w:rsid w:val="00372596"/>
    <w:rsid w:val="00372C79"/>
    <w:rsid w:val="003732CC"/>
    <w:rsid w:val="00373559"/>
    <w:rsid w:val="00374F05"/>
    <w:rsid w:val="00375389"/>
    <w:rsid w:val="00375E97"/>
    <w:rsid w:val="00376BC3"/>
    <w:rsid w:val="00377249"/>
    <w:rsid w:val="003772EA"/>
    <w:rsid w:val="0037760E"/>
    <w:rsid w:val="00377B6C"/>
    <w:rsid w:val="0038053B"/>
    <w:rsid w:val="00380AAD"/>
    <w:rsid w:val="003813DD"/>
    <w:rsid w:val="00381EF0"/>
    <w:rsid w:val="003825C7"/>
    <w:rsid w:val="00382A39"/>
    <w:rsid w:val="0038468B"/>
    <w:rsid w:val="00384EE3"/>
    <w:rsid w:val="003850CC"/>
    <w:rsid w:val="0038567A"/>
    <w:rsid w:val="00391564"/>
    <w:rsid w:val="0039322E"/>
    <w:rsid w:val="003947E3"/>
    <w:rsid w:val="003949C2"/>
    <w:rsid w:val="00394C25"/>
    <w:rsid w:val="00395414"/>
    <w:rsid w:val="00395DCA"/>
    <w:rsid w:val="00395E7D"/>
    <w:rsid w:val="00396D92"/>
    <w:rsid w:val="003A0D2D"/>
    <w:rsid w:val="003A168E"/>
    <w:rsid w:val="003A1A01"/>
    <w:rsid w:val="003A1A6F"/>
    <w:rsid w:val="003A291B"/>
    <w:rsid w:val="003A3AE7"/>
    <w:rsid w:val="003A48B7"/>
    <w:rsid w:val="003A4FC6"/>
    <w:rsid w:val="003A5FD1"/>
    <w:rsid w:val="003A6017"/>
    <w:rsid w:val="003A677E"/>
    <w:rsid w:val="003A6ED6"/>
    <w:rsid w:val="003A7104"/>
    <w:rsid w:val="003B0766"/>
    <w:rsid w:val="003B3A68"/>
    <w:rsid w:val="003B3D3E"/>
    <w:rsid w:val="003B4A9F"/>
    <w:rsid w:val="003B54BB"/>
    <w:rsid w:val="003B6010"/>
    <w:rsid w:val="003B6886"/>
    <w:rsid w:val="003B7960"/>
    <w:rsid w:val="003B7AD3"/>
    <w:rsid w:val="003C006B"/>
    <w:rsid w:val="003C030E"/>
    <w:rsid w:val="003C1415"/>
    <w:rsid w:val="003C2876"/>
    <w:rsid w:val="003C3187"/>
    <w:rsid w:val="003C36C1"/>
    <w:rsid w:val="003C499B"/>
    <w:rsid w:val="003C61CB"/>
    <w:rsid w:val="003C67C6"/>
    <w:rsid w:val="003C76C7"/>
    <w:rsid w:val="003C78FA"/>
    <w:rsid w:val="003C7A03"/>
    <w:rsid w:val="003C7EEF"/>
    <w:rsid w:val="003D2272"/>
    <w:rsid w:val="003D28CA"/>
    <w:rsid w:val="003D3290"/>
    <w:rsid w:val="003D357A"/>
    <w:rsid w:val="003D38B9"/>
    <w:rsid w:val="003D4DFB"/>
    <w:rsid w:val="003D4F86"/>
    <w:rsid w:val="003D6E11"/>
    <w:rsid w:val="003D7577"/>
    <w:rsid w:val="003E0937"/>
    <w:rsid w:val="003E241B"/>
    <w:rsid w:val="003E3501"/>
    <w:rsid w:val="003E4128"/>
    <w:rsid w:val="003E41D3"/>
    <w:rsid w:val="003E4957"/>
    <w:rsid w:val="003E5A43"/>
    <w:rsid w:val="003E5DEF"/>
    <w:rsid w:val="003E69F5"/>
    <w:rsid w:val="003F094E"/>
    <w:rsid w:val="003F1F1D"/>
    <w:rsid w:val="003F2229"/>
    <w:rsid w:val="003F3B15"/>
    <w:rsid w:val="003F3B18"/>
    <w:rsid w:val="003F4637"/>
    <w:rsid w:val="003F4B82"/>
    <w:rsid w:val="003F52DD"/>
    <w:rsid w:val="003F6DE6"/>
    <w:rsid w:val="003F764C"/>
    <w:rsid w:val="003F7D45"/>
    <w:rsid w:val="00400EEC"/>
    <w:rsid w:val="00401116"/>
    <w:rsid w:val="004012EB"/>
    <w:rsid w:val="00402274"/>
    <w:rsid w:val="0040243F"/>
    <w:rsid w:val="004028D4"/>
    <w:rsid w:val="00403608"/>
    <w:rsid w:val="004046CD"/>
    <w:rsid w:val="0040497E"/>
    <w:rsid w:val="00406D51"/>
    <w:rsid w:val="00406E2D"/>
    <w:rsid w:val="00407239"/>
    <w:rsid w:val="00407770"/>
    <w:rsid w:val="00410896"/>
    <w:rsid w:val="00410AF3"/>
    <w:rsid w:val="004118CB"/>
    <w:rsid w:val="00411E7D"/>
    <w:rsid w:val="00411EA2"/>
    <w:rsid w:val="00412CCE"/>
    <w:rsid w:val="004130B8"/>
    <w:rsid w:val="00415284"/>
    <w:rsid w:val="004157F2"/>
    <w:rsid w:val="00416A7A"/>
    <w:rsid w:val="00416C98"/>
    <w:rsid w:val="00417662"/>
    <w:rsid w:val="00422417"/>
    <w:rsid w:val="00422A36"/>
    <w:rsid w:val="00423F9F"/>
    <w:rsid w:val="00424233"/>
    <w:rsid w:val="00425841"/>
    <w:rsid w:val="00425A82"/>
    <w:rsid w:val="0042699E"/>
    <w:rsid w:val="00427270"/>
    <w:rsid w:val="004273B6"/>
    <w:rsid w:val="004300F8"/>
    <w:rsid w:val="00430D0F"/>
    <w:rsid w:val="0043107E"/>
    <w:rsid w:val="004312F8"/>
    <w:rsid w:val="0043162E"/>
    <w:rsid w:val="00432776"/>
    <w:rsid w:val="00432DE5"/>
    <w:rsid w:val="00433838"/>
    <w:rsid w:val="00434324"/>
    <w:rsid w:val="00434842"/>
    <w:rsid w:val="00434AFC"/>
    <w:rsid w:val="0043602C"/>
    <w:rsid w:val="00436CCA"/>
    <w:rsid w:val="004374DD"/>
    <w:rsid w:val="00437A57"/>
    <w:rsid w:val="00437D3D"/>
    <w:rsid w:val="00440649"/>
    <w:rsid w:val="0044097D"/>
    <w:rsid w:val="00440B7C"/>
    <w:rsid w:val="00441995"/>
    <w:rsid w:val="00442478"/>
    <w:rsid w:val="00442F4D"/>
    <w:rsid w:val="00444F4F"/>
    <w:rsid w:val="0044510D"/>
    <w:rsid w:val="00445CB5"/>
    <w:rsid w:val="00445D75"/>
    <w:rsid w:val="0044609B"/>
    <w:rsid w:val="00446D93"/>
    <w:rsid w:val="00446DCC"/>
    <w:rsid w:val="00447450"/>
    <w:rsid w:val="00450532"/>
    <w:rsid w:val="004519C0"/>
    <w:rsid w:val="00451DE2"/>
    <w:rsid w:val="00451F04"/>
    <w:rsid w:val="0045227D"/>
    <w:rsid w:val="00453405"/>
    <w:rsid w:val="004537D5"/>
    <w:rsid w:val="00453E02"/>
    <w:rsid w:val="00454D55"/>
    <w:rsid w:val="004550DF"/>
    <w:rsid w:val="0045516D"/>
    <w:rsid w:val="00455932"/>
    <w:rsid w:val="00455CE1"/>
    <w:rsid w:val="00456469"/>
    <w:rsid w:val="0045779E"/>
    <w:rsid w:val="00457914"/>
    <w:rsid w:val="004606D0"/>
    <w:rsid w:val="00460EE0"/>
    <w:rsid w:val="00461896"/>
    <w:rsid w:val="00461ACB"/>
    <w:rsid w:val="00461C2C"/>
    <w:rsid w:val="00463219"/>
    <w:rsid w:val="00464807"/>
    <w:rsid w:val="0046509A"/>
    <w:rsid w:val="00465CCB"/>
    <w:rsid w:val="00466CBA"/>
    <w:rsid w:val="00466D35"/>
    <w:rsid w:val="004712FB"/>
    <w:rsid w:val="00471737"/>
    <w:rsid w:val="00471BB7"/>
    <w:rsid w:val="00471CE5"/>
    <w:rsid w:val="004724BE"/>
    <w:rsid w:val="0047250B"/>
    <w:rsid w:val="0047281D"/>
    <w:rsid w:val="00472908"/>
    <w:rsid w:val="00472EFF"/>
    <w:rsid w:val="004735B2"/>
    <w:rsid w:val="00474063"/>
    <w:rsid w:val="0047479B"/>
    <w:rsid w:val="00476793"/>
    <w:rsid w:val="004768A3"/>
    <w:rsid w:val="00477305"/>
    <w:rsid w:val="00477B56"/>
    <w:rsid w:val="00477EA2"/>
    <w:rsid w:val="00481B2A"/>
    <w:rsid w:val="00482091"/>
    <w:rsid w:val="00482270"/>
    <w:rsid w:val="00484D9A"/>
    <w:rsid w:val="0048516E"/>
    <w:rsid w:val="00486268"/>
    <w:rsid w:val="00487393"/>
    <w:rsid w:val="004877FB"/>
    <w:rsid w:val="00490F2D"/>
    <w:rsid w:val="004911E4"/>
    <w:rsid w:val="00494B8F"/>
    <w:rsid w:val="00494B94"/>
    <w:rsid w:val="00496469"/>
    <w:rsid w:val="004A0031"/>
    <w:rsid w:val="004A0E8D"/>
    <w:rsid w:val="004A187B"/>
    <w:rsid w:val="004A1A64"/>
    <w:rsid w:val="004A2D3C"/>
    <w:rsid w:val="004A2ECE"/>
    <w:rsid w:val="004A31DA"/>
    <w:rsid w:val="004A35DD"/>
    <w:rsid w:val="004A3F2C"/>
    <w:rsid w:val="004A5757"/>
    <w:rsid w:val="004A6A84"/>
    <w:rsid w:val="004A7098"/>
    <w:rsid w:val="004A7118"/>
    <w:rsid w:val="004B0BFE"/>
    <w:rsid w:val="004B0DDC"/>
    <w:rsid w:val="004B2E14"/>
    <w:rsid w:val="004B37EF"/>
    <w:rsid w:val="004B47AE"/>
    <w:rsid w:val="004B48A3"/>
    <w:rsid w:val="004B5528"/>
    <w:rsid w:val="004B57D9"/>
    <w:rsid w:val="004B6128"/>
    <w:rsid w:val="004B7577"/>
    <w:rsid w:val="004B7BD2"/>
    <w:rsid w:val="004C15F0"/>
    <w:rsid w:val="004C1C4E"/>
    <w:rsid w:val="004C2538"/>
    <w:rsid w:val="004C3024"/>
    <w:rsid w:val="004C356B"/>
    <w:rsid w:val="004C48D5"/>
    <w:rsid w:val="004C4A99"/>
    <w:rsid w:val="004C63E7"/>
    <w:rsid w:val="004C7412"/>
    <w:rsid w:val="004C75C5"/>
    <w:rsid w:val="004C77C8"/>
    <w:rsid w:val="004D027A"/>
    <w:rsid w:val="004D04BF"/>
    <w:rsid w:val="004D066B"/>
    <w:rsid w:val="004D1D3B"/>
    <w:rsid w:val="004D2D3E"/>
    <w:rsid w:val="004D3B21"/>
    <w:rsid w:val="004D3B58"/>
    <w:rsid w:val="004D4984"/>
    <w:rsid w:val="004D4DE9"/>
    <w:rsid w:val="004D5030"/>
    <w:rsid w:val="004D53ED"/>
    <w:rsid w:val="004D5CC1"/>
    <w:rsid w:val="004D734C"/>
    <w:rsid w:val="004E0DFF"/>
    <w:rsid w:val="004E2790"/>
    <w:rsid w:val="004E2DA6"/>
    <w:rsid w:val="004E30A3"/>
    <w:rsid w:val="004E3BBE"/>
    <w:rsid w:val="004E3FF9"/>
    <w:rsid w:val="004E6DAE"/>
    <w:rsid w:val="004F0232"/>
    <w:rsid w:val="004F065B"/>
    <w:rsid w:val="004F0683"/>
    <w:rsid w:val="004F1C7C"/>
    <w:rsid w:val="004F1FDF"/>
    <w:rsid w:val="004F292F"/>
    <w:rsid w:val="004F3BE0"/>
    <w:rsid w:val="004F4600"/>
    <w:rsid w:val="004F4E79"/>
    <w:rsid w:val="004F54EF"/>
    <w:rsid w:val="004F6C9C"/>
    <w:rsid w:val="004F6E38"/>
    <w:rsid w:val="004F77A0"/>
    <w:rsid w:val="004F78C4"/>
    <w:rsid w:val="004F7D7E"/>
    <w:rsid w:val="00501F20"/>
    <w:rsid w:val="005028F8"/>
    <w:rsid w:val="0050397B"/>
    <w:rsid w:val="00503D85"/>
    <w:rsid w:val="00504945"/>
    <w:rsid w:val="00504ADC"/>
    <w:rsid w:val="0050584D"/>
    <w:rsid w:val="005063C6"/>
    <w:rsid w:val="00506B59"/>
    <w:rsid w:val="00510390"/>
    <w:rsid w:val="00510471"/>
    <w:rsid w:val="00510A9A"/>
    <w:rsid w:val="0051155E"/>
    <w:rsid w:val="005120A5"/>
    <w:rsid w:val="00512107"/>
    <w:rsid w:val="005123F0"/>
    <w:rsid w:val="00513540"/>
    <w:rsid w:val="00513941"/>
    <w:rsid w:val="00513DA6"/>
    <w:rsid w:val="00514FB9"/>
    <w:rsid w:val="0051557B"/>
    <w:rsid w:val="00515AA1"/>
    <w:rsid w:val="0051656E"/>
    <w:rsid w:val="0051798C"/>
    <w:rsid w:val="00520E35"/>
    <w:rsid w:val="00522A57"/>
    <w:rsid w:val="00524233"/>
    <w:rsid w:val="00524502"/>
    <w:rsid w:val="005245FF"/>
    <w:rsid w:val="00525339"/>
    <w:rsid w:val="00525B1F"/>
    <w:rsid w:val="00525DA0"/>
    <w:rsid w:val="00526016"/>
    <w:rsid w:val="0053051D"/>
    <w:rsid w:val="005309A4"/>
    <w:rsid w:val="0053179A"/>
    <w:rsid w:val="00531BF6"/>
    <w:rsid w:val="005320B4"/>
    <w:rsid w:val="00532363"/>
    <w:rsid w:val="00534A66"/>
    <w:rsid w:val="00535568"/>
    <w:rsid w:val="005355C3"/>
    <w:rsid w:val="00537867"/>
    <w:rsid w:val="005401BA"/>
    <w:rsid w:val="00541230"/>
    <w:rsid w:val="00541BF5"/>
    <w:rsid w:val="00541D96"/>
    <w:rsid w:val="005426CB"/>
    <w:rsid w:val="00542FC8"/>
    <w:rsid w:val="00544521"/>
    <w:rsid w:val="00544D07"/>
    <w:rsid w:val="00545BA1"/>
    <w:rsid w:val="00550AE5"/>
    <w:rsid w:val="00550CB7"/>
    <w:rsid w:val="005529DA"/>
    <w:rsid w:val="00553264"/>
    <w:rsid w:val="005535AC"/>
    <w:rsid w:val="0055432D"/>
    <w:rsid w:val="0055453A"/>
    <w:rsid w:val="00554F38"/>
    <w:rsid w:val="00556DA3"/>
    <w:rsid w:val="00557980"/>
    <w:rsid w:val="00557F4E"/>
    <w:rsid w:val="00560521"/>
    <w:rsid w:val="00561865"/>
    <w:rsid w:val="0056321B"/>
    <w:rsid w:val="00563249"/>
    <w:rsid w:val="00563A88"/>
    <w:rsid w:val="00564208"/>
    <w:rsid w:val="00564C18"/>
    <w:rsid w:val="00564D27"/>
    <w:rsid w:val="005670AA"/>
    <w:rsid w:val="00570180"/>
    <w:rsid w:val="00570BCC"/>
    <w:rsid w:val="00570F58"/>
    <w:rsid w:val="00571CEB"/>
    <w:rsid w:val="00573402"/>
    <w:rsid w:val="00574250"/>
    <w:rsid w:val="00574969"/>
    <w:rsid w:val="00575652"/>
    <w:rsid w:val="0057659B"/>
    <w:rsid w:val="00576751"/>
    <w:rsid w:val="00576F6D"/>
    <w:rsid w:val="00577362"/>
    <w:rsid w:val="00580537"/>
    <w:rsid w:val="00580BF2"/>
    <w:rsid w:val="005823ED"/>
    <w:rsid w:val="00583384"/>
    <w:rsid w:val="005835DC"/>
    <w:rsid w:val="005838F2"/>
    <w:rsid w:val="00584568"/>
    <w:rsid w:val="00585075"/>
    <w:rsid w:val="0058589B"/>
    <w:rsid w:val="00585AEB"/>
    <w:rsid w:val="00585F07"/>
    <w:rsid w:val="00585F33"/>
    <w:rsid w:val="00585FF3"/>
    <w:rsid w:val="005869AA"/>
    <w:rsid w:val="005874ED"/>
    <w:rsid w:val="00587E9A"/>
    <w:rsid w:val="0059092A"/>
    <w:rsid w:val="00591951"/>
    <w:rsid w:val="005933E9"/>
    <w:rsid w:val="00594514"/>
    <w:rsid w:val="00595118"/>
    <w:rsid w:val="005955ED"/>
    <w:rsid w:val="00595960"/>
    <w:rsid w:val="00595C57"/>
    <w:rsid w:val="00597606"/>
    <w:rsid w:val="0059786B"/>
    <w:rsid w:val="005A0964"/>
    <w:rsid w:val="005A133C"/>
    <w:rsid w:val="005A1BC7"/>
    <w:rsid w:val="005A2478"/>
    <w:rsid w:val="005A2EDD"/>
    <w:rsid w:val="005A3A93"/>
    <w:rsid w:val="005A4833"/>
    <w:rsid w:val="005A4D86"/>
    <w:rsid w:val="005A667E"/>
    <w:rsid w:val="005A699B"/>
    <w:rsid w:val="005A6BFF"/>
    <w:rsid w:val="005A7771"/>
    <w:rsid w:val="005B079D"/>
    <w:rsid w:val="005B12A2"/>
    <w:rsid w:val="005B1C37"/>
    <w:rsid w:val="005B1EC5"/>
    <w:rsid w:val="005B1FC3"/>
    <w:rsid w:val="005B2C5B"/>
    <w:rsid w:val="005B3072"/>
    <w:rsid w:val="005B3627"/>
    <w:rsid w:val="005B36F6"/>
    <w:rsid w:val="005B3E45"/>
    <w:rsid w:val="005B3E94"/>
    <w:rsid w:val="005B5412"/>
    <w:rsid w:val="005B5873"/>
    <w:rsid w:val="005B5953"/>
    <w:rsid w:val="005B6475"/>
    <w:rsid w:val="005B6519"/>
    <w:rsid w:val="005B6C56"/>
    <w:rsid w:val="005B75F8"/>
    <w:rsid w:val="005B7AFA"/>
    <w:rsid w:val="005C0F4F"/>
    <w:rsid w:val="005C27EC"/>
    <w:rsid w:val="005C2ECF"/>
    <w:rsid w:val="005C3A7C"/>
    <w:rsid w:val="005C5D1F"/>
    <w:rsid w:val="005C5D41"/>
    <w:rsid w:val="005C5E81"/>
    <w:rsid w:val="005D047C"/>
    <w:rsid w:val="005D0A03"/>
    <w:rsid w:val="005D1BBD"/>
    <w:rsid w:val="005D1F34"/>
    <w:rsid w:val="005D310F"/>
    <w:rsid w:val="005D383D"/>
    <w:rsid w:val="005D3F63"/>
    <w:rsid w:val="005D4ED0"/>
    <w:rsid w:val="005D5123"/>
    <w:rsid w:val="005D54C6"/>
    <w:rsid w:val="005D5B9F"/>
    <w:rsid w:val="005D5CB2"/>
    <w:rsid w:val="005D601C"/>
    <w:rsid w:val="005D6F38"/>
    <w:rsid w:val="005D7BF5"/>
    <w:rsid w:val="005D7D38"/>
    <w:rsid w:val="005E2C0A"/>
    <w:rsid w:val="005E4F6F"/>
    <w:rsid w:val="005E5D26"/>
    <w:rsid w:val="005E6324"/>
    <w:rsid w:val="005E694C"/>
    <w:rsid w:val="005E6D26"/>
    <w:rsid w:val="005E739B"/>
    <w:rsid w:val="005F08C3"/>
    <w:rsid w:val="005F1E2B"/>
    <w:rsid w:val="005F21BF"/>
    <w:rsid w:val="005F28A1"/>
    <w:rsid w:val="005F2FD9"/>
    <w:rsid w:val="005F3A2E"/>
    <w:rsid w:val="005F40AD"/>
    <w:rsid w:val="005F415B"/>
    <w:rsid w:val="005F44F1"/>
    <w:rsid w:val="005F5BE7"/>
    <w:rsid w:val="005F5E41"/>
    <w:rsid w:val="005F60FB"/>
    <w:rsid w:val="005F78A2"/>
    <w:rsid w:val="005F7A0A"/>
    <w:rsid w:val="005F7C02"/>
    <w:rsid w:val="005F7C5C"/>
    <w:rsid w:val="00600FC7"/>
    <w:rsid w:val="006011E3"/>
    <w:rsid w:val="006012AD"/>
    <w:rsid w:val="00601625"/>
    <w:rsid w:val="006017D1"/>
    <w:rsid w:val="00601A50"/>
    <w:rsid w:val="00601BA2"/>
    <w:rsid w:val="006031E0"/>
    <w:rsid w:val="006034B9"/>
    <w:rsid w:val="00603E6C"/>
    <w:rsid w:val="00604130"/>
    <w:rsid w:val="006046C0"/>
    <w:rsid w:val="00605457"/>
    <w:rsid w:val="00605981"/>
    <w:rsid w:val="0060621C"/>
    <w:rsid w:val="00606C17"/>
    <w:rsid w:val="00607535"/>
    <w:rsid w:val="00611763"/>
    <w:rsid w:val="006118E2"/>
    <w:rsid w:val="00611EEF"/>
    <w:rsid w:val="00612191"/>
    <w:rsid w:val="00612C8C"/>
    <w:rsid w:val="0061320F"/>
    <w:rsid w:val="00614766"/>
    <w:rsid w:val="00614B1C"/>
    <w:rsid w:val="006154E1"/>
    <w:rsid w:val="00615725"/>
    <w:rsid w:val="00616B28"/>
    <w:rsid w:val="00616F88"/>
    <w:rsid w:val="00617F7B"/>
    <w:rsid w:val="00622508"/>
    <w:rsid w:val="006228D4"/>
    <w:rsid w:val="006236CA"/>
    <w:rsid w:val="006242DF"/>
    <w:rsid w:val="0062546C"/>
    <w:rsid w:val="006258F0"/>
    <w:rsid w:val="0062598A"/>
    <w:rsid w:val="00625F20"/>
    <w:rsid w:val="0062620F"/>
    <w:rsid w:val="00627603"/>
    <w:rsid w:val="00627FDD"/>
    <w:rsid w:val="0063009F"/>
    <w:rsid w:val="00630B1F"/>
    <w:rsid w:val="006317C2"/>
    <w:rsid w:val="00632093"/>
    <w:rsid w:val="006333B2"/>
    <w:rsid w:val="00633D68"/>
    <w:rsid w:val="00633E34"/>
    <w:rsid w:val="006340CC"/>
    <w:rsid w:val="00634106"/>
    <w:rsid w:val="006356C5"/>
    <w:rsid w:val="006363BA"/>
    <w:rsid w:val="00636622"/>
    <w:rsid w:val="0063768F"/>
    <w:rsid w:val="00637A1A"/>
    <w:rsid w:val="00637CC5"/>
    <w:rsid w:val="00640694"/>
    <w:rsid w:val="00640930"/>
    <w:rsid w:val="00640FCE"/>
    <w:rsid w:val="0064192D"/>
    <w:rsid w:val="00642193"/>
    <w:rsid w:val="00643811"/>
    <w:rsid w:val="00645716"/>
    <w:rsid w:val="00647919"/>
    <w:rsid w:val="006504DB"/>
    <w:rsid w:val="00650CBA"/>
    <w:rsid w:val="00650E26"/>
    <w:rsid w:val="00653056"/>
    <w:rsid w:val="00653081"/>
    <w:rsid w:val="006541AD"/>
    <w:rsid w:val="00654793"/>
    <w:rsid w:val="0065527C"/>
    <w:rsid w:val="0065557A"/>
    <w:rsid w:val="00656031"/>
    <w:rsid w:val="00656B71"/>
    <w:rsid w:val="00657009"/>
    <w:rsid w:val="00660953"/>
    <w:rsid w:val="00661936"/>
    <w:rsid w:val="0066226B"/>
    <w:rsid w:val="00662275"/>
    <w:rsid w:val="00662461"/>
    <w:rsid w:val="0066463C"/>
    <w:rsid w:val="006650E7"/>
    <w:rsid w:val="00666DC4"/>
    <w:rsid w:val="0066737B"/>
    <w:rsid w:val="00667608"/>
    <w:rsid w:val="0067085E"/>
    <w:rsid w:val="00670938"/>
    <w:rsid w:val="00674286"/>
    <w:rsid w:val="006758EC"/>
    <w:rsid w:val="00676D70"/>
    <w:rsid w:val="006775FC"/>
    <w:rsid w:val="00680321"/>
    <w:rsid w:val="00680A94"/>
    <w:rsid w:val="006821C3"/>
    <w:rsid w:val="006823DE"/>
    <w:rsid w:val="006827B4"/>
    <w:rsid w:val="0068491D"/>
    <w:rsid w:val="00684CE7"/>
    <w:rsid w:val="00684D55"/>
    <w:rsid w:val="006850DF"/>
    <w:rsid w:val="00685214"/>
    <w:rsid w:val="00685C8C"/>
    <w:rsid w:val="00686FF5"/>
    <w:rsid w:val="006874E3"/>
    <w:rsid w:val="00692D2C"/>
    <w:rsid w:val="006940EA"/>
    <w:rsid w:val="0069468C"/>
    <w:rsid w:val="006955B7"/>
    <w:rsid w:val="006962BD"/>
    <w:rsid w:val="0069652B"/>
    <w:rsid w:val="00696E59"/>
    <w:rsid w:val="00696EB1"/>
    <w:rsid w:val="006A11A5"/>
    <w:rsid w:val="006A1D88"/>
    <w:rsid w:val="006A31CD"/>
    <w:rsid w:val="006A3655"/>
    <w:rsid w:val="006A365B"/>
    <w:rsid w:val="006A3CA9"/>
    <w:rsid w:val="006A3E8D"/>
    <w:rsid w:val="006A3F63"/>
    <w:rsid w:val="006A4463"/>
    <w:rsid w:val="006A5657"/>
    <w:rsid w:val="006A6298"/>
    <w:rsid w:val="006A64CD"/>
    <w:rsid w:val="006A6BB3"/>
    <w:rsid w:val="006A7114"/>
    <w:rsid w:val="006A7D8D"/>
    <w:rsid w:val="006B1629"/>
    <w:rsid w:val="006B2486"/>
    <w:rsid w:val="006B2624"/>
    <w:rsid w:val="006B2C75"/>
    <w:rsid w:val="006B3DE1"/>
    <w:rsid w:val="006B3EB9"/>
    <w:rsid w:val="006B5245"/>
    <w:rsid w:val="006B528A"/>
    <w:rsid w:val="006B5F52"/>
    <w:rsid w:val="006B6206"/>
    <w:rsid w:val="006B6251"/>
    <w:rsid w:val="006C0253"/>
    <w:rsid w:val="006C047B"/>
    <w:rsid w:val="006C0642"/>
    <w:rsid w:val="006C09D8"/>
    <w:rsid w:val="006C0AB6"/>
    <w:rsid w:val="006C1A71"/>
    <w:rsid w:val="006C2592"/>
    <w:rsid w:val="006C3625"/>
    <w:rsid w:val="006C3851"/>
    <w:rsid w:val="006C3D20"/>
    <w:rsid w:val="006C4CCA"/>
    <w:rsid w:val="006C50EA"/>
    <w:rsid w:val="006C58C5"/>
    <w:rsid w:val="006C6A05"/>
    <w:rsid w:val="006C6F32"/>
    <w:rsid w:val="006C7735"/>
    <w:rsid w:val="006C78F0"/>
    <w:rsid w:val="006D0407"/>
    <w:rsid w:val="006D0418"/>
    <w:rsid w:val="006D18D1"/>
    <w:rsid w:val="006D2003"/>
    <w:rsid w:val="006D4A5B"/>
    <w:rsid w:val="006D5636"/>
    <w:rsid w:val="006D5EE5"/>
    <w:rsid w:val="006D65A2"/>
    <w:rsid w:val="006D6BE1"/>
    <w:rsid w:val="006D7BD4"/>
    <w:rsid w:val="006E0085"/>
    <w:rsid w:val="006E2109"/>
    <w:rsid w:val="006E26A7"/>
    <w:rsid w:val="006E2CC3"/>
    <w:rsid w:val="006E30F9"/>
    <w:rsid w:val="006E349A"/>
    <w:rsid w:val="006E3E56"/>
    <w:rsid w:val="006E4B74"/>
    <w:rsid w:val="006E5DF8"/>
    <w:rsid w:val="006E666F"/>
    <w:rsid w:val="006E6B6B"/>
    <w:rsid w:val="006E6D3B"/>
    <w:rsid w:val="006F108D"/>
    <w:rsid w:val="006F18A5"/>
    <w:rsid w:val="006F1ABC"/>
    <w:rsid w:val="006F1BBA"/>
    <w:rsid w:val="006F2EAA"/>
    <w:rsid w:val="006F3559"/>
    <w:rsid w:val="006F403A"/>
    <w:rsid w:val="006F40E5"/>
    <w:rsid w:val="006F4332"/>
    <w:rsid w:val="006F4A3E"/>
    <w:rsid w:val="006F5B32"/>
    <w:rsid w:val="006F73E7"/>
    <w:rsid w:val="006F749E"/>
    <w:rsid w:val="006F7514"/>
    <w:rsid w:val="00701305"/>
    <w:rsid w:val="007025C9"/>
    <w:rsid w:val="00702935"/>
    <w:rsid w:val="00705BE9"/>
    <w:rsid w:val="00707370"/>
    <w:rsid w:val="00707911"/>
    <w:rsid w:val="00710F73"/>
    <w:rsid w:val="00711113"/>
    <w:rsid w:val="00711392"/>
    <w:rsid w:val="007117E4"/>
    <w:rsid w:val="007123C3"/>
    <w:rsid w:val="00714C6F"/>
    <w:rsid w:val="00714FF5"/>
    <w:rsid w:val="00716B11"/>
    <w:rsid w:val="00717E90"/>
    <w:rsid w:val="0072007B"/>
    <w:rsid w:val="00720811"/>
    <w:rsid w:val="00720E10"/>
    <w:rsid w:val="00721E76"/>
    <w:rsid w:val="00721E7C"/>
    <w:rsid w:val="00721F19"/>
    <w:rsid w:val="007221D3"/>
    <w:rsid w:val="007235DD"/>
    <w:rsid w:val="0072396B"/>
    <w:rsid w:val="007240F0"/>
    <w:rsid w:val="007242E1"/>
    <w:rsid w:val="007250D7"/>
    <w:rsid w:val="007253E0"/>
    <w:rsid w:val="00725A4E"/>
    <w:rsid w:val="00727F6B"/>
    <w:rsid w:val="00730BD2"/>
    <w:rsid w:val="00733062"/>
    <w:rsid w:val="00733736"/>
    <w:rsid w:val="007352D9"/>
    <w:rsid w:val="00736646"/>
    <w:rsid w:val="00736778"/>
    <w:rsid w:val="007367E4"/>
    <w:rsid w:val="00736A21"/>
    <w:rsid w:val="00736A63"/>
    <w:rsid w:val="007417C4"/>
    <w:rsid w:val="00742BE5"/>
    <w:rsid w:val="00742EE7"/>
    <w:rsid w:val="00742F3F"/>
    <w:rsid w:val="0074329E"/>
    <w:rsid w:val="00745CAA"/>
    <w:rsid w:val="0074632A"/>
    <w:rsid w:val="00746568"/>
    <w:rsid w:val="007471DE"/>
    <w:rsid w:val="00747292"/>
    <w:rsid w:val="00747344"/>
    <w:rsid w:val="00747587"/>
    <w:rsid w:val="007477D1"/>
    <w:rsid w:val="00747B9D"/>
    <w:rsid w:val="0075117D"/>
    <w:rsid w:val="0075121D"/>
    <w:rsid w:val="0075138E"/>
    <w:rsid w:val="007531A3"/>
    <w:rsid w:val="00753C59"/>
    <w:rsid w:val="007540BF"/>
    <w:rsid w:val="0075673C"/>
    <w:rsid w:val="00757E0F"/>
    <w:rsid w:val="0076063C"/>
    <w:rsid w:val="00761730"/>
    <w:rsid w:val="007625E2"/>
    <w:rsid w:val="0076311E"/>
    <w:rsid w:val="007637A8"/>
    <w:rsid w:val="007638DA"/>
    <w:rsid w:val="0076457C"/>
    <w:rsid w:val="00764A98"/>
    <w:rsid w:val="00764DAE"/>
    <w:rsid w:val="00765088"/>
    <w:rsid w:val="00765140"/>
    <w:rsid w:val="00765B58"/>
    <w:rsid w:val="00765D3D"/>
    <w:rsid w:val="00766CE5"/>
    <w:rsid w:val="00766DF1"/>
    <w:rsid w:val="00767857"/>
    <w:rsid w:val="00767AA2"/>
    <w:rsid w:val="00767B9C"/>
    <w:rsid w:val="00770DCB"/>
    <w:rsid w:val="00770EBC"/>
    <w:rsid w:val="0077313E"/>
    <w:rsid w:val="0077441D"/>
    <w:rsid w:val="00774E10"/>
    <w:rsid w:val="00775485"/>
    <w:rsid w:val="00775C82"/>
    <w:rsid w:val="00776EC6"/>
    <w:rsid w:val="00776F88"/>
    <w:rsid w:val="007777E0"/>
    <w:rsid w:val="00777848"/>
    <w:rsid w:val="00777DF4"/>
    <w:rsid w:val="00780079"/>
    <w:rsid w:val="007807D3"/>
    <w:rsid w:val="00781611"/>
    <w:rsid w:val="00781B40"/>
    <w:rsid w:val="00783532"/>
    <w:rsid w:val="00783B3F"/>
    <w:rsid w:val="007842D3"/>
    <w:rsid w:val="007846B5"/>
    <w:rsid w:val="00784B1E"/>
    <w:rsid w:val="00784C53"/>
    <w:rsid w:val="00785DFD"/>
    <w:rsid w:val="00787170"/>
    <w:rsid w:val="007873AB"/>
    <w:rsid w:val="007900C7"/>
    <w:rsid w:val="00790860"/>
    <w:rsid w:val="00792754"/>
    <w:rsid w:val="00793964"/>
    <w:rsid w:val="0079498B"/>
    <w:rsid w:val="00795B26"/>
    <w:rsid w:val="00797D20"/>
    <w:rsid w:val="007A369E"/>
    <w:rsid w:val="007A385B"/>
    <w:rsid w:val="007A4C0D"/>
    <w:rsid w:val="007A4E4C"/>
    <w:rsid w:val="007A6BBB"/>
    <w:rsid w:val="007A713B"/>
    <w:rsid w:val="007A72C9"/>
    <w:rsid w:val="007B021B"/>
    <w:rsid w:val="007B06EA"/>
    <w:rsid w:val="007B0E10"/>
    <w:rsid w:val="007B2839"/>
    <w:rsid w:val="007B3D5A"/>
    <w:rsid w:val="007B3F94"/>
    <w:rsid w:val="007B3FC0"/>
    <w:rsid w:val="007B4617"/>
    <w:rsid w:val="007B4BF1"/>
    <w:rsid w:val="007B67C7"/>
    <w:rsid w:val="007B67E6"/>
    <w:rsid w:val="007B6844"/>
    <w:rsid w:val="007B6AFC"/>
    <w:rsid w:val="007C02E6"/>
    <w:rsid w:val="007C0551"/>
    <w:rsid w:val="007C10EC"/>
    <w:rsid w:val="007C1315"/>
    <w:rsid w:val="007C1AAA"/>
    <w:rsid w:val="007C1E0B"/>
    <w:rsid w:val="007C2648"/>
    <w:rsid w:val="007C43AB"/>
    <w:rsid w:val="007C5AC7"/>
    <w:rsid w:val="007C6085"/>
    <w:rsid w:val="007C7A2B"/>
    <w:rsid w:val="007D07E9"/>
    <w:rsid w:val="007D092C"/>
    <w:rsid w:val="007D111B"/>
    <w:rsid w:val="007D1487"/>
    <w:rsid w:val="007D17BC"/>
    <w:rsid w:val="007D1D94"/>
    <w:rsid w:val="007D255E"/>
    <w:rsid w:val="007D2F00"/>
    <w:rsid w:val="007D327D"/>
    <w:rsid w:val="007D3AF4"/>
    <w:rsid w:val="007D3BB0"/>
    <w:rsid w:val="007D4832"/>
    <w:rsid w:val="007D49B7"/>
    <w:rsid w:val="007D50FE"/>
    <w:rsid w:val="007D518D"/>
    <w:rsid w:val="007D6943"/>
    <w:rsid w:val="007E0207"/>
    <w:rsid w:val="007E223D"/>
    <w:rsid w:val="007E24EB"/>
    <w:rsid w:val="007E43B0"/>
    <w:rsid w:val="007E5B7E"/>
    <w:rsid w:val="007E5B88"/>
    <w:rsid w:val="007E5D03"/>
    <w:rsid w:val="007E64D7"/>
    <w:rsid w:val="007F038E"/>
    <w:rsid w:val="007F03B2"/>
    <w:rsid w:val="007F0428"/>
    <w:rsid w:val="007F098B"/>
    <w:rsid w:val="007F0D0B"/>
    <w:rsid w:val="007F1358"/>
    <w:rsid w:val="007F14D4"/>
    <w:rsid w:val="007F2AE4"/>
    <w:rsid w:val="007F3492"/>
    <w:rsid w:val="007F3EE4"/>
    <w:rsid w:val="007F5D18"/>
    <w:rsid w:val="007F6D7D"/>
    <w:rsid w:val="007F7759"/>
    <w:rsid w:val="0080000C"/>
    <w:rsid w:val="008004B7"/>
    <w:rsid w:val="008007A8"/>
    <w:rsid w:val="00802647"/>
    <w:rsid w:val="008042D9"/>
    <w:rsid w:val="00804305"/>
    <w:rsid w:val="00804463"/>
    <w:rsid w:val="008047AE"/>
    <w:rsid w:val="0080643E"/>
    <w:rsid w:val="008066A4"/>
    <w:rsid w:val="0080735C"/>
    <w:rsid w:val="0080791E"/>
    <w:rsid w:val="00810128"/>
    <w:rsid w:val="008107AA"/>
    <w:rsid w:val="00810BEC"/>
    <w:rsid w:val="0081237E"/>
    <w:rsid w:val="00814FC0"/>
    <w:rsid w:val="0081692B"/>
    <w:rsid w:val="0081791F"/>
    <w:rsid w:val="00817C73"/>
    <w:rsid w:val="00820B9F"/>
    <w:rsid w:val="00823005"/>
    <w:rsid w:val="008237D4"/>
    <w:rsid w:val="0082382A"/>
    <w:rsid w:val="00823875"/>
    <w:rsid w:val="00823E23"/>
    <w:rsid w:val="008241FC"/>
    <w:rsid w:val="00824A9A"/>
    <w:rsid w:val="00825823"/>
    <w:rsid w:val="008264D4"/>
    <w:rsid w:val="0082658B"/>
    <w:rsid w:val="00826949"/>
    <w:rsid w:val="00827032"/>
    <w:rsid w:val="008307E7"/>
    <w:rsid w:val="00831362"/>
    <w:rsid w:val="00831652"/>
    <w:rsid w:val="008319B9"/>
    <w:rsid w:val="00831E98"/>
    <w:rsid w:val="008346B9"/>
    <w:rsid w:val="0083483F"/>
    <w:rsid w:val="00834DB5"/>
    <w:rsid w:val="00835D90"/>
    <w:rsid w:val="00835F88"/>
    <w:rsid w:val="00836E20"/>
    <w:rsid w:val="008372EA"/>
    <w:rsid w:val="008374E6"/>
    <w:rsid w:val="00840D79"/>
    <w:rsid w:val="008418C9"/>
    <w:rsid w:val="00842AF3"/>
    <w:rsid w:val="00842DEF"/>
    <w:rsid w:val="00843141"/>
    <w:rsid w:val="00843F6F"/>
    <w:rsid w:val="008441CB"/>
    <w:rsid w:val="008449B9"/>
    <w:rsid w:val="008450DA"/>
    <w:rsid w:val="00845374"/>
    <w:rsid w:val="00845487"/>
    <w:rsid w:val="00845775"/>
    <w:rsid w:val="00845ECF"/>
    <w:rsid w:val="00846E6C"/>
    <w:rsid w:val="00847191"/>
    <w:rsid w:val="0084731D"/>
    <w:rsid w:val="008477CB"/>
    <w:rsid w:val="00850F7E"/>
    <w:rsid w:val="008518F5"/>
    <w:rsid w:val="00851A5F"/>
    <w:rsid w:val="008521E2"/>
    <w:rsid w:val="008533BF"/>
    <w:rsid w:val="0085529E"/>
    <w:rsid w:val="008559FA"/>
    <w:rsid w:val="00855B77"/>
    <w:rsid w:val="00855C3B"/>
    <w:rsid w:val="00855E7F"/>
    <w:rsid w:val="00855F97"/>
    <w:rsid w:val="00856190"/>
    <w:rsid w:val="00856949"/>
    <w:rsid w:val="00856A07"/>
    <w:rsid w:val="008573BC"/>
    <w:rsid w:val="00857806"/>
    <w:rsid w:val="00860067"/>
    <w:rsid w:val="008607B1"/>
    <w:rsid w:val="00860828"/>
    <w:rsid w:val="00860A26"/>
    <w:rsid w:val="00861086"/>
    <w:rsid w:val="00861471"/>
    <w:rsid w:val="00862012"/>
    <w:rsid w:val="0086254F"/>
    <w:rsid w:val="0086295F"/>
    <w:rsid w:val="00862B7F"/>
    <w:rsid w:val="00862C30"/>
    <w:rsid w:val="00862CD7"/>
    <w:rsid w:val="00863E2F"/>
    <w:rsid w:val="00863F76"/>
    <w:rsid w:val="0086403D"/>
    <w:rsid w:val="008640DC"/>
    <w:rsid w:val="00865A0B"/>
    <w:rsid w:val="00865C05"/>
    <w:rsid w:val="008669BC"/>
    <w:rsid w:val="008676EF"/>
    <w:rsid w:val="008705D1"/>
    <w:rsid w:val="008707E4"/>
    <w:rsid w:val="008707FB"/>
    <w:rsid w:val="00870AC3"/>
    <w:rsid w:val="0087202E"/>
    <w:rsid w:val="008724DE"/>
    <w:rsid w:val="008732B7"/>
    <w:rsid w:val="0087467C"/>
    <w:rsid w:val="00874753"/>
    <w:rsid w:val="008758D9"/>
    <w:rsid w:val="00875D9C"/>
    <w:rsid w:val="008760F7"/>
    <w:rsid w:val="0087677B"/>
    <w:rsid w:val="00876D0B"/>
    <w:rsid w:val="008773CC"/>
    <w:rsid w:val="0088053B"/>
    <w:rsid w:val="0088088D"/>
    <w:rsid w:val="00880FD1"/>
    <w:rsid w:val="00882B0A"/>
    <w:rsid w:val="00883807"/>
    <w:rsid w:val="00883E10"/>
    <w:rsid w:val="008841DE"/>
    <w:rsid w:val="00884599"/>
    <w:rsid w:val="008846C1"/>
    <w:rsid w:val="0088526A"/>
    <w:rsid w:val="00886D2E"/>
    <w:rsid w:val="00886FFE"/>
    <w:rsid w:val="00887D02"/>
    <w:rsid w:val="00890525"/>
    <w:rsid w:val="0089140F"/>
    <w:rsid w:val="00892446"/>
    <w:rsid w:val="00892BA1"/>
    <w:rsid w:val="00892E06"/>
    <w:rsid w:val="00894C4D"/>
    <w:rsid w:val="00894D72"/>
    <w:rsid w:val="0089733D"/>
    <w:rsid w:val="008A08EF"/>
    <w:rsid w:val="008A0D03"/>
    <w:rsid w:val="008A12E2"/>
    <w:rsid w:val="008A168E"/>
    <w:rsid w:val="008A275E"/>
    <w:rsid w:val="008A3235"/>
    <w:rsid w:val="008A34C6"/>
    <w:rsid w:val="008A3741"/>
    <w:rsid w:val="008A3D57"/>
    <w:rsid w:val="008A43F8"/>
    <w:rsid w:val="008A4DB5"/>
    <w:rsid w:val="008A50B5"/>
    <w:rsid w:val="008A604D"/>
    <w:rsid w:val="008A6795"/>
    <w:rsid w:val="008A73B2"/>
    <w:rsid w:val="008A7A5C"/>
    <w:rsid w:val="008B0BAB"/>
    <w:rsid w:val="008B0C3B"/>
    <w:rsid w:val="008B128A"/>
    <w:rsid w:val="008B23BC"/>
    <w:rsid w:val="008B257E"/>
    <w:rsid w:val="008B3490"/>
    <w:rsid w:val="008B3899"/>
    <w:rsid w:val="008B4236"/>
    <w:rsid w:val="008B7170"/>
    <w:rsid w:val="008C137D"/>
    <w:rsid w:val="008C2300"/>
    <w:rsid w:val="008C2855"/>
    <w:rsid w:val="008C2947"/>
    <w:rsid w:val="008C2F96"/>
    <w:rsid w:val="008C3D13"/>
    <w:rsid w:val="008C4516"/>
    <w:rsid w:val="008C4A16"/>
    <w:rsid w:val="008C52AB"/>
    <w:rsid w:val="008C5422"/>
    <w:rsid w:val="008C5492"/>
    <w:rsid w:val="008C55C8"/>
    <w:rsid w:val="008C5F6A"/>
    <w:rsid w:val="008C6967"/>
    <w:rsid w:val="008D019B"/>
    <w:rsid w:val="008D175B"/>
    <w:rsid w:val="008D17B7"/>
    <w:rsid w:val="008D3556"/>
    <w:rsid w:val="008D3B17"/>
    <w:rsid w:val="008D44DE"/>
    <w:rsid w:val="008D49E0"/>
    <w:rsid w:val="008D4A44"/>
    <w:rsid w:val="008D4E5B"/>
    <w:rsid w:val="008D64DC"/>
    <w:rsid w:val="008D659D"/>
    <w:rsid w:val="008E1091"/>
    <w:rsid w:val="008E1101"/>
    <w:rsid w:val="008E2B72"/>
    <w:rsid w:val="008E2DB9"/>
    <w:rsid w:val="008E328C"/>
    <w:rsid w:val="008E3836"/>
    <w:rsid w:val="008E3B68"/>
    <w:rsid w:val="008E3D60"/>
    <w:rsid w:val="008E3F4C"/>
    <w:rsid w:val="008E4624"/>
    <w:rsid w:val="008E4D8A"/>
    <w:rsid w:val="008E4DAD"/>
    <w:rsid w:val="008E6B89"/>
    <w:rsid w:val="008E70E8"/>
    <w:rsid w:val="008E7890"/>
    <w:rsid w:val="008F062E"/>
    <w:rsid w:val="008F11D5"/>
    <w:rsid w:val="008F1CDE"/>
    <w:rsid w:val="008F1F11"/>
    <w:rsid w:val="008F370B"/>
    <w:rsid w:val="008F4610"/>
    <w:rsid w:val="008F6CC0"/>
    <w:rsid w:val="009015C1"/>
    <w:rsid w:val="0090165F"/>
    <w:rsid w:val="0090198F"/>
    <w:rsid w:val="00901B82"/>
    <w:rsid w:val="00901E34"/>
    <w:rsid w:val="00902AF4"/>
    <w:rsid w:val="00903B46"/>
    <w:rsid w:val="00904779"/>
    <w:rsid w:val="009059F2"/>
    <w:rsid w:val="00906141"/>
    <w:rsid w:val="00906380"/>
    <w:rsid w:val="00906500"/>
    <w:rsid w:val="009071C8"/>
    <w:rsid w:val="00907FE8"/>
    <w:rsid w:val="00910865"/>
    <w:rsid w:val="00911A75"/>
    <w:rsid w:val="00911AD3"/>
    <w:rsid w:val="00912863"/>
    <w:rsid w:val="00912B09"/>
    <w:rsid w:val="00912B0F"/>
    <w:rsid w:val="00913C94"/>
    <w:rsid w:val="00914DEE"/>
    <w:rsid w:val="00914E28"/>
    <w:rsid w:val="0091512D"/>
    <w:rsid w:val="009152A3"/>
    <w:rsid w:val="009159DE"/>
    <w:rsid w:val="00915D90"/>
    <w:rsid w:val="00916019"/>
    <w:rsid w:val="00916D16"/>
    <w:rsid w:val="00920A79"/>
    <w:rsid w:val="00920FE6"/>
    <w:rsid w:val="00921540"/>
    <w:rsid w:val="009227E9"/>
    <w:rsid w:val="009231F6"/>
    <w:rsid w:val="0092391A"/>
    <w:rsid w:val="00924E27"/>
    <w:rsid w:val="009264A9"/>
    <w:rsid w:val="0092781C"/>
    <w:rsid w:val="00930657"/>
    <w:rsid w:val="009306B7"/>
    <w:rsid w:val="00930980"/>
    <w:rsid w:val="00931A29"/>
    <w:rsid w:val="009326FB"/>
    <w:rsid w:val="00933574"/>
    <w:rsid w:val="00933849"/>
    <w:rsid w:val="00933D3D"/>
    <w:rsid w:val="00933EBC"/>
    <w:rsid w:val="0093485B"/>
    <w:rsid w:val="009365AB"/>
    <w:rsid w:val="00936DA7"/>
    <w:rsid w:val="009375E0"/>
    <w:rsid w:val="00941C8C"/>
    <w:rsid w:val="009426CE"/>
    <w:rsid w:val="0094307B"/>
    <w:rsid w:val="009432CF"/>
    <w:rsid w:val="00943811"/>
    <w:rsid w:val="00943ABE"/>
    <w:rsid w:val="009441CC"/>
    <w:rsid w:val="00945C76"/>
    <w:rsid w:val="0094767A"/>
    <w:rsid w:val="009523BE"/>
    <w:rsid w:val="009555AF"/>
    <w:rsid w:val="00955D30"/>
    <w:rsid w:val="00955E7A"/>
    <w:rsid w:val="00956E4E"/>
    <w:rsid w:val="00957917"/>
    <w:rsid w:val="00960DDA"/>
    <w:rsid w:val="009616D1"/>
    <w:rsid w:val="00962F28"/>
    <w:rsid w:val="00963D06"/>
    <w:rsid w:val="009644F0"/>
    <w:rsid w:val="00964D2F"/>
    <w:rsid w:val="009657E5"/>
    <w:rsid w:val="00966571"/>
    <w:rsid w:val="00966C2F"/>
    <w:rsid w:val="0096742A"/>
    <w:rsid w:val="0096784E"/>
    <w:rsid w:val="009706B4"/>
    <w:rsid w:val="00970C93"/>
    <w:rsid w:val="0097194A"/>
    <w:rsid w:val="00971A76"/>
    <w:rsid w:val="00972228"/>
    <w:rsid w:val="00973A89"/>
    <w:rsid w:val="00974790"/>
    <w:rsid w:val="00974E80"/>
    <w:rsid w:val="0097512B"/>
    <w:rsid w:val="00975693"/>
    <w:rsid w:val="00975B1C"/>
    <w:rsid w:val="009760A9"/>
    <w:rsid w:val="009767AC"/>
    <w:rsid w:val="0097698A"/>
    <w:rsid w:val="00976C42"/>
    <w:rsid w:val="0098007A"/>
    <w:rsid w:val="009808DB"/>
    <w:rsid w:val="00980AA5"/>
    <w:rsid w:val="0098107C"/>
    <w:rsid w:val="00981768"/>
    <w:rsid w:val="0098187C"/>
    <w:rsid w:val="00981A95"/>
    <w:rsid w:val="00982404"/>
    <w:rsid w:val="00982686"/>
    <w:rsid w:val="00982FE6"/>
    <w:rsid w:val="00983612"/>
    <w:rsid w:val="00983C5B"/>
    <w:rsid w:val="00984115"/>
    <w:rsid w:val="0098458F"/>
    <w:rsid w:val="00984FC8"/>
    <w:rsid w:val="00986ACF"/>
    <w:rsid w:val="009872E4"/>
    <w:rsid w:val="009876F6"/>
    <w:rsid w:val="009878D4"/>
    <w:rsid w:val="009879E1"/>
    <w:rsid w:val="00987A22"/>
    <w:rsid w:val="00987A5F"/>
    <w:rsid w:val="00987E4D"/>
    <w:rsid w:val="00987FD1"/>
    <w:rsid w:val="0099029C"/>
    <w:rsid w:val="0099153C"/>
    <w:rsid w:val="00991781"/>
    <w:rsid w:val="00991D70"/>
    <w:rsid w:val="009920DA"/>
    <w:rsid w:val="009921D1"/>
    <w:rsid w:val="00992824"/>
    <w:rsid w:val="00993033"/>
    <w:rsid w:val="00993736"/>
    <w:rsid w:val="009938BD"/>
    <w:rsid w:val="0099502D"/>
    <w:rsid w:val="00995B5B"/>
    <w:rsid w:val="00997137"/>
    <w:rsid w:val="00997F0E"/>
    <w:rsid w:val="009A1183"/>
    <w:rsid w:val="009A1259"/>
    <w:rsid w:val="009A1464"/>
    <w:rsid w:val="009A1B21"/>
    <w:rsid w:val="009A309C"/>
    <w:rsid w:val="009A324A"/>
    <w:rsid w:val="009A33E2"/>
    <w:rsid w:val="009A44F0"/>
    <w:rsid w:val="009A5309"/>
    <w:rsid w:val="009A6B65"/>
    <w:rsid w:val="009A6BE5"/>
    <w:rsid w:val="009A774E"/>
    <w:rsid w:val="009B0182"/>
    <w:rsid w:val="009B11E1"/>
    <w:rsid w:val="009B1824"/>
    <w:rsid w:val="009B1AF6"/>
    <w:rsid w:val="009B1B75"/>
    <w:rsid w:val="009B222D"/>
    <w:rsid w:val="009B2FEC"/>
    <w:rsid w:val="009B36C5"/>
    <w:rsid w:val="009B4404"/>
    <w:rsid w:val="009B51D4"/>
    <w:rsid w:val="009B568B"/>
    <w:rsid w:val="009C289F"/>
    <w:rsid w:val="009C34D4"/>
    <w:rsid w:val="009C63F6"/>
    <w:rsid w:val="009C670C"/>
    <w:rsid w:val="009C6949"/>
    <w:rsid w:val="009C6E26"/>
    <w:rsid w:val="009C7D22"/>
    <w:rsid w:val="009C7D3D"/>
    <w:rsid w:val="009D2A8F"/>
    <w:rsid w:val="009D32B1"/>
    <w:rsid w:val="009D3F06"/>
    <w:rsid w:val="009D5799"/>
    <w:rsid w:val="009D5D1D"/>
    <w:rsid w:val="009D67F6"/>
    <w:rsid w:val="009D6DA8"/>
    <w:rsid w:val="009D74FF"/>
    <w:rsid w:val="009D78AC"/>
    <w:rsid w:val="009D7B53"/>
    <w:rsid w:val="009E08D1"/>
    <w:rsid w:val="009E0FE1"/>
    <w:rsid w:val="009E206C"/>
    <w:rsid w:val="009E2CBD"/>
    <w:rsid w:val="009E40AB"/>
    <w:rsid w:val="009E49C0"/>
    <w:rsid w:val="009E4BD0"/>
    <w:rsid w:val="009E6B27"/>
    <w:rsid w:val="009E7507"/>
    <w:rsid w:val="009F04BA"/>
    <w:rsid w:val="009F0F18"/>
    <w:rsid w:val="009F25A1"/>
    <w:rsid w:val="009F2764"/>
    <w:rsid w:val="009F2F32"/>
    <w:rsid w:val="009F3587"/>
    <w:rsid w:val="009F3AD0"/>
    <w:rsid w:val="009F3DB2"/>
    <w:rsid w:val="009F3F49"/>
    <w:rsid w:val="009F46D9"/>
    <w:rsid w:val="009F4EA7"/>
    <w:rsid w:val="009F6061"/>
    <w:rsid w:val="009F66C0"/>
    <w:rsid w:val="009F6991"/>
    <w:rsid w:val="009F6DE1"/>
    <w:rsid w:val="009F73EF"/>
    <w:rsid w:val="009F79BA"/>
    <w:rsid w:val="00A017CD"/>
    <w:rsid w:val="00A01D62"/>
    <w:rsid w:val="00A02160"/>
    <w:rsid w:val="00A02EA4"/>
    <w:rsid w:val="00A033FC"/>
    <w:rsid w:val="00A038D1"/>
    <w:rsid w:val="00A0406E"/>
    <w:rsid w:val="00A04124"/>
    <w:rsid w:val="00A04CDB"/>
    <w:rsid w:val="00A05AA0"/>
    <w:rsid w:val="00A06557"/>
    <w:rsid w:val="00A070AE"/>
    <w:rsid w:val="00A10E35"/>
    <w:rsid w:val="00A11307"/>
    <w:rsid w:val="00A113AC"/>
    <w:rsid w:val="00A116B1"/>
    <w:rsid w:val="00A13AF3"/>
    <w:rsid w:val="00A143AE"/>
    <w:rsid w:val="00A14557"/>
    <w:rsid w:val="00A1457B"/>
    <w:rsid w:val="00A14AB8"/>
    <w:rsid w:val="00A1570D"/>
    <w:rsid w:val="00A15927"/>
    <w:rsid w:val="00A1690B"/>
    <w:rsid w:val="00A169C5"/>
    <w:rsid w:val="00A1707A"/>
    <w:rsid w:val="00A170CD"/>
    <w:rsid w:val="00A175D4"/>
    <w:rsid w:val="00A17F39"/>
    <w:rsid w:val="00A2057E"/>
    <w:rsid w:val="00A21388"/>
    <w:rsid w:val="00A216A8"/>
    <w:rsid w:val="00A23138"/>
    <w:rsid w:val="00A23E7C"/>
    <w:rsid w:val="00A23FFB"/>
    <w:rsid w:val="00A25059"/>
    <w:rsid w:val="00A268BF"/>
    <w:rsid w:val="00A2730C"/>
    <w:rsid w:val="00A27791"/>
    <w:rsid w:val="00A27ABE"/>
    <w:rsid w:val="00A300F3"/>
    <w:rsid w:val="00A313A0"/>
    <w:rsid w:val="00A31A7A"/>
    <w:rsid w:val="00A335F1"/>
    <w:rsid w:val="00A33609"/>
    <w:rsid w:val="00A33A9D"/>
    <w:rsid w:val="00A33E5A"/>
    <w:rsid w:val="00A3448E"/>
    <w:rsid w:val="00A34E56"/>
    <w:rsid w:val="00A35096"/>
    <w:rsid w:val="00A355F9"/>
    <w:rsid w:val="00A3660E"/>
    <w:rsid w:val="00A366FE"/>
    <w:rsid w:val="00A372EF"/>
    <w:rsid w:val="00A374F7"/>
    <w:rsid w:val="00A37820"/>
    <w:rsid w:val="00A41355"/>
    <w:rsid w:val="00A41E37"/>
    <w:rsid w:val="00A437B6"/>
    <w:rsid w:val="00A43A3C"/>
    <w:rsid w:val="00A43B92"/>
    <w:rsid w:val="00A4533A"/>
    <w:rsid w:val="00A469BD"/>
    <w:rsid w:val="00A46C3A"/>
    <w:rsid w:val="00A47099"/>
    <w:rsid w:val="00A470F9"/>
    <w:rsid w:val="00A47B50"/>
    <w:rsid w:val="00A47D6E"/>
    <w:rsid w:val="00A51ABA"/>
    <w:rsid w:val="00A5209D"/>
    <w:rsid w:val="00A52CEC"/>
    <w:rsid w:val="00A53437"/>
    <w:rsid w:val="00A53861"/>
    <w:rsid w:val="00A53A4E"/>
    <w:rsid w:val="00A53DA3"/>
    <w:rsid w:val="00A53EFD"/>
    <w:rsid w:val="00A54251"/>
    <w:rsid w:val="00A55D71"/>
    <w:rsid w:val="00A56B5A"/>
    <w:rsid w:val="00A56BFF"/>
    <w:rsid w:val="00A57137"/>
    <w:rsid w:val="00A60021"/>
    <w:rsid w:val="00A6145A"/>
    <w:rsid w:val="00A6179E"/>
    <w:rsid w:val="00A6285D"/>
    <w:rsid w:val="00A6347F"/>
    <w:rsid w:val="00A636A9"/>
    <w:rsid w:val="00A6388C"/>
    <w:rsid w:val="00A64316"/>
    <w:rsid w:val="00A644E4"/>
    <w:rsid w:val="00A64FF0"/>
    <w:rsid w:val="00A65D13"/>
    <w:rsid w:val="00A677F7"/>
    <w:rsid w:val="00A70D6C"/>
    <w:rsid w:val="00A72CD4"/>
    <w:rsid w:val="00A7372E"/>
    <w:rsid w:val="00A73B80"/>
    <w:rsid w:val="00A7402A"/>
    <w:rsid w:val="00A741C3"/>
    <w:rsid w:val="00A7645C"/>
    <w:rsid w:val="00A77528"/>
    <w:rsid w:val="00A77AD1"/>
    <w:rsid w:val="00A801CC"/>
    <w:rsid w:val="00A80371"/>
    <w:rsid w:val="00A804D9"/>
    <w:rsid w:val="00A8109C"/>
    <w:rsid w:val="00A82124"/>
    <w:rsid w:val="00A82927"/>
    <w:rsid w:val="00A829BF"/>
    <w:rsid w:val="00A84058"/>
    <w:rsid w:val="00A8483A"/>
    <w:rsid w:val="00A8573B"/>
    <w:rsid w:val="00A86EA9"/>
    <w:rsid w:val="00A90263"/>
    <w:rsid w:val="00A91BED"/>
    <w:rsid w:val="00A92915"/>
    <w:rsid w:val="00A92C9C"/>
    <w:rsid w:val="00A92F92"/>
    <w:rsid w:val="00A9498E"/>
    <w:rsid w:val="00A9498F"/>
    <w:rsid w:val="00A94F22"/>
    <w:rsid w:val="00A95DAB"/>
    <w:rsid w:val="00A9651C"/>
    <w:rsid w:val="00A96892"/>
    <w:rsid w:val="00A969E6"/>
    <w:rsid w:val="00A96B24"/>
    <w:rsid w:val="00AA0F73"/>
    <w:rsid w:val="00AA1DFC"/>
    <w:rsid w:val="00AA2051"/>
    <w:rsid w:val="00AA21CA"/>
    <w:rsid w:val="00AA2C00"/>
    <w:rsid w:val="00AA4557"/>
    <w:rsid w:val="00AA5866"/>
    <w:rsid w:val="00AA6F37"/>
    <w:rsid w:val="00AA70C3"/>
    <w:rsid w:val="00AA70C4"/>
    <w:rsid w:val="00AA7E4A"/>
    <w:rsid w:val="00AB106D"/>
    <w:rsid w:val="00AB1AE8"/>
    <w:rsid w:val="00AB2247"/>
    <w:rsid w:val="00AB2C7F"/>
    <w:rsid w:val="00AB2E7C"/>
    <w:rsid w:val="00AB37F9"/>
    <w:rsid w:val="00AB4784"/>
    <w:rsid w:val="00AB51D6"/>
    <w:rsid w:val="00AB595B"/>
    <w:rsid w:val="00AB62B1"/>
    <w:rsid w:val="00AB6FAB"/>
    <w:rsid w:val="00AB7441"/>
    <w:rsid w:val="00AB7C8F"/>
    <w:rsid w:val="00AB7E57"/>
    <w:rsid w:val="00AC166A"/>
    <w:rsid w:val="00AC16F9"/>
    <w:rsid w:val="00AC2192"/>
    <w:rsid w:val="00AC39CB"/>
    <w:rsid w:val="00AC3A55"/>
    <w:rsid w:val="00AC5ED5"/>
    <w:rsid w:val="00AC636D"/>
    <w:rsid w:val="00AC75A6"/>
    <w:rsid w:val="00AC7BFB"/>
    <w:rsid w:val="00AD00CD"/>
    <w:rsid w:val="00AD1A79"/>
    <w:rsid w:val="00AD396A"/>
    <w:rsid w:val="00AD7EC0"/>
    <w:rsid w:val="00AD7F73"/>
    <w:rsid w:val="00AE05CE"/>
    <w:rsid w:val="00AE0A12"/>
    <w:rsid w:val="00AE136A"/>
    <w:rsid w:val="00AE1B81"/>
    <w:rsid w:val="00AE1EC6"/>
    <w:rsid w:val="00AE21A4"/>
    <w:rsid w:val="00AE2FB5"/>
    <w:rsid w:val="00AE391A"/>
    <w:rsid w:val="00AE51CE"/>
    <w:rsid w:val="00AE56D5"/>
    <w:rsid w:val="00AE6060"/>
    <w:rsid w:val="00AE60E9"/>
    <w:rsid w:val="00AE7812"/>
    <w:rsid w:val="00AE7F90"/>
    <w:rsid w:val="00AF155C"/>
    <w:rsid w:val="00AF2979"/>
    <w:rsid w:val="00AF2FA2"/>
    <w:rsid w:val="00AF2FDA"/>
    <w:rsid w:val="00AF327B"/>
    <w:rsid w:val="00AF3691"/>
    <w:rsid w:val="00AF3CE6"/>
    <w:rsid w:val="00AF47E1"/>
    <w:rsid w:val="00AF5958"/>
    <w:rsid w:val="00AF5D16"/>
    <w:rsid w:val="00AF61E7"/>
    <w:rsid w:val="00AF6C64"/>
    <w:rsid w:val="00B00F61"/>
    <w:rsid w:val="00B01946"/>
    <w:rsid w:val="00B022E6"/>
    <w:rsid w:val="00B04ACE"/>
    <w:rsid w:val="00B0563C"/>
    <w:rsid w:val="00B05C1B"/>
    <w:rsid w:val="00B05F8F"/>
    <w:rsid w:val="00B06016"/>
    <w:rsid w:val="00B06B73"/>
    <w:rsid w:val="00B074D6"/>
    <w:rsid w:val="00B07738"/>
    <w:rsid w:val="00B113F0"/>
    <w:rsid w:val="00B123AB"/>
    <w:rsid w:val="00B13823"/>
    <w:rsid w:val="00B13C43"/>
    <w:rsid w:val="00B13F92"/>
    <w:rsid w:val="00B151F8"/>
    <w:rsid w:val="00B15864"/>
    <w:rsid w:val="00B15AF1"/>
    <w:rsid w:val="00B15E65"/>
    <w:rsid w:val="00B20B36"/>
    <w:rsid w:val="00B20BA5"/>
    <w:rsid w:val="00B2179D"/>
    <w:rsid w:val="00B21A03"/>
    <w:rsid w:val="00B21DD0"/>
    <w:rsid w:val="00B231D3"/>
    <w:rsid w:val="00B237FB"/>
    <w:rsid w:val="00B23C93"/>
    <w:rsid w:val="00B24B1D"/>
    <w:rsid w:val="00B253DE"/>
    <w:rsid w:val="00B25727"/>
    <w:rsid w:val="00B262F2"/>
    <w:rsid w:val="00B26867"/>
    <w:rsid w:val="00B26C33"/>
    <w:rsid w:val="00B27225"/>
    <w:rsid w:val="00B276AF"/>
    <w:rsid w:val="00B277E0"/>
    <w:rsid w:val="00B30B82"/>
    <w:rsid w:val="00B30DE2"/>
    <w:rsid w:val="00B31872"/>
    <w:rsid w:val="00B31CC0"/>
    <w:rsid w:val="00B31D78"/>
    <w:rsid w:val="00B32132"/>
    <w:rsid w:val="00B32458"/>
    <w:rsid w:val="00B331D8"/>
    <w:rsid w:val="00B33CC7"/>
    <w:rsid w:val="00B34946"/>
    <w:rsid w:val="00B3586D"/>
    <w:rsid w:val="00B361D9"/>
    <w:rsid w:val="00B37912"/>
    <w:rsid w:val="00B37AD8"/>
    <w:rsid w:val="00B4020E"/>
    <w:rsid w:val="00B42A6F"/>
    <w:rsid w:val="00B43465"/>
    <w:rsid w:val="00B43C53"/>
    <w:rsid w:val="00B44864"/>
    <w:rsid w:val="00B44E18"/>
    <w:rsid w:val="00B4524B"/>
    <w:rsid w:val="00B46099"/>
    <w:rsid w:val="00B47946"/>
    <w:rsid w:val="00B47BB4"/>
    <w:rsid w:val="00B504D3"/>
    <w:rsid w:val="00B519FD"/>
    <w:rsid w:val="00B51B7E"/>
    <w:rsid w:val="00B51E2A"/>
    <w:rsid w:val="00B520BC"/>
    <w:rsid w:val="00B525B5"/>
    <w:rsid w:val="00B52787"/>
    <w:rsid w:val="00B539CC"/>
    <w:rsid w:val="00B54D0C"/>
    <w:rsid w:val="00B56FC4"/>
    <w:rsid w:val="00B57DF3"/>
    <w:rsid w:val="00B62AD3"/>
    <w:rsid w:val="00B62B5E"/>
    <w:rsid w:val="00B62C34"/>
    <w:rsid w:val="00B63933"/>
    <w:rsid w:val="00B63D24"/>
    <w:rsid w:val="00B64469"/>
    <w:rsid w:val="00B65138"/>
    <w:rsid w:val="00B654AD"/>
    <w:rsid w:val="00B65E85"/>
    <w:rsid w:val="00B660B3"/>
    <w:rsid w:val="00B660DA"/>
    <w:rsid w:val="00B66662"/>
    <w:rsid w:val="00B6672F"/>
    <w:rsid w:val="00B67B07"/>
    <w:rsid w:val="00B70F6E"/>
    <w:rsid w:val="00B71C7E"/>
    <w:rsid w:val="00B72516"/>
    <w:rsid w:val="00B72696"/>
    <w:rsid w:val="00B72A49"/>
    <w:rsid w:val="00B732EC"/>
    <w:rsid w:val="00B74144"/>
    <w:rsid w:val="00B74600"/>
    <w:rsid w:val="00B77815"/>
    <w:rsid w:val="00B80415"/>
    <w:rsid w:val="00B8050E"/>
    <w:rsid w:val="00B81219"/>
    <w:rsid w:val="00B81966"/>
    <w:rsid w:val="00B81B74"/>
    <w:rsid w:val="00B81E35"/>
    <w:rsid w:val="00B82043"/>
    <w:rsid w:val="00B825FF"/>
    <w:rsid w:val="00B827C8"/>
    <w:rsid w:val="00B829B1"/>
    <w:rsid w:val="00B82FCA"/>
    <w:rsid w:val="00B8300C"/>
    <w:rsid w:val="00B83971"/>
    <w:rsid w:val="00B84F4D"/>
    <w:rsid w:val="00B84FA0"/>
    <w:rsid w:val="00B85022"/>
    <w:rsid w:val="00B85FDB"/>
    <w:rsid w:val="00B86758"/>
    <w:rsid w:val="00B87A07"/>
    <w:rsid w:val="00B913EE"/>
    <w:rsid w:val="00B9145E"/>
    <w:rsid w:val="00B91643"/>
    <w:rsid w:val="00B916ED"/>
    <w:rsid w:val="00B920E2"/>
    <w:rsid w:val="00B922EB"/>
    <w:rsid w:val="00B924E6"/>
    <w:rsid w:val="00B92983"/>
    <w:rsid w:val="00B93040"/>
    <w:rsid w:val="00B9377E"/>
    <w:rsid w:val="00B96C71"/>
    <w:rsid w:val="00BA006D"/>
    <w:rsid w:val="00BA15DB"/>
    <w:rsid w:val="00BA1A47"/>
    <w:rsid w:val="00BA1DC5"/>
    <w:rsid w:val="00BA208C"/>
    <w:rsid w:val="00BA24EF"/>
    <w:rsid w:val="00BA262D"/>
    <w:rsid w:val="00BA3732"/>
    <w:rsid w:val="00BA39CA"/>
    <w:rsid w:val="00BA3C07"/>
    <w:rsid w:val="00BA3C8C"/>
    <w:rsid w:val="00BA42C8"/>
    <w:rsid w:val="00BA48F1"/>
    <w:rsid w:val="00BA5698"/>
    <w:rsid w:val="00BA591B"/>
    <w:rsid w:val="00BA5D96"/>
    <w:rsid w:val="00BA6108"/>
    <w:rsid w:val="00BA6285"/>
    <w:rsid w:val="00BA64FA"/>
    <w:rsid w:val="00BA7B58"/>
    <w:rsid w:val="00BB1316"/>
    <w:rsid w:val="00BB2F36"/>
    <w:rsid w:val="00BB3392"/>
    <w:rsid w:val="00BB339E"/>
    <w:rsid w:val="00BB3A8E"/>
    <w:rsid w:val="00BB4B59"/>
    <w:rsid w:val="00BB4E9C"/>
    <w:rsid w:val="00BB6D89"/>
    <w:rsid w:val="00BB7277"/>
    <w:rsid w:val="00BB7497"/>
    <w:rsid w:val="00BC00CC"/>
    <w:rsid w:val="00BC0359"/>
    <w:rsid w:val="00BC06D7"/>
    <w:rsid w:val="00BC0762"/>
    <w:rsid w:val="00BC0F04"/>
    <w:rsid w:val="00BC1E51"/>
    <w:rsid w:val="00BC214A"/>
    <w:rsid w:val="00BC23DF"/>
    <w:rsid w:val="00BC27EC"/>
    <w:rsid w:val="00BC6F90"/>
    <w:rsid w:val="00BC713C"/>
    <w:rsid w:val="00BC7259"/>
    <w:rsid w:val="00BC79EB"/>
    <w:rsid w:val="00BD220C"/>
    <w:rsid w:val="00BD2D33"/>
    <w:rsid w:val="00BD4501"/>
    <w:rsid w:val="00BD5BCB"/>
    <w:rsid w:val="00BD6BAF"/>
    <w:rsid w:val="00BD7FCF"/>
    <w:rsid w:val="00BE0230"/>
    <w:rsid w:val="00BE0B9D"/>
    <w:rsid w:val="00BE1AA2"/>
    <w:rsid w:val="00BE2060"/>
    <w:rsid w:val="00BE2CB4"/>
    <w:rsid w:val="00BE2D0D"/>
    <w:rsid w:val="00BE3078"/>
    <w:rsid w:val="00BE3AE5"/>
    <w:rsid w:val="00BE3CFA"/>
    <w:rsid w:val="00BE440A"/>
    <w:rsid w:val="00BE4C10"/>
    <w:rsid w:val="00BE50E5"/>
    <w:rsid w:val="00BE60E4"/>
    <w:rsid w:val="00BE6760"/>
    <w:rsid w:val="00BE7186"/>
    <w:rsid w:val="00BF172F"/>
    <w:rsid w:val="00BF1837"/>
    <w:rsid w:val="00BF1924"/>
    <w:rsid w:val="00BF20FA"/>
    <w:rsid w:val="00BF2AB7"/>
    <w:rsid w:val="00BF4266"/>
    <w:rsid w:val="00BF4573"/>
    <w:rsid w:val="00BF45C7"/>
    <w:rsid w:val="00BF533C"/>
    <w:rsid w:val="00BF5BFD"/>
    <w:rsid w:val="00BF5D40"/>
    <w:rsid w:val="00BF6406"/>
    <w:rsid w:val="00BF6B43"/>
    <w:rsid w:val="00BF7C82"/>
    <w:rsid w:val="00C00733"/>
    <w:rsid w:val="00C00DE1"/>
    <w:rsid w:val="00C012AD"/>
    <w:rsid w:val="00C0145C"/>
    <w:rsid w:val="00C015E9"/>
    <w:rsid w:val="00C01B7A"/>
    <w:rsid w:val="00C0221C"/>
    <w:rsid w:val="00C02D8D"/>
    <w:rsid w:val="00C03643"/>
    <w:rsid w:val="00C037CC"/>
    <w:rsid w:val="00C04B7D"/>
    <w:rsid w:val="00C056A1"/>
    <w:rsid w:val="00C0597B"/>
    <w:rsid w:val="00C064DC"/>
    <w:rsid w:val="00C06FF5"/>
    <w:rsid w:val="00C0755A"/>
    <w:rsid w:val="00C10021"/>
    <w:rsid w:val="00C10595"/>
    <w:rsid w:val="00C10681"/>
    <w:rsid w:val="00C109AC"/>
    <w:rsid w:val="00C10F9F"/>
    <w:rsid w:val="00C11034"/>
    <w:rsid w:val="00C11639"/>
    <w:rsid w:val="00C1166A"/>
    <w:rsid w:val="00C11E96"/>
    <w:rsid w:val="00C11FC7"/>
    <w:rsid w:val="00C125CE"/>
    <w:rsid w:val="00C1322A"/>
    <w:rsid w:val="00C13CD9"/>
    <w:rsid w:val="00C149BD"/>
    <w:rsid w:val="00C1559B"/>
    <w:rsid w:val="00C16346"/>
    <w:rsid w:val="00C16A85"/>
    <w:rsid w:val="00C17326"/>
    <w:rsid w:val="00C2050A"/>
    <w:rsid w:val="00C20E33"/>
    <w:rsid w:val="00C21DB2"/>
    <w:rsid w:val="00C22980"/>
    <w:rsid w:val="00C2301B"/>
    <w:rsid w:val="00C238CA"/>
    <w:rsid w:val="00C239E6"/>
    <w:rsid w:val="00C2479A"/>
    <w:rsid w:val="00C2517F"/>
    <w:rsid w:val="00C25BDA"/>
    <w:rsid w:val="00C26CE2"/>
    <w:rsid w:val="00C27257"/>
    <w:rsid w:val="00C3129B"/>
    <w:rsid w:val="00C3175D"/>
    <w:rsid w:val="00C328ED"/>
    <w:rsid w:val="00C33104"/>
    <w:rsid w:val="00C332D4"/>
    <w:rsid w:val="00C333E1"/>
    <w:rsid w:val="00C33A06"/>
    <w:rsid w:val="00C33CA1"/>
    <w:rsid w:val="00C34845"/>
    <w:rsid w:val="00C35D4B"/>
    <w:rsid w:val="00C35F22"/>
    <w:rsid w:val="00C35F2F"/>
    <w:rsid w:val="00C363BB"/>
    <w:rsid w:val="00C36D58"/>
    <w:rsid w:val="00C41DEA"/>
    <w:rsid w:val="00C448C3"/>
    <w:rsid w:val="00C456D3"/>
    <w:rsid w:val="00C45921"/>
    <w:rsid w:val="00C45F1B"/>
    <w:rsid w:val="00C4650C"/>
    <w:rsid w:val="00C46780"/>
    <w:rsid w:val="00C467B3"/>
    <w:rsid w:val="00C47F01"/>
    <w:rsid w:val="00C51011"/>
    <w:rsid w:val="00C51CBB"/>
    <w:rsid w:val="00C52A00"/>
    <w:rsid w:val="00C52A5D"/>
    <w:rsid w:val="00C530AD"/>
    <w:rsid w:val="00C5435E"/>
    <w:rsid w:val="00C553E7"/>
    <w:rsid w:val="00C55877"/>
    <w:rsid w:val="00C5597C"/>
    <w:rsid w:val="00C55C9D"/>
    <w:rsid w:val="00C560AC"/>
    <w:rsid w:val="00C560BE"/>
    <w:rsid w:val="00C5781C"/>
    <w:rsid w:val="00C60343"/>
    <w:rsid w:val="00C61F70"/>
    <w:rsid w:val="00C629FC"/>
    <w:rsid w:val="00C62FA7"/>
    <w:rsid w:val="00C63E83"/>
    <w:rsid w:val="00C64738"/>
    <w:rsid w:val="00C647DD"/>
    <w:rsid w:val="00C656E6"/>
    <w:rsid w:val="00C663FA"/>
    <w:rsid w:val="00C664AE"/>
    <w:rsid w:val="00C6668B"/>
    <w:rsid w:val="00C67126"/>
    <w:rsid w:val="00C7036E"/>
    <w:rsid w:val="00C709A0"/>
    <w:rsid w:val="00C70AD4"/>
    <w:rsid w:val="00C70B83"/>
    <w:rsid w:val="00C70FDD"/>
    <w:rsid w:val="00C715DC"/>
    <w:rsid w:val="00C736F7"/>
    <w:rsid w:val="00C73EFE"/>
    <w:rsid w:val="00C74158"/>
    <w:rsid w:val="00C75917"/>
    <w:rsid w:val="00C763F1"/>
    <w:rsid w:val="00C77913"/>
    <w:rsid w:val="00C77DA8"/>
    <w:rsid w:val="00C8035E"/>
    <w:rsid w:val="00C813CC"/>
    <w:rsid w:val="00C82E8D"/>
    <w:rsid w:val="00C83A1C"/>
    <w:rsid w:val="00C8436D"/>
    <w:rsid w:val="00C851A7"/>
    <w:rsid w:val="00C854D4"/>
    <w:rsid w:val="00C868DC"/>
    <w:rsid w:val="00C87000"/>
    <w:rsid w:val="00C90256"/>
    <w:rsid w:val="00C90556"/>
    <w:rsid w:val="00C90923"/>
    <w:rsid w:val="00C91555"/>
    <w:rsid w:val="00C91EB8"/>
    <w:rsid w:val="00C92497"/>
    <w:rsid w:val="00C9376C"/>
    <w:rsid w:val="00C9386C"/>
    <w:rsid w:val="00C93CFC"/>
    <w:rsid w:val="00C95B64"/>
    <w:rsid w:val="00C95D65"/>
    <w:rsid w:val="00C95DD1"/>
    <w:rsid w:val="00C9685D"/>
    <w:rsid w:val="00C977D3"/>
    <w:rsid w:val="00C97A72"/>
    <w:rsid w:val="00CA0D78"/>
    <w:rsid w:val="00CA18AC"/>
    <w:rsid w:val="00CA29BD"/>
    <w:rsid w:val="00CA3CAA"/>
    <w:rsid w:val="00CA413A"/>
    <w:rsid w:val="00CA44F5"/>
    <w:rsid w:val="00CA4855"/>
    <w:rsid w:val="00CA4E1F"/>
    <w:rsid w:val="00CA538E"/>
    <w:rsid w:val="00CA59F8"/>
    <w:rsid w:val="00CA5D90"/>
    <w:rsid w:val="00CA6E28"/>
    <w:rsid w:val="00CA7D89"/>
    <w:rsid w:val="00CB0300"/>
    <w:rsid w:val="00CB0F82"/>
    <w:rsid w:val="00CB2134"/>
    <w:rsid w:val="00CB24FE"/>
    <w:rsid w:val="00CB2776"/>
    <w:rsid w:val="00CB30E2"/>
    <w:rsid w:val="00CB35CE"/>
    <w:rsid w:val="00CB3934"/>
    <w:rsid w:val="00CB46C7"/>
    <w:rsid w:val="00CB47F9"/>
    <w:rsid w:val="00CB4E3D"/>
    <w:rsid w:val="00CB568B"/>
    <w:rsid w:val="00CB5C6E"/>
    <w:rsid w:val="00CB673B"/>
    <w:rsid w:val="00CB6D9A"/>
    <w:rsid w:val="00CB781F"/>
    <w:rsid w:val="00CB7AAB"/>
    <w:rsid w:val="00CC0044"/>
    <w:rsid w:val="00CC046F"/>
    <w:rsid w:val="00CC0C5D"/>
    <w:rsid w:val="00CC1C4F"/>
    <w:rsid w:val="00CC2AA0"/>
    <w:rsid w:val="00CC2D5B"/>
    <w:rsid w:val="00CC4760"/>
    <w:rsid w:val="00CC6637"/>
    <w:rsid w:val="00CC7634"/>
    <w:rsid w:val="00CD07C1"/>
    <w:rsid w:val="00CD294F"/>
    <w:rsid w:val="00CD302E"/>
    <w:rsid w:val="00CD58FD"/>
    <w:rsid w:val="00CD6147"/>
    <w:rsid w:val="00CD6ECB"/>
    <w:rsid w:val="00CD7A48"/>
    <w:rsid w:val="00CE04BA"/>
    <w:rsid w:val="00CE0FDC"/>
    <w:rsid w:val="00CE146E"/>
    <w:rsid w:val="00CE278F"/>
    <w:rsid w:val="00CE2CE7"/>
    <w:rsid w:val="00CE2D73"/>
    <w:rsid w:val="00CE3DA4"/>
    <w:rsid w:val="00CE4EC0"/>
    <w:rsid w:val="00CE4F5C"/>
    <w:rsid w:val="00CE5D66"/>
    <w:rsid w:val="00CE654A"/>
    <w:rsid w:val="00CF0918"/>
    <w:rsid w:val="00CF35EB"/>
    <w:rsid w:val="00CF4285"/>
    <w:rsid w:val="00CF4C5B"/>
    <w:rsid w:val="00CF4FB4"/>
    <w:rsid w:val="00CF53C0"/>
    <w:rsid w:val="00CF595C"/>
    <w:rsid w:val="00CF7592"/>
    <w:rsid w:val="00CF77E2"/>
    <w:rsid w:val="00CF7D81"/>
    <w:rsid w:val="00D0300B"/>
    <w:rsid w:val="00D03307"/>
    <w:rsid w:val="00D034AB"/>
    <w:rsid w:val="00D040E6"/>
    <w:rsid w:val="00D05151"/>
    <w:rsid w:val="00D05627"/>
    <w:rsid w:val="00D079F9"/>
    <w:rsid w:val="00D07B9D"/>
    <w:rsid w:val="00D1040A"/>
    <w:rsid w:val="00D10504"/>
    <w:rsid w:val="00D1068C"/>
    <w:rsid w:val="00D11BC1"/>
    <w:rsid w:val="00D11D7B"/>
    <w:rsid w:val="00D12182"/>
    <w:rsid w:val="00D12525"/>
    <w:rsid w:val="00D13248"/>
    <w:rsid w:val="00D1372E"/>
    <w:rsid w:val="00D14997"/>
    <w:rsid w:val="00D16B24"/>
    <w:rsid w:val="00D16F39"/>
    <w:rsid w:val="00D17C34"/>
    <w:rsid w:val="00D207FC"/>
    <w:rsid w:val="00D21A34"/>
    <w:rsid w:val="00D2213C"/>
    <w:rsid w:val="00D22C10"/>
    <w:rsid w:val="00D2326C"/>
    <w:rsid w:val="00D24367"/>
    <w:rsid w:val="00D24742"/>
    <w:rsid w:val="00D26019"/>
    <w:rsid w:val="00D26488"/>
    <w:rsid w:val="00D26A45"/>
    <w:rsid w:val="00D26C92"/>
    <w:rsid w:val="00D301B9"/>
    <w:rsid w:val="00D30596"/>
    <w:rsid w:val="00D308AE"/>
    <w:rsid w:val="00D314B6"/>
    <w:rsid w:val="00D31598"/>
    <w:rsid w:val="00D32C5A"/>
    <w:rsid w:val="00D33004"/>
    <w:rsid w:val="00D3317C"/>
    <w:rsid w:val="00D33559"/>
    <w:rsid w:val="00D337A2"/>
    <w:rsid w:val="00D343FA"/>
    <w:rsid w:val="00D344C8"/>
    <w:rsid w:val="00D350FF"/>
    <w:rsid w:val="00D355A2"/>
    <w:rsid w:val="00D37511"/>
    <w:rsid w:val="00D37C81"/>
    <w:rsid w:val="00D4147B"/>
    <w:rsid w:val="00D418FF"/>
    <w:rsid w:val="00D42D4B"/>
    <w:rsid w:val="00D43682"/>
    <w:rsid w:val="00D4492F"/>
    <w:rsid w:val="00D459F3"/>
    <w:rsid w:val="00D462A1"/>
    <w:rsid w:val="00D47043"/>
    <w:rsid w:val="00D470D7"/>
    <w:rsid w:val="00D5040D"/>
    <w:rsid w:val="00D5054B"/>
    <w:rsid w:val="00D50CCD"/>
    <w:rsid w:val="00D53424"/>
    <w:rsid w:val="00D539D5"/>
    <w:rsid w:val="00D53FDE"/>
    <w:rsid w:val="00D5443B"/>
    <w:rsid w:val="00D54E34"/>
    <w:rsid w:val="00D5638F"/>
    <w:rsid w:val="00D57C9B"/>
    <w:rsid w:val="00D602A0"/>
    <w:rsid w:val="00D60953"/>
    <w:rsid w:val="00D60C29"/>
    <w:rsid w:val="00D61898"/>
    <w:rsid w:val="00D61AE8"/>
    <w:rsid w:val="00D6256D"/>
    <w:rsid w:val="00D62621"/>
    <w:rsid w:val="00D63773"/>
    <w:rsid w:val="00D63DD6"/>
    <w:rsid w:val="00D6410B"/>
    <w:rsid w:val="00D646F9"/>
    <w:rsid w:val="00D65C76"/>
    <w:rsid w:val="00D66C77"/>
    <w:rsid w:val="00D66EAB"/>
    <w:rsid w:val="00D71204"/>
    <w:rsid w:val="00D72196"/>
    <w:rsid w:val="00D729F2"/>
    <w:rsid w:val="00D732FC"/>
    <w:rsid w:val="00D734C7"/>
    <w:rsid w:val="00D735EF"/>
    <w:rsid w:val="00D74619"/>
    <w:rsid w:val="00D749D6"/>
    <w:rsid w:val="00D74CC4"/>
    <w:rsid w:val="00D75131"/>
    <w:rsid w:val="00D7542B"/>
    <w:rsid w:val="00D76095"/>
    <w:rsid w:val="00D76FDD"/>
    <w:rsid w:val="00D770ED"/>
    <w:rsid w:val="00D77139"/>
    <w:rsid w:val="00D77729"/>
    <w:rsid w:val="00D77838"/>
    <w:rsid w:val="00D80590"/>
    <w:rsid w:val="00D80D81"/>
    <w:rsid w:val="00D812AF"/>
    <w:rsid w:val="00D82341"/>
    <w:rsid w:val="00D8351F"/>
    <w:rsid w:val="00D8456E"/>
    <w:rsid w:val="00D85928"/>
    <w:rsid w:val="00D861FE"/>
    <w:rsid w:val="00D9053B"/>
    <w:rsid w:val="00D90ED7"/>
    <w:rsid w:val="00D910BD"/>
    <w:rsid w:val="00D91D55"/>
    <w:rsid w:val="00D9280E"/>
    <w:rsid w:val="00D928A4"/>
    <w:rsid w:val="00D92A77"/>
    <w:rsid w:val="00D92D25"/>
    <w:rsid w:val="00D94737"/>
    <w:rsid w:val="00D94748"/>
    <w:rsid w:val="00D94AB1"/>
    <w:rsid w:val="00D96BA6"/>
    <w:rsid w:val="00D97008"/>
    <w:rsid w:val="00DA02F7"/>
    <w:rsid w:val="00DA184C"/>
    <w:rsid w:val="00DA1D32"/>
    <w:rsid w:val="00DA2306"/>
    <w:rsid w:val="00DA2C11"/>
    <w:rsid w:val="00DA2CD6"/>
    <w:rsid w:val="00DA2F73"/>
    <w:rsid w:val="00DA3F9D"/>
    <w:rsid w:val="00DA420A"/>
    <w:rsid w:val="00DA424D"/>
    <w:rsid w:val="00DA46AD"/>
    <w:rsid w:val="00DA4B97"/>
    <w:rsid w:val="00DA4EC4"/>
    <w:rsid w:val="00DA52B0"/>
    <w:rsid w:val="00DA52C1"/>
    <w:rsid w:val="00DA597D"/>
    <w:rsid w:val="00DA65DB"/>
    <w:rsid w:val="00DA6BC9"/>
    <w:rsid w:val="00DA7A55"/>
    <w:rsid w:val="00DA7E35"/>
    <w:rsid w:val="00DB135E"/>
    <w:rsid w:val="00DB1D6D"/>
    <w:rsid w:val="00DB28A7"/>
    <w:rsid w:val="00DB2BB7"/>
    <w:rsid w:val="00DB4FE1"/>
    <w:rsid w:val="00DB5932"/>
    <w:rsid w:val="00DB5ECA"/>
    <w:rsid w:val="00DB6793"/>
    <w:rsid w:val="00DB6E7A"/>
    <w:rsid w:val="00DC04E4"/>
    <w:rsid w:val="00DC0CF7"/>
    <w:rsid w:val="00DC2838"/>
    <w:rsid w:val="00DC307B"/>
    <w:rsid w:val="00DC312C"/>
    <w:rsid w:val="00DC343B"/>
    <w:rsid w:val="00DC3CF2"/>
    <w:rsid w:val="00DC462F"/>
    <w:rsid w:val="00DC499A"/>
    <w:rsid w:val="00DC54F9"/>
    <w:rsid w:val="00DC5795"/>
    <w:rsid w:val="00DC5DC7"/>
    <w:rsid w:val="00DC6948"/>
    <w:rsid w:val="00DC72E4"/>
    <w:rsid w:val="00DC7318"/>
    <w:rsid w:val="00DC7529"/>
    <w:rsid w:val="00DD06CF"/>
    <w:rsid w:val="00DD1132"/>
    <w:rsid w:val="00DD1514"/>
    <w:rsid w:val="00DD1AFA"/>
    <w:rsid w:val="00DD1B29"/>
    <w:rsid w:val="00DD1DCF"/>
    <w:rsid w:val="00DD3EAB"/>
    <w:rsid w:val="00DD4005"/>
    <w:rsid w:val="00DD4642"/>
    <w:rsid w:val="00DD4D52"/>
    <w:rsid w:val="00DD4FFD"/>
    <w:rsid w:val="00DD503A"/>
    <w:rsid w:val="00DD53BC"/>
    <w:rsid w:val="00DD5F9E"/>
    <w:rsid w:val="00DD6798"/>
    <w:rsid w:val="00DD69E2"/>
    <w:rsid w:val="00DD6A21"/>
    <w:rsid w:val="00DD72BA"/>
    <w:rsid w:val="00DD7758"/>
    <w:rsid w:val="00DD7CBC"/>
    <w:rsid w:val="00DE0A5D"/>
    <w:rsid w:val="00DE18A7"/>
    <w:rsid w:val="00DE2EFB"/>
    <w:rsid w:val="00DE346C"/>
    <w:rsid w:val="00DE34AC"/>
    <w:rsid w:val="00DE45D8"/>
    <w:rsid w:val="00DE50C9"/>
    <w:rsid w:val="00DE55EC"/>
    <w:rsid w:val="00DE5FBE"/>
    <w:rsid w:val="00DE60CA"/>
    <w:rsid w:val="00DE7714"/>
    <w:rsid w:val="00DF0A06"/>
    <w:rsid w:val="00DF0A69"/>
    <w:rsid w:val="00DF1215"/>
    <w:rsid w:val="00DF579B"/>
    <w:rsid w:val="00DF6DA4"/>
    <w:rsid w:val="00DF7817"/>
    <w:rsid w:val="00DF788E"/>
    <w:rsid w:val="00E023DD"/>
    <w:rsid w:val="00E02517"/>
    <w:rsid w:val="00E02700"/>
    <w:rsid w:val="00E02728"/>
    <w:rsid w:val="00E031B9"/>
    <w:rsid w:val="00E03EF2"/>
    <w:rsid w:val="00E043EE"/>
    <w:rsid w:val="00E04E34"/>
    <w:rsid w:val="00E05726"/>
    <w:rsid w:val="00E062D0"/>
    <w:rsid w:val="00E06E6D"/>
    <w:rsid w:val="00E101F2"/>
    <w:rsid w:val="00E1381C"/>
    <w:rsid w:val="00E13E1C"/>
    <w:rsid w:val="00E14147"/>
    <w:rsid w:val="00E14567"/>
    <w:rsid w:val="00E14833"/>
    <w:rsid w:val="00E16226"/>
    <w:rsid w:val="00E1675F"/>
    <w:rsid w:val="00E170A2"/>
    <w:rsid w:val="00E20A08"/>
    <w:rsid w:val="00E20F1B"/>
    <w:rsid w:val="00E21D75"/>
    <w:rsid w:val="00E22876"/>
    <w:rsid w:val="00E23F7F"/>
    <w:rsid w:val="00E246D7"/>
    <w:rsid w:val="00E24FA3"/>
    <w:rsid w:val="00E258EE"/>
    <w:rsid w:val="00E26B28"/>
    <w:rsid w:val="00E272AC"/>
    <w:rsid w:val="00E30BF9"/>
    <w:rsid w:val="00E31465"/>
    <w:rsid w:val="00E31C9C"/>
    <w:rsid w:val="00E328CD"/>
    <w:rsid w:val="00E32DD6"/>
    <w:rsid w:val="00E3489E"/>
    <w:rsid w:val="00E35D11"/>
    <w:rsid w:val="00E362F0"/>
    <w:rsid w:val="00E36ACF"/>
    <w:rsid w:val="00E36B95"/>
    <w:rsid w:val="00E36D38"/>
    <w:rsid w:val="00E37176"/>
    <w:rsid w:val="00E4003F"/>
    <w:rsid w:val="00E400FF"/>
    <w:rsid w:val="00E4164F"/>
    <w:rsid w:val="00E41674"/>
    <w:rsid w:val="00E41A3C"/>
    <w:rsid w:val="00E43577"/>
    <w:rsid w:val="00E4566B"/>
    <w:rsid w:val="00E458F6"/>
    <w:rsid w:val="00E45954"/>
    <w:rsid w:val="00E460B7"/>
    <w:rsid w:val="00E46704"/>
    <w:rsid w:val="00E479AF"/>
    <w:rsid w:val="00E47AE0"/>
    <w:rsid w:val="00E47E44"/>
    <w:rsid w:val="00E50063"/>
    <w:rsid w:val="00E5036E"/>
    <w:rsid w:val="00E519E4"/>
    <w:rsid w:val="00E51EC1"/>
    <w:rsid w:val="00E521B6"/>
    <w:rsid w:val="00E53546"/>
    <w:rsid w:val="00E53707"/>
    <w:rsid w:val="00E53B77"/>
    <w:rsid w:val="00E54401"/>
    <w:rsid w:val="00E54F0C"/>
    <w:rsid w:val="00E553D7"/>
    <w:rsid w:val="00E55930"/>
    <w:rsid w:val="00E55A29"/>
    <w:rsid w:val="00E55B33"/>
    <w:rsid w:val="00E55F24"/>
    <w:rsid w:val="00E56E4C"/>
    <w:rsid w:val="00E57494"/>
    <w:rsid w:val="00E60C58"/>
    <w:rsid w:val="00E60D0D"/>
    <w:rsid w:val="00E613C9"/>
    <w:rsid w:val="00E6165C"/>
    <w:rsid w:val="00E624D0"/>
    <w:rsid w:val="00E62593"/>
    <w:rsid w:val="00E628FC"/>
    <w:rsid w:val="00E62C83"/>
    <w:rsid w:val="00E633BA"/>
    <w:rsid w:val="00E635EB"/>
    <w:rsid w:val="00E63876"/>
    <w:rsid w:val="00E65579"/>
    <w:rsid w:val="00E678FF"/>
    <w:rsid w:val="00E67D61"/>
    <w:rsid w:val="00E700EE"/>
    <w:rsid w:val="00E70D06"/>
    <w:rsid w:val="00E70D6C"/>
    <w:rsid w:val="00E70E27"/>
    <w:rsid w:val="00E72305"/>
    <w:rsid w:val="00E72AC4"/>
    <w:rsid w:val="00E72CF9"/>
    <w:rsid w:val="00E7319F"/>
    <w:rsid w:val="00E7348B"/>
    <w:rsid w:val="00E73E40"/>
    <w:rsid w:val="00E763B8"/>
    <w:rsid w:val="00E76508"/>
    <w:rsid w:val="00E7692A"/>
    <w:rsid w:val="00E76AC0"/>
    <w:rsid w:val="00E76C5D"/>
    <w:rsid w:val="00E84A0C"/>
    <w:rsid w:val="00E8659D"/>
    <w:rsid w:val="00E87913"/>
    <w:rsid w:val="00E90D4E"/>
    <w:rsid w:val="00E91004"/>
    <w:rsid w:val="00E918DF"/>
    <w:rsid w:val="00E9221F"/>
    <w:rsid w:val="00E925A6"/>
    <w:rsid w:val="00E92A3F"/>
    <w:rsid w:val="00E93F44"/>
    <w:rsid w:val="00E945C4"/>
    <w:rsid w:val="00E9511C"/>
    <w:rsid w:val="00E9542B"/>
    <w:rsid w:val="00E95803"/>
    <w:rsid w:val="00E96952"/>
    <w:rsid w:val="00E9729E"/>
    <w:rsid w:val="00E9761C"/>
    <w:rsid w:val="00E97B69"/>
    <w:rsid w:val="00EA063F"/>
    <w:rsid w:val="00EA0D0C"/>
    <w:rsid w:val="00EA13AB"/>
    <w:rsid w:val="00EA156D"/>
    <w:rsid w:val="00EA1C4E"/>
    <w:rsid w:val="00EA2D16"/>
    <w:rsid w:val="00EA3A7C"/>
    <w:rsid w:val="00EA3E1F"/>
    <w:rsid w:val="00EA44D9"/>
    <w:rsid w:val="00EA54B4"/>
    <w:rsid w:val="00EA655E"/>
    <w:rsid w:val="00EA722C"/>
    <w:rsid w:val="00EB0B71"/>
    <w:rsid w:val="00EB17D8"/>
    <w:rsid w:val="00EB26F1"/>
    <w:rsid w:val="00EB2A02"/>
    <w:rsid w:val="00EB2D54"/>
    <w:rsid w:val="00EB3568"/>
    <w:rsid w:val="00EB3CC8"/>
    <w:rsid w:val="00EB427A"/>
    <w:rsid w:val="00EB453C"/>
    <w:rsid w:val="00EB5799"/>
    <w:rsid w:val="00EB60A1"/>
    <w:rsid w:val="00EB626D"/>
    <w:rsid w:val="00EB6A76"/>
    <w:rsid w:val="00EB749B"/>
    <w:rsid w:val="00EB7DCF"/>
    <w:rsid w:val="00EC069F"/>
    <w:rsid w:val="00EC466F"/>
    <w:rsid w:val="00EC4933"/>
    <w:rsid w:val="00EC51A1"/>
    <w:rsid w:val="00EC669C"/>
    <w:rsid w:val="00EC6758"/>
    <w:rsid w:val="00EC688D"/>
    <w:rsid w:val="00EC7095"/>
    <w:rsid w:val="00ED04E2"/>
    <w:rsid w:val="00ED0704"/>
    <w:rsid w:val="00ED0F26"/>
    <w:rsid w:val="00ED223C"/>
    <w:rsid w:val="00ED2679"/>
    <w:rsid w:val="00ED2E5E"/>
    <w:rsid w:val="00ED3AEA"/>
    <w:rsid w:val="00ED4FB1"/>
    <w:rsid w:val="00ED504E"/>
    <w:rsid w:val="00ED507C"/>
    <w:rsid w:val="00ED5166"/>
    <w:rsid w:val="00ED5405"/>
    <w:rsid w:val="00ED6057"/>
    <w:rsid w:val="00ED7B16"/>
    <w:rsid w:val="00EE0BA6"/>
    <w:rsid w:val="00EE13E8"/>
    <w:rsid w:val="00EE2C77"/>
    <w:rsid w:val="00EE4BEC"/>
    <w:rsid w:val="00EE4D5A"/>
    <w:rsid w:val="00EE4D8D"/>
    <w:rsid w:val="00EE71F7"/>
    <w:rsid w:val="00EF044D"/>
    <w:rsid w:val="00EF1982"/>
    <w:rsid w:val="00EF2E78"/>
    <w:rsid w:val="00EF35D9"/>
    <w:rsid w:val="00EF4BF3"/>
    <w:rsid w:val="00EF4F5B"/>
    <w:rsid w:val="00EF55F8"/>
    <w:rsid w:val="00EF5769"/>
    <w:rsid w:val="00EF717C"/>
    <w:rsid w:val="00EF71AB"/>
    <w:rsid w:val="00F00372"/>
    <w:rsid w:val="00F003ED"/>
    <w:rsid w:val="00F0175E"/>
    <w:rsid w:val="00F0236E"/>
    <w:rsid w:val="00F02540"/>
    <w:rsid w:val="00F02F6A"/>
    <w:rsid w:val="00F0327A"/>
    <w:rsid w:val="00F03DC2"/>
    <w:rsid w:val="00F0454E"/>
    <w:rsid w:val="00F04618"/>
    <w:rsid w:val="00F048F4"/>
    <w:rsid w:val="00F05279"/>
    <w:rsid w:val="00F05B02"/>
    <w:rsid w:val="00F05DCD"/>
    <w:rsid w:val="00F0652C"/>
    <w:rsid w:val="00F0799D"/>
    <w:rsid w:val="00F102DE"/>
    <w:rsid w:val="00F107A0"/>
    <w:rsid w:val="00F11CB1"/>
    <w:rsid w:val="00F127A8"/>
    <w:rsid w:val="00F12D52"/>
    <w:rsid w:val="00F13AC4"/>
    <w:rsid w:val="00F13C45"/>
    <w:rsid w:val="00F14C6D"/>
    <w:rsid w:val="00F1502F"/>
    <w:rsid w:val="00F152B8"/>
    <w:rsid w:val="00F15D94"/>
    <w:rsid w:val="00F16869"/>
    <w:rsid w:val="00F16B43"/>
    <w:rsid w:val="00F16E81"/>
    <w:rsid w:val="00F16FBA"/>
    <w:rsid w:val="00F17199"/>
    <w:rsid w:val="00F202A0"/>
    <w:rsid w:val="00F20374"/>
    <w:rsid w:val="00F20857"/>
    <w:rsid w:val="00F20BE2"/>
    <w:rsid w:val="00F20D4A"/>
    <w:rsid w:val="00F220A5"/>
    <w:rsid w:val="00F22BE2"/>
    <w:rsid w:val="00F23BE4"/>
    <w:rsid w:val="00F24DA4"/>
    <w:rsid w:val="00F24F40"/>
    <w:rsid w:val="00F24FDF"/>
    <w:rsid w:val="00F25071"/>
    <w:rsid w:val="00F2533A"/>
    <w:rsid w:val="00F25B92"/>
    <w:rsid w:val="00F25E7B"/>
    <w:rsid w:val="00F262F5"/>
    <w:rsid w:val="00F27818"/>
    <w:rsid w:val="00F3026B"/>
    <w:rsid w:val="00F31BE2"/>
    <w:rsid w:val="00F32433"/>
    <w:rsid w:val="00F33678"/>
    <w:rsid w:val="00F336F9"/>
    <w:rsid w:val="00F34362"/>
    <w:rsid w:val="00F34BC9"/>
    <w:rsid w:val="00F352FF"/>
    <w:rsid w:val="00F35485"/>
    <w:rsid w:val="00F362FE"/>
    <w:rsid w:val="00F365EA"/>
    <w:rsid w:val="00F37320"/>
    <w:rsid w:val="00F376A8"/>
    <w:rsid w:val="00F37C04"/>
    <w:rsid w:val="00F414E6"/>
    <w:rsid w:val="00F418D5"/>
    <w:rsid w:val="00F41ADE"/>
    <w:rsid w:val="00F42D8A"/>
    <w:rsid w:val="00F43D8D"/>
    <w:rsid w:val="00F43E03"/>
    <w:rsid w:val="00F44594"/>
    <w:rsid w:val="00F44ED5"/>
    <w:rsid w:val="00F45DE6"/>
    <w:rsid w:val="00F46F35"/>
    <w:rsid w:val="00F47446"/>
    <w:rsid w:val="00F47844"/>
    <w:rsid w:val="00F50814"/>
    <w:rsid w:val="00F5123E"/>
    <w:rsid w:val="00F513AE"/>
    <w:rsid w:val="00F51D53"/>
    <w:rsid w:val="00F52DB5"/>
    <w:rsid w:val="00F53CB6"/>
    <w:rsid w:val="00F55EDD"/>
    <w:rsid w:val="00F568BF"/>
    <w:rsid w:val="00F56E79"/>
    <w:rsid w:val="00F57BC4"/>
    <w:rsid w:val="00F6081D"/>
    <w:rsid w:val="00F615AD"/>
    <w:rsid w:val="00F62554"/>
    <w:rsid w:val="00F630CD"/>
    <w:rsid w:val="00F63A10"/>
    <w:rsid w:val="00F647BB"/>
    <w:rsid w:val="00F6519D"/>
    <w:rsid w:val="00F6649C"/>
    <w:rsid w:val="00F66771"/>
    <w:rsid w:val="00F66D5C"/>
    <w:rsid w:val="00F6739A"/>
    <w:rsid w:val="00F675D0"/>
    <w:rsid w:val="00F70545"/>
    <w:rsid w:val="00F70B27"/>
    <w:rsid w:val="00F70E7E"/>
    <w:rsid w:val="00F714DA"/>
    <w:rsid w:val="00F726EB"/>
    <w:rsid w:val="00F72E80"/>
    <w:rsid w:val="00F75340"/>
    <w:rsid w:val="00F766E1"/>
    <w:rsid w:val="00F767E2"/>
    <w:rsid w:val="00F802F5"/>
    <w:rsid w:val="00F803B7"/>
    <w:rsid w:val="00F818F5"/>
    <w:rsid w:val="00F8302E"/>
    <w:rsid w:val="00F8477A"/>
    <w:rsid w:val="00F84B70"/>
    <w:rsid w:val="00F8584F"/>
    <w:rsid w:val="00F85B47"/>
    <w:rsid w:val="00F8684D"/>
    <w:rsid w:val="00F86CE2"/>
    <w:rsid w:val="00F86DAB"/>
    <w:rsid w:val="00F8747C"/>
    <w:rsid w:val="00F91893"/>
    <w:rsid w:val="00F91DEF"/>
    <w:rsid w:val="00F92316"/>
    <w:rsid w:val="00F92419"/>
    <w:rsid w:val="00F924DA"/>
    <w:rsid w:val="00F92C62"/>
    <w:rsid w:val="00F93A77"/>
    <w:rsid w:val="00F93EC8"/>
    <w:rsid w:val="00F9447C"/>
    <w:rsid w:val="00F9453F"/>
    <w:rsid w:val="00F94D75"/>
    <w:rsid w:val="00F95000"/>
    <w:rsid w:val="00F9527B"/>
    <w:rsid w:val="00F959BB"/>
    <w:rsid w:val="00F95F29"/>
    <w:rsid w:val="00F96ED9"/>
    <w:rsid w:val="00FA01A9"/>
    <w:rsid w:val="00FA0C71"/>
    <w:rsid w:val="00FA0E35"/>
    <w:rsid w:val="00FA23F2"/>
    <w:rsid w:val="00FA312A"/>
    <w:rsid w:val="00FA4551"/>
    <w:rsid w:val="00FA4916"/>
    <w:rsid w:val="00FA59E8"/>
    <w:rsid w:val="00FA6C48"/>
    <w:rsid w:val="00FA6F35"/>
    <w:rsid w:val="00FA7E5C"/>
    <w:rsid w:val="00FB0272"/>
    <w:rsid w:val="00FB0841"/>
    <w:rsid w:val="00FB0C1E"/>
    <w:rsid w:val="00FB12EE"/>
    <w:rsid w:val="00FB193D"/>
    <w:rsid w:val="00FB1D0C"/>
    <w:rsid w:val="00FB2E6D"/>
    <w:rsid w:val="00FB3422"/>
    <w:rsid w:val="00FB4B6C"/>
    <w:rsid w:val="00FB53CC"/>
    <w:rsid w:val="00FB55A9"/>
    <w:rsid w:val="00FB5978"/>
    <w:rsid w:val="00FB5A6B"/>
    <w:rsid w:val="00FB7A08"/>
    <w:rsid w:val="00FC1A72"/>
    <w:rsid w:val="00FC1B05"/>
    <w:rsid w:val="00FC2705"/>
    <w:rsid w:val="00FC2985"/>
    <w:rsid w:val="00FC39A9"/>
    <w:rsid w:val="00FC4EB3"/>
    <w:rsid w:val="00FC674F"/>
    <w:rsid w:val="00FC7D7B"/>
    <w:rsid w:val="00FD01B5"/>
    <w:rsid w:val="00FD1B3C"/>
    <w:rsid w:val="00FD1FA7"/>
    <w:rsid w:val="00FD222C"/>
    <w:rsid w:val="00FD22C3"/>
    <w:rsid w:val="00FD3FC0"/>
    <w:rsid w:val="00FD5BF0"/>
    <w:rsid w:val="00FD7098"/>
    <w:rsid w:val="00FD7317"/>
    <w:rsid w:val="00FD79F4"/>
    <w:rsid w:val="00FD7F00"/>
    <w:rsid w:val="00FE1C67"/>
    <w:rsid w:val="00FE2776"/>
    <w:rsid w:val="00FE2975"/>
    <w:rsid w:val="00FE312D"/>
    <w:rsid w:val="00FE390E"/>
    <w:rsid w:val="00FE4F3C"/>
    <w:rsid w:val="00FE585B"/>
    <w:rsid w:val="00FE64CD"/>
    <w:rsid w:val="00FF0FCD"/>
    <w:rsid w:val="00FF0FD4"/>
    <w:rsid w:val="00FF121C"/>
    <w:rsid w:val="00FF1902"/>
    <w:rsid w:val="00FF1EFA"/>
    <w:rsid w:val="00FF433F"/>
    <w:rsid w:val="00FF4983"/>
    <w:rsid w:val="00FF5971"/>
    <w:rsid w:val="00FF5A67"/>
    <w:rsid w:val="00FF6753"/>
    <w:rsid w:val="0DB06B41"/>
    <w:rsid w:val="1178EA4D"/>
    <w:rsid w:val="371D249D"/>
    <w:rsid w:val="437B0381"/>
    <w:rsid w:val="4445630F"/>
    <w:rsid w:val="4462388E"/>
    <w:rsid w:val="6C932340"/>
    <w:rsid w:val="6D9CB3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45037"/>
  <w15:chartTrackingRefBased/>
  <w15:docId w15:val="{80203C55-2FC6-4949-B22B-0AF8244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Emphasis" w:uiPriority="20" w:qFormat="1"/>
    <w:lsdException w:name="HTML Top of Form" w:locked="0"/>
    <w:lsdException w:name="HTML Bottom of Form" w:locked="0"/>
    <w:lsdException w:name="HTML Preformatted" w:semiHidden="1" w:unhideWhenUsed="1"/>
    <w:lsdException w:name="HTML Variable"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F924DA"/>
    <w:rPr>
      <w:rFonts w:ascii="Open Sans" w:eastAsia="MS Mincho" w:hAnsi="Open Sans"/>
      <w:sz w:val="24"/>
      <w:szCs w:val="24"/>
    </w:rPr>
  </w:style>
  <w:style w:type="character" w:customStyle="1" w:styleId="ui-provider">
    <w:name w:val="ui-provider"/>
    <w:basedOn w:val="DefaultParagraphFont"/>
    <w:rsid w:val="005A2478"/>
  </w:style>
  <w:style w:type="character" w:styleId="Mention">
    <w:name w:val="Mention"/>
    <w:basedOn w:val="DefaultParagraphFont"/>
    <w:uiPriority w:val="99"/>
    <w:unhideWhenUsed/>
    <w:rsid w:val="00B525B5"/>
    <w:rPr>
      <w:color w:val="2B579A"/>
      <w:shd w:val="clear" w:color="auto" w:fill="E1DFDD"/>
    </w:rPr>
  </w:style>
  <w:style w:type="character" w:customStyle="1" w:styleId="cf01">
    <w:name w:val="cf01"/>
    <w:basedOn w:val="DefaultParagraphFont"/>
    <w:rsid w:val="00D37C81"/>
    <w:rPr>
      <w:rFonts w:ascii="Segoe UI" w:hAnsi="Segoe UI" w:cs="Segoe UI" w:hint="default"/>
      <w:sz w:val="18"/>
      <w:szCs w:val="18"/>
    </w:rPr>
  </w:style>
  <w:style w:type="character" w:styleId="FootnoteReference">
    <w:name w:val="footnote reference"/>
    <w:locked/>
    <w:rsid w:val="0009413F"/>
    <w:rPr>
      <w:rFonts w:ascii="Arial" w:hAnsi="Arial"/>
      <w:sz w:val="20"/>
      <w:vertAlign w:val="superscript"/>
    </w:rPr>
  </w:style>
  <w:style w:type="paragraph" w:styleId="FootnoteText">
    <w:name w:val="footnote text"/>
    <w:basedOn w:val="Normal"/>
    <w:link w:val="FootnoteTextChar"/>
    <w:locked/>
    <w:rsid w:val="0009413F"/>
    <w:pPr>
      <w:spacing w:before="0" w:after="0"/>
    </w:pPr>
    <w:rPr>
      <w:rFonts w:eastAsia="Times New Roman"/>
      <w:sz w:val="20"/>
      <w:szCs w:val="20"/>
    </w:rPr>
  </w:style>
  <w:style w:type="character" w:customStyle="1" w:styleId="FootnoteTextChar">
    <w:name w:val="Footnote Text Char"/>
    <w:basedOn w:val="DefaultParagraphFont"/>
    <w:link w:val="FootnoteText"/>
    <w:rsid w:val="0009413F"/>
    <w:rPr>
      <w:rFonts w:ascii="Open Sans" w:hAnsi="Open Sans"/>
    </w:rPr>
  </w:style>
  <w:style w:type="paragraph" w:customStyle="1" w:styleId="pf0">
    <w:name w:val="pf0"/>
    <w:basedOn w:val="Normal"/>
    <w:rsid w:val="00A06557"/>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B15864"/>
    <w:rPr>
      <w:color w:val="605E5C"/>
      <w:shd w:val="clear" w:color="auto" w:fill="E1DFDD"/>
    </w:rPr>
  </w:style>
  <w:style w:type="character" w:customStyle="1" w:styleId="cf11">
    <w:name w:val="cf11"/>
    <w:basedOn w:val="DefaultParagraphFont"/>
    <w:rsid w:val="00A82927"/>
    <w:rPr>
      <w:rFonts w:ascii="Segoe UI" w:hAnsi="Segoe UI" w:cs="Segoe UI" w:hint="default"/>
      <w:i/>
      <w:iCs/>
      <w:sz w:val="18"/>
      <w:szCs w:val="18"/>
    </w:rPr>
  </w:style>
  <w:style w:type="paragraph" w:customStyle="1" w:styleId="Default">
    <w:name w:val="Default"/>
    <w:rsid w:val="00A6285D"/>
    <w:pP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3171">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600260749">
      <w:bodyDiv w:val="1"/>
      <w:marLeft w:val="0"/>
      <w:marRight w:val="0"/>
      <w:marTop w:val="0"/>
      <w:marBottom w:val="0"/>
      <w:divBdr>
        <w:top w:val="none" w:sz="0" w:space="0" w:color="auto"/>
        <w:left w:val="none" w:sz="0" w:space="0" w:color="auto"/>
        <w:bottom w:val="none" w:sz="0" w:space="0" w:color="auto"/>
        <w:right w:val="none" w:sz="0" w:space="0" w:color="auto"/>
      </w:divBdr>
    </w:div>
    <w:div w:id="1777211157">
      <w:bodyDiv w:val="1"/>
      <w:marLeft w:val="0"/>
      <w:marRight w:val="0"/>
      <w:marTop w:val="0"/>
      <w:marBottom w:val="0"/>
      <w:divBdr>
        <w:top w:val="none" w:sz="0" w:space="0" w:color="auto"/>
        <w:left w:val="none" w:sz="0" w:space="0" w:color="auto"/>
        <w:bottom w:val="none" w:sz="0" w:space="0" w:color="auto"/>
        <w:right w:val="none" w:sz="0" w:space="0" w:color="auto"/>
      </w:divBdr>
    </w:div>
    <w:div w:id="201819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13" Type="http://schemas.openxmlformats.org/officeDocument/2006/relationships/hyperlink" Target="https://www.infrastructure.gov.au/infrastructure-transport-vehicles/aviation/aviation-white-paper/terms-of-reference" TargetMode="External"/><Relationship Id="rId18" Type="http://schemas.openxmlformats.org/officeDocument/2006/relationships/hyperlink" Target="https://www.theguardian.com/society/2022/oct/06/second-class-citizen-man-lifted-on-to-plane-as-darwin-airport-had-no-ramp-for-wheelchair-users" TargetMode="External"/><Relationship Id="rId26" Type="http://schemas.openxmlformats.org/officeDocument/2006/relationships/hyperlink" Target="https://nt.gov.au/learning/special-education/transport-for-students-with-special-needs" TargetMode="External"/><Relationship Id="rId39" Type="http://schemas.openxmlformats.org/officeDocument/2006/relationships/hyperlink" Target="https://aus01.safelinks.protection.outlook.com/?url=https%3A%2F%2Fanzlaw.thomsonreuters.com%2FDocument%2FIc1c2f5d6235611e9aea5d3b0306b19b8%2FView%2FFullText.html%3FnavigationPath%3DSearch%252Fv1%252Fresults%252Fnavigation%252Fi0ad74035000001891e9128124959bc63%253Fppcid%253D80a83617118a453cb2bc8ea9982a81cb%2526Nav%253DAUNZ_CASES%2526fragmentIdentifier%253DIc1c2f5d6235611e9aea5d3b0306b19b8%2526parentRank%253D0%2526startIndex%253D21%2526contextData%253D%252528sc.Search%252529%2526transitionType%253DSearchItem%26listSource%3DSearch%26listPageSource%3D26f71766a70a4f317169834e5c5e402b%26list%3DAUNZ_CASES%26rank%3D26%26sessionScopeId%3Dd0a108e90e5f271cfdefb21fc87ad1a814f9b37c782375fd49af586a81574144%26ppcid%3D80a83617118a453cb2bc8ea9982a81cb%26originationContext%3DSearch%2520Result%26transitionType%3DSearchItem%26contextData%3D(sc.Search)%26comp%3Dwlau%23co_term_5906&amp;data=05%7C01%7Calexandra.dunn%40humanrights.gov.au%7C137ca60e171b4081b1eb08db7dbe6364%7Cea4cdebd454f4218919b7adc32bf1549%7C0%7C0%7C638242028889016138%7CUnknown%7CTWFpbGZsb3d8eyJWIjoiMC4wLjAwMDAiLCJQIjoiV2luMzIiLCJBTiI6Ik1haWwiLCJXVCI6Mn0%3D%7C3000%7C%7C%7C&amp;sdata=wFWrkixaYsOZK9EA2G9cuXiFyBZIi%2BhuRNMh4aCDHCs%3D&amp;reserved=0" TargetMode="External"/><Relationship Id="rId21" Type="http://schemas.openxmlformats.org/officeDocument/2006/relationships/hyperlink" Target="https://www.smh.com.au/national/tired-of-the-fight-paralympian-not-allowed-on-flight-with-wheelchair-20220602-p5aqg6.html" TargetMode="External"/><Relationship Id="rId34" Type="http://schemas.openxmlformats.org/officeDocument/2006/relationships/hyperlink" Target="https://www.theguardian.com/australia-news/2022/apr/21/were-not-a-priority-people-with-disabilities-wait-up-to-three-hours-for-transport-in-regional-queensland" TargetMode="External"/><Relationship Id="rId42" Type="http://schemas.openxmlformats.org/officeDocument/2006/relationships/hyperlink" Target="https://humanrights.gov.au/our-work/disability-rights/publications/guidelines-equivalent-access-under-disability-standards" TargetMode="External"/><Relationship Id="rId7" Type="http://schemas.openxmlformats.org/officeDocument/2006/relationships/hyperlink" Target="https://www.audit.vic.gov.au/report/accessibility-tram-services?section=" TargetMode="External"/><Relationship Id="rId2" Type="http://schemas.openxmlformats.org/officeDocument/2006/relationships/hyperlink" Target="https://www.disabilitygateway.gov.au/sites/default/files/documents/2021-11/1816-outcomes-framework.pdf" TargetMode="External"/><Relationship Id="rId16" Type="http://schemas.openxmlformats.org/officeDocument/2006/relationships/hyperlink" Target="https://www.9news.com.au/national/australians-with-disabilities-suffer-dehumanising-treatment-at-airports-travel-news/b7de6139-258a-4e86-a615-031eb0e89074" TargetMode="External"/><Relationship Id="rId20" Type="http://schemas.openxmlformats.org/officeDocument/2006/relationships/hyperlink" Target="https://www.abc.net.au/news/2022-05-15/sa-adelaide-airport-disability-discrimination-complaint/101068140" TargetMode="External"/><Relationship Id="rId29" Type="http://schemas.openxmlformats.org/officeDocument/2006/relationships/hyperlink" Target="https://publicdocumentcentre.education.tas.gov.au/library/Document%20Centre/Transport-Assistance-Program-for-Students-with-Disability-Procedures.pdf" TargetMode="External"/><Relationship Id="rId41" Type="http://schemas.openxmlformats.org/officeDocument/2006/relationships/hyperlink" Target="https://aus01.safelinks.protection.outlook.com/?url=https%3A%2F%2Fadvance.lexis.com%2Fdocument%2Fdocumentlink%2F%3Fpdmfid%3D1201008%26crid%3Df38dd7cb-c6dc-4c74-a670-2d4391a0c430%26pddocfullpath%3D%252Fshared%252Fdocument%252Fcases-au%252Furn%253AcontentItem%253A5FJ9-0C81-JPGX-S2T9-00000-00%26pdcontentcomponentid%3D293402%26pddoctitle%3D%255B2014%255D%2BFCCA%2B209%26pdproductcontenttypeid%3Durn%253Apct%253A170%26pdiskwicview%3Dfalse%26ecomp%3D-3z2k%26prid%3D798726dc-5a1d-426a-8b47-d9b3380b57c2&amp;data=05%7C01%7Calexandra.dunn%40humanrights.gov.au%7C137ca60e171b4081b1eb08db7dbe6364%7Cea4cdebd454f4218919b7adc32bf1549%7C0%7C0%7C638242028889016138%7CUnknown%7CTWFpbGZsb3d8eyJWIjoiMC4wLjAwMDAiLCJQIjoiV2luMzIiLCJBTiI6Ik1haWwiLCJXVCI6Mn0%3D%7C3000%7C%7C%7C&amp;sdata=UpwsA4lLtpMl7hgPnLqGJxRmfYUD80HlSJQbzNK%2F93Y%3D&amp;reserved=0" TargetMode="External"/><Relationship Id="rId1" Type="http://schemas.openxmlformats.org/officeDocument/2006/relationships/hyperlink" Target="https://www.disabilitygateway.gov.au/document/3106" TargetMode="External"/><Relationship Id="rId6" Type="http://schemas.openxmlformats.org/officeDocument/2006/relationships/hyperlink" Target="https://humanrights.gov.au/our-work/legal/exemption-applications-under-disability-discrimination-act-1992-cth" TargetMode="External"/><Relationship Id="rId11" Type="http://schemas.openxmlformats.org/officeDocument/2006/relationships/hyperlink" Target="https://www.abs.gov.au/statistics/health/disability/disability-ageing-and-carers-australia-summary-findings/latest-release" TargetMode="External"/><Relationship Id="rId24" Type="http://schemas.openxmlformats.org/officeDocument/2006/relationships/hyperlink" Target="https://education.nsw.gov.au/policy-library/policies/pd-2005-0292" TargetMode="External"/><Relationship Id="rId32" Type="http://schemas.openxmlformats.org/officeDocument/2006/relationships/hyperlink" Target="https://piac.asn.au/2022/08/09/submission-to-the-reforms-of-the-disability-standards-for-accessible-public-transport-2002-stage-2-consultation-regulation-impact-statement/" TargetMode="External"/><Relationship Id="rId37" Type="http://schemas.openxmlformats.org/officeDocument/2006/relationships/hyperlink" Target="https://archive.budget.gov.au/2022-23-october/bp1/download/bp1_2022-23.pdf" TargetMode="External"/><Relationship Id="rId40" Type="http://schemas.openxmlformats.org/officeDocument/2006/relationships/hyperlink" Target="https://aus01.safelinks.protection.outlook.com/?url=https%3A%2F%2Fadvance.lexis.com%2Fdocument%2Fonecase%2F%3Fpdmfid%3D1201008%26crid%3D9d1c3392-e4f1-4ffe-b7e8-e57d535f75e3%26pddocfullpath%3D%252Fshared%252Fdocument%252Fcases-au%252Furn%253AcontentItem%253A5J6Y-X9W1-FGJR-21VJ-00000-00%26pdcontentcomponentid%3D267703%26pdteaserkey%3Dcr28%26pdicsfeatureid%3D1517127%26pditab%3Dallpods%26ecomp%3Dkctpk%26earg%3Dcr28%26prid%3Dd21298ee-d71a-4775-93ae-eb18f39b4876&amp;data=05%7C01%7Calexandra.dunn%40humanrights.gov.au%7C137ca60e171b4081b1eb08db7dbe6364%7Cea4cdebd454f4218919b7adc32bf1549%7C0%7C0%7C638242028889016138%7CUnknown%7CTWFpbGZsb3d8eyJWIjoiMC4wLjAwMDAiLCJQIjoiV2luMzIiLCJBTiI6Ik1haWwiLCJXVCI6Mn0%3D%7C3000%7C%7C%7C&amp;sdata=1vE0nxxgx0HUVQLFptwihMoD22XALd1cYjCxvYed3uI%3D&amp;reserved=0" TargetMode="External"/><Relationship Id="rId5" Type="http://schemas.openxmlformats.org/officeDocument/2006/relationships/hyperlink" Target="https://humanrights.gov.au/our-work/legal/exemption-applications-under-disability-discrimination-act-1992-cth" TargetMode="External"/><Relationship Id="rId15" Type="http://schemas.openxmlformats.org/officeDocument/2006/relationships/hyperlink" Target="https://www.travelweekly.com.au/article/airlines-and-airports-to-step-up-treatment-of-disabled-travellers/" TargetMode="External"/><Relationship Id="rId23" Type="http://schemas.openxmlformats.org/officeDocument/2006/relationships/hyperlink" Target="https://www.vic.gov.au/getting-to-from-school-students-disability" TargetMode="External"/><Relationship Id="rId28" Type="http://schemas.openxmlformats.org/officeDocument/2006/relationships/hyperlink" Target="https://www.schoolbuses.wa.gov.au/TransportAssistance/WhosEligible/EDSupportStudents.aspx" TargetMode="External"/><Relationship Id="rId36" Type="http://schemas.openxmlformats.org/officeDocument/2006/relationships/hyperlink" Target="https://www.budget.nsw.gov.au/sites/default/files/2022-06/20220620_01_FARRAWAY-Record-investment-for-regional-transport-and-roads-continues-to-soar.pdf" TargetMode="External"/><Relationship Id="rId10" Type="http://schemas.openxmlformats.org/officeDocument/2006/relationships/hyperlink" Target="https://www.abc.net.au/news/2023-01-16/australia-misses-20-year-public-transport-accessibility-target/101858532" TargetMode="External"/><Relationship Id="rId19" Type="http://schemas.openxmlformats.org/officeDocument/2006/relationships/hyperlink" Target="https://hireup.com.au/news/a-timeline-of-aussie-travellers-with-disability-being-mistreated-by-airlines/" TargetMode="External"/><Relationship Id="rId31" Type="http://schemas.openxmlformats.org/officeDocument/2006/relationships/hyperlink" Target="https://www.infrastructure.gov.au/sites/default/files/migrated/transport/disabilities/review/files/School_Bus_RIS_final.pdf" TargetMode="External"/><Relationship Id="rId4" Type="http://schemas.openxmlformats.org/officeDocument/2006/relationships/hyperlink" Target="https://humanrights.gov.au/our-work/legal/exemption-applications-under-disability-discrimination-act-1992-cth" TargetMode="External"/><Relationship Id="rId9" Type="http://schemas.openxmlformats.org/officeDocument/2006/relationships/hyperlink" Target="https://www.theage.com.au/national/victoria/they-are-locked-at-home-brakes-slammed-on-tram-accessibility-20230615-p5dgsa.html" TargetMode="External"/><Relationship Id="rId14" Type="http://schemas.openxmlformats.org/officeDocument/2006/relationships/hyperlink" Target="https://www.theguardian.com/australia-news/2023/feb/03/australias-airlines-and-airports-urged-to-improve-treatment-of-travellers-with-disabilities" TargetMode="External"/><Relationship Id="rId22" Type="http://schemas.openxmlformats.org/officeDocument/2006/relationships/hyperlink" Target="https://www.infrastructure.gov.au/sites/default/files/documents/dedicated-school-buses.pdf" TargetMode="External"/><Relationship Id="rId27" Type="http://schemas.openxmlformats.org/officeDocument/2006/relationships/hyperlink" Target="https://www.education.sa.gov.au/doc/school-transport-policy" TargetMode="External"/><Relationship Id="rId30" Type="http://schemas.openxmlformats.org/officeDocument/2006/relationships/hyperlink" Target="https://www.transport.act.gov.au/travel-options/bus/accessible-travel/special-needs-transport-for-students/special-needs-transport-guidelines" TargetMode="External"/><Relationship Id="rId35" Type="http://schemas.openxmlformats.org/officeDocument/2006/relationships/hyperlink" Target="https://www.abc.net.au/news/2022-10-18/people-with-disabilities-call-for-taxi-industry-to-treat-passeng/101542024" TargetMode="External"/><Relationship Id="rId8" Type="http://schemas.openxmlformats.org/officeDocument/2006/relationships/hyperlink" Target="https://media.opengov.nsw.gov.au/pairtree_root/56/88/47/9a/3a/24/4e/28/ac/20/f2/1e/d3/3d/c0/79/obj/173582.pdf" TargetMode="External"/><Relationship Id="rId3" Type="http://schemas.openxmlformats.org/officeDocument/2006/relationships/hyperlink" Target="https://humanrights.gov.au/our-work/rights-and-freedoms/publications/free-and-equal-reform-agenda-federal-discrimination-laws" TargetMode="External"/><Relationship Id="rId12" Type="http://schemas.openxmlformats.org/officeDocument/2006/relationships/hyperlink" Target="https://www.infrastructure.gov.au/infrastructure-transport-vehicles/aviation/aviation-white-paper" TargetMode="External"/><Relationship Id="rId17" Type="http://schemas.openxmlformats.org/officeDocument/2006/relationships/hyperlink" Target="https://www.abc.net.au/news/2022-10-06/why-people-with-disabilities-stay-home-and-avoid-flying-analysis/101440056" TargetMode="External"/><Relationship Id="rId25" Type="http://schemas.openxmlformats.org/officeDocument/2006/relationships/hyperlink" Target="https://ppr.qed.qld.gov.au/pp/school-transport-assistance-program-for-students-with-disability-procedure" TargetMode="External"/><Relationship Id="rId33" Type="http://schemas.openxmlformats.org/officeDocument/2006/relationships/hyperlink" Target="https://view.officeapps.live.com/op/view.aspx?src=https%3A%2F%2Fapo.org.au%2Fsites%2Fdefault%2Ffiles%2Fresource-files%2F2023-03%2Fapo-nid322005.docx&amp;wdOrigin=BROWSELINK" TargetMode="External"/><Relationship Id="rId38" Type="http://schemas.openxmlformats.org/officeDocument/2006/relationships/hyperlink" Target="https://www.infrastructure.gov.au/infrastructure-transport-vehicles/transport-accessibility/reform-disability-standards-accessible-public-transport-2002-transport-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WEV44C3EEZP4-1056255319-3433</_dlc_DocId>
    <_dlc_DocIdUrl xmlns="6500fe01-343b-4fb9-a1b0-68ac19d62e01">
      <Url>https://australianhrc.sharepoint.com/sites/DisabilityRights/_layouts/15/DocIdRedir.aspx?ID=WEV44C3EEZP4-1056255319-3433</Url>
      <Description>WEV44C3EEZP4-1056255319-3433</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D234E28-B345-4108-8EB3-981E9AB2F75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2.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3.xml><?xml version="1.0" encoding="utf-8"?>
<ds:datastoreItem xmlns:ds="http://schemas.openxmlformats.org/officeDocument/2006/customXml" ds:itemID="{ABA77AA9-AD15-43BA-B22C-A17412D97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5.xml><?xml version="1.0" encoding="utf-8"?>
<ds:datastoreItem xmlns:ds="http://schemas.openxmlformats.org/officeDocument/2006/customXml" ds:itemID="{1B1E4B1E-0C2A-4198-B10B-223AB03E0C5C}">
  <ds:schemaRefs>
    <ds:schemaRef ds:uri="Microsoft.SharePoint.Taxonomy.ContentTypeSync"/>
  </ds:schemaRefs>
</ds:datastoreItem>
</file>

<file path=customXml/itemProps6.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7.xml><?xml version="1.0" encoding="utf-8"?>
<ds:datastoreItem xmlns:ds="http://schemas.openxmlformats.org/officeDocument/2006/customXml" ds:itemID="{0DF7606B-64CD-4B86-8CB1-2E0DE0CD891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12822</Words>
  <Characters>73092</Characters>
  <Application>Microsoft Office Word</Application>
  <DocSecurity>0</DocSecurity>
  <Lines>609</Lines>
  <Paragraphs>171</Paragraphs>
  <ScaleCrop>false</ScaleCrop>
  <Company>Human Rights and Equal Opportunity Commission</Company>
  <LinksUpToDate>false</LinksUpToDate>
  <CharactersWithSpaces>85743</CharactersWithSpaces>
  <SharedDoc>false</SharedDoc>
  <HLinks>
    <vt:vector size="408" baseType="variant">
      <vt:variant>
        <vt:i4>1310773</vt:i4>
      </vt:variant>
      <vt:variant>
        <vt:i4>128</vt:i4>
      </vt:variant>
      <vt:variant>
        <vt:i4>0</vt:i4>
      </vt:variant>
      <vt:variant>
        <vt:i4>5</vt:i4>
      </vt:variant>
      <vt:variant>
        <vt:lpwstr/>
      </vt:variant>
      <vt:variant>
        <vt:lpwstr>_Toc138090509</vt:lpwstr>
      </vt:variant>
      <vt:variant>
        <vt:i4>1310773</vt:i4>
      </vt:variant>
      <vt:variant>
        <vt:i4>122</vt:i4>
      </vt:variant>
      <vt:variant>
        <vt:i4>0</vt:i4>
      </vt:variant>
      <vt:variant>
        <vt:i4>5</vt:i4>
      </vt:variant>
      <vt:variant>
        <vt:lpwstr/>
      </vt:variant>
      <vt:variant>
        <vt:lpwstr>_Toc138090508</vt:lpwstr>
      </vt:variant>
      <vt:variant>
        <vt:i4>1310773</vt:i4>
      </vt:variant>
      <vt:variant>
        <vt:i4>116</vt:i4>
      </vt:variant>
      <vt:variant>
        <vt:i4>0</vt:i4>
      </vt:variant>
      <vt:variant>
        <vt:i4>5</vt:i4>
      </vt:variant>
      <vt:variant>
        <vt:lpwstr/>
      </vt:variant>
      <vt:variant>
        <vt:lpwstr>_Toc138090507</vt:lpwstr>
      </vt:variant>
      <vt:variant>
        <vt:i4>1310773</vt:i4>
      </vt:variant>
      <vt:variant>
        <vt:i4>110</vt:i4>
      </vt:variant>
      <vt:variant>
        <vt:i4>0</vt:i4>
      </vt:variant>
      <vt:variant>
        <vt:i4>5</vt:i4>
      </vt:variant>
      <vt:variant>
        <vt:lpwstr/>
      </vt:variant>
      <vt:variant>
        <vt:lpwstr>_Toc138090506</vt:lpwstr>
      </vt:variant>
      <vt:variant>
        <vt:i4>1310773</vt:i4>
      </vt:variant>
      <vt:variant>
        <vt:i4>104</vt:i4>
      </vt:variant>
      <vt:variant>
        <vt:i4>0</vt:i4>
      </vt:variant>
      <vt:variant>
        <vt:i4>5</vt:i4>
      </vt:variant>
      <vt:variant>
        <vt:lpwstr/>
      </vt:variant>
      <vt:variant>
        <vt:lpwstr>_Toc138090505</vt:lpwstr>
      </vt:variant>
      <vt:variant>
        <vt:i4>1310773</vt:i4>
      </vt:variant>
      <vt:variant>
        <vt:i4>98</vt:i4>
      </vt:variant>
      <vt:variant>
        <vt:i4>0</vt:i4>
      </vt:variant>
      <vt:variant>
        <vt:i4>5</vt:i4>
      </vt:variant>
      <vt:variant>
        <vt:lpwstr/>
      </vt:variant>
      <vt:variant>
        <vt:lpwstr>_Toc138090504</vt:lpwstr>
      </vt:variant>
      <vt:variant>
        <vt:i4>1310773</vt:i4>
      </vt:variant>
      <vt:variant>
        <vt:i4>92</vt:i4>
      </vt:variant>
      <vt:variant>
        <vt:i4>0</vt:i4>
      </vt:variant>
      <vt:variant>
        <vt:i4>5</vt:i4>
      </vt:variant>
      <vt:variant>
        <vt:lpwstr/>
      </vt:variant>
      <vt:variant>
        <vt:lpwstr>_Toc138090503</vt:lpwstr>
      </vt:variant>
      <vt:variant>
        <vt:i4>1310773</vt:i4>
      </vt:variant>
      <vt:variant>
        <vt:i4>86</vt:i4>
      </vt:variant>
      <vt:variant>
        <vt:i4>0</vt:i4>
      </vt:variant>
      <vt:variant>
        <vt:i4>5</vt:i4>
      </vt:variant>
      <vt:variant>
        <vt:lpwstr/>
      </vt:variant>
      <vt:variant>
        <vt:lpwstr>_Toc138090502</vt:lpwstr>
      </vt:variant>
      <vt:variant>
        <vt:i4>1310773</vt:i4>
      </vt:variant>
      <vt:variant>
        <vt:i4>80</vt:i4>
      </vt:variant>
      <vt:variant>
        <vt:i4>0</vt:i4>
      </vt:variant>
      <vt:variant>
        <vt:i4>5</vt:i4>
      </vt:variant>
      <vt:variant>
        <vt:lpwstr/>
      </vt:variant>
      <vt:variant>
        <vt:lpwstr>_Toc138090501</vt:lpwstr>
      </vt:variant>
      <vt:variant>
        <vt:i4>1310773</vt:i4>
      </vt:variant>
      <vt:variant>
        <vt:i4>74</vt:i4>
      </vt:variant>
      <vt:variant>
        <vt:i4>0</vt:i4>
      </vt:variant>
      <vt:variant>
        <vt:i4>5</vt:i4>
      </vt:variant>
      <vt:variant>
        <vt:lpwstr/>
      </vt:variant>
      <vt:variant>
        <vt:lpwstr>_Toc138090500</vt:lpwstr>
      </vt:variant>
      <vt:variant>
        <vt:i4>1900596</vt:i4>
      </vt:variant>
      <vt:variant>
        <vt:i4>68</vt:i4>
      </vt:variant>
      <vt:variant>
        <vt:i4>0</vt:i4>
      </vt:variant>
      <vt:variant>
        <vt:i4>5</vt:i4>
      </vt:variant>
      <vt:variant>
        <vt:lpwstr/>
      </vt:variant>
      <vt:variant>
        <vt:lpwstr>_Toc138090499</vt:lpwstr>
      </vt:variant>
      <vt:variant>
        <vt:i4>1900596</vt:i4>
      </vt:variant>
      <vt:variant>
        <vt:i4>62</vt:i4>
      </vt:variant>
      <vt:variant>
        <vt:i4>0</vt:i4>
      </vt:variant>
      <vt:variant>
        <vt:i4>5</vt:i4>
      </vt:variant>
      <vt:variant>
        <vt:lpwstr/>
      </vt:variant>
      <vt:variant>
        <vt:lpwstr>_Toc138090498</vt:lpwstr>
      </vt:variant>
      <vt:variant>
        <vt:i4>1900596</vt:i4>
      </vt:variant>
      <vt:variant>
        <vt:i4>56</vt:i4>
      </vt:variant>
      <vt:variant>
        <vt:i4>0</vt:i4>
      </vt:variant>
      <vt:variant>
        <vt:i4>5</vt:i4>
      </vt:variant>
      <vt:variant>
        <vt:lpwstr/>
      </vt:variant>
      <vt:variant>
        <vt:lpwstr>_Toc138090497</vt:lpwstr>
      </vt:variant>
      <vt:variant>
        <vt:i4>1900596</vt:i4>
      </vt:variant>
      <vt:variant>
        <vt:i4>50</vt:i4>
      </vt:variant>
      <vt:variant>
        <vt:i4>0</vt:i4>
      </vt:variant>
      <vt:variant>
        <vt:i4>5</vt:i4>
      </vt:variant>
      <vt:variant>
        <vt:lpwstr/>
      </vt:variant>
      <vt:variant>
        <vt:lpwstr>_Toc138090496</vt:lpwstr>
      </vt:variant>
      <vt:variant>
        <vt:i4>1900596</vt:i4>
      </vt:variant>
      <vt:variant>
        <vt:i4>44</vt:i4>
      </vt:variant>
      <vt:variant>
        <vt:i4>0</vt:i4>
      </vt:variant>
      <vt:variant>
        <vt:i4>5</vt:i4>
      </vt:variant>
      <vt:variant>
        <vt:lpwstr/>
      </vt:variant>
      <vt:variant>
        <vt:lpwstr>_Toc138090495</vt:lpwstr>
      </vt:variant>
      <vt:variant>
        <vt:i4>1900596</vt:i4>
      </vt:variant>
      <vt:variant>
        <vt:i4>38</vt:i4>
      </vt:variant>
      <vt:variant>
        <vt:i4>0</vt:i4>
      </vt:variant>
      <vt:variant>
        <vt:i4>5</vt:i4>
      </vt:variant>
      <vt:variant>
        <vt:lpwstr/>
      </vt:variant>
      <vt:variant>
        <vt:lpwstr>_Toc138090494</vt:lpwstr>
      </vt:variant>
      <vt:variant>
        <vt:i4>1900596</vt:i4>
      </vt:variant>
      <vt:variant>
        <vt:i4>32</vt:i4>
      </vt:variant>
      <vt:variant>
        <vt:i4>0</vt:i4>
      </vt:variant>
      <vt:variant>
        <vt:i4>5</vt:i4>
      </vt:variant>
      <vt:variant>
        <vt:lpwstr/>
      </vt:variant>
      <vt:variant>
        <vt:lpwstr>_Toc138090493</vt:lpwstr>
      </vt:variant>
      <vt:variant>
        <vt:i4>1900596</vt:i4>
      </vt:variant>
      <vt:variant>
        <vt:i4>26</vt:i4>
      </vt:variant>
      <vt:variant>
        <vt:i4>0</vt:i4>
      </vt:variant>
      <vt:variant>
        <vt:i4>5</vt:i4>
      </vt:variant>
      <vt:variant>
        <vt:lpwstr/>
      </vt:variant>
      <vt:variant>
        <vt:lpwstr>_Toc138090492</vt:lpwstr>
      </vt:variant>
      <vt:variant>
        <vt:i4>1900596</vt:i4>
      </vt:variant>
      <vt:variant>
        <vt:i4>20</vt:i4>
      </vt:variant>
      <vt:variant>
        <vt:i4>0</vt:i4>
      </vt:variant>
      <vt:variant>
        <vt:i4>5</vt:i4>
      </vt:variant>
      <vt:variant>
        <vt:lpwstr/>
      </vt:variant>
      <vt:variant>
        <vt:lpwstr>_Toc138090491</vt:lpwstr>
      </vt:variant>
      <vt:variant>
        <vt:i4>1900596</vt:i4>
      </vt:variant>
      <vt:variant>
        <vt:i4>14</vt:i4>
      </vt:variant>
      <vt:variant>
        <vt:i4>0</vt:i4>
      </vt:variant>
      <vt:variant>
        <vt:i4>5</vt:i4>
      </vt:variant>
      <vt:variant>
        <vt:lpwstr/>
      </vt:variant>
      <vt:variant>
        <vt:lpwstr>_Toc138090490</vt:lpwstr>
      </vt:variant>
      <vt:variant>
        <vt:i4>1835060</vt:i4>
      </vt:variant>
      <vt:variant>
        <vt:i4>8</vt:i4>
      </vt:variant>
      <vt:variant>
        <vt:i4>0</vt:i4>
      </vt:variant>
      <vt:variant>
        <vt:i4>5</vt:i4>
      </vt:variant>
      <vt:variant>
        <vt:lpwstr/>
      </vt:variant>
      <vt:variant>
        <vt:lpwstr>_Toc138090489</vt:lpwstr>
      </vt:variant>
      <vt:variant>
        <vt:i4>1835060</vt:i4>
      </vt:variant>
      <vt:variant>
        <vt:i4>2</vt:i4>
      </vt:variant>
      <vt:variant>
        <vt:i4>0</vt:i4>
      </vt:variant>
      <vt:variant>
        <vt:i4>5</vt:i4>
      </vt:variant>
      <vt:variant>
        <vt:lpwstr/>
      </vt:variant>
      <vt:variant>
        <vt:lpwstr>_Toc138090488</vt:lpwstr>
      </vt:variant>
      <vt:variant>
        <vt:i4>6815785</vt:i4>
      </vt:variant>
      <vt:variant>
        <vt:i4>9</vt:i4>
      </vt:variant>
      <vt:variant>
        <vt:i4>0</vt:i4>
      </vt:variant>
      <vt:variant>
        <vt:i4>5</vt:i4>
      </vt:variant>
      <vt:variant>
        <vt:lpwstr>https://aus01.safelinks.protection.outlook.com/?url=https%3A%2F%2Fadvance.lexis.com%2Fdocument%2Fdocumentlink%2F%3Fpdmfid%3D1201008%26crid%3Df38dd7cb-c6dc-4c74-a670-2d4391a0c430%26pddocfullpath%3D%252Fshared%252Fdocument%252Fcases-au%252Furn%253AcontentItem%253A5FJ9-0C81-JPGX-S2T9-00000-00%26pdcontentcomponentid%3D293402%26pddoctitle%3D%255B2014%255D%2BFCCA%2B209%26pdproductcontenttypeid%3Durn%253Apct%253A170%26pdiskwicview%3Dfalse%26ecomp%3D-3z2k%26prid%3D798726dc-5a1d-426a-8b47-d9b3380b57c2&amp;data=05%7C01%7Calexandra.dunn%40humanrights.gov.au%7C137ca60e171b4081b1eb08db7dbe6364%7Cea4cdebd454f4218919b7adc32bf1549%7C0%7C0%7C638242028889016138%7CUnknown%7CTWFpbGZsb3d8eyJWIjoiMC4wLjAwMDAiLCJQIjoiV2luMzIiLCJBTiI6Ik1haWwiLCJXVCI6Mn0%3D%7C3000%7C%7C%7C&amp;sdata=UpwsA4lLtpMl7hgPnLqGJxRmfYUD80HlSJQbzNK%2F93Y%3D&amp;reserved=0</vt:lpwstr>
      </vt:variant>
      <vt:variant>
        <vt:lpwstr/>
      </vt:variant>
      <vt:variant>
        <vt:i4>2818166</vt:i4>
      </vt:variant>
      <vt:variant>
        <vt:i4>6</vt:i4>
      </vt:variant>
      <vt:variant>
        <vt:i4>0</vt:i4>
      </vt:variant>
      <vt:variant>
        <vt:i4>5</vt:i4>
      </vt:variant>
      <vt:variant>
        <vt:lpwstr>https://aus01.safelinks.protection.outlook.com/?url=https%3A%2F%2Fadvance.lexis.com%2Fdocument%2Fonecase%2F%3Fpdmfid%3D1201008%26crid%3D9d1c3392-e4f1-4ffe-b7e8-e57d535f75e3%26pddocfullpath%3D%252Fshared%252Fdocument%252Fcases-au%252Furn%253AcontentItem%253A5J6Y-X9W1-FGJR-21VJ-00000-00%26pdcontentcomponentid%3D267703%26pdteaserkey%3Dcr28%26pdicsfeatureid%3D1517127%26pditab%3Dallpods%26ecomp%3Dkctpk%26earg%3Dcr28%26prid%3Dd21298ee-d71a-4775-93ae-eb18f39b4876&amp;data=05%7C01%7Calexandra.dunn%40humanrights.gov.au%7C137ca60e171b4081b1eb08db7dbe6364%7Cea4cdebd454f4218919b7adc32bf1549%7C0%7C0%7C638242028889016138%7CUnknown%7CTWFpbGZsb3d8eyJWIjoiMC4wLjAwMDAiLCJQIjoiV2luMzIiLCJBTiI6Ik1haWwiLCJXVCI6Mn0%3D%7C3000%7C%7C%7C&amp;sdata=1vE0nxxgx0HUVQLFptwihMoD22XALd1cYjCxvYed3uI%3D&amp;reserved=0</vt:lpwstr>
      </vt:variant>
      <vt:variant>
        <vt:lpwstr/>
      </vt:variant>
      <vt:variant>
        <vt:i4>3932202</vt:i4>
      </vt:variant>
      <vt:variant>
        <vt:i4>3</vt:i4>
      </vt:variant>
      <vt:variant>
        <vt:i4>0</vt:i4>
      </vt:variant>
      <vt:variant>
        <vt:i4>5</vt:i4>
      </vt:variant>
      <vt:variant>
        <vt:lpwstr>https://aus01.safelinks.protection.outlook.com/?url=https%3A%2F%2Fanzlaw.thomsonreuters.com%2FDocument%2FIc1c2f5d6235611e9aea5d3b0306b19b8%2FView%2FFullText.html%3FnavigationPath%3DSearch%252Fv1%252Fresults%252Fnavigation%252Fi0ad74035000001891e9128124959bc63%253Fppcid%253D80a83617118a453cb2bc8ea9982a81cb%2526Nav%253DAUNZ_CASES%2526fragmentIdentifier%253DIc1c2f5d6235611e9aea5d3b0306b19b8%2526parentRank%253D0%2526startIndex%253D21%2526contextData%253D%252528sc.Search%252529%2526transitionType%253DSearchItem%26listSource%3DSearch%26listPageSource%3D26f71766a70a4f317169834e5c5e402b%26list%3DAUNZ_CASES%26rank%3D26%26sessionScopeId%3Dd0a108e90e5f271cfdefb21fc87ad1a814f9b37c782375fd49af586a81574144%26ppcid%3D80a83617118a453cb2bc8ea9982a81cb%26originationContext%3DSearch%2520Result%26transitionType%3DSearchItem%26contextData%3D(sc.Search)%26comp%3Dwlau%23co_term_5906&amp;data=05%7C01%7Calexandra.dunn%40humanrights.gov.au%7C137ca60e171b4081b1eb08db7dbe6364%7Cea4cdebd454f4218919b7adc32bf1549%7C0%7C0%7C638242028889016138%7CUnknown%7CTWFpbGZsb3d8eyJWIjoiMC4wLjAwMDAiLCJQIjoiV2luMzIiLCJBTiI6Ik1haWwiLCJXVCI6Mn0%3D%7C3000%7C%7C%7C&amp;sdata=wFWrkixaYsOZK9EA2G9cuXiFyBZIi%2BhuRNMh4aCDHCs%3D&amp;reserved=0</vt:lpwstr>
      </vt:variant>
      <vt:variant>
        <vt:lpwstr/>
      </vt:variant>
      <vt:variant>
        <vt:i4>5242991</vt:i4>
      </vt:variant>
      <vt:variant>
        <vt:i4>0</vt:i4>
      </vt:variant>
      <vt:variant>
        <vt:i4>0</vt:i4>
      </vt:variant>
      <vt:variant>
        <vt:i4>5</vt:i4>
      </vt:variant>
      <vt:variant>
        <vt:lpwstr>mailto:sophia.rinaldis@humanrights.gov.au</vt:lpwstr>
      </vt:variant>
      <vt:variant>
        <vt:lpwstr/>
      </vt:variant>
      <vt:variant>
        <vt:i4>3801146</vt:i4>
      </vt:variant>
      <vt:variant>
        <vt:i4>123</vt:i4>
      </vt:variant>
      <vt:variant>
        <vt:i4>0</vt:i4>
      </vt:variant>
      <vt:variant>
        <vt:i4>5</vt:i4>
      </vt:variant>
      <vt:variant>
        <vt:lpwstr>https://humanrights.gov.au/our-work/disability-rights/publications/guidelines-equivalent-access-under-disability-standards</vt:lpwstr>
      </vt:variant>
      <vt:variant>
        <vt:lpwstr/>
      </vt:variant>
      <vt:variant>
        <vt:i4>6815785</vt:i4>
      </vt:variant>
      <vt:variant>
        <vt:i4>120</vt:i4>
      </vt:variant>
      <vt:variant>
        <vt:i4>0</vt:i4>
      </vt:variant>
      <vt:variant>
        <vt:i4>5</vt:i4>
      </vt:variant>
      <vt:variant>
        <vt:lpwstr>https://aus01.safelinks.protection.outlook.com/?url=https%3A%2F%2Fadvance.lexis.com%2Fdocument%2Fdocumentlink%2F%3Fpdmfid%3D1201008%26crid%3Df38dd7cb-c6dc-4c74-a670-2d4391a0c430%26pddocfullpath%3D%252Fshared%252Fdocument%252Fcases-au%252Furn%253AcontentItem%253A5FJ9-0C81-JPGX-S2T9-00000-00%26pdcontentcomponentid%3D293402%26pddoctitle%3D%255B2014%255D%2BFCCA%2B209%26pdproductcontenttypeid%3Durn%253Apct%253A170%26pdiskwicview%3Dfalse%26ecomp%3D-3z2k%26prid%3D798726dc-5a1d-426a-8b47-d9b3380b57c2&amp;data=05%7C01%7Calexandra.dunn%40humanrights.gov.au%7C137ca60e171b4081b1eb08db7dbe6364%7Cea4cdebd454f4218919b7adc32bf1549%7C0%7C0%7C638242028889016138%7CUnknown%7CTWFpbGZsb3d8eyJWIjoiMC4wLjAwMDAiLCJQIjoiV2luMzIiLCJBTiI6Ik1haWwiLCJXVCI6Mn0%3D%7C3000%7C%7C%7C&amp;sdata=UpwsA4lLtpMl7hgPnLqGJxRmfYUD80HlSJQbzNK%2F93Y%3D&amp;reserved=0</vt:lpwstr>
      </vt:variant>
      <vt:variant>
        <vt:lpwstr/>
      </vt:variant>
      <vt:variant>
        <vt:i4>2818166</vt:i4>
      </vt:variant>
      <vt:variant>
        <vt:i4>117</vt:i4>
      </vt:variant>
      <vt:variant>
        <vt:i4>0</vt:i4>
      </vt:variant>
      <vt:variant>
        <vt:i4>5</vt:i4>
      </vt:variant>
      <vt:variant>
        <vt:lpwstr>https://aus01.safelinks.protection.outlook.com/?url=https%3A%2F%2Fadvance.lexis.com%2Fdocument%2Fonecase%2F%3Fpdmfid%3D1201008%26crid%3D9d1c3392-e4f1-4ffe-b7e8-e57d535f75e3%26pddocfullpath%3D%252Fshared%252Fdocument%252Fcases-au%252Furn%253AcontentItem%253A5J6Y-X9W1-FGJR-21VJ-00000-00%26pdcontentcomponentid%3D267703%26pdteaserkey%3Dcr28%26pdicsfeatureid%3D1517127%26pditab%3Dallpods%26ecomp%3Dkctpk%26earg%3Dcr28%26prid%3Dd21298ee-d71a-4775-93ae-eb18f39b4876&amp;data=05%7C01%7Calexandra.dunn%40humanrights.gov.au%7C137ca60e171b4081b1eb08db7dbe6364%7Cea4cdebd454f4218919b7adc32bf1549%7C0%7C0%7C638242028889016138%7CUnknown%7CTWFpbGZsb3d8eyJWIjoiMC4wLjAwMDAiLCJQIjoiV2luMzIiLCJBTiI6Ik1haWwiLCJXVCI6Mn0%3D%7C3000%7C%7C%7C&amp;sdata=1vE0nxxgx0HUVQLFptwihMoD22XALd1cYjCxvYed3uI%3D&amp;reserved=0</vt:lpwstr>
      </vt:variant>
      <vt:variant>
        <vt:lpwstr/>
      </vt:variant>
      <vt:variant>
        <vt:i4>3932202</vt:i4>
      </vt:variant>
      <vt:variant>
        <vt:i4>114</vt:i4>
      </vt:variant>
      <vt:variant>
        <vt:i4>0</vt:i4>
      </vt:variant>
      <vt:variant>
        <vt:i4>5</vt:i4>
      </vt:variant>
      <vt:variant>
        <vt:lpwstr>https://aus01.safelinks.protection.outlook.com/?url=https%3A%2F%2Fanzlaw.thomsonreuters.com%2FDocument%2FIc1c2f5d6235611e9aea5d3b0306b19b8%2FView%2FFullText.html%3FnavigationPath%3DSearch%252Fv1%252Fresults%252Fnavigation%252Fi0ad74035000001891e9128124959bc63%253Fppcid%253D80a83617118a453cb2bc8ea9982a81cb%2526Nav%253DAUNZ_CASES%2526fragmentIdentifier%253DIc1c2f5d6235611e9aea5d3b0306b19b8%2526parentRank%253D0%2526startIndex%253D21%2526contextData%253D%252528sc.Search%252529%2526transitionType%253DSearchItem%26listSource%3DSearch%26listPageSource%3D26f71766a70a4f317169834e5c5e402b%26list%3DAUNZ_CASES%26rank%3D26%26sessionScopeId%3Dd0a108e90e5f271cfdefb21fc87ad1a814f9b37c782375fd49af586a81574144%26ppcid%3D80a83617118a453cb2bc8ea9982a81cb%26originationContext%3DSearch%2520Result%26transitionType%3DSearchItem%26contextData%3D(sc.Search)%26comp%3Dwlau%23co_term_5906&amp;data=05%7C01%7Calexandra.dunn%40humanrights.gov.au%7C137ca60e171b4081b1eb08db7dbe6364%7Cea4cdebd454f4218919b7adc32bf1549%7C0%7C0%7C638242028889016138%7CUnknown%7CTWFpbGZsb3d8eyJWIjoiMC4wLjAwMDAiLCJQIjoiV2luMzIiLCJBTiI6Ik1haWwiLCJXVCI6Mn0%3D%7C3000%7C%7C%7C&amp;sdata=wFWrkixaYsOZK9EA2G9cuXiFyBZIi%2BhuRNMh4aCDHCs%3D&amp;reserved=0</vt:lpwstr>
      </vt:variant>
      <vt:variant>
        <vt:lpwstr/>
      </vt:variant>
      <vt:variant>
        <vt:i4>4456539</vt:i4>
      </vt:variant>
      <vt:variant>
        <vt:i4>111</vt:i4>
      </vt:variant>
      <vt:variant>
        <vt:i4>0</vt:i4>
      </vt:variant>
      <vt:variant>
        <vt:i4>5</vt:i4>
      </vt:variant>
      <vt:variant>
        <vt:lpwstr>https://www.infrastructure.gov.au/infrastructure-transport-vehicles/transport-accessibility/reform-disability-standards-accessible-public-transport-2002-transport-standards</vt:lpwstr>
      </vt:variant>
      <vt:variant>
        <vt:lpwstr/>
      </vt:variant>
      <vt:variant>
        <vt:i4>4128789</vt:i4>
      </vt:variant>
      <vt:variant>
        <vt:i4>108</vt:i4>
      </vt:variant>
      <vt:variant>
        <vt:i4>0</vt:i4>
      </vt:variant>
      <vt:variant>
        <vt:i4>5</vt:i4>
      </vt:variant>
      <vt:variant>
        <vt:lpwstr>https://archive.budget.gov.au/2022-23-october/bp1/download/bp1_2022-23.pdf</vt:lpwstr>
      </vt:variant>
      <vt:variant>
        <vt:lpwstr/>
      </vt:variant>
      <vt:variant>
        <vt:i4>1703946</vt:i4>
      </vt:variant>
      <vt:variant>
        <vt:i4>105</vt:i4>
      </vt:variant>
      <vt:variant>
        <vt:i4>0</vt:i4>
      </vt:variant>
      <vt:variant>
        <vt:i4>5</vt:i4>
      </vt:variant>
      <vt:variant>
        <vt:lpwstr>https://www.budget.nsw.gov.au/sites/default/files/2022-06/20220620_01_FARRAWAY-Record-investment-for-regional-transport-and-roads-continues-to-soar.pdf</vt:lpwstr>
      </vt:variant>
      <vt:variant>
        <vt:lpwstr/>
      </vt:variant>
      <vt:variant>
        <vt:i4>5177353</vt:i4>
      </vt:variant>
      <vt:variant>
        <vt:i4>102</vt:i4>
      </vt:variant>
      <vt:variant>
        <vt:i4>0</vt:i4>
      </vt:variant>
      <vt:variant>
        <vt:i4>5</vt:i4>
      </vt:variant>
      <vt:variant>
        <vt:lpwstr>https://www.abc.net.au/news/2022-10-18/people-with-disabilities-call-for-taxi-industry-to-treat-passeng/101542024</vt:lpwstr>
      </vt:variant>
      <vt:variant>
        <vt:lpwstr/>
      </vt:variant>
      <vt:variant>
        <vt:i4>7995436</vt:i4>
      </vt:variant>
      <vt:variant>
        <vt:i4>99</vt:i4>
      </vt:variant>
      <vt:variant>
        <vt:i4>0</vt:i4>
      </vt:variant>
      <vt:variant>
        <vt:i4>5</vt:i4>
      </vt:variant>
      <vt:variant>
        <vt:lpwstr>https://www.theguardian.com/australia-news/2022/apr/21/were-not-a-priority-people-with-disabilities-wait-up-to-three-hours-for-transport-in-regional-queensland</vt:lpwstr>
      </vt:variant>
      <vt:variant>
        <vt:lpwstr/>
      </vt:variant>
      <vt:variant>
        <vt:i4>5308447</vt:i4>
      </vt:variant>
      <vt:variant>
        <vt:i4>96</vt:i4>
      </vt:variant>
      <vt:variant>
        <vt:i4>0</vt:i4>
      </vt:variant>
      <vt:variant>
        <vt:i4>5</vt:i4>
      </vt:variant>
      <vt:variant>
        <vt:lpwstr>https://view.officeapps.live.com/op/view.aspx?src=https%3A%2F%2Fapo.org.au%2Fsites%2Fdefault%2Ffiles%2Fresource-files%2F2023-03%2Fapo-nid322005.docx&amp;wdOrigin=BROWSELINK</vt:lpwstr>
      </vt:variant>
      <vt:variant>
        <vt:lpwstr/>
      </vt:variant>
      <vt:variant>
        <vt:i4>7077994</vt:i4>
      </vt:variant>
      <vt:variant>
        <vt:i4>93</vt:i4>
      </vt:variant>
      <vt:variant>
        <vt:i4>0</vt:i4>
      </vt:variant>
      <vt:variant>
        <vt:i4>5</vt:i4>
      </vt:variant>
      <vt:variant>
        <vt:lpwstr>https://piac.asn.au/2022/08/09/submission-to-the-reforms-of-the-disability-standards-for-accessible-public-transport-2002-stage-2-consultation-regulation-impact-statement/</vt:lpwstr>
      </vt:variant>
      <vt:variant>
        <vt:lpwstr/>
      </vt:variant>
      <vt:variant>
        <vt:i4>1572918</vt:i4>
      </vt:variant>
      <vt:variant>
        <vt:i4>90</vt:i4>
      </vt:variant>
      <vt:variant>
        <vt:i4>0</vt:i4>
      </vt:variant>
      <vt:variant>
        <vt:i4>5</vt:i4>
      </vt:variant>
      <vt:variant>
        <vt:lpwstr>https://www.infrastructure.gov.au/sites/default/files/migrated/transport/disabilities/review/files/School_Bus_RIS_final.pdf</vt:lpwstr>
      </vt:variant>
      <vt:variant>
        <vt:lpwstr/>
      </vt:variant>
      <vt:variant>
        <vt:i4>852049</vt:i4>
      </vt:variant>
      <vt:variant>
        <vt:i4>87</vt:i4>
      </vt:variant>
      <vt:variant>
        <vt:i4>0</vt:i4>
      </vt:variant>
      <vt:variant>
        <vt:i4>5</vt:i4>
      </vt:variant>
      <vt:variant>
        <vt:lpwstr>https://www.transport.act.gov.au/travel-options/bus/accessible-travel/special-needs-transport-for-students/special-needs-transport-guidelines</vt:lpwstr>
      </vt:variant>
      <vt:variant>
        <vt:lpwstr/>
      </vt:variant>
      <vt:variant>
        <vt:i4>8126523</vt:i4>
      </vt:variant>
      <vt:variant>
        <vt:i4>84</vt:i4>
      </vt:variant>
      <vt:variant>
        <vt:i4>0</vt:i4>
      </vt:variant>
      <vt:variant>
        <vt:i4>5</vt:i4>
      </vt:variant>
      <vt:variant>
        <vt:lpwstr>https://publicdocumentcentre.education.tas.gov.au/library/Document Centre/Transport-Assistance-Program-for-Students-with-Disability-Procedures.pdf</vt:lpwstr>
      </vt:variant>
      <vt:variant>
        <vt:lpwstr/>
      </vt:variant>
      <vt:variant>
        <vt:i4>6684768</vt:i4>
      </vt:variant>
      <vt:variant>
        <vt:i4>81</vt:i4>
      </vt:variant>
      <vt:variant>
        <vt:i4>0</vt:i4>
      </vt:variant>
      <vt:variant>
        <vt:i4>5</vt:i4>
      </vt:variant>
      <vt:variant>
        <vt:lpwstr>https://www.schoolbuses.wa.gov.au/TransportAssistance/WhosEligible/EDSupportStudents.aspx</vt:lpwstr>
      </vt:variant>
      <vt:variant>
        <vt:lpwstr>Eligibility-Educational-Support-Students-1</vt:lpwstr>
      </vt:variant>
      <vt:variant>
        <vt:i4>6684724</vt:i4>
      </vt:variant>
      <vt:variant>
        <vt:i4>78</vt:i4>
      </vt:variant>
      <vt:variant>
        <vt:i4>0</vt:i4>
      </vt:variant>
      <vt:variant>
        <vt:i4>5</vt:i4>
      </vt:variant>
      <vt:variant>
        <vt:lpwstr>https://www.education.sa.gov.au/doc/school-transport-policy</vt:lpwstr>
      </vt:variant>
      <vt:variant>
        <vt:lpwstr/>
      </vt:variant>
      <vt:variant>
        <vt:i4>8323190</vt:i4>
      </vt:variant>
      <vt:variant>
        <vt:i4>75</vt:i4>
      </vt:variant>
      <vt:variant>
        <vt:i4>0</vt:i4>
      </vt:variant>
      <vt:variant>
        <vt:i4>5</vt:i4>
      </vt:variant>
      <vt:variant>
        <vt:lpwstr>https://nt.gov.au/learning/special-education/transport-for-students-with-special-needs</vt:lpwstr>
      </vt:variant>
      <vt:variant>
        <vt:lpwstr/>
      </vt:variant>
      <vt:variant>
        <vt:i4>6094858</vt:i4>
      </vt:variant>
      <vt:variant>
        <vt:i4>72</vt:i4>
      </vt:variant>
      <vt:variant>
        <vt:i4>0</vt:i4>
      </vt:variant>
      <vt:variant>
        <vt:i4>5</vt:i4>
      </vt:variant>
      <vt:variant>
        <vt:lpwstr>https://ppr.qed.qld.gov.au/pp/school-transport-assistance-program-for-students-with-disability-procedure</vt:lpwstr>
      </vt:variant>
      <vt:variant>
        <vt:lpwstr/>
      </vt:variant>
      <vt:variant>
        <vt:i4>1245269</vt:i4>
      </vt:variant>
      <vt:variant>
        <vt:i4>69</vt:i4>
      </vt:variant>
      <vt:variant>
        <vt:i4>0</vt:i4>
      </vt:variant>
      <vt:variant>
        <vt:i4>5</vt:i4>
      </vt:variant>
      <vt:variant>
        <vt:lpwstr>https://education.nsw.gov.au/policy-library/policies/pd-2005-0292</vt:lpwstr>
      </vt:variant>
      <vt:variant>
        <vt:lpwstr/>
      </vt:variant>
      <vt:variant>
        <vt:i4>1376280</vt:i4>
      </vt:variant>
      <vt:variant>
        <vt:i4>66</vt:i4>
      </vt:variant>
      <vt:variant>
        <vt:i4>0</vt:i4>
      </vt:variant>
      <vt:variant>
        <vt:i4>5</vt:i4>
      </vt:variant>
      <vt:variant>
        <vt:lpwstr>https://www.vic.gov.au/getting-to-from-school-students-disability</vt:lpwstr>
      </vt:variant>
      <vt:variant>
        <vt:lpwstr>students-with-disabilities-transport-program</vt:lpwstr>
      </vt:variant>
      <vt:variant>
        <vt:i4>2818106</vt:i4>
      </vt:variant>
      <vt:variant>
        <vt:i4>63</vt:i4>
      </vt:variant>
      <vt:variant>
        <vt:i4>0</vt:i4>
      </vt:variant>
      <vt:variant>
        <vt:i4>5</vt:i4>
      </vt:variant>
      <vt:variant>
        <vt:lpwstr>https://www.infrastructure.gov.au/sites/default/files/documents/dedicated-school-buses.pdf</vt:lpwstr>
      </vt:variant>
      <vt:variant>
        <vt:lpwstr/>
      </vt:variant>
      <vt:variant>
        <vt:i4>1245257</vt:i4>
      </vt:variant>
      <vt:variant>
        <vt:i4>60</vt:i4>
      </vt:variant>
      <vt:variant>
        <vt:i4>0</vt:i4>
      </vt:variant>
      <vt:variant>
        <vt:i4>5</vt:i4>
      </vt:variant>
      <vt:variant>
        <vt:lpwstr>https://www.smh.com.au/national/tired-of-the-fight-paralympian-not-allowed-on-flight-with-wheelchair-20220602-p5aqg6.html</vt:lpwstr>
      </vt:variant>
      <vt:variant>
        <vt:lpwstr/>
      </vt:variant>
      <vt:variant>
        <vt:i4>1048607</vt:i4>
      </vt:variant>
      <vt:variant>
        <vt:i4>57</vt:i4>
      </vt:variant>
      <vt:variant>
        <vt:i4>0</vt:i4>
      </vt:variant>
      <vt:variant>
        <vt:i4>5</vt:i4>
      </vt:variant>
      <vt:variant>
        <vt:lpwstr>https://www.abc.net.au/news/2022-05-15/sa-adelaide-airport-disability-discrimination-complaint/101068140</vt:lpwstr>
      </vt:variant>
      <vt:variant>
        <vt:lpwstr/>
      </vt:variant>
      <vt:variant>
        <vt:i4>1900564</vt:i4>
      </vt:variant>
      <vt:variant>
        <vt:i4>54</vt:i4>
      </vt:variant>
      <vt:variant>
        <vt:i4>0</vt:i4>
      </vt:variant>
      <vt:variant>
        <vt:i4>5</vt:i4>
      </vt:variant>
      <vt:variant>
        <vt:lpwstr>https://hireup.com.au/news/a-timeline-of-aussie-travellers-with-disability-being-mistreated-by-airlines/</vt:lpwstr>
      </vt:variant>
      <vt:variant>
        <vt:lpwstr/>
      </vt:variant>
      <vt:variant>
        <vt:i4>7929958</vt:i4>
      </vt:variant>
      <vt:variant>
        <vt:i4>51</vt:i4>
      </vt:variant>
      <vt:variant>
        <vt:i4>0</vt:i4>
      </vt:variant>
      <vt:variant>
        <vt:i4>5</vt:i4>
      </vt:variant>
      <vt:variant>
        <vt:lpwstr>https://www.theguardian.com/society/2022/oct/06/second-class-citizen-man-lifted-on-to-plane-as-darwin-airport-had-no-ramp-for-wheelchair-users</vt:lpwstr>
      </vt:variant>
      <vt:variant>
        <vt:lpwstr/>
      </vt:variant>
      <vt:variant>
        <vt:i4>5767179</vt:i4>
      </vt:variant>
      <vt:variant>
        <vt:i4>48</vt:i4>
      </vt:variant>
      <vt:variant>
        <vt:i4>0</vt:i4>
      </vt:variant>
      <vt:variant>
        <vt:i4>5</vt:i4>
      </vt:variant>
      <vt:variant>
        <vt:lpwstr>https://www.abc.net.au/news/2022-10-06/why-people-with-disabilities-stay-home-and-avoid-flying-analysis/101440056</vt:lpwstr>
      </vt:variant>
      <vt:variant>
        <vt:lpwstr/>
      </vt:variant>
      <vt:variant>
        <vt:i4>8061047</vt:i4>
      </vt:variant>
      <vt:variant>
        <vt:i4>45</vt:i4>
      </vt:variant>
      <vt:variant>
        <vt:i4>0</vt:i4>
      </vt:variant>
      <vt:variant>
        <vt:i4>5</vt:i4>
      </vt:variant>
      <vt:variant>
        <vt:lpwstr>https://www.9news.com.au/national/australians-with-disabilities-suffer-dehumanising-treatment-at-airports-travel-news/b7de6139-258a-4e86-a615-031eb0e89074</vt:lpwstr>
      </vt:variant>
      <vt:variant>
        <vt:lpwstr/>
      </vt:variant>
      <vt:variant>
        <vt:i4>2359347</vt:i4>
      </vt:variant>
      <vt:variant>
        <vt:i4>42</vt:i4>
      </vt:variant>
      <vt:variant>
        <vt:i4>0</vt:i4>
      </vt:variant>
      <vt:variant>
        <vt:i4>5</vt:i4>
      </vt:variant>
      <vt:variant>
        <vt:lpwstr>https://www.travelweekly.com.au/article/airlines-and-airports-to-step-up-treatment-of-disabled-travellers/</vt:lpwstr>
      </vt:variant>
      <vt:variant>
        <vt:lpwstr/>
      </vt:variant>
      <vt:variant>
        <vt:i4>6488181</vt:i4>
      </vt:variant>
      <vt:variant>
        <vt:i4>39</vt:i4>
      </vt:variant>
      <vt:variant>
        <vt:i4>0</vt:i4>
      </vt:variant>
      <vt:variant>
        <vt:i4>5</vt:i4>
      </vt:variant>
      <vt:variant>
        <vt:lpwstr>https://www.theguardian.com/australia-news/2023/feb/03/australias-airlines-and-airports-urged-to-improve-treatment-of-travellers-with-disabilities</vt:lpwstr>
      </vt:variant>
      <vt:variant>
        <vt:lpwstr/>
      </vt:variant>
      <vt:variant>
        <vt:i4>4653123</vt:i4>
      </vt:variant>
      <vt:variant>
        <vt:i4>36</vt:i4>
      </vt:variant>
      <vt:variant>
        <vt:i4>0</vt:i4>
      </vt:variant>
      <vt:variant>
        <vt:i4>5</vt:i4>
      </vt:variant>
      <vt:variant>
        <vt:lpwstr>https://www.infrastructure.gov.au/infrastructure-transport-vehicles/aviation/aviation-white-paper/terms-of-reference</vt:lpwstr>
      </vt:variant>
      <vt:variant>
        <vt:lpwstr/>
      </vt:variant>
      <vt:variant>
        <vt:i4>4587520</vt:i4>
      </vt:variant>
      <vt:variant>
        <vt:i4>33</vt:i4>
      </vt:variant>
      <vt:variant>
        <vt:i4>0</vt:i4>
      </vt:variant>
      <vt:variant>
        <vt:i4>5</vt:i4>
      </vt:variant>
      <vt:variant>
        <vt:lpwstr>https://www.infrastructure.gov.au/infrastructure-transport-vehicles/aviation/aviation-white-paper</vt:lpwstr>
      </vt:variant>
      <vt:variant>
        <vt:lpwstr/>
      </vt:variant>
      <vt:variant>
        <vt:i4>7995491</vt:i4>
      </vt:variant>
      <vt:variant>
        <vt:i4>30</vt:i4>
      </vt:variant>
      <vt:variant>
        <vt:i4>0</vt:i4>
      </vt:variant>
      <vt:variant>
        <vt:i4>5</vt:i4>
      </vt:variant>
      <vt:variant>
        <vt:lpwstr>https://www.abs.gov.au/statistics/health/disability/disability-ageing-and-carers-australia-summary-findings/latest-release</vt:lpwstr>
      </vt:variant>
      <vt:variant>
        <vt:lpwstr/>
      </vt:variant>
      <vt:variant>
        <vt:i4>3342450</vt:i4>
      </vt:variant>
      <vt:variant>
        <vt:i4>27</vt:i4>
      </vt:variant>
      <vt:variant>
        <vt:i4>0</vt:i4>
      </vt:variant>
      <vt:variant>
        <vt:i4>5</vt:i4>
      </vt:variant>
      <vt:variant>
        <vt:lpwstr>https://www.abc.net.au/news/2023-01-16/australia-misses-20-year-public-transport-accessibility-target/101858532</vt:lpwstr>
      </vt:variant>
      <vt:variant>
        <vt:lpwstr/>
      </vt:variant>
      <vt:variant>
        <vt:i4>720919</vt:i4>
      </vt:variant>
      <vt:variant>
        <vt:i4>24</vt:i4>
      </vt:variant>
      <vt:variant>
        <vt:i4>0</vt:i4>
      </vt:variant>
      <vt:variant>
        <vt:i4>5</vt:i4>
      </vt:variant>
      <vt:variant>
        <vt:lpwstr>https://www.theage.com.au/national/victoria/they-are-locked-at-home-brakes-slammed-on-tram-accessibility-20230615-p5dgsa.html</vt:lpwstr>
      </vt:variant>
      <vt:variant>
        <vt:lpwstr/>
      </vt:variant>
      <vt:variant>
        <vt:i4>6750239</vt:i4>
      </vt:variant>
      <vt:variant>
        <vt:i4>21</vt:i4>
      </vt:variant>
      <vt:variant>
        <vt:i4>0</vt:i4>
      </vt:variant>
      <vt:variant>
        <vt:i4>5</vt:i4>
      </vt:variant>
      <vt:variant>
        <vt:lpwstr>https://media.opengov.nsw.gov.au/pairtree_root/56/88/47/9a/3a/24/4e/28/ac/20/f2/1e/d3/3d/c0/79/obj/173582.pdf</vt:lpwstr>
      </vt:variant>
      <vt:variant>
        <vt:lpwstr/>
      </vt:variant>
      <vt:variant>
        <vt:i4>5701660</vt:i4>
      </vt:variant>
      <vt:variant>
        <vt:i4>18</vt:i4>
      </vt:variant>
      <vt:variant>
        <vt:i4>0</vt:i4>
      </vt:variant>
      <vt:variant>
        <vt:i4>5</vt:i4>
      </vt:variant>
      <vt:variant>
        <vt:lpwstr>https://www.audit.vic.gov.au/report/accessibility-tram-services?section=</vt:lpwstr>
      </vt:variant>
      <vt:variant>
        <vt:lpwstr>:~:text=The%20Disability%20Discrimination%20Act%201992,compliant%20by%2031%20December%202032</vt:lpwstr>
      </vt:variant>
      <vt:variant>
        <vt:i4>3276921</vt:i4>
      </vt:variant>
      <vt:variant>
        <vt:i4>15</vt:i4>
      </vt:variant>
      <vt:variant>
        <vt:i4>0</vt:i4>
      </vt:variant>
      <vt:variant>
        <vt:i4>5</vt:i4>
      </vt:variant>
      <vt:variant>
        <vt:lpwstr>https://humanrights.gov.au/our-work/legal/exemption-applications-under-disability-discrimination-act-1992-cth</vt:lpwstr>
      </vt:variant>
      <vt:variant>
        <vt:lpwstr>COR202</vt:lpwstr>
      </vt:variant>
      <vt:variant>
        <vt:i4>3276921</vt:i4>
      </vt:variant>
      <vt:variant>
        <vt:i4>12</vt:i4>
      </vt:variant>
      <vt:variant>
        <vt:i4>0</vt:i4>
      </vt:variant>
      <vt:variant>
        <vt:i4>5</vt:i4>
      </vt:variant>
      <vt:variant>
        <vt:lpwstr>https://humanrights.gov.au/our-work/legal/exemption-applications-under-disability-discrimination-act-1992-cth</vt:lpwstr>
      </vt:variant>
      <vt:variant>
        <vt:lpwstr>COR202</vt:lpwstr>
      </vt:variant>
      <vt:variant>
        <vt:i4>6094936</vt:i4>
      </vt:variant>
      <vt:variant>
        <vt:i4>9</vt:i4>
      </vt:variant>
      <vt:variant>
        <vt:i4>0</vt:i4>
      </vt:variant>
      <vt:variant>
        <vt:i4>5</vt:i4>
      </vt:variant>
      <vt:variant>
        <vt:lpwstr>https://humanrights.gov.au/our-work/legal/exemption-applications-under-disability-discrimination-act-1992-cth</vt:lpwstr>
      </vt:variant>
      <vt:variant>
        <vt:lpwstr/>
      </vt:variant>
      <vt:variant>
        <vt:i4>4718604</vt:i4>
      </vt:variant>
      <vt:variant>
        <vt:i4>6</vt:i4>
      </vt:variant>
      <vt:variant>
        <vt:i4>0</vt:i4>
      </vt:variant>
      <vt:variant>
        <vt:i4>5</vt:i4>
      </vt:variant>
      <vt:variant>
        <vt:lpwstr>https://humanrights.gov.au/our-work/rights-and-freedoms/publications/free-and-equal-reform-agenda-federal-discrimination-laws</vt:lpwstr>
      </vt:variant>
      <vt:variant>
        <vt:lpwstr/>
      </vt:variant>
      <vt:variant>
        <vt:i4>7733361</vt:i4>
      </vt:variant>
      <vt:variant>
        <vt:i4>3</vt:i4>
      </vt:variant>
      <vt:variant>
        <vt:i4>0</vt:i4>
      </vt:variant>
      <vt:variant>
        <vt:i4>5</vt:i4>
      </vt:variant>
      <vt:variant>
        <vt:lpwstr>https://www.disabilitygateway.gov.au/sites/default/files/documents/2021-11/1816-outcomes-framework.pdf</vt:lpwstr>
      </vt:variant>
      <vt:variant>
        <vt:lpwstr/>
      </vt:variant>
      <vt:variant>
        <vt:i4>6946919</vt:i4>
      </vt:variant>
      <vt:variant>
        <vt:i4>0</vt:i4>
      </vt:variant>
      <vt:variant>
        <vt:i4>0</vt:i4>
      </vt:variant>
      <vt:variant>
        <vt:i4>5</vt:i4>
      </vt:variant>
      <vt:variant>
        <vt:lpwstr>https://www.disabilitygateway.gov.au/document/3106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8</cp:revision>
  <cp:lastPrinted>2023-07-11T06:32:00Z</cp:lastPrinted>
  <dcterms:created xsi:type="dcterms:W3CDTF">2023-07-11T06:32:00Z</dcterms:created>
  <dcterms:modified xsi:type="dcterms:W3CDTF">2025-05-20T06:51:00Z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73cc22bc-4d15-42b9-8e54-f7e99e22c92c</vt:lpwstr>
  </property>
</Properties>
</file>