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B28B" w14:textId="754FB3A7" w:rsidR="003458E8" w:rsidRPr="005275A5" w:rsidRDefault="003458E8" w:rsidP="003458E8">
      <w:pPr>
        <w:pStyle w:val="Title"/>
        <w:jc w:val="right"/>
        <w:rPr>
          <w:sz w:val="44"/>
          <w:szCs w:val="44"/>
          <w:lang w:val="en-AU"/>
        </w:rPr>
      </w:pPr>
      <w:r w:rsidRPr="005275A5">
        <w:rPr>
          <w:noProof/>
          <w:sz w:val="44"/>
          <w:szCs w:val="44"/>
          <w:lang w:val="en-AU"/>
        </w:rPr>
        <w:drawing>
          <wp:anchor distT="0" distB="0" distL="114300" distR="114300" simplePos="0" relativeHeight="251658240" behindDoc="1" locked="0" layoutInCell="1" allowOverlap="1" wp14:anchorId="3214ACA3" wp14:editId="1A10DE58">
            <wp:simplePos x="0" y="0"/>
            <wp:positionH relativeFrom="page">
              <wp:posOffset>-7620</wp:posOffset>
            </wp:positionH>
            <wp:positionV relativeFrom="page">
              <wp:align>top</wp:align>
            </wp:positionV>
            <wp:extent cx="7552800" cy="10688400"/>
            <wp:effectExtent l="0" t="0" r="0" b="0"/>
            <wp:wrapNone/>
            <wp:docPr id="524182652" name="Picture 2" descr="A blue and white circle and whit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82652" name="Picture 2" descr="A blue and white circle and white circ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2800" cy="10688400"/>
                    </a:xfrm>
                    <a:prstGeom prst="rect">
                      <a:avLst/>
                    </a:prstGeom>
                    <a:noFill/>
                  </pic:spPr>
                </pic:pic>
              </a:graphicData>
            </a:graphic>
            <wp14:sizeRelH relativeFrom="page">
              <wp14:pctWidth>0</wp14:pctWidth>
            </wp14:sizeRelH>
            <wp14:sizeRelV relativeFrom="page">
              <wp14:pctHeight>0</wp14:pctHeight>
            </wp14:sizeRelV>
          </wp:anchor>
        </w:drawing>
      </w:r>
      <w:r w:rsidR="005275A5" w:rsidRPr="005275A5">
        <w:rPr>
          <w:sz w:val="44"/>
          <w:szCs w:val="44"/>
          <w:lang w:val="en-AU"/>
        </w:rPr>
        <w:t>Sexual and Reproductive Health Monitoring Framework and Data Strategy</w:t>
      </w:r>
    </w:p>
    <w:p w14:paraId="49E14CDF" w14:textId="77777777" w:rsidR="003458E8" w:rsidRDefault="003458E8" w:rsidP="003458E8">
      <w:pPr>
        <w:pStyle w:val="Subtitle"/>
        <w:jc w:val="right"/>
      </w:pPr>
      <w:r>
        <w:t>Submission to the Australian Institute of Health and Welfare</w:t>
      </w:r>
    </w:p>
    <w:p w14:paraId="634EE0B3" w14:textId="5B452F3E" w:rsidR="003458E8" w:rsidRPr="004C0B7E" w:rsidRDefault="00D04078" w:rsidP="003458E8">
      <w:pPr>
        <w:pStyle w:val="Subtitle"/>
        <w:jc w:val="right"/>
      </w:pPr>
      <w:r>
        <w:t>31 October</w:t>
      </w:r>
      <w:r w:rsidR="003458E8" w:rsidRPr="4B833C32">
        <w:t xml:space="preserve"> </w:t>
      </w:r>
      <w:r w:rsidR="003458E8">
        <w:t>2025</w:t>
      </w:r>
    </w:p>
    <w:sdt>
      <w:sdtPr>
        <w:rPr>
          <w:rFonts w:ascii="Open Sans" w:eastAsiaTheme="minorEastAsia" w:hAnsi="Open Sans" w:cstheme="minorBidi"/>
          <w:b w:val="0"/>
          <w:noProof/>
          <w:color w:val="000000" w:themeColor="text1"/>
          <w:sz w:val="24"/>
          <w:szCs w:val="24"/>
          <w:lang w:val="en-AU" w:eastAsia="ja-JP"/>
        </w:rPr>
        <w:id w:val="672380359"/>
        <w:docPartObj>
          <w:docPartGallery w:val="Table of Contents"/>
          <w:docPartUnique/>
        </w:docPartObj>
      </w:sdtPr>
      <w:sdtEndPr>
        <w:rPr>
          <w:b/>
          <w:color w:val="143C65" w:themeColor="accent1"/>
        </w:rPr>
      </w:sdtEndPr>
      <w:sdtContent>
        <w:p w14:paraId="640F1D20" w14:textId="77777777" w:rsidR="003458E8" w:rsidRPr="004C0B7E" w:rsidRDefault="003458E8" w:rsidP="003458E8">
          <w:pPr>
            <w:pStyle w:val="TOCHeading"/>
            <w:rPr>
              <w:lang w:val="en-AU"/>
            </w:rPr>
          </w:pPr>
          <w:r w:rsidRPr="004C0B7E">
            <w:rPr>
              <w:lang w:val="en-AU"/>
            </w:rPr>
            <w:t>Contents</w:t>
          </w:r>
        </w:p>
        <w:p w14:paraId="7D40199E" w14:textId="77CE114D" w:rsidR="006A7AC3" w:rsidRDefault="003458E8">
          <w:pPr>
            <w:pStyle w:val="TOC1"/>
            <w:rPr>
              <w:rFonts w:asciiTheme="minorHAnsi" w:hAnsiTheme="minorHAnsi"/>
              <w:b w:val="0"/>
              <w:color w:val="auto"/>
              <w:kern w:val="2"/>
              <w:lang w:eastAsia="en-AU"/>
              <w14:ligatures w14:val="standardContextual"/>
            </w:rPr>
          </w:pPr>
          <w:r>
            <w:rPr>
              <w:b w:val="0"/>
              <w:sz w:val="22"/>
            </w:rPr>
            <w:fldChar w:fldCharType="begin"/>
          </w:r>
          <w:r>
            <w:rPr>
              <w:b w:val="0"/>
              <w:sz w:val="22"/>
            </w:rPr>
            <w:instrText xml:space="preserve"> TOC \o "1-1" \h \z \t "Heading 2,2" </w:instrText>
          </w:r>
          <w:r>
            <w:rPr>
              <w:b w:val="0"/>
              <w:sz w:val="22"/>
            </w:rPr>
            <w:fldChar w:fldCharType="separate"/>
          </w:r>
          <w:hyperlink w:anchor="_Toc214364925" w:history="1">
            <w:r w:rsidR="006A7AC3" w:rsidRPr="00CB3ABB">
              <w:rPr>
                <w:rStyle w:val="Hyperlink"/>
              </w:rPr>
              <w:t>Overview</w:t>
            </w:r>
            <w:r w:rsidR="006A7AC3">
              <w:rPr>
                <w:webHidden/>
              </w:rPr>
              <w:tab/>
            </w:r>
            <w:r w:rsidR="006A7AC3">
              <w:rPr>
                <w:webHidden/>
              </w:rPr>
              <w:fldChar w:fldCharType="begin"/>
            </w:r>
            <w:r w:rsidR="006A7AC3">
              <w:rPr>
                <w:webHidden/>
              </w:rPr>
              <w:instrText xml:space="preserve"> PAGEREF _Toc214364925 \h </w:instrText>
            </w:r>
            <w:r w:rsidR="006A7AC3">
              <w:rPr>
                <w:webHidden/>
              </w:rPr>
            </w:r>
            <w:r w:rsidR="006A7AC3">
              <w:rPr>
                <w:webHidden/>
              </w:rPr>
              <w:fldChar w:fldCharType="separate"/>
            </w:r>
            <w:r w:rsidR="006A7AC3">
              <w:rPr>
                <w:webHidden/>
              </w:rPr>
              <w:t>4</w:t>
            </w:r>
            <w:r w:rsidR="006A7AC3">
              <w:rPr>
                <w:webHidden/>
              </w:rPr>
              <w:fldChar w:fldCharType="end"/>
            </w:r>
          </w:hyperlink>
        </w:p>
        <w:p w14:paraId="1F23C9B9" w14:textId="76233583" w:rsidR="006A7AC3" w:rsidRDefault="006A7AC3">
          <w:pPr>
            <w:pStyle w:val="TOC2"/>
            <w:rPr>
              <w:rFonts w:asciiTheme="minorHAnsi" w:hAnsiTheme="minorHAnsi"/>
              <w:color w:val="auto"/>
              <w:kern w:val="2"/>
              <w:lang w:val="en-AU" w:eastAsia="en-AU"/>
              <w14:ligatures w14:val="standardContextual"/>
            </w:rPr>
          </w:pPr>
          <w:hyperlink w:anchor="_Toc214364926" w:history="1">
            <w:r w:rsidRPr="00CB3ABB">
              <w:rPr>
                <w:rStyle w:val="Hyperlink"/>
              </w:rPr>
              <w:t>Disclaimer</w:t>
            </w:r>
            <w:r>
              <w:rPr>
                <w:webHidden/>
              </w:rPr>
              <w:tab/>
            </w:r>
            <w:r>
              <w:rPr>
                <w:webHidden/>
              </w:rPr>
              <w:fldChar w:fldCharType="begin"/>
            </w:r>
            <w:r>
              <w:rPr>
                <w:webHidden/>
              </w:rPr>
              <w:instrText xml:space="preserve"> PAGEREF _Toc214364926 \h </w:instrText>
            </w:r>
            <w:r>
              <w:rPr>
                <w:webHidden/>
              </w:rPr>
            </w:r>
            <w:r>
              <w:rPr>
                <w:webHidden/>
              </w:rPr>
              <w:fldChar w:fldCharType="separate"/>
            </w:r>
            <w:r>
              <w:rPr>
                <w:webHidden/>
              </w:rPr>
              <w:t>4</w:t>
            </w:r>
            <w:r>
              <w:rPr>
                <w:webHidden/>
              </w:rPr>
              <w:fldChar w:fldCharType="end"/>
            </w:r>
          </w:hyperlink>
        </w:p>
        <w:p w14:paraId="3AFE737B" w14:textId="15449F04" w:rsidR="006A7AC3" w:rsidRDefault="006A7AC3">
          <w:pPr>
            <w:pStyle w:val="TOC1"/>
            <w:rPr>
              <w:rFonts w:asciiTheme="minorHAnsi" w:hAnsiTheme="minorHAnsi"/>
              <w:b w:val="0"/>
              <w:color w:val="auto"/>
              <w:kern w:val="2"/>
              <w:lang w:eastAsia="en-AU"/>
              <w14:ligatures w14:val="standardContextual"/>
            </w:rPr>
          </w:pPr>
          <w:hyperlink w:anchor="_Toc214364927" w:history="1">
            <w:r w:rsidRPr="00CB3ABB">
              <w:rPr>
                <w:rStyle w:val="Hyperlink"/>
              </w:rPr>
              <w:t>Submission</w:t>
            </w:r>
            <w:r>
              <w:rPr>
                <w:webHidden/>
              </w:rPr>
              <w:tab/>
            </w:r>
            <w:r>
              <w:rPr>
                <w:webHidden/>
              </w:rPr>
              <w:fldChar w:fldCharType="begin"/>
            </w:r>
            <w:r>
              <w:rPr>
                <w:webHidden/>
              </w:rPr>
              <w:instrText xml:space="preserve"> PAGEREF _Toc214364927 \h </w:instrText>
            </w:r>
            <w:r>
              <w:rPr>
                <w:webHidden/>
              </w:rPr>
            </w:r>
            <w:r>
              <w:rPr>
                <w:webHidden/>
              </w:rPr>
              <w:fldChar w:fldCharType="separate"/>
            </w:r>
            <w:r>
              <w:rPr>
                <w:webHidden/>
              </w:rPr>
              <w:t>4</w:t>
            </w:r>
            <w:r>
              <w:rPr>
                <w:webHidden/>
              </w:rPr>
              <w:fldChar w:fldCharType="end"/>
            </w:r>
          </w:hyperlink>
        </w:p>
        <w:p w14:paraId="4EA11524" w14:textId="663A8780" w:rsidR="006A7AC3" w:rsidRDefault="006A7AC3">
          <w:pPr>
            <w:pStyle w:val="TOC2"/>
            <w:rPr>
              <w:rFonts w:asciiTheme="minorHAnsi" w:hAnsiTheme="minorHAnsi"/>
              <w:color w:val="auto"/>
              <w:kern w:val="2"/>
              <w:lang w:val="en-AU" w:eastAsia="en-AU"/>
              <w14:ligatures w14:val="standardContextual"/>
            </w:rPr>
          </w:pPr>
          <w:hyperlink w:anchor="_Toc214364928" w:history="1">
            <w:r w:rsidRPr="00CB3ABB">
              <w:rPr>
                <w:rStyle w:val="Hyperlink"/>
              </w:rPr>
              <w:t>Section 1: Monitoring framework</w:t>
            </w:r>
            <w:r>
              <w:rPr>
                <w:webHidden/>
              </w:rPr>
              <w:tab/>
            </w:r>
            <w:r>
              <w:rPr>
                <w:webHidden/>
              </w:rPr>
              <w:fldChar w:fldCharType="begin"/>
            </w:r>
            <w:r>
              <w:rPr>
                <w:webHidden/>
              </w:rPr>
              <w:instrText xml:space="preserve"> PAGEREF _Toc214364928 \h </w:instrText>
            </w:r>
            <w:r>
              <w:rPr>
                <w:webHidden/>
              </w:rPr>
            </w:r>
            <w:r>
              <w:rPr>
                <w:webHidden/>
              </w:rPr>
              <w:fldChar w:fldCharType="separate"/>
            </w:r>
            <w:r>
              <w:rPr>
                <w:webHidden/>
              </w:rPr>
              <w:t>4</w:t>
            </w:r>
            <w:r>
              <w:rPr>
                <w:webHidden/>
              </w:rPr>
              <w:fldChar w:fldCharType="end"/>
            </w:r>
          </w:hyperlink>
        </w:p>
        <w:p w14:paraId="14B4EFA8" w14:textId="6D48F736" w:rsidR="006A7AC3" w:rsidRDefault="006A7AC3">
          <w:pPr>
            <w:pStyle w:val="TOC2"/>
            <w:rPr>
              <w:rFonts w:asciiTheme="minorHAnsi" w:hAnsiTheme="minorHAnsi"/>
              <w:color w:val="auto"/>
              <w:kern w:val="2"/>
              <w:lang w:val="en-AU" w:eastAsia="en-AU"/>
              <w14:ligatures w14:val="standardContextual"/>
            </w:rPr>
          </w:pPr>
          <w:hyperlink w:anchor="_Toc214364929" w:history="1">
            <w:r w:rsidRPr="00CB3ABB">
              <w:rPr>
                <w:rStyle w:val="Hyperlink"/>
              </w:rPr>
              <w:t>Section 2: Data strategy</w:t>
            </w:r>
            <w:r>
              <w:rPr>
                <w:webHidden/>
              </w:rPr>
              <w:tab/>
            </w:r>
            <w:r>
              <w:rPr>
                <w:webHidden/>
              </w:rPr>
              <w:fldChar w:fldCharType="begin"/>
            </w:r>
            <w:r>
              <w:rPr>
                <w:webHidden/>
              </w:rPr>
              <w:instrText xml:space="preserve"> PAGEREF _Toc214364929 \h </w:instrText>
            </w:r>
            <w:r>
              <w:rPr>
                <w:webHidden/>
              </w:rPr>
            </w:r>
            <w:r>
              <w:rPr>
                <w:webHidden/>
              </w:rPr>
              <w:fldChar w:fldCharType="separate"/>
            </w:r>
            <w:r>
              <w:rPr>
                <w:webHidden/>
              </w:rPr>
              <w:t>7</w:t>
            </w:r>
            <w:r>
              <w:rPr>
                <w:webHidden/>
              </w:rPr>
              <w:fldChar w:fldCharType="end"/>
            </w:r>
          </w:hyperlink>
        </w:p>
        <w:p w14:paraId="7C5AB0E2" w14:textId="0466C7C5" w:rsidR="006A7AC3" w:rsidRDefault="006A7AC3">
          <w:pPr>
            <w:pStyle w:val="TOC2"/>
            <w:rPr>
              <w:rFonts w:asciiTheme="minorHAnsi" w:hAnsiTheme="minorHAnsi"/>
              <w:color w:val="auto"/>
              <w:kern w:val="2"/>
              <w:lang w:val="en-AU" w:eastAsia="en-AU"/>
              <w14:ligatures w14:val="standardContextual"/>
            </w:rPr>
          </w:pPr>
          <w:hyperlink w:anchor="_Toc214364930" w:history="1">
            <w:r w:rsidRPr="00CB3ABB">
              <w:rPr>
                <w:rStyle w:val="Hyperlink"/>
              </w:rPr>
              <w:t>Section 3: Overarching areas</w:t>
            </w:r>
            <w:r>
              <w:rPr>
                <w:webHidden/>
              </w:rPr>
              <w:tab/>
            </w:r>
            <w:r>
              <w:rPr>
                <w:webHidden/>
              </w:rPr>
              <w:fldChar w:fldCharType="begin"/>
            </w:r>
            <w:r>
              <w:rPr>
                <w:webHidden/>
              </w:rPr>
              <w:instrText xml:space="preserve"> PAGEREF _Toc214364930 \h </w:instrText>
            </w:r>
            <w:r>
              <w:rPr>
                <w:webHidden/>
              </w:rPr>
            </w:r>
            <w:r>
              <w:rPr>
                <w:webHidden/>
              </w:rPr>
              <w:fldChar w:fldCharType="separate"/>
            </w:r>
            <w:r>
              <w:rPr>
                <w:webHidden/>
              </w:rPr>
              <w:t>10</w:t>
            </w:r>
            <w:r>
              <w:rPr>
                <w:webHidden/>
              </w:rPr>
              <w:fldChar w:fldCharType="end"/>
            </w:r>
          </w:hyperlink>
        </w:p>
        <w:p w14:paraId="3E40B86D" w14:textId="0D44827D" w:rsidR="006A7AC3" w:rsidRDefault="006A7AC3">
          <w:pPr>
            <w:pStyle w:val="TOC1"/>
            <w:rPr>
              <w:rFonts w:asciiTheme="minorHAnsi" w:hAnsiTheme="minorHAnsi"/>
              <w:b w:val="0"/>
              <w:color w:val="auto"/>
              <w:kern w:val="2"/>
              <w:lang w:eastAsia="en-AU"/>
              <w14:ligatures w14:val="standardContextual"/>
            </w:rPr>
          </w:pPr>
          <w:hyperlink w:anchor="_Toc214364931" w:history="1">
            <w:r w:rsidRPr="00CB3ABB">
              <w:rPr>
                <w:rStyle w:val="Hyperlink"/>
              </w:rPr>
              <w:t>References</w:t>
            </w:r>
            <w:r>
              <w:rPr>
                <w:webHidden/>
              </w:rPr>
              <w:tab/>
            </w:r>
            <w:r>
              <w:rPr>
                <w:webHidden/>
              </w:rPr>
              <w:fldChar w:fldCharType="begin"/>
            </w:r>
            <w:r>
              <w:rPr>
                <w:webHidden/>
              </w:rPr>
              <w:instrText xml:space="preserve"> PAGEREF _Toc214364931 \h </w:instrText>
            </w:r>
            <w:r>
              <w:rPr>
                <w:webHidden/>
              </w:rPr>
            </w:r>
            <w:r>
              <w:rPr>
                <w:webHidden/>
              </w:rPr>
              <w:fldChar w:fldCharType="separate"/>
            </w:r>
            <w:r>
              <w:rPr>
                <w:webHidden/>
              </w:rPr>
              <w:t>13</w:t>
            </w:r>
            <w:r>
              <w:rPr>
                <w:webHidden/>
              </w:rPr>
              <w:fldChar w:fldCharType="end"/>
            </w:r>
          </w:hyperlink>
        </w:p>
        <w:p w14:paraId="77934BCF" w14:textId="53EFFDD8" w:rsidR="003458E8" w:rsidRPr="004C0B7E" w:rsidRDefault="003458E8" w:rsidP="003458E8">
          <w:pPr>
            <w:pStyle w:val="TOC1"/>
          </w:pPr>
          <w:r>
            <w:rPr>
              <w:b w:val="0"/>
              <w:sz w:val="22"/>
            </w:rPr>
            <w:fldChar w:fldCharType="end"/>
          </w:r>
        </w:p>
      </w:sdtContent>
    </w:sdt>
    <w:p w14:paraId="4808D25A" w14:textId="77777777" w:rsidR="00E718F3" w:rsidRDefault="00E718F3" w:rsidP="003458E8">
      <w:pPr>
        <w:pStyle w:val="Frontmatter"/>
      </w:pPr>
    </w:p>
    <w:p w14:paraId="2D1A1096" w14:textId="77777777" w:rsidR="006A7AC3" w:rsidRDefault="006A7AC3" w:rsidP="003458E8">
      <w:pPr>
        <w:pStyle w:val="Frontmatter"/>
      </w:pPr>
    </w:p>
    <w:p w14:paraId="492CCAE6" w14:textId="77777777" w:rsidR="006A7AC3" w:rsidRDefault="006A7AC3" w:rsidP="003458E8">
      <w:pPr>
        <w:pStyle w:val="Frontmatter"/>
      </w:pPr>
    </w:p>
    <w:p w14:paraId="3F8499FF" w14:textId="77777777" w:rsidR="006A7AC3" w:rsidRDefault="006A7AC3" w:rsidP="003458E8">
      <w:pPr>
        <w:pStyle w:val="Frontmatter"/>
      </w:pPr>
    </w:p>
    <w:p w14:paraId="7DAF78E2" w14:textId="77777777" w:rsidR="006A7AC3" w:rsidRDefault="006A7AC3" w:rsidP="003458E8">
      <w:pPr>
        <w:pStyle w:val="Frontmatter"/>
      </w:pPr>
    </w:p>
    <w:p w14:paraId="3225A372" w14:textId="77777777" w:rsidR="006A7AC3" w:rsidRDefault="006A7AC3" w:rsidP="003458E8">
      <w:pPr>
        <w:pStyle w:val="Frontmatter"/>
      </w:pPr>
    </w:p>
    <w:p w14:paraId="2C1DBFBE" w14:textId="77777777" w:rsidR="006A7AC3" w:rsidRDefault="006A7AC3" w:rsidP="003458E8">
      <w:pPr>
        <w:pStyle w:val="Frontmatter"/>
      </w:pPr>
    </w:p>
    <w:p w14:paraId="35E5CF05" w14:textId="77777777" w:rsidR="006A7AC3" w:rsidRDefault="006A7AC3" w:rsidP="003458E8">
      <w:pPr>
        <w:pStyle w:val="Frontmatter"/>
      </w:pPr>
    </w:p>
    <w:p w14:paraId="5C7A23F5" w14:textId="77777777" w:rsidR="006A7AC3" w:rsidRDefault="006A7AC3" w:rsidP="003458E8">
      <w:pPr>
        <w:pStyle w:val="Frontmatter"/>
      </w:pPr>
    </w:p>
    <w:p w14:paraId="3DC38A33" w14:textId="77777777" w:rsidR="006A7AC3" w:rsidRDefault="006A7AC3" w:rsidP="003458E8">
      <w:pPr>
        <w:pStyle w:val="Frontmatter"/>
      </w:pPr>
    </w:p>
    <w:p w14:paraId="4D2E6D61" w14:textId="77777777" w:rsidR="006A7AC3" w:rsidRDefault="006A7AC3" w:rsidP="003458E8">
      <w:pPr>
        <w:pStyle w:val="Frontmatter"/>
      </w:pPr>
    </w:p>
    <w:p w14:paraId="3B1F54B8" w14:textId="77777777" w:rsidR="006A7AC3" w:rsidRDefault="006A7AC3" w:rsidP="003458E8">
      <w:pPr>
        <w:pStyle w:val="Frontmatter"/>
      </w:pPr>
    </w:p>
    <w:p w14:paraId="2F11370D" w14:textId="77777777" w:rsidR="006A7AC3" w:rsidRDefault="006A7AC3" w:rsidP="003458E8">
      <w:pPr>
        <w:pStyle w:val="Frontmatter"/>
      </w:pPr>
    </w:p>
    <w:p w14:paraId="55654B6C" w14:textId="77777777" w:rsidR="006A7AC3" w:rsidRDefault="006A7AC3" w:rsidP="003458E8">
      <w:pPr>
        <w:pStyle w:val="Frontmatter"/>
      </w:pPr>
    </w:p>
    <w:p w14:paraId="0FF81A23" w14:textId="77777777" w:rsidR="006A7AC3" w:rsidRDefault="006A7AC3" w:rsidP="003458E8">
      <w:pPr>
        <w:pStyle w:val="Frontmatter"/>
      </w:pPr>
    </w:p>
    <w:p w14:paraId="33B4B24C" w14:textId="77777777" w:rsidR="006A7AC3" w:rsidRDefault="006A7AC3" w:rsidP="003458E8">
      <w:pPr>
        <w:pStyle w:val="Frontmatter"/>
      </w:pPr>
    </w:p>
    <w:p w14:paraId="562507E9" w14:textId="77777777" w:rsidR="006A7AC3" w:rsidRDefault="006A7AC3" w:rsidP="003458E8">
      <w:pPr>
        <w:pStyle w:val="Frontmatter"/>
      </w:pPr>
    </w:p>
    <w:p w14:paraId="472D9E6E" w14:textId="77777777" w:rsidR="006A7AC3" w:rsidRDefault="006A7AC3" w:rsidP="003458E8">
      <w:pPr>
        <w:pStyle w:val="Frontmatter"/>
      </w:pPr>
    </w:p>
    <w:p w14:paraId="43C2C3CE" w14:textId="77777777" w:rsidR="006A7AC3" w:rsidRDefault="006A7AC3" w:rsidP="003458E8">
      <w:pPr>
        <w:pStyle w:val="Frontmatter"/>
      </w:pPr>
    </w:p>
    <w:p w14:paraId="73BEC00F" w14:textId="77777777" w:rsidR="006A7AC3" w:rsidRDefault="006A7AC3" w:rsidP="003458E8">
      <w:pPr>
        <w:pStyle w:val="Frontmatter"/>
      </w:pPr>
    </w:p>
    <w:p w14:paraId="249A7D5B" w14:textId="77777777" w:rsidR="006A7AC3" w:rsidRDefault="006A7AC3" w:rsidP="003458E8">
      <w:pPr>
        <w:pStyle w:val="Frontmatter"/>
      </w:pPr>
    </w:p>
    <w:p w14:paraId="6C702C67" w14:textId="77777777" w:rsidR="006A7AC3" w:rsidRDefault="006A7AC3" w:rsidP="003458E8">
      <w:pPr>
        <w:pStyle w:val="Frontmatter"/>
      </w:pPr>
    </w:p>
    <w:p w14:paraId="7398DA7E" w14:textId="77777777" w:rsidR="006A7AC3" w:rsidRDefault="006A7AC3" w:rsidP="003458E8">
      <w:pPr>
        <w:pStyle w:val="Frontmatter"/>
      </w:pPr>
    </w:p>
    <w:p w14:paraId="2AD0F11B" w14:textId="77777777" w:rsidR="003458E8" w:rsidRPr="00365FFF" w:rsidRDefault="003458E8" w:rsidP="003458E8">
      <w:pPr>
        <w:pStyle w:val="Heading3"/>
      </w:pPr>
      <w:r w:rsidRPr="00365FFF">
        <w:lastRenderedPageBreak/>
        <w:t>About the Australian Human Rights Commission</w:t>
      </w:r>
    </w:p>
    <w:p w14:paraId="2CBE70C7" w14:textId="77777777" w:rsidR="003458E8" w:rsidRPr="002D7DA0" w:rsidRDefault="003458E8" w:rsidP="003458E8">
      <w:pPr>
        <w:pStyle w:val="Frontmatter"/>
      </w:pPr>
      <w:r w:rsidRPr="002D7DA0">
        <w:t>Our vision is an Australian society where human rights are respected, promoted and protected and where every person is equal in dignity and rights.</w:t>
      </w:r>
    </w:p>
    <w:p w14:paraId="20F93F36" w14:textId="77777777" w:rsidR="003458E8" w:rsidRPr="002D7DA0" w:rsidRDefault="003458E8" w:rsidP="003458E8">
      <w:pPr>
        <w:pStyle w:val="Frontmatter"/>
      </w:pPr>
      <w:r w:rsidRPr="002D7DA0">
        <w:t>The Commission’s key functions include:</w:t>
      </w:r>
    </w:p>
    <w:p w14:paraId="14FAC7F2" w14:textId="77777777" w:rsidR="003458E8" w:rsidRPr="002D7DA0" w:rsidRDefault="003458E8" w:rsidP="003458E8">
      <w:pPr>
        <w:pStyle w:val="Frontmatter"/>
      </w:pPr>
      <w:r w:rsidRPr="002D7DA0">
        <w:t>•</w:t>
      </w:r>
      <w:r>
        <w:t xml:space="preserve"> </w:t>
      </w:r>
      <w:r w:rsidRPr="002D7DA0">
        <w:t>Access to justice: We help people to resolve complaints of discrimination and human rights breaches through our investigation and conciliation services.</w:t>
      </w:r>
    </w:p>
    <w:p w14:paraId="73D553C5" w14:textId="77777777" w:rsidR="003458E8" w:rsidRPr="002D7DA0" w:rsidRDefault="003458E8" w:rsidP="003458E8">
      <w:pPr>
        <w:pStyle w:val="Frontmatter"/>
      </w:pPr>
      <w:r w:rsidRPr="002D7DA0">
        <w:t>•</w:t>
      </w:r>
      <w:r>
        <w:t xml:space="preserve"> </w:t>
      </w:r>
      <w:r w:rsidRPr="002D7DA0">
        <w:t>Fairer laws, policies and practices: We review existing and proposed laws, policies and practices and provide expert advice on how they can better protect people’s human rights. We help organisations to protect human rights in their work. We publish reports on human rights problems and how to fix them.</w:t>
      </w:r>
    </w:p>
    <w:p w14:paraId="59FBA9FF" w14:textId="77777777" w:rsidR="003458E8" w:rsidRPr="002D7DA0" w:rsidRDefault="003458E8" w:rsidP="003458E8">
      <w:pPr>
        <w:pStyle w:val="Frontmatter"/>
      </w:pPr>
      <w:r w:rsidRPr="002D7DA0">
        <w:t>•</w:t>
      </w:r>
      <w:r>
        <w:t xml:space="preserve"> </w:t>
      </w:r>
      <w:r w:rsidRPr="002D7DA0">
        <w:t xml:space="preserve">Education and understanding: We </w:t>
      </w:r>
      <w:r>
        <w:t>promote</w:t>
      </w:r>
      <w:r w:rsidRPr="002D7DA0">
        <w:t xml:space="preserve"> understanding, acceptance and public discussion of human rights. We deliver workplace and community human rights education and training.</w:t>
      </w:r>
    </w:p>
    <w:p w14:paraId="26B5782D" w14:textId="77777777" w:rsidR="003458E8" w:rsidRPr="002D7DA0" w:rsidRDefault="003458E8" w:rsidP="003458E8">
      <w:pPr>
        <w:pStyle w:val="Frontmatter"/>
      </w:pPr>
      <w:r w:rsidRPr="002D7DA0">
        <w:t>•</w:t>
      </w:r>
      <w:r>
        <w:t xml:space="preserve"> </w:t>
      </w:r>
      <w:r w:rsidRPr="002D7DA0">
        <w:t>Compliance: We are the regulator for positive duty laws requiring employers and others to address sexual harassment, sex discrimination and other unlawful conduct.</w:t>
      </w:r>
    </w:p>
    <w:p w14:paraId="381F62A2" w14:textId="77777777" w:rsidR="004970BE" w:rsidRDefault="004970BE" w:rsidP="003458E8">
      <w:pPr>
        <w:pStyle w:val="Frontmatter"/>
      </w:pPr>
    </w:p>
    <w:p w14:paraId="591B9CCF" w14:textId="77777777" w:rsidR="006A7AC3" w:rsidRDefault="006A7AC3" w:rsidP="003458E8">
      <w:pPr>
        <w:pStyle w:val="Frontmatter"/>
      </w:pPr>
    </w:p>
    <w:p w14:paraId="431BD175" w14:textId="77777777" w:rsidR="006A7AC3" w:rsidRDefault="006A7AC3" w:rsidP="003458E8">
      <w:pPr>
        <w:pStyle w:val="Frontmatter"/>
      </w:pPr>
    </w:p>
    <w:p w14:paraId="20CB1508" w14:textId="77777777" w:rsidR="006A7AC3" w:rsidRDefault="006A7AC3" w:rsidP="003458E8">
      <w:pPr>
        <w:pStyle w:val="Frontmatter"/>
      </w:pPr>
    </w:p>
    <w:p w14:paraId="5A0997B6" w14:textId="77777777" w:rsidR="006A7AC3" w:rsidRDefault="006A7AC3" w:rsidP="003458E8">
      <w:pPr>
        <w:pStyle w:val="Frontmatter"/>
      </w:pPr>
    </w:p>
    <w:p w14:paraId="5BDA40C1" w14:textId="77777777" w:rsidR="006A7AC3" w:rsidRDefault="006A7AC3" w:rsidP="003458E8">
      <w:pPr>
        <w:pStyle w:val="Frontmatter"/>
      </w:pPr>
    </w:p>
    <w:p w14:paraId="2C6ED0DB" w14:textId="77777777" w:rsidR="006A7AC3" w:rsidRDefault="006A7AC3" w:rsidP="003458E8">
      <w:pPr>
        <w:pStyle w:val="Frontmatter"/>
      </w:pPr>
    </w:p>
    <w:p w14:paraId="2458ED38" w14:textId="77777777" w:rsidR="006A7AC3" w:rsidRDefault="006A7AC3" w:rsidP="003458E8">
      <w:pPr>
        <w:pStyle w:val="Frontmatter"/>
      </w:pPr>
    </w:p>
    <w:p w14:paraId="1C269F1F" w14:textId="77777777" w:rsidR="006A7AC3" w:rsidRDefault="006A7AC3" w:rsidP="003458E8">
      <w:pPr>
        <w:pStyle w:val="Frontmatter"/>
      </w:pPr>
    </w:p>
    <w:p w14:paraId="42DFE2F7" w14:textId="77777777" w:rsidR="006A7AC3" w:rsidRDefault="006A7AC3" w:rsidP="003458E8">
      <w:pPr>
        <w:pStyle w:val="Frontmatter"/>
      </w:pPr>
    </w:p>
    <w:p w14:paraId="4A8E4648" w14:textId="77777777" w:rsidR="006A7AC3" w:rsidRDefault="006A7AC3" w:rsidP="003458E8">
      <w:pPr>
        <w:pStyle w:val="Frontmatter"/>
      </w:pPr>
    </w:p>
    <w:p w14:paraId="7210B6F1" w14:textId="77777777" w:rsidR="006A7AC3" w:rsidRDefault="006A7AC3" w:rsidP="003458E8">
      <w:pPr>
        <w:pStyle w:val="Frontmatter"/>
      </w:pPr>
    </w:p>
    <w:p w14:paraId="5DC91E48" w14:textId="77777777" w:rsidR="003458E8" w:rsidRPr="00893A0F" w:rsidRDefault="003458E8" w:rsidP="003458E8">
      <w:pPr>
        <w:pStyle w:val="Frontmatter"/>
      </w:pPr>
      <w:r w:rsidRPr="00893A0F">
        <w:t xml:space="preserve">Australian Human Rights Commission </w:t>
      </w:r>
      <w:hyperlink r:id="rId16" w:history="1">
        <w:r w:rsidRPr="00893A0F">
          <w:rPr>
            <w:rStyle w:val="Hyperlink"/>
            <w:sz w:val="22"/>
          </w:rPr>
          <w:t>www.humanrights.gov.au</w:t>
        </w:r>
      </w:hyperlink>
      <w:r w:rsidRPr="00893A0F">
        <w:t xml:space="preserve"> </w:t>
      </w:r>
    </w:p>
    <w:p w14:paraId="079B9696" w14:textId="77777777" w:rsidR="003458E8" w:rsidRPr="00893A0F" w:rsidRDefault="003458E8" w:rsidP="003458E8">
      <w:pPr>
        <w:pStyle w:val="Frontmatter"/>
      </w:pPr>
      <w:r w:rsidRPr="00893A0F">
        <w:t>ABN 47 996 232 602</w:t>
      </w:r>
    </w:p>
    <w:p w14:paraId="76ECB794" w14:textId="77777777" w:rsidR="003458E8" w:rsidRPr="00893A0F" w:rsidRDefault="003458E8" w:rsidP="003458E8">
      <w:pPr>
        <w:pStyle w:val="Frontmatter"/>
      </w:pPr>
      <w:r w:rsidRPr="00893A0F">
        <w:t>GPO Box 5218 Sydney NSW 2001</w:t>
      </w:r>
    </w:p>
    <w:p w14:paraId="3CAE7F5A" w14:textId="3EF753AF" w:rsidR="00E718F3" w:rsidRDefault="003458E8" w:rsidP="004970BE">
      <w:pPr>
        <w:pStyle w:val="Frontmatter"/>
      </w:pPr>
      <w:r w:rsidRPr="00893A0F">
        <w:t>For general enquiries, call us on 1300 369 711.</w:t>
      </w:r>
      <w:r w:rsidRPr="00893A0F">
        <w:br/>
        <w:t>For complaints, call us on 1300 656 419.</w:t>
      </w:r>
      <w:r w:rsidRPr="00893A0F">
        <w:br/>
        <w:t>For TTY, call 1800 620 241.</w:t>
      </w:r>
    </w:p>
    <w:p w14:paraId="3395F105" w14:textId="222DAD07" w:rsidR="00D04078" w:rsidRDefault="00895300" w:rsidP="00D04078">
      <w:pPr>
        <w:pStyle w:val="Heading1unnumbered"/>
      </w:pPr>
      <w:bookmarkStart w:id="0" w:name="_Toc214364925"/>
      <w:r>
        <w:lastRenderedPageBreak/>
        <w:t>Overview</w:t>
      </w:r>
      <w:bookmarkEnd w:id="0"/>
    </w:p>
    <w:p w14:paraId="3773D441" w14:textId="79CC5BB4" w:rsidR="00D04078" w:rsidRDefault="00D04078" w:rsidP="00D04078">
      <w:pPr>
        <w:pStyle w:val="Heading2"/>
      </w:pPr>
      <w:bookmarkStart w:id="1" w:name="_Toc214364926"/>
      <w:r>
        <w:t>Disclaimer</w:t>
      </w:r>
      <w:bookmarkEnd w:id="1"/>
    </w:p>
    <w:p w14:paraId="3FEEF5D4" w14:textId="762FFF1C" w:rsidR="006A697B" w:rsidRDefault="006A697B" w:rsidP="00D04078">
      <w:r w:rsidRPr="006A697B">
        <w:t xml:space="preserve">The Australian Institute of Health and Welfare (AIHW) conducted a public consultation on its draft Sexual and Reproductive Health Monitoring Framework and Data Strategy. Submissions were collected through an online form </w:t>
      </w:r>
      <w:r w:rsidR="00F31FF3">
        <w:t>with a</w:t>
      </w:r>
      <w:r w:rsidRPr="006A697B">
        <w:t xml:space="preserve"> set of specific questions. This document presents those consultation questions</w:t>
      </w:r>
      <w:r w:rsidR="00F31FF3">
        <w:t>, with</w:t>
      </w:r>
      <w:r w:rsidRPr="006A697B">
        <w:t xml:space="preserve"> the Commission’s responses</w:t>
      </w:r>
      <w:r w:rsidR="00F31FF3">
        <w:t xml:space="preserve"> </w:t>
      </w:r>
      <w:r w:rsidR="00467451">
        <w:t>appearing</w:t>
      </w:r>
      <w:r w:rsidR="00F31FF3">
        <w:t xml:space="preserve"> in the boxes below.</w:t>
      </w:r>
    </w:p>
    <w:p w14:paraId="14AD77F9" w14:textId="645CC01E" w:rsidR="00895300" w:rsidRDefault="00F31FF3" w:rsidP="00895300">
      <w:pPr>
        <w:pStyle w:val="Heading1unnumbered"/>
      </w:pPr>
      <w:bookmarkStart w:id="2" w:name="_Toc214364927"/>
      <w:r>
        <w:t>S</w:t>
      </w:r>
      <w:r w:rsidR="00895300">
        <w:t>ubmission</w:t>
      </w:r>
      <w:bookmarkEnd w:id="2"/>
    </w:p>
    <w:p w14:paraId="611E5383" w14:textId="1BA4409D" w:rsidR="00D04078" w:rsidRDefault="006C229B" w:rsidP="00895300">
      <w:pPr>
        <w:pStyle w:val="Heading2"/>
      </w:pPr>
      <w:bookmarkStart w:id="3" w:name="_Toc214364928"/>
      <w:r>
        <w:t>Section 1: Monitoring framework</w:t>
      </w:r>
      <w:bookmarkEnd w:id="3"/>
    </w:p>
    <w:p w14:paraId="466580D4" w14:textId="77777777" w:rsidR="00E4672D" w:rsidRPr="00895300" w:rsidRDefault="006C229B" w:rsidP="006C229B">
      <w:pPr>
        <w:rPr>
          <w:color w:val="000000"/>
        </w:rPr>
      </w:pPr>
      <w:r w:rsidRPr="00895300">
        <w:rPr>
          <w:color w:val="000000"/>
        </w:rPr>
        <w:t>The AIHW is seeking feedback from stakeholders about the extent to which the monitoring framework:</w:t>
      </w:r>
    </w:p>
    <w:p w14:paraId="28DB85ED" w14:textId="77777777" w:rsidR="00E4672D" w:rsidRPr="00895300" w:rsidRDefault="006C229B" w:rsidP="006C229B">
      <w:pPr>
        <w:pStyle w:val="ListParagraph"/>
        <w:numPr>
          <w:ilvl w:val="0"/>
          <w:numId w:val="37"/>
        </w:numPr>
        <w:rPr>
          <w:color w:val="000000"/>
        </w:rPr>
      </w:pPr>
      <w:r w:rsidRPr="00895300">
        <w:rPr>
          <w:color w:val="000000"/>
        </w:rPr>
        <w:t>is framed around the right questions</w:t>
      </w:r>
    </w:p>
    <w:p w14:paraId="42BE4F56" w14:textId="77777777" w:rsidR="00E4672D" w:rsidRPr="00895300" w:rsidRDefault="006C229B" w:rsidP="006C229B">
      <w:pPr>
        <w:pStyle w:val="ListParagraph"/>
        <w:numPr>
          <w:ilvl w:val="0"/>
          <w:numId w:val="37"/>
        </w:numPr>
        <w:rPr>
          <w:color w:val="000000"/>
        </w:rPr>
      </w:pPr>
      <w:r w:rsidRPr="00895300">
        <w:rPr>
          <w:color w:val="000000"/>
        </w:rPr>
        <w:t>contains conceptual relationships and layers that make sense</w:t>
      </w:r>
    </w:p>
    <w:p w14:paraId="412BC776" w14:textId="77777777" w:rsidR="00E4672D" w:rsidRPr="00895300" w:rsidRDefault="006C229B" w:rsidP="006C229B">
      <w:pPr>
        <w:pStyle w:val="ListParagraph"/>
        <w:numPr>
          <w:ilvl w:val="0"/>
          <w:numId w:val="37"/>
        </w:numPr>
        <w:rPr>
          <w:color w:val="000000"/>
        </w:rPr>
      </w:pPr>
      <w:r w:rsidRPr="00895300">
        <w:rPr>
          <w:color w:val="000000"/>
        </w:rPr>
        <w:t>has domains and subdomains that capture the important issues, and</w:t>
      </w:r>
    </w:p>
    <w:p w14:paraId="2163B50E" w14:textId="120C069E" w:rsidR="006C229B" w:rsidRPr="00666CDF" w:rsidRDefault="006C229B" w:rsidP="006C229B">
      <w:pPr>
        <w:pStyle w:val="ListParagraph"/>
        <w:numPr>
          <w:ilvl w:val="0"/>
          <w:numId w:val="37"/>
        </w:numPr>
        <w:rPr>
          <w:color w:val="000000"/>
        </w:rPr>
      </w:pPr>
      <w:r w:rsidRPr="00895300">
        <w:rPr>
          <w:color w:val="000000"/>
        </w:rPr>
        <w:t>captures the key SRH areas that need to be monitored in Australia.</w:t>
      </w:r>
    </w:p>
    <w:p w14:paraId="6B4C5F6C" w14:textId="1BD7B13F" w:rsidR="006C229B" w:rsidRPr="00895300" w:rsidRDefault="006C229B" w:rsidP="006C229B">
      <w:pPr>
        <w:rPr>
          <w:color w:val="000000"/>
        </w:rPr>
      </w:pPr>
      <w:r w:rsidRPr="00895300">
        <w:rPr>
          <w:b/>
          <w:bCs/>
          <w:color w:val="000000"/>
        </w:rPr>
        <w:t>1. Please rate your level of agreement with the following statement</w:t>
      </w:r>
      <w:r w:rsidRPr="00895300">
        <w:rPr>
          <w:color w:val="000000"/>
        </w:rPr>
        <w:t xml:space="preserve">. </w:t>
      </w:r>
    </w:p>
    <w:p w14:paraId="6BF590DE" w14:textId="77777777" w:rsidR="006C229B" w:rsidRPr="00895300" w:rsidRDefault="006C229B" w:rsidP="006C229B">
      <w:pPr>
        <w:rPr>
          <w:color w:val="000000"/>
        </w:rPr>
      </w:pPr>
      <w:r w:rsidRPr="00895300">
        <w:rPr>
          <w:color w:val="000000"/>
        </w:rPr>
        <w:t>“The monitoring framework (pages 22–27) captures the domains and relationships that are important for sexual and reproductive health in Australia.”</w:t>
      </w:r>
    </w:p>
    <w:p w14:paraId="46C37E5F" w14:textId="77777777" w:rsidR="006C229B" w:rsidRPr="00895300" w:rsidRDefault="006C229B" w:rsidP="006C229B">
      <w:pPr>
        <w:rPr>
          <w:color w:val="000000"/>
        </w:rPr>
      </w:pPr>
      <w:r w:rsidRPr="00895300">
        <w:rPr>
          <w:color w:val="000000"/>
        </w:rPr>
        <w:t xml:space="preserve">Please select one option: </w:t>
      </w:r>
    </w:p>
    <w:p w14:paraId="54D3E7BD" w14:textId="1DF70E8D" w:rsidR="006C229B" w:rsidRPr="00895300" w:rsidRDefault="006C229B" w:rsidP="006C229B">
      <w:pPr>
        <w:rPr>
          <w:color w:val="000000"/>
        </w:rPr>
      </w:pPr>
      <w:r w:rsidRPr="00895300">
        <w:rPr>
          <w:rFonts w:ascii="Segoe UI Symbol" w:hAnsi="Segoe UI Symbol" w:cs="Segoe UI Symbol"/>
          <w:color w:val="000000"/>
        </w:rPr>
        <w:t>☐</w:t>
      </w:r>
      <w:r w:rsidRPr="00895300">
        <w:rPr>
          <w:color w:val="000000"/>
        </w:rPr>
        <w:t xml:space="preserve"> Strongly agree</w:t>
      </w:r>
    </w:p>
    <w:p w14:paraId="606E26B5" w14:textId="06DF19CA" w:rsidR="006C229B" w:rsidRPr="00895300" w:rsidRDefault="006C229B" w:rsidP="006C229B">
      <w:pPr>
        <w:rPr>
          <w:color w:val="000000"/>
        </w:rPr>
      </w:pPr>
      <w:r w:rsidRPr="00895300">
        <w:rPr>
          <w:rFonts w:ascii="Segoe UI Symbol" w:hAnsi="Segoe UI Symbol" w:cs="Segoe UI Symbol"/>
          <w:color w:val="000000"/>
        </w:rPr>
        <w:t>☐</w:t>
      </w:r>
      <w:r w:rsidRPr="00895300">
        <w:rPr>
          <w:color w:val="000000"/>
        </w:rPr>
        <w:t xml:space="preserve"> Agree</w:t>
      </w:r>
    </w:p>
    <w:p w14:paraId="7CCFE0EA" w14:textId="29F5F7AA" w:rsidR="006C229B" w:rsidRDefault="006C229B" w:rsidP="006C229B">
      <w:pPr>
        <w:rPr>
          <w:color w:val="000000"/>
        </w:rPr>
      </w:pPr>
      <w:r w:rsidRPr="00895300">
        <w:rPr>
          <w:rFonts w:ascii="Segoe UI Symbol" w:hAnsi="Segoe UI Symbol" w:cs="Segoe UI Symbol"/>
          <w:color w:val="000000"/>
        </w:rPr>
        <w:t>☐</w:t>
      </w:r>
      <w:r w:rsidRPr="00895300">
        <w:rPr>
          <w:color w:val="000000"/>
        </w:rPr>
        <w:t xml:space="preserve"> Neither agree nor disagree</w:t>
      </w:r>
    </w:p>
    <w:p w14:paraId="4DF4782E" w14:textId="5C2AF053" w:rsidR="006C229B" w:rsidRPr="00895300" w:rsidRDefault="006C229B" w:rsidP="006C229B">
      <w:pPr>
        <w:rPr>
          <w:color w:val="000000"/>
        </w:rPr>
      </w:pPr>
      <w:r w:rsidRPr="00923D23">
        <w:rPr>
          <w:b/>
          <w:bCs/>
          <w:color w:val="000000"/>
        </w:rPr>
        <w:t>X</w:t>
      </w:r>
      <w:r w:rsidRPr="00895300">
        <w:rPr>
          <w:color w:val="000000"/>
        </w:rPr>
        <w:t xml:space="preserve"> </w:t>
      </w:r>
      <w:r w:rsidRPr="00923D23">
        <w:rPr>
          <w:color w:val="000000"/>
        </w:rPr>
        <w:t>Disagree</w:t>
      </w:r>
    </w:p>
    <w:p w14:paraId="5771DC2C" w14:textId="1BEF8E07" w:rsidR="006C229B" w:rsidRPr="00895300" w:rsidRDefault="006C229B" w:rsidP="006C229B">
      <w:pPr>
        <w:rPr>
          <w:color w:val="000000"/>
        </w:rPr>
      </w:pPr>
      <w:r w:rsidRPr="00895300">
        <w:rPr>
          <w:rFonts w:ascii="Segoe UI Symbol" w:hAnsi="Segoe UI Symbol" w:cs="Segoe UI Symbol"/>
          <w:color w:val="000000"/>
        </w:rPr>
        <w:t>☐</w:t>
      </w:r>
      <w:r w:rsidRPr="00895300">
        <w:rPr>
          <w:color w:val="000000"/>
        </w:rPr>
        <w:t xml:space="preserve"> Strongly disagree</w:t>
      </w:r>
    </w:p>
    <w:p w14:paraId="1D33A8AF" w14:textId="412ADA9C" w:rsidR="006C229B" w:rsidRDefault="006C229B" w:rsidP="006C229B">
      <w:pPr>
        <w:rPr>
          <w:color w:val="000000"/>
        </w:rPr>
      </w:pPr>
      <w:r w:rsidRPr="00895300">
        <w:rPr>
          <w:b/>
          <w:bCs/>
          <w:color w:val="000000"/>
        </w:rPr>
        <w:t>Please add any additional comments to explain your rating (optional)</w:t>
      </w:r>
      <w:r w:rsidRPr="00895300">
        <w:rPr>
          <w:color w:val="000000"/>
        </w:rPr>
        <w:t>:</w:t>
      </w:r>
    </w:p>
    <w:tbl>
      <w:tblPr>
        <w:tblStyle w:val="TableGrid"/>
        <w:tblW w:w="0" w:type="auto"/>
        <w:tblBorders>
          <w:top w:val="dashed" w:sz="8" w:space="0" w:color="000000"/>
          <w:left w:val="dashed" w:sz="8" w:space="0" w:color="000000"/>
          <w:bottom w:val="dashed" w:sz="8" w:space="0" w:color="000000"/>
          <w:right w:val="dashed" w:sz="8" w:space="0" w:color="000000"/>
          <w:insideH w:val="none" w:sz="0" w:space="0" w:color="auto"/>
          <w:insideV w:val="none" w:sz="0" w:space="0" w:color="auto"/>
        </w:tblBorders>
        <w:shd w:val="clear" w:color="auto" w:fill="F5F5F5"/>
        <w:tblLook w:val="04A0" w:firstRow="1" w:lastRow="0" w:firstColumn="1" w:lastColumn="0" w:noHBand="0" w:noVBand="1"/>
      </w:tblPr>
      <w:tblGrid>
        <w:gridCol w:w="9006"/>
      </w:tblGrid>
      <w:tr w:rsidR="00923D23" w14:paraId="0AE867EF"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28DE2773" w14:textId="77777777" w:rsidR="00923D23" w:rsidRPr="00923D23" w:rsidRDefault="00923D23" w:rsidP="00923D23">
            <w:pPr>
              <w:rPr>
                <w:color w:val="000000"/>
              </w:rPr>
            </w:pPr>
            <w:r w:rsidRPr="00923D23">
              <w:rPr>
                <w:color w:val="000000"/>
              </w:rPr>
              <w:t>The framework includes relevant domains such as agency, autonomy, and safety, which are critical to monitoring sexual and reproductive health outcomes. The framework also identifies ‘people with disability’ as a priority population.</w:t>
            </w:r>
          </w:p>
          <w:p w14:paraId="3453B8E1" w14:textId="6D9C21E5" w:rsidR="00923D23" w:rsidRDefault="00923D23" w:rsidP="00923D23">
            <w:pPr>
              <w:rPr>
                <w:color w:val="000000"/>
              </w:rPr>
            </w:pPr>
            <w:r w:rsidRPr="00923D23">
              <w:rPr>
                <w:color w:val="000000"/>
              </w:rPr>
              <w:t xml:space="preserve">However, the framework fails to expressly capture important and often overlooked domains that frequently impact people with disability, particularly women and girls with disability. This includes involuntary sterilisation, reproductive coercion such as forced contraception, and discrimination in </w:t>
            </w:r>
            <w:r w:rsidRPr="00923D23">
              <w:rPr>
                <w:color w:val="000000"/>
              </w:rPr>
              <w:lastRenderedPageBreak/>
              <w:t>parenting. These gaps limit the framework’s ability to monitor implementation of Australia’s human rights obligations and reflect the sexual and reproductive health experiences of people with disability.</w:t>
            </w:r>
          </w:p>
        </w:tc>
      </w:tr>
    </w:tbl>
    <w:p w14:paraId="03C6E7A6" w14:textId="77777777" w:rsidR="00666CDF" w:rsidRDefault="00666CDF" w:rsidP="006C229B">
      <w:pPr>
        <w:rPr>
          <w:b/>
          <w:bCs/>
        </w:rPr>
      </w:pPr>
    </w:p>
    <w:p w14:paraId="09A51D05" w14:textId="498B65A3" w:rsidR="006C229B" w:rsidRPr="006C229B" w:rsidRDefault="006C229B" w:rsidP="006C229B">
      <w:pPr>
        <w:rPr>
          <w:b/>
          <w:bCs/>
        </w:rPr>
      </w:pPr>
      <w:r w:rsidRPr="006C229B">
        <w:rPr>
          <w:b/>
          <w:bCs/>
        </w:rPr>
        <w:t>2. How well does the draft monitoring framework address your SRH data questions/needs? What are its strengths and/or limitations? Please explain your response.</w:t>
      </w:r>
    </w:p>
    <w:tbl>
      <w:tblPr>
        <w:tblStyle w:val="TableGrid"/>
        <w:tblW w:w="0" w:type="auto"/>
        <w:tblBorders>
          <w:top w:val="dashed" w:sz="8" w:space="0" w:color="000000"/>
          <w:left w:val="dashed" w:sz="8" w:space="0" w:color="000000"/>
          <w:bottom w:val="dashed" w:sz="8" w:space="0" w:color="000000"/>
          <w:right w:val="dashed" w:sz="8" w:space="0" w:color="000000"/>
          <w:insideH w:val="none" w:sz="0" w:space="0" w:color="auto"/>
          <w:insideV w:val="none" w:sz="0" w:space="0" w:color="auto"/>
        </w:tblBorders>
        <w:tblLook w:val="04A0" w:firstRow="1" w:lastRow="0" w:firstColumn="1" w:lastColumn="0" w:noHBand="0" w:noVBand="1"/>
      </w:tblPr>
      <w:tblGrid>
        <w:gridCol w:w="9006"/>
      </w:tblGrid>
      <w:tr w:rsidR="00923D23" w14:paraId="2803E9EB"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7994ABD4" w14:textId="77777777" w:rsidR="00923D23" w:rsidRPr="006C229B" w:rsidRDefault="00923D23" w:rsidP="00923D23">
            <w:pPr>
              <w:rPr>
                <w:rFonts w:eastAsia="Open Sans" w:cs="Open Sans"/>
                <w:color w:val="000000"/>
              </w:rPr>
            </w:pPr>
            <w:r w:rsidRPr="006C229B">
              <w:rPr>
                <w:rFonts w:eastAsia="Open Sans" w:cs="Open Sans"/>
                <w:color w:val="000000"/>
              </w:rPr>
              <w:t>The inclusion of domains such as ‘agency’, ‘autonomy’, and ‘safety’ in the draft framework</w:t>
            </w:r>
            <w:r w:rsidRPr="006C229B" w:rsidDel="00AF5465">
              <w:rPr>
                <w:rFonts w:eastAsia="Open Sans" w:cs="Open Sans"/>
                <w:color w:val="000000"/>
              </w:rPr>
              <w:t xml:space="preserve"> </w:t>
            </w:r>
            <w:r w:rsidRPr="006C229B">
              <w:rPr>
                <w:rFonts w:eastAsia="Open Sans" w:cs="Open Sans"/>
                <w:color w:val="000000"/>
              </w:rPr>
              <w:t>aligns with human rights principles. However, the framework does not adequately address the needs of people with disability, particularly in relation to monitoring the diminishments and violations of rights experienced by people with disability in the sexual and reproductive health system. These are systemic, ongoing, and largely invisible in current data systems.</w:t>
            </w:r>
          </w:p>
          <w:p w14:paraId="5790ECFC" w14:textId="77777777" w:rsidR="00923D23" w:rsidRPr="006C229B" w:rsidRDefault="00923D23" w:rsidP="00923D23">
            <w:pPr>
              <w:rPr>
                <w:rFonts w:eastAsia="Open Sans" w:cs="Open Sans"/>
                <w:color w:val="000000"/>
              </w:rPr>
            </w:pPr>
            <w:r w:rsidRPr="006C229B">
              <w:rPr>
                <w:rFonts w:eastAsia="Open Sans" w:cs="Open Sans"/>
                <w:color w:val="000000"/>
              </w:rPr>
              <w:t>The Australian Human Rights Commission (the Commission) highlights several critical gaps:</w:t>
            </w:r>
          </w:p>
          <w:p w14:paraId="6DE05AE2" w14:textId="77777777" w:rsidR="00923D23" w:rsidRPr="006C229B" w:rsidRDefault="00923D23" w:rsidP="00923D23">
            <w:pPr>
              <w:rPr>
                <w:rFonts w:eastAsia="Open Sans" w:cs="Open Sans"/>
                <w:color w:val="000000"/>
              </w:rPr>
            </w:pPr>
            <w:r w:rsidRPr="006C229B">
              <w:rPr>
                <w:rFonts w:eastAsia="Open Sans" w:cs="Open Sans"/>
                <w:color w:val="000000"/>
              </w:rPr>
              <w:t>(</w:t>
            </w:r>
            <w:r w:rsidRPr="006C229B">
              <w:rPr>
                <w:rFonts w:eastAsia="Open Sans" w:cs="Open Sans"/>
                <w:b/>
                <w:bCs/>
                <w:color w:val="000000"/>
              </w:rPr>
              <w:t>1</w:t>
            </w:r>
            <w:r w:rsidRPr="006C229B">
              <w:rPr>
                <w:rFonts w:eastAsia="Open Sans" w:cs="Open Sans"/>
                <w:color w:val="000000"/>
              </w:rPr>
              <w:t xml:space="preserve">) Women and girls with disability experience multiple and intersecting forms of discrimination that significantly impact their sexual and reproductive health outcomes. International human rights treaties require governments to take targeted action to eliminate this discrimination and ensure equal access to health care, including sexual and reproductive health. Article 6 of the </w:t>
            </w:r>
            <w:r w:rsidRPr="006C229B">
              <w:rPr>
                <w:rFonts w:eastAsia="Open Sans" w:cs="Open Sans"/>
                <w:i/>
                <w:iCs/>
                <w:color w:val="000000"/>
              </w:rPr>
              <w:t xml:space="preserve">Convention on the Rights of Persons with Disabilities </w:t>
            </w:r>
            <w:r w:rsidRPr="006C229B">
              <w:rPr>
                <w:rFonts w:eastAsia="Open Sans" w:cs="Open Sans"/>
                <w:color w:val="000000"/>
              </w:rPr>
              <w:t>(CRPD</w:t>
            </w:r>
            <w:r>
              <w:rPr>
                <w:rFonts w:eastAsia="Open Sans" w:cs="Open Sans"/>
                <w:color w:val="000000"/>
              </w:rPr>
              <w:t>)</w:t>
            </w:r>
            <w:r>
              <w:rPr>
                <w:rStyle w:val="EndnoteReference"/>
                <w:rFonts w:eastAsia="Open Sans" w:cs="Open Sans"/>
                <w:color w:val="000000"/>
              </w:rPr>
              <w:endnoteReference w:id="2"/>
            </w:r>
            <w:r w:rsidRPr="006C229B">
              <w:rPr>
                <w:rFonts w:eastAsia="Open Sans" w:cs="Open Sans"/>
                <w:color w:val="000000"/>
              </w:rPr>
              <w:t xml:space="preserve"> recognises that women and girls with disability face heightened risks of exclusion and rights violations. CRPD Articles 17, 23 and 2</w:t>
            </w:r>
            <w:r>
              <w:rPr>
                <w:rFonts w:eastAsia="Open Sans" w:cs="Open Sans"/>
                <w:color w:val="000000"/>
              </w:rPr>
              <w:t>5</w:t>
            </w:r>
            <w:r>
              <w:rPr>
                <w:rStyle w:val="EndnoteReference"/>
                <w:rFonts w:eastAsia="Open Sans" w:cs="Open Sans"/>
                <w:color w:val="000000"/>
              </w:rPr>
              <w:endnoteReference w:id="3"/>
            </w:r>
            <w:r w:rsidRPr="006C229B">
              <w:rPr>
                <w:rFonts w:eastAsia="Open Sans" w:cs="Open Sans"/>
                <w:color w:val="000000"/>
              </w:rPr>
              <w:t xml:space="preserve"> specifically affirm the rights of people with disability to bodily autonomy, respect for family, and health. The </w:t>
            </w:r>
            <w:r w:rsidRPr="006C229B">
              <w:rPr>
                <w:rFonts w:eastAsia="Open Sans" w:cs="Open Sans"/>
                <w:i/>
                <w:iCs/>
                <w:color w:val="000000"/>
              </w:rPr>
              <w:t>Convention on the Elimination of All Forms of Discrimination Against Women</w:t>
            </w:r>
            <w:r w:rsidRPr="006C229B">
              <w:rPr>
                <w:rFonts w:eastAsia="Open Sans" w:cs="Open Sans"/>
                <w:color w:val="000000"/>
              </w:rPr>
              <w:t xml:space="preserve"> (CEDAW</w:t>
            </w:r>
            <w:r>
              <w:rPr>
                <w:rFonts w:eastAsia="Open Sans" w:cs="Open Sans"/>
                <w:color w:val="000000"/>
              </w:rPr>
              <w:t>)</w:t>
            </w:r>
            <w:r>
              <w:rPr>
                <w:rStyle w:val="EndnoteReference"/>
                <w:rFonts w:eastAsia="Open Sans" w:cs="Open Sans"/>
                <w:color w:val="000000"/>
              </w:rPr>
              <w:endnoteReference w:id="4"/>
            </w:r>
            <w:r w:rsidRPr="006C229B">
              <w:rPr>
                <w:rFonts w:eastAsia="Open Sans" w:cs="Open Sans"/>
                <w:color w:val="000000"/>
              </w:rPr>
              <w:t xml:space="preserve"> Articles 3 and 12 affirm the rights of women to health and bodily autonomy. The </w:t>
            </w:r>
            <w:r w:rsidRPr="006C229B">
              <w:rPr>
                <w:rFonts w:eastAsia="Open Sans" w:cs="Open Sans"/>
                <w:i/>
                <w:iCs/>
                <w:color w:val="000000"/>
              </w:rPr>
              <w:t>International Covenant on Civil and Political Right</w:t>
            </w:r>
            <w:r>
              <w:rPr>
                <w:rFonts w:eastAsia="Open Sans" w:cs="Open Sans"/>
                <w:i/>
                <w:iCs/>
                <w:color w:val="000000"/>
              </w:rPr>
              <w:t>s</w:t>
            </w:r>
            <w:r w:rsidRPr="006C229B">
              <w:rPr>
                <w:rStyle w:val="EndnoteReference"/>
                <w:rFonts w:eastAsia="Open Sans" w:cs="Open Sans"/>
                <w:color w:val="000000"/>
              </w:rPr>
              <w:endnoteReference w:id="5"/>
            </w:r>
            <w:r w:rsidRPr="006C229B">
              <w:rPr>
                <w:rFonts w:eastAsia="Open Sans" w:cs="Open Sans"/>
                <w:color w:val="000000"/>
              </w:rPr>
              <w:t xml:space="preserve"> (ICCPR) and the </w:t>
            </w:r>
            <w:r w:rsidRPr="006C229B">
              <w:rPr>
                <w:rFonts w:eastAsia="Open Sans" w:cs="Open Sans"/>
                <w:i/>
                <w:iCs/>
                <w:color w:val="000000"/>
              </w:rPr>
              <w:t>International Covenant on Economic, Social and Cultural Right</w:t>
            </w:r>
            <w:r>
              <w:rPr>
                <w:rFonts w:eastAsia="Open Sans" w:cs="Open Sans"/>
                <w:i/>
                <w:iCs/>
                <w:color w:val="000000"/>
              </w:rPr>
              <w:t>s</w:t>
            </w:r>
            <w:r w:rsidRPr="006C229B">
              <w:rPr>
                <w:rStyle w:val="EndnoteReference"/>
                <w:rFonts w:eastAsia="Open Sans" w:cs="Open Sans"/>
                <w:color w:val="000000"/>
              </w:rPr>
              <w:endnoteReference w:id="6"/>
            </w:r>
            <w:r w:rsidRPr="006C229B">
              <w:rPr>
                <w:rFonts w:eastAsia="Open Sans" w:cs="Open Sans"/>
                <w:color w:val="000000"/>
              </w:rPr>
              <w:t xml:space="preserve"> (ICESCR), affirm the rights to bodily autonomy, freedom from violence, and respect for home and family.</w:t>
            </w:r>
          </w:p>
          <w:p w14:paraId="530B7A0D" w14:textId="77777777" w:rsidR="00923D23" w:rsidRPr="006C229B" w:rsidRDefault="00923D23" w:rsidP="00923D23">
            <w:pPr>
              <w:rPr>
                <w:rFonts w:eastAsia="Open Sans" w:cs="Open Sans"/>
                <w:color w:val="000000"/>
              </w:rPr>
            </w:pPr>
            <w:r w:rsidRPr="006C229B">
              <w:rPr>
                <w:rFonts w:eastAsia="Open Sans" w:cs="Open Sans"/>
                <w:color w:val="000000"/>
              </w:rPr>
              <w:t>The Commission recommends including ‘women and girls with disability’ as a priority population in the SRH Monitoring Framework to ensure their experiences are visible in the national data systems, to support policy responses that uphold their rights and align Australia’s monitoring framework with its international obligations.</w:t>
            </w:r>
          </w:p>
          <w:p w14:paraId="7A561890" w14:textId="77777777" w:rsidR="00923D23" w:rsidRPr="006C229B" w:rsidRDefault="00923D23" w:rsidP="00923D23">
            <w:pPr>
              <w:rPr>
                <w:rFonts w:eastAsia="Open Sans" w:cs="Open Sans"/>
                <w:color w:val="000000"/>
              </w:rPr>
            </w:pPr>
            <w:r w:rsidRPr="006C229B">
              <w:rPr>
                <w:rFonts w:eastAsia="Open Sans" w:cs="Open Sans"/>
                <w:color w:val="000000"/>
              </w:rPr>
              <w:t>(</w:t>
            </w:r>
            <w:r w:rsidRPr="006C229B">
              <w:rPr>
                <w:rFonts w:eastAsia="Open Sans" w:cs="Open Sans"/>
                <w:b/>
                <w:bCs/>
                <w:color w:val="000000"/>
              </w:rPr>
              <w:t>2</w:t>
            </w:r>
            <w:r w:rsidRPr="006C229B">
              <w:rPr>
                <w:rFonts w:eastAsia="Open Sans" w:cs="Open Sans"/>
                <w:color w:val="000000"/>
              </w:rPr>
              <w:t xml:space="preserve">) Involuntary sterilisation is a serious human rights violation, that disproportionately affects women and girls with intellectual, cognitive and psychosocial disability in Australia. It remains a permitted and ongoing practice despite the recommendation from the Disability Royal Commission </w:t>
            </w:r>
            <w:r w:rsidRPr="006C229B">
              <w:rPr>
                <w:rFonts w:eastAsia="Open Sans" w:cs="Open Sans"/>
                <w:color w:val="000000"/>
              </w:rPr>
              <w:lastRenderedPageBreak/>
              <w:t>and advocacy from civil societ</w:t>
            </w:r>
            <w:r>
              <w:rPr>
                <w:rFonts w:eastAsia="Open Sans" w:cs="Open Sans"/>
                <w:color w:val="000000"/>
              </w:rPr>
              <w:t>y</w:t>
            </w:r>
            <w:r>
              <w:rPr>
                <w:rStyle w:val="EndnoteReference"/>
                <w:rFonts w:eastAsia="Open Sans" w:cs="Open Sans"/>
                <w:color w:val="000000"/>
              </w:rPr>
              <w:endnoteReference w:id="7"/>
            </w:r>
            <w:r w:rsidRPr="006C229B">
              <w:rPr>
                <w:rFonts w:eastAsia="Open Sans" w:cs="Open Sans"/>
                <w:color w:val="000000"/>
              </w:rPr>
              <w:t>, and several recommendations from multiple UN treaty bodies and the Human Rights Counci</w:t>
            </w:r>
            <w:r>
              <w:rPr>
                <w:rFonts w:eastAsia="Open Sans" w:cs="Open Sans"/>
                <w:color w:val="000000"/>
              </w:rPr>
              <w:t>l</w:t>
            </w:r>
            <w:r>
              <w:rPr>
                <w:rStyle w:val="EndnoteReference"/>
                <w:rFonts w:eastAsia="Open Sans" w:cs="Open Sans"/>
                <w:color w:val="000000"/>
              </w:rPr>
              <w:endnoteReference w:id="8"/>
            </w:r>
            <w:r w:rsidRPr="006C229B">
              <w:rPr>
                <w:rFonts w:eastAsia="Open Sans" w:cs="Open Sans"/>
                <w:color w:val="000000"/>
              </w:rPr>
              <w:t xml:space="preserve"> calling for its prohibition through uniform legislation. Given its severity, this practice should expressly be captured in the SRH framework. Including involuntary sterilisation as a national indicator under the ‘agency’ and ‘autonomy’ domains is essential to uphold Australia’s obligations under the CRPD, including Article 3</w:t>
            </w:r>
            <w:r>
              <w:rPr>
                <w:rFonts w:eastAsia="Open Sans" w:cs="Open Sans"/>
                <w:color w:val="000000"/>
              </w:rPr>
              <w:t>1</w:t>
            </w:r>
            <w:r>
              <w:rPr>
                <w:rStyle w:val="EndnoteReference"/>
                <w:rFonts w:eastAsia="Open Sans" w:cs="Open Sans"/>
                <w:color w:val="000000"/>
              </w:rPr>
              <w:endnoteReference w:id="9"/>
            </w:r>
            <w:r w:rsidRPr="006C229B">
              <w:rPr>
                <w:rFonts w:eastAsia="Open Sans" w:cs="Open Sans"/>
                <w:color w:val="000000"/>
              </w:rPr>
              <w:t>, and to track implementation of Recommendation 6.41 of the Disability Royal Commissio</w:t>
            </w:r>
            <w:r>
              <w:rPr>
                <w:rFonts w:eastAsia="Open Sans" w:cs="Open Sans"/>
                <w:color w:val="000000"/>
              </w:rPr>
              <w:t>n</w:t>
            </w:r>
            <w:r>
              <w:rPr>
                <w:rStyle w:val="EndnoteReference"/>
                <w:rFonts w:eastAsia="Open Sans" w:cs="Open Sans"/>
                <w:color w:val="000000"/>
              </w:rPr>
              <w:endnoteReference w:id="10"/>
            </w:r>
            <w:r>
              <w:rPr>
                <w:rFonts w:eastAsia="Open Sans" w:cs="Open Sans"/>
                <w:color w:val="000000"/>
              </w:rPr>
              <w:t>.</w:t>
            </w:r>
          </w:p>
          <w:p w14:paraId="53F95654" w14:textId="77777777" w:rsidR="00923D23" w:rsidRPr="006C229B" w:rsidRDefault="00923D23" w:rsidP="00923D23">
            <w:pPr>
              <w:rPr>
                <w:rFonts w:eastAsia="Open Sans" w:cs="Open Sans"/>
                <w:color w:val="000000"/>
              </w:rPr>
            </w:pPr>
            <w:r w:rsidRPr="006C229B">
              <w:rPr>
                <w:rFonts w:eastAsia="Open Sans" w:cs="Open Sans"/>
                <w:color w:val="000000"/>
              </w:rPr>
              <w:t>(</w:t>
            </w:r>
            <w:r w:rsidRPr="006C229B">
              <w:rPr>
                <w:rFonts w:eastAsia="Open Sans" w:cs="Open Sans"/>
                <w:b/>
                <w:bCs/>
                <w:color w:val="000000"/>
              </w:rPr>
              <w:t>3</w:t>
            </w:r>
            <w:r w:rsidRPr="006C229B">
              <w:rPr>
                <w:rFonts w:eastAsia="Open Sans" w:cs="Open Sans"/>
                <w:color w:val="000000"/>
              </w:rPr>
              <w:t xml:space="preserve">) Reproductive coercion and abuse include denial or forced use of contraception, or pressure to terminate or continue pregnancies. This form of gender-based violence is recognised in the </w:t>
            </w:r>
            <w:r w:rsidRPr="006C229B">
              <w:rPr>
                <w:rFonts w:eastAsia="Open Sans" w:cs="Open Sans"/>
                <w:i/>
                <w:iCs/>
                <w:color w:val="000000"/>
              </w:rPr>
              <w:t>National Plan to End Violence Against Women and Children 2022–203</w:t>
            </w:r>
            <w:r>
              <w:rPr>
                <w:rFonts w:eastAsia="Open Sans" w:cs="Open Sans"/>
                <w:i/>
                <w:iCs/>
                <w:color w:val="000000"/>
              </w:rPr>
              <w:t>2</w:t>
            </w:r>
            <w:r w:rsidRPr="00E4672D">
              <w:rPr>
                <w:rStyle w:val="EndnoteReference"/>
                <w:rFonts w:eastAsia="Open Sans" w:cs="Open Sans"/>
                <w:color w:val="000000"/>
              </w:rPr>
              <w:endnoteReference w:id="11"/>
            </w:r>
            <w:r w:rsidRPr="006C229B">
              <w:rPr>
                <w:rFonts w:eastAsia="Open Sans" w:cs="Open Sans"/>
                <w:color w:val="000000"/>
              </w:rPr>
              <w:t>. The framework currently lacks indicators to monitor these experiences, which are especially prevalent among women with disability and must be addressed to ensure inclusive and trauma-informed SRH policy.</w:t>
            </w:r>
          </w:p>
          <w:p w14:paraId="1F71C4D6" w14:textId="77777777" w:rsidR="00923D23" w:rsidRPr="006C229B" w:rsidRDefault="00923D23" w:rsidP="00923D23">
            <w:pPr>
              <w:rPr>
                <w:rFonts w:eastAsia="Open Sans" w:cs="Open Sans"/>
                <w:color w:val="000000"/>
              </w:rPr>
            </w:pPr>
            <w:r w:rsidRPr="006C229B">
              <w:rPr>
                <w:rFonts w:eastAsia="Open Sans" w:cs="Open Sans"/>
                <w:color w:val="000000"/>
              </w:rPr>
              <w:t>(</w:t>
            </w:r>
            <w:r w:rsidRPr="006C229B">
              <w:rPr>
                <w:rFonts w:eastAsia="Open Sans" w:cs="Open Sans"/>
                <w:b/>
                <w:bCs/>
                <w:color w:val="000000"/>
              </w:rPr>
              <w:t>4</w:t>
            </w:r>
            <w:r w:rsidRPr="006C229B">
              <w:rPr>
                <w:rFonts w:eastAsia="Open Sans" w:cs="Open Sans"/>
                <w:color w:val="000000"/>
              </w:rPr>
              <w:t xml:space="preserve">) Discrimination in parenting and family planning is an area </w:t>
            </w:r>
            <w:proofErr w:type="gramStart"/>
            <w:r w:rsidRPr="006C229B">
              <w:rPr>
                <w:rFonts w:eastAsia="Open Sans" w:cs="Open Sans"/>
                <w:color w:val="000000"/>
              </w:rPr>
              <w:t>where</w:t>
            </w:r>
            <w:proofErr w:type="gramEnd"/>
            <w:r w:rsidRPr="006C229B">
              <w:rPr>
                <w:rFonts w:eastAsia="Open Sans" w:cs="Open Sans"/>
                <w:color w:val="000000"/>
              </w:rPr>
              <w:t xml:space="preserve"> people with disability face systemic exclusion. The framework should include indicators that track discrimination in access to reproductive technologies, child removal practices, and the availability of culturally safe parenting support programs. These indicators are necessary to uphold the rights to family life and reproductive autonom</w:t>
            </w:r>
            <w:r>
              <w:rPr>
                <w:rFonts w:eastAsia="Open Sans" w:cs="Open Sans"/>
                <w:color w:val="000000"/>
              </w:rPr>
              <w:t>y</w:t>
            </w:r>
            <w:r>
              <w:rPr>
                <w:rStyle w:val="EndnoteReference"/>
                <w:rFonts w:eastAsia="Open Sans" w:cs="Open Sans"/>
                <w:color w:val="000000"/>
              </w:rPr>
              <w:endnoteReference w:id="12"/>
            </w:r>
            <w:r w:rsidRPr="006C229B">
              <w:rPr>
                <w:rFonts w:eastAsia="Open Sans" w:cs="Open Sans"/>
                <w:color w:val="000000"/>
              </w:rPr>
              <w:t>.</w:t>
            </w:r>
          </w:p>
          <w:p w14:paraId="6A9903EE" w14:textId="77777777" w:rsidR="00923D23" w:rsidRPr="006C229B" w:rsidRDefault="00923D23" w:rsidP="00923D23">
            <w:pPr>
              <w:rPr>
                <w:rFonts w:eastAsia="Open Sans" w:cs="Open Sans"/>
                <w:color w:val="000000"/>
              </w:rPr>
            </w:pPr>
            <w:r w:rsidRPr="006C229B">
              <w:rPr>
                <w:rFonts w:eastAsia="Open Sans" w:cs="Open Sans"/>
                <w:color w:val="000000"/>
              </w:rPr>
              <w:t>(</w:t>
            </w:r>
            <w:r w:rsidRPr="006C229B">
              <w:rPr>
                <w:rFonts w:eastAsia="Open Sans" w:cs="Open Sans"/>
                <w:b/>
                <w:bCs/>
                <w:color w:val="000000"/>
              </w:rPr>
              <w:t>5</w:t>
            </w:r>
            <w:r w:rsidRPr="006C229B">
              <w:rPr>
                <w:rFonts w:eastAsia="Open Sans" w:cs="Open Sans"/>
                <w:color w:val="000000"/>
              </w:rPr>
              <w:t>) Supported decision-making and informed consent are foundational to the exercise of legal capacity and autonomy. Under Article 12 of the CRP</w:t>
            </w:r>
            <w:r>
              <w:rPr>
                <w:rFonts w:eastAsia="Open Sans" w:cs="Open Sans"/>
                <w:color w:val="000000"/>
              </w:rPr>
              <w:t>D</w:t>
            </w:r>
            <w:r>
              <w:rPr>
                <w:rStyle w:val="EndnoteReference"/>
                <w:rFonts w:eastAsia="Open Sans" w:cs="Open Sans"/>
                <w:color w:val="000000"/>
              </w:rPr>
              <w:endnoteReference w:id="13"/>
            </w:r>
            <w:r w:rsidRPr="006C229B">
              <w:rPr>
                <w:rFonts w:eastAsia="Open Sans" w:cs="Open Sans"/>
                <w:color w:val="000000"/>
              </w:rPr>
              <w:t>, people with disability have the right to equal recognition before the law and must be supported to exercise their legal capacity in all areas of life, including sexual and reproductive health. Further to this, Article 15 of the CEDA</w:t>
            </w:r>
            <w:r>
              <w:rPr>
                <w:rFonts w:eastAsia="Open Sans" w:cs="Open Sans"/>
                <w:color w:val="000000"/>
              </w:rPr>
              <w:t>W</w:t>
            </w:r>
            <w:r>
              <w:rPr>
                <w:rStyle w:val="EndnoteReference"/>
                <w:rFonts w:eastAsia="Open Sans" w:cs="Open Sans"/>
                <w:color w:val="000000"/>
              </w:rPr>
              <w:endnoteReference w:id="14"/>
            </w:r>
            <w:r w:rsidRPr="006C229B">
              <w:rPr>
                <w:rFonts w:eastAsia="Open Sans" w:cs="Open Sans"/>
                <w:color w:val="000000"/>
              </w:rPr>
              <w:t xml:space="preserve"> supports the principle of equal legal capacity for women. Legal capacity means having the right to make decisions and have those decisions respected, but legal capacity is often denied through substitute decision-making mechanisms such as guardianship, Mental Health Tribunals and court</w:t>
            </w:r>
            <w:r>
              <w:rPr>
                <w:rFonts w:eastAsia="Open Sans" w:cs="Open Sans"/>
                <w:color w:val="000000"/>
              </w:rPr>
              <w:t>s</w:t>
            </w:r>
            <w:r>
              <w:rPr>
                <w:rStyle w:val="EndnoteReference"/>
                <w:rFonts w:eastAsia="Open Sans" w:cs="Open Sans"/>
                <w:color w:val="000000"/>
              </w:rPr>
              <w:endnoteReference w:id="15"/>
            </w:r>
            <w:r w:rsidRPr="006C229B">
              <w:rPr>
                <w:rFonts w:eastAsia="Open Sans" w:cs="Open Sans"/>
                <w:color w:val="000000"/>
              </w:rPr>
              <w:t>. The draft framework seeks to measure how social determinants of health and other social structures influence access, effectiveness, and outcomes related to SRH. For people with disability, the social context is defined by systems that lawfully permit restrictions on the exercise of legal capacity. The framework should therefore monitor how decisions regarding sexual and reproductive health are made, including whether they were made autonomously, with support, or through substitute decision-making, and how consent was provided in each case.</w:t>
            </w:r>
          </w:p>
          <w:p w14:paraId="0A1D7AFD" w14:textId="0B38B887" w:rsidR="00923D23" w:rsidRDefault="00923D23" w:rsidP="00923D23">
            <w:pPr>
              <w:rPr>
                <w:color w:val="000000"/>
              </w:rPr>
            </w:pPr>
            <w:r w:rsidRPr="006C229B">
              <w:rPr>
                <w:rFonts w:eastAsia="Open Sans" w:cs="Open Sans"/>
                <w:color w:val="000000"/>
              </w:rPr>
              <w:t xml:space="preserve">In summary, while the framework has strong conceptual foundations, it must be strengthened to reflect the rights, needs and experiences of people with </w:t>
            </w:r>
            <w:r w:rsidRPr="006C229B">
              <w:rPr>
                <w:rFonts w:eastAsia="Open Sans" w:cs="Open Sans"/>
                <w:color w:val="000000"/>
              </w:rPr>
              <w:lastRenderedPageBreak/>
              <w:t>disability. Without these additions, the framework risks reinforcing exclusion and failing to identify where rights are not being upheld.</w:t>
            </w:r>
          </w:p>
        </w:tc>
      </w:tr>
    </w:tbl>
    <w:p w14:paraId="4AEE78C2" w14:textId="77777777" w:rsidR="00923D23" w:rsidRDefault="00923D23" w:rsidP="00E4672D">
      <w:pPr>
        <w:rPr>
          <w:b/>
          <w:bCs/>
          <w:color w:val="000000"/>
          <w:lang w:val="en-US"/>
        </w:rPr>
      </w:pPr>
    </w:p>
    <w:p w14:paraId="156F8997" w14:textId="0E401190" w:rsidR="00E4672D" w:rsidRPr="00E4672D" w:rsidRDefault="00E4672D" w:rsidP="00E4672D">
      <w:pPr>
        <w:rPr>
          <w:b/>
          <w:bCs/>
          <w:color w:val="000000"/>
          <w:lang w:val="en-US"/>
        </w:rPr>
      </w:pPr>
      <w:r w:rsidRPr="00E4672D">
        <w:rPr>
          <w:b/>
          <w:bCs/>
          <w:color w:val="000000"/>
          <w:lang w:val="en-US"/>
        </w:rPr>
        <w:t>3. How easy was it to understand the draft monitoring framework? Which parts were easy/hard to understand and why?</w:t>
      </w:r>
    </w:p>
    <w:tbl>
      <w:tblPr>
        <w:tblStyle w:val="TableGrid"/>
        <w:tblW w:w="0" w:type="auto"/>
        <w:shd w:val="clear" w:color="auto" w:fill="F5F5F5"/>
        <w:tblLook w:val="04A0" w:firstRow="1" w:lastRow="0" w:firstColumn="1" w:lastColumn="0" w:noHBand="0" w:noVBand="1"/>
      </w:tblPr>
      <w:tblGrid>
        <w:gridCol w:w="9006"/>
      </w:tblGrid>
      <w:tr w:rsidR="00923D23" w14:paraId="5D758B89"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360F02F1" w14:textId="77777777" w:rsidR="00923D23" w:rsidRPr="00E4672D" w:rsidRDefault="00923D23" w:rsidP="00923D23">
            <w:pPr>
              <w:rPr>
                <w:color w:val="000000"/>
                <w:lang w:val="en-US"/>
              </w:rPr>
            </w:pPr>
            <w:r w:rsidRPr="00E4672D">
              <w:rPr>
                <w:color w:val="000000"/>
                <w:lang w:val="en-US"/>
              </w:rPr>
              <w:t>The framework is generally easy to understand and well-structured. The use of domains and subdomains helps clarify the conceptual relationships. However, the absence of explicit references to disability-related issues makes it harder to assess how the framework will contribute to the protection, promotion and fulfilment of rights. For example, while the ‘agency’ and ‘autonomy’ domains are relevant, they do not clearly address specific practices or indicate the type of data that might be collected.</w:t>
            </w:r>
          </w:p>
          <w:p w14:paraId="7FC90298" w14:textId="78F0AD57" w:rsidR="00923D23" w:rsidRDefault="00923D23" w:rsidP="00923D23">
            <w:pPr>
              <w:rPr>
                <w:color w:val="000000"/>
                <w:lang w:val="en-US"/>
              </w:rPr>
            </w:pPr>
            <w:r w:rsidRPr="00E4672D">
              <w:rPr>
                <w:color w:val="000000"/>
                <w:lang w:val="en-US"/>
              </w:rPr>
              <w:t xml:space="preserve">Including examples or indicators that reflect the experiences of people with </w:t>
            </w:r>
            <w:proofErr w:type="gramStart"/>
            <w:r w:rsidRPr="00E4672D">
              <w:rPr>
                <w:color w:val="000000"/>
                <w:lang w:val="en-US"/>
              </w:rPr>
              <w:t>disability</w:t>
            </w:r>
            <w:proofErr w:type="gramEnd"/>
            <w:r w:rsidRPr="00E4672D">
              <w:rPr>
                <w:color w:val="000000"/>
                <w:lang w:val="en-US"/>
              </w:rPr>
              <w:t xml:space="preserve"> would improve clarity and ensure the framework is accessible and relevant to a broader range of stakeholders.</w:t>
            </w:r>
          </w:p>
        </w:tc>
      </w:tr>
    </w:tbl>
    <w:p w14:paraId="34650FD0" w14:textId="77777777" w:rsidR="00666CDF" w:rsidRDefault="00666CDF" w:rsidP="00666CDF">
      <w:pPr>
        <w:rPr>
          <w:lang w:val="en-US"/>
        </w:rPr>
      </w:pPr>
    </w:p>
    <w:p w14:paraId="187E79B3" w14:textId="00B17F16" w:rsidR="00E4672D" w:rsidRPr="00E4672D" w:rsidRDefault="00E4672D" w:rsidP="00923D23">
      <w:pPr>
        <w:pStyle w:val="Heading2"/>
        <w:rPr>
          <w:lang w:val="en-US"/>
        </w:rPr>
      </w:pPr>
      <w:bookmarkStart w:id="4" w:name="_Toc214364929"/>
      <w:r w:rsidRPr="00E4672D">
        <w:rPr>
          <w:lang w:val="en-US"/>
        </w:rPr>
        <w:t>Section 2: Data strategy</w:t>
      </w:r>
      <w:bookmarkEnd w:id="4"/>
    </w:p>
    <w:p w14:paraId="470F8804" w14:textId="77777777" w:rsidR="00E4672D" w:rsidRPr="00E4672D" w:rsidRDefault="00E4672D" w:rsidP="00E4672D">
      <w:pPr>
        <w:rPr>
          <w:color w:val="000000"/>
          <w:lang w:val="en-US"/>
        </w:rPr>
      </w:pPr>
      <w:r w:rsidRPr="00E4672D">
        <w:rPr>
          <w:color w:val="000000"/>
          <w:lang w:val="en-US"/>
        </w:rPr>
        <w:t>The AIHW is seeking feedback about the extent to which the data strategy</w:t>
      </w:r>
      <w:proofErr w:type="gramStart"/>
      <w:r w:rsidRPr="00E4672D">
        <w:rPr>
          <w:color w:val="000000"/>
          <w:lang w:val="en-US"/>
        </w:rPr>
        <w:t>:</w:t>
      </w:r>
      <w:proofErr w:type="gramEnd"/>
      <w:r w:rsidRPr="00E4672D">
        <w:rPr>
          <w:color w:val="000000"/>
          <w:lang w:val="en-US"/>
        </w:rPr>
        <w:t xml:space="preserve"> </w:t>
      </w:r>
    </w:p>
    <w:p w14:paraId="39E1DFF0" w14:textId="77777777" w:rsidR="00E4672D" w:rsidRPr="00E4672D" w:rsidRDefault="00E4672D" w:rsidP="00E4672D">
      <w:pPr>
        <w:numPr>
          <w:ilvl w:val="0"/>
          <w:numId w:val="36"/>
        </w:numPr>
        <w:rPr>
          <w:color w:val="000000"/>
          <w:lang w:val="en-US"/>
        </w:rPr>
      </w:pPr>
      <w:r w:rsidRPr="00E4672D">
        <w:rPr>
          <w:color w:val="000000"/>
          <w:lang w:val="en-US"/>
        </w:rPr>
        <w:t>includes the critical data gaps for each of the priority areas</w:t>
      </w:r>
    </w:p>
    <w:p w14:paraId="2958D5E7" w14:textId="77777777" w:rsidR="00E4672D" w:rsidRPr="00E4672D" w:rsidRDefault="00E4672D" w:rsidP="00E4672D">
      <w:pPr>
        <w:numPr>
          <w:ilvl w:val="0"/>
          <w:numId w:val="36"/>
        </w:numPr>
        <w:rPr>
          <w:color w:val="000000"/>
          <w:lang w:val="en-US"/>
        </w:rPr>
      </w:pPr>
      <w:r w:rsidRPr="00E4672D">
        <w:rPr>
          <w:color w:val="000000"/>
          <w:lang w:val="en-US"/>
        </w:rPr>
        <w:t>presents correct and up-to-date information regarding data collections</w:t>
      </w:r>
    </w:p>
    <w:p w14:paraId="5012BEFB" w14:textId="77777777" w:rsidR="00E4672D" w:rsidRPr="00E4672D" w:rsidRDefault="00E4672D" w:rsidP="00E4672D">
      <w:pPr>
        <w:numPr>
          <w:ilvl w:val="0"/>
          <w:numId w:val="36"/>
        </w:numPr>
        <w:rPr>
          <w:color w:val="000000"/>
          <w:lang w:val="en-US"/>
        </w:rPr>
      </w:pPr>
      <w:r w:rsidRPr="00E4672D">
        <w:rPr>
          <w:color w:val="000000"/>
          <w:lang w:val="en-US"/>
        </w:rPr>
        <w:t>captures all suitable key data sources</w:t>
      </w:r>
    </w:p>
    <w:p w14:paraId="7A3588A2" w14:textId="77777777" w:rsidR="00E4672D" w:rsidRDefault="00E4672D" w:rsidP="00E4672D">
      <w:pPr>
        <w:numPr>
          <w:ilvl w:val="0"/>
          <w:numId w:val="36"/>
        </w:numPr>
        <w:rPr>
          <w:color w:val="000000"/>
          <w:lang w:val="en-US"/>
        </w:rPr>
      </w:pPr>
      <w:r w:rsidRPr="00E4672D">
        <w:rPr>
          <w:color w:val="000000"/>
          <w:lang w:val="en-US"/>
        </w:rPr>
        <w:t>suggests areas for future data development that are logical and well-founded.</w:t>
      </w:r>
    </w:p>
    <w:p w14:paraId="713D41B6" w14:textId="3C260A1A" w:rsidR="00E4672D" w:rsidRPr="00E4672D" w:rsidRDefault="00E4672D" w:rsidP="00E4672D">
      <w:pPr>
        <w:rPr>
          <w:b/>
          <w:bCs/>
          <w:color w:val="000000"/>
          <w:lang w:val="en-US"/>
        </w:rPr>
      </w:pPr>
      <w:r w:rsidRPr="00E4672D">
        <w:rPr>
          <w:color w:val="000000"/>
          <w:lang w:val="en-US"/>
        </w:rPr>
        <w:t xml:space="preserve"> </w:t>
      </w:r>
      <w:r w:rsidRPr="00E4672D">
        <w:rPr>
          <w:b/>
          <w:bCs/>
          <w:color w:val="000000"/>
          <w:lang w:val="en-US"/>
        </w:rPr>
        <w:t>4. Please rate your level of agreement with the following statement.</w:t>
      </w:r>
    </w:p>
    <w:p w14:paraId="560ECC17" w14:textId="77777777" w:rsidR="00E4672D" w:rsidRPr="00E4672D" w:rsidRDefault="00E4672D" w:rsidP="00E4672D">
      <w:pPr>
        <w:rPr>
          <w:color w:val="000000"/>
          <w:lang w:val="en-US"/>
        </w:rPr>
      </w:pPr>
      <w:r w:rsidRPr="00E4672D">
        <w:rPr>
          <w:color w:val="000000"/>
          <w:lang w:val="en-US"/>
        </w:rPr>
        <w:t>“The data strategy (Pages 28–38 and Appendices D-H, Sections D.2, E.2, F.2, G.2, H.2) describes current and/or future priorities for data development that are important for the 5 initial priority topics.”</w:t>
      </w:r>
    </w:p>
    <w:p w14:paraId="10B87AA1" w14:textId="5B56D2B9" w:rsidR="00E4672D" w:rsidRPr="00E4672D" w:rsidRDefault="00E4672D" w:rsidP="00E4672D">
      <w:pPr>
        <w:rPr>
          <w:color w:val="000000"/>
          <w:lang w:val="en-US"/>
        </w:rPr>
      </w:pPr>
      <w:r w:rsidRPr="00E4672D">
        <w:rPr>
          <w:color w:val="000000"/>
          <w:lang w:val="en-US"/>
        </w:rPr>
        <w:t>Please select one option:</w:t>
      </w:r>
    </w:p>
    <w:p w14:paraId="10453806" w14:textId="47FE1C8B" w:rsidR="00E4672D" w:rsidRPr="00E4672D" w:rsidRDefault="00E4672D" w:rsidP="00E4672D">
      <w:pPr>
        <w:rPr>
          <w:color w:val="000000"/>
          <w:lang w:val="en-US"/>
        </w:rPr>
      </w:pPr>
      <w:r w:rsidRPr="00E4672D">
        <w:rPr>
          <w:rFonts w:ascii="Segoe UI Symbol" w:hAnsi="Segoe UI Symbol" w:cs="Segoe UI Symbol"/>
          <w:color w:val="000000"/>
          <w:lang w:val="en-US"/>
        </w:rPr>
        <w:t>☐</w:t>
      </w:r>
      <w:r w:rsidRPr="00E4672D">
        <w:rPr>
          <w:color w:val="000000"/>
          <w:lang w:val="en-US"/>
        </w:rPr>
        <w:t xml:space="preserve"> Strongly agree</w:t>
      </w:r>
    </w:p>
    <w:p w14:paraId="4A83073C" w14:textId="72552876" w:rsidR="00E4672D" w:rsidRPr="00E4672D" w:rsidRDefault="00E4672D" w:rsidP="00E4672D">
      <w:pPr>
        <w:rPr>
          <w:color w:val="000000"/>
          <w:lang w:val="en-US"/>
        </w:rPr>
      </w:pPr>
      <w:r w:rsidRPr="00E4672D">
        <w:rPr>
          <w:rFonts w:ascii="Segoe UI Symbol" w:hAnsi="Segoe UI Symbol" w:cs="Segoe UI Symbol"/>
          <w:color w:val="000000"/>
          <w:lang w:val="en-US"/>
        </w:rPr>
        <w:t>☐</w:t>
      </w:r>
      <w:r w:rsidRPr="00E4672D">
        <w:rPr>
          <w:color w:val="000000"/>
          <w:lang w:val="en-US"/>
        </w:rPr>
        <w:t xml:space="preserve"> Agree</w:t>
      </w:r>
    </w:p>
    <w:p w14:paraId="1FB96676" w14:textId="478FCA6A" w:rsidR="00E4672D" w:rsidRPr="00E4672D" w:rsidRDefault="00E4672D" w:rsidP="00E4672D">
      <w:pPr>
        <w:rPr>
          <w:b/>
          <w:bCs/>
          <w:color w:val="000000"/>
          <w:lang w:val="en-US"/>
        </w:rPr>
      </w:pPr>
      <w:r w:rsidRPr="00E4672D">
        <w:rPr>
          <w:b/>
          <w:bCs/>
          <w:color w:val="000000"/>
          <w:lang w:val="en-US"/>
        </w:rPr>
        <w:t xml:space="preserve">X </w:t>
      </w:r>
      <w:r w:rsidRPr="00E4672D">
        <w:rPr>
          <w:color w:val="000000"/>
          <w:lang w:val="en-US"/>
        </w:rPr>
        <w:t>Neither agree nor disagree</w:t>
      </w:r>
    </w:p>
    <w:p w14:paraId="269C724B" w14:textId="73BFE10F" w:rsidR="00E4672D" w:rsidRPr="00E4672D" w:rsidRDefault="00E4672D" w:rsidP="00E4672D">
      <w:pPr>
        <w:rPr>
          <w:color w:val="000000"/>
          <w:lang w:val="en-US"/>
        </w:rPr>
      </w:pPr>
      <w:r w:rsidRPr="00E4672D">
        <w:rPr>
          <w:rFonts w:ascii="Segoe UI Symbol" w:hAnsi="Segoe UI Symbol" w:cs="Segoe UI Symbol"/>
          <w:color w:val="000000"/>
          <w:lang w:val="en-US"/>
        </w:rPr>
        <w:t>☐</w:t>
      </w:r>
      <w:r w:rsidRPr="00E4672D">
        <w:rPr>
          <w:color w:val="000000"/>
          <w:lang w:val="en-US"/>
        </w:rPr>
        <w:t xml:space="preserve"> Disagree</w:t>
      </w:r>
    </w:p>
    <w:p w14:paraId="0E70CD3E" w14:textId="7E288694" w:rsidR="00E4672D" w:rsidRDefault="00E4672D" w:rsidP="00E4672D">
      <w:pPr>
        <w:rPr>
          <w:color w:val="000000"/>
          <w:lang w:val="en-US"/>
        </w:rPr>
      </w:pPr>
      <w:r w:rsidRPr="00E4672D">
        <w:rPr>
          <w:rFonts w:ascii="Segoe UI Symbol" w:hAnsi="Segoe UI Symbol" w:cs="Segoe UI Symbol"/>
          <w:color w:val="000000"/>
          <w:lang w:val="en-US"/>
        </w:rPr>
        <w:t>☐</w:t>
      </w:r>
      <w:r w:rsidRPr="00E4672D">
        <w:rPr>
          <w:color w:val="000000"/>
          <w:lang w:val="en-US"/>
        </w:rPr>
        <w:t xml:space="preserve"> Strongly disagre</w:t>
      </w:r>
      <w:r>
        <w:rPr>
          <w:color w:val="000000"/>
          <w:lang w:val="en-US"/>
        </w:rPr>
        <w:t>e</w:t>
      </w:r>
    </w:p>
    <w:p w14:paraId="64124831" w14:textId="77777777" w:rsidR="00E4672D" w:rsidRPr="00E4672D" w:rsidRDefault="00E4672D" w:rsidP="00E4672D">
      <w:pPr>
        <w:rPr>
          <w:color w:val="000000"/>
          <w:lang w:val="en-US"/>
        </w:rPr>
      </w:pPr>
      <w:r w:rsidRPr="00E4672D">
        <w:rPr>
          <w:b/>
          <w:bCs/>
          <w:color w:val="000000"/>
          <w:lang w:val="en-US"/>
        </w:rPr>
        <w:lastRenderedPageBreak/>
        <w:t>Please add any additional comments to explain your rating (optional)</w:t>
      </w:r>
      <w:r w:rsidRPr="00E4672D">
        <w:rPr>
          <w:color w:val="000000"/>
          <w:lang w:val="en-US"/>
        </w:rPr>
        <w:t>:</w:t>
      </w:r>
    </w:p>
    <w:tbl>
      <w:tblPr>
        <w:tblStyle w:val="TableGrid"/>
        <w:tblW w:w="0" w:type="auto"/>
        <w:shd w:val="clear" w:color="auto" w:fill="F5F5F5"/>
        <w:tblLook w:val="04A0" w:firstRow="1" w:lastRow="0" w:firstColumn="1" w:lastColumn="0" w:noHBand="0" w:noVBand="1"/>
      </w:tblPr>
      <w:tblGrid>
        <w:gridCol w:w="9006"/>
      </w:tblGrid>
      <w:tr w:rsidR="00923D23" w14:paraId="27A47319"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457F877E" w14:textId="77777777" w:rsidR="00923D23" w:rsidRPr="00E4672D" w:rsidRDefault="00923D23" w:rsidP="00923D23">
            <w:pPr>
              <w:rPr>
                <w:color w:val="000000"/>
                <w:lang w:val="en-US"/>
              </w:rPr>
            </w:pPr>
            <w:r w:rsidRPr="00E4672D">
              <w:rPr>
                <w:color w:val="000000"/>
                <w:lang w:val="en-US"/>
              </w:rPr>
              <w:t>The data strategy outlines important areas for development across the five initial priority topics. However, it does not sufficiently address the data needs of people with disability, particularly women and girls. This is especially pronounced for First Nations woman and girls with disability, whose experiences are often absent from national datasets. Despite evidence from the Disability Royal Commissio</w:t>
            </w:r>
            <w:r>
              <w:rPr>
                <w:color w:val="000000"/>
                <w:lang w:val="en-US"/>
              </w:rPr>
              <w:t>n</w:t>
            </w:r>
            <w:r>
              <w:rPr>
                <w:rStyle w:val="EndnoteReference"/>
                <w:color w:val="000000"/>
                <w:lang w:val="en-US"/>
              </w:rPr>
              <w:endnoteReference w:id="16"/>
            </w:r>
            <w:r w:rsidRPr="00E4672D">
              <w:rPr>
                <w:color w:val="000000"/>
                <w:lang w:val="en-US"/>
              </w:rPr>
              <w:t xml:space="preserve"> and civil society submission</w:t>
            </w:r>
            <w:r>
              <w:rPr>
                <w:color w:val="000000"/>
                <w:lang w:val="en-US"/>
              </w:rPr>
              <w:t>s</w:t>
            </w:r>
            <w:r>
              <w:rPr>
                <w:rStyle w:val="EndnoteReference"/>
                <w:color w:val="000000"/>
                <w:lang w:val="en-US"/>
              </w:rPr>
              <w:endnoteReference w:id="17"/>
            </w:r>
            <w:r w:rsidRPr="00E4672D">
              <w:rPr>
                <w:color w:val="000000"/>
                <w:lang w:val="en-US"/>
              </w:rPr>
              <w:t xml:space="preserve"> documenting reproductive coercion, involuntary sterilization and discrimination in parenting, there is limited data on these issues. First Nations women and girls with disability face compounded disadvantage due to the systemic impacts of systemic racism and ableis</w:t>
            </w:r>
            <w:r>
              <w:rPr>
                <w:color w:val="000000"/>
                <w:lang w:val="en-US"/>
              </w:rPr>
              <w:t>m</w:t>
            </w:r>
            <w:r>
              <w:rPr>
                <w:rStyle w:val="EndnoteReference"/>
                <w:color w:val="000000"/>
                <w:lang w:val="en-US"/>
              </w:rPr>
              <w:endnoteReference w:id="18"/>
            </w:r>
            <w:r w:rsidRPr="00E4672D">
              <w:rPr>
                <w:color w:val="000000"/>
                <w:lang w:val="en-US"/>
              </w:rPr>
              <w:t>. This includes higher rates of child removal practices shaped by a long history of discriminatory policies, which continue to influence how First Nations women and girls are perceived and treated in relation to their parentin</w:t>
            </w:r>
            <w:r>
              <w:rPr>
                <w:color w:val="000000"/>
                <w:lang w:val="en-US"/>
              </w:rPr>
              <w:t>g</w:t>
            </w:r>
            <w:r>
              <w:rPr>
                <w:rStyle w:val="EndnoteReference"/>
                <w:color w:val="000000"/>
                <w:lang w:val="en-US"/>
              </w:rPr>
              <w:endnoteReference w:id="19"/>
            </w:r>
            <w:r w:rsidRPr="00E4672D">
              <w:rPr>
                <w:color w:val="000000"/>
                <w:lang w:val="en-US"/>
              </w:rPr>
              <w:t>.</w:t>
            </w:r>
          </w:p>
          <w:p w14:paraId="1D42D2FA" w14:textId="487DC2CA" w:rsidR="00923D23" w:rsidRDefault="00923D23" w:rsidP="00923D23">
            <w:pPr>
              <w:rPr>
                <w:color w:val="000000"/>
                <w:lang w:val="en-US"/>
              </w:rPr>
            </w:pPr>
            <w:r w:rsidRPr="00E4672D">
              <w:rPr>
                <w:color w:val="000000"/>
                <w:lang w:val="en-US"/>
              </w:rPr>
              <w:t xml:space="preserve">The strategy should include mechanisms that capture data on involuntary </w:t>
            </w:r>
            <w:proofErr w:type="spellStart"/>
            <w:r w:rsidRPr="00E4672D">
              <w:rPr>
                <w:color w:val="000000"/>
                <w:lang w:val="en-US"/>
              </w:rPr>
              <w:t>sterilisation</w:t>
            </w:r>
            <w:proofErr w:type="spellEnd"/>
            <w:r w:rsidRPr="00E4672D">
              <w:rPr>
                <w:color w:val="000000"/>
                <w:lang w:val="en-US"/>
              </w:rPr>
              <w:t xml:space="preserve">, reproductive coercion, and discrimination in parenting, and collect disaggregated data that reflects the intersecting, lived experiences of </w:t>
            </w:r>
            <w:proofErr w:type="spellStart"/>
            <w:r w:rsidRPr="00E4672D">
              <w:rPr>
                <w:color w:val="000000"/>
                <w:lang w:val="en-US"/>
              </w:rPr>
              <w:t>marginalised</w:t>
            </w:r>
            <w:proofErr w:type="spellEnd"/>
            <w:r w:rsidRPr="00E4672D">
              <w:rPr>
                <w:color w:val="000000"/>
                <w:lang w:val="en-US"/>
              </w:rPr>
              <w:t xml:space="preserve"> groups.</w:t>
            </w:r>
          </w:p>
        </w:tc>
      </w:tr>
    </w:tbl>
    <w:p w14:paraId="09B61FF8" w14:textId="77777777" w:rsidR="00E4672D" w:rsidRDefault="00E4672D" w:rsidP="00E4672D">
      <w:pPr>
        <w:rPr>
          <w:color w:val="000000"/>
          <w:lang w:val="en-US"/>
        </w:rPr>
      </w:pPr>
    </w:p>
    <w:p w14:paraId="76115A2A" w14:textId="77777777" w:rsidR="00E4672D" w:rsidRPr="00E4672D" w:rsidRDefault="00E4672D" w:rsidP="00E4672D">
      <w:pPr>
        <w:rPr>
          <w:b/>
          <w:bCs/>
          <w:color w:val="000000"/>
          <w:lang w:val="en-US"/>
        </w:rPr>
      </w:pPr>
      <w:r w:rsidRPr="00E4672D">
        <w:rPr>
          <w:b/>
          <w:bCs/>
          <w:color w:val="000000"/>
          <w:lang w:val="en-US"/>
        </w:rPr>
        <w:t>5. The priority topics identified and outlined for the first stage of the data strategy are:</w:t>
      </w:r>
    </w:p>
    <w:p w14:paraId="12BCF812" w14:textId="77777777" w:rsidR="00E4672D" w:rsidRPr="00E4672D" w:rsidRDefault="00E4672D" w:rsidP="00E4672D">
      <w:pPr>
        <w:numPr>
          <w:ilvl w:val="0"/>
          <w:numId w:val="38"/>
        </w:numPr>
        <w:rPr>
          <w:color w:val="000000"/>
          <w:lang w:val="en-US"/>
        </w:rPr>
      </w:pPr>
      <w:r w:rsidRPr="00E4672D">
        <w:rPr>
          <w:color w:val="000000"/>
          <w:lang w:val="en-US"/>
        </w:rPr>
        <w:t>menstrual disorders, symptoms and related conditions (including endometriosis)</w:t>
      </w:r>
    </w:p>
    <w:p w14:paraId="768572EC" w14:textId="77777777" w:rsidR="00E4672D" w:rsidRPr="00E4672D" w:rsidRDefault="00E4672D" w:rsidP="00E4672D">
      <w:pPr>
        <w:numPr>
          <w:ilvl w:val="0"/>
          <w:numId w:val="38"/>
        </w:numPr>
        <w:rPr>
          <w:color w:val="000000"/>
          <w:lang w:val="en-US"/>
        </w:rPr>
      </w:pPr>
      <w:r w:rsidRPr="00E4672D">
        <w:rPr>
          <w:color w:val="000000"/>
          <w:lang w:val="en-US"/>
        </w:rPr>
        <w:t>contraception</w:t>
      </w:r>
    </w:p>
    <w:p w14:paraId="7896C443" w14:textId="77777777" w:rsidR="00E4672D" w:rsidRPr="00E4672D" w:rsidRDefault="00E4672D" w:rsidP="00E4672D">
      <w:pPr>
        <w:numPr>
          <w:ilvl w:val="0"/>
          <w:numId w:val="38"/>
        </w:numPr>
        <w:rPr>
          <w:color w:val="000000"/>
          <w:lang w:val="en-US"/>
        </w:rPr>
      </w:pPr>
      <w:r w:rsidRPr="00E4672D">
        <w:rPr>
          <w:color w:val="000000"/>
          <w:lang w:val="en-US"/>
        </w:rPr>
        <w:t>pregnancy loss before 20 weeks’ gestation (including miscarriage)</w:t>
      </w:r>
    </w:p>
    <w:p w14:paraId="4AF43A59" w14:textId="77777777" w:rsidR="00E4672D" w:rsidRPr="00E4672D" w:rsidRDefault="00E4672D" w:rsidP="00E4672D">
      <w:pPr>
        <w:numPr>
          <w:ilvl w:val="0"/>
          <w:numId w:val="38"/>
        </w:numPr>
        <w:rPr>
          <w:color w:val="000000"/>
          <w:lang w:val="en-US"/>
        </w:rPr>
      </w:pPr>
      <w:r w:rsidRPr="00E4672D">
        <w:rPr>
          <w:color w:val="000000"/>
          <w:lang w:val="en-US"/>
        </w:rPr>
        <w:t>termination of pregnancy, also known as abortion</w:t>
      </w:r>
    </w:p>
    <w:p w14:paraId="166F337D" w14:textId="77777777" w:rsidR="00E4672D" w:rsidRPr="00E4672D" w:rsidRDefault="00E4672D" w:rsidP="00E4672D">
      <w:pPr>
        <w:numPr>
          <w:ilvl w:val="0"/>
          <w:numId w:val="38"/>
        </w:numPr>
        <w:rPr>
          <w:color w:val="000000"/>
          <w:lang w:val="en-US"/>
        </w:rPr>
      </w:pPr>
      <w:r w:rsidRPr="00E4672D">
        <w:rPr>
          <w:color w:val="000000"/>
          <w:lang w:val="en-US"/>
        </w:rPr>
        <w:t>perimenopause and menopause.</w:t>
      </w:r>
    </w:p>
    <w:p w14:paraId="172EE6E3" w14:textId="4316FD01" w:rsidR="00E4672D" w:rsidRDefault="00E4672D" w:rsidP="00E4672D">
      <w:pPr>
        <w:rPr>
          <w:color w:val="000000"/>
          <w:lang w:val="en-US"/>
        </w:rPr>
      </w:pPr>
      <w:r w:rsidRPr="00E4672D">
        <w:rPr>
          <w:color w:val="000000"/>
          <w:lang w:val="en-US"/>
        </w:rPr>
        <w:t>These initial priority topics represent a starting point for the data strategy and reporting, with the intention to expand them over time to include other important areas of SRH.</w:t>
      </w:r>
    </w:p>
    <w:p w14:paraId="6449699E" w14:textId="77777777" w:rsidR="00E4672D" w:rsidRPr="00E4672D" w:rsidRDefault="00E4672D" w:rsidP="00E4672D">
      <w:pPr>
        <w:rPr>
          <w:b/>
          <w:bCs/>
          <w:color w:val="000000"/>
          <w:lang w:val="en-US"/>
        </w:rPr>
      </w:pPr>
      <w:r w:rsidRPr="00E4672D">
        <w:rPr>
          <w:b/>
          <w:bCs/>
          <w:color w:val="000000"/>
          <w:lang w:val="en-US"/>
        </w:rPr>
        <w:t>a. Do you have any comments in relation to data sources and/or data collection described in the data strategy, for any of these 5 priority topics?</w:t>
      </w:r>
    </w:p>
    <w:tbl>
      <w:tblPr>
        <w:tblStyle w:val="TableGrid"/>
        <w:tblW w:w="0" w:type="auto"/>
        <w:shd w:val="clear" w:color="auto" w:fill="F5F5F5"/>
        <w:tblLook w:val="04A0" w:firstRow="1" w:lastRow="0" w:firstColumn="1" w:lastColumn="0" w:noHBand="0" w:noVBand="1"/>
      </w:tblPr>
      <w:tblGrid>
        <w:gridCol w:w="9006"/>
      </w:tblGrid>
      <w:tr w:rsidR="00923D23" w14:paraId="6C6C1BE8"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10BD2E1A" w14:textId="77777777" w:rsidR="00923D23" w:rsidRPr="00E4672D" w:rsidRDefault="00923D23" w:rsidP="00923D23">
            <w:pPr>
              <w:rPr>
                <w:color w:val="000000"/>
                <w:lang w:val="en-US"/>
              </w:rPr>
            </w:pPr>
            <w:r w:rsidRPr="00E4672D">
              <w:rPr>
                <w:color w:val="000000"/>
                <w:lang w:val="en-US"/>
              </w:rPr>
              <w:t xml:space="preserve">The Commission welcomes the inclusion of topics such as contraception and termination of pregnancy, which are highly relevant to the rights of people with disability. However, the data sources referenced in the strategy do not </w:t>
            </w:r>
            <w:r w:rsidRPr="00E4672D">
              <w:rPr>
                <w:color w:val="000000"/>
                <w:lang w:val="en-US"/>
              </w:rPr>
              <w:lastRenderedPageBreak/>
              <w:t>currently capture whether these services are accessed voluntarily, with informed consent, or with appropriate decision-making support.</w:t>
            </w:r>
          </w:p>
          <w:p w14:paraId="449E49D3" w14:textId="77777777" w:rsidR="00923D23" w:rsidRPr="00E4672D" w:rsidRDefault="00923D23" w:rsidP="00923D23">
            <w:pPr>
              <w:rPr>
                <w:color w:val="000000"/>
                <w:lang w:val="en-US"/>
              </w:rPr>
            </w:pPr>
            <w:r w:rsidRPr="00E4672D">
              <w:rPr>
                <w:color w:val="000000"/>
                <w:lang w:val="en-US"/>
              </w:rPr>
              <w:t xml:space="preserve">For example, there is no national dataset that disaggregates </w:t>
            </w:r>
            <w:proofErr w:type="spellStart"/>
            <w:r w:rsidRPr="00E4672D">
              <w:rPr>
                <w:color w:val="000000"/>
                <w:lang w:val="en-US"/>
              </w:rPr>
              <w:t>sterilisation</w:t>
            </w:r>
            <w:proofErr w:type="spellEnd"/>
            <w:r w:rsidRPr="00E4672D">
              <w:rPr>
                <w:color w:val="000000"/>
                <w:lang w:val="en-US"/>
              </w:rPr>
              <w:t xml:space="preserve"> procedures by consent status, disability type, age, gender, or cultural background. This gap has been identified by both the Royal Commission into Violence, Abuse, Neglect and Exploitation of People with Disabilit</w:t>
            </w:r>
            <w:r>
              <w:rPr>
                <w:color w:val="000000"/>
                <w:lang w:val="en-US"/>
              </w:rPr>
              <w:t>y</w:t>
            </w:r>
            <w:r>
              <w:rPr>
                <w:rStyle w:val="EndnoteReference"/>
                <w:color w:val="000000"/>
                <w:lang w:val="en-US"/>
              </w:rPr>
              <w:endnoteReference w:id="20"/>
            </w:r>
            <w:r w:rsidRPr="00E4672D">
              <w:rPr>
                <w:color w:val="000000"/>
                <w:lang w:val="en-US"/>
              </w:rPr>
              <w:t xml:space="preserve"> and Women </w:t>
            </w:r>
            <w:proofErr w:type="gramStart"/>
            <w:r w:rsidRPr="00E4672D">
              <w:rPr>
                <w:color w:val="000000"/>
                <w:lang w:val="en-US"/>
              </w:rPr>
              <w:t>With</w:t>
            </w:r>
            <w:proofErr w:type="gramEnd"/>
            <w:r w:rsidRPr="00E4672D">
              <w:rPr>
                <w:color w:val="000000"/>
                <w:lang w:val="en-US"/>
              </w:rPr>
              <w:t xml:space="preserve"> Disabilities Australi</w:t>
            </w:r>
            <w:r>
              <w:rPr>
                <w:color w:val="000000"/>
                <w:lang w:val="en-US"/>
              </w:rPr>
              <w:t>a</w:t>
            </w:r>
            <w:r>
              <w:rPr>
                <w:rStyle w:val="EndnoteReference"/>
                <w:color w:val="000000"/>
                <w:lang w:val="en-US"/>
              </w:rPr>
              <w:endnoteReference w:id="21"/>
            </w:r>
            <w:r w:rsidRPr="00E4672D">
              <w:rPr>
                <w:color w:val="000000"/>
                <w:lang w:val="en-US"/>
              </w:rPr>
              <w:t xml:space="preserve">. Critically, the absence of disaggregated data obscures the experiences of First Nations women and girls with disability, who face intersecting forms of discrimination and are at heightened risk of reproductive rights violations due to the legacy of </w:t>
            </w:r>
            <w:proofErr w:type="spellStart"/>
            <w:r w:rsidRPr="00E4672D">
              <w:rPr>
                <w:color w:val="000000"/>
                <w:lang w:val="en-US"/>
              </w:rPr>
              <w:t>colonisation</w:t>
            </w:r>
            <w:proofErr w:type="spellEnd"/>
            <w:r w:rsidRPr="00E4672D">
              <w:rPr>
                <w:color w:val="000000"/>
                <w:lang w:val="en-US"/>
              </w:rPr>
              <w:t xml:space="preserve"> and child remova</w:t>
            </w:r>
            <w:r>
              <w:rPr>
                <w:color w:val="000000"/>
                <w:lang w:val="en-US"/>
              </w:rPr>
              <w:t>l</w:t>
            </w:r>
            <w:r>
              <w:rPr>
                <w:rStyle w:val="EndnoteReference"/>
                <w:color w:val="000000"/>
                <w:lang w:val="en-US"/>
              </w:rPr>
              <w:endnoteReference w:id="22"/>
            </w:r>
            <w:r w:rsidRPr="00E4672D">
              <w:rPr>
                <w:color w:val="000000"/>
                <w:lang w:val="en-US"/>
              </w:rPr>
              <w:t>. Without this data, it is impossible to monitor rights violations or ensure accountability.</w:t>
            </w:r>
          </w:p>
          <w:p w14:paraId="1F0DB882" w14:textId="07830E34" w:rsidR="00923D23" w:rsidRDefault="00923D23" w:rsidP="00923D23">
            <w:pPr>
              <w:rPr>
                <w:color w:val="000000"/>
                <w:lang w:val="en-US"/>
              </w:rPr>
            </w:pPr>
            <w:r w:rsidRPr="00E4672D">
              <w:rPr>
                <w:color w:val="000000"/>
                <w:lang w:val="en-US"/>
              </w:rPr>
              <w:t xml:space="preserve">The Commission recommends that all five priority topics include indicators that reflect the experiences of people with </w:t>
            </w:r>
            <w:proofErr w:type="gramStart"/>
            <w:r w:rsidRPr="00E4672D">
              <w:rPr>
                <w:color w:val="000000"/>
                <w:lang w:val="en-US"/>
              </w:rPr>
              <w:t>disability</w:t>
            </w:r>
            <w:proofErr w:type="gramEnd"/>
            <w:r w:rsidRPr="00E4672D">
              <w:rPr>
                <w:color w:val="000000"/>
                <w:lang w:val="en-US"/>
              </w:rPr>
              <w:t>, including whether services are inclusive, rights-based, and delivered with appropriate safeguards.</w:t>
            </w:r>
          </w:p>
        </w:tc>
      </w:tr>
    </w:tbl>
    <w:p w14:paraId="38BFA799" w14:textId="77777777" w:rsidR="00E718F3" w:rsidRDefault="00E718F3" w:rsidP="00AC008E">
      <w:pPr>
        <w:rPr>
          <w:b/>
          <w:bCs/>
          <w:color w:val="000000"/>
          <w:lang w:val="en-US"/>
        </w:rPr>
      </w:pPr>
    </w:p>
    <w:p w14:paraId="17EB334E" w14:textId="55870B0C" w:rsidR="00AC008E" w:rsidRPr="00AC008E" w:rsidRDefault="00AC008E" w:rsidP="00AC008E">
      <w:pPr>
        <w:rPr>
          <w:b/>
          <w:bCs/>
          <w:color w:val="000000"/>
          <w:lang w:val="en-US"/>
        </w:rPr>
      </w:pPr>
      <w:r w:rsidRPr="00AC008E">
        <w:rPr>
          <w:b/>
          <w:bCs/>
          <w:color w:val="000000"/>
          <w:lang w:val="en-US"/>
        </w:rPr>
        <w:t>b. What are your recommendations for future or additional priority areas of focus?</w:t>
      </w:r>
    </w:p>
    <w:tbl>
      <w:tblPr>
        <w:tblStyle w:val="TableGrid"/>
        <w:tblW w:w="0" w:type="auto"/>
        <w:shd w:val="clear" w:color="auto" w:fill="F5F5F5"/>
        <w:tblLook w:val="04A0" w:firstRow="1" w:lastRow="0" w:firstColumn="1" w:lastColumn="0" w:noHBand="0" w:noVBand="1"/>
      </w:tblPr>
      <w:tblGrid>
        <w:gridCol w:w="9006"/>
      </w:tblGrid>
      <w:tr w:rsidR="00923D23" w14:paraId="45278614"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2BADA036" w14:textId="77777777" w:rsidR="00923D23" w:rsidRPr="00AC008E" w:rsidRDefault="00923D23" w:rsidP="00923D23">
            <w:pPr>
              <w:rPr>
                <w:color w:val="000000"/>
                <w:lang w:val="en-US"/>
              </w:rPr>
            </w:pPr>
            <w:r w:rsidRPr="00AC008E">
              <w:rPr>
                <w:color w:val="000000"/>
                <w:lang w:val="en-US"/>
              </w:rPr>
              <w:t>The Commission recommends the following additional priority areas for future data development:</w:t>
            </w:r>
          </w:p>
          <w:p w14:paraId="3EE81222" w14:textId="77777777" w:rsidR="00923D23" w:rsidRPr="00AC008E" w:rsidRDefault="00923D23" w:rsidP="00923D23">
            <w:pPr>
              <w:rPr>
                <w:color w:val="000000"/>
                <w:lang w:val="en-US"/>
              </w:rPr>
            </w:pPr>
            <w:r w:rsidRPr="00AC008E">
              <w:rPr>
                <w:color w:val="000000"/>
                <w:lang w:val="en-US"/>
              </w:rPr>
              <w:t>(</w:t>
            </w:r>
            <w:r w:rsidRPr="00AC008E">
              <w:rPr>
                <w:b/>
                <w:bCs/>
                <w:color w:val="000000"/>
                <w:lang w:val="en-US"/>
              </w:rPr>
              <w:t>1</w:t>
            </w:r>
            <w:r w:rsidRPr="00AC008E">
              <w:rPr>
                <w:color w:val="000000"/>
                <w:lang w:val="en-US"/>
              </w:rPr>
              <w:t>) Women and girls with disability: include as a priority population.</w:t>
            </w:r>
          </w:p>
          <w:p w14:paraId="680C6602" w14:textId="77777777" w:rsidR="00923D23" w:rsidRPr="00AC008E" w:rsidRDefault="00923D23" w:rsidP="00923D23">
            <w:pPr>
              <w:rPr>
                <w:color w:val="000000"/>
                <w:lang w:val="en-US"/>
              </w:rPr>
            </w:pPr>
            <w:r w:rsidRPr="00AC008E">
              <w:rPr>
                <w:color w:val="000000"/>
                <w:lang w:val="en-US"/>
              </w:rPr>
              <w:t>(</w:t>
            </w:r>
            <w:r w:rsidRPr="00AC008E">
              <w:rPr>
                <w:b/>
                <w:bCs/>
                <w:color w:val="000000"/>
                <w:lang w:val="en-US"/>
              </w:rPr>
              <w:t>2</w:t>
            </w:r>
            <w:r w:rsidRPr="00AC008E">
              <w:rPr>
                <w:color w:val="000000"/>
                <w:lang w:val="en-US"/>
              </w:rPr>
              <w:t xml:space="preserve">) Involuntary </w:t>
            </w:r>
            <w:proofErr w:type="spellStart"/>
            <w:r w:rsidRPr="00AC008E">
              <w:rPr>
                <w:color w:val="000000"/>
                <w:lang w:val="en-US"/>
              </w:rPr>
              <w:t>sterilisation</w:t>
            </w:r>
            <w:proofErr w:type="spellEnd"/>
            <w:r w:rsidRPr="00AC008E">
              <w:rPr>
                <w:color w:val="000000"/>
                <w:lang w:val="en-US"/>
              </w:rPr>
              <w:t>: include as a standalone priority area under the ‘agency’ and ‘autonomy’ domains.</w:t>
            </w:r>
          </w:p>
          <w:p w14:paraId="3EB25BC1" w14:textId="77777777" w:rsidR="00923D23" w:rsidRPr="00AC008E" w:rsidRDefault="00923D23" w:rsidP="00923D23">
            <w:pPr>
              <w:rPr>
                <w:color w:val="000000"/>
                <w:lang w:val="en-US"/>
              </w:rPr>
            </w:pPr>
            <w:r w:rsidRPr="00AC008E">
              <w:rPr>
                <w:color w:val="000000"/>
                <w:lang w:val="en-US"/>
              </w:rPr>
              <w:t>(</w:t>
            </w:r>
            <w:r w:rsidRPr="00AC008E">
              <w:rPr>
                <w:b/>
                <w:bCs/>
                <w:color w:val="000000"/>
                <w:lang w:val="en-US"/>
              </w:rPr>
              <w:t>3</w:t>
            </w:r>
            <w:r w:rsidRPr="00AC008E">
              <w:rPr>
                <w:color w:val="000000"/>
                <w:lang w:val="en-US"/>
              </w:rPr>
              <w:t>) Reproductive coercion and abuse: monitor practices that might include denial of or forced contraception, pressure to terminate or continue pregnancies, and lack of access to reproductive health services.</w:t>
            </w:r>
          </w:p>
          <w:p w14:paraId="5B76CCB5" w14:textId="77777777" w:rsidR="00923D23" w:rsidRPr="00AC008E" w:rsidRDefault="00923D23" w:rsidP="00923D23">
            <w:pPr>
              <w:rPr>
                <w:color w:val="000000"/>
                <w:lang w:val="en-US"/>
              </w:rPr>
            </w:pPr>
            <w:r w:rsidRPr="00AC008E">
              <w:rPr>
                <w:color w:val="000000"/>
                <w:lang w:val="en-US"/>
              </w:rPr>
              <w:t>(</w:t>
            </w:r>
            <w:r w:rsidRPr="00AC008E">
              <w:rPr>
                <w:b/>
                <w:bCs/>
                <w:color w:val="000000"/>
                <w:lang w:val="en-US"/>
              </w:rPr>
              <w:t>4</w:t>
            </w:r>
            <w:r w:rsidRPr="00AC008E">
              <w:rPr>
                <w:color w:val="000000"/>
                <w:lang w:val="en-US"/>
              </w:rPr>
              <w:t>) Discrimination in parenting and family planning: such as child removal practices, access to reproductive technologies, and availability of culturally safe parenting support programs. These issues are compounded for First Nations women and girls with disability, who face intersecting pressures that often result in heightened scrutiny of their parenting and reduced autonomy in reproductive decision-making.</w:t>
            </w:r>
          </w:p>
          <w:p w14:paraId="77983489" w14:textId="77777777" w:rsidR="00923D23" w:rsidRPr="00AC008E" w:rsidRDefault="00923D23" w:rsidP="00923D23">
            <w:pPr>
              <w:rPr>
                <w:color w:val="000000"/>
                <w:lang w:val="en-US"/>
              </w:rPr>
            </w:pPr>
            <w:r w:rsidRPr="00AC008E">
              <w:rPr>
                <w:color w:val="000000"/>
                <w:lang w:val="en-US"/>
              </w:rPr>
              <w:t>(</w:t>
            </w:r>
            <w:r w:rsidRPr="00AC008E">
              <w:rPr>
                <w:b/>
                <w:bCs/>
                <w:color w:val="000000"/>
                <w:lang w:val="en-US"/>
              </w:rPr>
              <w:t>5</w:t>
            </w:r>
            <w:r w:rsidRPr="00AC008E">
              <w:rPr>
                <w:color w:val="000000"/>
                <w:lang w:val="en-US"/>
              </w:rPr>
              <w:t xml:space="preserve">) Supported decision-making and informed consent: observe service-level safeguards, including access to support agreements, use of supporters, and provider training. Include specific monitors of how these supports are accessed and experienced by culturally and linguistically diverse communities, including First Nations woman and girls with disability, who may face </w:t>
            </w:r>
            <w:r w:rsidRPr="00AC008E">
              <w:rPr>
                <w:color w:val="000000"/>
                <w:lang w:val="en-US"/>
              </w:rPr>
              <w:lastRenderedPageBreak/>
              <w:t xml:space="preserve">additional barriers due to systemic discrimination, language and cultural safety concerns. </w:t>
            </w:r>
          </w:p>
          <w:p w14:paraId="19BEBB63" w14:textId="2524647B" w:rsidR="00923D23" w:rsidRDefault="00923D23" w:rsidP="00923D23">
            <w:pPr>
              <w:rPr>
                <w:color w:val="000000"/>
                <w:lang w:val="en-US"/>
              </w:rPr>
            </w:pPr>
            <w:r w:rsidRPr="00AC008E">
              <w:rPr>
                <w:color w:val="000000"/>
                <w:lang w:val="en-US"/>
              </w:rPr>
              <w:t>These additions would align the data strategy with Australia’s obligations under the CRPD (Articles 6, 12, 17, 23, 25 and 31</w:t>
            </w:r>
            <w:r>
              <w:rPr>
                <w:color w:val="000000"/>
                <w:lang w:val="en-US"/>
              </w:rPr>
              <w:t>)</w:t>
            </w:r>
            <w:r>
              <w:rPr>
                <w:rStyle w:val="EndnoteReference"/>
                <w:color w:val="000000"/>
                <w:lang w:val="en-US"/>
              </w:rPr>
              <w:endnoteReference w:id="23"/>
            </w:r>
            <w:r w:rsidRPr="00AC008E">
              <w:rPr>
                <w:color w:val="000000"/>
                <w:lang w:val="en-US"/>
              </w:rPr>
              <w:t>, CEDAW (Articles 3, 12, and 15</w:t>
            </w:r>
            <w:r>
              <w:rPr>
                <w:color w:val="000000"/>
                <w:lang w:val="en-US"/>
              </w:rPr>
              <w:t>)</w:t>
            </w:r>
            <w:r>
              <w:rPr>
                <w:rStyle w:val="EndnoteReference"/>
                <w:color w:val="000000"/>
                <w:lang w:val="en-US"/>
              </w:rPr>
              <w:endnoteReference w:id="24"/>
            </w:r>
            <w:r w:rsidRPr="00AC008E">
              <w:rPr>
                <w:color w:val="000000"/>
                <w:lang w:val="en-US"/>
              </w:rPr>
              <w:t>, and the ICCP</w:t>
            </w:r>
            <w:r>
              <w:rPr>
                <w:color w:val="000000"/>
                <w:lang w:val="en-US"/>
              </w:rPr>
              <w:t>R</w:t>
            </w:r>
            <w:r>
              <w:rPr>
                <w:rStyle w:val="EndnoteReference"/>
                <w:color w:val="000000"/>
                <w:lang w:val="en-US"/>
              </w:rPr>
              <w:endnoteReference w:id="25"/>
            </w:r>
            <w:r w:rsidRPr="00AC008E">
              <w:rPr>
                <w:color w:val="000000"/>
                <w:lang w:val="en-US"/>
              </w:rPr>
              <w:t xml:space="preserve"> and ICESC</w:t>
            </w:r>
            <w:r>
              <w:rPr>
                <w:color w:val="000000"/>
                <w:lang w:val="en-US"/>
              </w:rPr>
              <w:t>R</w:t>
            </w:r>
            <w:r>
              <w:rPr>
                <w:rStyle w:val="EndnoteReference"/>
                <w:color w:val="000000"/>
                <w:lang w:val="en-US"/>
              </w:rPr>
              <w:endnoteReference w:id="26"/>
            </w:r>
            <w:r w:rsidRPr="00AC008E">
              <w:rPr>
                <w:color w:val="000000"/>
                <w:lang w:val="en-US"/>
              </w:rPr>
              <w:t>.</w:t>
            </w:r>
          </w:p>
        </w:tc>
      </w:tr>
    </w:tbl>
    <w:p w14:paraId="0F166436" w14:textId="10F1EA13" w:rsidR="00AC008E" w:rsidRDefault="00AC008E" w:rsidP="00AC008E">
      <w:pPr>
        <w:rPr>
          <w:color w:val="000000"/>
          <w:lang w:val="en-US"/>
        </w:rPr>
      </w:pPr>
    </w:p>
    <w:p w14:paraId="0C315384" w14:textId="77777777" w:rsidR="00AC008E" w:rsidRPr="00AC008E" w:rsidRDefault="00AC008E" w:rsidP="00AC008E">
      <w:pPr>
        <w:rPr>
          <w:b/>
          <w:bCs/>
          <w:color w:val="000000"/>
          <w:lang w:val="en-US"/>
        </w:rPr>
      </w:pPr>
      <w:r w:rsidRPr="00AC008E">
        <w:rPr>
          <w:b/>
          <w:bCs/>
          <w:color w:val="000000"/>
          <w:lang w:val="en-US"/>
        </w:rPr>
        <w:t>6. Were there any aspects of the data strategy that you did not understand or require further clarification?</w:t>
      </w:r>
    </w:p>
    <w:p w14:paraId="5B5DA26D" w14:textId="77777777" w:rsidR="00AC008E" w:rsidRPr="00AC008E" w:rsidRDefault="00AC008E" w:rsidP="00AC008E">
      <w:pPr>
        <w:rPr>
          <w:color w:val="000000"/>
          <w:lang w:val="en-US"/>
        </w:rPr>
      </w:pPr>
      <w:r w:rsidRPr="00AC008E">
        <w:rPr>
          <w:color w:val="000000"/>
          <w:lang w:val="en-US"/>
        </w:rPr>
        <w:t xml:space="preserve">Yes - Which sections of the data strategy were hard to understand or </w:t>
      </w:r>
      <w:proofErr w:type="gramStart"/>
      <w:r w:rsidRPr="00AC008E">
        <w:rPr>
          <w:color w:val="000000"/>
          <w:lang w:val="en-US"/>
        </w:rPr>
        <w:t>require</w:t>
      </w:r>
      <w:proofErr w:type="gramEnd"/>
      <w:r w:rsidRPr="00AC008E">
        <w:rPr>
          <w:color w:val="000000"/>
          <w:lang w:val="en-US"/>
        </w:rPr>
        <w:t xml:space="preserve"> further clarification? How could these aspects be improved?</w:t>
      </w:r>
    </w:p>
    <w:p w14:paraId="322D27A2" w14:textId="77777777" w:rsidR="00AC008E" w:rsidRPr="00AC008E" w:rsidRDefault="00AC008E" w:rsidP="00AC008E">
      <w:pPr>
        <w:rPr>
          <w:color w:val="000000"/>
          <w:lang w:val="en-US"/>
        </w:rPr>
      </w:pPr>
      <w:r w:rsidRPr="00AC008E">
        <w:rPr>
          <w:b/>
          <w:bCs/>
          <w:color w:val="000000"/>
          <w:lang w:val="en-US"/>
        </w:rPr>
        <w:t>No</w:t>
      </w:r>
      <w:r w:rsidRPr="00AC008E">
        <w:rPr>
          <w:color w:val="000000"/>
          <w:lang w:val="en-US"/>
        </w:rPr>
        <w:t xml:space="preserve"> - Which aspects of the data strategy were clear and easy to understand? Please elaborate on what worked well.</w:t>
      </w:r>
    </w:p>
    <w:tbl>
      <w:tblPr>
        <w:tblStyle w:val="TableGrid"/>
        <w:tblW w:w="0" w:type="auto"/>
        <w:shd w:val="clear" w:color="auto" w:fill="F5F5F5"/>
        <w:tblLook w:val="04A0" w:firstRow="1" w:lastRow="0" w:firstColumn="1" w:lastColumn="0" w:noHBand="0" w:noVBand="1"/>
      </w:tblPr>
      <w:tblGrid>
        <w:gridCol w:w="9006"/>
      </w:tblGrid>
      <w:tr w:rsidR="00923D23" w14:paraId="4F946AAB"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7840233A" w14:textId="114744B3" w:rsidR="00923D23" w:rsidRDefault="00923D23" w:rsidP="00AC008E">
            <w:pPr>
              <w:rPr>
                <w:color w:val="000000"/>
              </w:rPr>
            </w:pPr>
            <w:r w:rsidRPr="00AC008E">
              <w:rPr>
                <w:color w:val="000000"/>
              </w:rPr>
              <w:t xml:space="preserve">The structure and presentation of the data strategy are clear and well-organised. To support transparency and accessibility, it is important future reporting outputs are available in accessible formats that are easy to understand and navigate. This may include, easy read versions, </w:t>
            </w:r>
            <w:proofErr w:type="spellStart"/>
            <w:r w:rsidRPr="00AC008E">
              <w:rPr>
                <w:color w:val="000000"/>
              </w:rPr>
              <w:t>Auslan</w:t>
            </w:r>
            <w:proofErr w:type="spellEnd"/>
            <w:r w:rsidRPr="00AC008E">
              <w:rPr>
                <w:color w:val="000000"/>
              </w:rPr>
              <w:t>-interpreted videos, and translated materials for culturally and linguistically diverse communities.</w:t>
            </w:r>
          </w:p>
        </w:tc>
      </w:tr>
    </w:tbl>
    <w:p w14:paraId="1CC18588" w14:textId="77777777" w:rsidR="00AC008E" w:rsidRDefault="00AC008E" w:rsidP="00AC008E">
      <w:pPr>
        <w:rPr>
          <w:color w:val="000000"/>
        </w:rPr>
      </w:pPr>
    </w:p>
    <w:p w14:paraId="0CB97167" w14:textId="4A26A355" w:rsidR="00AC008E" w:rsidRPr="00AC008E" w:rsidRDefault="00AC008E" w:rsidP="00923D23">
      <w:pPr>
        <w:pStyle w:val="Heading2"/>
        <w:rPr>
          <w:lang w:val="en-US"/>
        </w:rPr>
      </w:pPr>
      <w:bookmarkStart w:id="5" w:name="_Toc214364930"/>
      <w:r w:rsidRPr="00AC008E">
        <w:rPr>
          <w:lang w:val="en-US"/>
        </w:rPr>
        <w:t>Section 3: Overarching areas</w:t>
      </w:r>
      <w:bookmarkEnd w:id="5"/>
    </w:p>
    <w:p w14:paraId="41402E8C" w14:textId="77777777" w:rsidR="00AC008E" w:rsidRPr="00AC008E" w:rsidRDefault="00AC008E" w:rsidP="00AC008E">
      <w:pPr>
        <w:rPr>
          <w:b/>
          <w:bCs/>
          <w:color w:val="000000"/>
          <w:lang w:val="en-US"/>
        </w:rPr>
      </w:pPr>
      <w:r w:rsidRPr="00AC008E">
        <w:rPr>
          <w:b/>
          <w:bCs/>
          <w:color w:val="000000"/>
          <w:lang w:val="en-US"/>
        </w:rPr>
        <w:t>7. Are the overall goals of the draft framework and data strategy clear? (Please indicate which goals were clear and which require further clarification.)</w:t>
      </w:r>
    </w:p>
    <w:tbl>
      <w:tblPr>
        <w:tblStyle w:val="TableGrid"/>
        <w:tblW w:w="0" w:type="auto"/>
        <w:shd w:val="clear" w:color="auto" w:fill="F5F5F5"/>
        <w:tblLook w:val="04A0" w:firstRow="1" w:lastRow="0" w:firstColumn="1" w:lastColumn="0" w:noHBand="0" w:noVBand="1"/>
      </w:tblPr>
      <w:tblGrid>
        <w:gridCol w:w="9006"/>
      </w:tblGrid>
      <w:tr w:rsidR="00923D23" w14:paraId="39A42A01"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5CA9A6B6" w14:textId="77777777" w:rsidR="00923D23" w:rsidRPr="00AC008E" w:rsidRDefault="00923D23" w:rsidP="00923D23">
            <w:pPr>
              <w:rPr>
                <w:color w:val="000000"/>
              </w:rPr>
            </w:pPr>
            <w:r w:rsidRPr="00AC008E">
              <w:rPr>
                <w:color w:val="000000"/>
              </w:rPr>
              <w:t xml:space="preserve">Yes, the overall goals are clearly stated and well-structured. The framework’s central question, </w:t>
            </w:r>
            <w:r w:rsidRPr="00AC008E">
              <w:rPr>
                <w:i/>
                <w:iCs/>
                <w:color w:val="000000"/>
              </w:rPr>
              <w:t>“</w:t>
            </w:r>
            <w:r w:rsidRPr="00AC008E">
              <w:rPr>
                <w:color w:val="000000"/>
              </w:rPr>
              <w:t>How timely, accessible and high-quality is sexual and reproductive health care for all in Australia?</w:t>
            </w:r>
            <w:r w:rsidRPr="00AC008E">
              <w:rPr>
                <w:i/>
                <w:iCs/>
                <w:color w:val="000000"/>
              </w:rPr>
              <w:t>”</w:t>
            </w:r>
            <w:r w:rsidRPr="00AC008E">
              <w:rPr>
                <w:color w:val="000000"/>
              </w:rPr>
              <w:t>, is supported by a person-centred, life course approach and a socio-ecological model that considers individual, service-level and structural factors.</w:t>
            </w:r>
          </w:p>
          <w:p w14:paraId="29A853D0" w14:textId="736D7885" w:rsidR="00923D23" w:rsidRDefault="00923D23" w:rsidP="00923D23">
            <w:pPr>
              <w:rPr>
                <w:color w:val="000000"/>
              </w:rPr>
            </w:pPr>
            <w:r w:rsidRPr="00AC008E">
              <w:rPr>
                <w:color w:val="000000"/>
              </w:rPr>
              <w:t>However, the goals could be strengthened by more explicitly referencing how the framework will monitor rights-based outcomes for priority populations, including people with disability. While equity is a guiding principle, the framework would benefit from clearer articulation of how it will track experiences of discrimination, including intersectional discrimination, coercion, and exclusion, particularly in relation to informed consent, reproductive autonomy, and parenting rights.</w:t>
            </w:r>
          </w:p>
        </w:tc>
      </w:tr>
    </w:tbl>
    <w:p w14:paraId="78500CE2" w14:textId="77777777" w:rsidR="00666CDF" w:rsidRDefault="00666CDF" w:rsidP="00AC008E">
      <w:pPr>
        <w:rPr>
          <w:b/>
          <w:bCs/>
          <w:color w:val="000000"/>
          <w:lang w:val="en-US"/>
        </w:rPr>
      </w:pPr>
    </w:p>
    <w:p w14:paraId="28D16704" w14:textId="34353571" w:rsidR="00AC008E" w:rsidRPr="00AC008E" w:rsidRDefault="00AC008E" w:rsidP="00AC008E">
      <w:pPr>
        <w:rPr>
          <w:b/>
          <w:bCs/>
          <w:color w:val="000000"/>
          <w:lang w:val="en-US"/>
        </w:rPr>
      </w:pPr>
      <w:r w:rsidRPr="00AC008E">
        <w:rPr>
          <w:b/>
          <w:bCs/>
          <w:color w:val="000000"/>
          <w:lang w:val="en-US"/>
        </w:rPr>
        <w:t>8. Is the terminology used in the report appropriate? Please provide details and suggest alternative terminology where required.</w:t>
      </w:r>
    </w:p>
    <w:tbl>
      <w:tblPr>
        <w:tblStyle w:val="TableGrid"/>
        <w:tblW w:w="0" w:type="auto"/>
        <w:shd w:val="clear" w:color="auto" w:fill="F5F5F5"/>
        <w:tblLook w:val="04A0" w:firstRow="1" w:lastRow="0" w:firstColumn="1" w:lastColumn="0" w:noHBand="0" w:noVBand="1"/>
      </w:tblPr>
      <w:tblGrid>
        <w:gridCol w:w="9006"/>
      </w:tblGrid>
      <w:tr w:rsidR="00923D23" w14:paraId="47D2B85A"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79DE9A0B" w14:textId="77777777" w:rsidR="008663F2" w:rsidRPr="00AC008E" w:rsidRDefault="008663F2" w:rsidP="008663F2">
            <w:pPr>
              <w:rPr>
                <w:color w:val="000000"/>
                <w:lang w:val="en-US"/>
              </w:rPr>
            </w:pPr>
            <w:r w:rsidRPr="00AC008E">
              <w:rPr>
                <w:color w:val="000000"/>
                <w:lang w:val="en-US"/>
              </w:rPr>
              <w:t>Generally, the terminology is appropriate and reflects current public health and policy language. The glossary (Appendix L) is comprehensive and helpful. However, the following improvements are recommended to better align the framework with international human rights standards:</w:t>
            </w:r>
          </w:p>
          <w:p w14:paraId="6BC8938D" w14:textId="77777777" w:rsidR="008663F2" w:rsidRPr="00AC008E" w:rsidRDefault="008663F2" w:rsidP="008663F2">
            <w:pPr>
              <w:numPr>
                <w:ilvl w:val="0"/>
                <w:numId w:val="36"/>
              </w:numPr>
              <w:rPr>
                <w:color w:val="000000"/>
                <w:lang w:val="en-US"/>
              </w:rPr>
            </w:pPr>
            <w:r w:rsidRPr="00AC008E">
              <w:rPr>
                <w:color w:val="000000"/>
                <w:lang w:val="en-US"/>
              </w:rPr>
              <w:t>Replace ‘vulnerable groups’ with ‘priority populations’ consistently, as already used in Section 2.5.</w:t>
            </w:r>
          </w:p>
          <w:p w14:paraId="728B886A" w14:textId="77777777" w:rsidR="008663F2" w:rsidRDefault="008663F2" w:rsidP="008663F2">
            <w:pPr>
              <w:numPr>
                <w:ilvl w:val="0"/>
                <w:numId w:val="36"/>
              </w:numPr>
              <w:rPr>
                <w:color w:val="000000"/>
                <w:lang w:val="en-US"/>
              </w:rPr>
            </w:pPr>
            <w:r w:rsidRPr="00AC008E">
              <w:rPr>
                <w:color w:val="000000"/>
                <w:lang w:val="en-US"/>
              </w:rPr>
              <w:t>Clarify the use of ‘agency’ and ‘autonomy’ in the framework by linking these terms to legal capacity and supported decision-making, especially for people with disability.</w:t>
            </w:r>
          </w:p>
          <w:p w14:paraId="12C9190D" w14:textId="6492E5EC" w:rsidR="00923D23" w:rsidRDefault="008663F2" w:rsidP="008663F2">
            <w:pPr>
              <w:numPr>
                <w:ilvl w:val="0"/>
                <w:numId w:val="36"/>
              </w:numPr>
              <w:rPr>
                <w:color w:val="000000"/>
                <w:lang w:val="en-US"/>
              </w:rPr>
            </w:pPr>
            <w:r w:rsidRPr="00AC008E">
              <w:rPr>
                <w:color w:val="000000"/>
                <w:lang w:val="en-US"/>
              </w:rPr>
              <w:t>Use ‘informed consent’ and ‘supported decision-making’ more explicitly when referring to service-level safeguards (e.g. under the ‘Services’ level in Figure 3.4).</w:t>
            </w:r>
          </w:p>
        </w:tc>
      </w:tr>
    </w:tbl>
    <w:p w14:paraId="741630AA" w14:textId="77777777" w:rsidR="00666CDF" w:rsidRDefault="00666CDF" w:rsidP="00AC008E">
      <w:pPr>
        <w:rPr>
          <w:b/>
          <w:bCs/>
          <w:color w:val="000000"/>
          <w:lang w:val="en-US"/>
        </w:rPr>
      </w:pPr>
    </w:p>
    <w:p w14:paraId="6EC90CA6" w14:textId="320B3C54" w:rsidR="00AC008E" w:rsidRPr="00AC008E" w:rsidRDefault="00AC008E" w:rsidP="00AC008E">
      <w:pPr>
        <w:rPr>
          <w:b/>
          <w:bCs/>
          <w:color w:val="000000"/>
          <w:lang w:val="en-US"/>
        </w:rPr>
      </w:pPr>
      <w:r w:rsidRPr="00AC008E">
        <w:rPr>
          <w:b/>
          <w:bCs/>
          <w:color w:val="000000"/>
          <w:lang w:val="en-US"/>
        </w:rPr>
        <w:t xml:space="preserve">9. </w:t>
      </w:r>
      <w:r w:rsidRPr="00AC008E">
        <w:rPr>
          <w:color w:val="000000"/>
          <w:lang w:val="en-US"/>
        </w:rPr>
        <w:t xml:space="preserve">Do you have any suggestions </w:t>
      </w:r>
      <w:proofErr w:type="gramStart"/>
      <w:r w:rsidRPr="00AC008E">
        <w:rPr>
          <w:color w:val="000000"/>
          <w:lang w:val="en-US"/>
        </w:rPr>
        <w:t>around</w:t>
      </w:r>
      <w:proofErr w:type="gramEnd"/>
      <w:r w:rsidRPr="00AC008E">
        <w:rPr>
          <w:color w:val="000000"/>
          <w:lang w:val="en-US"/>
        </w:rPr>
        <w:t xml:space="preserve"> the governance of this work as it progresses? Please provide any suggestions on advisory committees, ongoing stakeholder engagement, consent processes (e.g. from jurisdictions and private entities) and return of information processes (see pages 39-40).</w:t>
      </w:r>
    </w:p>
    <w:tbl>
      <w:tblPr>
        <w:tblStyle w:val="TableGrid"/>
        <w:tblW w:w="0" w:type="auto"/>
        <w:shd w:val="clear" w:color="auto" w:fill="F5F5F5"/>
        <w:tblLook w:val="04A0" w:firstRow="1" w:lastRow="0" w:firstColumn="1" w:lastColumn="0" w:noHBand="0" w:noVBand="1"/>
      </w:tblPr>
      <w:tblGrid>
        <w:gridCol w:w="9006"/>
      </w:tblGrid>
      <w:tr w:rsidR="008663F2" w14:paraId="7D86EB80"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33F5BFA7" w14:textId="77777777" w:rsidR="008663F2" w:rsidRPr="00AC008E" w:rsidRDefault="008663F2" w:rsidP="008663F2">
            <w:pPr>
              <w:rPr>
                <w:color w:val="000000"/>
                <w:lang w:val="en-US"/>
              </w:rPr>
            </w:pPr>
            <w:r w:rsidRPr="00AC008E">
              <w:rPr>
                <w:color w:val="000000"/>
                <w:lang w:val="en-US"/>
              </w:rPr>
              <w:t>The AIHW’s current and proposed governance arrangements (Section 5.1) are a strong foundation. For future governance (Section 5.2), the Commission recommends:</w:t>
            </w:r>
          </w:p>
          <w:p w14:paraId="75C63E09" w14:textId="77777777" w:rsidR="008663F2" w:rsidRPr="00AC008E" w:rsidRDefault="008663F2" w:rsidP="008663F2">
            <w:pPr>
              <w:numPr>
                <w:ilvl w:val="0"/>
                <w:numId w:val="36"/>
              </w:numPr>
              <w:rPr>
                <w:color w:val="000000"/>
                <w:lang w:val="en-US"/>
              </w:rPr>
            </w:pPr>
            <w:r w:rsidRPr="00AC008E">
              <w:rPr>
                <w:color w:val="000000"/>
                <w:lang w:val="en-US"/>
              </w:rPr>
              <w:t xml:space="preserve">Establishing an inclusive advisory committee with representation from people with disability through their representative </w:t>
            </w:r>
            <w:proofErr w:type="spellStart"/>
            <w:r w:rsidRPr="00AC008E">
              <w:rPr>
                <w:color w:val="000000"/>
                <w:lang w:val="en-US"/>
              </w:rPr>
              <w:t>organisations</w:t>
            </w:r>
            <w:proofErr w:type="spellEnd"/>
            <w:r w:rsidRPr="00AC008E">
              <w:rPr>
                <w:color w:val="000000"/>
                <w:lang w:val="en-US"/>
              </w:rPr>
              <w:t xml:space="preserve">, including women with disability and First </w:t>
            </w:r>
            <w:proofErr w:type="gramStart"/>
            <w:r w:rsidRPr="00AC008E">
              <w:rPr>
                <w:color w:val="000000"/>
                <w:lang w:val="en-US"/>
              </w:rPr>
              <w:t>Nations .</w:t>
            </w:r>
            <w:proofErr w:type="gramEnd"/>
          </w:p>
          <w:p w14:paraId="5146CD57" w14:textId="77777777" w:rsidR="008663F2" w:rsidRPr="00AC008E" w:rsidRDefault="008663F2" w:rsidP="008663F2">
            <w:pPr>
              <w:numPr>
                <w:ilvl w:val="0"/>
                <w:numId w:val="36"/>
              </w:numPr>
              <w:rPr>
                <w:color w:val="000000"/>
                <w:lang w:val="en-US"/>
              </w:rPr>
            </w:pPr>
            <w:r w:rsidRPr="00AC008E">
              <w:rPr>
                <w:color w:val="000000"/>
                <w:lang w:val="en-US"/>
              </w:rPr>
              <w:t>Embedding co-design principles throughout implementation, consistent with the National Disability Research Partnership’s guidance on embedding lived experience.</w:t>
            </w:r>
          </w:p>
          <w:p w14:paraId="24405601" w14:textId="77777777" w:rsidR="008663F2" w:rsidRPr="00AC008E" w:rsidRDefault="008663F2" w:rsidP="008663F2">
            <w:pPr>
              <w:numPr>
                <w:ilvl w:val="0"/>
                <w:numId w:val="36"/>
              </w:numPr>
              <w:rPr>
                <w:color w:val="000000"/>
                <w:lang w:val="en-US"/>
              </w:rPr>
            </w:pPr>
            <w:r w:rsidRPr="00AC008E">
              <w:rPr>
                <w:color w:val="000000"/>
                <w:lang w:val="en-US"/>
              </w:rPr>
              <w:t>Ensuring transparent consent processes for data sharing across jurisdictions and private entities, aligned with the Five Safes framewor</w:t>
            </w:r>
            <w:r>
              <w:rPr>
                <w:color w:val="000000"/>
                <w:lang w:val="en-US"/>
              </w:rPr>
              <w:t>k</w:t>
            </w:r>
            <w:r>
              <w:rPr>
                <w:rStyle w:val="EndnoteReference"/>
                <w:color w:val="000000"/>
                <w:lang w:val="en-US"/>
              </w:rPr>
              <w:endnoteReference w:id="27"/>
            </w:r>
            <w:r w:rsidRPr="00AC008E">
              <w:rPr>
                <w:color w:val="000000"/>
                <w:lang w:val="en-US"/>
              </w:rPr>
              <w:t xml:space="preserve"> and CRPD Article 3</w:t>
            </w:r>
            <w:r>
              <w:rPr>
                <w:color w:val="000000"/>
                <w:lang w:val="en-US"/>
              </w:rPr>
              <w:t>1</w:t>
            </w:r>
            <w:r>
              <w:rPr>
                <w:rStyle w:val="EndnoteReference"/>
                <w:color w:val="000000"/>
                <w:lang w:val="en-US"/>
              </w:rPr>
              <w:endnoteReference w:id="28"/>
            </w:r>
            <w:r w:rsidRPr="00AC008E">
              <w:rPr>
                <w:color w:val="000000"/>
                <w:lang w:val="en-US"/>
              </w:rPr>
              <w:t>.</w:t>
            </w:r>
          </w:p>
          <w:p w14:paraId="7A006DF3" w14:textId="53301E35" w:rsidR="008663F2" w:rsidRDefault="008663F2" w:rsidP="008663F2">
            <w:pPr>
              <w:rPr>
                <w:color w:val="000000"/>
                <w:lang w:val="en-US"/>
              </w:rPr>
            </w:pPr>
            <w:r w:rsidRPr="00AC008E">
              <w:rPr>
                <w:color w:val="000000"/>
                <w:lang w:val="en-US"/>
              </w:rPr>
              <w:t>Developing mechanisms for returning information to communities, including accessible formats and feedback loops.</w:t>
            </w:r>
          </w:p>
        </w:tc>
      </w:tr>
    </w:tbl>
    <w:p w14:paraId="01D59889" w14:textId="77777777" w:rsidR="00666CDF" w:rsidRDefault="00666CDF" w:rsidP="00AC008E">
      <w:pPr>
        <w:rPr>
          <w:b/>
          <w:bCs/>
          <w:color w:val="000000"/>
          <w:lang w:val="en-US"/>
        </w:rPr>
      </w:pPr>
    </w:p>
    <w:p w14:paraId="4D717852" w14:textId="1255D4E9" w:rsidR="00AC008E" w:rsidRPr="00AC008E" w:rsidRDefault="00AC008E" w:rsidP="00AC008E">
      <w:pPr>
        <w:rPr>
          <w:b/>
          <w:bCs/>
          <w:color w:val="000000"/>
          <w:lang w:val="en-US"/>
        </w:rPr>
      </w:pPr>
      <w:r w:rsidRPr="00AC008E">
        <w:rPr>
          <w:b/>
          <w:bCs/>
          <w:color w:val="000000"/>
          <w:lang w:val="en-US"/>
        </w:rPr>
        <w:lastRenderedPageBreak/>
        <w:t xml:space="preserve">10. How can </w:t>
      </w:r>
      <w:proofErr w:type="gramStart"/>
      <w:r w:rsidRPr="00AC008E">
        <w:rPr>
          <w:b/>
          <w:bCs/>
          <w:color w:val="000000"/>
          <w:lang w:val="en-US"/>
        </w:rPr>
        <w:t>the AIHW</w:t>
      </w:r>
      <w:proofErr w:type="gramEnd"/>
      <w:r w:rsidRPr="00AC008E">
        <w:rPr>
          <w:b/>
          <w:bCs/>
          <w:color w:val="000000"/>
          <w:lang w:val="en-US"/>
        </w:rPr>
        <w:t xml:space="preserve"> ensure ongoing stakeholder engagement, use and uptake of the SRH monitoring framework and future reporting?</w:t>
      </w:r>
    </w:p>
    <w:tbl>
      <w:tblPr>
        <w:tblStyle w:val="TableGrid"/>
        <w:tblW w:w="0" w:type="auto"/>
        <w:shd w:val="clear" w:color="auto" w:fill="F5F5F5"/>
        <w:tblLook w:val="04A0" w:firstRow="1" w:lastRow="0" w:firstColumn="1" w:lastColumn="0" w:noHBand="0" w:noVBand="1"/>
      </w:tblPr>
      <w:tblGrid>
        <w:gridCol w:w="9006"/>
      </w:tblGrid>
      <w:tr w:rsidR="008663F2" w14:paraId="438336DC"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17ED8232" w14:textId="77777777" w:rsidR="008663F2" w:rsidRPr="00AC008E" w:rsidRDefault="008663F2" w:rsidP="008663F2">
            <w:pPr>
              <w:rPr>
                <w:color w:val="000000"/>
                <w:lang w:val="en-US"/>
              </w:rPr>
            </w:pPr>
            <w:r w:rsidRPr="00AC008E">
              <w:rPr>
                <w:color w:val="000000"/>
                <w:lang w:val="en-US"/>
              </w:rPr>
              <w:t>To support ongoing engagement and uptake, AIHW should take these actions to ensure the framework remains relevant, inclusive, and widely used:</w:t>
            </w:r>
          </w:p>
          <w:p w14:paraId="0DA8668C" w14:textId="77777777" w:rsidR="008663F2" w:rsidRPr="00AC008E" w:rsidRDefault="008663F2" w:rsidP="008663F2">
            <w:pPr>
              <w:numPr>
                <w:ilvl w:val="0"/>
                <w:numId w:val="36"/>
              </w:numPr>
              <w:rPr>
                <w:color w:val="000000"/>
                <w:lang w:val="en-US"/>
              </w:rPr>
            </w:pPr>
            <w:r w:rsidRPr="00AC008E">
              <w:rPr>
                <w:color w:val="000000"/>
                <w:lang w:val="en-US"/>
              </w:rPr>
              <w:t xml:space="preserve">Actively collaborate with the National Disability Research Partnership to ensure co-design </w:t>
            </w:r>
            <w:proofErr w:type="gramStart"/>
            <w:r w:rsidRPr="00AC008E">
              <w:rPr>
                <w:color w:val="000000"/>
                <w:lang w:val="en-US"/>
              </w:rPr>
              <w:t>and lived</w:t>
            </w:r>
            <w:proofErr w:type="gramEnd"/>
            <w:r w:rsidRPr="00AC008E">
              <w:rPr>
                <w:color w:val="000000"/>
                <w:lang w:val="en-US"/>
              </w:rPr>
              <w:t xml:space="preserve"> experience informs both the design and ongoing evaluation of data collection and reporting.</w:t>
            </w:r>
          </w:p>
          <w:p w14:paraId="1072CD0C" w14:textId="77777777" w:rsidR="008663F2" w:rsidRPr="00AC008E" w:rsidRDefault="008663F2" w:rsidP="008663F2">
            <w:pPr>
              <w:numPr>
                <w:ilvl w:val="0"/>
                <w:numId w:val="36"/>
              </w:numPr>
              <w:rPr>
                <w:color w:val="000000"/>
                <w:lang w:val="en-US"/>
              </w:rPr>
            </w:pPr>
            <w:r w:rsidRPr="00AC008E">
              <w:rPr>
                <w:color w:val="000000"/>
                <w:lang w:val="en-US"/>
              </w:rPr>
              <w:t xml:space="preserve">Establish a standing stakeholder reference group that includes people with </w:t>
            </w:r>
            <w:proofErr w:type="gramStart"/>
            <w:r w:rsidRPr="00AC008E">
              <w:rPr>
                <w:color w:val="000000"/>
                <w:lang w:val="en-US"/>
              </w:rPr>
              <w:t>disability</w:t>
            </w:r>
            <w:proofErr w:type="gramEnd"/>
            <w:r w:rsidRPr="00AC008E">
              <w:rPr>
                <w:color w:val="000000"/>
                <w:lang w:val="en-US"/>
              </w:rPr>
              <w:t xml:space="preserve"> through their representative </w:t>
            </w:r>
            <w:proofErr w:type="spellStart"/>
            <w:r w:rsidRPr="00AC008E">
              <w:rPr>
                <w:color w:val="000000"/>
                <w:lang w:val="en-US"/>
              </w:rPr>
              <w:t>organisations</w:t>
            </w:r>
            <w:proofErr w:type="spellEnd"/>
            <w:r w:rsidRPr="00AC008E">
              <w:rPr>
                <w:color w:val="000000"/>
                <w:lang w:val="en-US"/>
              </w:rPr>
              <w:t>.</w:t>
            </w:r>
          </w:p>
          <w:p w14:paraId="1F310414" w14:textId="77777777" w:rsidR="008663F2" w:rsidRPr="00AC008E" w:rsidRDefault="008663F2" w:rsidP="008663F2">
            <w:pPr>
              <w:numPr>
                <w:ilvl w:val="0"/>
                <w:numId w:val="36"/>
              </w:numPr>
              <w:rPr>
                <w:color w:val="000000"/>
                <w:lang w:val="en-US"/>
              </w:rPr>
            </w:pPr>
            <w:r w:rsidRPr="00AC008E">
              <w:rPr>
                <w:color w:val="000000"/>
                <w:lang w:val="en-US"/>
              </w:rPr>
              <w:t>Provide regular updates and consultations, including accessible formats and culturally safe engagement practices.</w:t>
            </w:r>
          </w:p>
          <w:p w14:paraId="388693D5" w14:textId="77777777" w:rsidR="008663F2" w:rsidRDefault="008663F2" w:rsidP="008663F2">
            <w:pPr>
              <w:numPr>
                <w:ilvl w:val="0"/>
                <w:numId w:val="36"/>
              </w:numPr>
              <w:rPr>
                <w:color w:val="000000"/>
                <w:lang w:val="en-US"/>
              </w:rPr>
            </w:pPr>
            <w:r w:rsidRPr="00AC008E">
              <w:rPr>
                <w:color w:val="000000"/>
                <w:lang w:val="en-US"/>
              </w:rPr>
              <w:t>Develop training and guidance materials for service providers and data custodians on inclusive data practices.</w:t>
            </w:r>
          </w:p>
          <w:p w14:paraId="0D099419" w14:textId="4BACA018" w:rsidR="008663F2" w:rsidRDefault="008663F2" w:rsidP="008663F2">
            <w:pPr>
              <w:numPr>
                <w:ilvl w:val="0"/>
                <w:numId w:val="36"/>
              </w:numPr>
              <w:rPr>
                <w:color w:val="000000"/>
                <w:lang w:val="en-US"/>
              </w:rPr>
            </w:pPr>
            <w:r w:rsidRPr="00AC008E">
              <w:rPr>
                <w:color w:val="000000"/>
                <w:lang w:val="en-US"/>
              </w:rPr>
              <w:t>Ensure that reporting outputs are accessible, including Easy Read formats, visual summaries, and tailored content for different stakeholder groups (as outlined in Table 2.3).</w:t>
            </w:r>
          </w:p>
        </w:tc>
      </w:tr>
    </w:tbl>
    <w:p w14:paraId="6C2DC835" w14:textId="77777777" w:rsidR="00666CDF" w:rsidRDefault="00666CDF" w:rsidP="00AC008E">
      <w:pPr>
        <w:rPr>
          <w:b/>
          <w:bCs/>
          <w:color w:val="000000"/>
          <w:lang w:val="en-US"/>
        </w:rPr>
      </w:pPr>
    </w:p>
    <w:p w14:paraId="42766F6D" w14:textId="7A49617C" w:rsidR="00AC008E" w:rsidRPr="00AC008E" w:rsidRDefault="00AC008E" w:rsidP="00AC008E">
      <w:pPr>
        <w:rPr>
          <w:b/>
          <w:bCs/>
          <w:color w:val="000000"/>
          <w:lang w:val="en-US"/>
        </w:rPr>
      </w:pPr>
      <w:r w:rsidRPr="00AC008E">
        <w:rPr>
          <w:b/>
          <w:bCs/>
          <w:color w:val="000000"/>
          <w:lang w:val="en-US"/>
        </w:rPr>
        <w:t>11. Do you have any other feedback on the draft SRH monitoring framework and data strategy?</w:t>
      </w:r>
    </w:p>
    <w:tbl>
      <w:tblPr>
        <w:tblStyle w:val="TableGrid"/>
        <w:tblW w:w="0" w:type="auto"/>
        <w:shd w:val="clear" w:color="auto" w:fill="F5F5F5"/>
        <w:tblLook w:val="04A0" w:firstRow="1" w:lastRow="0" w:firstColumn="1" w:lastColumn="0" w:noHBand="0" w:noVBand="1"/>
      </w:tblPr>
      <w:tblGrid>
        <w:gridCol w:w="9006"/>
      </w:tblGrid>
      <w:tr w:rsidR="008663F2" w14:paraId="7C4E4452" w14:textId="77777777" w:rsidTr="00A01974">
        <w:tc>
          <w:tcPr>
            <w:tcW w:w="9016" w:type="dxa"/>
            <w:tcBorders>
              <w:top w:val="single" w:sz="8" w:space="0" w:color="auto"/>
              <w:left w:val="single" w:sz="8" w:space="0" w:color="auto"/>
              <w:bottom w:val="single" w:sz="8" w:space="0" w:color="auto"/>
              <w:right w:val="single" w:sz="8" w:space="0" w:color="auto"/>
            </w:tcBorders>
            <w:shd w:val="clear" w:color="auto" w:fill="F5F5F5"/>
          </w:tcPr>
          <w:p w14:paraId="0F8F020C" w14:textId="4FC62F21" w:rsidR="008663F2" w:rsidRDefault="008663F2" w:rsidP="00AC008E">
            <w:pPr>
              <w:rPr>
                <w:color w:val="000000"/>
                <w:lang w:val="en-US"/>
              </w:rPr>
            </w:pPr>
            <w:r w:rsidRPr="00AC008E">
              <w:rPr>
                <w:color w:val="000000"/>
                <w:lang w:val="en-US"/>
              </w:rPr>
              <w:t>N/A</w:t>
            </w:r>
          </w:p>
        </w:tc>
      </w:tr>
    </w:tbl>
    <w:p w14:paraId="4CB74AD6" w14:textId="77777777" w:rsidR="008663F2" w:rsidRDefault="008663F2" w:rsidP="00AC008E">
      <w:pPr>
        <w:rPr>
          <w:color w:val="000000"/>
          <w:lang w:val="en-US"/>
        </w:rPr>
      </w:pPr>
    </w:p>
    <w:p w14:paraId="6937DAEB" w14:textId="77777777" w:rsidR="008663F2" w:rsidRDefault="008663F2" w:rsidP="00AC008E">
      <w:pPr>
        <w:rPr>
          <w:color w:val="000000"/>
          <w:lang w:val="en-US"/>
        </w:rPr>
      </w:pPr>
    </w:p>
    <w:p w14:paraId="3DF57354" w14:textId="73085299" w:rsidR="00E4672D" w:rsidRPr="006C229B" w:rsidRDefault="00E4672D" w:rsidP="00E4672D">
      <w:pPr>
        <w:pStyle w:val="Heading1unnumbered"/>
        <w:pageBreakBefore/>
      </w:pPr>
      <w:bookmarkStart w:id="6" w:name="_Toc214364931"/>
      <w:r>
        <w:lastRenderedPageBreak/>
        <w:t>References</w:t>
      </w:r>
      <w:bookmarkEnd w:id="6"/>
    </w:p>
    <w:sectPr w:rsidR="00E4672D" w:rsidRPr="006C229B" w:rsidSect="003D23EE">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299E" w14:textId="77777777" w:rsidR="003371FC" w:rsidRDefault="003371FC" w:rsidP="00404018">
      <w:pPr>
        <w:pStyle w:val="Frontmatter"/>
      </w:pPr>
      <w:r>
        <w:separator/>
      </w:r>
    </w:p>
  </w:endnote>
  <w:endnote w:type="continuationSeparator" w:id="0">
    <w:p w14:paraId="421D2C9A" w14:textId="77777777" w:rsidR="003371FC" w:rsidRDefault="003371FC" w:rsidP="00965614">
      <w:r>
        <w:continuationSeparator/>
      </w:r>
    </w:p>
  </w:endnote>
  <w:endnote w:type="continuationNotice" w:id="1">
    <w:p w14:paraId="141426D2" w14:textId="77777777" w:rsidR="003371FC" w:rsidRDefault="003371FC" w:rsidP="00965614"/>
  </w:endnote>
  <w:endnote w:id="2">
    <w:p w14:paraId="1A0BB836" w14:textId="44B504A2"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United Nations (2006)</w:t>
      </w:r>
      <w:r w:rsidR="00F979AF">
        <w:rPr>
          <w:sz w:val="20"/>
        </w:rPr>
        <w:t>.</w:t>
      </w:r>
      <w:r w:rsidRPr="006274CC">
        <w:rPr>
          <w:sz w:val="20"/>
        </w:rPr>
        <w:t xml:space="preserve"> </w:t>
      </w:r>
      <w:r w:rsidRPr="006274CC">
        <w:rPr>
          <w:i/>
          <w:iCs/>
          <w:sz w:val="20"/>
        </w:rPr>
        <w:t>Convention on the Rights of Persons with Disabilities</w:t>
      </w:r>
      <w:r w:rsidR="00D57754" w:rsidRPr="006274CC">
        <w:rPr>
          <w:i/>
          <w:iCs/>
          <w:sz w:val="20"/>
        </w:rPr>
        <w:t xml:space="preserve"> – </w:t>
      </w:r>
      <w:hyperlink r:id="rId1" w:history="1">
        <w:r w:rsidRPr="006274CC">
          <w:rPr>
            <w:rStyle w:val="Hyperlink"/>
            <w:i/>
            <w:iCs/>
            <w:sz w:val="20"/>
          </w:rPr>
          <w:t>Article</w:t>
        </w:r>
        <w:r w:rsidR="00D57754" w:rsidRPr="006274CC">
          <w:rPr>
            <w:rStyle w:val="Hyperlink"/>
            <w:i/>
            <w:iCs/>
            <w:sz w:val="20"/>
          </w:rPr>
          <w:t xml:space="preserve"> </w:t>
        </w:r>
        <w:r w:rsidRPr="006274CC">
          <w:rPr>
            <w:rStyle w:val="Hyperlink"/>
            <w:i/>
            <w:iCs/>
            <w:sz w:val="20"/>
          </w:rPr>
          <w:t>6</w:t>
        </w:r>
        <w:r w:rsidR="00D57754" w:rsidRPr="006274CC">
          <w:rPr>
            <w:rStyle w:val="Hyperlink"/>
            <w:i/>
            <w:iCs/>
            <w:sz w:val="20"/>
          </w:rPr>
          <w:t>: Women With Disabilities</w:t>
        </w:r>
      </w:hyperlink>
      <w:r w:rsidRPr="006274CC">
        <w:rPr>
          <w:sz w:val="20"/>
        </w:rPr>
        <w:t>.</w:t>
      </w:r>
    </w:p>
  </w:endnote>
  <w:endnote w:id="3">
    <w:p w14:paraId="4EA6A6B0" w14:textId="0B41A9F2"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United Nations (2006)</w:t>
      </w:r>
      <w:r w:rsidR="00F979AF">
        <w:rPr>
          <w:sz w:val="20"/>
        </w:rPr>
        <w:t>.</w:t>
      </w:r>
      <w:r w:rsidRPr="006274CC">
        <w:rPr>
          <w:sz w:val="20"/>
        </w:rPr>
        <w:t xml:space="preserve"> </w:t>
      </w:r>
      <w:r w:rsidRPr="006274CC">
        <w:rPr>
          <w:i/>
          <w:iCs/>
          <w:sz w:val="20"/>
        </w:rPr>
        <w:t>Convention on the Rights of Persons with Disabilities</w:t>
      </w:r>
      <w:r w:rsidR="00D57754" w:rsidRPr="006274CC">
        <w:rPr>
          <w:i/>
          <w:iCs/>
          <w:sz w:val="20"/>
        </w:rPr>
        <w:t xml:space="preserve"> – </w:t>
      </w:r>
      <w:hyperlink r:id="rId2" w:history="1">
        <w:r w:rsidRPr="006274CC">
          <w:rPr>
            <w:rStyle w:val="Hyperlink"/>
            <w:i/>
            <w:iCs/>
            <w:sz w:val="20"/>
          </w:rPr>
          <w:t>Article</w:t>
        </w:r>
        <w:r w:rsidR="00D57754" w:rsidRPr="006274CC">
          <w:rPr>
            <w:rStyle w:val="Hyperlink"/>
            <w:i/>
            <w:iCs/>
            <w:sz w:val="20"/>
          </w:rPr>
          <w:t xml:space="preserve"> 1</w:t>
        </w:r>
        <w:r w:rsidRPr="006274CC">
          <w:rPr>
            <w:rStyle w:val="Hyperlink"/>
            <w:i/>
            <w:iCs/>
            <w:sz w:val="20"/>
          </w:rPr>
          <w:t>7</w:t>
        </w:r>
        <w:r w:rsidR="00D57754" w:rsidRPr="006274CC">
          <w:rPr>
            <w:rStyle w:val="Hyperlink"/>
            <w:i/>
            <w:iCs/>
            <w:sz w:val="20"/>
          </w:rPr>
          <w:t xml:space="preserve">: Protecting the </w:t>
        </w:r>
        <w:r w:rsidR="00C3062D" w:rsidRPr="006274CC">
          <w:rPr>
            <w:rStyle w:val="Hyperlink"/>
            <w:i/>
            <w:iCs/>
            <w:sz w:val="20"/>
          </w:rPr>
          <w:t>i</w:t>
        </w:r>
        <w:r w:rsidR="00D57754" w:rsidRPr="006274CC">
          <w:rPr>
            <w:rStyle w:val="Hyperlink"/>
            <w:i/>
            <w:iCs/>
            <w:sz w:val="20"/>
          </w:rPr>
          <w:t xml:space="preserve">ntegrity of the </w:t>
        </w:r>
        <w:r w:rsidR="00C3062D" w:rsidRPr="006274CC">
          <w:rPr>
            <w:rStyle w:val="Hyperlink"/>
            <w:i/>
            <w:iCs/>
            <w:sz w:val="20"/>
          </w:rPr>
          <w:t>p</w:t>
        </w:r>
        <w:r w:rsidR="00D57754" w:rsidRPr="006274CC">
          <w:rPr>
            <w:rStyle w:val="Hyperlink"/>
            <w:i/>
            <w:iCs/>
            <w:sz w:val="20"/>
          </w:rPr>
          <w:t>erson</w:t>
        </w:r>
      </w:hyperlink>
      <w:r w:rsidR="00C3062D" w:rsidRPr="006274CC">
        <w:rPr>
          <w:i/>
          <w:iCs/>
          <w:sz w:val="20"/>
        </w:rPr>
        <w:t>;</w:t>
      </w:r>
      <w:r w:rsidR="00D57754" w:rsidRPr="006274CC">
        <w:rPr>
          <w:i/>
          <w:iCs/>
          <w:sz w:val="20"/>
        </w:rPr>
        <w:t xml:space="preserve"> </w:t>
      </w:r>
      <w:hyperlink r:id="rId3" w:history="1">
        <w:r w:rsidR="00D57754" w:rsidRPr="006274CC">
          <w:rPr>
            <w:rStyle w:val="Hyperlink"/>
            <w:i/>
            <w:iCs/>
            <w:sz w:val="20"/>
          </w:rPr>
          <w:t>Article</w:t>
        </w:r>
        <w:r w:rsidRPr="006274CC">
          <w:rPr>
            <w:rStyle w:val="Hyperlink"/>
            <w:i/>
            <w:iCs/>
            <w:sz w:val="20"/>
          </w:rPr>
          <w:t xml:space="preserve"> 23</w:t>
        </w:r>
        <w:r w:rsidR="00D57754" w:rsidRPr="006274CC">
          <w:rPr>
            <w:rStyle w:val="Hyperlink"/>
            <w:i/>
            <w:iCs/>
            <w:sz w:val="20"/>
          </w:rPr>
          <w:t>:</w:t>
        </w:r>
        <w:r w:rsidR="00C3062D" w:rsidRPr="006274CC">
          <w:rPr>
            <w:rStyle w:val="Hyperlink"/>
            <w:sz w:val="20"/>
          </w:rPr>
          <w:t xml:space="preserve"> </w:t>
        </w:r>
        <w:r w:rsidR="00C3062D" w:rsidRPr="006274CC">
          <w:rPr>
            <w:rStyle w:val="Hyperlink"/>
            <w:i/>
            <w:iCs/>
            <w:sz w:val="20"/>
          </w:rPr>
          <w:t>Respect for home and the family</w:t>
        </w:r>
      </w:hyperlink>
      <w:r w:rsidRPr="006274CC">
        <w:rPr>
          <w:i/>
          <w:iCs/>
          <w:sz w:val="20"/>
        </w:rPr>
        <w:t xml:space="preserve"> and </w:t>
      </w:r>
      <w:hyperlink r:id="rId4" w:history="1">
        <w:r w:rsidR="00D57754" w:rsidRPr="006274CC">
          <w:rPr>
            <w:rStyle w:val="Hyperlink"/>
            <w:i/>
            <w:iCs/>
            <w:sz w:val="20"/>
          </w:rPr>
          <w:t xml:space="preserve">Article </w:t>
        </w:r>
        <w:r w:rsidRPr="006274CC">
          <w:rPr>
            <w:rStyle w:val="Hyperlink"/>
            <w:i/>
            <w:iCs/>
            <w:sz w:val="20"/>
          </w:rPr>
          <w:t>2</w:t>
        </w:r>
        <w:r w:rsidR="00C3062D" w:rsidRPr="006274CC">
          <w:rPr>
            <w:rStyle w:val="Hyperlink"/>
            <w:i/>
            <w:iCs/>
            <w:sz w:val="20"/>
          </w:rPr>
          <w:t>5: Health</w:t>
        </w:r>
      </w:hyperlink>
      <w:r w:rsidRPr="006274CC">
        <w:rPr>
          <w:sz w:val="20"/>
        </w:rPr>
        <w:t>.</w:t>
      </w:r>
    </w:p>
  </w:endnote>
  <w:endnote w:id="4">
    <w:p w14:paraId="6A559B2E" w14:textId="258C54E7"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United Nations (1979)</w:t>
      </w:r>
      <w:r w:rsidR="00F979AF">
        <w:rPr>
          <w:sz w:val="20"/>
        </w:rPr>
        <w:t>.</w:t>
      </w:r>
      <w:r w:rsidRPr="006274CC">
        <w:rPr>
          <w:sz w:val="20"/>
        </w:rPr>
        <w:t xml:space="preserve"> </w:t>
      </w:r>
      <w:hyperlink r:id="rId5" w:history="1">
        <w:r w:rsidRPr="00513844">
          <w:rPr>
            <w:rStyle w:val="Hyperlink"/>
            <w:i/>
            <w:iCs/>
            <w:sz w:val="20"/>
          </w:rPr>
          <w:t>Convention on the Elimination of All Forms of Discrimination Against Women</w:t>
        </w:r>
        <w:r w:rsidR="00C3062D" w:rsidRPr="00513844">
          <w:rPr>
            <w:rStyle w:val="Hyperlink"/>
            <w:i/>
            <w:iCs/>
            <w:sz w:val="20"/>
          </w:rPr>
          <w:t xml:space="preserve"> –</w:t>
        </w:r>
        <w:r w:rsidRPr="00513844">
          <w:rPr>
            <w:rStyle w:val="Hyperlink"/>
            <w:i/>
            <w:iCs/>
            <w:sz w:val="20"/>
          </w:rPr>
          <w:t xml:space="preserve"> Articl</w:t>
        </w:r>
        <w:r w:rsidR="00513844" w:rsidRPr="00513844">
          <w:rPr>
            <w:rStyle w:val="Hyperlink"/>
            <w:i/>
            <w:iCs/>
            <w:sz w:val="20"/>
          </w:rPr>
          <w:t>es</w:t>
        </w:r>
        <w:r w:rsidR="00C3062D" w:rsidRPr="00513844">
          <w:rPr>
            <w:rStyle w:val="Hyperlink"/>
            <w:i/>
            <w:iCs/>
            <w:sz w:val="20"/>
          </w:rPr>
          <w:t xml:space="preserve"> </w:t>
        </w:r>
        <w:r w:rsidRPr="00513844">
          <w:rPr>
            <w:rStyle w:val="Hyperlink"/>
            <w:i/>
            <w:iCs/>
            <w:sz w:val="20"/>
          </w:rPr>
          <w:t>3 and 12</w:t>
        </w:r>
      </w:hyperlink>
      <w:r w:rsidRPr="006274CC">
        <w:rPr>
          <w:i/>
          <w:iCs/>
          <w:sz w:val="20"/>
        </w:rPr>
        <w:t>.</w:t>
      </w:r>
    </w:p>
  </w:endnote>
  <w:endnote w:id="5">
    <w:p w14:paraId="712F2D77" w14:textId="4472BF1F"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United Nations General Assembly</w:t>
      </w:r>
      <w:r w:rsidR="00513844">
        <w:rPr>
          <w:sz w:val="20"/>
        </w:rPr>
        <w:t xml:space="preserve"> (1966)</w:t>
      </w:r>
      <w:r w:rsidR="00F979AF">
        <w:rPr>
          <w:sz w:val="20"/>
        </w:rPr>
        <w:t>.</w:t>
      </w:r>
      <w:r w:rsidRPr="006274CC">
        <w:rPr>
          <w:sz w:val="20"/>
        </w:rPr>
        <w:t xml:space="preserve"> </w:t>
      </w:r>
      <w:hyperlink r:id="rId6" w:history="1">
        <w:r w:rsidRPr="00513844">
          <w:rPr>
            <w:rStyle w:val="Hyperlink"/>
            <w:i/>
            <w:iCs/>
            <w:sz w:val="20"/>
          </w:rPr>
          <w:t>International Covenant on Civil and Political Rights</w:t>
        </w:r>
      </w:hyperlink>
      <w:r w:rsidR="00513844">
        <w:rPr>
          <w:sz w:val="20"/>
        </w:rPr>
        <w:t>.</w:t>
      </w:r>
    </w:p>
  </w:endnote>
  <w:endnote w:id="6">
    <w:p w14:paraId="39F034CD" w14:textId="7C923172"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United Nations General Assembly</w:t>
      </w:r>
      <w:r w:rsidR="00513844">
        <w:rPr>
          <w:sz w:val="20"/>
        </w:rPr>
        <w:t xml:space="preserve"> (1966)</w:t>
      </w:r>
      <w:r w:rsidR="00F979AF">
        <w:rPr>
          <w:sz w:val="20"/>
        </w:rPr>
        <w:t>.</w:t>
      </w:r>
      <w:r w:rsidRPr="006274CC">
        <w:rPr>
          <w:sz w:val="20"/>
        </w:rPr>
        <w:t xml:space="preserve"> </w:t>
      </w:r>
      <w:hyperlink r:id="rId7" w:history="1">
        <w:r w:rsidRPr="00513844">
          <w:rPr>
            <w:rStyle w:val="Hyperlink"/>
            <w:i/>
            <w:iCs/>
            <w:sz w:val="20"/>
          </w:rPr>
          <w:t>International Covenant on Economic, Social and Cultural Rights</w:t>
        </w:r>
      </w:hyperlink>
      <w:r w:rsidR="00513844">
        <w:rPr>
          <w:sz w:val="20"/>
        </w:rPr>
        <w:t>.</w:t>
      </w:r>
    </w:p>
  </w:endnote>
  <w:endnote w:id="7">
    <w:p w14:paraId="4F267F01" w14:textId="69555327"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Royal Commission into Violence, Abuse, Neglect and Exploitation of People with Disability</w:t>
      </w:r>
      <w:r w:rsidR="00513844">
        <w:rPr>
          <w:sz w:val="20"/>
        </w:rPr>
        <w:t xml:space="preserve"> (2023)</w:t>
      </w:r>
      <w:r w:rsidR="00F979AF">
        <w:rPr>
          <w:sz w:val="20"/>
        </w:rPr>
        <w:t>.</w:t>
      </w:r>
      <w:r w:rsidRPr="006274CC">
        <w:rPr>
          <w:sz w:val="20"/>
        </w:rPr>
        <w:t xml:space="preserve"> </w:t>
      </w:r>
      <w:hyperlink r:id="rId8" w:history="1">
        <w:r w:rsidRPr="00513844">
          <w:rPr>
            <w:rStyle w:val="Hyperlink"/>
            <w:i/>
            <w:iCs/>
            <w:sz w:val="20"/>
          </w:rPr>
          <w:t>Final Report – Volume 6: Enabling autonomy and access</w:t>
        </w:r>
      </w:hyperlink>
      <w:r w:rsidR="00513844">
        <w:rPr>
          <w:sz w:val="20"/>
        </w:rPr>
        <w:t xml:space="preserve">, </w:t>
      </w:r>
      <w:r w:rsidR="00F979AF">
        <w:rPr>
          <w:sz w:val="20"/>
        </w:rPr>
        <w:t>(</w:t>
      </w:r>
      <w:r w:rsidRPr="00F979AF">
        <w:rPr>
          <w:sz w:val="20"/>
        </w:rPr>
        <w:t>Recommendation 6.41</w:t>
      </w:r>
      <w:r w:rsidR="00F979AF" w:rsidRPr="00F979AF">
        <w:rPr>
          <w:sz w:val="20"/>
        </w:rPr>
        <w:t xml:space="preserve">, </w:t>
      </w:r>
      <w:r w:rsidR="00F979AF" w:rsidRPr="004970BE">
        <w:rPr>
          <w:sz w:val="20"/>
        </w:rPr>
        <w:t xml:space="preserve">pp. </w:t>
      </w:r>
      <w:r w:rsidR="004970BE" w:rsidRPr="004970BE">
        <w:rPr>
          <w:sz w:val="20"/>
        </w:rPr>
        <w:t>37</w:t>
      </w:r>
      <w:r w:rsidR="00F979AF" w:rsidRPr="00F979AF">
        <w:rPr>
          <w:sz w:val="20"/>
        </w:rPr>
        <w:t>)</w:t>
      </w:r>
      <w:r w:rsidRPr="00F979AF">
        <w:rPr>
          <w:sz w:val="20"/>
        </w:rPr>
        <w:t>;</w:t>
      </w:r>
      <w:r w:rsidRPr="006274CC">
        <w:rPr>
          <w:sz w:val="20"/>
        </w:rPr>
        <w:t xml:space="preserve"> Australian Lawyers for Human Rights (201</w:t>
      </w:r>
      <w:r w:rsidR="00513844">
        <w:rPr>
          <w:sz w:val="20"/>
        </w:rPr>
        <w:t>8</w:t>
      </w:r>
      <w:r w:rsidRPr="006274CC">
        <w:rPr>
          <w:sz w:val="20"/>
        </w:rPr>
        <w:t>)</w:t>
      </w:r>
      <w:r w:rsidR="00F979AF">
        <w:rPr>
          <w:sz w:val="20"/>
        </w:rPr>
        <w:t>.</w:t>
      </w:r>
      <w:r w:rsidRPr="006274CC">
        <w:rPr>
          <w:sz w:val="20"/>
        </w:rPr>
        <w:t xml:space="preserve"> </w:t>
      </w:r>
      <w:hyperlink r:id="rId9" w:history="1">
        <w:r w:rsidRPr="00513844">
          <w:rPr>
            <w:rStyle w:val="Hyperlink"/>
            <w:i/>
            <w:iCs/>
            <w:sz w:val="20"/>
          </w:rPr>
          <w:t>Australian women and girls with disabilities still face forced sterilisation and abortions</w:t>
        </w:r>
      </w:hyperlink>
      <w:r w:rsidRPr="006274CC">
        <w:rPr>
          <w:sz w:val="20"/>
        </w:rPr>
        <w:t>; Women With Disabilities Australia (</w:t>
      </w:r>
      <w:r w:rsidR="00513844">
        <w:rPr>
          <w:sz w:val="20"/>
        </w:rPr>
        <w:t>2013</w:t>
      </w:r>
      <w:r w:rsidRPr="006274CC">
        <w:rPr>
          <w:sz w:val="20"/>
        </w:rPr>
        <w:t>)</w:t>
      </w:r>
      <w:r w:rsidR="00F979AF">
        <w:rPr>
          <w:sz w:val="20"/>
        </w:rPr>
        <w:t>.</w:t>
      </w:r>
      <w:r w:rsidRPr="006274CC">
        <w:rPr>
          <w:sz w:val="20"/>
        </w:rPr>
        <w:t xml:space="preserve"> </w:t>
      </w:r>
      <w:hyperlink r:id="rId10" w:history="1">
        <w:r w:rsidRPr="00513844">
          <w:rPr>
            <w:rStyle w:val="Hyperlink"/>
            <w:i/>
            <w:iCs/>
            <w:sz w:val="20"/>
          </w:rPr>
          <w:t>Dehumanised: The Forced Sterilisation of Women and Girls with Disabilities in Australia</w:t>
        </w:r>
      </w:hyperlink>
      <w:r w:rsidRPr="006274CC">
        <w:rPr>
          <w:sz w:val="20"/>
        </w:rPr>
        <w:t>.</w:t>
      </w:r>
    </w:p>
  </w:endnote>
  <w:endnote w:id="8">
    <w:p w14:paraId="12E31DBC" w14:textId="487A6B67"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United Nations Committee on the Elimination of Discrimination against Women (2018)</w:t>
      </w:r>
      <w:r w:rsidR="00F979AF">
        <w:rPr>
          <w:sz w:val="20"/>
          <w:lang w:val="en-US"/>
        </w:rPr>
        <w:t>.</w:t>
      </w:r>
      <w:r w:rsidRPr="006274CC">
        <w:rPr>
          <w:sz w:val="20"/>
          <w:lang w:val="en-US"/>
        </w:rPr>
        <w:t xml:space="preserve"> </w:t>
      </w:r>
      <w:hyperlink r:id="rId11" w:history="1">
        <w:r w:rsidRPr="00F979AF">
          <w:rPr>
            <w:rStyle w:val="Hyperlink"/>
            <w:i/>
            <w:iCs/>
            <w:sz w:val="20"/>
            <w:lang w:val="en-US"/>
          </w:rPr>
          <w:t>Concluding observations on the eighth periodic report of Australia</w:t>
        </w:r>
      </w:hyperlink>
      <w:r w:rsidRPr="006274CC">
        <w:rPr>
          <w:sz w:val="20"/>
          <w:lang w:val="en-US"/>
        </w:rPr>
        <w:t xml:space="preserve"> (pp. 6-7); United Nations Committee on the Rights of the Child (2019). </w:t>
      </w:r>
      <w:hyperlink r:id="rId12" w:history="1">
        <w:r w:rsidRPr="00F979AF">
          <w:rPr>
            <w:rStyle w:val="Hyperlink"/>
            <w:i/>
            <w:iCs/>
            <w:sz w:val="20"/>
            <w:lang w:val="en-US"/>
          </w:rPr>
          <w:t>Concluding observations on the combined fifth and sixth periodic reports of Australia</w:t>
        </w:r>
      </w:hyperlink>
      <w:r w:rsidRPr="006274CC">
        <w:rPr>
          <w:sz w:val="20"/>
          <w:lang w:val="en-US"/>
        </w:rPr>
        <w:t xml:space="preserve"> (pp. 7-8); United Nations Committee on the Rights of Persons with Disabilities (2019). </w:t>
      </w:r>
      <w:hyperlink r:id="rId13" w:history="1">
        <w:r w:rsidRPr="00F979AF">
          <w:rPr>
            <w:rStyle w:val="Hyperlink"/>
            <w:i/>
            <w:iCs/>
            <w:sz w:val="20"/>
            <w:lang w:val="en-US"/>
          </w:rPr>
          <w:t>Concluding observations on the combined second and third periodic reports of Australia</w:t>
        </w:r>
      </w:hyperlink>
      <w:r w:rsidRPr="006274CC">
        <w:rPr>
          <w:sz w:val="20"/>
          <w:lang w:val="en-US"/>
        </w:rPr>
        <w:t xml:space="preserve"> (pp. 9); United Nations Human Rights Council (2021). </w:t>
      </w:r>
      <w:hyperlink r:id="rId14" w:history="1">
        <w:r w:rsidRPr="00F979AF">
          <w:rPr>
            <w:rStyle w:val="Hyperlink"/>
            <w:i/>
            <w:iCs/>
            <w:sz w:val="20"/>
            <w:lang w:val="en-US"/>
          </w:rPr>
          <w:t>Report of the Working Group on the Universal Periodic Review</w:t>
        </w:r>
      </w:hyperlink>
      <w:r w:rsidRPr="006274CC">
        <w:rPr>
          <w:sz w:val="20"/>
          <w:lang w:val="en-US"/>
        </w:rPr>
        <w:t xml:space="preserve"> (pp. 21).</w:t>
      </w:r>
    </w:p>
  </w:endnote>
  <w:endnote w:id="9">
    <w:p w14:paraId="2DF87D01" w14:textId="1AFABF90"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 xml:space="preserve">United Nations (2006). </w:t>
      </w:r>
      <w:r w:rsidRPr="006274CC">
        <w:rPr>
          <w:i/>
          <w:iCs/>
          <w:sz w:val="20"/>
          <w:lang w:val="en-US"/>
        </w:rPr>
        <w:t>Convention on the Rights of Persons with Disabilities</w:t>
      </w:r>
      <w:r w:rsidR="00513844" w:rsidRPr="00513844">
        <w:rPr>
          <w:i/>
          <w:iCs/>
          <w:sz w:val="20"/>
          <w:lang w:val="en-US"/>
        </w:rPr>
        <w:t xml:space="preserve"> –</w:t>
      </w:r>
      <w:r w:rsidRPr="00513844">
        <w:rPr>
          <w:i/>
          <w:iCs/>
          <w:sz w:val="20"/>
          <w:lang w:val="en-US"/>
        </w:rPr>
        <w:t xml:space="preserve"> </w:t>
      </w:r>
      <w:hyperlink r:id="rId15" w:history="1">
        <w:r w:rsidRPr="00513844">
          <w:rPr>
            <w:rStyle w:val="Hyperlink"/>
            <w:i/>
            <w:iCs/>
            <w:sz w:val="20"/>
            <w:lang w:val="en-US"/>
          </w:rPr>
          <w:t>Article</w:t>
        </w:r>
        <w:r w:rsidR="00513844" w:rsidRPr="00513844">
          <w:rPr>
            <w:rStyle w:val="Hyperlink"/>
            <w:i/>
            <w:iCs/>
            <w:sz w:val="20"/>
            <w:lang w:val="en-US"/>
          </w:rPr>
          <w:t xml:space="preserve"> </w:t>
        </w:r>
        <w:r w:rsidRPr="00513844">
          <w:rPr>
            <w:rStyle w:val="Hyperlink"/>
            <w:i/>
            <w:iCs/>
            <w:sz w:val="20"/>
            <w:lang w:val="en-US"/>
          </w:rPr>
          <w:t>31</w:t>
        </w:r>
        <w:r w:rsidR="00513844" w:rsidRPr="00513844">
          <w:rPr>
            <w:rStyle w:val="Hyperlink"/>
            <w:i/>
            <w:iCs/>
            <w:sz w:val="20"/>
            <w:lang w:val="en-US"/>
          </w:rPr>
          <w:t>: Statistics and data collection</w:t>
        </w:r>
      </w:hyperlink>
      <w:r w:rsidRPr="006274CC">
        <w:rPr>
          <w:sz w:val="20"/>
          <w:lang w:val="en-US"/>
        </w:rPr>
        <w:t>.</w:t>
      </w:r>
    </w:p>
  </w:endnote>
  <w:endnote w:id="10">
    <w:p w14:paraId="30E062AF" w14:textId="7ABA6140"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 xml:space="preserve">Royal Commission into Violence, Abuse, Neglect and Exploitation of People with Disability </w:t>
      </w:r>
      <w:r w:rsidR="00513844">
        <w:rPr>
          <w:sz w:val="20"/>
        </w:rPr>
        <w:t>(2023).</w:t>
      </w:r>
      <w:r w:rsidR="00513844" w:rsidRPr="006274CC">
        <w:rPr>
          <w:sz w:val="20"/>
        </w:rPr>
        <w:t xml:space="preserve"> </w:t>
      </w:r>
      <w:hyperlink r:id="rId16" w:history="1">
        <w:r w:rsidR="00513844" w:rsidRPr="00513844">
          <w:rPr>
            <w:rStyle w:val="Hyperlink"/>
            <w:i/>
            <w:iCs/>
            <w:sz w:val="20"/>
          </w:rPr>
          <w:t>Final Report – Volume 6: Enabling autonomy and access</w:t>
        </w:r>
      </w:hyperlink>
      <w:r w:rsidR="00F979AF">
        <w:rPr>
          <w:sz w:val="20"/>
        </w:rPr>
        <w:t xml:space="preserve"> </w:t>
      </w:r>
      <w:r w:rsidR="004970BE">
        <w:rPr>
          <w:sz w:val="20"/>
        </w:rPr>
        <w:t>(</w:t>
      </w:r>
      <w:r w:rsidR="004970BE" w:rsidRPr="00F979AF">
        <w:rPr>
          <w:sz w:val="20"/>
        </w:rPr>
        <w:t xml:space="preserve">Recommendation 6.41, </w:t>
      </w:r>
      <w:r w:rsidR="004970BE" w:rsidRPr="004970BE">
        <w:rPr>
          <w:sz w:val="20"/>
        </w:rPr>
        <w:t>pp. 37</w:t>
      </w:r>
      <w:r w:rsidR="004970BE" w:rsidRPr="00F979AF">
        <w:rPr>
          <w:sz w:val="20"/>
        </w:rPr>
        <w:t>)</w:t>
      </w:r>
      <w:r w:rsidR="00F979AF">
        <w:rPr>
          <w:sz w:val="20"/>
        </w:rPr>
        <w:t>.</w:t>
      </w:r>
    </w:p>
  </w:endnote>
  <w:endnote w:id="11">
    <w:p w14:paraId="2B36ACD1" w14:textId="095715DA"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Australian Government.</w:t>
      </w:r>
      <w:r w:rsidR="00513844">
        <w:rPr>
          <w:sz w:val="20"/>
          <w:lang w:val="en-US"/>
        </w:rPr>
        <w:t xml:space="preserve"> (2022).</w:t>
      </w:r>
      <w:r w:rsidRPr="006274CC">
        <w:rPr>
          <w:sz w:val="20"/>
          <w:lang w:val="en-US"/>
        </w:rPr>
        <w:t xml:space="preserve"> </w:t>
      </w:r>
      <w:hyperlink r:id="rId17" w:history="1">
        <w:r w:rsidRPr="00513844">
          <w:rPr>
            <w:rStyle w:val="Hyperlink"/>
            <w:i/>
            <w:iCs/>
            <w:sz w:val="20"/>
            <w:lang w:val="en-US"/>
          </w:rPr>
          <w:t>National Plan to End Violence against Women and Children 2022–2032</w:t>
        </w:r>
      </w:hyperlink>
      <w:r w:rsidRPr="006274CC">
        <w:rPr>
          <w:sz w:val="20"/>
          <w:lang w:val="en-US"/>
        </w:rPr>
        <w:t>.</w:t>
      </w:r>
    </w:p>
  </w:endnote>
  <w:endnote w:id="12">
    <w:p w14:paraId="6B908E36" w14:textId="3782F45C"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13844" w:rsidRPr="006274CC">
        <w:rPr>
          <w:sz w:val="20"/>
        </w:rPr>
        <w:t xml:space="preserve">United Nations. (1979). </w:t>
      </w:r>
      <w:hyperlink r:id="rId18" w:history="1">
        <w:r w:rsidR="00513844" w:rsidRPr="00513844">
          <w:rPr>
            <w:rStyle w:val="Hyperlink"/>
            <w:i/>
            <w:iCs/>
            <w:sz w:val="20"/>
          </w:rPr>
          <w:t>Convention on the Elimination of All Forms of Discrimination Against Women – Articles 3 and 12</w:t>
        </w:r>
      </w:hyperlink>
      <w:r w:rsidR="00513844" w:rsidRPr="006274CC">
        <w:rPr>
          <w:i/>
          <w:iCs/>
          <w:sz w:val="20"/>
        </w:rPr>
        <w:t>.</w:t>
      </w:r>
    </w:p>
  </w:endnote>
  <w:endnote w:id="13">
    <w:p w14:paraId="23ACA7FA" w14:textId="39BF341C"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 xml:space="preserve">United Nations. (2006). </w:t>
      </w:r>
      <w:r w:rsidRPr="006274CC">
        <w:rPr>
          <w:i/>
          <w:iCs/>
          <w:sz w:val="20"/>
          <w:lang w:val="en-US"/>
        </w:rPr>
        <w:t>Convention on the Rights of Persons with Disabilities</w:t>
      </w:r>
      <w:r w:rsidR="00513844" w:rsidRPr="00513844">
        <w:rPr>
          <w:i/>
          <w:iCs/>
          <w:sz w:val="20"/>
          <w:lang w:val="en-US"/>
        </w:rPr>
        <w:t xml:space="preserve"> –</w:t>
      </w:r>
      <w:r w:rsidRPr="00513844">
        <w:rPr>
          <w:i/>
          <w:iCs/>
          <w:sz w:val="20"/>
          <w:lang w:val="en-US"/>
        </w:rPr>
        <w:t xml:space="preserve"> </w:t>
      </w:r>
      <w:hyperlink r:id="rId19" w:history="1">
        <w:r w:rsidRPr="00513844">
          <w:rPr>
            <w:rStyle w:val="Hyperlink"/>
            <w:i/>
            <w:iCs/>
            <w:sz w:val="20"/>
            <w:lang w:val="en-US"/>
          </w:rPr>
          <w:t>Article</w:t>
        </w:r>
        <w:r w:rsidR="00513844" w:rsidRPr="00513844">
          <w:rPr>
            <w:rStyle w:val="Hyperlink"/>
            <w:i/>
            <w:iCs/>
            <w:sz w:val="20"/>
            <w:lang w:val="en-US"/>
          </w:rPr>
          <w:t xml:space="preserve"> </w:t>
        </w:r>
        <w:r w:rsidRPr="00513844">
          <w:rPr>
            <w:rStyle w:val="Hyperlink"/>
            <w:i/>
            <w:iCs/>
            <w:sz w:val="20"/>
            <w:lang w:val="en-US"/>
          </w:rPr>
          <w:t>12</w:t>
        </w:r>
        <w:r w:rsidR="00513844" w:rsidRPr="00513844">
          <w:rPr>
            <w:rStyle w:val="Hyperlink"/>
            <w:i/>
            <w:iCs/>
            <w:sz w:val="20"/>
            <w:lang w:val="en-US"/>
          </w:rPr>
          <w:t>: Equal recognition before the law</w:t>
        </w:r>
      </w:hyperlink>
      <w:r w:rsidRPr="006274CC">
        <w:rPr>
          <w:sz w:val="20"/>
          <w:lang w:val="en-US"/>
        </w:rPr>
        <w:t>.</w:t>
      </w:r>
    </w:p>
  </w:endnote>
  <w:endnote w:id="14">
    <w:p w14:paraId="31B4ED20" w14:textId="18C00B87"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13844" w:rsidRPr="006274CC">
        <w:rPr>
          <w:sz w:val="20"/>
        </w:rPr>
        <w:t xml:space="preserve">United Nations. (1979). </w:t>
      </w:r>
      <w:hyperlink r:id="rId20" w:history="1">
        <w:r w:rsidR="00513844" w:rsidRPr="00513844">
          <w:rPr>
            <w:rStyle w:val="Hyperlink"/>
            <w:i/>
            <w:iCs/>
            <w:sz w:val="20"/>
          </w:rPr>
          <w:t xml:space="preserve">Convention on the Elimination of All Forms of Discrimination Against Women – Article </w:t>
        </w:r>
        <w:r w:rsidR="00513844">
          <w:rPr>
            <w:rStyle w:val="Hyperlink"/>
            <w:i/>
            <w:iCs/>
            <w:sz w:val="20"/>
          </w:rPr>
          <w:t>15</w:t>
        </w:r>
      </w:hyperlink>
      <w:r w:rsidR="00513844" w:rsidRPr="006274CC">
        <w:rPr>
          <w:i/>
          <w:iCs/>
          <w:sz w:val="20"/>
        </w:rPr>
        <w:t>.</w:t>
      </w:r>
    </w:p>
  </w:endnote>
  <w:endnote w:id="15">
    <w:p w14:paraId="04F9AD29" w14:textId="52385373"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The Organisation for Economic Co-operation and Development (2021)</w:t>
      </w:r>
      <w:r w:rsidR="00F979AF">
        <w:rPr>
          <w:sz w:val="20"/>
          <w:lang w:val="en-US"/>
        </w:rPr>
        <w:t>.</w:t>
      </w:r>
      <w:r w:rsidRPr="006274CC">
        <w:rPr>
          <w:sz w:val="20"/>
          <w:lang w:val="en-US"/>
        </w:rPr>
        <w:t> </w:t>
      </w:r>
      <w:hyperlink r:id="rId21" w:history="1">
        <w:r w:rsidRPr="00F979AF">
          <w:rPr>
            <w:rStyle w:val="Hyperlink"/>
            <w:i/>
            <w:iCs/>
            <w:sz w:val="20"/>
            <w:lang w:val="en-US"/>
          </w:rPr>
          <w:t>OECD Framework and Good Practice Principles for People-Centred Justice</w:t>
        </w:r>
      </w:hyperlink>
      <w:r w:rsidR="00F979AF">
        <w:rPr>
          <w:sz w:val="20"/>
          <w:lang w:val="en-US"/>
        </w:rPr>
        <w:t>.</w:t>
      </w:r>
    </w:p>
  </w:endnote>
  <w:endnote w:id="16">
    <w:p w14:paraId="1BA6AD4E" w14:textId="5B31CDC9" w:rsidR="00923D23" w:rsidRPr="006274CC" w:rsidRDefault="00923D23" w:rsidP="00F979AF">
      <w:pPr>
        <w:pStyle w:val="EndnoteText"/>
        <w:rPr>
          <w:sz w:val="20"/>
          <w:lang w:val="en-US"/>
        </w:rPr>
      </w:pPr>
      <w:r w:rsidRPr="006274CC">
        <w:rPr>
          <w:rStyle w:val="EndnoteReference"/>
          <w:sz w:val="20"/>
        </w:rPr>
        <w:endnoteRef/>
      </w:r>
      <w:r w:rsidRPr="006274CC">
        <w:rPr>
          <w:sz w:val="20"/>
        </w:rPr>
        <w:t xml:space="preserve"> </w:t>
      </w:r>
      <w:r w:rsidR="00F979AF" w:rsidRPr="006274CC">
        <w:rPr>
          <w:sz w:val="20"/>
          <w:lang w:val="en-US"/>
        </w:rPr>
        <w:t xml:space="preserve">Royal Commission into Violence, Abuse, Neglect and Exploitation of People with Disability </w:t>
      </w:r>
      <w:r w:rsidR="00F979AF">
        <w:rPr>
          <w:sz w:val="20"/>
        </w:rPr>
        <w:t>(2023).</w:t>
      </w:r>
      <w:r w:rsidR="00F979AF" w:rsidRPr="006274CC">
        <w:rPr>
          <w:sz w:val="20"/>
        </w:rPr>
        <w:t xml:space="preserve"> </w:t>
      </w:r>
      <w:hyperlink r:id="rId22" w:history="1">
        <w:r w:rsidR="00F979AF" w:rsidRPr="00513844">
          <w:rPr>
            <w:rStyle w:val="Hyperlink"/>
            <w:i/>
            <w:iCs/>
            <w:sz w:val="20"/>
          </w:rPr>
          <w:t>Final Report – Volume 6: Enabling autonomy and access</w:t>
        </w:r>
      </w:hyperlink>
      <w:r w:rsidR="00F979AF">
        <w:rPr>
          <w:sz w:val="20"/>
        </w:rPr>
        <w:t>.</w:t>
      </w:r>
    </w:p>
  </w:endnote>
  <w:endnote w:id="17">
    <w:p w14:paraId="64534EB8" w14:textId="540ECA4A"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F979AF" w:rsidRPr="006274CC">
        <w:rPr>
          <w:sz w:val="20"/>
        </w:rPr>
        <w:t>Women With Disabilities Australia (</w:t>
      </w:r>
      <w:r w:rsidR="00F979AF">
        <w:rPr>
          <w:sz w:val="20"/>
        </w:rPr>
        <w:t>2013</w:t>
      </w:r>
      <w:r w:rsidR="00F979AF" w:rsidRPr="006274CC">
        <w:rPr>
          <w:sz w:val="20"/>
        </w:rPr>
        <w:t>)</w:t>
      </w:r>
      <w:r w:rsidR="00F979AF">
        <w:rPr>
          <w:sz w:val="20"/>
        </w:rPr>
        <w:t>.</w:t>
      </w:r>
      <w:r w:rsidR="00F979AF" w:rsidRPr="006274CC">
        <w:rPr>
          <w:sz w:val="20"/>
        </w:rPr>
        <w:t xml:space="preserve"> </w:t>
      </w:r>
      <w:hyperlink r:id="rId23" w:history="1">
        <w:r w:rsidR="00F979AF" w:rsidRPr="00513844">
          <w:rPr>
            <w:rStyle w:val="Hyperlink"/>
            <w:i/>
            <w:iCs/>
            <w:sz w:val="20"/>
          </w:rPr>
          <w:t>Dehumanised: The Forced Sterilisation of Women and Girls with Disabilities in Australia</w:t>
        </w:r>
      </w:hyperlink>
      <w:r w:rsidRPr="006274CC">
        <w:rPr>
          <w:sz w:val="20"/>
          <w:lang w:val="en-US"/>
        </w:rPr>
        <w:t>; Office of the Public Advocate</w:t>
      </w:r>
      <w:r w:rsidR="00F979AF">
        <w:rPr>
          <w:sz w:val="20"/>
          <w:lang w:val="en-US"/>
        </w:rPr>
        <w:t xml:space="preserve">: </w:t>
      </w:r>
      <w:r w:rsidRPr="006274CC">
        <w:rPr>
          <w:sz w:val="20"/>
          <w:lang w:val="en-US"/>
        </w:rPr>
        <w:t>Victoria</w:t>
      </w:r>
      <w:r w:rsidR="00F979AF">
        <w:rPr>
          <w:sz w:val="20"/>
          <w:lang w:val="en-US"/>
        </w:rPr>
        <w:t xml:space="preserve"> (2022)</w:t>
      </w:r>
      <w:r w:rsidRPr="006274CC">
        <w:rPr>
          <w:sz w:val="20"/>
          <w:lang w:val="en-US"/>
        </w:rPr>
        <w:t xml:space="preserve">. </w:t>
      </w:r>
      <w:hyperlink r:id="rId24" w:history="1">
        <w:r w:rsidRPr="00F979AF">
          <w:rPr>
            <w:rStyle w:val="Hyperlink"/>
            <w:i/>
            <w:iCs/>
            <w:sz w:val="20"/>
            <w:lang w:val="en-US"/>
          </w:rPr>
          <w:t>Submission to the DRC: Parents and children with disability</w:t>
        </w:r>
      </w:hyperlink>
      <w:r w:rsidRPr="006274CC">
        <w:rPr>
          <w:sz w:val="20"/>
          <w:lang w:val="en-US"/>
        </w:rPr>
        <w:t>.</w:t>
      </w:r>
    </w:p>
  </w:endnote>
  <w:endnote w:id="18">
    <w:p w14:paraId="6AFFCA53" w14:textId="07FAB576"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 xml:space="preserve">Women With Disabilities Australia (2024). </w:t>
      </w:r>
      <w:hyperlink r:id="rId25" w:history="1">
        <w:r w:rsidRPr="00577F59">
          <w:rPr>
            <w:rStyle w:val="Hyperlink"/>
            <w:i/>
            <w:iCs/>
            <w:sz w:val="20"/>
            <w:lang w:val="en-US"/>
          </w:rPr>
          <w:t>Redressing reproductive violence against women with disability: A briefing paper</w:t>
        </w:r>
      </w:hyperlink>
      <w:r w:rsidRPr="006274CC">
        <w:rPr>
          <w:sz w:val="20"/>
          <w:lang w:val="en-US"/>
        </w:rPr>
        <w:t xml:space="preserve">; Law Society Journal (2022). </w:t>
      </w:r>
      <w:hyperlink r:id="rId26" w:history="1">
        <w:r w:rsidRPr="00577F59">
          <w:rPr>
            <w:rStyle w:val="Hyperlink"/>
            <w:i/>
            <w:iCs/>
            <w:sz w:val="20"/>
            <w:lang w:val="en-US"/>
          </w:rPr>
          <w:t>State-sanctioned torture: Women with disability continue to suffer forced sterilisation</w:t>
        </w:r>
      </w:hyperlink>
      <w:r w:rsidRPr="006274CC">
        <w:rPr>
          <w:sz w:val="20"/>
          <w:lang w:val="en-US"/>
        </w:rPr>
        <w:t xml:space="preserve">; MSI Australia (2022). </w:t>
      </w:r>
      <w:hyperlink r:id="rId27" w:history="1">
        <w:r w:rsidRPr="00577F59">
          <w:rPr>
            <w:rStyle w:val="Hyperlink"/>
            <w:i/>
            <w:iCs/>
            <w:sz w:val="20"/>
            <w:lang w:val="en-US"/>
          </w:rPr>
          <w:t>Apology for forced medical procedures linked to colonisation and racism in Australia</w:t>
        </w:r>
      </w:hyperlink>
      <w:r w:rsidRPr="006274CC">
        <w:rPr>
          <w:sz w:val="20"/>
          <w:lang w:val="en-US"/>
        </w:rPr>
        <w:t>.</w:t>
      </w:r>
    </w:p>
  </w:endnote>
  <w:endnote w:id="19">
    <w:p w14:paraId="7201B80D" w14:textId="27048AD4"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77F59" w:rsidRPr="006274CC">
        <w:rPr>
          <w:sz w:val="20"/>
          <w:lang w:val="en-US"/>
        </w:rPr>
        <w:t xml:space="preserve">Royal Commission into Violence, Abuse, Neglect and Exploitation of People with Disability </w:t>
      </w:r>
      <w:r w:rsidR="00577F59">
        <w:rPr>
          <w:sz w:val="20"/>
        </w:rPr>
        <w:t>(2023).</w:t>
      </w:r>
      <w:r w:rsidR="00577F59" w:rsidRPr="006274CC">
        <w:rPr>
          <w:sz w:val="20"/>
        </w:rPr>
        <w:t xml:space="preserve"> </w:t>
      </w:r>
      <w:hyperlink r:id="rId28" w:history="1">
        <w:r w:rsidR="00577F59" w:rsidRPr="00577F59">
          <w:rPr>
            <w:rStyle w:val="Hyperlink"/>
            <w:i/>
            <w:iCs/>
            <w:sz w:val="20"/>
          </w:rPr>
          <w:t>Final Report – Volume 9: First Nations people with disability</w:t>
        </w:r>
      </w:hyperlink>
      <w:r w:rsidR="00577F59">
        <w:rPr>
          <w:sz w:val="20"/>
        </w:rPr>
        <w:t>.</w:t>
      </w:r>
    </w:p>
  </w:endnote>
  <w:endnote w:id="20">
    <w:p w14:paraId="49C49F9B" w14:textId="744EB47D"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77F59" w:rsidRPr="006274CC">
        <w:rPr>
          <w:sz w:val="20"/>
          <w:lang w:val="en-US"/>
        </w:rPr>
        <w:t xml:space="preserve">Royal Commission into Violence, Abuse, Neglect and Exploitation of People with Disability </w:t>
      </w:r>
      <w:r w:rsidR="00577F59">
        <w:rPr>
          <w:sz w:val="20"/>
        </w:rPr>
        <w:t>(2023).</w:t>
      </w:r>
      <w:r w:rsidR="00577F59" w:rsidRPr="006274CC">
        <w:rPr>
          <w:sz w:val="20"/>
        </w:rPr>
        <w:t xml:space="preserve"> </w:t>
      </w:r>
      <w:hyperlink r:id="rId29" w:history="1">
        <w:r w:rsidR="00577F59" w:rsidRPr="00513844">
          <w:rPr>
            <w:rStyle w:val="Hyperlink"/>
            <w:i/>
            <w:iCs/>
            <w:sz w:val="20"/>
          </w:rPr>
          <w:t>Final Report – Volume 6: Enabling autonomy and access</w:t>
        </w:r>
      </w:hyperlink>
      <w:r w:rsidR="00577F59">
        <w:rPr>
          <w:sz w:val="20"/>
        </w:rPr>
        <w:t>.</w:t>
      </w:r>
    </w:p>
  </w:endnote>
  <w:endnote w:id="21">
    <w:p w14:paraId="172BD86D" w14:textId="40C1CB24"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77F59" w:rsidRPr="006274CC">
        <w:rPr>
          <w:sz w:val="20"/>
        </w:rPr>
        <w:t>Women With Disabilities Australia (</w:t>
      </w:r>
      <w:r w:rsidR="00577F59">
        <w:rPr>
          <w:sz w:val="20"/>
        </w:rPr>
        <w:t>2013</w:t>
      </w:r>
      <w:r w:rsidR="00577F59" w:rsidRPr="006274CC">
        <w:rPr>
          <w:sz w:val="20"/>
        </w:rPr>
        <w:t>)</w:t>
      </w:r>
      <w:r w:rsidR="00577F59">
        <w:rPr>
          <w:sz w:val="20"/>
        </w:rPr>
        <w:t>.</w:t>
      </w:r>
      <w:r w:rsidR="00577F59" w:rsidRPr="006274CC">
        <w:rPr>
          <w:sz w:val="20"/>
        </w:rPr>
        <w:t xml:space="preserve"> </w:t>
      </w:r>
      <w:hyperlink r:id="rId30" w:history="1">
        <w:r w:rsidR="00577F59" w:rsidRPr="00513844">
          <w:rPr>
            <w:rStyle w:val="Hyperlink"/>
            <w:i/>
            <w:iCs/>
            <w:sz w:val="20"/>
          </w:rPr>
          <w:t>Dehumanised: The Forced Sterilisation of Women and Girls with Disabilities in Australia</w:t>
        </w:r>
      </w:hyperlink>
      <w:r w:rsidR="00577F59">
        <w:rPr>
          <w:i/>
          <w:iCs/>
          <w:sz w:val="20"/>
        </w:rPr>
        <w:t>.</w:t>
      </w:r>
    </w:p>
  </w:endnote>
  <w:endnote w:id="22">
    <w:p w14:paraId="081A7C48" w14:textId="22F4813A" w:rsidR="00923D23" w:rsidRPr="00577F59" w:rsidRDefault="00923D23" w:rsidP="00923D23">
      <w:pPr>
        <w:pStyle w:val="EndnoteText"/>
        <w:rPr>
          <w:sz w:val="20"/>
          <w:lang w:val="en-US"/>
        </w:rPr>
      </w:pPr>
      <w:r w:rsidRPr="006274CC">
        <w:rPr>
          <w:rStyle w:val="EndnoteReference"/>
          <w:sz w:val="20"/>
        </w:rPr>
        <w:endnoteRef/>
      </w:r>
      <w:r w:rsidRPr="006274CC">
        <w:rPr>
          <w:sz w:val="20"/>
        </w:rPr>
        <w:t xml:space="preserve"> </w:t>
      </w:r>
      <w:r w:rsidR="00577F59" w:rsidRPr="006274CC">
        <w:rPr>
          <w:sz w:val="20"/>
          <w:lang w:val="en-US"/>
        </w:rPr>
        <w:t xml:space="preserve">Law Society Journal (2022). </w:t>
      </w:r>
      <w:hyperlink r:id="rId31" w:history="1">
        <w:r w:rsidR="00577F59" w:rsidRPr="00577F59">
          <w:rPr>
            <w:rStyle w:val="Hyperlink"/>
            <w:i/>
            <w:iCs/>
            <w:sz w:val="20"/>
            <w:lang w:val="en-US"/>
          </w:rPr>
          <w:t>State-sanctioned torture: Women with disability continue to suffer forced sterilisation</w:t>
        </w:r>
      </w:hyperlink>
      <w:r w:rsidRPr="006274CC">
        <w:rPr>
          <w:sz w:val="20"/>
          <w:lang w:val="en-US"/>
        </w:rPr>
        <w:t xml:space="preserve">; </w:t>
      </w:r>
      <w:r w:rsidR="00577F59" w:rsidRPr="006274CC">
        <w:rPr>
          <w:sz w:val="20"/>
          <w:lang w:val="en-US"/>
        </w:rPr>
        <w:t xml:space="preserve">MSI Australia (2022). </w:t>
      </w:r>
      <w:hyperlink r:id="rId32" w:history="1">
        <w:r w:rsidR="00577F59" w:rsidRPr="00577F59">
          <w:rPr>
            <w:rStyle w:val="Hyperlink"/>
            <w:i/>
            <w:iCs/>
            <w:sz w:val="20"/>
            <w:lang w:val="en-US"/>
          </w:rPr>
          <w:t>Apology for forced medical procedures linked to colonisation and racism in Australia</w:t>
        </w:r>
      </w:hyperlink>
      <w:r w:rsidR="00577F59">
        <w:rPr>
          <w:sz w:val="20"/>
          <w:lang w:val="en-US"/>
        </w:rPr>
        <w:t>.</w:t>
      </w:r>
    </w:p>
  </w:endnote>
  <w:endnote w:id="23">
    <w:p w14:paraId="002F8E24" w14:textId="7EC7BA67" w:rsidR="00923D23" w:rsidRPr="00555530" w:rsidRDefault="00923D23" w:rsidP="00923D23">
      <w:pPr>
        <w:pStyle w:val="EndnoteText"/>
        <w:rPr>
          <w:sz w:val="20"/>
          <w:lang w:val="en-US"/>
        </w:rPr>
      </w:pPr>
      <w:r w:rsidRPr="006274CC">
        <w:rPr>
          <w:rStyle w:val="EndnoteReference"/>
          <w:sz w:val="20"/>
        </w:rPr>
        <w:endnoteRef/>
      </w:r>
      <w:r w:rsidRPr="006274CC">
        <w:rPr>
          <w:sz w:val="20"/>
        </w:rPr>
        <w:t xml:space="preserve"> </w:t>
      </w:r>
      <w:r w:rsidR="00577F59" w:rsidRPr="006274CC">
        <w:rPr>
          <w:sz w:val="20"/>
        </w:rPr>
        <w:t>United Nations (2006)</w:t>
      </w:r>
      <w:r w:rsidR="00577F59">
        <w:rPr>
          <w:sz w:val="20"/>
        </w:rPr>
        <w:t>.</w:t>
      </w:r>
      <w:r w:rsidR="00577F59" w:rsidRPr="006274CC">
        <w:rPr>
          <w:sz w:val="20"/>
        </w:rPr>
        <w:t xml:space="preserve"> </w:t>
      </w:r>
      <w:hyperlink r:id="rId33" w:history="1">
        <w:r w:rsidR="00577F59" w:rsidRPr="00555530">
          <w:rPr>
            <w:rStyle w:val="Hyperlink"/>
            <w:i/>
            <w:iCs/>
            <w:sz w:val="20"/>
          </w:rPr>
          <w:t>Convention on the Rights of Persons with Disabilities</w:t>
        </w:r>
      </w:hyperlink>
      <w:r w:rsidR="00555530">
        <w:rPr>
          <w:sz w:val="20"/>
        </w:rPr>
        <w:t>.</w:t>
      </w:r>
    </w:p>
  </w:endnote>
  <w:endnote w:id="24">
    <w:p w14:paraId="3B6CAB2F" w14:textId="46EA2F7B"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55530" w:rsidRPr="006274CC">
        <w:rPr>
          <w:sz w:val="20"/>
        </w:rPr>
        <w:t>United Nations (1979)</w:t>
      </w:r>
      <w:r w:rsidR="00555530">
        <w:rPr>
          <w:sz w:val="20"/>
        </w:rPr>
        <w:t>.</w:t>
      </w:r>
      <w:r w:rsidR="00555530" w:rsidRPr="006274CC">
        <w:rPr>
          <w:sz w:val="20"/>
        </w:rPr>
        <w:t xml:space="preserve"> </w:t>
      </w:r>
      <w:hyperlink r:id="rId34" w:history="1">
        <w:r w:rsidR="00555530" w:rsidRPr="00513844">
          <w:rPr>
            <w:rStyle w:val="Hyperlink"/>
            <w:i/>
            <w:iCs/>
            <w:sz w:val="20"/>
          </w:rPr>
          <w:t>Convention on the Elimination of All Forms of Discrimination Against Women</w:t>
        </w:r>
      </w:hyperlink>
      <w:r w:rsidRPr="006274CC">
        <w:rPr>
          <w:sz w:val="20"/>
          <w:lang w:val="en-US"/>
        </w:rPr>
        <w:t>.</w:t>
      </w:r>
    </w:p>
  </w:endnote>
  <w:endnote w:id="25">
    <w:p w14:paraId="52EFF514" w14:textId="1B8850CC"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55530" w:rsidRPr="006274CC">
        <w:rPr>
          <w:sz w:val="20"/>
        </w:rPr>
        <w:t>United Nations General Assembly</w:t>
      </w:r>
      <w:r w:rsidR="00555530">
        <w:rPr>
          <w:sz w:val="20"/>
        </w:rPr>
        <w:t xml:space="preserve"> (1966).</w:t>
      </w:r>
      <w:r w:rsidR="00555530" w:rsidRPr="006274CC">
        <w:rPr>
          <w:sz w:val="20"/>
        </w:rPr>
        <w:t xml:space="preserve"> </w:t>
      </w:r>
      <w:hyperlink r:id="rId35" w:history="1">
        <w:r w:rsidR="00555530" w:rsidRPr="00513844">
          <w:rPr>
            <w:rStyle w:val="Hyperlink"/>
            <w:i/>
            <w:iCs/>
            <w:sz w:val="20"/>
          </w:rPr>
          <w:t>International Covenant on Civil and Political Rights</w:t>
        </w:r>
      </w:hyperlink>
      <w:r w:rsidRPr="006274CC">
        <w:rPr>
          <w:sz w:val="20"/>
          <w:lang w:val="en-US"/>
        </w:rPr>
        <w:t>.</w:t>
      </w:r>
    </w:p>
  </w:endnote>
  <w:endnote w:id="26">
    <w:p w14:paraId="5A99E1AC" w14:textId="5C25E6F0" w:rsidR="00923D23" w:rsidRPr="006274CC" w:rsidRDefault="00923D23" w:rsidP="00923D23">
      <w:pPr>
        <w:pStyle w:val="EndnoteText"/>
        <w:rPr>
          <w:sz w:val="20"/>
          <w:lang w:val="en-US"/>
        </w:rPr>
      </w:pPr>
      <w:r w:rsidRPr="006274CC">
        <w:rPr>
          <w:rStyle w:val="EndnoteReference"/>
          <w:sz w:val="20"/>
        </w:rPr>
        <w:endnoteRef/>
      </w:r>
      <w:r w:rsidRPr="006274CC">
        <w:rPr>
          <w:sz w:val="20"/>
        </w:rPr>
        <w:t xml:space="preserve"> </w:t>
      </w:r>
      <w:r w:rsidR="00555530" w:rsidRPr="006274CC">
        <w:rPr>
          <w:sz w:val="20"/>
        </w:rPr>
        <w:t>United Nations General Assembly</w:t>
      </w:r>
      <w:r w:rsidR="00555530">
        <w:rPr>
          <w:sz w:val="20"/>
        </w:rPr>
        <w:t xml:space="preserve"> (1966).</w:t>
      </w:r>
      <w:r w:rsidR="00555530" w:rsidRPr="006274CC">
        <w:rPr>
          <w:sz w:val="20"/>
        </w:rPr>
        <w:t xml:space="preserve"> </w:t>
      </w:r>
      <w:hyperlink r:id="rId36" w:history="1">
        <w:r w:rsidR="00555530" w:rsidRPr="00513844">
          <w:rPr>
            <w:rStyle w:val="Hyperlink"/>
            <w:i/>
            <w:iCs/>
            <w:sz w:val="20"/>
          </w:rPr>
          <w:t>International Covenant on Economic, Social and Cultural Rights</w:t>
        </w:r>
      </w:hyperlink>
      <w:r w:rsidRPr="006274CC">
        <w:rPr>
          <w:sz w:val="20"/>
          <w:lang w:val="en-US"/>
        </w:rPr>
        <w:t>.</w:t>
      </w:r>
    </w:p>
  </w:endnote>
  <w:endnote w:id="27">
    <w:p w14:paraId="7803B9C8" w14:textId="0222D561" w:rsidR="008663F2" w:rsidRPr="006274CC" w:rsidRDefault="008663F2" w:rsidP="008663F2">
      <w:pPr>
        <w:pStyle w:val="EndnoteText"/>
        <w:rPr>
          <w:sz w:val="20"/>
          <w:lang w:val="en-US"/>
        </w:rPr>
      </w:pPr>
      <w:r w:rsidRPr="006274CC">
        <w:rPr>
          <w:rStyle w:val="EndnoteReference"/>
          <w:sz w:val="20"/>
        </w:rPr>
        <w:endnoteRef/>
      </w:r>
      <w:r w:rsidRPr="006274CC">
        <w:rPr>
          <w:sz w:val="20"/>
        </w:rPr>
        <w:t xml:space="preserve"> </w:t>
      </w:r>
      <w:r w:rsidRPr="006274CC">
        <w:rPr>
          <w:sz w:val="20"/>
          <w:lang w:val="en-US"/>
        </w:rPr>
        <w:t xml:space="preserve">Australian Institute of Health and Welfare. (n.d.). </w:t>
      </w:r>
      <w:hyperlink r:id="rId37" w:history="1">
        <w:r w:rsidRPr="00555530">
          <w:rPr>
            <w:rStyle w:val="Hyperlink"/>
            <w:i/>
            <w:iCs/>
            <w:sz w:val="20"/>
            <w:lang w:val="en-US"/>
          </w:rPr>
          <w:t>The Five Safes framework</w:t>
        </w:r>
      </w:hyperlink>
      <w:r w:rsidRPr="006274CC">
        <w:rPr>
          <w:sz w:val="20"/>
          <w:lang w:val="en-US"/>
        </w:rPr>
        <w:t>. Australian Government.</w:t>
      </w:r>
    </w:p>
  </w:endnote>
  <w:endnote w:id="28">
    <w:p w14:paraId="41FB2864" w14:textId="3DDA9E3B" w:rsidR="008663F2" w:rsidRPr="00AC008E" w:rsidRDefault="008663F2" w:rsidP="008663F2">
      <w:pPr>
        <w:pStyle w:val="EndnoteText"/>
        <w:rPr>
          <w:lang w:val="en-US"/>
        </w:rPr>
      </w:pPr>
      <w:r w:rsidRPr="006274CC">
        <w:rPr>
          <w:rStyle w:val="EndnoteReference"/>
          <w:sz w:val="20"/>
        </w:rPr>
        <w:endnoteRef/>
      </w:r>
      <w:r w:rsidRPr="006274CC">
        <w:rPr>
          <w:sz w:val="20"/>
        </w:rPr>
        <w:t xml:space="preserve"> </w:t>
      </w:r>
      <w:r w:rsidRPr="006274CC">
        <w:rPr>
          <w:sz w:val="20"/>
          <w:lang w:val="en-US"/>
        </w:rPr>
        <w:t xml:space="preserve">United Nations. (2006). </w:t>
      </w:r>
      <w:r w:rsidRPr="006274CC">
        <w:rPr>
          <w:i/>
          <w:iCs/>
          <w:sz w:val="20"/>
          <w:lang w:val="en-US"/>
        </w:rPr>
        <w:t>Convention on the Rights of Persons with Disabilitie</w:t>
      </w:r>
      <w:r w:rsidR="00555530">
        <w:rPr>
          <w:i/>
          <w:iCs/>
          <w:sz w:val="20"/>
          <w:lang w:val="en-US"/>
        </w:rPr>
        <w:t>s</w:t>
      </w:r>
      <w:r w:rsidR="00555530" w:rsidRPr="00555530">
        <w:rPr>
          <w:i/>
          <w:iCs/>
          <w:sz w:val="20"/>
          <w:lang w:val="en-US"/>
        </w:rPr>
        <w:t xml:space="preserve"> –</w:t>
      </w:r>
      <w:r w:rsidRPr="00555530">
        <w:rPr>
          <w:i/>
          <w:iCs/>
          <w:sz w:val="20"/>
          <w:lang w:val="en-US"/>
        </w:rPr>
        <w:t xml:space="preserve"> </w:t>
      </w:r>
      <w:hyperlink r:id="rId38" w:history="1">
        <w:r w:rsidRPr="00555530">
          <w:rPr>
            <w:rStyle w:val="Hyperlink"/>
            <w:i/>
            <w:iCs/>
            <w:sz w:val="20"/>
            <w:lang w:val="en-US"/>
          </w:rPr>
          <w:t>Article 31</w:t>
        </w:r>
        <w:r w:rsidR="00555530" w:rsidRPr="00555530">
          <w:rPr>
            <w:rStyle w:val="Hyperlink"/>
            <w:i/>
            <w:iCs/>
            <w:sz w:val="20"/>
            <w:lang w:val="en-US"/>
          </w:rPr>
          <w:t>: Statistics and data collection</w:t>
        </w:r>
      </w:hyperlink>
      <w:r w:rsidRPr="006274CC">
        <w:rPr>
          <w:sz w:val="20"/>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yriad Pro">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761A" w14:textId="77777777" w:rsidR="003371FC" w:rsidRDefault="003371FC" w:rsidP="00965614">
      <w:r>
        <w:separator/>
      </w:r>
    </w:p>
  </w:footnote>
  <w:footnote w:type="continuationSeparator" w:id="0">
    <w:p w14:paraId="7B4B2C8E" w14:textId="77777777" w:rsidR="003371FC" w:rsidRDefault="003371FC" w:rsidP="00965614">
      <w:r>
        <w:continuationSeparator/>
      </w:r>
    </w:p>
  </w:footnote>
  <w:footnote w:type="continuationNotice" w:id="1">
    <w:p w14:paraId="2CF581CA" w14:textId="77777777" w:rsidR="003371FC" w:rsidRDefault="003371FC" w:rsidP="009656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14AC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visibility:visible;mso-wrap-style:square" o:bullet="t">
        <v:imagedata r:id="rId1" o:title="Globe Australia"/>
      </v:shape>
    </w:pict>
  </w:numPicBullet>
  <w:abstractNum w:abstractNumId="0" w15:restartNumberingAfterBreak="0">
    <w:nsid w:val="0170507D"/>
    <w:multiLevelType w:val="hybridMultilevel"/>
    <w:tmpl w:val="366C2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63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44173"/>
    <w:multiLevelType w:val="hybridMultilevel"/>
    <w:tmpl w:val="97B0DC08"/>
    <w:lvl w:ilvl="0" w:tplc="D4AA12A0">
      <w:start w:val="1"/>
      <w:numFmt w:val="decimal"/>
      <w:lvlText w:val="%1."/>
      <w:lvlJc w:val="left"/>
      <w:pPr>
        <w:ind w:left="360" w:hanging="360"/>
      </w:pPr>
      <w:rPr>
        <w:rFonts w:hint="default"/>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EA138C"/>
    <w:multiLevelType w:val="hybridMultilevel"/>
    <w:tmpl w:val="B212100A"/>
    <w:lvl w:ilvl="0" w:tplc="A90493EE">
      <w:start w:val="1"/>
      <w:numFmt w:val="bullet"/>
      <w:lvlText w:val=""/>
      <w:lvlPicBulletId w:val="0"/>
      <w:lvlJc w:val="left"/>
      <w:pPr>
        <w:ind w:left="360" w:hanging="360"/>
      </w:pPr>
      <w:rPr>
        <w:rFonts w:ascii="Symbol" w:hAnsi="Symbol" w:hint="default"/>
        <w:color w:val="auto"/>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5A6DAF"/>
    <w:multiLevelType w:val="multilevel"/>
    <w:tmpl w:val="23CA5D0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4930905"/>
    <w:multiLevelType w:val="hybridMultilevel"/>
    <w:tmpl w:val="719A8ABE"/>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CD2E9C"/>
    <w:multiLevelType w:val="hybridMultilevel"/>
    <w:tmpl w:val="9AF639E6"/>
    <w:lvl w:ilvl="0" w:tplc="0C090001">
      <w:start w:val="1"/>
      <w:numFmt w:val="bullet"/>
      <w:lvlText w:val=""/>
      <w:lvlJc w:val="left"/>
      <w:pPr>
        <w:ind w:left="720" w:hanging="360"/>
      </w:pPr>
      <w:rPr>
        <w:rFonts w:ascii="Symbol" w:hAnsi="Symbol" w:hint="default"/>
        <w:color w:val="40404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71702"/>
    <w:multiLevelType w:val="hybridMultilevel"/>
    <w:tmpl w:val="AF583EE2"/>
    <w:lvl w:ilvl="0" w:tplc="15CC7FA0">
      <w:start w:val="5"/>
      <w:numFmt w:val="bullet"/>
      <w:lvlText w:val=""/>
      <w:lvlJc w:val="left"/>
      <w:pPr>
        <w:ind w:left="720" w:hanging="360"/>
      </w:pPr>
      <w:rPr>
        <w:rFonts w:ascii="Symbol" w:eastAsia="Open Sans"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33FC3"/>
    <w:multiLevelType w:val="multilevel"/>
    <w:tmpl w:val="6C9AC8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8B112B"/>
    <w:multiLevelType w:val="hybridMultilevel"/>
    <w:tmpl w:val="0E927CB4"/>
    <w:lvl w:ilvl="0" w:tplc="780A975C">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80B83"/>
    <w:multiLevelType w:val="hybridMultilevel"/>
    <w:tmpl w:val="C7F2248A"/>
    <w:lvl w:ilvl="0" w:tplc="5040F9A2">
      <w:start w:val="5"/>
      <w:numFmt w:val="bullet"/>
      <w:lvlText w:val="-"/>
      <w:lvlJc w:val="left"/>
      <w:pPr>
        <w:ind w:left="720" w:hanging="360"/>
      </w:pPr>
      <w:rPr>
        <w:rFonts w:ascii="Open Sans" w:eastAsiaTheme="minorEastAsia" w:hAnsi="Open Sans" w:cs="Open Sans" w:hint="default"/>
        <w:color w:val="40404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895F77"/>
    <w:multiLevelType w:val="multilevel"/>
    <w:tmpl w:val="2116C8C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61178B"/>
    <w:multiLevelType w:val="hybridMultilevel"/>
    <w:tmpl w:val="C76C2458"/>
    <w:lvl w:ilvl="0" w:tplc="A2CE2030">
      <w:start w:val="1"/>
      <w:numFmt w:val="decimal"/>
      <w:pStyle w:val="Tablelistnumbers"/>
      <w:lvlText w:val="%1."/>
      <w:lvlJc w:val="left"/>
      <w:pPr>
        <w:ind w:left="360" w:hanging="360"/>
      </w:pPr>
      <w:rPr>
        <w:b w:val="0"/>
        <w:bCs w:val="0"/>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81342D2"/>
    <w:multiLevelType w:val="hybridMultilevel"/>
    <w:tmpl w:val="1980A780"/>
    <w:lvl w:ilvl="0" w:tplc="7944BCB8">
      <w:start w:val="1"/>
      <w:numFmt w:val="decimal"/>
      <w:lvlText w:val="%1."/>
      <w:lvlJc w:val="left"/>
      <w:pPr>
        <w:ind w:left="720" w:hanging="360"/>
      </w:pPr>
      <w:rPr>
        <w:rFonts w:ascii="Open Sans" w:hAnsi="Open Sans" w:cs="Open Sans" w:hint="default"/>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35698F"/>
    <w:multiLevelType w:val="multilevel"/>
    <w:tmpl w:val="793A0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8D7DD5"/>
    <w:multiLevelType w:val="hybridMultilevel"/>
    <w:tmpl w:val="65AE197E"/>
    <w:lvl w:ilvl="0" w:tplc="5040F9A2">
      <w:start w:val="5"/>
      <w:numFmt w:val="bullet"/>
      <w:lvlText w:val="-"/>
      <w:lvlJc w:val="left"/>
      <w:pPr>
        <w:ind w:left="1080" w:hanging="360"/>
      </w:pPr>
      <w:rPr>
        <w:rFonts w:ascii="Open Sans" w:eastAsiaTheme="minorEastAsia" w:hAnsi="Open Sans" w:cs="Open San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C2C5CBF"/>
    <w:multiLevelType w:val="hybridMultilevel"/>
    <w:tmpl w:val="59569332"/>
    <w:lvl w:ilvl="0" w:tplc="7D56C5C6">
      <w:start w:val="1"/>
      <w:numFmt w:val="decimal"/>
      <w:pStyle w:val="Bodylistnumbers"/>
      <w:lvlText w:val="%1."/>
      <w:lvlJc w:val="left"/>
      <w:pPr>
        <w:ind w:left="-320" w:hanging="360"/>
      </w:pPr>
      <w:rPr>
        <w:color w:val="143C65" w:themeColor="accent1"/>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17" w15:restartNumberingAfterBreak="0">
    <w:nsid w:val="6EC82C6C"/>
    <w:multiLevelType w:val="hybridMultilevel"/>
    <w:tmpl w:val="103AE250"/>
    <w:lvl w:ilvl="0" w:tplc="BDECA6B6">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4116966">
    <w:abstractNumId w:val="5"/>
  </w:num>
  <w:num w:numId="2" w16cid:durableId="1576890948">
    <w:abstractNumId w:val="16"/>
  </w:num>
  <w:num w:numId="3" w16cid:durableId="1411004709">
    <w:abstractNumId w:val="17"/>
  </w:num>
  <w:num w:numId="4" w16cid:durableId="825244839">
    <w:abstractNumId w:val="3"/>
  </w:num>
  <w:num w:numId="5" w16cid:durableId="1025209766">
    <w:abstractNumId w:val="16"/>
    <w:lvlOverride w:ilvl="0">
      <w:startOverride w:val="1"/>
    </w:lvlOverride>
  </w:num>
  <w:num w:numId="6" w16cid:durableId="939065618">
    <w:abstractNumId w:val="12"/>
  </w:num>
  <w:num w:numId="7" w16cid:durableId="717818606">
    <w:abstractNumId w:val="2"/>
  </w:num>
  <w:num w:numId="8" w16cid:durableId="1196507562">
    <w:abstractNumId w:val="14"/>
  </w:num>
  <w:num w:numId="9" w16cid:durableId="1803845371">
    <w:abstractNumId w:val="1"/>
  </w:num>
  <w:num w:numId="10" w16cid:durableId="560750613">
    <w:abstractNumId w:val="14"/>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733509586">
    <w:abstractNumId w:val="2"/>
    <w:lvlOverride w:ilvl="0">
      <w:startOverride w:val="1"/>
    </w:lvlOverride>
  </w:num>
  <w:num w:numId="12" w16cid:durableId="1012686430">
    <w:abstractNumId w:val="14"/>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288821952">
    <w:abstractNumId w:val="11"/>
  </w:num>
  <w:num w:numId="14" w16cid:durableId="1833833636">
    <w:abstractNumId w:val="8"/>
  </w:num>
  <w:num w:numId="15" w16cid:durableId="529102834">
    <w:abstractNumId w:val="17"/>
  </w:num>
  <w:num w:numId="16" w16cid:durableId="1084760115">
    <w:abstractNumId w:val="17"/>
  </w:num>
  <w:num w:numId="17" w16cid:durableId="128208228">
    <w:abstractNumId w:val="16"/>
  </w:num>
  <w:num w:numId="18" w16cid:durableId="1266304166">
    <w:abstractNumId w:val="17"/>
  </w:num>
  <w:num w:numId="19" w16cid:durableId="1349524145">
    <w:abstractNumId w:val="4"/>
  </w:num>
  <w:num w:numId="20" w16cid:durableId="1920551438">
    <w:abstractNumId w:val="4"/>
  </w:num>
  <w:num w:numId="21" w16cid:durableId="945039616">
    <w:abstractNumId w:val="4"/>
  </w:num>
  <w:num w:numId="22" w16cid:durableId="684017697">
    <w:abstractNumId w:val="4"/>
  </w:num>
  <w:num w:numId="23" w16cid:durableId="1320958273">
    <w:abstractNumId w:val="4"/>
  </w:num>
  <w:num w:numId="24" w16cid:durableId="718431559">
    <w:abstractNumId w:val="4"/>
  </w:num>
  <w:num w:numId="25" w16cid:durableId="254556642">
    <w:abstractNumId w:val="4"/>
  </w:num>
  <w:num w:numId="26" w16cid:durableId="1248878576">
    <w:abstractNumId w:val="4"/>
  </w:num>
  <w:num w:numId="27" w16cid:durableId="840240824">
    <w:abstractNumId w:val="3"/>
  </w:num>
  <w:num w:numId="28" w16cid:durableId="1294823578">
    <w:abstractNumId w:val="5"/>
  </w:num>
  <w:num w:numId="29" w16cid:durableId="114954980">
    <w:abstractNumId w:val="12"/>
  </w:num>
  <w:num w:numId="30" w16cid:durableId="703598111">
    <w:abstractNumId w:val="12"/>
    <w:lvlOverride w:ilvl="0">
      <w:startOverride w:val="1"/>
    </w:lvlOverride>
  </w:num>
  <w:num w:numId="31" w16cid:durableId="1952469592">
    <w:abstractNumId w:val="12"/>
    <w:lvlOverride w:ilvl="0">
      <w:startOverride w:val="1"/>
    </w:lvlOverride>
  </w:num>
  <w:num w:numId="32" w16cid:durableId="34045168">
    <w:abstractNumId w:val="13"/>
  </w:num>
  <w:num w:numId="33" w16cid:durableId="1241064914">
    <w:abstractNumId w:val="15"/>
  </w:num>
  <w:num w:numId="34" w16cid:durableId="1342003291">
    <w:abstractNumId w:val="10"/>
  </w:num>
  <w:num w:numId="35" w16cid:durableId="1482114954">
    <w:abstractNumId w:val="6"/>
  </w:num>
  <w:num w:numId="36" w16cid:durableId="695470196">
    <w:abstractNumId w:val="7"/>
  </w:num>
  <w:num w:numId="37" w16cid:durableId="253707142">
    <w:abstractNumId w:val="9"/>
  </w:num>
  <w:num w:numId="38" w16cid:durableId="145432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20"/>
    <w:rsid w:val="00004092"/>
    <w:rsid w:val="00014EE1"/>
    <w:rsid w:val="00020D5F"/>
    <w:rsid w:val="00023AF9"/>
    <w:rsid w:val="00066648"/>
    <w:rsid w:val="00071042"/>
    <w:rsid w:val="000737E1"/>
    <w:rsid w:val="0007658D"/>
    <w:rsid w:val="000774B9"/>
    <w:rsid w:val="000812B0"/>
    <w:rsid w:val="000817D9"/>
    <w:rsid w:val="00084F8C"/>
    <w:rsid w:val="00090A5D"/>
    <w:rsid w:val="00090AC7"/>
    <w:rsid w:val="00093784"/>
    <w:rsid w:val="00097962"/>
    <w:rsid w:val="000A08D9"/>
    <w:rsid w:val="000B0B6B"/>
    <w:rsid w:val="000B193F"/>
    <w:rsid w:val="000B3AB3"/>
    <w:rsid w:val="000B58F9"/>
    <w:rsid w:val="000B5E94"/>
    <w:rsid w:val="000C0B33"/>
    <w:rsid w:val="000C340F"/>
    <w:rsid w:val="000C48D4"/>
    <w:rsid w:val="000D1B6B"/>
    <w:rsid w:val="000D28DD"/>
    <w:rsid w:val="000D30AA"/>
    <w:rsid w:val="000E341B"/>
    <w:rsid w:val="000F12BA"/>
    <w:rsid w:val="000F3EB8"/>
    <w:rsid w:val="00102139"/>
    <w:rsid w:val="00105906"/>
    <w:rsid w:val="00112B7D"/>
    <w:rsid w:val="0011348F"/>
    <w:rsid w:val="001173A0"/>
    <w:rsid w:val="00121865"/>
    <w:rsid w:val="00124405"/>
    <w:rsid w:val="001525FA"/>
    <w:rsid w:val="001544E2"/>
    <w:rsid w:val="00154F9D"/>
    <w:rsid w:val="0015672E"/>
    <w:rsid w:val="00163B06"/>
    <w:rsid w:val="00163D19"/>
    <w:rsid w:val="00166F48"/>
    <w:rsid w:val="00167765"/>
    <w:rsid w:val="00173196"/>
    <w:rsid w:val="00173A76"/>
    <w:rsid w:val="00176482"/>
    <w:rsid w:val="00176BE5"/>
    <w:rsid w:val="00183F3A"/>
    <w:rsid w:val="00187177"/>
    <w:rsid w:val="00194D5D"/>
    <w:rsid w:val="001A6444"/>
    <w:rsid w:val="001B027C"/>
    <w:rsid w:val="001B1015"/>
    <w:rsid w:val="001B17C9"/>
    <w:rsid w:val="001C75D8"/>
    <w:rsid w:val="001D0A36"/>
    <w:rsid w:val="001D6115"/>
    <w:rsid w:val="001E6B0C"/>
    <w:rsid w:val="001F0E51"/>
    <w:rsid w:val="001F36A7"/>
    <w:rsid w:val="001F39F2"/>
    <w:rsid w:val="001F4064"/>
    <w:rsid w:val="001F5638"/>
    <w:rsid w:val="002141FD"/>
    <w:rsid w:val="00215DBC"/>
    <w:rsid w:val="00221879"/>
    <w:rsid w:val="002247F3"/>
    <w:rsid w:val="00234EAC"/>
    <w:rsid w:val="00235D28"/>
    <w:rsid w:val="00250E67"/>
    <w:rsid w:val="00253A2B"/>
    <w:rsid w:val="00257142"/>
    <w:rsid w:val="002642DE"/>
    <w:rsid w:val="00264C64"/>
    <w:rsid w:val="00265923"/>
    <w:rsid w:val="0026727A"/>
    <w:rsid w:val="002725B6"/>
    <w:rsid w:val="00277E24"/>
    <w:rsid w:val="002907BA"/>
    <w:rsid w:val="00295247"/>
    <w:rsid w:val="00295318"/>
    <w:rsid w:val="00296DA4"/>
    <w:rsid w:val="002B035E"/>
    <w:rsid w:val="002B6086"/>
    <w:rsid w:val="002B71B8"/>
    <w:rsid w:val="002C327E"/>
    <w:rsid w:val="002D1E1A"/>
    <w:rsid w:val="002D67BB"/>
    <w:rsid w:val="002E0E2E"/>
    <w:rsid w:val="002E31B2"/>
    <w:rsid w:val="00302D2C"/>
    <w:rsid w:val="003073FE"/>
    <w:rsid w:val="00307A3A"/>
    <w:rsid w:val="00310B25"/>
    <w:rsid w:val="00315E66"/>
    <w:rsid w:val="00316B9F"/>
    <w:rsid w:val="003230B9"/>
    <w:rsid w:val="00323621"/>
    <w:rsid w:val="00325900"/>
    <w:rsid w:val="00327B08"/>
    <w:rsid w:val="00332BE4"/>
    <w:rsid w:val="0033613E"/>
    <w:rsid w:val="003368D0"/>
    <w:rsid w:val="003371FC"/>
    <w:rsid w:val="00340955"/>
    <w:rsid w:val="00340FE0"/>
    <w:rsid w:val="003422E6"/>
    <w:rsid w:val="003427AB"/>
    <w:rsid w:val="003458E8"/>
    <w:rsid w:val="003514D6"/>
    <w:rsid w:val="00351F58"/>
    <w:rsid w:val="003561FD"/>
    <w:rsid w:val="0036065F"/>
    <w:rsid w:val="00363BC4"/>
    <w:rsid w:val="0036451C"/>
    <w:rsid w:val="0037428E"/>
    <w:rsid w:val="00374844"/>
    <w:rsid w:val="00375820"/>
    <w:rsid w:val="003773BE"/>
    <w:rsid w:val="00383153"/>
    <w:rsid w:val="00383320"/>
    <w:rsid w:val="003905D0"/>
    <w:rsid w:val="003A5C90"/>
    <w:rsid w:val="003A6577"/>
    <w:rsid w:val="003A6F61"/>
    <w:rsid w:val="003A79FD"/>
    <w:rsid w:val="003B6F45"/>
    <w:rsid w:val="003C5DC5"/>
    <w:rsid w:val="003C6D75"/>
    <w:rsid w:val="003C7CE3"/>
    <w:rsid w:val="003D23EE"/>
    <w:rsid w:val="003D51B6"/>
    <w:rsid w:val="003F5952"/>
    <w:rsid w:val="003F647A"/>
    <w:rsid w:val="003F7BBF"/>
    <w:rsid w:val="004024FD"/>
    <w:rsid w:val="00404018"/>
    <w:rsid w:val="00411D12"/>
    <w:rsid w:val="00413AF7"/>
    <w:rsid w:val="00413E77"/>
    <w:rsid w:val="00415EE6"/>
    <w:rsid w:val="00420A58"/>
    <w:rsid w:val="0042265D"/>
    <w:rsid w:val="00423458"/>
    <w:rsid w:val="004343D2"/>
    <w:rsid w:val="004363A8"/>
    <w:rsid w:val="00440743"/>
    <w:rsid w:val="00441C84"/>
    <w:rsid w:val="004463F9"/>
    <w:rsid w:val="00467451"/>
    <w:rsid w:val="00471E97"/>
    <w:rsid w:val="00472643"/>
    <w:rsid w:val="00476318"/>
    <w:rsid w:val="00480104"/>
    <w:rsid w:val="0048457D"/>
    <w:rsid w:val="00487381"/>
    <w:rsid w:val="00487CD1"/>
    <w:rsid w:val="00496CBC"/>
    <w:rsid w:val="004970BE"/>
    <w:rsid w:val="004A0857"/>
    <w:rsid w:val="004B6DFD"/>
    <w:rsid w:val="004B6EFF"/>
    <w:rsid w:val="004C0B7E"/>
    <w:rsid w:val="004C61B7"/>
    <w:rsid w:val="004D1258"/>
    <w:rsid w:val="004D325C"/>
    <w:rsid w:val="004D3359"/>
    <w:rsid w:val="004D77A7"/>
    <w:rsid w:val="004D7D8F"/>
    <w:rsid w:val="004E3520"/>
    <w:rsid w:val="004F2377"/>
    <w:rsid w:val="004F29D1"/>
    <w:rsid w:val="004F5490"/>
    <w:rsid w:val="004F55C9"/>
    <w:rsid w:val="004F6B40"/>
    <w:rsid w:val="00500864"/>
    <w:rsid w:val="00507BFF"/>
    <w:rsid w:val="00510BD9"/>
    <w:rsid w:val="00512496"/>
    <w:rsid w:val="00513844"/>
    <w:rsid w:val="00515E08"/>
    <w:rsid w:val="00522B43"/>
    <w:rsid w:val="005273AE"/>
    <w:rsid w:val="005275A5"/>
    <w:rsid w:val="00533B4F"/>
    <w:rsid w:val="005422C9"/>
    <w:rsid w:val="00542DFD"/>
    <w:rsid w:val="005455E3"/>
    <w:rsid w:val="005506DA"/>
    <w:rsid w:val="005516C9"/>
    <w:rsid w:val="00554B93"/>
    <w:rsid w:val="00555530"/>
    <w:rsid w:val="005574F0"/>
    <w:rsid w:val="005617E5"/>
    <w:rsid w:val="00574F6D"/>
    <w:rsid w:val="00577F59"/>
    <w:rsid w:val="0058707A"/>
    <w:rsid w:val="0059131B"/>
    <w:rsid w:val="00594541"/>
    <w:rsid w:val="0059486E"/>
    <w:rsid w:val="00594B60"/>
    <w:rsid w:val="00595A8A"/>
    <w:rsid w:val="005A3031"/>
    <w:rsid w:val="005A3BF6"/>
    <w:rsid w:val="005C092D"/>
    <w:rsid w:val="005D395A"/>
    <w:rsid w:val="005D6293"/>
    <w:rsid w:val="005E51E6"/>
    <w:rsid w:val="005F07F8"/>
    <w:rsid w:val="00601842"/>
    <w:rsid w:val="006052B7"/>
    <w:rsid w:val="0062022E"/>
    <w:rsid w:val="006232EF"/>
    <w:rsid w:val="006274CC"/>
    <w:rsid w:val="006327A0"/>
    <w:rsid w:val="00634DF7"/>
    <w:rsid w:val="00636F9D"/>
    <w:rsid w:val="006376D5"/>
    <w:rsid w:val="00637ED2"/>
    <w:rsid w:val="00640F68"/>
    <w:rsid w:val="00641598"/>
    <w:rsid w:val="006513CE"/>
    <w:rsid w:val="006521C1"/>
    <w:rsid w:val="00655C57"/>
    <w:rsid w:val="00666294"/>
    <w:rsid w:val="00666CDF"/>
    <w:rsid w:val="00676DF6"/>
    <w:rsid w:val="00683E20"/>
    <w:rsid w:val="006842BC"/>
    <w:rsid w:val="00690785"/>
    <w:rsid w:val="00691D72"/>
    <w:rsid w:val="0069742B"/>
    <w:rsid w:val="006A25DE"/>
    <w:rsid w:val="006A697B"/>
    <w:rsid w:val="006A7AC3"/>
    <w:rsid w:val="006B41A8"/>
    <w:rsid w:val="006B473B"/>
    <w:rsid w:val="006B5809"/>
    <w:rsid w:val="006C099A"/>
    <w:rsid w:val="006C229B"/>
    <w:rsid w:val="006C4F7A"/>
    <w:rsid w:val="006C614B"/>
    <w:rsid w:val="006C7DD7"/>
    <w:rsid w:val="006D1CF3"/>
    <w:rsid w:val="006D46A6"/>
    <w:rsid w:val="006D557A"/>
    <w:rsid w:val="006F28A5"/>
    <w:rsid w:val="006F384B"/>
    <w:rsid w:val="006F4DC7"/>
    <w:rsid w:val="00700D25"/>
    <w:rsid w:val="00701270"/>
    <w:rsid w:val="00703FFD"/>
    <w:rsid w:val="00704267"/>
    <w:rsid w:val="00706534"/>
    <w:rsid w:val="00706B83"/>
    <w:rsid w:val="00707D15"/>
    <w:rsid w:val="00714A06"/>
    <w:rsid w:val="00720DBF"/>
    <w:rsid w:val="007227B8"/>
    <w:rsid w:val="00726370"/>
    <w:rsid w:val="007334DA"/>
    <w:rsid w:val="00735962"/>
    <w:rsid w:val="00736729"/>
    <w:rsid w:val="00737BA8"/>
    <w:rsid w:val="007446AB"/>
    <w:rsid w:val="0075150D"/>
    <w:rsid w:val="007549FF"/>
    <w:rsid w:val="0076477B"/>
    <w:rsid w:val="00767341"/>
    <w:rsid w:val="00775AC9"/>
    <w:rsid w:val="00780E60"/>
    <w:rsid w:val="00787EA7"/>
    <w:rsid w:val="00794E0F"/>
    <w:rsid w:val="007A7B9C"/>
    <w:rsid w:val="007B0FE4"/>
    <w:rsid w:val="007B2A3B"/>
    <w:rsid w:val="007B2DB2"/>
    <w:rsid w:val="007B6179"/>
    <w:rsid w:val="007B7231"/>
    <w:rsid w:val="007D3639"/>
    <w:rsid w:val="007D5A39"/>
    <w:rsid w:val="007D7D18"/>
    <w:rsid w:val="007E1D2E"/>
    <w:rsid w:val="007E43A5"/>
    <w:rsid w:val="007E68BB"/>
    <w:rsid w:val="007E76B3"/>
    <w:rsid w:val="008303F1"/>
    <w:rsid w:val="00833CF6"/>
    <w:rsid w:val="00837613"/>
    <w:rsid w:val="008435D3"/>
    <w:rsid w:val="00844328"/>
    <w:rsid w:val="008469B7"/>
    <w:rsid w:val="00852A42"/>
    <w:rsid w:val="00854DEB"/>
    <w:rsid w:val="00861142"/>
    <w:rsid w:val="008624C2"/>
    <w:rsid w:val="008630A4"/>
    <w:rsid w:val="00863E61"/>
    <w:rsid w:val="00863EFA"/>
    <w:rsid w:val="008663F2"/>
    <w:rsid w:val="00867556"/>
    <w:rsid w:val="00870475"/>
    <w:rsid w:val="00872306"/>
    <w:rsid w:val="00874375"/>
    <w:rsid w:val="0087541B"/>
    <w:rsid w:val="00881A42"/>
    <w:rsid w:val="00881B1C"/>
    <w:rsid w:val="00882C52"/>
    <w:rsid w:val="008914BE"/>
    <w:rsid w:val="00891786"/>
    <w:rsid w:val="00891F35"/>
    <w:rsid w:val="0089258C"/>
    <w:rsid w:val="008939C4"/>
    <w:rsid w:val="00893A0F"/>
    <w:rsid w:val="00894CC1"/>
    <w:rsid w:val="00895300"/>
    <w:rsid w:val="008A3C93"/>
    <w:rsid w:val="008A3CFB"/>
    <w:rsid w:val="008A4C0A"/>
    <w:rsid w:val="008B05FF"/>
    <w:rsid w:val="008B0D30"/>
    <w:rsid w:val="008B2F96"/>
    <w:rsid w:val="008B402D"/>
    <w:rsid w:val="008B4075"/>
    <w:rsid w:val="008C0507"/>
    <w:rsid w:val="008C1C3C"/>
    <w:rsid w:val="008C7C31"/>
    <w:rsid w:val="008D4109"/>
    <w:rsid w:val="008D6E36"/>
    <w:rsid w:val="008E1C6E"/>
    <w:rsid w:val="008E1F68"/>
    <w:rsid w:val="008E6114"/>
    <w:rsid w:val="008F2654"/>
    <w:rsid w:val="008F5493"/>
    <w:rsid w:val="008F704B"/>
    <w:rsid w:val="00901AFA"/>
    <w:rsid w:val="00910379"/>
    <w:rsid w:val="00912123"/>
    <w:rsid w:val="00912E7B"/>
    <w:rsid w:val="00913185"/>
    <w:rsid w:val="0091668B"/>
    <w:rsid w:val="00916C37"/>
    <w:rsid w:val="009173E3"/>
    <w:rsid w:val="00923D23"/>
    <w:rsid w:val="00933BA5"/>
    <w:rsid w:val="00935C10"/>
    <w:rsid w:val="009377FB"/>
    <w:rsid w:val="009458B7"/>
    <w:rsid w:val="00952945"/>
    <w:rsid w:val="00953666"/>
    <w:rsid w:val="00956FFA"/>
    <w:rsid w:val="0096174D"/>
    <w:rsid w:val="00961966"/>
    <w:rsid w:val="00965614"/>
    <w:rsid w:val="00966A48"/>
    <w:rsid w:val="009825F3"/>
    <w:rsid w:val="00983065"/>
    <w:rsid w:val="00985B9A"/>
    <w:rsid w:val="00985CEF"/>
    <w:rsid w:val="00991F4F"/>
    <w:rsid w:val="009958A9"/>
    <w:rsid w:val="009A3598"/>
    <w:rsid w:val="009A3FE2"/>
    <w:rsid w:val="009A58D9"/>
    <w:rsid w:val="009B069B"/>
    <w:rsid w:val="009B3033"/>
    <w:rsid w:val="009B5AB4"/>
    <w:rsid w:val="009B7A5A"/>
    <w:rsid w:val="009C1F59"/>
    <w:rsid w:val="009D267F"/>
    <w:rsid w:val="009E2D06"/>
    <w:rsid w:val="009E68CD"/>
    <w:rsid w:val="009E6F98"/>
    <w:rsid w:val="009F2523"/>
    <w:rsid w:val="009F5A9B"/>
    <w:rsid w:val="00A01974"/>
    <w:rsid w:val="00A03746"/>
    <w:rsid w:val="00A11470"/>
    <w:rsid w:val="00A1561E"/>
    <w:rsid w:val="00A212B2"/>
    <w:rsid w:val="00A21DC2"/>
    <w:rsid w:val="00A27408"/>
    <w:rsid w:val="00A37EDA"/>
    <w:rsid w:val="00A418E2"/>
    <w:rsid w:val="00A42CD5"/>
    <w:rsid w:val="00A44C5A"/>
    <w:rsid w:val="00A450C2"/>
    <w:rsid w:val="00A461A5"/>
    <w:rsid w:val="00A466C2"/>
    <w:rsid w:val="00A476A2"/>
    <w:rsid w:val="00A50518"/>
    <w:rsid w:val="00A8521C"/>
    <w:rsid w:val="00A854BE"/>
    <w:rsid w:val="00A90A45"/>
    <w:rsid w:val="00A9402B"/>
    <w:rsid w:val="00A96FE2"/>
    <w:rsid w:val="00A97614"/>
    <w:rsid w:val="00A978CC"/>
    <w:rsid w:val="00AA0C6A"/>
    <w:rsid w:val="00AA47D2"/>
    <w:rsid w:val="00AA60E7"/>
    <w:rsid w:val="00AA6BAC"/>
    <w:rsid w:val="00AB368E"/>
    <w:rsid w:val="00AB5CBA"/>
    <w:rsid w:val="00AB7342"/>
    <w:rsid w:val="00AC008E"/>
    <w:rsid w:val="00AC200D"/>
    <w:rsid w:val="00AC3F25"/>
    <w:rsid w:val="00AD69EC"/>
    <w:rsid w:val="00AE19FC"/>
    <w:rsid w:val="00AE37CD"/>
    <w:rsid w:val="00AE66A0"/>
    <w:rsid w:val="00AF5609"/>
    <w:rsid w:val="00B01482"/>
    <w:rsid w:val="00B24F5B"/>
    <w:rsid w:val="00B269B2"/>
    <w:rsid w:val="00B3380D"/>
    <w:rsid w:val="00B3387B"/>
    <w:rsid w:val="00B41642"/>
    <w:rsid w:val="00B45F58"/>
    <w:rsid w:val="00B56913"/>
    <w:rsid w:val="00B60FDE"/>
    <w:rsid w:val="00B677DB"/>
    <w:rsid w:val="00B70124"/>
    <w:rsid w:val="00B713FF"/>
    <w:rsid w:val="00B718BC"/>
    <w:rsid w:val="00B71C9B"/>
    <w:rsid w:val="00B76141"/>
    <w:rsid w:val="00B801B3"/>
    <w:rsid w:val="00B8449B"/>
    <w:rsid w:val="00B91E9F"/>
    <w:rsid w:val="00B955FB"/>
    <w:rsid w:val="00BA1481"/>
    <w:rsid w:val="00BA696B"/>
    <w:rsid w:val="00BB0F71"/>
    <w:rsid w:val="00BB1DE8"/>
    <w:rsid w:val="00BB3E0D"/>
    <w:rsid w:val="00BB4224"/>
    <w:rsid w:val="00BB5DAF"/>
    <w:rsid w:val="00BC1D48"/>
    <w:rsid w:val="00BC5CC4"/>
    <w:rsid w:val="00BD38E8"/>
    <w:rsid w:val="00BD5CAF"/>
    <w:rsid w:val="00BE2B42"/>
    <w:rsid w:val="00BF543A"/>
    <w:rsid w:val="00BF6DC0"/>
    <w:rsid w:val="00C034D9"/>
    <w:rsid w:val="00C116E5"/>
    <w:rsid w:val="00C17CA0"/>
    <w:rsid w:val="00C214AA"/>
    <w:rsid w:val="00C261A5"/>
    <w:rsid w:val="00C265BB"/>
    <w:rsid w:val="00C3062D"/>
    <w:rsid w:val="00C319A8"/>
    <w:rsid w:val="00C37DB8"/>
    <w:rsid w:val="00C51717"/>
    <w:rsid w:val="00C53832"/>
    <w:rsid w:val="00C606AD"/>
    <w:rsid w:val="00C6158F"/>
    <w:rsid w:val="00C64681"/>
    <w:rsid w:val="00C71BFE"/>
    <w:rsid w:val="00C75239"/>
    <w:rsid w:val="00C75958"/>
    <w:rsid w:val="00C77B7B"/>
    <w:rsid w:val="00C77D93"/>
    <w:rsid w:val="00C80314"/>
    <w:rsid w:val="00C8159F"/>
    <w:rsid w:val="00C86966"/>
    <w:rsid w:val="00CA25F3"/>
    <w:rsid w:val="00CA4958"/>
    <w:rsid w:val="00CB44C9"/>
    <w:rsid w:val="00CC3E2A"/>
    <w:rsid w:val="00CC71B4"/>
    <w:rsid w:val="00CD2779"/>
    <w:rsid w:val="00CE07FD"/>
    <w:rsid w:val="00CE1867"/>
    <w:rsid w:val="00CE4F0E"/>
    <w:rsid w:val="00CF43B1"/>
    <w:rsid w:val="00D0275A"/>
    <w:rsid w:val="00D03F27"/>
    <w:rsid w:val="00D04078"/>
    <w:rsid w:val="00D050BC"/>
    <w:rsid w:val="00D0514A"/>
    <w:rsid w:val="00D135A6"/>
    <w:rsid w:val="00D13727"/>
    <w:rsid w:val="00D170DE"/>
    <w:rsid w:val="00D20698"/>
    <w:rsid w:val="00D20DC1"/>
    <w:rsid w:val="00D27007"/>
    <w:rsid w:val="00D3150B"/>
    <w:rsid w:val="00D3185F"/>
    <w:rsid w:val="00D321A5"/>
    <w:rsid w:val="00D325C8"/>
    <w:rsid w:val="00D341C6"/>
    <w:rsid w:val="00D341D0"/>
    <w:rsid w:val="00D34AA2"/>
    <w:rsid w:val="00D372F3"/>
    <w:rsid w:val="00D40AF7"/>
    <w:rsid w:val="00D40EE6"/>
    <w:rsid w:val="00D425F6"/>
    <w:rsid w:val="00D42B14"/>
    <w:rsid w:val="00D44A55"/>
    <w:rsid w:val="00D53CB2"/>
    <w:rsid w:val="00D57754"/>
    <w:rsid w:val="00D623FA"/>
    <w:rsid w:val="00D65C51"/>
    <w:rsid w:val="00D744E7"/>
    <w:rsid w:val="00D77273"/>
    <w:rsid w:val="00D81BD3"/>
    <w:rsid w:val="00D820E8"/>
    <w:rsid w:val="00D9284D"/>
    <w:rsid w:val="00D939FB"/>
    <w:rsid w:val="00DA25E9"/>
    <w:rsid w:val="00DA448F"/>
    <w:rsid w:val="00DA59D3"/>
    <w:rsid w:val="00DB1E0B"/>
    <w:rsid w:val="00DB75CB"/>
    <w:rsid w:val="00DC07EF"/>
    <w:rsid w:val="00DC34A2"/>
    <w:rsid w:val="00DC58DD"/>
    <w:rsid w:val="00DD268B"/>
    <w:rsid w:val="00DD4636"/>
    <w:rsid w:val="00DD7B04"/>
    <w:rsid w:val="00DE7355"/>
    <w:rsid w:val="00DF0DCC"/>
    <w:rsid w:val="00DF4E84"/>
    <w:rsid w:val="00DF7E23"/>
    <w:rsid w:val="00E0422E"/>
    <w:rsid w:val="00E13546"/>
    <w:rsid w:val="00E142DE"/>
    <w:rsid w:val="00E16F6B"/>
    <w:rsid w:val="00E17F8E"/>
    <w:rsid w:val="00E265C9"/>
    <w:rsid w:val="00E26DBF"/>
    <w:rsid w:val="00E27CFA"/>
    <w:rsid w:val="00E42B52"/>
    <w:rsid w:val="00E4672D"/>
    <w:rsid w:val="00E574D5"/>
    <w:rsid w:val="00E63596"/>
    <w:rsid w:val="00E71225"/>
    <w:rsid w:val="00E718F3"/>
    <w:rsid w:val="00E7491A"/>
    <w:rsid w:val="00E74A1E"/>
    <w:rsid w:val="00E7698F"/>
    <w:rsid w:val="00E97D6B"/>
    <w:rsid w:val="00EA221B"/>
    <w:rsid w:val="00EA2432"/>
    <w:rsid w:val="00EA5AB5"/>
    <w:rsid w:val="00EB38E6"/>
    <w:rsid w:val="00EB435C"/>
    <w:rsid w:val="00EC4234"/>
    <w:rsid w:val="00EC6CD8"/>
    <w:rsid w:val="00ED31BB"/>
    <w:rsid w:val="00ED4271"/>
    <w:rsid w:val="00EE7A0C"/>
    <w:rsid w:val="00EF0658"/>
    <w:rsid w:val="00EF1B48"/>
    <w:rsid w:val="00EF4DF5"/>
    <w:rsid w:val="00F040E9"/>
    <w:rsid w:val="00F0786E"/>
    <w:rsid w:val="00F103D0"/>
    <w:rsid w:val="00F14523"/>
    <w:rsid w:val="00F20EAB"/>
    <w:rsid w:val="00F26DFE"/>
    <w:rsid w:val="00F2716F"/>
    <w:rsid w:val="00F30101"/>
    <w:rsid w:val="00F31FF3"/>
    <w:rsid w:val="00F530B9"/>
    <w:rsid w:val="00F5643E"/>
    <w:rsid w:val="00F57486"/>
    <w:rsid w:val="00F64FBC"/>
    <w:rsid w:val="00F67824"/>
    <w:rsid w:val="00F774CB"/>
    <w:rsid w:val="00F85CB3"/>
    <w:rsid w:val="00F90989"/>
    <w:rsid w:val="00F933B7"/>
    <w:rsid w:val="00F979AF"/>
    <w:rsid w:val="00FA2B1D"/>
    <w:rsid w:val="00FA7E70"/>
    <w:rsid w:val="00FB5002"/>
    <w:rsid w:val="00FB6157"/>
    <w:rsid w:val="00FC0A7B"/>
    <w:rsid w:val="00FC7932"/>
    <w:rsid w:val="00FD089F"/>
    <w:rsid w:val="00FD0E91"/>
    <w:rsid w:val="00FD2D8A"/>
    <w:rsid w:val="00FD628D"/>
    <w:rsid w:val="00FE0D82"/>
    <w:rsid w:val="00FE19D1"/>
    <w:rsid w:val="00FF3BE7"/>
    <w:rsid w:val="00FF6AEC"/>
    <w:rsid w:val="2DA6A096"/>
    <w:rsid w:val="40FC4559"/>
    <w:rsid w:val="4B833C32"/>
    <w:rsid w:val="54096BA8"/>
    <w:rsid w:val="5D373173"/>
    <w:rsid w:val="654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3D1F6A"/>
  <w15:chartTrackingRefBased/>
  <w15:docId w15:val="{AF316913-9918-4952-9B6B-299B468C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4"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D04078"/>
    <w:pPr>
      <w:spacing w:before="120" w:after="120" w:line="280" w:lineRule="atLeast"/>
    </w:pPr>
    <w:rPr>
      <w:rFonts w:ascii="Open Sans" w:hAnsi="Open Sans"/>
      <w:color w:val="000000" w:themeColor="text1"/>
      <w:lang w:val="en-AU"/>
    </w:rPr>
  </w:style>
  <w:style w:type="paragraph" w:styleId="Heading1">
    <w:name w:val="heading 1"/>
    <w:next w:val="Normal"/>
    <w:link w:val="Heading1Char"/>
    <w:uiPriority w:val="2"/>
    <w:qFormat/>
    <w:rsid w:val="00FF3BE7"/>
    <w:pPr>
      <w:keepNext/>
      <w:keepLines/>
      <w:pageBreakBefore/>
      <w:numPr>
        <w:numId w:val="26"/>
      </w:numPr>
      <w:spacing w:before="240" w:after="0" w:line="400" w:lineRule="atLeast"/>
      <w:ind w:left="431" w:hanging="431"/>
      <w:outlineLvl w:val="0"/>
    </w:pPr>
    <w:rPr>
      <w:rFonts w:asciiTheme="majorHAnsi" w:eastAsiaTheme="majorEastAsia" w:hAnsiTheme="majorHAnsi" w:cstheme="majorBidi"/>
      <w:b/>
      <w:color w:val="143C65" w:themeColor="accent1"/>
      <w:sz w:val="40"/>
      <w:szCs w:val="44"/>
      <w:lang w:val="en-AU"/>
    </w:rPr>
  </w:style>
  <w:style w:type="paragraph" w:styleId="Heading2">
    <w:name w:val="heading 2"/>
    <w:next w:val="Normal"/>
    <w:link w:val="Heading2Char"/>
    <w:uiPriority w:val="2"/>
    <w:qFormat/>
    <w:rsid w:val="006C229B"/>
    <w:pPr>
      <w:keepNext/>
      <w:keepLines/>
      <w:spacing w:before="120" w:after="120" w:line="320" w:lineRule="atLeast"/>
      <w:ind w:left="578" w:hanging="578"/>
      <w:outlineLvl w:val="1"/>
    </w:pPr>
    <w:rPr>
      <w:rFonts w:asciiTheme="majorHAnsi" w:eastAsiaTheme="majorEastAsia" w:hAnsiTheme="majorHAnsi" w:cstheme="majorBidi"/>
      <w:b/>
      <w:color w:val="0B78BE" w:themeColor="accent2"/>
      <w:sz w:val="28"/>
      <w:szCs w:val="30"/>
      <w:lang w:val="en-AU"/>
    </w:rPr>
  </w:style>
  <w:style w:type="paragraph" w:styleId="Heading3">
    <w:name w:val="heading 3"/>
    <w:next w:val="Normal"/>
    <w:link w:val="Heading3Char"/>
    <w:uiPriority w:val="2"/>
    <w:qFormat/>
    <w:rsid w:val="00B01482"/>
    <w:pPr>
      <w:keepNext/>
      <w:keepLines/>
      <w:spacing w:before="240" w:after="0" w:line="280" w:lineRule="atLeast"/>
      <w:outlineLvl w:val="2"/>
    </w:pPr>
    <w:rPr>
      <w:rFonts w:ascii="Open Sans" w:eastAsiaTheme="majorEastAsia" w:hAnsi="Open Sans" w:cstheme="majorBidi"/>
      <w:b/>
      <w:color w:val="000000" w:themeColor="text1"/>
      <w:szCs w:val="28"/>
      <w:lang w:val="en-AU"/>
    </w:rPr>
  </w:style>
  <w:style w:type="paragraph" w:styleId="Heading4">
    <w:name w:val="heading 4"/>
    <w:basedOn w:val="Normal"/>
    <w:next w:val="Normal"/>
    <w:link w:val="Heading4Char"/>
    <w:uiPriority w:val="99"/>
    <w:semiHidden/>
    <w:qFormat/>
    <w:rsid w:val="001A6444"/>
    <w:pPr>
      <w:keepNext/>
      <w:keepLines/>
      <w:numPr>
        <w:ilvl w:val="3"/>
        <w:numId w:val="26"/>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1A6444"/>
    <w:pPr>
      <w:keepNext/>
      <w:keepLines/>
      <w:numPr>
        <w:ilvl w:val="4"/>
        <w:numId w:val="26"/>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1A6444"/>
    <w:pPr>
      <w:keepNext/>
      <w:keepLines/>
      <w:numPr>
        <w:ilvl w:val="5"/>
        <w:numId w:val="26"/>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1A6444"/>
    <w:pPr>
      <w:keepNext/>
      <w:keepLines/>
      <w:numPr>
        <w:ilvl w:val="6"/>
        <w:numId w:val="26"/>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1A6444"/>
    <w:pPr>
      <w:keepNext/>
      <w:keepLines/>
      <w:numPr>
        <w:ilvl w:val="7"/>
        <w:numId w:val="26"/>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1A6444"/>
    <w:pPr>
      <w:keepNext/>
      <w:keepLines/>
      <w:numPr>
        <w:ilvl w:val="8"/>
        <w:numId w:val="2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F3BE7"/>
    <w:rPr>
      <w:rFonts w:asciiTheme="majorHAnsi" w:eastAsiaTheme="majorEastAsia" w:hAnsiTheme="majorHAnsi" w:cstheme="majorBidi"/>
      <w:b/>
      <w:color w:val="143C65" w:themeColor="accent1"/>
      <w:sz w:val="40"/>
      <w:szCs w:val="44"/>
      <w:lang w:val="en-AU"/>
    </w:rPr>
  </w:style>
  <w:style w:type="character" w:customStyle="1" w:styleId="Heading2Char">
    <w:name w:val="Heading 2 Char"/>
    <w:basedOn w:val="DefaultParagraphFont"/>
    <w:link w:val="Heading2"/>
    <w:uiPriority w:val="2"/>
    <w:rsid w:val="006C229B"/>
    <w:rPr>
      <w:rFonts w:asciiTheme="majorHAnsi" w:eastAsiaTheme="majorEastAsia" w:hAnsiTheme="majorHAnsi" w:cstheme="majorBidi"/>
      <w:b/>
      <w:color w:val="0B78BE" w:themeColor="accent2"/>
      <w:sz w:val="28"/>
      <w:szCs w:val="30"/>
      <w:lang w:val="en-AU"/>
    </w:rPr>
  </w:style>
  <w:style w:type="character" w:customStyle="1" w:styleId="Heading3Char">
    <w:name w:val="Heading 3 Char"/>
    <w:basedOn w:val="DefaultParagraphFont"/>
    <w:link w:val="Heading3"/>
    <w:uiPriority w:val="2"/>
    <w:rsid w:val="006F28A5"/>
    <w:rPr>
      <w:rFonts w:ascii="Open Sans" w:eastAsiaTheme="majorEastAsia" w:hAnsi="Open Sans" w:cstheme="majorBidi"/>
      <w:b/>
      <w:color w:val="000000" w:themeColor="text1"/>
      <w:szCs w:val="28"/>
      <w:lang w:val="en-AU"/>
    </w:rPr>
  </w:style>
  <w:style w:type="character" w:customStyle="1" w:styleId="Heading4Char">
    <w:name w:val="Heading 4 Char"/>
    <w:basedOn w:val="DefaultParagraphFont"/>
    <w:link w:val="Heading4"/>
    <w:uiPriority w:val="99"/>
    <w:semiHidden/>
    <w:rsid w:val="001A6444"/>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1A6444"/>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1A6444"/>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1A6444"/>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1A6444"/>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1A6444"/>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12"/>
    <w:rsid w:val="006F28A5"/>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12"/>
    <w:qFormat/>
    <w:rsid w:val="001A6444"/>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12"/>
    <w:rsid w:val="006F28A5"/>
    <w:rPr>
      <w:rFonts w:ascii="Open Sans" w:eastAsiaTheme="majorEastAsia" w:hAnsi="Open Sans" w:cstheme="majorBidi"/>
      <w:color w:val="0B78BE" w:themeColor="accent2"/>
      <w:spacing w:val="15"/>
      <w:sz w:val="36"/>
      <w:szCs w:val="28"/>
      <w:lang w:val="en-AU"/>
    </w:rPr>
  </w:style>
  <w:style w:type="paragraph" w:styleId="Subtitle">
    <w:name w:val="Subtitle"/>
    <w:next w:val="Normal"/>
    <w:link w:val="SubtitleChar"/>
    <w:uiPriority w:val="12"/>
    <w:qFormat/>
    <w:rsid w:val="00C214AA"/>
    <w:pPr>
      <w:numPr>
        <w:ilvl w:val="1"/>
      </w:numPr>
      <w:spacing w:before="120" w:after="0" w:line="400" w:lineRule="atLeast"/>
    </w:pPr>
    <w:rPr>
      <w:rFonts w:ascii="Open Sans" w:eastAsiaTheme="majorEastAsia" w:hAnsi="Open Sans" w:cstheme="majorBidi"/>
      <w:color w:val="0B78BE" w:themeColor="accent2"/>
      <w:spacing w:val="15"/>
      <w:sz w:val="36"/>
      <w:szCs w:val="28"/>
      <w:lang w:val="en-AU"/>
    </w:rPr>
  </w:style>
  <w:style w:type="character" w:styleId="IntenseEmphasis">
    <w:name w:val="Intense Emphasis"/>
    <w:basedOn w:val="DefaultParagraphFont"/>
    <w:uiPriority w:val="99"/>
    <w:semiHidden/>
    <w:qFormat/>
    <w:rsid w:val="001A6444"/>
    <w:rPr>
      <w:i/>
      <w:iCs/>
      <w:color w:val="0F2C4B" w:themeColor="accent1" w:themeShade="BF"/>
    </w:rPr>
  </w:style>
  <w:style w:type="character" w:customStyle="1" w:styleId="QuoteChar">
    <w:name w:val="Quote Char"/>
    <w:basedOn w:val="DefaultParagraphFont"/>
    <w:link w:val="Quote"/>
    <w:uiPriority w:val="99"/>
    <w:semiHidden/>
    <w:rsid w:val="001A6444"/>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1A644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1A6444"/>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1A6444"/>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1A6444"/>
    <w:rPr>
      <w:b/>
      <w:bCs/>
      <w:smallCaps/>
      <w:color w:val="0F2C4B" w:themeColor="accent1" w:themeShade="BF"/>
      <w:spacing w:val="5"/>
    </w:rPr>
  </w:style>
  <w:style w:type="paragraph" w:styleId="TOCHeading">
    <w:name w:val="TOC Heading"/>
    <w:next w:val="Normal"/>
    <w:uiPriority w:val="13"/>
    <w:qFormat/>
    <w:rsid w:val="001A6444"/>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next w:val="Normal"/>
    <w:autoRedefine/>
    <w:uiPriority w:val="39"/>
    <w:rsid w:val="002E31B2"/>
    <w:pPr>
      <w:tabs>
        <w:tab w:val="left" w:pos="284"/>
        <w:tab w:val="right" w:pos="9072"/>
      </w:tabs>
      <w:spacing w:before="60" w:after="0" w:line="260" w:lineRule="atLeast"/>
    </w:pPr>
    <w:rPr>
      <w:rFonts w:ascii="Open Sans" w:hAnsi="Open Sans"/>
      <w:b/>
      <w:noProof/>
      <w:color w:val="143C65" w:themeColor="accent1"/>
      <w:lang w:val="en-AU"/>
    </w:rPr>
  </w:style>
  <w:style w:type="paragraph" w:styleId="TOC2">
    <w:name w:val="toc 2"/>
    <w:next w:val="Normal"/>
    <w:autoRedefine/>
    <w:uiPriority w:val="39"/>
    <w:rsid w:val="002E31B2"/>
    <w:pPr>
      <w:tabs>
        <w:tab w:val="right" w:pos="9072"/>
      </w:tabs>
      <w:spacing w:before="60" w:after="0" w:line="260" w:lineRule="atLeast"/>
      <w:ind w:left="238"/>
    </w:pPr>
    <w:rPr>
      <w:rFonts w:ascii="Open Sans" w:hAnsi="Open Sans"/>
      <w:noProof/>
      <w:color w:val="0B78BE" w:themeColor="accent2"/>
    </w:rPr>
  </w:style>
  <w:style w:type="paragraph" w:styleId="TOC3">
    <w:name w:val="toc 3"/>
    <w:basedOn w:val="Normal"/>
    <w:next w:val="Normal"/>
    <w:autoRedefine/>
    <w:uiPriority w:val="99"/>
    <w:semiHidden/>
    <w:rsid w:val="001A6444"/>
    <w:pPr>
      <w:spacing w:after="100"/>
      <w:ind w:left="480"/>
    </w:pPr>
  </w:style>
  <w:style w:type="character" w:styleId="Hyperlink">
    <w:name w:val="Hyperlink"/>
    <w:basedOn w:val="DefaultParagraphFont"/>
    <w:uiPriority w:val="99"/>
    <w:rsid w:val="001A6444"/>
    <w:rPr>
      <w:color w:val="143C65" w:themeColor="hyperlink"/>
      <w:u w:val="single"/>
    </w:rPr>
  </w:style>
  <w:style w:type="paragraph" w:styleId="Header">
    <w:name w:val="header"/>
    <w:link w:val="Head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HeaderChar">
    <w:name w:val="Header Char"/>
    <w:basedOn w:val="DefaultParagraphFont"/>
    <w:link w:val="Header"/>
    <w:uiPriority w:val="14"/>
    <w:rsid w:val="006F28A5"/>
    <w:rPr>
      <w:rFonts w:ascii="Open Sans" w:hAnsi="Open Sans"/>
      <w:color w:val="143C65" w:themeColor="accent1"/>
      <w:sz w:val="20"/>
      <w:lang w:val="en-AU"/>
    </w:rPr>
  </w:style>
  <w:style w:type="paragraph" w:styleId="Footer">
    <w:name w:val="footer"/>
    <w:link w:val="Foot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FooterChar">
    <w:name w:val="Footer Char"/>
    <w:basedOn w:val="DefaultParagraphFont"/>
    <w:link w:val="Footer"/>
    <w:uiPriority w:val="14"/>
    <w:rsid w:val="006F28A5"/>
    <w:rPr>
      <w:rFonts w:ascii="Open Sans" w:hAnsi="Open Sans"/>
      <w:color w:val="143C65" w:themeColor="accent1"/>
      <w:sz w:val="20"/>
      <w:lang w:val="en-AU"/>
    </w:rPr>
  </w:style>
  <w:style w:type="table" w:customStyle="1" w:styleId="AHRCtable">
    <w:name w:val="AHRC table"/>
    <w:basedOn w:val="TableNormal"/>
    <w:uiPriority w:val="99"/>
    <w:rsid w:val="00F67824"/>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Open Sans" w:hAnsi="Open Sans"/>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Myriad Pro" w:hAnsi="Myriad Pro"/>
      </w:rPr>
    </w:tblStylePr>
  </w:style>
  <w:style w:type="table" w:styleId="TableGrid">
    <w:name w:val="Table Grid"/>
    <w:basedOn w:val="TableNormal"/>
    <w:uiPriority w:val="39"/>
    <w:rsid w:val="001A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B01482"/>
    <w:pPr>
      <w:spacing w:before="60" w:after="0" w:line="260" w:lineRule="atLeast"/>
    </w:pPr>
    <w:rPr>
      <w:rFonts w:ascii="Open Sans" w:eastAsia="Times New Roman" w:hAnsi="Open Sans"/>
      <w:b/>
      <w:color w:val="143C65" w:themeColor="accent1"/>
      <w:kern w:val="2"/>
      <w:szCs w:val="16"/>
      <w:lang w:val="en-AU"/>
      <w14:ligatures w14:val="standardContextual"/>
    </w:rPr>
  </w:style>
  <w:style w:type="paragraph" w:customStyle="1" w:styleId="Tabletext">
    <w:name w:val="Table text"/>
    <w:uiPriority w:val="3"/>
    <w:qFormat/>
    <w:rsid w:val="00B01482"/>
    <w:pPr>
      <w:spacing w:before="60" w:after="0" w:line="280" w:lineRule="atLeast"/>
    </w:pPr>
    <w:rPr>
      <w:rFonts w:ascii="Open Sans" w:eastAsia="Times New Roman" w:hAnsi="Open Sans"/>
      <w:color w:val="000000" w:themeColor="text1"/>
      <w:kern w:val="2"/>
      <w:szCs w:val="16"/>
      <w:lang w:val="en-AU"/>
      <w14:ligatures w14:val="standardContextual"/>
    </w:rPr>
  </w:style>
  <w:style w:type="paragraph" w:customStyle="1" w:styleId="Tablelistbullets">
    <w:name w:val="Table list bullets"/>
    <w:uiPriority w:val="3"/>
    <w:qFormat/>
    <w:rsid w:val="00B01482"/>
    <w:pPr>
      <w:numPr>
        <w:numId w:val="28"/>
      </w:numPr>
      <w:spacing w:after="0" w:line="260" w:lineRule="atLeast"/>
    </w:pPr>
    <w:rPr>
      <w:rFonts w:ascii="Open Sans" w:eastAsia="Times New Roman" w:hAnsi="Open Sans"/>
      <w:color w:val="000000" w:themeColor="text1"/>
      <w:kern w:val="2"/>
      <w:szCs w:val="16"/>
      <w:lang w:val="en-AU"/>
      <w14:ligatures w14:val="standardContextual"/>
    </w:rPr>
  </w:style>
  <w:style w:type="paragraph" w:styleId="EndnoteText">
    <w:name w:val="endnote text"/>
    <w:link w:val="EndnoteTextChar"/>
    <w:uiPriority w:val="13"/>
    <w:rsid w:val="00C214AA"/>
    <w:pPr>
      <w:spacing w:before="120" w:after="0" w:line="280" w:lineRule="atLeast"/>
      <w:ind w:left="170" w:hanging="170"/>
    </w:pPr>
    <w:rPr>
      <w:rFonts w:ascii="Open Sans" w:hAnsi="Open Sans"/>
      <w:color w:val="000000" w:themeColor="text1"/>
      <w:szCs w:val="20"/>
      <w:lang w:val="en-AU"/>
    </w:rPr>
  </w:style>
  <w:style w:type="character" w:customStyle="1" w:styleId="EndnoteTextChar">
    <w:name w:val="Endnote Text Char"/>
    <w:basedOn w:val="DefaultParagraphFont"/>
    <w:link w:val="EndnoteText"/>
    <w:uiPriority w:val="13"/>
    <w:rsid w:val="006F28A5"/>
    <w:rPr>
      <w:rFonts w:ascii="Open Sans" w:hAnsi="Open Sans"/>
      <w:color w:val="000000" w:themeColor="text1"/>
      <w:szCs w:val="20"/>
      <w:lang w:val="en-AU"/>
    </w:rPr>
  </w:style>
  <w:style w:type="character" w:styleId="EndnoteReference">
    <w:name w:val="endnote reference"/>
    <w:basedOn w:val="DefaultParagraphFont"/>
    <w:uiPriority w:val="99"/>
    <w:semiHidden/>
    <w:rsid w:val="001A6444"/>
    <w:rPr>
      <w:vertAlign w:val="superscript"/>
    </w:rPr>
  </w:style>
  <w:style w:type="paragraph" w:styleId="ListParagraph">
    <w:name w:val="List Paragraph"/>
    <w:basedOn w:val="Normal"/>
    <w:uiPriority w:val="99"/>
    <w:semiHidden/>
    <w:qFormat/>
    <w:rsid w:val="001A6444"/>
    <w:pPr>
      <w:ind w:left="720"/>
      <w:contextualSpacing/>
    </w:pPr>
  </w:style>
  <w:style w:type="paragraph" w:customStyle="1" w:styleId="Bodylistbullets">
    <w:name w:val="Body list bullets"/>
    <w:basedOn w:val="ListParagraph"/>
    <w:uiPriority w:val="1"/>
    <w:qFormat/>
    <w:rsid w:val="0059486E"/>
    <w:pPr>
      <w:numPr>
        <w:numId w:val="18"/>
      </w:numPr>
      <w:spacing w:before="0"/>
      <w:ind w:left="357" w:hanging="357"/>
    </w:pPr>
  </w:style>
  <w:style w:type="paragraph" w:customStyle="1" w:styleId="Tablelistnumbers">
    <w:name w:val="Table list numbers"/>
    <w:uiPriority w:val="3"/>
    <w:qFormat/>
    <w:rsid w:val="00B01482"/>
    <w:pPr>
      <w:numPr>
        <w:numId w:val="29"/>
      </w:numPr>
      <w:spacing w:after="0" w:line="260" w:lineRule="atLeast"/>
    </w:pPr>
    <w:rPr>
      <w:rFonts w:ascii="Open Sans" w:eastAsia="Times New Roman" w:hAnsi="Open Sans"/>
      <w:color w:val="000000" w:themeColor="text1"/>
      <w:kern w:val="2"/>
      <w:szCs w:val="16"/>
      <w:lang w:val="en-AU"/>
      <w14:ligatures w14:val="standardContextual"/>
    </w:rPr>
  </w:style>
  <w:style w:type="paragraph" w:customStyle="1" w:styleId="Bodylistnumbers">
    <w:name w:val="Body list numbers"/>
    <w:uiPriority w:val="1"/>
    <w:qFormat/>
    <w:rsid w:val="0059486E"/>
    <w:pPr>
      <w:numPr>
        <w:numId w:val="17"/>
      </w:numPr>
      <w:spacing w:after="0" w:line="280" w:lineRule="atLeast"/>
      <w:ind w:left="357" w:hanging="357"/>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1A6444"/>
    <w:rPr>
      <w:color w:val="605E5C"/>
      <w:shd w:val="clear" w:color="auto" w:fill="E1DFDD"/>
    </w:rPr>
  </w:style>
  <w:style w:type="paragraph" w:customStyle="1" w:styleId="Blockquote">
    <w:name w:val="Block quote"/>
    <w:next w:val="Normal"/>
    <w:uiPriority w:val="10"/>
    <w:qFormat/>
    <w:rsid w:val="00683E20"/>
    <w:pPr>
      <w:spacing w:before="120" w:after="0" w:line="280" w:lineRule="atLeast"/>
      <w:ind w:left="567"/>
    </w:pPr>
    <w:rPr>
      <w:rFonts w:ascii="Open Sans" w:hAnsi="Open Sans"/>
      <w:color w:val="000000" w:themeColor="text1"/>
      <w:lang w:val="en-AU"/>
    </w:rPr>
  </w:style>
  <w:style w:type="paragraph" w:styleId="Caption">
    <w:name w:val="caption"/>
    <w:next w:val="Normal"/>
    <w:uiPriority w:val="10"/>
    <w:qFormat/>
    <w:rsid w:val="00C214AA"/>
    <w:pPr>
      <w:spacing w:before="120" w:after="0" w:line="280" w:lineRule="atLeast"/>
    </w:pPr>
    <w:rPr>
      <w:rFonts w:ascii="Open Sans" w:hAnsi="Open Sans"/>
      <w:iCs/>
      <w:color w:val="143C65" w:themeColor="accent1"/>
      <w:szCs w:val="18"/>
      <w:lang w:val="en-AU"/>
    </w:rPr>
  </w:style>
  <w:style w:type="character" w:styleId="CommentReference">
    <w:name w:val="annotation reference"/>
    <w:basedOn w:val="DefaultParagraphFont"/>
    <w:uiPriority w:val="99"/>
    <w:semiHidden/>
    <w:rsid w:val="001A6444"/>
    <w:rPr>
      <w:sz w:val="16"/>
      <w:szCs w:val="16"/>
    </w:rPr>
  </w:style>
  <w:style w:type="paragraph" w:styleId="CommentText">
    <w:name w:val="annotation text"/>
    <w:basedOn w:val="Normal"/>
    <w:link w:val="CommentTextChar"/>
    <w:uiPriority w:val="99"/>
    <w:semiHidden/>
    <w:rsid w:val="001A6444"/>
    <w:pPr>
      <w:spacing w:line="240" w:lineRule="auto"/>
    </w:pPr>
    <w:rPr>
      <w:sz w:val="20"/>
      <w:szCs w:val="20"/>
    </w:rPr>
  </w:style>
  <w:style w:type="character" w:customStyle="1" w:styleId="CommentTextChar">
    <w:name w:val="Comment Text Char"/>
    <w:basedOn w:val="DefaultParagraphFont"/>
    <w:link w:val="CommentText"/>
    <w:uiPriority w:val="99"/>
    <w:semiHidden/>
    <w:rsid w:val="001A6444"/>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1A6444"/>
    <w:rPr>
      <w:b/>
      <w:bCs/>
    </w:rPr>
  </w:style>
  <w:style w:type="character" w:customStyle="1" w:styleId="CommentSubjectChar">
    <w:name w:val="Comment Subject Char"/>
    <w:basedOn w:val="CommentTextChar"/>
    <w:link w:val="CommentSubject"/>
    <w:uiPriority w:val="99"/>
    <w:semiHidden/>
    <w:rsid w:val="001A6444"/>
    <w:rPr>
      <w:rFonts w:ascii="Open Sans" w:hAnsi="Open Sans"/>
      <w:b/>
      <w:bCs/>
      <w:color w:val="000000" w:themeColor="text1"/>
      <w:sz w:val="20"/>
      <w:szCs w:val="20"/>
      <w:lang w:val="en-AU"/>
    </w:rPr>
  </w:style>
  <w:style w:type="character" w:styleId="Mention">
    <w:name w:val="Mention"/>
    <w:basedOn w:val="DefaultParagraphFont"/>
    <w:uiPriority w:val="99"/>
    <w:semiHidden/>
    <w:rsid w:val="000817D9"/>
    <w:rPr>
      <w:color w:val="2B579A"/>
      <w:shd w:val="clear" w:color="auto" w:fill="E1DFDD"/>
    </w:rPr>
  </w:style>
  <w:style w:type="paragraph" w:customStyle="1" w:styleId="Blockquotelistbullets">
    <w:name w:val="Block quote list bullets"/>
    <w:basedOn w:val="Bodylistbullets"/>
    <w:uiPriority w:val="10"/>
    <w:qFormat/>
    <w:rsid w:val="00683E20"/>
    <w:pPr>
      <w:ind w:left="924"/>
    </w:pPr>
  </w:style>
  <w:style w:type="paragraph" w:customStyle="1" w:styleId="Sectionsummarybody">
    <w:name w:val="Section summary body"/>
    <w:uiPriority w:val="6"/>
    <w:qFormat/>
    <w:rsid w:val="00C214AA"/>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spacing w:before="120" w:after="0" w:line="280" w:lineRule="atLeast"/>
    </w:pPr>
    <w:rPr>
      <w:rFonts w:ascii="Open Sans" w:hAnsi="Open Sans"/>
      <w:color w:val="000000" w:themeColor="text1"/>
      <w:lang w:val="en-AU"/>
    </w:rPr>
  </w:style>
  <w:style w:type="paragraph" w:customStyle="1" w:styleId="Coremessagelistbullets">
    <w:name w:val="Core message list bullets"/>
    <w:basedOn w:val="Bodylistbullets"/>
    <w:uiPriority w:val="99"/>
    <w:semiHidden/>
    <w:qFormat/>
    <w:rsid w:val="001A6444"/>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pPr>
  </w:style>
  <w:style w:type="paragraph" w:customStyle="1" w:styleId="Heading1unnumbered">
    <w:name w:val="Heading 1 unnumbered"/>
    <w:basedOn w:val="Heading1"/>
    <w:next w:val="Normal"/>
    <w:uiPriority w:val="2"/>
    <w:qFormat/>
    <w:rsid w:val="006C229B"/>
    <w:pPr>
      <w:pageBreakBefore w:val="0"/>
      <w:numPr>
        <w:numId w:val="0"/>
      </w:numPr>
      <w:spacing w:after="240"/>
      <w:ind w:left="431" w:hanging="431"/>
    </w:pPr>
  </w:style>
  <w:style w:type="paragraph" w:customStyle="1" w:styleId="Heading2unnumbered">
    <w:name w:val="Heading 2 unnumbered"/>
    <w:basedOn w:val="Heading2"/>
    <w:next w:val="Normal"/>
    <w:uiPriority w:val="2"/>
    <w:semiHidden/>
    <w:qFormat/>
    <w:rsid w:val="00C265BB"/>
  </w:style>
  <w:style w:type="paragraph" w:styleId="Revision">
    <w:name w:val="Revision"/>
    <w:hidden/>
    <w:uiPriority w:val="99"/>
    <w:semiHidden/>
    <w:rsid w:val="00A8521C"/>
    <w:pPr>
      <w:spacing w:after="0" w:line="240" w:lineRule="auto"/>
    </w:pPr>
    <w:rPr>
      <w:rFonts w:ascii="Open Sans" w:hAnsi="Open Sans"/>
      <w:color w:val="000000" w:themeColor="text1"/>
      <w:lang w:val="en-AU"/>
    </w:rPr>
  </w:style>
  <w:style w:type="character" w:styleId="FollowedHyperlink">
    <w:name w:val="FollowedHyperlink"/>
    <w:basedOn w:val="DefaultParagraphFont"/>
    <w:uiPriority w:val="15"/>
    <w:rsid w:val="004D3359"/>
    <w:rPr>
      <w:color w:val="61136C" w:themeColor="followedHyperlink"/>
      <w:u w:val="single"/>
    </w:rPr>
  </w:style>
  <w:style w:type="paragraph" w:customStyle="1" w:styleId="Sectionsummarylistbullets">
    <w:name w:val="Section summary list bullets"/>
    <w:basedOn w:val="Coremessagelistbullets"/>
    <w:uiPriority w:val="6"/>
    <w:qFormat/>
    <w:rsid w:val="00CA4958"/>
  </w:style>
  <w:style w:type="paragraph" w:customStyle="1" w:styleId="Frontmatter">
    <w:name w:val="Front matter"/>
    <w:uiPriority w:val="10"/>
    <w:qFormat/>
    <w:rsid w:val="00C214AA"/>
    <w:pPr>
      <w:spacing w:before="120" w:after="0" w:line="280" w:lineRule="atLeast"/>
    </w:pPr>
    <w:rPr>
      <w:rFonts w:ascii="Open Sans" w:hAnsi="Open Sans"/>
      <w:color w:val="000000" w:themeColor="text1"/>
      <w:szCs w:val="22"/>
      <w:lang w:val="en-AU"/>
    </w:rPr>
  </w:style>
  <w:style w:type="table" w:customStyle="1" w:styleId="AHRCfirstcolumn">
    <w:name w:val="AHRC first column"/>
    <w:basedOn w:val="TableNormal"/>
    <w:uiPriority w:val="99"/>
    <w:rsid w:val="00F67824"/>
    <w:pPr>
      <w:spacing w:after="0" w:line="240" w:lineRule="auto"/>
    </w:pPr>
    <w:tblPr>
      <w:tblBorders>
        <w:insideH w:val="single" w:sz="4" w:space="0" w:color="929497" w:themeColor="accent6"/>
        <w:insideV w:val="single" w:sz="4" w:space="0" w:color="929497" w:themeColor="accent6"/>
      </w:tblBorders>
      <w:tblCellMar>
        <w:bottom w:w="108" w:type="dxa"/>
      </w:tblCellMar>
    </w:tblPr>
    <w:tblStylePr w:type="firstCol">
      <w:tblPr/>
      <w:tcPr>
        <w:shd w:val="clear" w:color="auto" w:fill="EBE9E8" w:themeFill="background2"/>
      </w:tcPr>
    </w:tblStylePr>
  </w:style>
  <w:style w:type="character" w:styleId="PlaceholderText">
    <w:name w:val="Placeholder Text"/>
    <w:basedOn w:val="DefaultParagraphFont"/>
    <w:uiPriority w:val="99"/>
    <w:semiHidden/>
    <w:rsid w:val="00FF3BE7"/>
    <w:rPr>
      <w:color w:val="666666"/>
    </w:rPr>
  </w:style>
  <w:style w:type="paragraph" w:styleId="NormalWeb">
    <w:name w:val="Normal (Web)"/>
    <w:basedOn w:val="Normal"/>
    <w:uiPriority w:val="99"/>
    <w:semiHidden/>
    <w:unhideWhenUsed/>
    <w:rsid w:val="00097962"/>
    <w:pPr>
      <w:spacing w:before="100" w:beforeAutospacing="1" w:after="100" w:afterAutospacing="1" w:line="240" w:lineRule="auto"/>
    </w:pPr>
    <w:rPr>
      <w:rFonts w:ascii="Times New Roman" w:eastAsia="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manrights.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13" Type="http://schemas.openxmlformats.org/officeDocument/2006/relationships/hyperlink" Target="https://docs.un.org/en/CRPD/C/AUS/CO/2-3" TargetMode="External"/><Relationship Id="rId18" Type="http://schemas.openxmlformats.org/officeDocument/2006/relationships/hyperlink" Target="https://www.ohchr.org/en/instruments-mechanisms/instruments/convention-elimination-all-forms-discrimination-against-women" TargetMode="External"/><Relationship Id="rId26" Type="http://schemas.openxmlformats.org/officeDocument/2006/relationships/hyperlink" Target="https://lsj.com.au/articles/state-sanctioned-torture-omen-with-disability-continue-to-suffer-forced-sterilisation/" TargetMode="External"/><Relationship Id="rId21" Type="http://schemas.openxmlformats.org/officeDocument/2006/relationships/hyperlink" Target="https://www.oecd.org/en/publications/oecd-framework-and-good-practice-principles-for-people-centred-justice_cdc3bde7-en.html" TargetMode="External"/><Relationship Id="rId34" Type="http://schemas.openxmlformats.org/officeDocument/2006/relationships/hyperlink" Target="https://www.ohchr.org/en/instruments-mechanisms/instruments/convention-elimination-all-forms-discrimination-against-women" TargetMode="External"/><Relationship Id="rId7" Type="http://schemas.openxmlformats.org/officeDocument/2006/relationships/hyperlink" Target="https://www.ohchr.org/en/instruments-mechanisms/instruments/international-covenant-economic-social-and-cultural-rights" TargetMode="External"/><Relationship Id="rId12" Type="http://schemas.openxmlformats.org/officeDocument/2006/relationships/hyperlink" Target="https://docs.un.org/en/CRC/C/AUS/CO/5-6" TargetMode="External"/><Relationship Id="rId17" Type="http://schemas.openxmlformats.org/officeDocument/2006/relationships/hyperlink" Target="https://www.dss.gov.au/national-plan-end-gender-based-violence" TargetMode="External"/><Relationship Id="rId25" Type="http://schemas.openxmlformats.org/officeDocument/2006/relationships/hyperlink" Target="https://wwda.org.au/wp-content/uploads/2024/12/WWDA_Redressing-Reproductive-Violence-Against-Women-with-Disability22.pdf" TargetMode="External"/><Relationship Id="rId33" Type="http://schemas.openxmlformats.org/officeDocument/2006/relationships/hyperlink" Target="https://social.desa.un.org/issues/disability/crpd/convention-on-the-rights-of-persons-with-disabilities-crpd" TargetMode="External"/><Relationship Id="rId38" Type="http://schemas.openxmlformats.org/officeDocument/2006/relationships/hyperlink" Target="https://social.desa.un.org/issues/disability/crpd/article-31-statistics-and-data-collection" TargetMode="External"/><Relationship Id="rId2" Type="http://schemas.openxmlformats.org/officeDocument/2006/relationships/hyperlink" Target="https://social.desa.un.org/issues/disability/crpd/article-17-protecting-the-integrity-of-the-person" TargetMode="External"/><Relationship Id="rId16" Type="http://schemas.openxmlformats.org/officeDocument/2006/relationships/hyperlink" Target="https://disability.royalcommission.gov.au/publications/final-report-volume-6-enabling-autonomy-and-access" TargetMode="External"/><Relationship Id="rId20" Type="http://schemas.openxmlformats.org/officeDocument/2006/relationships/hyperlink" Target="https://www.ohchr.org/en/instruments-mechanisms/instruments/convention-elimination-all-forms-discrimination-against-women" TargetMode="External"/><Relationship Id="rId29" Type="http://schemas.openxmlformats.org/officeDocument/2006/relationships/hyperlink" Target="https://disability.royalcommission.gov.au/publications/final-report-volume-6-enabling-autonomy-and-access" TargetMode="External"/><Relationship Id="rId1" Type="http://schemas.openxmlformats.org/officeDocument/2006/relationships/hyperlink" Target="https://social.desa.un.org/issues/disability/crpd/article-6-women-with-disabilities" TargetMode="External"/><Relationship Id="rId6" Type="http://schemas.openxmlformats.org/officeDocument/2006/relationships/hyperlink" Target="https://www.ohchr.org/en/instruments-mechanisms/instruments/international-covenant-civil-and-political-rights" TargetMode="External"/><Relationship Id="rId11" Type="http://schemas.openxmlformats.org/officeDocument/2006/relationships/hyperlink" Target="https://docs.un.org/en/CEDAW/C/AUS/CO/8" TargetMode="External"/><Relationship Id="rId24" Type="http://schemas.openxmlformats.org/officeDocument/2006/relationships/hyperlink" Target="https://www.publicadvocate.vic.gov.au/opa-s-work/submissions/royal-commission-into-violence-abuse-neglect-and-exploitation-in-disability-care/560-parents-and-children-with-disability-opa-submission-to-drc" TargetMode="External"/><Relationship Id="rId32" Type="http://schemas.openxmlformats.org/officeDocument/2006/relationships/hyperlink" Target="https://www.msiaustralia.org.au/apology-for-forced-medical-procedures-linked-to-colonisation-and-racism-in-australia" TargetMode="External"/><Relationship Id="rId37" Type="http://schemas.openxmlformats.org/officeDocument/2006/relationships/hyperlink" Target="https://www.aihw.gov.au/about-our-data/data-governance/the-five-safes-framework" TargetMode="External"/><Relationship Id="rId5" Type="http://schemas.openxmlformats.org/officeDocument/2006/relationships/hyperlink" Target="https://www.ohchr.org/en/instruments-mechanisms/instruments/convention-elimination-all-forms-discrimination-against-women" TargetMode="External"/><Relationship Id="rId15" Type="http://schemas.openxmlformats.org/officeDocument/2006/relationships/hyperlink" Target="https://social.desa.un.org/issues/disability/crpd/article-31-statistics-and-data-collection" TargetMode="External"/><Relationship Id="rId23" Type="http://schemas.openxmlformats.org/officeDocument/2006/relationships/hyperlink" Target="https://wwda.org.au/our-resources/publication/legal2011/" TargetMode="External"/><Relationship Id="rId28" Type="http://schemas.openxmlformats.org/officeDocument/2006/relationships/hyperlink" Target="https://disability.royalcommission.gov.au/publications/final-report-volume-9-first-nations-people-disability" TargetMode="External"/><Relationship Id="rId36" Type="http://schemas.openxmlformats.org/officeDocument/2006/relationships/hyperlink" Target="https://www.ohchr.org/en/instruments-mechanisms/instruments/international-covenant-economic-social-and-cultural-rights" TargetMode="External"/><Relationship Id="rId10" Type="http://schemas.openxmlformats.org/officeDocument/2006/relationships/hyperlink" Target="https://wwda.org.au/our-resources/publication/legal2011/" TargetMode="External"/><Relationship Id="rId19" Type="http://schemas.openxmlformats.org/officeDocument/2006/relationships/hyperlink" Target="https://social.desa.un.org/issues/disability/crpd/article-12-equal-recognition-before-the-law" TargetMode="External"/><Relationship Id="rId31" Type="http://schemas.openxmlformats.org/officeDocument/2006/relationships/hyperlink" Target="https://lsj.com.au/articles/state-sanctioned-torture-omen-with-disability-continue-to-suffer-forced-sterilisation/" TargetMode="External"/><Relationship Id="rId4" Type="http://schemas.openxmlformats.org/officeDocument/2006/relationships/hyperlink" Target="https://social.desa.un.org/issues/disability/crpd/article-25-health" TargetMode="External"/><Relationship Id="rId9" Type="http://schemas.openxmlformats.org/officeDocument/2006/relationships/hyperlink" Target="https://alhr.org.au/australian-women-girls-disabilities-still-face-forced-sterilisation-abortions/" TargetMode="External"/><Relationship Id="rId14" Type="http://schemas.openxmlformats.org/officeDocument/2006/relationships/hyperlink" Target="A/HRC/47/8" TargetMode="External"/><Relationship Id="rId22" Type="http://schemas.openxmlformats.org/officeDocument/2006/relationships/hyperlink" Target="https://disability.royalcommission.gov.au/publications/final-report-volume-6-enabling-autonomy-and-access" TargetMode="External"/><Relationship Id="rId27" Type="http://schemas.openxmlformats.org/officeDocument/2006/relationships/hyperlink" Target="https://www.msiaustralia.org.au/apology-for-forced-medical-procedures-linked-to-colonisation-and-racism-in-australia" TargetMode="External"/><Relationship Id="rId30" Type="http://schemas.openxmlformats.org/officeDocument/2006/relationships/hyperlink" Target="https://wwda.org.au/our-resources/publication/legal2011/" TargetMode="External"/><Relationship Id="rId35" Type="http://schemas.openxmlformats.org/officeDocument/2006/relationships/hyperlink" Target="https://www.ohchr.org/en/instruments-mechanisms/instruments/international-covenant-civil-and-political-rights" TargetMode="External"/><Relationship Id="rId8" Type="http://schemas.openxmlformats.org/officeDocument/2006/relationships/hyperlink" Target="https://disability.royalcommission.gov.au/publications/final-report-volume-6-enabling-autonomy-and-access" TargetMode="External"/><Relationship Id="rId3" Type="http://schemas.openxmlformats.org/officeDocument/2006/relationships/hyperlink" Target="https://social.desa.un.org/issues/disability/crpd/article-23-respect-for-home-and-the-famil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NEW%20Submission%20template%20October%202025.dotx" TargetMode="External"/></Relationship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headings xmlns="http://AHRCheadings.htm">
  <Overview>Overview</Overview>
  <Topic1>Rights and equity</Topic1>
  <Topic2>Recognition</Topic2>
  <Topic3>Safeguards</Topic3>
  <Topic4>Family planning</Topic4>
  <Topic5>Safeguards</Topic5>
  <Topic6>Context</Topic6>
  <Endnotes>Endnotes</Endnotes>
</heading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WEV44C3EEZP4-1056255319-11748</_dlc_DocId>
    <_dlc_DocIdUrl xmlns="6500fe01-343b-4fb9-a1b0-68ac19d62e01">
      <Url>https://australianhrc.sharepoint.com/sites/DisabilityRights/_layouts/15/DocIdRedir.aspx?ID=WEV44C3EEZP4-1056255319-11748</Url>
      <Description>WEV44C3EEZP4-1056255319-11748</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Props1.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2.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3.xml><?xml version="1.0" encoding="utf-8"?>
<ds:datastoreItem xmlns:ds="http://schemas.openxmlformats.org/officeDocument/2006/customXml" ds:itemID="{59E40458-85DB-4B58-AD7F-ED1E21A92441}">
  <ds:schemaRefs>
    <ds:schemaRef ds:uri="http://AHRCheadings.htm"/>
  </ds:schemaRefs>
</ds:datastoreItem>
</file>

<file path=customXml/itemProps4.xml><?xml version="1.0" encoding="utf-8"?>
<ds:datastoreItem xmlns:ds="http://schemas.openxmlformats.org/officeDocument/2006/customXml" ds:itemID="{EEBCF49C-9574-490D-9FA0-31A2375C306F}">
  <ds:schemaRefs>
    <ds:schemaRef ds:uri="http://schemas.microsoft.com/office/2006/metadata/customXsn"/>
  </ds:schemaRefs>
</ds:datastoreItem>
</file>

<file path=customXml/itemProps5.xml><?xml version="1.0" encoding="utf-8"?>
<ds:datastoreItem xmlns:ds="http://schemas.openxmlformats.org/officeDocument/2006/customXml" ds:itemID="{BD8C5BCB-E34F-4952-96C1-EFEB5027A3B8}">
  <ds:schemaRefs>
    <ds:schemaRef ds:uri="Microsoft.SharePoint.Taxonomy.ContentTypeSync"/>
  </ds:schemaRefs>
</ds:datastoreItem>
</file>

<file path=customXml/itemProps6.xml><?xml version="1.0" encoding="utf-8"?>
<ds:datastoreItem xmlns:ds="http://schemas.openxmlformats.org/officeDocument/2006/customXml" ds:itemID="{A89BC848-6675-4F6C-82D6-CEFBE576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14DE90-639F-4BC8-AE29-34AB534813D7}">
  <ds:schemaRefs>
    <ds:schemaRef ds:uri="http://schemas.microsoft.com/sharepoint/events"/>
  </ds:schemaRefs>
</ds:datastoreItem>
</file>

<file path=customXml/itemProps8.xml><?xml version="1.0" encoding="utf-8"?>
<ds:datastoreItem xmlns:ds="http://schemas.openxmlformats.org/officeDocument/2006/customXml" ds:itemID="{59F97394-0F22-4A82-A234-3D4F685BB319}">
  <ds:schemaRefs>
    <ds:schemaRef ds:uri="http://schemas.microsoft.com/office/2006/metadata/properties"/>
    <ds:schemaRef ds:uri="d305f544-be6d-4a06-9182-35e488c047b9"/>
    <ds:schemaRef ds:uri="http://purl.org/dc/dcmitype/"/>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39d46e2e-af2c-4283-b2c0-dbe09d693c60"/>
    <ds:schemaRef ds:uri="6500fe01-343b-4fb9-a1b0-68ac19d62e01"/>
  </ds:schemaRefs>
</ds:datastoreItem>
</file>

<file path=docProps/app.xml><?xml version="1.0" encoding="utf-8"?>
<Properties xmlns="http://schemas.openxmlformats.org/officeDocument/2006/extended-properties" xmlns:vt="http://schemas.openxmlformats.org/officeDocument/2006/docPropsVTypes">
  <Template>NEW%20Submission%20template%20October%202025.dotx</Template>
  <TotalTime>254</TotalTime>
  <Pages>14</Pages>
  <Words>2852</Words>
  <Characters>17172</Characters>
  <Application>Microsoft Office Word</Application>
  <DocSecurity>0</DocSecurity>
  <Lines>382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Links>
    <vt:vector size="84" baseType="variant">
      <vt:variant>
        <vt:i4>8192034</vt:i4>
      </vt:variant>
      <vt:variant>
        <vt:i4>78</vt:i4>
      </vt:variant>
      <vt:variant>
        <vt:i4>0</vt:i4>
      </vt:variant>
      <vt:variant>
        <vt:i4>5</vt:i4>
      </vt:variant>
      <vt:variant>
        <vt:lpwstr/>
      </vt:variant>
      <vt:variant>
        <vt:lpwstr>_Pre-set_styles</vt:lpwstr>
      </vt:variant>
      <vt:variant>
        <vt:i4>7143487</vt:i4>
      </vt:variant>
      <vt:variant>
        <vt:i4>75</vt:i4>
      </vt:variant>
      <vt:variant>
        <vt:i4>0</vt:i4>
      </vt:variant>
      <vt:variant>
        <vt:i4>5</vt:i4>
      </vt:variant>
      <vt:variant>
        <vt:lpwstr>http://www.humanrights.gov.au/</vt:lpwstr>
      </vt:variant>
      <vt:variant>
        <vt:lpwstr/>
      </vt:variant>
      <vt:variant>
        <vt:i4>1572926</vt:i4>
      </vt:variant>
      <vt:variant>
        <vt:i4>68</vt:i4>
      </vt:variant>
      <vt:variant>
        <vt:i4>0</vt:i4>
      </vt:variant>
      <vt:variant>
        <vt:i4>5</vt:i4>
      </vt:variant>
      <vt:variant>
        <vt:lpwstr/>
      </vt:variant>
      <vt:variant>
        <vt:lpwstr>_Toc198022540</vt:lpwstr>
      </vt:variant>
      <vt:variant>
        <vt:i4>2031678</vt:i4>
      </vt:variant>
      <vt:variant>
        <vt:i4>62</vt:i4>
      </vt:variant>
      <vt:variant>
        <vt:i4>0</vt:i4>
      </vt:variant>
      <vt:variant>
        <vt:i4>5</vt:i4>
      </vt:variant>
      <vt:variant>
        <vt:lpwstr/>
      </vt:variant>
      <vt:variant>
        <vt:lpwstr>_Toc198022539</vt:lpwstr>
      </vt:variant>
      <vt:variant>
        <vt:i4>2031678</vt:i4>
      </vt:variant>
      <vt:variant>
        <vt:i4>56</vt:i4>
      </vt:variant>
      <vt:variant>
        <vt:i4>0</vt:i4>
      </vt:variant>
      <vt:variant>
        <vt:i4>5</vt:i4>
      </vt:variant>
      <vt:variant>
        <vt:lpwstr/>
      </vt:variant>
      <vt:variant>
        <vt:lpwstr>_Toc198022538</vt:lpwstr>
      </vt:variant>
      <vt:variant>
        <vt:i4>2031678</vt:i4>
      </vt:variant>
      <vt:variant>
        <vt:i4>50</vt:i4>
      </vt:variant>
      <vt:variant>
        <vt:i4>0</vt:i4>
      </vt:variant>
      <vt:variant>
        <vt:i4>5</vt:i4>
      </vt:variant>
      <vt:variant>
        <vt:lpwstr/>
      </vt:variant>
      <vt:variant>
        <vt:lpwstr>_Toc198022537</vt:lpwstr>
      </vt:variant>
      <vt:variant>
        <vt:i4>2031678</vt:i4>
      </vt:variant>
      <vt:variant>
        <vt:i4>44</vt:i4>
      </vt:variant>
      <vt:variant>
        <vt:i4>0</vt:i4>
      </vt:variant>
      <vt:variant>
        <vt:i4>5</vt:i4>
      </vt:variant>
      <vt:variant>
        <vt:lpwstr/>
      </vt:variant>
      <vt:variant>
        <vt:lpwstr>_Toc198022536</vt:lpwstr>
      </vt:variant>
      <vt:variant>
        <vt:i4>2031678</vt:i4>
      </vt:variant>
      <vt:variant>
        <vt:i4>38</vt:i4>
      </vt:variant>
      <vt:variant>
        <vt:i4>0</vt:i4>
      </vt:variant>
      <vt:variant>
        <vt:i4>5</vt:i4>
      </vt:variant>
      <vt:variant>
        <vt:lpwstr/>
      </vt:variant>
      <vt:variant>
        <vt:lpwstr>_Toc198022535</vt:lpwstr>
      </vt:variant>
      <vt:variant>
        <vt:i4>2031678</vt:i4>
      </vt:variant>
      <vt:variant>
        <vt:i4>32</vt:i4>
      </vt:variant>
      <vt:variant>
        <vt:i4>0</vt:i4>
      </vt:variant>
      <vt:variant>
        <vt:i4>5</vt:i4>
      </vt:variant>
      <vt:variant>
        <vt:lpwstr/>
      </vt:variant>
      <vt:variant>
        <vt:lpwstr>_Toc198022534</vt:lpwstr>
      </vt:variant>
      <vt:variant>
        <vt:i4>2031678</vt:i4>
      </vt:variant>
      <vt:variant>
        <vt:i4>26</vt:i4>
      </vt:variant>
      <vt:variant>
        <vt:i4>0</vt:i4>
      </vt:variant>
      <vt:variant>
        <vt:i4>5</vt:i4>
      </vt:variant>
      <vt:variant>
        <vt:lpwstr/>
      </vt:variant>
      <vt:variant>
        <vt:lpwstr>_Toc198022533</vt:lpwstr>
      </vt:variant>
      <vt:variant>
        <vt:i4>2031678</vt:i4>
      </vt:variant>
      <vt:variant>
        <vt:i4>20</vt:i4>
      </vt:variant>
      <vt:variant>
        <vt:i4>0</vt:i4>
      </vt:variant>
      <vt:variant>
        <vt:i4>5</vt:i4>
      </vt:variant>
      <vt:variant>
        <vt:lpwstr/>
      </vt:variant>
      <vt:variant>
        <vt:lpwstr>_Toc198022532</vt:lpwstr>
      </vt:variant>
      <vt:variant>
        <vt:i4>2031678</vt:i4>
      </vt:variant>
      <vt:variant>
        <vt:i4>14</vt:i4>
      </vt:variant>
      <vt:variant>
        <vt:i4>0</vt:i4>
      </vt:variant>
      <vt:variant>
        <vt:i4>5</vt:i4>
      </vt:variant>
      <vt:variant>
        <vt:lpwstr/>
      </vt:variant>
      <vt:variant>
        <vt:lpwstr>_Toc198022531</vt:lpwstr>
      </vt:variant>
      <vt:variant>
        <vt:i4>2031678</vt:i4>
      </vt:variant>
      <vt:variant>
        <vt:i4>8</vt:i4>
      </vt:variant>
      <vt:variant>
        <vt:i4>0</vt:i4>
      </vt:variant>
      <vt:variant>
        <vt:i4>5</vt:i4>
      </vt:variant>
      <vt:variant>
        <vt:lpwstr/>
      </vt:variant>
      <vt:variant>
        <vt:lpwstr>_Toc198022530</vt:lpwstr>
      </vt:variant>
      <vt:variant>
        <vt:i4>1966142</vt:i4>
      </vt:variant>
      <vt:variant>
        <vt:i4>2</vt:i4>
      </vt:variant>
      <vt:variant>
        <vt:i4>0</vt:i4>
      </vt:variant>
      <vt:variant>
        <vt:i4>5</vt:i4>
      </vt:variant>
      <vt:variant>
        <vt:lpwstr/>
      </vt:variant>
      <vt:variant>
        <vt:lpwstr>_Toc198022529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Tsindos</dc:creator>
  <cp:keywords/>
  <dc:description/>
  <cp:lastModifiedBy>Lola Trajkovich</cp:lastModifiedBy>
  <cp:revision>23</cp:revision>
  <cp:lastPrinted>2025-12-05T01:30:00Z</cp:lastPrinted>
  <dcterms:created xsi:type="dcterms:W3CDTF">2025-11-14T00:16:00Z</dcterms:created>
  <dcterms:modified xsi:type="dcterms:W3CDTF">2026-01-09T12:16:00Z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Order">
    <vt:r8>24600</vt:r8>
  </property>
  <property fmtid="{D5CDD505-2E9C-101B-9397-08002B2CF9AE}" pid="8" name="Review">
    <vt:bool>true</vt:bool>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dlc_DocIdItemGuid">
    <vt:lpwstr>32989570-41dc-4900-8f2f-b6b4d3b69c9f</vt:lpwstr>
  </property>
</Properties>
</file>