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79C9" w14:textId="59706E0D" w:rsidR="00F605BB" w:rsidRPr="001369AA" w:rsidRDefault="009C2B72" w:rsidP="001369AA">
      <w:pPr>
        <w:pStyle w:val="Title"/>
        <w:rPr>
          <w:rFonts w:ascii="Open Sans" w:hAnsi="Open Sans" w:cs="Open Sans"/>
          <w:b/>
          <w:bCs/>
        </w:rPr>
      </w:pPr>
      <w:r>
        <w:rPr>
          <w:rFonts w:ascii="Open Sans" w:hAnsi="Open Sans" w:cs="Open Sans"/>
          <w:b/>
          <w:bCs/>
        </w:rPr>
        <w:t>Stats &amp; Facts</w:t>
      </w:r>
      <w:r w:rsidR="001F1ACA" w:rsidRPr="001369AA">
        <w:rPr>
          <w:rFonts w:ascii="Open Sans" w:hAnsi="Open Sans" w:cs="Open Sans"/>
          <w:b/>
          <w:bCs/>
        </w:rPr>
        <w:t xml:space="preserve">: </w:t>
      </w:r>
      <w:r w:rsidR="000C0801" w:rsidRPr="001369AA">
        <w:rPr>
          <w:rFonts w:ascii="Open Sans" w:hAnsi="Open Sans" w:cs="Open Sans"/>
          <w:b/>
          <w:bCs/>
        </w:rPr>
        <w:t>Older Australians</w:t>
      </w:r>
    </w:p>
    <w:p w14:paraId="79E69B1E" w14:textId="386AD80E" w:rsidR="000C0801" w:rsidRPr="001F1ACA" w:rsidRDefault="000C0801" w:rsidP="001369AA">
      <w:pPr>
        <w:spacing w:line="240" w:lineRule="auto"/>
        <w:rPr>
          <w:rFonts w:ascii="Open Sans" w:hAnsi="Open Sans" w:cs="Open Sans"/>
          <w:sz w:val="24"/>
          <w:szCs w:val="24"/>
        </w:rPr>
      </w:pPr>
      <w:r w:rsidRPr="0DBA8FC0">
        <w:rPr>
          <w:rFonts w:ascii="Open Sans" w:hAnsi="Open Sans" w:cs="Open Sans"/>
          <w:sz w:val="24"/>
          <w:szCs w:val="24"/>
        </w:rPr>
        <w:t>Australians are living longer and healthier lives, and population ageing is one of the major forces shaping Australia’s future. Compared to previous generations, Australians today are participating actively in the workforce and many other areas of public life to older ages. Older Australians provide enormous contributions to Australia’s society, culture, communities, workplaces and economy.</w:t>
      </w:r>
    </w:p>
    <w:p w14:paraId="35416B46" w14:textId="3C2BF873" w:rsidR="000C0801" w:rsidRDefault="000C0801" w:rsidP="001369AA">
      <w:pPr>
        <w:spacing w:line="240" w:lineRule="auto"/>
        <w:rPr>
          <w:rFonts w:ascii="Open Sans" w:hAnsi="Open Sans" w:cs="Open Sans"/>
          <w:sz w:val="24"/>
          <w:szCs w:val="24"/>
        </w:rPr>
      </w:pPr>
      <w:r w:rsidRPr="0DBA8FC0">
        <w:rPr>
          <w:rFonts w:ascii="Open Sans" w:hAnsi="Open Sans" w:cs="Open Sans"/>
          <w:sz w:val="24"/>
          <w:szCs w:val="24"/>
        </w:rPr>
        <w:t>Yet for some older Australians the story is very different, with many experiencing increased levels of economic stress, including housing vulnerability and an increasing risk of abuse. Ageism and age discrimination continue to create barriers to older people’s full and equal enjoyment of their human rights.</w:t>
      </w:r>
    </w:p>
    <w:p w14:paraId="5BAD3BF1" w14:textId="77777777" w:rsidR="002033C8" w:rsidRPr="001369AA" w:rsidRDefault="002033C8" w:rsidP="001369AA">
      <w:pPr>
        <w:pStyle w:val="Heading1"/>
        <w:spacing w:line="240" w:lineRule="auto"/>
        <w:rPr>
          <w:rFonts w:ascii="Open Sans" w:hAnsi="Open Sans" w:cs="Open Sans"/>
          <w:b/>
          <w:bCs/>
          <w:color w:val="000000" w:themeColor="text1"/>
          <w:sz w:val="36"/>
          <w:szCs w:val="36"/>
        </w:rPr>
      </w:pPr>
      <w:r w:rsidRPr="001369AA">
        <w:rPr>
          <w:rFonts w:ascii="Open Sans" w:hAnsi="Open Sans" w:cs="Open Sans"/>
          <w:b/>
          <w:bCs/>
          <w:color w:val="000000" w:themeColor="text1"/>
          <w:sz w:val="36"/>
          <w:szCs w:val="36"/>
        </w:rPr>
        <w:t>Life expectancy</w:t>
      </w:r>
    </w:p>
    <w:p w14:paraId="1FE170E2" w14:textId="77777777" w:rsidR="002033C8" w:rsidRDefault="002033C8" w:rsidP="001369AA">
      <w:pPr>
        <w:pStyle w:val="ListParagraph"/>
        <w:numPr>
          <w:ilvl w:val="0"/>
          <w:numId w:val="11"/>
        </w:numPr>
        <w:spacing w:line="240" w:lineRule="auto"/>
        <w:rPr>
          <w:rFonts w:ascii="Open Sans" w:hAnsi="Open Sans" w:cs="Open Sans"/>
          <w:sz w:val="24"/>
          <w:szCs w:val="24"/>
        </w:rPr>
      </w:pPr>
      <w:r w:rsidRPr="00822A07">
        <w:rPr>
          <w:rFonts w:ascii="Open Sans" w:hAnsi="Open Sans" w:cs="Open Sans"/>
          <w:sz w:val="24"/>
          <w:szCs w:val="24"/>
        </w:rPr>
        <w:t>On average, people in Australia enjoy one of the highest life expectancies in the world.</w:t>
      </w:r>
    </w:p>
    <w:p w14:paraId="26B449E5" w14:textId="77777777" w:rsidR="002033C8" w:rsidRDefault="002033C8" w:rsidP="001369AA">
      <w:pPr>
        <w:pStyle w:val="ListParagraph"/>
        <w:numPr>
          <w:ilvl w:val="1"/>
          <w:numId w:val="11"/>
        </w:numPr>
        <w:spacing w:line="240" w:lineRule="auto"/>
        <w:rPr>
          <w:rFonts w:ascii="Open Sans" w:hAnsi="Open Sans" w:cs="Open Sans"/>
          <w:sz w:val="24"/>
          <w:szCs w:val="24"/>
        </w:rPr>
      </w:pPr>
      <w:r w:rsidRPr="00822A07">
        <w:rPr>
          <w:rFonts w:ascii="Open Sans" w:hAnsi="Open Sans" w:cs="Open Sans"/>
          <w:sz w:val="24"/>
          <w:szCs w:val="24"/>
        </w:rPr>
        <w:t xml:space="preserve">Men </w:t>
      </w:r>
      <w:r>
        <w:rPr>
          <w:rFonts w:ascii="Open Sans" w:hAnsi="Open Sans" w:cs="Open Sans"/>
          <w:sz w:val="24"/>
          <w:szCs w:val="24"/>
        </w:rPr>
        <w:br/>
      </w:r>
      <w:r w:rsidRPr="00822A07">
        <w:rPr>
          <w:rFonts w:ascii="Open Sans" w:hAnsi="Open Sans" w:cs="Open Sans"/>
          <w:sz w:val="24"/>
          <w:szCs w:val="24"/>
        </w:rPr>
        <w:t xml:space="preserve">2020-2022: 81 years  </w:t>
      </w:r>
    </w:p>
    <w:p w14:paraId="6D83AE14" w14:textId="77777777" w:rsidR="002033C8" w:rsidRPr="00822A07" w:rsidRDefault="002033C8" w:rsidP="001369AA">
      <w:pPr>
        <w:pStyle w:val="ListParagraph"/>
        <w:numPr>
          <w:ilvl w:val="1"/>
          <w:numId w:val="11"/>
        </w:numPr>
        <w:spacing w:line="240" w:lineRule="auto"/>
        <w:rPr>
          <w:rFonts w:ascii="Open Sans" w:hAnsi="Open Sans" w:cs="Open Sans"/>
          <w:sz w:val="24"/>
          <w:szCs w:val="24"/>
        </w:rPr>
      </w:pPr>
      <w:r w:rsidRPr="00822A07">
        <w:rPr>
          <w:rFonts w:ascii="Open Sans" w:hAnsi="Open Sans" w:cs="Open Sans"/>
          <w:sz w:val="24"/>
          <w:szCs w:val="24"/>
        </w:rPr>
        <w:t xml:space="preserve">Women </w:t>
      </w:r>
      <w:r>
        <w:rPr>
          <w:rFonts w:ascii="Open Sans" w:hAnsi="Open Sans" w:cs="Open Sans"/>
          <w:sz w:val="24"/>
          <w:szCs w:val="24"/>
        </w:rPr>
        <w:br/>
      </w:r>
      <w:r w:rsidRPr="00822A07">
        <w:rPr>
          <w:rFonts w:ascii="Open Sans" w:hAnsi="Open Sans" w:cs="Open Sans"/>
          <w:sz w:val="24"/>
          <w:szCs w:val="24"/>
        </w:rPr>
        <w:t>2020-2022: 85 years</w:t>
      </w:r>
      <w:r>
        <w:rPr>
          <w:rStyle w:val="EndnoteReference"/>
          <w:rFonts w:ascii="Open Sans" w:hAnsi="Open Sans" w:cs="Open Sans"/>
          <w:sz w:val="24"/>
          <w:szCs w:val="24"/>
        </w:rPr>
        <w:endnoteReference w:id="2"/>
      </w:r>
      <w:r>
        <w:rPr>
          <w:rFonts w:ascii="Open Sans" w:hAnsi="Open Sans" w:cs="Open Sans"/>
          <w:sz w:val="24"/>
          <w:szCs w:val="24"/>
        </w:rPr>
        <w:br/>
      </w:r>
    </w:p>
    <w:p w14:paraId="6FBA37F0" w14:textId="5E5F24B4" w:rsidR="002033C8" w:rsidRDefault="002033C8" w:rsidP="001369AA">
      <w:pPr>
        <w:pStyle w:val="ListParagraph"/>
        <w:numPr>
          <w:ilvl w:val="0"/>
          <w:numId w:val="12"/>
        </w:numPr>
        <w:spacing w:line="240" w:lineRule="auto"/>
        <w:rPr>
          <w:rFonts w:ascii="Open Sans" w:hAnsi="Open Sans" w:cs="Open Sans"/>
          <w:sz w:val="24"/>
          <w:szCs w:val="24"/>
        </w:rPr>
      </w:pPr>
      <w:r w:rsidRPr="00822A07">
        <w:rPr>
          <w:rFonts w:ascii="Open Sans" w:hAnsi="Open Sans" w:cs="Open Sans"/>
          <w:sz w:val="24"/>
          <w:szCs w:val="24"/>
        </w:rPr>
        <w:t>However, Aboriginal and Torres Strait Islander people continue to experience a lower life expectancy.</w:t>
      </w:r>
    </w:p>
    <w:p w14:paraId="5600E9FF" w14:textId="052A49F3" w:rsidR="002033C8" w:rsidRDefault="002033C8" w:rsidP="001369AA">
      <w:pPr>
        <w:pStyle w:val="ListParagraph"/>
        <w:numPr>
          <w:ilvl w:val="1"/>
          <w:numId w:val="13"/>
        </w:numPr>
        <w:spacing w:line="240" w:lineRule="auto"/>
        <w:rPr>
          <w:rFonts w:ascii="Open Sans" w:hAnsi="Open Sans" w:cs="Open Sans"/>
          <w:sz w:val="24"/>
          <w:szCs w:val="24"/>
        </w:rPr>
      </w:pPr>
      <w:r w:rsidRPr="00822A07">
        <w:rPr>
          <w:rFonts w:ascii="Open Sans" w:hAnsi="Open Sans" w:cs="Open Sans"/>
          <w:sz w:val="24"/>
          <w:szCs w:val="24"/>
        </w:rPr>
        <w:t xml:space="preserve">Aboriginal and Torres Strait Islander men </w:t>
      </w:r>
      <w:r w:rsidR="006D4A9F">
        <w:rPr>
          <w:rFonts w:ascii="Open Sans" w:hAnsi="Open Sans" w:cs="Open Sans"/>
          <w:sz w:val="24"/>
          <w:szCs w:val="24"/>
        </w:rPr>
        <w:br/>
      </w:r>
      <w:r w:rsidRPr="00822A07">
        <w:rPr>
          <w:rFonts w:ascii="Open Sans" w:hAnsi="Open Sans" w:cs="Open Sans"/>
          <w:sz w:val="24"/>
          <w:szCs w:val="24"/>
        </w:rPr>
        <w:t>2020-2022: 72 years</w:t>
      </w:r>
    </w:p>
    <w:p w14:paraId="28D3AD54" w14:textId="0114928F" w:rsidR="002033C8" w:rsidRPr="002033C8" w:rsidRDefault="002033C8" w:rsidP="001369AA">
      <w:pPr>
        <w:pStyle w:val="ListParagraph"/>
        <w:numPr>
          <w:ilvl w:val="1"/>
          <w:numId w:val="13"/>
        </w:numPr>
        <w:spacing w:line="240" w:lineRule="auto"/>
        <w:rPr>
          <w:rFonts w:ascii="Open Sans" w:hAnsi="Open Sans" w:cs="Open Sans"/>
          <w:sz w:val="24"/>
          <w:szCs w:val="24"/>
        </w:rPr>
      </w:pPr>
      <w:r w:rsidRPr="002033C8">
        <w:rPr>
          <w:rFonts w:ascii="Open Sans" w:hAnsi="Open Sans" w:cs="Open Sans"/>
          <w:sz w:val="24"/>
          <w:szCs w:val="24"/>
        </w:rPr>
        <w:t>Aboriginal and Torres Strait Islander women</w:t>
      </w:r>
      <w:r w:rsidR="006D4A9F">
        <w:rPr>
          <w:rFonts w:ascii="Open Sans" w:hAnsi="Open Sans" w:cs="Open Sans"/>
          <w:sz w:val="24"/>
          <w:szCs w:val="24"/>
        </w:rPr>
        <w:br/>
      </w:r>
      <w:r w:rsidRPr="002033C8">
        <w:rPr>
          <w:rFonts w:ascii="Open Sans" w:hAnsi="Open Sans" w:cs="Open Sans"/>
          <w:sz w:val="24"/>
          <w:szCs w:val="24"/>
        </w:rPr>
        <w:t>2020-2022: 76 years</w:t>
      </w:r>
      <w:r>
        <w:rPr>
          <w:rStyle w:val="EndnoteReference"/>
          <w:rFonts w:ascii="Open Sans" w:hAnsi="Open Sans" w:cs="Open Sans"/>
          <w:sz w:val="24"/>
          <w:szCs w:val="24"/>
        </w:rPr>
        <w:endnoteReference w:id="3"/>
      </w:r>
    </w:p>
    <w:p w14:paraId="70725527" w14:textId="2684881A" w:rsidR="000C0801" w:rsidRPr="001369AA" w:rsidRDefault="00BE53BC" w:rsidP="001369AA">
      <w:pPr>
        <w:pStyle w:val="Heading1"/>
        <w:spacing w:line="240" w:lineRule="auto"/>
        <w:rPr>
          <w:rFonts w:ascii="Open Sans" w:hAnsi="Open Sans" w:cs="Open Sans"/>
          <w:b/>
          <w:bCs/>
          <w:color w:val="000000" w:themeColor="text1"/>
          <w:sz w:val="36"/>
          <w:szCs w:val="36"/>
        </w:rPr>
      </w:pPr>
      <w:r w:rsidRPr="001369AA">
        <w:rPr>
          <w:rFonts w:ascii="Open Sans" w:hAnsi="Open Sans" w:cs="Open Sans"/>
          <w:b/>
          <w:bCs/>
          <w:color w:val="000000" w:themeColor="text1"/>
          <w:sz w:val="36"/>
          <w:szCs w:val="36"/>
        </w:rPr>
        <w:t>Demographics and ageing population</w:t>
      </w:r>
    </w:p>
    <w:p w14:paraId="37A7B842" w14:textId="77777777" w:rsidR="00BE53BC" w:rsidRPr="001F1ACA" w:rsidRDefault="00BE53BC" w:rsidP="001369AA">
      <w:pPr>
        <w:pStyle w:val="ListParagraph"/>
        <w:numPr>
          <w:ilvl w:val="0"/>
          <w:numId w:val="1"/>
        </w:numPr>
        <w:spacing w:line="240" w:lineRule="auto"/>
        <w:rPr>
          <w:rFonts w:ascii="Open Sans" w:hAnsi="Open Sans" w:cs="Open Sans"/>
          <w:sz w:val="24"/>
          <w:szCs w:val="24"/>
        </w:rPr>
      </w:pPr>
      <w:r w:rsidRPr="001F1ACA">
        <w:rPr>
          <w:rFonts w:ascii="Open Sans" w:hAnsi="Open Sans" w:cs="Open Sans"/>
          <w:sz w:val="24"/>
          <w:szCs w:val="24"/>
        </w:rPr>
        <w:t xml:space="preserve">Over 16% of people in Australia are aged 65 and over: </w:t>
      </w:r>
    </w:p>
    <w:p w14:paraId="4C9F1E25" w14:textId="77777777" w:rsidR="00BE53BC" w:rsidRPr="001F1ACA" w:rsidRDefault="00BE53BC" w:rsidP="001369AA">
      <w:pPr>
        <w:pStyle w:val="ListParagraph"/>
        <w:numPr>
          <w:ilvl w:val="1"/>
          <w:numId w:val="3"/>
        </w:numPr>
        <w:spacing w:line="240" w:lineRule="auto"/>
        <w:rPr>
          <w:rFonts w:ascii="Open Sans" w:hAnsi="Open Sans" w:cs="Open Sans"/>
          <w:sz w:val="24"/>
          <w:szCs w:val="24"/>
        </w:rPr>
      </w:pPr>
      <w:r w:rsidRPr="001F1ACA">
        <w:rPr>
          <w:rFonts w:ascii="Open Sans" w:hAnsi="Open Sans" w:cs="Open Sans"/>
          <w:sz w:val="24"/>
          <w:szCs w:val="24"/>
        </w:rPr>
        <w:t>Women over 65: 2.2 million</w:t>
      </w:r>
    </w:p>
    <w:p w14:paraId="7FD91B56" w14:textId="1C55C323" w:rsidR="001F1ACA" w:rsidRPr="001F1ACA" w:rsidRDefault="00BE53BC" w:rsidP="001369AA">
      <w:pPr>
        <w:pStyle w:val="ListParagraph"/>
        <w:numPr>
          <w:ilvl w:val="1"/>
          <w:numId w:val="3"/>
        </w:numPr>
        <w:spacing w:line="240" w:lineRule="auto"/>
        <w:rPr>
          <w:rFonts w:ascii="Open Sans" w:hAnsi="Open Sans" w:cs="Open Sans"/>
          <w:sz w:val="24"/>
          <w:szCs w:val="24"/>
        </w:rPr>
      </w:pPr>
      <w:r w:rsidRPr="001F1ACA">
        <w:rPr>
          <w:rFonts w:ascii="Open Sans" w:hAnsi="Open Sans" w:cs="Open Sans"/>
          <w:sz w:val="24"/>
          <w:szCs w:val="24"/>
        </w:rPr>
        <w:t>Men over 65: 2 million</w:t>
      </w:r>
      <w:r w:rsidR="001F1ACA" w:rsidRPr="001F1ACA">
        <w:rPr>
          <w:rStyle w:val="EndnoteReference"/>
          <w:rFonts w:ascii="Open Sans" w:hAnsi="Open Sans" w:cs="Open Sans"/>
          <w:sz w:val="24"/>
          <w:szCs w:val="24"/>
        </w:rPr>
        <w:endnoteReference w:id="4"/>
      </w:r>
      <w:r w:rsidR="001F1ACA" w:rsidRPr="001F1ACA">
        <w:rPr>
          <w:rFonts w:ascii="Open Sans" w:hAnsi="Open Sans" w:cs="Open Sans"/>
          <w:sz w:val="24"/>
          <w:szCs w:val="24"/>
        </w:rPr>
        <w:br/>
      </w:r>
    </w:p>
    <w:p w14:paraId="1BEFC1E7" w14:textId="46F28284" w:rsidR="001F1ACA" w:rsidRPr="001F1ACA" w:rsidRDefault="001F1ACA" w:rsidP="001369AA">
      <w:pPr>
        <w:pStyle w:val="ListParagraph"/>
        <w:numPr>
          <w:ilvl w:val="0"/>
          <w:numId w:val="2"/>
        </w:numPr>
        <w:spacing w:line="240" w:lineRule="auto"/>
        <w:rPr>
          <w:rFonts w:ascii="Open Sans" w:hAnsi="Open Sans" w:cs="Open Sans"/>
          <w:sz w:val="24"/>
          <w:szCs w:val="24"/>
        </w:rPr>
      </w:pPr>
      <w:r w:rsidRPr="0DBA8FC0">
        <w:rPr>
          <w:rFonts w:ascii="Open Sans" w:hAnsi="Open Sans" w:cs="Open Sans"/>
          <w:sz w:val="24"/>
          <w:szCs w:val="24"/>
        </w:rPr>
        <w:t>This is expected to increase to almost 1 in 4 (4.5 million) by 2066.</w:t>
      </w:r>
      <w:r w:rsidRPr="0DBA8FC0">
        <w:rPr>
          <w:rStyle w:val="EndnoteReference"/>
          <w:rFonts w:ascii="Open Sans" w:hAnsi="Open Sans" w:cs="Open Sans"/>
          <w:sz w:val="24"/>
          <w:szCs w:val="24"/>
        </w:rPr>
        <w:endnoteReference w:id="5"/>
      </w:r>
      <w:r w:rsidRPr="0DBA8FC0">
        <w:rPr>
          <w:rFonts w:ascii="Open Sans" w:hAnsi="Open Sans" w:cs="Open Sans"/>
          <w:sz w:val="24"/>
          <w:szCs w:val="24"/>
        </w:rPr>
        <w:t xml:space="preserve">  </w:t>
      </w:r>
      <w:r w:rsidRPr="001F1ACA">
        <w:rPr>
          <w:rFonts w:ascii="Open Sans" w:hAnsi="Open Sans" w:cs="Open Sans"/>
          <w:sz w:val="24"/>
          <w:szCs w:val="24"/>
        </w:rPr>
        <w:br/>
      </w:r>
    </w:p>
    <w:p w14:paraId="146EE9CC" w14:textId="3A697D22" w:rsidR="001F1ACA" w:rsidRPr="001F1ACA" w:rsidRDefault="001F1ACA" w:rsidP="001369AA">
      <w:pPr>
        <w:pStyle w:val="ListParagraph"/>
        <w:numPr>
          <w:ilvl w:val="0"/>
          <w:numId w:val="2"/>
        </w:numPr>
        <w:spacing w:line="240" w:lineRule="auto"/>
        <w:rPr>
          <w:rFonts w:ascii="Open Sans" w:hAnsi="Open Sans" w:cs="Open Sans"/>
          <w:sz w:val="24"/>
          <w:szCs w:val="24"/>
        </w:rPr>
      </w:pPr>
      <w:r w:rsidRPr="001F1ACA">
        <w:rPr>
          <w:rFonts w:ascii="Open Sans" w:hAnsi="Open Sans" w:cs="Open Sans"/>
          <w:sz w:val="24"/>
          <w:szCs w:val="24"/>
        </w:rPr>
        <w:lastRenderedPageBreak/>
        <w:t>But only around 6% of Aboriginal and Torres Strait Islander people are over 65 years of age.</w:t>
      </w:r>
      <w:r w:rsidRPr="001F1ACA">
        <w:rPr>
          <w:rStyle w:val="EndnoteReference"/>
          <w:rFonts w:ascii="Open Sans" w:hAnsi="Open Sans" w:cs="Open Sans"/>
          <w:sz w:val="24"/>
          <w:szCs w:val="24"/>
        </w:rPr>
        <w:endnoteReference w:id="6"/>
      </w:r>
      <w:r w:rsidRPr="001F1ACA">
        <w:rPr>
          <w:rFonts w:ascii="Open Sans" w:hAnsi="Open Sans" w:cs="Open Sans"/>
          <w:sz w:val="24"/>
          <w:szCs w:val="24"/>
        </w:rPr>
        <w:br/>
      </w:r>
    </w:p>
    <w:p w14:paraId="2B5B60D8" w14:textId="540EB1B1" w:rsidR="001F1ACA" w:rsidRPr="001F1ACA" w:rsidRDefault="001F1ACA" w:rsidP="001369AA">
      <w:pPr>
        <w:pStyle w:val="ListParagraph"/>
        <w:numPr>
          <w:ilvl w:val="0"/>
          <w:numId w:val="2"/>
        </w:numPr>
        <w:spacing w:line="240" w:lineRule="auto"/>
        <w:rPr>
          <w:rFonts w:ascii="Open Sans" w:hAnsi="Open Sans" w:cs="Open Sans"/>
          <w:sz w:val="24"/>
          <w:szCs w:val="24"/>
        </w:rPr>
      </w:pPr>
      <w:r w:rsidRPr="001F1ACA">
        <w:rPr>
          <w:rFonts w:ascii="Open Sans" w:hAnsi="Open Sans" w:cs="Open Sans"/>
          <w:sz w:val="24"/>
          <w:szCs w:val="24"/>
        </w:rPr>
        <w:t>1 in 5 older Australians were born in countries where English is not the first language.</w:t>
      </w:r>
      <w:r w:rsidR="000E3FA7">
        <w:rPr>
          <w:rStyle w:val="EndnoteReference"/>
          <w:rFonts w:ascii="Open Sans" w:hAnsi="Open Sans" w:cs="Open Sans"/>
          <w:sz w:val="24"/>
          <w:szCs w:val="24"/>
        </w:rPr>
        <w:endnoteReference w:id="7"/>
      </w:r>
      <w:r w:rsidRPr="001F1ACA">
        <w:rPr>
          <w:rFonts w:ascii="Open Sans" w:hAnsi="Open Sans" w:cs="Open Sans"/>
          <w:sz w:val="24"/>
          <w:szCs w:val="24"/>
        </w:rPr>
        <w:br/>
      </w:r>
    </w:p>
    <w:p w14:paraId="48DE311A" w14:textId="77777777" w:rsidR="001F1ACA" w:rsidRPr="001F1ACA" w:rsidRDefault="001F1ACA" w:rsidP="001369AA">
      <w:pPr>
        <w:pStyle w:val="ListParagraph"/>
        <w:numPr>
          <w:ilvl w:val="0"/>
          <w:numId w:val="2"/>
        </w:numPr>
        <w:spacing w:line="240" w:lineRule="auto"/>
        <w:rPr>
          <w:rFonts w:ascii="Open Sans" w:hAnsi="Open Sans" w:cs="Open Sans"/>
          <w:sz w:val="24"/>
          <w:szCs w:val="24"/>
        </w:rPr>
      </w:pPr>
      <w:r w:rsidRPr="001F1ACA">
        <w:rPr>
          <w:rFonts w:ascii="Open Sans" w:hAnsi="Open Sans" w:cs="Open Sans"/>
          <w:sz w:val="24"/>
          <w:szCs w:val="24"/>
        </w:rPr>
        <w:t>18% speak a language other than English at home. The most common languages spoken are:</w:t>
      </w:r>
    </w:p>
    <w:p w14:paraId="554E9C5B" w14:textId="77777777" w:rsidR="001F1ACA" w:rsidRPr="001F1ACA" w:rsidRDefault="001F1ACA" w:rsidP="001369AA">
      <w:pPr>
        <w:pStyle w:val="ListParagraph"/>
        <w:numPr>
          <w:ilvl w:val="1"/>
          <w:numId w:val="4"/>
        </w:numPr>
        <w:spacing w:line="240" w:lineRule="auto"/>
        <w:rPr>
          <w:rFonts w:ascii="Open Sans" w:hAnsi="Open Sans" w:cs="Open Sans"/>
          <w:sz w:val="24"/>
          <w:szCs w:val="24"/>
        </w:rPr>
      </w:pPr>
      <w:r w:rsidRPr="001F1ACA">
        <w:rPr>
          <w:rFonts w:ascii="Open Sans" w:hAnsi="Open Sans" w:cs="Open Sans"/>
          <w:sz w:val="24"/>
          <w:szCs w:val="24"/>
        </w:rPr>
        <w:t xml:space="preserve">Italian </w:t>
      </w:r>
    </w:p>
    <w:p w14:paraId="58892C6B" w14:textId="77777777" w:rsidR="001F1ACA" w:rsidRPr="001F1ACA" w:rsidRDefault="001F1ACA" w:rsidP="001369AA">
      <w:pPr>
        <w:pStyle w:val="ListParagraph"/>
        <w:numPr>
          <w:ilvl w:val="1"/>
          <w:numId w:val="4"/>
        </w:numPr>
        <w:spacing w:line="240" w:lineRule="auto"/>
        <w:rPr>
          <w:rFonts w:ascii="Open Sans" w:hAnsi="Open Sans" w:cs="Open Sans"/>
          <w:sz w:val="24"/>
          <w:szCs w:val="24"/>
        </w:rPr>
      </w:pPr>
      <w:r w:rsidRPr="001F1ACA">
        <w:rPr>
          <w:rFonts w:ascii="Open Sans" w:hAnsi="Open Sans" w:cs="Open Sans"/>
          <w:sz w:val="24"/>
          <w:szCs w:val="24"/>
        </w:rPr>
        <w:t xml:space="preserve">Chinese (including both Cantonese and Mandarin) </w:t>
      </w:r>
    </w:p>
    <w:p w14:paraId="63A64CE9" w14:textId="75EB2220" w:rsidR="001F1ACA" w:rsidRDefault="001F1ACA" w:rsidP="001369AA">
      <w:pPr>
        <w:pStyle w:val="ListParagraph"/>
        <w:numPr>
          <w:ilvl w:val="1"/>
          <w:numId w:val="4"/>
        </w:numPr>
        <w:spacing w:line="240" w:lineRule="auto"/>
        <w:rPr>
          <w:rFonts w:ascii="Open Sans" w:hAnsi="Open Sans" w:cs="Open Sans"/>
          <w:sz w:val="24"/>
          <w:szCs w:val="24"/>
        </w:rPr>
      </w:pPr>
      <w:r w:rsidRPr="001F1ACA">
        <w:rPr>
          <w:rFonts w:ascii="Open Sans" w:hAnsi="Open Sans" w:cs="Open Sans"/>
          <w:sz w:val="24"/>
          <w:szCs w:val="24"/>
        </w:rPr>
        <w:t>Greek</w:t>
      </w:r>
      <w:r w:rsidRPr="001F1ACA">
        <w:rPr>
          <w:rStyle w:val="EndnoteReference"/>
          <w:rFonts w:ascii="Open Sans" w:hAnsi="Open Sans" w:cs="Open Sans"/>
          <w:sz w:val="24"/>
          <w:szCs w:val="24"/>
        </w:rPr>
        <w:endnoteReference w:id="8"/>
      </w:r>
    </w:p>
    <w:p w14:paraId="72060EA2" w14:textId="2D2FC437" w:rsidR="001F1ACA" w:rsidRPr="001369AA" w:rsidRDefault="001F1ACA" w:rsidP="001369AA">
      <w:pPr>
        <w:pStyle w:val="Heading1"/>
        <w:spacing w:line="240" w:lineRule="auto"/>
        <w:rPr>
          <w:rFonts w:ascii="Open Sans" w:hAnsi="Open Sans" w:cs="Open Sans"/>
          <w:b/>
          <w:bCs/>
          <w:color w:val="000000" w:themeColor="text1"/>
          <w:sz w:val="36"/>
          <w:szCs w:val="36"/>
        </w:rPr>
      </w:pPr>
      <w:r w:rsidRPr="001369AA">
        <w:rPr>
          <w:rFonts w:ascii="Open Sans" w:hAnsi="Open Sans" w:cs="Open Sans"/>
          <w:b/>
          <w:bCs/>
          <w:color w:val="000000" w:themeColor="text1"/>
          <w:sz w:val="36"/>
          <w:szCs w:val="36"/>
        </w:rPr>
        <w:t>Workforce participation</w:t>
      </w:r>
    </w:p>
    <w:p w14:paraId="4EC3C543" w14:textId="77777777" w:rsidR="001F1ACA" w:rsidRPr="001F1ACA" w:rsidRDefault="001F1ACA" w:rsidP="001369AA">
      <w:pPr>
        <w:pStyle w:val="ListParagraph"/>
        <w:numPr>
          <w:ilvl w:val="0"/>
          <w:numId w:val="5"/>
        </w:numPr>
        <w:spacing w:line="240" w:lineRule="auto"/>
        <w:rPr>
          <w:rFonts w:ascii="Open Sans" w:hAnsi="Open Sans" w:cs="Open Sans"/>
          <w:sz w:val="24"/>
          <w:szCs w:val="24"/>
        </w:rPr>
      </w:pPr>
      <w:r w:rsidRPr="001F1ACA">
        <w:rPr>
          <w:rFonts w:ascii="Open Sans" w:hAnsi="Open Sans" w:cs="Open Sans"/>
          <w:sz w:val="24"/>
          <w:szCs w:val="24"/>
        </w:rPr>
        <w:t>Australians are increasingly working to older ages. Workforce participation of people aged 65 years and over:</w:t>
      </w:r>
    </w:p>
    <w:p w14:paraId="0B282035" w14:textId="77777777" w:rsidR="001F1ACA" w:rsidRPr="001F1ACA" w:rsidRDefault="001F1ACA" w:rsidP="001369AA">
      <w:pPr>
        <w:pStyle w:val="ListParagraph"/>
        <w:numPr>
          <w:ilvl w:val="1"/>
          <w:numId w:val="6"/>
        </w:numPr>
        <w:spacing w:line="240" w:lineRule="auto"/>
        <w:rPr>
          <w:rFonts w:ascii="Open Sans" w:hAnsi="Open Sans" w:cs="Open Sans"/>
          <w:sz w:val="24"/>
          <w:szCs w:val="24"/>
        </w:rPr>
      </w:pPr>
      <w:r w:rsidRPr="001F1ACA">
        <w:rPr>
          <w:rFonts w:ascii="Open Sans" w:hAnsi="Open Sans" w:cs="Open Sans"/>
          <w:sz w:val="24"/>
          <w:szCs w:val="24"/>
        </w:rPr>
        <w:t>2001: 6%</w:t>
      </w:r>
    </w:p>
    <w:p w14:paraId="0CD281F2" w14:textId="7A62A5A3" w:rsidR="001F1ACA" w:rsidRPr="001F1ACA" w:rsidRDefault="001F1ACA" w:rsidP="001369AA">
      <w:pPr>
        <w:pStyle w:val="ListParagraph"/>
        <w:numPr>
          <w:ilvl w:val="1"/>
          <w:numId w:val="6"/>
        </w:numPr>
        <w:spacing w:line="240" w:lineRule="auto"/>
        <w:rPr>
          <w:rFonts w:ascii="Open Sans" w:hAnsi="Open Sans" w:cs="Open Sans"/>
          <w:sz w:val="24"/>
          <w:szCs w:val="24"/>
        </w:rPr>
      </w:pPr>
      <w:r w:rsidRPr="001F1ACA">
        <w:rPr>
          <w:rFonts w:ascii="Open Sans" w:hAnsi="Open Sans" w:cs="Open Sans"/>
          <w:sz w:val="24"/>
          <w:szCs w:val="24"/>
        </w:rPr>
        <w:t>2021: 15%</w:t>
      </w:r>
      <w:r w:rsidR="000727BF">
        <w:rPr>
          <w:rStyle w:val="EndnoteReference"/>
          <w:rFonts w:ascii="Open Sans" w:hAnsi="Open Sans" w:cs="Open Sans"/>
          <w:sz w:val="24"/>
          <w:szCs w:val="24"/>
        </w:rPr>
        <w:endnoteReference w:id="9"/>
      </w:r>
      <w:r w:rsidRPr="001F1ACA">
        <w:rPr>
          <w:rFonts w:ascii="Open Sans" w:hAnsi="Open Sans" w:cs="Open Sans"/>
          <w:sz w:val="24"/>
          <w:szCs w:val="24"/>
        </w:rPr>
        <w:br/>
      </w:r>
    </w:p>
    <w:p w14:paraId="4BEB49C7" w14:textId="15CB928B" w:rsidR="001F1ACA" w:rsidRPr="001F1ACA" w:rsidRDefault="001F1ACA" w:rsidP="001369AA">
      <w:pPr>
        <w:pStyle w:val="ListParagraph"/>
        <w:numPr>
          <w:ilvl w:val="0"/>
          <w:numId w:val="7"/>
        </w:numPr>
        <w:spacing w:line="240" w:lineRule="auto"/>
        <w:rPr>
          <w:rFonts w:ascii="Open Sans" w:hAnsi="Open Sans" w:cs="Open Sans"/>
          <w:sz w:val="24"/>
          <w:szCs w:val="24"/>
        </w:rPr>
      </w:pPr>
      <w:r w:rsidRPr="0DBA8FC0">
        <w:rPr>
          <w:rFonts w:ascii="Open Sans" w:hAnsi="Open Sans" w:cs="Open Sans"/>
          <w:sz w:val="24"/>
          <w:szCs w:val="24"/>
        </w:rPr>
        <w:t>Of these older workers, 3 in 5 are men and 2 in 5 are women.</w:t>
      </w:r>
      <w:r w:rsidRPr="0DBA8FC0">
        <w:rPr>
          <w:rStyle w:val="EndnoteReference"/>
          <w:rFonts w:ascii="Open Sans" w:hAnsi="Open Sans" w:cs="Open Sans"/>
          <w:sz w:val="24"/>
          <w:szCs w:val="24"/>
        </w:rPr>
        <w:endnoteReference w:id="10"/>
      </w:r>
    </w:p>
    <w:p w14:paraId="0203DCDB" w14:textId="66E44689" w:rsidR="001F1ACA" w:rsidRPr="001369AA" w:rsidRDefault="001F1ACA" w:rsidP="001369AA">
      <w:pPr>
        <w:pStyle w:val="Heading1"/>
        <w:spacing w:line="240" w:lineRule="auto"/>
        <w:rPr>
          <w:rFonts w:ascii="Open Sans" w:hAnsi="Open Sans" w:cs="Open Sans"/>
          <w:b/>
          <w:bCs/>
          <w:color w:val="auto"/>
          <w:sz w:val="36"/>
          <w:szCs w:val="36"/>
        </w:rPr>
      </w:pPr>
      <w:r w:rsidRPr="001369AA">
        <w:rPr>
          <w:rFonts w:ascii="Open Sans" w:hAnsi="Open Sans" w:cs="Open Sans"/>
          <w:b/>
          <w:bCs/>
          <w:color w:val="auto"/>
          <w:sz w:val="36"/>
          <w:szCs w:val="36"/>
        </w:rPr>
        <w:t>Financial and housing security</w:t>
      </w:r>
    </w:p>
    <w:p w14:paraId="69532377" w14:textId="358468C5" w:rsidR="002A5045" w:rsidRDefault="003D01B0" w:rsidP="001369AA">
      <w:pPr>
        <w:pStyle w:val="ListParagraph"/>
        <w:numPr>
          <w:ilvl w:val="0"/>
          <w:numId w:val="8"/>
        </w:numPr>
        <w:spacing w:line="240" w:lineRule="auto"/>
        <w:rPr>
          <w:rFonts w:ascii="Open Sans" w:hAnsi="Open Sans" w:cs="Open Sans"/>
          <w:sz w:val="24"/>
          <w:szCs w:val="24"/>
        </w:rPr>
      </w:pPr>
      <w:r w:rsidRPr="0DBA8FC0">
        <w:rPr>
          <w:rFonts w:ascii="Open Sans" w:hAnsi="Open Sans" w:cs="Open Sans"/>
          <w:sz w:val="24"/>
          <w:szCs w:val="24"/>
        </w:rPr>
        <w:t>58</w:t>
      </w:r>
      <w:r w:rsidR="001F1ACA" w:rsidRPr="0DBA8FC0">
        <w:rPr>
          <w:rFonts w:ascii="Open Sans" w:hAnsi="Open Sans" w:cs="Open Sans"/>
          <w:sz w:val="24"/>
          <w:szCs w:val="24"/>
        </w:rPr>
        <w:t>% of Australians aged 65 and over receive the Age Pension.</w:t>
      </w:r>
      <w:r w:rsidR="001F1ACA" w:rsidRPr="0DBA8FC0">
        <w:rPr>
          <w:rStyle w:val="EndnoteReference"/>
          <w:rFonts w:ascii="Open Sans" w:hAnsi="Open Sans" w:cs="Open Sans"/>
          <w:sz w:val="24"/>
          <w:szCs w:val="24"/>
        </w:rPr>
        <w:endnoteReference w:id="11"/>
      </w:r>
      <w:r w:rsidR="001F1ACA" w:rsidRPr="0DBA8FC0">
        <w:rPr>
          <w:rFonts w:ascii="Open Sans" w:hAnsi="Open Sans" w:cs="Open Sans"/>
          <w:sz w:val="24"/>
          <w:szCs w:val="24"/>
        </w:rPr>
        <w:t xml:space="preserve"> </w:t>
      </w:r>
      <w:r w:rsidR="002A5045">
        <w:rPr>
          <w:rFonts w:ascii="Open Sans" w:hAnsi="Open Sans" w:cs="Open Sans"/>
          <w:sz w:val="24"/>
          <w:szCs w:val="24"/>
        </w:rPr>
        <w:br/>
      </w:r>
    </w:p>
    <w:p w14:paraId="41357FCC" w14:textId="0473DCEF" w:rsidR="001F1ACA" w:rsidRPr="00CD6A22" w:rsidRDefault="002A5045" w:rsidP="001369AA">
      <w:pPr>
        <w:pStyle w:val="ListParagraph"/>
        <w:numPr>
          <w:ilvl w:val="0"/>
          <w:numId w:val="8"/>
        </w:numPr>
        <w:spacing w:line="240" w:lineRule="auto"/>
        <w:rPr>
          <w:rFonts w:ascii="Open Sans" w:hAnsi="Open Sans" w:cs="Open Sans"/>
          <w:sz w:val="24"/>
          <w:szCs w:val="24"/>
        </w:rPr>
      </w:pPr>
      <w:r>
        <w:rPr>
          <w:rFonts w:ascii="Open Sans" w:hAnsi="Open Sans" w:cs="Open Sans"/>
          <w:sz w:val="24"/>
          <w:szCs w:val="24"/>
        </w:rPr>
        <w:t xml:space="preserve">While Aboriginal and Torres Strait Islander people make up almost 4% of the </w:t>
      </w:r>
      <w:r w:rsidR="00160BE9">
        <w:rPr>
          <w:rFonts w:ascii="Open Sans" w:hAnsi="Open Sans" w:cs="Open Sans"/>
          <w:sz w:val="24"/>
          <w:szCs w:val="24"/>
        </w:rPr>
        <w:t>population in Australia,</w:t>
      </w:r>
      <w:r w:rsidR="00506BE8">
        <w:rPr>
          <w:rStyle w:val="EndnoteReference"/>
          <w:rFonts w:ascii="Open Sans" w:hAnsi="Open Sans" w:cs="Open Sans"/>
          <w:sz w:val="24"/>
          <w:szCs w:val="24"/>
        </w:rPr>
        <w:endnoteReference w:id="12"/>
      </w:r>
      <w:r w:rsidR="00160BE9">
        <w:rPr>
          <w:rFonts w:ascii="Open Sans" w:hAnsi="Open Sans" w:cs="Open Sans"/>
          <w:sz w:val="24"/>
          <w:szCs w:val="24"/>
        </w:rPr>
        <w:t xml:space="preserve"> </w:t>
      </w:r>
      <w:r w:rsidR="00C42650">
        <w:rPr>
          <w:rFonts w:ascii="Open Sans" w:hAnsi="Open Sans" w:cs="Open Sans"/>
          <w:sz w:val="24"/>
          <w:szCs w:val="24"/>
        </w:rPr>
        <w:t xml:space="preserve">they make up only around </w:t>
      </w:r>
      <w:r w:rsidR="006168E8">
        <w:rPr>
          <w:rFonts w:ascii="Open Sans" w:hAnsi="Open Sans" w:cs="Open Sans"/>
          <w:sz w:val="24"/>
          <w:szCs w:val="24"/>
        </w:rPr>
        <w:t>1% of people access</w:t>
      </w:r>
      <w:r w:rsidR="00024CCD">
        <w:rPr>
          <w:rFonts w:ascii="Open Sans" w:hAnsi="Open Sans" w:cs="Open Sans"/>
          <w:sz w:val="24"/>
          <w:szCs w:val="24"/>
        </w:rPr>
        <w:t>ing</w:t>
      </w:r>
      <w:r w:rsidR="006168E8">
        <w:rPr>
          <w:rFonts w:ascii="Open Sans" w:hAnsi="Open Sans" w:cs="Open Sans"/>
          <w:sz w:val="24"/>
          <w:szCs w:val="24"/>
        </w:rPr>
        <w:t xml:space="preserve"> the Age Pension.</w:t>
      </w:r>
      <w:r w:rsidR="00940636">
        <w:rPr>
          <w:rStyle w:val="EndnoteReference"/>
          <w:rFonts w:ascii="Open Sans" w:hAnsi="Open Sans" w:cs="Open Sans"/>
          <w:sz w:val="24"/>
          <w:szCs w:val="24"/>
        </w:rPr>
        <w:endnoteReference w:id="13"/>
      </w:r>
      <w:r w:rsidR="001F1ACA" w:rsidRPr="00CD6A22">
        <w:rPr>
          <w:rFonts w:ascii="Open Sans" w:hAnsi="Open Sans" w:cs="Open Sans"/>
          <w:sz w:val="24"/>
          <w:szCs w:val="24"/>
        </w:rPr>
        <w:br/>
      </w:r>
      <w:r w:rsidR="001F1ACA" w:rsidRPr="0DBA8FC0">
        <w:rPr>
          <w:rFonts w:ascii="Open Sans" w:hAnsi="Open Sans" w:cs="Open Sans"/>
          <w:sz w:val="24"/>
          <w:szCs w:val="24"/>
        </w:rPr>
        <w:t xml:space="preserve"> </w:t>
      </w:r>
    </w:p>
    <w:p w14:paraId="24C8D448" w14:textId="19FC38E3" w:rsidR="001F1ACA" w:rsidRPr="001F1ACA" w:rsidRDefault="00FD1FBE" w:rsidP="001369AA">
      <w:pPr>
        <w:pStyle w:val="ListParagraph"/>
        <w:numPr>
          <w:ilvl w:val="0"/>
          <w:numId w:val="8"/>
        </w:numPr>
        <w:spacing w:line="240" w:lineRule="auto"/>
        <w:rPr>
          <w:rFonts w:ascii="Open Sans" w:hAnsi="Open Sans" w:cs="Open Sans"/>
          <w:sz w:val="24"/>
          <w:szCs w:val="24"/>
        </w:rPr>
      </w:pPr>
      <w:r>
        <w:rPr>
          <w:rFonts w:ascii="Open Sans" w:hAnsi="Open Sans" w:cs="Open Sans"/>
          <w:sz w:val="24"/>
          <w:szCs w:val="24"/>
        </w:rPr>
        <w:t>M</w:t>
      </w:r>
      <w:r w:rsidR="001F1ACA" w:rsidRPr="0DBA8FC0">
        <w:rPr>
          <w:rFonts w:ascii="Open Sans" w:hAnsi="Open Sans" w:cs="Open Sans"/>
          <w:sz w:val="24"/>
          <w:szCs w:val="24"/>
        </w:rPr>
        <w:t>ore than 1 in 4 older Australians live in poverty.</w:t>
      </w:r>
      <w:r w:rsidR="001F1ACA" w:rsidRPr="0DBA8FC0">
        <w:rPr>
          <w:rStyle w:val="EndnoteReference"/>
          <w:rFonts w:ascii="Open Sans" w:hAnsi="Open Sans" w:cs="Open Sans"/>
          <w:sz w:val="24"/>
          <w:szCs w:val="24"/>
        </w:rPr>
        <w:endnoteReference w:id="14"/>
      </w:r>
      <w:r w:rsidR="001F1ACA" w:rsidRPr="0DBA8FC0">
        <w:rPr>
          <w:rFonts w:ascii="Open Sans" w:hAnsi="Open Sans" w:cs="Open Sans"/>
          <w:sz w:val="24"/>
          <w:szCs w:val="24"/>
        </w:rPr>
        <w:t xml:space="preserve">  </w:t>
      </w:r>
      <w:r w:rsidR="001F1ACA" w:rsidRPr="001F1ACA">
        <w:rPr>
          <w:rFonts w:ascii="Open Sans" w:hAnsi="Open Sans" w:cs="Open Sans"/>
          <w:sz w:val="24"/>
          <w:szCs w:val="24"/>
        </w:rPr>
        <w:br/>
      </w:r>
    </w:p>
    <w:p w14:paraId="3A006A74" w14:textId="0A5B7671" w:rsidR="001F1ACA" w:rsidRPr="001F1ACA" w:rsidRDefault="001F1ACA" w:rsidP="001369AA">
      <w:pPr>
        <w:pStyle w:val="ListParagraph"/>
        <w:numPr>
          <w:ilvl w:val="0"/>
          <w:numId w:val="8"/>
        </w:numPr>
        <w:spacing w:line="240" w:lineRule="auto"/>
        <w:rPr>
          <w:rFonts w:ascii="Open Sans" w:hAnsi="Open Sans" w:cs="Open Sans"/>
          <w:sz w:val="24"/>
          <w:szCs w:val="24"/>
        </w:rPr>
      </w:pPr>
      <w:r w:rsidRPr="0DBA8FC0">
        <w:rPr>
          <w:rFonts w:ascii="Open Sans" w:hAnsi="Open Sans" w:cs="Open Sans"/>
          <w:sz w:val="24"/>
          <w:szCs w:val="24"/>
        </w:rPr>
        <w:t>On average, women aged 60-64 retire with about 25% less superannuation compared to men the same age.</w:t>
      </w:r>
      <w:r w:rsidRPr="0DBA8FC0">
        <w:rPr>
          <w:rStyle w:val="EndnoteReference"/>
          <w:rFonts w:ascii="Open Sans" w:hAnsi="Open Sans" w:cs="Open Sans"/>
          <w:sz w:val="24"/>
          <w:szCs w:val="24"/>
        </w:rPr>
        <w:endnoteReference w:id="15"/>
      </w:r>
      <w:r w:rsidRPr="0DBA8FC0">
        <w:rPr>
          <w:rFonts w:ascii="Open Sans" w:hAnsi="Open Sans" w:cs="Open Sans"/>
          <w:sz w:val="24"/>
          <w:szCs w:val="24"/>
        </w:rPr>
        <w:t xml:space="preserve">  </w:t>
      </w:r>
      <w:r w:rsidRPr="001F1ACA">
        <w:rPr>
          <w:rFonts w:ascii="Open Sans" w:hAnsi="Open Sans" w:cs="Open Sans"/>
          <w:sz w:val="24"/>
          <w:szCs w:val="24"/>
        </w:rPr>
        <w:br/>
      </w:r>
    </w:p>
    <w:p w14:paraId="7DBD53BD" w14:textId="71DB768F" w:rsidR="001F1ACA" w:rsidRPr="001F1ACA" w:rsidRDefault="001F1ACA" w:rsidP="001369AA">
      <w:pPr>
        <w:pStyle w:val="ListParagraph"/>
        <w:numPr>
          <w:ilvl w:val="0"/>
          <w:numId w:val="8"/>
        </w:numPr>
        <w:spacing w:line="240" w:lineRule="auto"/>
        <w:rPr>
          <w:rFonts w:ascii="Open Sans" w:hAnsi="Open Sans" w:cs="Open Sans"/>
          <w:sz w:val="24"/>
          <w:szCs w:val="24"/>
        </w:rPr>
      </w:pPr>
      <w:r w:rsidRPr="001F1ACA">
        <w:rPr>
          <w:rFonts w:ascii="Open Sans" w:hAnsi="Open Sans" w:cs="Open Sans"/>
          <w:sz w:val="24"/>
          <w:szCs w:val="24"/>
        </w:rPr>
        <w:t>Housing insecurity has become increasingly widespread among older women.</w:t>
      </w:r>
      <w:r w:rsidRPr="001F1ACA">
        <w:rPr>
          <w:rStyle w:val="EndnoteReference"/>
          <w:rFonts w:ascii="Open Sans" w:hAnsi="Open Sans" w:cs="Open Sans"/>
          <w:sz w:val="24"/>
          <w:szCs w:val="24"/>
        </w:rPr>
        <w:endnoteReference w:id="16"/>
      </w:r>
      <w:r w:rsidRPr="001F1ACA">
        <w:rPr>
          <w:rFonts w:ascii="Open Sans" w:hAnsi="Open Sans" w:cs="Open Sans"/>
          <w:sz w:val="24"/>
          <w:szCs w:val="24"/>
        </w:rPr>
        <w:br/>
      </w:r>
    </w:p>
    <w:p w14:paraId="6ABE33FF" w14:textId="37FB6E82" w:rsidR="001F1ACA" w:rsidRPr="001F1ACA" w:rsidRDefault="001F1ACA" w:rsidP="001369AA">
      <w:pPr>
        <w:pStyle w:val="ListParagraph"/>
        <w:numPr>
          <w:ilvl w:val="0"/>
          <w:numId w:val="8"/>
        </w:numPr>
        <w:spacing w:line="240" w:lineRule="auto"/>
        <w:rPr>
          <w:rFonts w:ascii="Open Sans" w:hAnsi="Open Sans" w:cs="Open Sans"/>
          <w:sz w:val="24"/>
          <w:szCs w:val="24"/>
        </w:rPr>
      </w:pPr>
      <w:r w:rsidRPr="0DBA8FC0">
        <w:rPr>
          <w:rFonts w:ascii="Open Sans" w:hAnsi="Open Sans" w:cs="Open Sans"/>
          <w:sz w:val="24"/>
          <w:szCs w:val="24"/>
        </w:rPr>
        <w:t>From 2011 – 2021, the rate of homelessness among older women grew by almost 40%.</w:t>
      </w:r>
      <w:r w:rsidRPr="0DBA8FC0">
        <w:rPr>
          <w:rStyle w:val="EndnoteReference"/>
          <w:rFonts w:ascii="Open Sans" w:hAnsi="Open Sans" w:cs="Open Sans"/>
          <w:sz w:val="24"/>
          <w:szCs w:val="24"/>
        </w:rPr>
        <w:endnoteReference w:id="17"/>
      </w:r>
    </w:p>
    <w:p w14:paraId="4D95604D" w14:textId="7040F607" w:rsidR="001F1ACA" w:rsidRPr="001369AA" w:rsidRDefault="001F1ACA" w:rsidP="001369AA">
      <w:pPr>
        <w:pStyle w:val="Heading1"/>
        <w:spacing w:line="240" w:lineRule="auto"/>
        <w:rPr>
          <w:rFonts w:ascii="Open Sans" w:hAnsi="Open Sans" w:cs="Open Sans"/>
          <w:b/>
          <w:bCs/>
          <w:color w:val="auto"/>
          <w:sz w:val="36"/>
          <w:szCs w:val="36"/>
        </w:rPr>
      </w:pPr>
      <w:r w:rsidRPr="001369AA">
        <w:rPr>
          <w:rFonts w:ascii="Open Sans" w:hAnsi="Open Sans" w:cs="Open Sans"/>
          <w:b/>
          <w:bCs/>
          <w:color w:val="auto"/>
          <w:sz w:val="36"/>
          <w:szCs w:val="36"/>
        </w:rPr>
        <w:lastRenderedPageBreak/>
        <w:t>Unpaid carer and volunteer work</w:t>
      </w:r>
    </w:p>
    <w:p w14:paraId="47F331BF" w14:textId="11A197F8" w:rsidR="001F1ACA" w:rsidRPr="001F1ACA" w:rsidRDefault="001F1ACA" w:rsidP="001369AA">
      <w:pPr>
        <w:pStyle w:val="ListParagraph"/>
        <w:numPr>
          <w:ilvl w:val="0"/>
          <w:numId w:val="10"/>
        </w:numPr>
        <w:spacing w:line="240" w:lineRule="auto"/>
        <w:rPr>
          <w:rFonts w:ascii="Open Sans" w:hAnsi="Open Sans" w:cs="Open Sans"/>
          <w:sz w:val="24"/>
          <w:szCs w:val="24"/>
        </w:rPr>
      </w:pPr>
      <w:r w:rsidRPr="0DBA8FC0">
        <w:rPr>
          <w:rFonts w:ascii="Open Sans" w:hAnsi="Open Sans" w:cs="Open Sans"/>
          <w:sz w:val="24"/>
          <w:szCs w:val="24"/>
        </w:rPr>
        <w:t>Australians aged 55 years and over contribute $74.5 billion each year in unpaid caring and voluntary work.</w:t>
      </w:r>
      <w:r w:rsidRPr="0DBA8FC0">
        <w:rPr>
          <w:rStyle w:val="EndnoteReference"/>
          <w:rFonts w:ascii="Open Sans" w:hAnsi="Open Sans" w:cs="Open Sans"/>
          <w:sz w:val="24"/>
          <w:szCs w:val="24"/>
        </w:rPr>
        <w:endnoteReference w:id="18"/>
      </w:r>
    </w:p>
    <w:p w14:paraId="385EDB10" w14:textId="7717E26D" w:rsidR="001F1ACA" w:rsidRPr="001369AA" w:rsidRDefault="001F1ACA" w:rsidP="001369AA">
      <w:pPr>
        <w:pStyle w:val="Heading1"/>
        <w:spacing w:line="240" w:lineRule="auto"/>
        <w:rPr>
          <w:rFonts w:ascii="Open Sans" w:hAnsi="Open Sans" w:cs="Open Sans"/>
          <w:b/>
          <w:bCs/>
          <w:color w:val="auto"/>
          <w:sz w:val="36"/>
          <w:szCs w:val="36"/>
        </w:rPr>
      </w:pPr>
      <w:r w:rsidRPr="001369AA">
        <w:rPr>
          <w:rFonts w:ascii="Open Sans" w:hAnsi="Open Sans" w:cs="Open Sans"/>
          <w:b/>
          <w:bCs/>
          <w:color w:val="auto"/>
          <w:sz w:val="36"/>
          <w:szCs w:val="36"/>
        </w:rPr>
        <w:t>Ageism and elder abuse</w:t>
      </w:r>
    </w:p>
    <w:p w14:paraId="4122BDFB" w14:textId="77777777" w:rsidR="00BE48E4" w:rsidRPr="001F1ACA" w:rsidRDefault="00BE48E4" w:rsidP="001369AA">
      <w:pPr>
        <w:pStyle w:val="ListParagraph"/>
        <w:numPr>
          <w:ilvl w:val="0"/>
          <w:numId w:val="9"/>
        </w:numPr>
        <w:spacing w:line="240" w:lineRule="auto"/>
        <w:rPr>
          <w:rFonts w:ascii="Open Sans" w:hAnsi="Open Sans" w:cs="Open Sans"/>
          <w:sz w:val="24"/>
          <w:szCs w:val="24"/>
        </w:rPr>
      </w:pPr>
      <w:r w:rsidRPr="0DBA8FC0">
        <w:rPr>
          <w:rFonts w:ascii="Open Sans" w:hAnsi="Open Sans" w:cs="Open Sans"/>
          <w:sz w:val="24"/>
          <w:szCs w:val="24"/>
        </w:rPr>
        <w:t>Nearly 1 in 4 older working Australians have experienced age discrimination in employment since turning 50.</w:t>
      </w:r>
      <w:r w:rsidRPr="0DBA8FC0">
        <w:rPr>
          <w:rStyle w:val="EndnoteReference"/>
          <w:rFonts w:ascii="Open Sans" w:hAnsi="Open Sans" w:cs="Open Sans"/>
          <w:sz w:val="24"/>
          <w:szCs w:val="24"/>
        </w:rPr>
        <w:endnoteReference w:id="19"/>
      </w:r>
    </w:p>
    <w:p w14:paraId="3548B3B4" w14:textId="77777777" w:rsidR="00BE48E4" w:rsidRDefault="00BE48E4" w:rsidP="001369AA">
      <w:pPr>
        <w:pStyle w:val="ListParagraph"/>
        <w:spacing w:line="240" w:lineRule="auto"/>
        <w:rPr>
          <w:rFonts w:ascii="Open Sans" w:hAnsi="Open Sans" w:cs="Open Sans"/>
          <w:sz w:val="24"/>
          <w:szCs w:val="24"/>
        </w:rPr>
      </w:pPr>
    </w:p>
    <w:p w14:paraId="0D4328E1" w14:textId="18B00F53" w:rsidR="001F1ACA" w:rsidRPr="001F1ACA" w:rsidRDefault="001F1ACA" w:rsidP="001369AA">
      <w:pPr>
        <w:pStyle w:val="ListParagraph"/>
        <w:numPr>
          <w:ilvl w:val="0"/>
          <w:numId w:val="9"/>
        </w:numPr>
        <w:spacing w:line="240" w:lineRule="auto"/>
        <w:rPr>
          <w:rFonts w:ascii="Open Sans" w:hAnsi="Open Sans" w:cs="Open Sans"/>
          <w:sz w:val="24"/>
          <w:szCs w:val="24"/>
        </w:rPr>
      </w:pPr>
      <w:r w:rsidRPr="001F1ACA">
        <w:rPr>
          <w:rFonts w:ascii="Open Sans" w:hAnsi="Open Sans" w:cs="Open Sans"/>
          <w:sz w:val="24"/>
          <w:szCs w:val="24"/>
        </w:rPr>
        <w:t>64% of older Australians say they have been affected by ageism in the last 5 years.</w:t>
      </w:r>
      <w:r w:rsidRPr="001F1ACA">
        <w:rPr>
          <w:rStyle w:val="EndnoteReference"/>
          <w:rFonts w:ascii="Open Sans" w:hAnsi="Open Sans" w:cs="Open Sans"/>
          <w:sz w:val="24"/>
          <w:szCs w:val="24"/>
        </w:rPr>
        <w:endnoteReference w:id="20"/>
      </w:r>
      <w:r w:rsidRPr="001F1ACA">
        <w:rPr>
          <w:rFonts w:ascii="Open Sans" w:hAnsi="Open Sans" w:cs="Open Sans"/>
          <w:sz w:val="24"/>
          <w:szCs w:val="24"/>
        </w:rPr>
        <w:br/>
      </w:r>
    </w:p>
    <w:p w14:paraId="11183D43" w14:textId="5ECF2DF9" w:rsidR="001F1ACA" w:rsidRPr="001F1ACA" w:rsidRDefault="001F1ACA" w:rsidP="001369AA">
      <w:pPr>
        <w:pStyle w:val="ListParagraph"/>
        <w:numPr>
          <w:ilvl w:val="0"/>
          <w:numId w:val="9"/>
        </w:numPr>
        <w:spacing w:line="240" w:lineRule="auto"/>
        <w:rPr>
          <w:rFonts w:ascii="Open Sans" w:hAnsi="Open Sans" w:cs="Open Sans"/>
          <w:sz w:val="24"/>
          <w:szCs w:val="24"/>
        </w:rPr>
      </w:pPr>
      <w:r w:rsidRPr="0DBA8FC0">
        <w:rPr>
          <w:rFonts w:ascii="Open Sans" w:hAnsi="Open Sans" w:cs="Open Sans"/>
          <w:sz w:val="24"/>
          <w:szCs w:val="24"/>
        </w:rPr>
        <w:t xml:space="preserve">Around 1 in 6 older people in Australia experience elder abuse </w:t>
      </w:r>
      <w:proofErr w:type="gramStart"/>
      <w:r w:rsidRPr="0DBA8FC0">
        <w:rPr>
          <w:rFonts w:ascii="Open Sans" w:hAnsi="Open Sans" w:cs="Open Sans"/>
          <w:sz w:val="24"/>
          <w:szCs w:val="24"/>
        </w:rPr>
        <w:t>in a given year</w:t>
      </w:r>
      <w:proofErr w:type="gramEnd"/>
      <w:r w:rsidRPr="0DBA8FC0">
        <w:rPr>
          <w:rFonts w:ascii="Open Sans" w:hAnsi="Open Sans" w:cs="Open Sans"/>
          <w:sz w:val="24"/>
          <w:szCs w:val="24"/>
        </w:rPr>
        <w:t xml:space="preserve">. Psychological abuse is the </w:t>
      </w:r>
      <w:proofErr w:type="gramStart"/>
      <w:r w:rsidRPr="0DBA8FC0">
        <w:rPr>
          <w:rFonts w:ascii="Open Sans" w:hAnsi="Open Sans" w:cs="Open Sans"/>
          <w:sz w:val="24"/>
          <w:szCs w:val="24"/>
        </w:rPr>
        <w:t>most commonly reported</w:t>
      </w:r>
      <w:proofErr w:type="gramEnd"/>
      <w:r w:rsidRPr="0DBA8FC0">
        <w:rPr>
          <w:rFonts w:ascii="Open Sans" w:hAnsi="Open Sans" w:cs="Open Sans"/>
          <w:sz w:val="24"/>
          <w:szCs w:val="24"/>
        </w:rPr>
        <w:t xml:space="preserve"> type, followed by neglect and financial abuse.</w:t>
      </w:r>
      <w:r w:rsidR="007F1B1A" w:rsidRPr="0DBA8FC0">
        <w:rPr>
          <w:rStyle w:val="EndnoteReference"/>
          <w:rFonts w:ascii="Open Sans" w:hAnsi="Open Sans" w:cs="Open Sans"/>
          <w:sz w:val="24"/>
          <w:szCs w:val="24"/>
        </w:rPr>
        <w:endnoteReference w:id="21"/>
      </w:r>
      <w:r w:rsidRPr="001F1ACA">
        <w:rPr>
          <w:rFonts w:ascii="Open Sans" w:hAnsi="Open Sans" w:cs="Open Sans"/>
          <w:sz w:val="24"/>
          <w:szCs w:val="24"/>
        </w:rPr>
        <w:br/>
      </w:r>
    </w:p>
    <w:p w14:paraId="6B34094B" w14:textId="68526187" w:rsidR="001F1ACA" w:rsidRDefault="001F1ACA" w:rsidP="001369AA">
      <w:pPr>
        <w:pStyle w:val="ListParagraph"/>
        <w:numPr>
          <w:ilvl w:val="0"/>
          <w:numId w:val="9"/>
        </w:numPr>
        <w:spacing w:line="240" w:lineRule="auto"/>
        <w:rPr>
          <w:rFonts w:ascii="Open Sans" w:hAnsi="Open Sans" w:cs="Open Sans"/>
          <w:sz w:val="24"/>
          <w:szCs w:val="24"/>
        </w:rPr>
      </w:pPr>
      <w:r w:rsidRPr="0DBA8FC0">
        <w:rPr>
          <w:rFonts w:ascii="Open Sans" w:hAnsi="Open Sans" w:cs="Open Sans"/>
          <w:sz w:val="24"/>
          <w:szCs w:val="24"/>
        </w:rPr>
        <w:t>1 in 2 perpetrators of elder abuse is a family member, with adult children the most likely to commit abuse.</w:t>
      </w:r>
      <w:r w:rsidRPr="0DBA8FC0">
        <w:rPr>
          <w:rStyle w:val="EndnoteReference"/>
          <w:rFonts w:ascii="Open Sans" w:hAnsi="Open Sans" w:cs="Open Sans"/>
          <w:sz w:val="24"/>
          <w:szCs w:val="24"/>
        </w:rPr>
        <w:endnoteReference w:id="22"/>
      </w:r>
    </w:p>
    <w:p w14:paraId="24353143" w14:textId="77777777" w:rsidR="001369AA" w:rsidRPr="001369AA" w:rsidRDefault="001369AA" w:rsidP="001369AA">
      <w:pPr>
        <w:pStyle w:val="Heading2"/>
        <w:spacing w:line="240" w:lineRule="auto"/>
        <w:rPr>
          <w:rFonts w:ascii="Open Sans" w:hAnsi="Open Sans" w:cs="Open Sans"/>
          <w:b/>
          <w:bCs/>
          <w:color w:val="auto"/>
          <w:sz w:val="36"/>
          <w:szCs w:val="36"/>
        </w:rPr>
      </w:pPr>
      <w:r w:rsidRPr="001369AA">
        <w:rPr>
          <w:rFonts w:ascii="Open Sans" w:hAnsi="Open Sans" w:cs="Open Sans"/>
          <w:b/>
          <w:bCs/>
          <w:color w:val="auto"/>
          <w:sz w:val="36"/>
          <w:szCs w:val="36"/>
        </w:rPr>
        <w:t>Suggested citation</w:t>
      </w:r>
    </w:p>
    <w:p w14:paraId="0AC6A95B" w14:textId="67995E6A" w:rsidR="001369AA" w:rsidRPr="001369AA" w:rsidRDefault="001369AA" w:rsidP="001369AA">
      <w:pPr>
        <w:spacing w:line="240" w:lineRule="auto"/>
        <w:rPr>
          <w:rFonts w:ascii="Open Sans" w:hAnsi="Open Sans" w:cs="Open Sans"/>
        </w:rPr>
      </w:pPr>
      <w:r w:rsidRPr="009002AC">
        <w:rPr>
          <w:rFonts w:ascii="Open Sans" w:hAnsi="Open Sans" w:cs="Open Sans"/>
        </w:rPr>
        <w:t xml:space="preserve">Suggested citation: Australian Human Rights Commission. (2025). Stats &amp; Facts: </w:t>
      </w:r>
      <w:r>
        <w:rPr>
          <w:rFonts w:ascii="Open Sans" w:hAnsi="Open Sans" w:cs="Open Sans"/>
        </w:rPr>
        <w:t>Older Australians.</w:t>
      </w:r>
    </w:p>
    <w:sectPr w:rsidR="001369AA" w:rsidRPr="001369AA">
      <w:headerReference w:type="default" r:id="rId14"/>
      <w:footerReference w:type="default" r:id="rId1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A710" w14:textId="77777777" w:rsidR="00EF12D8" w:rsidRDefault="00EF12D8" w:rsidP="00BE53BC">
      <w:pPr>
        <w:spacing w:after="0" w:line="240" w:lineRule="auto"/>
      </w:pPr>
      <w:r>
        <w:separator/>
      </w:r>
    </w:p>
  </w:endnote>
  <w:endnote w:type="continuationSeparator" w:id="0">
    <w:p w14:paraId="2A53F03D" w14:textId="77777777" w:rsidR="00EF12D8" w:rsidRDefault="00EF12D8" w:rsidP="00BE53BC">
      <w:pPr>
        <w:spacing w:after="0" w:line="240" w:lineRule="auto"/>
      </w:pPr>
      <w:r>
        <w:continuationSeparator/>
      </w:r>
    </w:p>
  </w:endnote>
  <w:endnote w:type="continuationNotice" w:id="1">
    <w:p w14:paraId="7696CD0B" w14:textId="77777777" w:rsidR="00EF12D8" w:rsidRDefault="00EF12D8">
      <w:pPr>
        <w:spacing w:after="0" w:line="240" w:lineRule="auto"/>
      </w:pPr>
    </w:p>
  </w:endnote>
  <w:endnote w:id="2">
    <w:p w14:paraId="1D573D82" w14:textId="77777777" w:rsidR="002033C8" w:rsidRPr="004C0147" w:rsidRDefault="002033C8" w:rsidP="002033C8">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Bureau of Statistics. (2023, November 8). </w:t>
      </w:r>
      <w:hyperlink r:id="rId1" w:history="1">
        <w:r w:rsidRPr="004C0147">
          <w:rPr>
            <w:rStyle w:val="Hyperlink"/>
            <w:rFonts w:ascii="Open Sans" w:hAnsi="Open Sans" w:cs="Open Sans"/>
            <w:i/>
            <w:iCs/>
            <w:sz w:val="22"/>
            <w:szCs w:val="22"/>
          </w:rPr>
          <w:t>Life expectancy – Key statistics</w:t>
        </w:r>
      </w:hyperlink>
      <w:r w:rsidRPr="004C0147">
        <w:rPr>
          <w:rStyle w:val="normaltextrun"/>
          <w:rFonts w:ascii="Open Sans" w:hAnsi="Open Sans" w:cs="Open Sans"/>
          <w:sz w:val="22"/>
          <w:szCs w:val="22"/>
        </w:rPr>
        <w:t>.</w:t>
      </w:r>
      <w:r w:rsidRPr="004C0147">
        <w:rPr>
          <w:rStyle w:val="normaltextrun"/>
          <w:rFonts w:ascii="Open Sans" w:hAnsi="Open Sans" w:cs="Open Sans"/>
          <w:sz w:val="22"/>
          <w:szCs w:val="22"/>
        </w:rPr>
        <w:br/>
      </w:r>
    </w:p>
  </w:endnote>
  <w:endnote w:id="3">
    <w:p w14:paraId="36DF6AE3" w14:textId="43F904DA" w:rsidR="002033C8" w:rsidRPr="004C0147" w:rsidRDefault="002033C8" w:rsidP="002033C8">
      <w:pPr>
        <w:pStyle w:val="paragraph"/>
        <w:spacing w:before="0" w:beforeAutospacing="0" w:after="0" w:afterAutospacing="0"/>
        <w:textAlignment w:val="baseline"/>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Bureau of Statistics. (2023, November 29). </w:t>
      </w:r>
      <w:hyperlink r:id="rId2" w:history="1">
        <w:r w:rsidRPr="004C0147">
          <w:rPr>
            <w:rStyle w:val="Hyperlink"/>
            <w:rFonts w:ascii="Open Sans" w:eastAsiaTheme="majorEastAsia" w:hAnsi="Open Sans" w:cs="Open Sans"/>
            <w:i/>
            <w:iCs/>
            <w:sz w:val="22"/>
            <w:szCs w:val="22"/>
          </w:rPr>
          <w:t>Aboriginal and Torres Strait Islander life expectancy – Key statistics</w:t>
        </w:r>
      </w:hyperlink>
      <w:r w:rsidRPr="004C0147">
        <w:rPr>
          <w:rStyle w:val="normaltextrun"/>
          <w:rFonts w:ascii="Open Sans" w:hAnsi="Open Sans" w:cs="Open Sans"/>
          <w:sz w:val="22"/>
          <w:szCs w:val="22"/>
        </w:rPr>
        <w:t xml:space="preserve">. Men: 71.9 years, women: 75.6 years. </w:t>
      </w:r>
      <w:r w:rsidRPr="004C0147">
        <w:rPr>
          <w:rFonts w:ascii="Open Sans" w:hAnsi="Open Sans" w:cs="Open Sans"/>
          <w:sz w:val="22"/>
          <w:szCs w:val="22"/>
        </w:rPr>
        <w:t>It is important to note First Nations people are undercounted in census data, so these numbers are approximate.</w:t>
      </w:r>
    </w:p>
    <w:p w14:paraId="341444F5" w14:textId="77777777" w:rsidR="002033C8" w:rsidRPr="004C0147" w:rsidRDefault="002033C8" w:rsidP="002033C8">
      <w:pPr>
        <w:pStyle w:val="EndnoteText"/>
        <w:rPr>
          <w:rFonts w:ascii="Open Sans" w:hAnsi="Open Sans" w:cs="Open Sans"/>
          <w:sz w:val="22"/>
          <w:szCs w:val="22"/>
        </w:rPr>
      </w:pPr>
    </w:p>
  </w:endnote>
  <w:endnote w:id="4">
    <w:p w14:paraId="6D319964" w14:textId="79A273A2" w:rsidR="001F1ACA" w:rsidRPr="004C0147" w:rsidRDefault="001F1ACA">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Institute of Health and Welfare. (2023). </w:t>
      </w:r>
      <w:hyperlink r:id="rId3" w:history="1">
        <w:r w:rsidRPr="004C0147">
          <w:rPr>
            <w:rStyle w:val="Hyperlink"/>
            <w:rFonts w:ascii="Open Sans" w:hAnsi="Open Sans" w:cs="Open Sans"/>
            <w:i/>
            <w:iCs/>
            <w:sz w:val="22"/>
            <w:szCs w:val="22"/>
          </w:rPr>
          <w:t>Older Australians – Demographic profile 2020, June 30</w:t>
        </w:r>
      </w:hyperlink>
      <w:r w:rsidRPr="004C0147">
        <w:rPr>
          <w:rStyle w:val="normaltextrun"/>
          <w:rFonts w:ascii="Open Sans" w:hAnsi="Open Sans" w:cs="Open Sans"/>
          <w:sz w:val="22"/>
          <w:szCs w:val="22"/>
        </w:rPr>
        <w:t xml:space="preserve">. </w:t>
      </w:r>
      <w:r w:rsidRPr="004C0147">
        <w:rPr>
          <w:rStyle w:val="eop"/>
          <w:rFonts w:ascii="Open Sans" w:eastAsiaTheme="majorEastAsia" w:hAnsi="Open Sans" w:cs="Open Sans"/>
          <w:sz w:val="22"/>
          <w:szCs w:val="22"/>
        </w:rPr>
        <w:t>16% = 4.2 million. 2.2 million =</w:t>
      </w:r>
      <w:r w:rsidR="00437A5B" w:rsidRPr="004C0147">
        <w:rPr>
          <w:rStyle w:val="eop"/>
          <w:rFonts w:ascii="Open Sans" w:eastAsiaTheme="majorEastAsia" w:hAnsi="Open Sans" w:cs="Open Sans"/>
          <w:sz w:val="22"/>
          <w:szCs w:val="22"/>
        </w:rPr>
        <w:t xml:space="preserve"> </w:t>
      </w:r>
      <w:r w:rsidRPr="004C0147">
        <w:rPr>
          <w:rStyle w:val="eop"/>
          <w:rFonts w:ascii="Open Sans" w:eastAsiaTheme="majorEastAsia" w:hAnsi="Open Sans" w:cs="Open Sans"/>
          <w:sz w:val="22"/>
          <w:szCs w:val="22"/>
        </w:rPr>
        <w:t>53%</w:t>
      </w:r>
      <w:r w:rsidR="00437A5B" w:rsidRPr="004C0147">
        <w:rPr>
          <w:rStyle w:val="eop"/>
          <w:rFonts w:ascii="Open Sans" w:eastAsiaTheme="majorEastAsia" w:hAnsi="Open Sans" w:cs="Open Sans"/>
          <w:sz w:val="22"/>
          <w:szCs w:val="22"/>
        </w:rPr>
        <w:t>.</w:t>
      </w:r>
      <w:r w:rsidRPr="004C0147">
        <w:rPr>
          <w:rStyle w:val="eop"/>
          <w:rFonts w:ascii="Open Sans" w:eastAsiaTheme="majorEastAsia" w:hAnsi="Open Sans" w:cs="Open Sans"/>
          <w:sz w:val="22"/>
          <w:szCs w:val="22"/>
        </w:rPr>
        <w:br/>
      </w:r>
    </w:p>
  </w:endnote>
  <w:endnote w:id="5">
    <w:p w14:paraId="35DDEF60" w14:textId="54CCD9D4" w:rsidR="001F1ACA" w:rsidRPr="004C0147" w:rsidRDefault="001F1ACA" w:rsidP="00BE53BC">
      <w:pPr>
        <w:pStyle w:val="paragraph"/>
        <w:spacing w:before="0" w:beforeAutospacing="0" w:after="0" w:afterAutospacing="0"/>
        <w:textAlignment w:val="baseline"/>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Institute of Health and Welfare. (2023). </w:t>
      </w:r>
      <w:hyperlink r:id="rId4" w:history="1">
        <w:r w:rsidRPr="004C0147">
          <w:rPr>
            <w:rStyle w:val="Hyperlink"/>
            <w:rFonts w:ascii="Open Sans" w:eastAsiaTheme="majorEastAsia" w:hAnsi="Open Sans" w:cs="Open Sans"/>
            <w:i/>
            <w:iCs/>
            <w:sz w:val="22"/>
            <w:szCs w:val="22"/>
          </w:rPr>
          <w:t>Older Australians – Demographic profile 2020, June 30</w:t>
        </w:r>
      </w:hyperlink>
      <w:r w:rsidRPr="004C0147">
        <w:rPr>
          <w:rStyle w:val="normaltextrun"/>
          <w:rFonts w:ascii="Open Sans" w:hAnsi="Open Sans" w:cs="Open Sans"/>
          <w:sz w:val="22"/>
          <w:szCs w:val="22"/>
        </w:rPr>
        <w:t xml:space="preserve">. </w:t>
      </w:r>
      <w:r w:rsidRPr="004C0147">
        <w:rPr>
          <w:rFonts w:ascii="Open Sans" w:hAnsi="Open Sans" w:cs="Open Sans"/>
          <w:sz w:val="22"/>
          <w:szCs w:val="22"/>
        </w:rPr>
        <w:t>Original figure: 528,000 (2.1% of Australians)</w:t>
      </w:r>
      <w:r w:rsidR="00DA1ADB" w:rsidRPr="004C0147">
        <w:rPr>
          <w:rFonts w:ascii="Open Sans" w:hAnsi="Open Sans" w:cs="Open Sans"/>
          <w:sz w:val="22"/>
          <w:szCs w:val="22"/>
        </w:rPr>
        <w:t>.</w:t>
      </w:r>
      <w:r w:rsidRPr="004C0147">
        <w:rPr>
          <w:rFonts w:ascii="Open Sans" w:hAnsi="Open Sans" w:cs="Open Sans"/>
          <w:sz w:val="22"/>
          <w:szCs w:val="22"/>
        </w:rPr>
        <w:t xml:space="preserve"> 3% = 3.6%. 4% = 4.4%</w:t>
      </w:r>
      <w:r w:rsidR="00DA1ADB" w:rsidRPr="004C0147">
        <w:rPr>
          <w:rFonts w:ascii="Open Sans" w:hAnsi="Open Sans" w:cs="Open Sans"/>
          <w:sz w:val="22"/>
          <w:szCs w:val="22"/>
        </w:rPr>
        <w:t>.</w:t>
      </w:r>
    </w:p>
    <w:p w14:paraId="301E2C99" w14:textId="1E34F3FE" w:rsidR="001F1ACA" w:rsidRPr="004C0147" w:rsidRDefault="001F1ACA">
      <w:pPr>
        <w:pStyle w:val="EndnoteText"/>
        <w:rPr>
          <w:rFonts w:ascii="Open Sans" w:hAnsi="Open Sans" w:cs="Open Sans"/>
          <w:sz w:val="22"/>
          <w:szCs w:val="22"/>
        </w:rPr>
      </w:pPr>
    </w:p>
  </w:endnote>
  <w:endnote w:id="6">
    <w:p w14:paraId="03F39D8D" w14:textId="07B2D522" w:rsidR="001F1ACA" w:rsidRPr="004C0147" w:rsidRDefault="001F1ACA" w:rsidP="00BE53BC">
      <w:pPr>
        <w:pStyle w:val="paragraph"/>
        <w:spacing w:before="0" w:beforeAutospacing="0" w:after="0" w:afterAutospacing="0"/>
        <w:textAlignment w:val="baseline"/>
        <w:rPr>
          <w:rStyle w:val="eop"/>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Bureau of Statistics. (2022, July 1). </w:t>
      </w:r>
      <w:hyperlink r:id="rId5" w:history="1">
        <w:r w:rsidRPr="004C0147">
          <w:rPr>
            <w:rStyle w:val="Hyperlink"/>
            <w:rFonts w:ascii="Open Sans" w:eastAsiaTheme="majorEastAsia" w:hAnsi="Open Sans" w:cs="Open Sans"/>
            <w:i/>
            <w:iCs/>
            <w:sz w:val="22"/>
            <w:szCs w:val="22"/>
          </w:rPr>
          <w:t>Aboriginal and Torres Strait Islander population summary</w:t>
        </w:r>
      </w:hyperlink>
      <w:r w:rsidRPr="004C0147">
        <w:rPr>
          <w:rStyle w:val="normaltextrun"/>
          <w:rFonts w:ascii="Open Sans" w:hAnsi="Open Sans" w:cs="Open Sans"/>
          <w:i/>
          <w:iCs/>
          <w:sz w:val="22"/>
          <w:szCs w:val="22"/>
        </w:rPr>
        <w:t>.</w:t>
      </w:r>
      <w:r w:rsidRPr="004C0147">
        <w:rPr>
          <w:rFonts w:ascii="Open Sans" w:hAnsi="Open Sans" w:cs="Open Sans"/>
          <w:sz w:val="22"/>
          <w:szCs w:val="22"/>
        </w:rPr>
        <w:t xml:space="preserve"> It is important to note First Nations people are undercounted in census data, so these numbers are approximate.</w:t>
      </w:r>
    </w:p>
    <w:p w14:paraId="15BD5E21" w14:textId="33EFE3D8" w:rsidR="001F1ACA" w:rsidRPr="004C0147" w:rsidRDefault="001F1ACA">
      <w:pPr>
        <w:pStyle w:val="EndnoteText"/>
        <w:rPr>
          <w:rFonts w:ascii="Open Sans" w:hAnsi="Open Sans" w:cs="Open Sans"/>
          <w:sz w:val="22"/>
          <w:szCs w:val="22"/>
        </w:rPr>
      </w:pPr>
    </w:p>
  </w:endnote>
  <w:endnote w:id="7">
    <w:p w14:paraId="52C3C065" w14:textId="3E919CB1" w:rsidR="000E3FA7" w:rsidRPr="004C0147" w:rsidRDefault="000E3FA7">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Institute of Health and Welfare. (2023). </w:t>
      </w:r>
      <w:hyperlink r:id="rId6" w:history="1">
        <w:r w:rsidRPr="004C0147">
          <w:rPr>
            <w:rStyle w:val="Hyperlink"/>
            <w:rFonts w:ascii="Open Sans" w:eastAsiaTheme="majorEastAsia" w:hAnsi="Open Sans" w:cs="Open Sans"/>
            <w:i/>
            <w:iCs/>
            <w:sz w:val="22"/>
            <w:szCs w:val="22"/>
          </w:rPr>
          <w:t>Older Australians – Culturally and linguistically diverse older people.</w:t>
        </w:r>
      </w:hyperlink>
      <w:r w:rsidRPr="004C0147">
        <w:rPr>
          <w:rStyle w:val="eop"/>
          <w:rFonts w:ascii="Open Sans" w:eastAsiaTheme="majorEastAsia" w:hAnsi="Open Sans" w:cs="Open Sans"/>
          <w:sz w:val="22"/>
          <w:szCs w:val="22"/>
        </w:rPr>
        <w:t xml:space="preserve"> 1 in 5 = 20%. Older Australians = aged 65 years and over</w:t>
      </w:r>
      <w:r w:rsidRPr="004C0147">
        <w:rPr>
          <w:rFonts w:ascii="Open Sans" w:hAnsi="Open Sans" w:cs="Open Sans"/>
          <w:sz w:val="22"/>
          <w:szCs w:val="22"/>
        </w:rPr>
        <w:t>.</w:t>
      </w:r>
      <w:r w:rsidRPr="004C0147">
        <w:rPr>
          <w:rFonts w:ascii="Open Sans" w:hAnsi="Open Sans" w:cs="Open Sans"/>
          <w:sz w:val="22"/>
          <w:szCs w:val="22"/>
        </w:rPr>
        <w:br/>
      </w:r>
    </w:p>
  </w:endnote>
  <w:endnote w:id="8">
    <w:p w14:paraId="284C1019" w14:textId="399D82D6" w:rsidR="001F1ACA" w:rsidRPr="004C0147" w:rsidRDefault="001F1ACA" w:rsidP="00BE53BC">
      <w:pPr>
        <w:pStyle w:val="paragraph"/>
        <w:spacing w:before="0" w:beforeAutospacing="0" w:after="0" w:afterAutospacing="0"/>
        <w:textAlignment w:val="baseline"/>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00161343" w:rsidRPr="004C0147">
        <w:rPr>
          <w:rStyle w:val="normaltextrun"/>
          <w:rFonts w:ascii="Open Sans" w:hAnsi="Open Sans" w:cs="Open Sans"/>
          <w:sz w:val="22"/>
          <w:szCs w:val="22"/>
        </w:rPr>
        <w:t xml:space="preserve">Australian Institute of Health and Welfare. (2023). </w:t>
      </w:r>
      <w:hyperlink r:id="rId7" w:history="1">
        <w:r w:rsidR="00161343" w:rsidRPr="004C0147">
          <w:rPr>
            <w:rStyle w:val="Hyperlink"/>
            <w:rFonts w:ascii="Open Sans" w:eastAsiaTheme="majorEastAsia" w:hAnsi="Open Sans" w:cs="Open Sans"/>
            <w:i/>
            <w:iCs/>
            <w:sz w:val="22"/>
            <w:szCs w:val="22"/>
          </w:rPr>
          <w:t>Older Australians – Culturally and linguistically diverse older people.</w:t>
        </w:r>
      </w:hyperlink>
      <w:r w:rsidR="002A6E17" w:rsidRPr="004C0147">
        <w:rPr>
          <w:rStyle w:val="normaltextrun"/>
          <w:rFonts w:ascii="Open Sans" w:hAnsi="Open Sans" w:cs="Open Sans"/>
          <w:sz w:val="22"/>
          <w:szCs w:val="22"/>
        </w:rPr>
        <w:br/>
      </w:r>
    </w:p>
  </w:endnote>
  <w:endnote w:id="9">
    <w:p w14:paraId="35795BDF" w14:textId="45AD9EF7" w:rsidR="000727BF" w:rsidRPr="004C0147" w:rsidRDefault="000727BF">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Institute of Health and Welfare. (2023). </w:t>
      </w:r>
      <w:hyperlink r:id="rId8" w:history="1">
        <w:r w:rsidRPr="004C0147">
          <w:rPr>
            <w:rStyle w:val="Hyperlink"/>
            <w:rFonts w:ascii="Open Sans" w:eastAsiaTheme="majorEastAsia" w:hAnsi="Open Sans" w:cs="Open Sans"/>
            <w:i/>
            <w:iCs/>
            <w:sz w:val="22"/>
            <w:szCs w:val="22"/>
          </w:rPr>
          <w:t>Older Australians – Employment and work</w:t>
        </w:r>
      </w:hyperlink>
      <w:r w:rsidRPr="004C0147">
        <w:rPr>
          <w:rStyle w:val="normaltextrun"/>
          <w:rFonts w:ascii="Open Sans" w:hAnsi="Open Sans" w:cs="Open Sans"/>
          <w:i/>
          <w:iCs/>
          <w:sz w:val="22"/>
          <w:szCs w:val="22"/>
        </w:rPr>
        <w:t>.</w:t>
      </w:r>
      <w:r w:rsidR="00630FBF" w:rsidRPr="004C0147">
        <w:rPr>
          <w:rStyle w:val="normaltextrun"/>
          <w:rFonts w:ascii="Open Sans" w:hAnsi="Open Sans" w:cs="Open Sans"/>
          <w:i/>
          <w:iCs/>
          <w:sz w:val="22"/>
          <w:szCs w:val="22"/>
        </w:rPr>
        <w:br/>
      </w:r>
    </w:p>
  </w:endnote>
  <w:endnote w:id="10">
    <w:p w14:paraId="33CD30E7" w14:textId="2FB7DFF0" w:rsidR="001F1ACA" w:rsidRPr="004C0147" w:rsidRDefault="001F1ACA" w:rsidP="00587633">
      <w:pPr>
        <w:pStyle w:val="paragraph"/>
        <w:spacing w:before="0" w:beforeAutospacing="0" w:after="0" w:afterAutospacing="0"/>
        <w:textAlignment w:val="baseline"/>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000208C5" w:rsidRPr="004C0147">
        <w:rPr>
          <w:rStyle w:val="normaltextrun"/>
          <w:rFonts w:ascii="Open Sans" w:hAnsi="Open Sans" w:cs="Open Sans"/>
          <w:sz w:val="22"/>
          <w:szCs w:val="22"/>
        </w:rPr>
        <w:t xml:space="preserve">Australian Institute of Health and Welfare. (2023). </w:t>
      </w:r>
      <w:hyperlink r:id="rId9" w:history="1">
        <w:r w:rsidR="000208C5" w:rsidRPr="004C0147">
          <w:rPr>
            <w:rStyle w:val="Hyperlink"/>
            <w:rFonts w:ascii="Open Sans" w:eastAsiaTheme="majorEastAsia" w:hAnsi="Open Sans" w:cs="Open Sans"/>
            <w:i/>
            <w:iCs/>
            <w:sz w:val="22"/>
            <w:szCs w:val="22"/>
          </w:rPr>
          <w:t>Older Australians – Employment and work</w:t>
        </w:r>
      </w:hyperlink>
      <w:r w:rsidR="000208C5" w:rsidRPr="004C0147">
        <w:rPr>
          <w:rStyle w:val="normaltextrun"/>
          <w:rFonts w:ascii="Open Sans" w:hAnsi="Open Sans" w:cs="Open Sans"/>
          <w:i/>
          <w:iCs/>
          <w:sz w:val="22"/>
          <w:szCs w:val="22"/>
        </w:rPr>
        <w:t>.</w:t>
      </w:r>
      <w:r w:rsidR="000208C5">
        <w:rPr>
          <w:rStyle w:val="normaltextrun"/>
          <w:rFonts w:ascii="Open Sans" w:hAnsi="Open Sans" w:cs="Open Sans"/>
          <w:i/>
          <w:iCs/>
          <w:sz w:val="22"/>
          <w:szCs w:val="22"/>
        </w:rPr>
        <w:t xml:space="preserve"> </w:t>
      </w:r>
      <w:r w:rsidRPr="004C0147">
        <w:rPr>
          <w:rStyle w:val="eop"/>
          <w:rFonts w:ascii="Open Sans" w:hAnsi="Open Sans" w:cs="Open Sans"/>
          <w:sz w:val="22"/>
          <w:szCs w:val="22"/>
        </w:rPr>
        <w:t>3 in 5 = 61%. 2 in 5 = 39%</w:t>
      </w:r>
      <w:r w:rsidR="006C5C3D" w:rsidRPr="004C0147">
        <w:rPr>
          <w:rStyle w:val="eop"/>
          <w:rFonts w:ascii="Open Sans" w:hAnsi="Open Sans" w:cs="Open Sans"/>
          <w:sz w:val="22"/>
          <w:szCs w:val="22"/>
        </w:rPr>
        <w:t>.</w:t>
      </w:r>
      <w:r w:rsidRPr="004C0147">
        <w:rPr>
          <w:rStyle w:val="eop"/>
          <w:rFonts w:ascii="Open Sans" w:hAnsi="Open Sans" w:cs="Open Sans"/>
          <w:sz w:val="22"/>
          <w:szCs w:val="22"/>
        </w:rPr>
        <w:br/>
      </w:r>
    </w:p>
  </w:endnote>
  <w:endnote w:id="11">
    <w:p w14:paraId="74E273B2" w14:textId="27C02084" w:rsidR="001F1ACA" w:rsidRPr="004C0147" w:rsidRDefault="001F1ACA">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Institute of Health and Welfare. (2023). </w:t>
      </w:r>
      <w:hyperlink r:id="rId10" w:history="1">
        <w:r w:rsidRPr="004C0147">
          <w:rPr>
            <w:rStyle w:val="Hyperlink"/>
            <w:rFonts w:ascii="Open Sans" w:hAnsi="Open Sans" w:cs="Open Sans"/>
            <w:i/>
            <w:iCs/>
            <w:sz w:val="22"/>
            <w:szCs w:val="22"/>
          </w:rPr>
          <w:t>Income support for older Australians</w:t>
        </w:r>
      </w:hyperlink>
      <w:r w:rsidRPr="004C0147">
        <w:rPr>
          <w:rStyle w:val="normaltextrun"/>
          <w:rFonts w:ascii="Open Sans" w:hAnsi="Open Sans" w:cs="Open Sans"/>
          <w:sz w:val="22"/>
          <w:szCs w:val="22"/>
        </w:rPr>
        <w:t>. Australian Government, Australian Institute of Health and Welfare.</w:t>
      </w:r>
      <w:r w:rsidRPr="004C0147">
        <w:rPr>
          <w:rStyle w:val="normaltextrun"/>
          <w:rFonts w:ascii="Open Sans" w:hAnsi="Open Sans" w:cs="Open Sans"/>
          <w:sz w:val="22"/>
          <w:szCs w:val="22"/>
        </w:rPr>
        <w:br/>
      </w:r>
    </w:p>
  </w:endnote>
  <w:endnote w:id="12">
    <w:p w14:paraId="24326A97" w14:textId="57E1B4D2" w:rsidR="00506BE8" w:rsidRDefault="00506BE8">
      <w:pPr>
        <w:pStyle w:val="EndnoteText"/>
      </w:pPr>
      <w:r>
        <w:rPr>
          <w:rStyle w:val="EndnoteReference"/>
        </w:rPr>
        <w:endnoteRef/>
      </w:r>
      <w:r>
        <w:t xml:space="preserve"> </w:t>
      </w:r>
      <w:r w:rsidR="00C42650" w:rsidRPr="000E20C5">
        <w:rPr>
          <w:rStyle w:val="normaltextrun"/>
          <w:rFonts w:ascii="Open Sans" w:hAnsi="Open Sans" w:cs="Open Sans"/>
          <w:sz w:val="22"/>
          <w:szCs w:val="22"/>
        </w:rPr>
        <w:t>Australian Bureau of Statistics. (202</w:t>
      </w:r>
      <w:r w:rsidR="00C42650">
        <w:rPr>
          <w:rStyle w:val="normaltextrun"/>
          <w:rFonts w:ascii="Open Sans" w:hAnsi="Open Sans" w:cs="Open Sans"/>
          <w:sz w:val="22"/>
          <w:szCs w:val="22"/>
        </w:rPr>
        <w:t>3</w:t>
      </w:r>
      <w:r w:rsidR="00C42650" w:rsidRPr="000E20C5">
        <w:rPr>
          <w:rStyle w:val="normaltextrun"/>
          <w:rFonts w:ascii="Open Sans" w:hAnsi="Open Sans" w:cs="Open Sans"/>
          <w:sz w:val="22"/>
          <w:szCs w:val="22"/>
        </w:rPr>
        <w:t xml:space="preserve">, </w:t>
      </w:r>
      <w:r w:rsidR="00C42650">
        <w:rPr>
          <w:rStyle w:val="normaltextrun"/>
          <w:rFonts w:ascii="Open Sans" w:hAnsi="Open Sans" w:cs="Open Sans"/>
          <w:sz w:val="22"/>
          <w:szCs w:val="22"/>
        </w:rPr>
        <w:t>August</w:t>
      </w:r>
      <w:r w:rsidR="00C42650" w:rsidRPr="000E20C5">
        <w:rPr>
          <w:rStyle w:val="normaltextrun"/>
          <w:rFonts w:ascii="Open Sans" w:hAnsi="Open Sans" w:cs="Open Sans"/>
          <w:sz w:val="22"/>
          <w:szCs w:val="22"/>
        </w:rPr>
        <w:t xml:space="preserve"> </w:t>
      </w:r>
      <w:r w:rsidR="00C42650">
        <w:rPr>
          <w:rStyle w:val="normaltextrun"/>
          <w:rFonts w:ascii="Open Sans" w:hAnsi="Open Sans" w:cs="Open Sans"/>
          <w:sz w:val="22"/>
          <w:szCs w:val="22"/>
        </w:rPr>
        <w:t>3</w:t>
      </w:r>
      <w:r w:rsidR="00C42650" w:rsidRPr="000E20C5">
        <w:rPr>
          <w:rStyle w:val="normaltextrun"/>
          <w:rFonts w:ascii="Open Sans" w:hAnsi="Open Sans" w:cs="Open Sans"/>
          <w:sz w:val="22"/>
          <w:szCs w:val="22"/>
        </w:rPr>
        <w:t xml:space="preserve">1). </w:t>
      </w:r>
      <w:hyperlink r:id="rId11" w:history="1">
        <w:r w:rsidR="00C42650" w:rsidRPr="00404E9C">
          <w:rPr>
            <w:rStyle w:val="Hyperlink"/>
            <w:rFonts w:ascii="Open Sans" w:hAnsi="Open Sans" w:cs="Open Sans"/>
            <w:i/>
            <w:iCs/>
            <w:sz w:val="22"/>
            <w:szCs w:val="22"/>
          </w:rPr>
          <w:t>Estimates of Aboriginal and Torres Strait Islander Australians</w:t>
        </w:r>
      </w:hyperlink>
      <w:r w:rsidR="00C42650" w:rsidRPr="00404E9C">
        <w:rPr>
          <w:rStyle w:val="normaltextrun"/>
          <w:rFonts w:ascii="Open Sans" w:hAnsi="Open Sans" w:cs="Open Sans"/>
          <w:i/>
          <w:iCs/>
          <w:sz w:val="22"/>
          <w:szCs w:val="22"/>
        </w:rPr>
        <w:t>.</w:t>
      </w:r>
      <w:r w:rsidR="00C42650">
        <w:rPr>
          <w:rStyle w:val="normaltextrun"/>
          <w:rFonts w:ascii="Open Sans" w:hAnsi="Open Sans" w:cs="Open Sans"/>
          <w:i/>
          <w:iCs/>
          <w:sz w:val="22"/>
          <w:szCs w:val="22"/>
        </w:rPr>
        <w:t xml:space="preserve"> </w:t>
      </w:r>
      <w:r w:rsidR="00C42650" w:rsidRPr="004A34A1">
        <w:rPr>
          <w:rStyle w:val="normaltextrun"/>
          <w:rFonts w:ascii="Open Sans" w:hAnsi="Open Sans" w:cs="Open Sans"/>
          <w:sz w:val="22"/>
          <w:szCs w:val="22"/>
        </w:rPr>
        <w:t>Almost 4% = 3.8%</w:t>
      </w:r>
      <w:r w:rsidR="00C42650">
        <w:rPr>
          <w:rStyle w:val="normaltextrun"/>
          <w:rFonts w:ascii="Open Sans" w:hAnsi="Open Sans" w:cs="Open Sans"/>
          <w:sz w:val="22"/>
          <w:szCs w:val="22"/>
        </w:rPr>
        <w:br/>
      </w:r>
    </w:p>
  </w:endnote>
  <w:endnote w:id="13">
    <w:p w14:paraId="6BEF789B" w14:textId="71B55AC1" w:rsidR="00940636" w:rsidRDefault="00940636">
      <w:pPr>
        <w:pStyle w:val="EndnoteText"/>
      </w:pPr>
      <w:r>
        <w:rPr>
          <w:rStyle w:val="EndnoteReference"/>
        </w:rPr>
        <w:endnoteRef/>
      </w:r>
      <w:r>
        <w:t xml:space="preserve"> </w:t>
      </w:r>
      <w:r>
        <w:rPr>
          <w:rStyle w:val="eop"/>
          <w:rFonts w:ascii="Open Sans" w:eastAsiaTheme="majorEastAsia" w:hAnsi="Open Sans" w:cs="Open Sans"/>
          <w:sz w:val="22"/>
          <w:szCs w:val="22"/>
        </w:rPr>
        <w:t xml:space="preserve">Australian Bureau of Statistics. (2023, September 07). </w:t>
      </w:r>
      <w:hyperlink r:id="rId12" w:history="1">
        <w:r w:rsidRPr="00D95057">
          <w:rPr>
            <w:rStyle w:val="Hyperlink"/>
            <w:rFonts w:ascii="Open Sans" w:hAnsi="Open Sans" w:cs="Open Sans"/>
            <w:i/>
            <w:iCs/>
            <w:sz w:val="22"/>
            <w:szCs w:val="22"/>
          </w:rPr>
          <w:t>Income and finance of First Nations people.</w:t>
        </w:r>
      </w:hyperlink>
      <w:r>
        <w:br/>
      </w:r>
    </w:p>
  </w:endnote>
  <w:endnote w:id="14">
    <w:p w14:paraId="1C2E9C81" w14:textId="271C3430" w:rsidR="001F1ACA" w:rsidRPr="004C0147" w:rsidRDefault="001F1ACA">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Organisation for Economic Co-operation and Development (OECD). (2009). </w:t>
      </w:r>
      <w:hyperlink r:id="rId13" w:history="1">
        <w:r w:rsidRPr="004C0147">
          <w:rPr>
            <w:rStyle w:val="Hyperlink"/>
            <w:rFonts w:ascii="Open Sans" w:hAnsi="Open Sans" w:cs="Open Sans"/>
            <w:i/>
            <w:iCs/>
            <w:sz w:val="22"/>
            <w:szCs w:val="22"/>
          </w:rPr>
          <w:t>Pensions at a Glance 2009: Retirement-Income systems in OECD countries</w:t>
        </w:r>
      </w:hyperlink>
      <w:r w:rsidR="00630FBF" w:rsidRPr="004C0147">
        <w:rPr>
          <w:rStyle w:val="normaltextrun"/>
          <w:rFonts w:ascii="Open Sans" w:hAnsi="Open Sans" w:cs="Open Sans"/>
          <w:sz w:val="22"/>
          <w:szCs w:val="22"/>
        </w:rPr>
        <w:t>.</w:t>
      </w:r>
      <w:r w:rsidRPr="004C0147">
        <w:rPr>
          <w:rStyle w:val="normaltextrun"/>
          <w:rFonts w:ascii="Open Sans" w:hAnsi="Open Sans" w:cs="Open Sans"/>
          <w:sz w:val="22"/>
          <w:szCs w:val="22"/>
        </w:rPr>
        <w:t xml:space="preserve"> p. 63</w:t>
      </w:r>
      <w:r w:rsidRPr="004C0147">
        <w:rPr>
          <w:rStyle w:val="eop"/>
          <w:rFonts w:ascii="Open Sans" w:eastAsiaTheme="majorEastAsia" w:hAnsi="Open Sans" w:cs="Open Sans"/>
          <w:sz w:val="22"/>
          <w:szCs w:val="22"/>
        </w:rPr>
        <w:t>.</w:t>
      </w:r>
      <w:r w:rsidRPr="004C0147">
        <w:rPr>
          <w:rStyle w:val="eop"/>
          <w:rFonts w:ascii="Open Sans" w:eastAsiaTheme="majorEastAsia" w:hAnsi="Open Sans" w:cs="Open Sans"/>
          <w:sz w:val="22"/>
          <w:szCs w:val="22"/>
        </w:rPr>
        <w:br/>
      </w:r>
    </w:p>
  </w:endnote>
  <w:endnote w:id="15">
    <w:p w14:paraId="0B0EDA14" w14:textId="67CEC75A" w:rsidR="001F1ACA" w:rsidRPr="004C0147" w:rsidRDefault="001F1ACA">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Clare, R. (2023). </w:t>
      </w:r>
      <w:hyperlink r:id="rId14" w:history="1">
        <w:r w:rsidRPr="004C0147">
          <w:rPr>
            <w:rStyle w:val="Hyperlink"/>
            <w:rFonts w:ascii="Open Sans" w:hAnsi="Open Sans" w:cs="Open Sans"/>
            <w:i/>
            <w:iCs/>
            <w:sz w:val="22"/>
            <w:szCs w:val="22"/>
          </w:rPr>
          <w:t>An update on superannuation account balances</w:t>
        </w:r>
      </w:hyperlink>
      <w:r w:rsidRPr="004C0147">
        <w:rPr>
          <w:rStyle w:val="normaltextrun"/>
          <w:rFonts w:ascii="Open Sans" w:hAnsi="Open Sans" w:cs="Open Sans"/>
          <w:sz w:val="22"/>
          <w:szCs w:val="22"/>
        </w:rPr>
        <w:t>. The Association of Superannuation Funds of Australia, pp. 8 – 9.</w:t>
      </w:r>
      <w:r w:rsidRPr="004C0147">
        <w:rPr>
          <w:rStyle w:val="normaltextrun"/>
          <w:rFonts w:ascii="Open Sans" w:hAnsi="Open Sans" w:cs="Open Sans"/>
          <w:sz w:val="22"/>
          <w:szCs w:val="22"/>
        </w:rPr>
        <w:br/>
      </w:r>
    </w:p>
  </w:endnote>
  <w:endnote w:id="16">
    <w:p w14:paraId="063F61FB" w14:textId="77777777" w:rsidR="001F1ACA" w:rsidRPr="004C0147" w:rsidRDefault="001F1ACA" w:rsidP="00587633">
      <w:pPr>
        <w:pStyle w:val="paragraph"/>
        <w:spacing w:before="0" w:beforeAutospacing="0" w:after="0" w:afterAutospacing="0"/>
        <w:textAlignment w:val="baseline"/>
        <w:rPr>
          <w:rStyle w:val="normaltextrun"/>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Human Rights Commission. (2019). </w:t>
      </w:r>
      <w:hyperlink r:id="rId15" w:history="1">
        <w:r w:rsidRPr="004C0147">
          <w:rPr>
            <w:rStyle w:val="Hyperlink"/>
            <w:rFonts w:ascii="Open Sans" w:eastAsiaTheme="majorEastAsia" w:hAnsi="Open Sans" w:cs="Open Sans"/>
            <w:i/>
            <w:iCs/>
            <w:sz w:val="22"/>
            <w:szCs w:val="22"/>
          </w:rPr>
          <w:t>Older Women’s Risk of Homelessness: Background Paper</w:t>
        </w:r>
      </w:hyperlink>
      <w:r w:rsidRPr="004C0147">
        <w:rPr>
          <w:rStyle w:val="normaltextrun"/>
          <w:rFonts w:ascii="Open Sans" w:hAnsi="Open Sans" w:cs="Open Sans"/>
          <w:sz w:val="22"/>
          <w:szCs w:val="22"/>
        </w:rPr>
        <w:t>.</w:t>
      </w:r>
    </w:p>
    <w:p w14:paraId="7116180E" w14:textId="489E7F33" w:rsidR="001F1ACA" w:rsidRPr="004C0147" w:rsidRDefault="001F1ACA">
      <w:pPr>
        <w:pStyle w:val="EndnoteText"/>
        <w:rPr>
          <w:rFonts w:ascii="Open Sans" w:hAnsi="Open Sans" w:cs="Open Sans"/>
          <w:sz w:val="22"/>
          <w:szCs w:val="22"/>
        </w:rPr>
      </w:pPr>
    </w:p>
  </w:endnote>
  <w:endnote w:id="17">
    <w:p w14:paraId="43CB552E" w14:textId="2BED9C28" w:rsidR="001F1ACA" w:rsidRPr="004C0147" w:rsidRDefault="001F1ACA">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Institute of Health and Welfare. (2024). </w:t>
      </w:r>
      <w:hyperlink r:id="rId16" w:history="1">
        <w:r w:rsidRPr="004C0147">
          <w:rPr>
            <w:rStyle w:val="Hyperlink"/>
            <w:rFonts w:ascii="Open Sans" w:hAnsi="Open Sans" w:cs="Open Sans"/>
            <w:i/>
            <w:iCs/>
            <w:sz w:val="22"/>
            <w:szCs w:val="22"/>
          </w:rPr>
          <w:t>Specialist homelessness services annual report 2022 – 2023</w:t>
        </w:r>
      </w:hyperlink>
      <w:r w:rsidRPr="004C0147">
        <w:rPr>
          <w:rStyle w:val="normaltextrun"/>
          <w:rFonts w:ascii="Open Sans" w:hAnsi="Open Sans" w:cs="Open Sans"/>
          <w:i/>
          <w:iCs/>
          <w:sz w:val="22"/>
          <w:szCs w:val="22"/>
        </w:rPr>
        <w:t>.</w:t>
      </w:r>
      <w:r w:rsidR="004C0147" w:rsidRPr="004C0147">
        <w:rPr>
          <w:rStyle w:val="normaltextrun"/>
          <w:rFonts w:ascii="Open Sans" w:hAnsi="Open Sans" w:cs="Open Sans"/>
          <w:i/>
          <w:iCs/>
          <w:sz w:val="22"/>
          <w:szCs w:val="22"/>
        </w:rPr>
        <w:br/>
      </w:r>
    </w:p>
  </w:endnote>
  <w:endnote w:id="18">
    <w:p w14:paraId="7F4FC4EE" w14:textId="587BE9B0" w:rsidR="001F1ACA" w:rsidRPr="004C0147" w:rsidRDefault="001F1ACA">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Institute of Family Studies. (2003). </w:t>
      </w:r>
      <w:hyperlink r:id="rId17" w:history="1">
        <w:r w:rsidRPr="004C0147">
          <w:rPr>
            <w:rStyle w:val="Hyperlink"/>
            <w:rFonts w:ascii="Open Sans" w:hAnsi="Open Sans" w:cs="Open Sans"/>
            <w:i/>
            <w:iCs/>
            <w:sz w:val="22"/>
            <w:szCs w:val="22"/>
          </w:rPr>
          <w:t>Measuring the value of unpaid household, caring and voluntary work of older Australians</w:t>
        </w:r>
      </w:hyperlink>
      <w:r w:rsidRPr="004C0147">
        <w:rPr>
          <w:rStyle w:val="normaltextrun"/>
          <w:rFonts w:ascii="Open Sans" w:hAnsi="Open Sans" w:cs="Open Sans"/>
          <w:sz w:val="22"/>
          <w:szCs w:val="22"/>
        </w:rPr>
        <w:t>.</w:t>
      </w:r>
      <w:r w:rsidRPr="004C0147">
        <w:rPr>
          <w:rStyle w:val="normaltextrun"/>
          <w:rFonts w:ascii="Open Sans" w:hAnsi="Open Sans" w:cs="Open Sans"/>
          <w:sz w:val="22"/>
          <w:szCs w:val="22"/>
        </w:rPr>
        <w:br/>
      </w:r>
    </w:p>
  </w:endnote>
  <w:endnote w:id="19">
    <w:p w14:paraId="6CDF2BDC" w14:textId="77777777" w:rsidR="00BE48E4" w:rsidRPr="004C0147" w:rsidRDefault="00BE48E4" w:rsidP="00BE48E4">
      <w:pPr>
        <w:pStyle w:val="paragraph"/>
        <w:spacing w:before="0" w:beforeAutospacing="0" w:after="0" w:afterAutospacing="0"/>
        <w:textAlignment w:val="baseline"/>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eop"/>
          <w:rFonts w:ascii="Open Sans" w:hAnsi="Open Sans" w:cs="Open Sans"/>
          <w:sz w:val="22"/>
          <w:szCs w:val="22"/>
        </w:rPr>
        <w:t xml:space="preserve">Polidoras, A., Banks, C., Toner, K., &amp; Diseris, I. (2023). </w:t>
      </w:r>
      <w:hyperlink r:id="rId18" w:history="1">
        <w:r w:rsidRPr="004C0147">
          <w:rPr>
            <w:rStyle w:val="Hyperlink"/>
            <w:rFonts w:ascii="Open Sans" w:eastAsiaTheme="majorEastAsia" w:hAnsi="Open Sans" w:cs="Open Sans"/>
            <w:i/>
            <w:iCs/>
            <w:sz w:val="22"/>
            <w:szCs w:val="22"/>
          </w:rPr>
          <w:t>State of the Older Nation 2023</w:t>
        </w:r>
      </w:hyperlink>
      <w:r w:rsidRPr="004C0147">
        <w:rPr>
          <w:rStyle w:val="eop"/>
          <w:rFonts w:ascii="Open Sans" w:hAnsi="Open Sans" w:cs="Open Sans"/>
          <w:sz w:val="22"/>
          <w:szCs w:val="22"/>
        </w:rPr>
        <w:t xml:space="preserve">. Councils on the Ageing Federation, p. 5. </w:t>
      </w:r>
      <w:r w:rsidRPr="004C0147">
        <w:rPr>
          <w:rFonts w:ascii="Open Sans" w:hAnsi="Open Sans" w:cs="Open Sans"/>
          <w:sz w:val="22"/>
          <w:szCs w:val="22"/>
        </w:rPr>
        <w:t>Nearly 1 in 4 = 24%.</w:t>
      </w:r>
    </w:p>
    <w:p w14:paraId="48A2836B" w14:textId="77777777" w:rsidR="00BE48E4" w:rsidRPr="004C0147" w:rsidRDefault="00BE48E4" w:rsidP="00BE48E4">
      <w:pPr>
        <w:pStyle w:val="EndnoteText"/>
        <w:rPr>
          <w:rFonts w:ascii="Open Sans" w:hAnsi="Open Sans" w:cs="Open Sans"/>
          <w:sz w:val="22"/>
          <w:szCs w:val="22"/>
        </w:rPr>
      </w:pPr>
    </w:p>
  </w:endnote>
  <w:endnote w:id="20">
    <w:p w14:paraId="5B3694E2" w14:textId="0A910FC2" w:rsidR="001F1ACA" w:rsidRPr="004C0147" w:rsidRDefault="001F1ACA">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color w:val="000000"/>
          <w:sz w:val="22"/>
          <w:szCs w:val="22"/>
          <w:shd w:val="clear" w:color="auto" w:fill="FFFFFF"/>
        </w:rPr>
        <w:t xml:space="preserve">Australian Human Rights Commission. (2021). </w:t>
      </w:r>
      <w:hyperlink r:id="rId19" w:history="1">
        <w:r w:rsidRPr="004C0147">
          <w:rPr>
            <w:rStyle w:val="Hyperlink"/>
            <w:rFonts w:ascii="Open Sans" w:hAnsi="Open Sans" w:cs="Open Sans"/>
            <w:i/>
            <w:iCs/>
            <w:sz w:val="22"/>
            <w:szCs w:val="22"/>
            <w:shd w:val="clear" w:color="auto" w:fill="FFFFFF"/>
          </w:rPr>
          <w:t>What’s Age Got To Do With It?</w:t>
        </w:r>
      </w:hyperlink>
      <w:r w:rsidR="004C0147" w:rsidRPr="004C0147">
        <w:rPr>
          <w:rStyle w:val="Hyperlink"/>
          <w:rFonts w:ascii="Open Sans" w:hAnsi="Open Sans" w:cs="Open Sans"/>
          <w:color w:val="auto"/>
          <w:sz w:val="22"/>
          <w:szCs w:val="22"/>
          <w:shd w:val="clear" w:color="auto" w:fill="FFFFFF"/>
        </w:rPr>
        <w:t>.</w:t>
      </w:r>
      <w:r w:rsidRPr="004C0147">
        <w:rPr>
          <w:rStyle w:val="normaltextrun"/>
          <w:rFonts w:ascii="Open Sans" w:hAnsi="Open Sans" w:cs="Open Sans"/>
          <w:i/>
          <w:iCs/>
          <w:color w:val="000000"/>
          <w:sz w:val="22"/>
          <w:szCs w:val="22"/>
          <w:shd w:val="clear" w:color="auto" w:fill="FFFFFF"/>
        </w:rPr>
        <w:t xml:space="preserve"> </w:t>
      </w:r>
      <w:r w:rsidRPr="004C0147">
        <w:rPr>
          <w:rStyle w:val="normaltextrun"/>
          <w:rFonts w:ascii="Open Sans" w:hAnsi="Open Sans" w:cs="Open Sans"/>
          <w:color w:val="000000"/>
          <w:sz w:val="22"/>
          <w:szCs w:val="22"/>
          <w:shd w:val="clear" w:color="auto" w:fill="FFFFFF"/>
        </w:rPr>
        <w:t>p. 37.</w:t>
      </w:r>
      <w:r w:rsidRPr="004C0147">
        <w:rPr>
          <w:rStyle w:val="normaltextrun"/>
          <w:rFonts w:ascii="Open Sans" w:hAnsi="Open Sans" w:cs="Open Sans"/>
          <w:color w:val="000000"/>
          <w:sz w:val="22"/>
          <w:szCs w:val="22"/>
          <w:shd w:val="clear" w:color="auto" w:fill="FFFFFF"/>
        </w:rPr>
        <w:br/>
      </w:r>
    </w:p>
  </w:endnote>
  <w:endnote w:id="21">
    <w:p w14:paraId="4D2385FE" w14:textId="3F3B435B" w:rsidR="007F1B1A" w:rsidRPr="004C0147" w:rsidRDefault="007F1B1A">
      <w:pPr>
        <w:pStyle w:val="EndnoteText"/>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Pr="004C0147">
        <w:rPr>
          <w:rStyle w:val="normaltextrun"/>
          <w:rFonts w:ascii="Open Sans" w:hAnsi="Open Sans" w:cs="Open Sans"/>
          <w:sz w:val="22"/>
          <w:szCs w:val="22"/>
        </w:rPr>
        <w:t xml:space="preserve">Australian Institute of Health and Welfare. (2024). </w:t>
      </w:r>
      <w:hyperlink r:id="rId20" w:history="1">
        <w:r w:rsidRPr="004C0147">
          <w:rPr>
            <w:rStyle w:val="Hyperlink"/>
            <w:rFonts w:ascii="Open Sans" w:eastAsiaTheme="majorEastAsia" w:hAnsi="Open Sans" w:cs="Open Sans"/>
            <w:i/>
            <w:iCs/>
            <w:sz w:val="22"/>
            <w:szCs w:val="22"/>
          </w:rPr>
          <w:t>Family, domestic and sexual violence – Older people</w:t>
        </w:r>
      </w:hyperlink>
      <w:r w:rsidRPr="004C0147">
        <w:rPr>
          <w:rStyle w:val="normaltextrun"/>
          <w:rFonts w:ascii="Open Sans" w:hAnsi="Open Sans" w:cs="Open Sans"/>
          <w:i/>
          <w:iCs/>
          <w:sz w:val="22"/>
          <w:szCs w:val="22"/>
        </w:rPr>
        <w:t xml:space="preserve">. </w:t>
      </w:r>
      <w:r w:rsidRPr="004C0147">
        <w:rPr>
          <w:rStyle w:val="eop"/>
          <w:rFonts w:ascii="Open Sans" w:hAnsi="Open Sans" w:cs="Open Sans"/>
          <w:sz w:val="22"/>
          <w:szCs w:val="22"/>
        </w:rPr>
        <w:t>1 in 6 = 15%.</w:t>
      </w:r>
      <w:r w:rsidRPr="004C0147">
        <w:rPr>
          <w:rStyle w:val="eop"/>
          <w:rFonts w:ascii="Open Sans" w:hAnsi="Open Sans" w:cs="Open Sans"/>
          <w:sz w:val="22"/>
          <w:szCs w:val="22"/>
        </w:rPr>
        <w:br/>
      </w:r>
    </w:p>
  </w:endnote>
  <w:endnote w:id="22">
    <w:p w14:paraId="3C49A03E" w14:textId="73DB57D9" w:rsidR="001F1ACA" w:rsidRPr="004C0147" w:rsidRDefault="001F1ACA" w:rsidP="00587633">
      <w:pPr>
        <w:pStyle w:val="paragraph"/>
        <w:spacing w:before="0" w:beforeAutospacing="0" w:after="0" w:afterAutospacing="0"/>
        <w:textAlignment w:val="baseline"/>
        <w:rPr>
          <w:rFonts w:ascii="Open Sans" w:hAnsi="Open Sans" w:cs="Open Sans"/>
          <w:sz w:val="22"/>
          <w:szCs w:val="22"/>
        </w:rPr>
      </w:pPr>
      <w:r w:rsidRPr="004C0147">
        <w:rPr>
          <w:rStyle w:val="EndnoteReference"/>
          <w:rFonts w:ascii="Open Sans" w:hAnsi="Open Sans" w:cs="Open Sans"/>
          <w:sz w:val="22"/>
          <w:szCs w:val="22"/>
        </w:rPr>
        <w:endnoteRef/>
      </w:r>
      <w:r w:rsidRPr="004C0147">
        <w:rPr>
          <w:rFonts w:ascii="Open Sans" w:hAnsi="Open Sans" w:cs="Open Sans"/>
          <w:sz w:val="22"/>
          <w:szCs w:val="22"/>
        </w:rPr>
        <w:t xml:space="preserve"> </w:t>
      </w:r>
      <w:r w:rsidR="001A062D" w:rsidRPr="004C0147">
        <w:rPr>
          <w:rStyle w:val="normaltextrun"/>
          <w:rFonts w:ascii="Open Sans" w:hAnsi="Open Sans" w:cs="Open Sans"/>
          <w:sz w:val="22"/>
          <w:szCs w:val="22"/>
        </w:rPr>
        <w:t xml:space="preserve">Australian Institute of Health and Welfare. (2024). </w:t>
      </w:r>
      <w:hyperlink r:id="rId21" w:history="1">
        <w:r w:rsidR="001A062D" w:rsidRPr="004C0147">
          <w:rPr>
            <w:rStyle w:val="Hyperlink"/>
            <w:rFonts w:ascii="Open Sans" w:eastAsiaTheme="majorEastAsia" w:hAnsi="Open Sans" w:cs="Open Sans"/>
            <w:i/>
            <w:iCs/>
            <w:sz w:val="22"/>
            <w:szCs w:val="22"/>
          </w:rPr>
          <w:t>Family, domestic and sexual violence – Older people</w:t>
        </w:r>
      </w:hyperlink>
      <w:r w:rsidR="001A062D" w:rsidRPr="004C0147">
        <w:rPr>
          <w:rStyle w:val="normaltextrun"/>
          <w:rFonts w:ascii="Open Sans" w:hAnsi="Open Sans" w:cs="Open Sans"/>
          <w:i/>
          <w:iCs/>
          <w:sz w:val="22"/>
          <w:szCs w:val="22"/>
        </w:rPr>
        <w:t>.</w:t>
      </w:r>
      <w:r w:rsidRPr="004C0147">
        <w:rPr>
          <w:rStyle w:val="normaltextrun"/>
          <w:rFonts w:ascii="Open Sans" w:hAnsi="Open Sans" w:cs="Open Sans"/>
          <w:sz w:val="22"/>
          <w:szCs w:val="22"/>
        </w:rPr>
        <w:t xml:space="preserve"> </w:t>
      </w:r>
      <w:r w:rsidRPr="004C0147">
        <w:rPr>
          <w:rStyle w:val="eop"/>
          <w:rFonts w:ascii="Open Sans" w:hAnsi="Open Sans" w:cs="Open Sans"/>
          <w:sz w:val="22"/>
          <w:szCs w:val="22"/>
        </w:rPr>
        <w:t>1 in 2 = 53%</w:t>
      </w:r>
      <w:r w:rsidR="00E06DE0" w:rsidRPr="004C0147">
        <w:rPr>
          <w:rStyle w:val="eop"/>
          <w:rFonts w:ascii="Open Sans" w:hAnsi="Open Sans" w:cs="Open Sans"/>
          <w:sz w:val="22"/>
          <w:szCs w:val="22"/>
        </w:rPr>
        <w:t>.</w:t>
      </w:r>
    </w:p>
    <w:p w14:paraId="3B746DAE" w14:textId="6F95341A" w:rsidR="001F1ACA" w:rsidRDefault="001F1AC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E361" w14:textId="7B8C844C" w:rsidR="001F1ACA" w:rsidRPr="001F1ACA" w:rsidRDefault="001F1ACA">
    <w:pPr>
      <w:pStyle w:val="Footer"/>
      <w:jc w:val="right"/>
      <w:rPr>
        <w:rFonts w:ascii="Open Sans" w:hAnsi="Open Sans" w:cs="Open Sans"/>
      </w:rPr>
    </w:pPr>
    <w:r w:rsidRPr="001F1ACA">
      <w:rPr>
        <w:rFonts w:ascii="Open Sans" w:hAnsi="Open Sans" w:cs="Open Sans"/>
      </w:rPr>
      <w:t xml:space="preserve">Australian Human Rights Commission </w:t>
    </w:r>
    <w:r w:rsidR="00FA2EFA">
      <w:rPr>
        <w:rFonts w:ascii="Open Sans" w:hAnsi="Open Sans" w:cs="Open Sans"/>
      </w:rPr>
      <w:t>Stats &amp; Facts</w:t>
    </w:r>
    <w:r w:rsidRPr="001F1ACA">
      <w:rPr>
        <w:rFonts w:ascii="Open Sans" w:hAnsi="Open Sans" w:cs="Open Sans"/>
      </w:rPr>
      <w:t xml:space="preserve"> 202</w:t>
    </w:r>
    <w:r w:rsidR="00ED4592">
      <w:rPr>
        <w:rFonts w:ascii="Open Sans" w:hAnsi="Open Sans" w:cs="Open Sans"/>
      </w:rPr>
      <w:t>5</w:t>
    </w:r>
    <w:r w:rsidRPr="001F1ACA">
      <w:rPr>
        <w:rFonts w:ascii="Open Sans" w:hAnsi="Open Sans" w:cs="Open Sans"/>
      </w:rPr>
      <w:t xml:space="preserve"> </w:t>
    </w:r>
    <w:r>
      <w:rPr>
        <w:rFonts w:ascii="Open Sans" w:hAnsi="Open Sans" w:cs="Open Sans"/>
      </w:rPr>
      <w:t xml:space="preserve">                                                     </w:t>
    </w:r>
    <w:sdt>
      <w:sdtPr>
        <w:rPr>
          <w:rFonts w:ascii="Open Sans" w:hAnsi="Open Sans" w:cs="Open Sans"/>
        </w:rPr>
        <w:id w:val="-729620346"/>
        <w:docPartObj>
          <w:docPartGallery w:val="Page Numbers (Bottom of Page)"/>
          <w:docPartUnique/>
        </w:docPartObj>
      </w:sdtPr>
      <w:sdtEndPr>
        <w:rPr>
          <w:noProof/>
        </w:rPr>
      </w:sdtEndPr>
      <w:sdtContent>
        <w:r w:rsidRPr="001F1ACA">
          <w:rPr>
            <w:rFonts w:ascii="Open Sans" w:hAnsi="Open Sans" w:cs="Open Sans"/>
          </w:rPr>
          <w:fldChar w:fldCharType="begin"/>
        </w:r>
        <w:r w:rsidRPr="001F1ACA">
          <w:rPr>
            <w:rFonts w:ascii="Open Sans" w:hAnsi="Open Sans" w:cs="Open Sans"/>
          </w:rPr>
          <w:instrText xml:space="preserve"> PAGE   \* MERGEFORMAT </w:instrText>
        </w:r>
        <w:r w:rsidRPr="001F1ACA">
          <w:rPr>
            <w:rFonts w:ascii="Open Sans" w:hAnsi="Open Sans" w:cs="Open Sans"/>
          </w:rPr>
          <w:fldChar w:fldCharType="separate"/>
        </w:r>
        <w:r w:rsidRPr="001F1ACA">
          <w:rPr>
            <w:rFonts w:ascii="Open Sans" w:hAnsi="Open Sans" w:cs="Open Sans"/>
            <w:noProof/>
          </w:rPr>
          <w:t>2</w:t>
        </w:r>
        <w:r w:rsidRPr="001F1ACA">
          <w:rPr>
            <w:rFonts w:ascii="Open Sans" w:hAnsi="Open Sans" w:cs="Open Sans"/>
            <w:noProof/>
          </w:rPr>
          <w:fldChar w:fldCharType="end"/>
        </w:r>
      </w:sdtContent>
    </w:sdt>
  </w:p>
  <w:p w14:paraId="3A4C0695" w14:textId="77777777" w:rsidR="001F1ACA" w:rsidRPr="001F1ACA" w:rsidRDefault="001F1ACA">
    <w:pPr>
      <w:pStyle w:val="Footer"/>
      <w:rPr>
        <w:rFonts w:ascii="Open Sans" w:hAnsi="Open Sans" w:cs="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33C5" w14:textId="77777777" w:rsidR="00EF12D8" w:rsidRDefault="00EF12D8" w:rsidP="00BE53BC">
      <w:pPr>
        <w:spacing w:after="0" w:line="240" w:lineRule="auto"/>
      </w:pPr>
      <w:r>
        <w:separator/>
      </w:r>
    </w:p>
  </w:footnote>
  <w:footnote w:type="continuationSeparator" w:id="0">
    <w:p w14:paraId="5C9E4000" w14:textId="77777777" w:rsidR="00EF12D8" w:rsidRDefault="00EF12D8" w:rsidP="00BE53BC">
      <w:pPr>
        <w:spacing w:after="0" w:line="240" w:lineRule="auto"/>
      </w:pPr>
      <w:r>
        <w:continuationSeparator/>
      </w:r>
    </w:p>
  </w:footnote>
  <w:footnote w:type="continuationNotice" w:id="1">
    <w:p w14:paraId="2673E8EC" w14:textId="77777777" w:rsidR="00EF12D8" w:rsidRDefault="00EF12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4EF4" w14:textId="0D5EE5DA" w:rsidR="001369AA" w:rsidRDefault="001369AA">
    <w:pPr>
      <w:pStyle w:val="Header"/>
    </w:pPr>
    <w:r>
      <w:rPr>
        <w:noProof/>
      </w:rPr>
      <w:drawing>
        <wp:inline distT="0" distB="0" distL="0" distR="0" wp14:anchorId="4A3CA309" wp14:editId="7F97B019">
          <wp:extent cx="1981204" cy="762002"/>
          <wp:effectExtent l="0" t="0" r="0" b="0"/>
          <wp:docPr id="1403547187" name="Picture 1" descr="Australian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47187" name="Picture 1" descr="Australian Human Rights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1981204" cy="762002"/>
                  </a:xfrm>
                  <a:prstGeom prst="rect">
                    <a:avLst/>
                  </a:prstGeom>
                </pic:spPr>
              </pic:pic>
            </a:graphicData>
          </a:graphic>
        </wp:inline>
      </w:drawing>
    </w:r>
  </w:p>
  <w:p w14:paraId="53DFBE96" w14:textId="77777777" w:rsidR="001369AA" w:rsidRDefault="00136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7BA"/>
    <w:multiLevelType w:val="hybridMultilevel"/>
    <w:tmpl w:val="4BBE0C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711590"/>
    <w:multiLevelType w:val="hybridMultilevel"/>
    <w:tmpl w:val="CFEC0C7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685D5D"/>
    <w:multiLevelType w:val="hybridMultilevel"/>
    <w:tmpl w:val="8E82ACC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385300"/>
    <w:multiLevelType w:val="hybridMultilevel"/>
    <w:tmpl w:val="97E6DFD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E360B6"/>
    <w:multiLevelType w:val="hybridMultilevel"/>
    <w:tmpl w:val="A14EC6D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A93D1D"/>
    <w:multiLevelType w:val="hybridMultilevel"/>
    <w:tmpl w:val="CCBE0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6E4573"/>
    <w:multiLevelType w:val="hybridMultilevel"/>
    <w:tmpl w:val="1EB44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B6649D"/>
    <w:multiLevelType w:val="hybridMultilevel"/>
    <w:tmpl w:val="D7289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F25007"/>
    <w:multiLevelType w:val="hybridMultilevel"/>
    <w:tmpl w:val="B784D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2A5612"/>
    <w:multiLevelType w:val="hybridMultilevel"/>
    <w:tmpl w:val="4E36DF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CA51E4"/>
    <w:multiLevelType w:val="hybridMultilevel"/>
    <w:tmpl w:val="3A66AAB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AF251DB"/>
    <w:multiLevelType w:val="hybridMultilevel"/>
    <w:tmpl w:val="E9EED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F4540C"/>
    <w:multiLevelType w:val="hybridMultilevel"/>
    <w:tmpl w:val="0BC045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9696651">
    <w:abstractNumId w:val="0"/>
  </w:num>
  <w:num w:numId="2" w16cid:durableId="2048917571">
    <w:abstractNumId w:val="7"/>
  </w:num>
  <w:num w:numId="3" w16cid:durableId="1544365581">
    <w:abstractNumId w:val="1"/>
  </w:num>
  <w:num w:numId="4" w16cid:durableId="1749233207">
    <w:abstractNumId w:val="10"/>
  </w:num>
  <w:num w:numId="5" w16cid:durableId="586495728">
    <w:abstractNumId w:val="9"/>
  </w:num>
  <w:num w:numId="6" w16cid:durableId="1850750270">
    <w:abstractNumId w:val="3"/>
  </w:num>
  <w:num w:numId="7" w16cid:durableId="1587307113">
    <w:abstractNumId w:val="5"/>
  </w:num>
  <w:num w:numId="8" w16cid:durableId="782261341">
    <w:abstractNumId w:val="6"/>
  </w:num>
  <w:num w:numId="9" w16cid:durableId="392579782">
    <w:abstractNumId w:val="11"/>
  </w:num>
  <w:num w:numId="10" w16cid:durableId="349457881">
    <w:abstractNumId w:val="8"/>
  </w:num>
  <w:num w:numId="11" w16cid:durableId="15427417">
    <w:abstractNumId w:val="2"/>
  </w:num>
  <w:num w:numId="12" w16cid:durableId="198903973">
    <w:abstractNumId w:val="12"/>
  </w:num>
  <w:num w:numId="13" w16cid:durableId="1755398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01"/>
    <w:rsid w:val="00002AE1"/>
    <w:rsid w:val="000208C5"/>
    <w:rsid w:val="00024CCD"/>
    <w:rsid w:val="0004277F"/>
    <w:rsid w:val="000515B1"/>
    <w:rsid w:val="00071ECD"/>
    <w:rsid w:val="000727BF"/>
    <w:rsid w:val="000B6EC5"/>
    <w:rsid w:val="000C0801"/>
    <w:rsid w:val="000D02DE"/>
    <w:rsid w:val="000D42B2"/>
    <w:rsid w:val="000E3FA7"/>
    <w:rsid w:val="000F1267"/>
    <w:rsid w:val="000F5108"/>
    <w:rsid w:val="00122B6F"/>
    <w:rsid w:val="001369AA"/>
    <w:rsid w:val="00144EA8"/>
    <w:rsid w:val="00160BE9"/>
    <w:rsid w:val="001612DF"/>
    <w:rsid w:val="00161343"/>
    <w:rsid w:val="00170C76"/>
    <w:rsid w:val="001A062D"/>
    <w:rsid w:val="001C247C"/>
    <w:rsid w:val="001C5C67"/>
    <w:rsid w:val="001F1ACA"/>
    <w:rsid w:val="002033C8"/>
    <w:rsid w:val="00211D33"/>
    <w:rsid w:val="002438B9"/>
    <w:rsid w:val="002877D6"/>
    <w:rsid w:val="002A5045"/>
    <w:rsid w:val="002A6E17"/>
    <w:rsid w:val="002B7BF9"/>
    <w:rsid w:val="002E3B62"/>
    <w:rsid w:val="00334374"/>
    <w:rsid w:val="00365918"/>
    <w:rsid w:val="00395399"/>
    <w:rsid w:val="003A6A6C"/>
    <w:rsid w:val="003D01B0"/>
    <w:rsid w:val="00410BED"/>
    <w:rsid w:val="00431CBA"/>
    <w:rsid w:val="00437A5B"/>
    <w:rsid w:val="00465985"/>
    <w:rsid w:val="00481698"/>
    <w:rsid w:val="00490A5B"/>
    <w:rsid w:val="004C0147"/>
    <w:rsid w:val="004C46CD"/>
    <w:rsid w:val="004E556E"/>
    <w:rsid w:val="00506BE8"/>
    <w:rsid w:val="00512B86"/>
    <w:rsid w:val="00587633"/>
    <w:rsid w:val="005A0717"/>
    <w:rsid w:val="005E2BB7"/>
    <w:rsid w:val="005E6187"/>
    <w:rsid w:val="0061123D"/>
    <w:rsid w:val="006168E8"/>
    <w:rsid w:val="00625ED2"/>
    <w:rsid w:val="00630FBF"/>
    <w:rsid w:val="00635B27"/>
    <w:rsid w:val="006567A7"/>
    <w:rsid w:val="00661B93"/>
    <w:rsid w:val="006916E0"/>
    <w:rsid w:val="006A66C9"/>
    <w:rsid w:val="006B701C"/>
    <w:rsid w:val="006C5C3D"/>
    <w:rsid w:val="006D4A9F"/>
    <w:rsid w:val="006D6B50"/>
    <w:rsid w:val="006E47E8"/>
    <w:rsid w:val="00721C7D"/>
    <w:rsid w:val="0074277D"/>
    <w:rsid w:val="00753849"/>
    <w:rsid w:val="007647FA"/>
    <w:rsid w:val="007713EC"/>
    <w:rsid w:val="00771D3D"/>
    <w:rsid w:val="00796309"/>
    <w:rsid w:val="007C5A7E"/>
    <w:rsid w:val="007D4D86"/>
    <w:rsid w:val="007F1B1A"/>
    <w:rsid w:val="007F1C90"/>
    <w:rsid w:val="008167BD"/>
    <w:rsid w:val="00822A07"/>
    <w:rsid w:val="008524D6"/>
    <w:rsid w:val="00902E36"/>
    <w:rsid w:val="00914E21"/>
    <w:rsid w:val="00916152"/>
    <w:rsid w:val="00932319"/>
    <w:rsid w:val="00940636"/>
    <w:rsid w:val="00983239"/>
    <w:rsid w:val="00992D36"/>
    <w:rsid w:val="009C2B72"/>
    <w:rsid w:val="009D1350"/>
    <w:rsid w:val="009F1359"/>
    <w:rsid w:val="00A01C62"/>
    <w:rsid w:val="00A04F01"/>
    <w:rsid w:val="00AA5F12"/>
    <w:rsid w:val="00AD34D0"/>
    <w:rsid w:val="00AE0DD3"/>
    <w:rsid w:val="00AE74DB"/>
    <w:rsid w:val="00AF0527"/>
    <w:rsid w:val="00AF77A2"/>
    <w:rsid w:val="00B06A85"/>
    <w:rsid w:val="00B1787C"/>
    <w:rsid w:val="00B35B64"/>
    <w:rsid w:val="00B76CB3"/>
    <w:rsid w:val="00B776AF"/>
    <w:rsid w:val="00B82B9A"/>
    <w:rsid w:val="00B95E48"/>
    <w:rsid w:val="00BC4B19"/>
    <w:rsid w:val="00BE48E4"/>
    <w:rsid w:val="00BE53BC"/>
    <w:rsid w:val="00BF2204"/>
    <w:rsid w:val="00C011FC"/>
    <w:rsid w:val="00C0791D"/>
    <w:rsid w:val="00C11D8C"/>
    <w:rsid w:val="00C32016"/>
    <w:rsid w:val="00C3442F"/>
    <w:rsid w:val="00C3468B"/>
    <w:rsid w:val="00C42650"/>
    <w:rsid w:val="00C758E8"/>
    <w:rsid w:val="00C86BD7"/>
    <w:rsid w:val="00C9465F"/>
    <w:rsid w:val="00CA640D"/>
    <w:rsid w:val="00CD6A22"/>
    <w:rsid w:val="00CF2F93"/>
    <w:rsid w:val="00D14F78"/>
    <w:rsid w:val="00D17866"/>
    <w:rsid w:val="00D47D47"/>
    <w:rsid w:val="00D5518D"/>
    <w:rsid w:val="00DA1ADB"/>
    <w:rsid w:val="00DD2294"/>
    <w:rsid w:val="00E06DE0"/>
    <w:rsid w:val="00E3335F"/>
    <w:rsid w:val="00E343B9"/>
    <w:rsid w:val="00E44DDD"/>
    <w:rsid w:val="00E61686"/>
    <w:rsid w:val="00E741F1"/>
    <w:rsid w:val="00E97FC9"/>
    <w:rsid w:val="00EA2B20"/>
    <w:rsid w:val="00EC2CEA"/>
    <w:rsid w:val="00ED4592"/>
    <w:rsid w:val="00EE2DB4"/>
    <w:rsid w:val="00EE5F7F"/>
    <w:rsid w:val="00EF12D8"/>
    <w:rsid w:val="00F605BB"/>
    <w:rsid w:val="00F6417A"/>
    <w:rsid w:val="00F74912"/>
    <w:rsid w:val="00F90F58"/>
    <w:rsid w:val="00F95C52"/>
    <w:rsid w:val="00F972CF"/>
    <w:rsid w:val="00FA2EFA"/>
    <w:rsid w:val="00FB26B8"/>
    <w:rsid w:val="00FD1FBE"/>
    <w:rsid w:val="00FE3B8D"/>
    <w:rsid w:val="00FF45E4"/>
    <w:rsid w:val="0DBA8FC0"/>
    <w:rsid w:val="57A41A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99FEB"/>
  <w15:chartTrackingRefBased/>
  <w15:docId w15:val="{EE2F64BB-B0AA-4ABF-B234-96DF0F25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801"/>
    <w:rPr>
      <w:rFonts w:eastAsiaTheme="majorEastAsia" w:cstheme="majorBidi"/>
      <w:color w:val="272727" w:themeColor="text1" w:themeTint="D8"/>
    </w:rPr>
  </w:style>
  <w:style w:type="paragraph" w:styleId="Title">
    <w:name w:val="Title"/>
    <w:basedOn w:val="Normal"/>
    <w:next w:val="Normal"/>
    <w:link w:val="TitleChar"/>
    <w:uiPriority w:val="10"/>
    <w:qFormat/>
    <w:rsid w:val="000C0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801"/>
    <w:pPr>
      <w:spacing w:before="160"/>
      <w:jc w:val="center"/>
    </w:pPr>
    <w:rPr>
      <w:i/>
      <w:iCs/>
      <w:color w:val="404040" w:themeColor="text1" w:themeTint="BF"/>
    </w:rPr>
  </w:style>
  <w:style w:type="character" w:customStyle="1" w:styleId="QuoteChar">
    <w:name w:val="Quote Char"/>
    <w:basedOn w:val="DefaultParagraphFont"/>
    <w:link w:val="Quote"/>
    <w:uiPriority w:val="29"/>
    <w:rsid w:val="000C0801"/>
    <w:rPr>
      <w:i/>
      <w:iCs/>
      <w:color w:val="404040" w:themeColor="text1" w:themeTint="BF"/>
    </w:rPr>
  </w:style>
  <w:style w:type="paragraph" w:styleId="ListParagraph">
    <w:name w:val="List Paragraph"/>
    <w:basedOn w:val="Normal"/>
    <w:uiPriority w:val="34"/>
    <w:qFormat/>
    <w:rsid w:val="000C0801"/>
    <w:pPr>
      <w:ind w:left="720"/>
      <w:contextualSpacing/>
    </w:pPr>
  </w:style>
  <w:style w:type="character" w:styleId="IntenseEmphasis">
    <w:name w:val="Intense Emphasis"/>
    <w:basedOn w:val="DefaultParagraphFont"/>
    <w:uiPriority w:val="21"/>
    <w:qFormat/>
    <w:rsid w:val="000C0801"/>
    <w:rPr>
      <w:i/>
      <w:iCs/>
      <w:color w:val="0F4761" w:themeColor="accent1" w:themeShade="BF"/>
    </w:rPr>
  </w:style>
  <w:style w:type="paragraph" w:styleId="IntenseQuote">
    <w:name w:val="Intense Quote"/>
    <w:basedOn w:val="Normal"/>
    <w:next w:val="Normal"/>
    <w:link w:val="IntenseQuoteChar"/>
    <w:uiPriority w:val="30"/>
    <w:qFormat/>
    <w:rsid w:val="000C0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801"/>
    <w:rPr>
      <w:i/>
      <w:iCs/>
      <w:color w:val="0F4761" w:themeColor="accent1" w:themeShade="BF"/>
    </w:rPr>
  </w:style>
  <w:style w:type="character" w:styleId="IntenseReference">
    <w:name w:val="Intense Reference"/>
    <w:basedOn w:val="DefaultParagraphFont"/>
    <w:uiPriority w:val="32"/>
    <w:qFormat/>
    <w:rsid w:val="000C0801"/>
    <w:rPr>
      <w:b/>
      <w:bCs/>
      <w:smallCaps/>
      <w:color w:val="0F4761" w:themeColor="accent1" w:themeShade="BF"/>
      <w:spacing w:val="5"/>
    </w:rPr>
  </w:style>
  <w:style w:type="paragraph" w:styleId="FootnoteText">
    <w:name w:val="footnote text"/>
    <w:basedOn w:val="Normal"/>
    <w:link w:val="FootnoteTextChar"/>
    <w:uiPriority w:val="99"/>
    <w:semiHidden/>
    <w:unhideWhenUsed/>
    <w:rsid w:val="00BE53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53BC"/>
    <w:rPr>
      <w:sz w:val="20"/>
      <w:szCs w:val="20"/>
    </w:rPr>
  </w:style>
  <w:style w:type="character" w:styleId="FootnoteReference">
    <w:name w:val="footnote reference"/>
    <w:basedOn w:val="DefaultParagraphFont"/>
    <w:uiPriority w:val="99"/>
    <w:semiHidden/>
    <w:unhideWhenUsed/>
    <w:rsid w:val="00BE53BC"/>
    <w:rPr>
      <w:vertAlign w:val="superscript"/>
    </w:rPr>
  </w:style>
  <w:style w:type="character" w:styleId="Hyperlink">
    <w:name w:val="Hyperlink"/>
    <w:basedOn w:val="DefaultParagraphFont"/>
    <w:uiPriority w:val="99"/>
    <w:unhideWhenUsed/>
    <w:rsid w:val="00BE53BC"/>
    <w:rPr>
      <w:color w:val="467886" w:themeColor="hyperlink"/>
      <w:u w:val="single"/>
    </w:rPr>
  </w:style>
  <w:style w:type="character" w:customStyle="1" w:styleId="normaltextrun">
    <w:name w:val="normaltextrun"/>
    <w:basedOn w:val="DefaultParagraphFont"/>
    <w:rsid w:val="00BE53BC"/>
  </w:style>
  <w:style w:type="character" w:customStyle="1" w:styleId="eop">
    <w:name w:val="eop"/>
    <w:basedOn w:val="DefaultParagraphFont"/>
    <w:rsid w:val="00BE53BC"/>
  </w:style>
  <w:style w:type="paragraph" w:customStyle="1" w:styleId="paragraph">
    <w:name w:val="paragraph"/>
    <w:basedOn w:val="Normal"/>
    <w:rsid w:val="00BE53B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Mention">
    <w:name w:val="Mention"/>
    <w:basedOn w:val="DefaultParagraphFont"/>
    <w:uiPriority w:val="99"/>
    <w:unhideWhenUsed/>
    <w:rsid w:val="00587633"/>
    <w:rPr>
      <w:color w:val="2B579A"/>
      <w:shd w:val="clear" w:color="auto" w:fill="E1DFDD"/>
    </w:rPr>
  </w:style>
  <w:style w:type="paragraph" w:styleId="EndnoteText">
    <w:name w:val="endnote text"/>
    <w:basedOn w:val="Normal"/>
    <w:link w:val="EndnoteTextChar"/>
    <w:uiPriority w:val="99"/>
    <w:semiHidden/>
    <w:unhideWhenUsed/>
    <w:rsid w:val="001F1A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1ACA"/>
    <w:rPr>
      <w:sz w:val="20"/>
      <w:szCs w:val="20"/>
    </w:rPr>
  </w:style>
  <w:style w:type="character" w:styleId="EndnoteReference">
    <w:name w:val="endnote reference"/>
    <w:basedOn w:val="DefaultParagraphFont"/>
    <w:uiPriority w:val="99"/>
    <w:semiHidden/>
    <w:unhideWhenUsed/>
    <w:rsid w:val="001F1ACA"/>
    <w:rPr>
      <w:vertAlign w:val="superscript"/>
    </w:rPr>
  </w:style>
  <w:style w:type="paragraph" w:styleId="Header">
    <w:name w:val="header"/>
    <w:basedOn w:val="Normal"/>
    <w:link w:val="HeaderChar"/>
    <w:uiPriority w:val="99"/>
    <w:unhideWhenUsed/>
    <w:rsid w:val="001F1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ACA"/>
  </w:style>
  <w:style w:type="paragraph" w:styleId="Footer">
    <w:name w:val="footer"/>
    <w:basedOn w:val="Normal"/>
    <w:link w:val="FooterChar"/>
    <w:uiPriority w:val="99"/>
    <w:unhideWhenUsed/>
    <w:rsid w:val="001F1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ACA"/>
  </w:style>
  <w:style w:type="character" w:styleId="CommentReference">
    <w:name w:val="annotation reference"/>
    <w:basedOn w:val="DefaultParagraphFont"/>
    <w:uiPriority w:val="99"/>
    <w:semiHidden/>
    <w:unhideWhenUsed/>
    <w:rsid w:val="00C9465F"/>
    <w:rPr>
      <w:sz w:val="16"/>
      <w:szCs w:val="16"/>
    </w:rPr>
  </w:style>
  <w:style w:type="paragraph" w:styleId="CommentText">
    <w:name w:val="annotation text"/>
    <w:basedOn w:val="Normal"/>
    <w:link w:val="CommentTextChar"/>
    <w:uiPriority w:val="99"/>
    <w:unhideWhenUsed/>
    <w:rsid w:val="00C9465F"/>
    <w:pPr>
      <w:spacing w:line="240" w:lineRule="auto"/>
    </w:pPr>
    <w:rPr>
      <w:sz w:val="20"/>
      <w:szCs w:val="20"/>
    </w:rPr>
  </w:style>
  <w:style w:type="character" w:customStyle="1" w:styleId="CommentTextChar">
    <w:name w:val="Comment Text Char"/>
    <w:basedOn w:val="DefaultParagraphFont"/>
    <w:link w:val="CommentText"/>
    <w:uiPriority w:val="99"/>
    <w:rsid w:val="00C9465F"/>
    <w:rPr>
      <w:sz w:val="20"/>
      <w:szCs w:val="20"/>
    </w:rPr>
  </w:style>
  <w:style w:type="paragraph" w:styleId="CommentSubject">
    <w:name w:val="annotation subject"/>
    <w:basedOn w:val="CommentText"/>
    <w:next w:val="CommentText"/>
    <w:link w:val="CommentSubjectChar"/>
    <w:uiPriority w:val="99"/>
    <w:semiHidden/>
    <w:unhideWhenUsed/>
    <w:rsid w:val="00C9465F"/>
    <w:rPr>
      <w:b/>
      <w:bCs/>
    </w:rPr>
  </w:style>
  <w:style w:type="character" w:customStyle="1" w:styleId="CommentSubjectChar">
    <w:name w:val="Comment Subject Char"/>
    <w:basedOn w:val="CommentTextChar"/>
    <w:link w:val="CommentSubject"/>
    <w:uiPriority w:val="99"/>
    <w:semiHidden/>
    <w:rsid w:val="00C9465F"/>
    <w:rPr>
      <w:b/>
      <w:bCs/>
      <w:sz w:val="20"/>
      <w:szCs w:val="20"/>
    </w:rPr>
  </w:style>
  <w:style w:type="paragraph" w:styleId="Revision">
    <w:name w:val="Revision"/>
    <w:hidden/>
    <w:uiPriority w:val="99"/>
    <w:semiHidden/>
    <w:rsid w:val="00AF0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www.aihw.gov.au/reports/older-people/older-australians/contents/employment-and-work" TargetMode="External"/><Relationship Id="rId13" Type="http://schemas.openxmlformats.org/officeDocument/2006/relationships/hyperlink" Target="https://www.oecd-ilibrary.org/finance-and-investment/pensions-at-a-glance-2009_pension_glance-2009-en" TargetMode="External"/><Relationship Id="rId18" Type="http://schemas.openxmlformats.org/officeDocument/2006/relationships/hyperlink" Target="https://cota.org.au/wp-content/uploads/2023/05/SOTON-2023-Full-Report.pdf" TargetMode="External"/><Relationship Id="rId3" Type="http://schemas.openxmlformats.org/officeDocument/2006/relationships/hyperlink" Target="https://www.aihw.gov.au/reports/older-people/older-australians/contents/demographic-profile" TargetMode="External"/><Relationship Id="rId21" Type="http://schemas.openxmlformats.org/officeDocument/2006/relationships/hyperlink" Target="https://www.aihw.gov.au/family-domestic-and-sexual-violence/population-groups/older-people" TargetMode="External"/><Relationship Id="rId7" Type="http://schemas.openxmlformats.org/officeDocument/2006/relationships/hyperlink" Target="https://www.aihw.gov.au/reports/older-people/older-australians/contents/population-groups-of-interest/culturally-linguistically-diverse-people" TargetMode="External"/><Relationship Id="rId12" Type="http://schemas.openxmlformats.org/officeDocument/2006/relationships/hyperlink" Target="https://www.aihw.gov.au/reports/australias-welfare/indigenous-income-and-finance" TargetMode="External"/><Relationship Id="rId17" Type="http://schemas.openxmlformats.org/officeDocument/2006/relationships/hyperlink" Target="https://aifs.gov.au/research/research-reports/measuring-value-unpaid-household-caring-and-voluntary-work-older" TargetMode="External"/><Relationship Id="rId2" Type="http://schemas.openxmlformats.org/officeDocument/2006/relationships/hyperlink" Target="https://www.abs.gov.au/statistics/people/aboriginal-and-torres-strait-islander-peoples/aboriginal-and-torres-strait-islander-life-expectancy/latest-release" TargetMode="External"/><Relationship Id="rId16" Type="http://schemas.openxmlformats.org/officeDocument/2006/relationships/hyperlink" Target="https://www.aihw.gov.au/reports/homelessness-services/specialist-homelessness-services-annual-report/contents/older-clients" TargetMode="External"/><Relationship Id="rId20" Type="http://schemas.openxmlformats.org/officeDocument/2006/relationships/hyperlink" Target="https://www.aihw.gov.au/family-domestic-and-sexual-violence/population-groups/older-people" TargetMode="External"/><Relationship Id="rId1" Type="http://schemas.openxmlformats.org/officeDocument/2006/relationships/hyperlink" Target="https://www.abs.gov.au/statistics/people/population/life-expectancy/latest-release" TargetMode="External"/><Relationship Id="rId6" Type="http://schemas.openxmlformats.org/officeDocument/2006/relationships/hyperlink" Target="https://www.aihw.gov.au/reports/older-people/older-australians/contents/population-groups-of-interest/culturally-linguistically-diverse-people" TargetMode="External"/><Relationship Id="rId11" Type="http://schemas.openxmlformats.org/officeDocument/2006/relationships/hyperlink" Target="https://www.abs.gov.au/statistics/people/aboriginal-and-torres-strait-islander-peoples/estimates-aboriginal-and-torres-strait-islander-australians/30-june-2021" TargetMode="External"/><Relationship Id="rId5" Type="http://schemas.openxmlformats.org/officeDocument/2006/relationships/hyperlink" Target="https://www.abs.gov.au/articles/australia-aboriginal-and-torres-strait-islander-population-summary" TargetMode="External"/><Relationship Id="rId15" Type="http://schemas.openxmlformats.org/officeDocument/2006/relationships/hyperlink" Target="https://humanrights.gov.au/our-work/age-discrimination/publications/older-womens-risk-homelessness-background-paper-2019" TargetMode="External"/><Relationship Id="rId10" Type="http://schemas.openxmlformats.org/officeDocument/2006/relationships/hyperlink" Target="https://www.aihw.gov.au/reports/australias-welfare/income-support-older-australians" TargetMode="External"/><Relationship Id="rId19" Type="http://schemas.openxmlformats.org/officeDocument/2006/relationships/hyperlink" Target="https://humanrights.gov.au/our-work/age-discrimination/publications/whats-age-got-do-it-2021" TargetMode="External"/><Relationship Id="rId4" Type="http://schemas.openxmlformats.org/officeDocument/2006/relationships/hyperlink" Target="https://www.aihw.gov.au/reports/older-people/older-australians/contents/demographic-profile" TargetMode="External"/><Relationship Id="rId9" Type="http://schemas.openxmlformats.org/officeDocument/2006/relationships/hyperlink" Target="https://www.aihw.gov.au/reports/older-people/older-australians/contents/employment-and-work" TargetMode="External"/><Relationship Id="rId14" Type="http://schemas.openxmlformats.org/officeDocument/2006/relationships/hyperlink" Target="https://www.superannuation.asn.au/wp-content/uploads/2024/01/2311_An_update_on_superannuation_account_balances_Paper_V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975c5ac6-a0cc-43ed-b850-4a2ae59237b6" ContentTypeId="0x0101" PreviousValue="false" LastSyncTimeStamp="2019-01-22T02:06:15.04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der xmlns="6500fe01-343b-4fb9-a1b0-68ac19d62e01" xsi:nil="true"/>
    <TaxCatchAll xmlns="6500fe01-343b-4fb9-a1b0-68ac19d62e01" xsi:nil="true"/>
    <lcf76f155ced4ddcb4097134ff3c332f xmlns="8ab8274c-36ab-426d-bae7-27aa9ddedea4">
      <Terms xmlns="http://schemas.microsoft.com/office/infopath/2007/PartnerControls"/>
    </lcf76f155ced4ddcb4097134ff3c332f>
    <TaxKeywordTaxHTField xmlns="6500fe01-343b-4fb9-a1b0-68ac19d62e01">
      <Terms xmlns="http://schemas.microsoft.com/office/infopath/2007/PartnerControls"/>
    </TaxKeywordTaxHTField>
    <_dlc_DocId xmlns="6500fe01-343b-4fb9-a1b0-68ac19d62e01">2VJSNK2QYUME-83637454-3075</_dlc_DocId>
    <_dlc_DocIdUrl xmlns="6500fe01-343b-4fb9-a1b0-68ac19d62e01">
      <Url>https://australianhrc.sharepoint.com/sites/WorkplaceandCommunityEducation/_layouts/15/DocIdRedir.aspx?ID=2VJSNK2QYUME-83637454-3075</Url>
      <Description>2VJSNK2QYUME-83637454-3075</Description>
    </_dlc_DocIdUrl>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F87D1D285B49384795D5279A90E5FF12" ma:contentTypeVersion="13" ma:contentTypeDescription="Create a new document." ma:contentTypeScope="" ma:versionID="058eb00ca860ae3ce1556360bf7049a8">
  <xsd:schema xmlns:xsd="http://www.w3.org/2001/XMLSchema" xmlns:xs="http://www.w3.org/2001/XMLSchema" xmlns:p="http://schemas.microsoft.com/office/2006/metadata/properties" xmlns:ns2="6500fe01-343b-4fb9-a1b0-68ac19d62e01" xmlns:ns3="490d545e-0cea-44bb-b9e1-b9f087fbecb5" xmlns:ns4="8ab8274c-36ab-426d-bae7-27aa9ddedea4" targetNamespace="http://schemas.microsoft.com/office/2006/metadata/properties" ma:root="true" ma:fieldsID="808b79d652d2f46541c66df964c529a7" ns2:_="" ns3:_="" ns4:_="">
    <xsd:import namespace="6500fe01-343b-4fb9-a1b0-68ac19d62e01"/>
    <xsd:import namespace="490d545e-0cea-44bb-b9e1-b9f087fbecb5"/>
    <xsd:import namespace="8ab8274c-36ab-426d-bae7-27aa9ddedea4"/>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a92ecc75-c2da-43a4-85a2-ad3c53aba26e}" ma:internalName="TaxCatchAll" ma:showField="CatchAllData" ma:web="490d545e-0cea-44bb-b9e1-b9f087fbec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2ecc75-c2da-43a4-85a2-ad3c53aba26e}" ma:internalName="TaxCatchAllLabel" ma:readOnly="true" ma:showField="CatchAllDataLabel" ma:web="490d545e-0cea-44bb-b9e1-b9f087fbecb5">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0d545e-0cea-44bb-b9e1-b9f087fbec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8274c-36ab-426d-bae7-27aa9ddedea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DateTaken" ma:index="2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60304D-C217-4B8A-847A-DDA3EE491140}">
  <ds:schemaRefs>
    <ds:schemaRef ds:uri="Microsoft.SharePoint.Taxonomy.ContentTypeSync"/>
  </ds:schemaRefs>
</ds:datastoreItem>
</file>

<file path=customXml/itemProps2.xml><?xml version="1.0" encoding="utf-8"?>
<ds:datastoreItem xmlns:ds="http://schemas.openxmlformats.org/officeDocument/2006/customXml" ds:itemID="{51AE3E6A-45DE-45A6-9256-8AD205EDB1E8}">
  <ds:schemaRefs>
    <ds:schemaRef ds:uri="http://schemas.microsoft.com/sharepoint/v3/contenttype/forms"/>
  </ds:schemaRefs>
</ds:datastoreItem>
</file>

<file path=customXml/itemProps3.xml><?xml version="1.0" encoding="utf-8"?>
<ds:datastoreItem xmlns:ds="http://schemas.openxmlformats.org/officeDocument/2006/customXml" ds:itemID="{21B0F69B-CE0F-49D7-989E-B2B3D2A63B82}">
  <ds:schemaRefs>
    <ds:schemaRef ds:uri="http://schemas.microsoft.com/office/2006/metadata/properties"/>
    <ds:schemaRef ds:uri="http://schemas.microsoft.com/office/infopath/2007/PartnerControls"/>
    <ds:schemaRef ds:uri="6500fe01-343b-4fb9-a1b0-68ac19d62e01"/>
    <ds:schemaRef ds:uri="8ab8274c-36ab-426d-bae7-27aa9ddedea4"/>
  </ds:schemaRefs>
</ds:datastoreItem>
</file>

<file path=customXml/itemProps4.xml><?xml version="1.0" encoding="utf-8"?>
<ds:datastoreItem xmlns:ds="http://schemas.openxmlformats.org/officeDocument/2006/customXml" ds:itemID="{75A3F3FE-87CF-4D2C-AA4F-BFD52FB93C5F}">
  <ds:schemaRefs>
    <ds:schemaRef ds:uri="http://schemas.microsoft.com/office/2006/metadata/customXsn"/>
  </ds:schemaRefs>
</ds:datastoreItem>
</file>

<file path=customXml/itemProps5.xml><?xml version="1.0" encoding="utf-8"?>
<ds:datastoreItem xmlns:ds="http://schemas.openxmlformats.org/officeDocument/2006/customXml" ds:itemID="{E75FD297-C315-40B6-B154-3004A0D2E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490d545e-0cea-44bb-b9e1-b9f087fbecb5"/>
    <ds:schemaRef ds:uri="8ab8274c-36ab-426d-bae7-27aa9dded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1245DC-FE8B-46A3-8D30-1D9CE04603A7}">
  <ds:schemaRefs>
    <ds:schemaRef ds:uri="http://schemas.openxmlformats.org/officeDocument/2006/bibliography"/>
  </ds:schemaRefs>
</ds:datastoreItem>
</file>

<file path=customXml/itemProps7.xml><?xml version="1.0" encoding="utf-8"?>
<ds:datastoreItem xmlns:ds="http://schemas.openxmlformats.org/officeDocument/2006/customXml" ds:itemID="{D4D3F722-52E2-477D-9CDA-02692C13D7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508</Words>
  <Characters>2736</Characters>
  <Application>Microsoft Office Word</Application>
  <DocSecurity>0</DocSecurity>
  <Lines>88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Rachel Stevens</cp:lastModifiedBy>
  <cp:revision>78</cp:revision>
  <dcterms:created xsi:type="dcterms:W3CDTF">2024-10-31T00:23:00Z</dcterms:created>
  <dcterms:modified xsi:type="dcterms:W3CDTF">2025-10-17T00:21:00Z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0x010100F87D1D285B49384795D5279A90E5FF12</vt:lpwstr>
  </property>
  <property fmtid="{D5CDD505-2E9C-101B-9397-08002B2CF9AE}" pid="3" name="_dlc_DocIdItemGuid">
    <vt:lpwstr>23a38c71-e84c-48a7-824a-85d5b40207eb</vt:lpwstr>
  </property>
  <property fmtid="{D5CDD505-2E9C-101B-9397-08002B2CF9AE}" pid="4" name="TaxKeyword">
    <vt:lpwstr/>
  </property>
  <property fmtid="{D5CDD505-2E9C-101B-9397-08002B2CF9AE}" pid="5" name="MediaServiceImageTags">
    <vt:lpwstr/>
  </property>
</Properties>
</file>