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A351" w14:textId="72D4E8B8" w:rsidR="00F605BB" w:rsidRPr="00D55EA6" w:rsidRDefault="003F6A26" w:rsidP="0036001A">
      <w:pPr>
        <w:pStyle w:val="Title"/>
        <w:rPr>
          <w:rFonts w:ascii="Open Sans" w:hAnsi="Open Sans" w:cs="Open Sans"/>
          <w:b/>
          <w:bCs/>
        </w:rPr>
      </w:pPr>
      <w:r w:rsidRPr="00D55EA6">
        <w:rPr>
          <w:rFonts w:ascii="Open Sans" w:hAnsi="Open Sans" w:cs="Open Sans"/>
          <w:b/>
          <w:bCs/>
        </w:rPr>
        <w:t>Stats &amp; Facts</w:t>
      </w:r>
      <w:r w:rsidR="002202AB" w:rsidRPr="00D55EA6">
        <w:rPr>
          <w:rFonts w:ascii="Open Sans" w:hAnsi="Open Sans" w:cs="Open Sans"/>
          <w:b/>
          <w:bCs/>
        </w:rPr>
        <w:t xml:space="preserve">: </w:t>
      </w:r>
      <w:r w:rsidR="008F2A48" w:rsidRPr="00D55EA6">
        <w:rPr>
          <w:rFonts w:ascii="Open Sans" w:hAnsi="Open Sans" w:cs="Open Sans"/>
          <w:b/>
          <w:bCs/>
        </w:rPr>
        <w:t>Asylum Seekers and Refugees</w:t>
      </w:r>
    </w:p>
    <w:p w14:paraId="3D1B7785" w14:textId="111DC681" w:rsidR="00360AFA" w:rsidRPr="00360AFA" w:rsidRDefault="00360AFA" w:rsidP="00360AFA">
      <w:pPr>
        <w:rPr>
          <w:rFonts w:ascii="Open Sans" w:hAnsi="Open Sans" w:cs="Open Sans"/>
          <w:sz w:val="24"/>
          <w:szCs w:val="24"/>
        </w:rPr>
      </w:pPr>
      <w:r w:rsidRPr="00360AFA">
        <w:rPr>
          <w:rFonts w:ascii="Open Sans" w:hAnsi="Open Sans" w:cs="Open Sans"/>
          <w:sz w:val="24"/>
          <w:szCs w:val="24"/>
        </w:rPr>
        <w:t>A</w:t>
      </w:r>
      <w:r>
        <w:rPr>
          <w:rFonts w:ascii="Open Sans" w:hAnsi="Open Sans" w:cs="Open Sans"/>
          <w:sz w:val="24"/>
          <w:szCs w:val="24"/>
        </w:rPr>
        <w:t xml:space="preserve"> person seeking asylum</w:t>
      </w:r>
      <w:r w:rsidRPr="00360AFA">
        <w:rPr>
          <w:rFonts w:ascii="Open Sans" w:hAnsi="Open Sans" w:cs="Open Sans"/>
          <w:sz w:val="24"/>
          <w:szCs w:val="24"/>
        </w:rPr>
        <w:t xml:space="preserve"> is someone who has left their home country and is seeking protection </w:t>
      </w:r>
      <w:proofErr w:type="gramStart"/>
      <w:r w:rsidRPr="00360AFA">
        <w:rPr>
          <w:rFonts w:ascii="Open Sans" w:hAnsi="Open Sans" w:cs="Open Sans"/>
          <w:sz w:val="24"/>
          <w:szCs w:val="24"/>
        </w:rPr>
        <w:t>elsewhere</w:t>
      </w:r>
      <w:proofErr w:type="gramEnd"/>
      <w:r w:rsidRPr="00360AFA">
        <w:rPr>
          <w:rFonts w:ascii="Open Sans" w:hAnsi="Open Sans" w:cs="Open Sans"/>
          <w:sz w:val="24"/>
          <w:szCs w:val="24"/>
        </w:rPr>
        <w:t xml:space="preserve"> but whose refugee claim has not yet been determined.</w:t>
      </w:r>
    </w:p>
    <w:p w14:paraId="5D399129" w14:textId="3B95F932" w:rsidR="00360AFA" w:rsidRPr="00360AFA" w:rsidRDefault="00360AFA" w:rsidP="00360AFA">
      <w:pPr>
        <w:rPr>
          <w:rFonts w:ascii="Open Sans" w:hAnsi="Open Sans" w:cs="Open Sans"/>
          <w:sz w:val="24"/>
          <w:szCs w:val="24"/>
        </w:rPr>
      </w:pPr>
      <w:r w:rsidRPr="00360AFA">
        <w:rPr>
          <w:rFonts w:ascii="Open Sans" w:hAnsi="Open Sans" w:cs="Open Sans"/>
          <w:sz w:val="24"/>
          <w:szCs w:val="24"/>
        </w:rPr>
        <w:t xml:space="preserve">A refugee is a person who has fled their home country due to persecution, war or violence. Under the Refugee Convention, refugees have a well-founded fear of persecution based on race, religion, nationality, political opinion or membership of a particular social group. They are granted refugee status and special protections. </w:t>
      </w:r>
    </w:p>
    <w:p w14:paraId="21D5868A" w14:textId="0482B5B4" w:rsidR="00360AFA" w:rsidRPr="008716F5" w:rsidRDefault="00360AFA" w:rsidP="00360AFA">
      <w:pPr>
        <w:rPr>
          <w:rFonts w:ascii="Open Sans" w:hAnsi="Open Sans" w:cs="Open Sans"/>
          <w:sz w:val="24"/>
          <w:szCs w:val="24"/>
        </w:rPr>
      </w:pPr>
      <w:r w:rsidRPr="00360AFA">
        <w:rPr>
          <w:rFonts w:ascii="Open Sans" w:hAnsi="Open Sans" w:cs="Open Sans"/>
          <w:sz w:val="24"/>
          <w:szCs w:val="24"/>
        </w:rPr>
        <w:t>Everyone has the right to seek asylum and be protected from serious harm, no matter how they arrive in another country. These rights are protected by international law.</w:t>
      </w:r>
    </w:p>
    <w:p w14:paraId="42E73BE9" w14:textId="5FC1FBA6" w:rsidR="008F2A48" w:rsidRPr="00D55EA6" w:rsidRDefault="006F72E1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>Demographics</w:t>
      </w:r>
    </w:p>
    <w:p w14:paraId="5711728C" w14:textId="663CF7C4" w:rsidR="002202AB" w:rsidRPr="00440645" w:rsidRDefault="008F2A48" w:rsidP="0036001A">
      <w:pPr>
        <w:pStyle w:val="ListParagraph"/>
        <w:numPr>
          <w:ilvl w:val="0"/>
          <w:numId w:val="5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Since the end of World War II, Australia has welcomed nearly 1 million refugees and others in humanitarian need.</w:t>
      </w:r>
      <w:r w:rsidR="002202AB" w:rsidRPr="00440645">
        <w:rPr>
          <w:rStyle w:val="EndnoteReference"/>
          <w:rFonts w:ascii="Open Sans" w:hAnsi="Open Sans" w:cs="Open Sans"/>
          <w:sz w:val="24"/>
          <w:szCs w:val="24"/>
        </w:rPr>
        <w:endnoteReference w:id="1"/>
      </w:r>
      <w:r w:rsidR="002202AB" w:rsidRPr="00440645">
        <w:rPr>
          <w:rFonts w:ascii="Open Sans" w:hAnsi="Open Sans" w:cs="Open Sans"/>
          <w:sz w:val="24"/>
          <w:szCs w:val="24"/>
        </w:rPr>
        <w:br/>
      </w:r>
    </w:p>
    <w:p w14:paraId="5CD05F31" w14:textId="35E5B52A" w:rsidR="002202AB" w:rsidRPr="00440645" w:rsidRDefault="002202AB" w:rsidP="0036001A">
      <w:pPr>
        <w:pStyle w:val="ListParagraph"/>
        <w:numPr>
          <w:ilvl w:val="0"/>
          <w:numId w:val="5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 xml:space="preserve">As at mid-2023, 110 million people </w:t>
      </w:r>
      <w:r w:rsidR="00B650FA" w:rsidRPr="00440645">
        <w:rPr>
          <w:rFonts w:ascii="Open Sans" w:hAnsi="Open Sans" w:cs="Open Sans"/>
          <w:sz w:val="24"/>
          <w:szCs w:val="24"/>
        </w:rPr>
        <w:t>were</w:t>
      </w:r>
      <w:r w:rsidRPr="00440645">
        <w:rPr>
          <w:rFonts w:ascii="Open Sans" w:hAnsi="Open Sans" w:cs="Open Sans"/>
          <w:sz w:val="24"/>
          <w:szCs w:val="24"/>
        </w:rPr>
        <w:t xml:space="preserve"> forcibly displaced as a result of conflict or persecution.</w:t>
      </w:r>
    </w:p>
    <w:p w14:paraId="40E0B76A" w14:textId="77777777" w:rsidR="002202AB" w:rsidRPr="00440645" w:rsidRDefault="002202AB" w:rsidP="0036001A">
      <w:pPr>
        <w:pStyle w:val="ListParagraph"/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62.5 million are displaced within their own countries</w:t>
      </w:r>
    </w:p>
    <w:p w14:paraId="07E92478" w14:textId="77777777" w:rsidR="002202AB" w:rsidRPr="00440645" w:rsidRDefault="002202AB" w:rsidP="0036001A">
      <w:pPr>
        <w:pStyle w:val="ListParagraph"/>
        <w:numPr>
          <w:ilvl w:val="0"/>
          <w:numId w:val="10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36.4 million are recognised as refugees awaiting resettlement</w:t>
      </w:r>
    </w:p>
    <w:p w14:paraId="03E723C7" w14:textId="2C81B204" w:rsidR="002202AB" w:rsidRPr="00440645" w:rsidRDefault="002202AB" w:rsidP="0036001A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6.1 million are seeking asylum in another country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2"/>
      </w:r>
    </w:p>
    <w:p w14:paraId="52562E84" w14:textId="4BBF3864" w:rsidR="002202AB" w:rsidRPr="00D55EA6" w:rsidRDefault="0013497F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>How people come to Australia</w:t>
      </w:r>
    </w:p>
    <w:p w14:paraId="034AF93D" w14:textId="4BFA0CB1" w:rsidR="002202AB" w:rsidRPr="00440645" w:rsidRDefault="002202AB" w:rsidP="0036001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In the 10 years to December 2022, Australia recognised or resettled 180,073 refugees. This was less than 1% of all asylum applications made globally.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3"/>
      </w:r>
      <w:r w:rsidRPr="00440645">
        <w:rPr>
          <w:rFonts w:ascii="Open Sans" w:hAnsi="Open Sans" w:cs="Open Sans"/>
          <w:sz w:val="24"/>
          <w:szCs w:val="24"/>
        </w:rPr>
        <w:br/>
      </w:r>
    </w:p>
    <w:p w14:paraId="7A6D658E" w14:textId="52C5D11E" w:rsidR="002202AB" w:rsidRPr="00440645" w:rsidRDefault="002202AB" w:rsidP="0036001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Most people who seek asylum in Australia do not arrive by boat.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4"/>
      </w:r>
      <w:r w:rsidRPr="00440645">
        <w:rPr>
          <w:rFonts w:ascii="Open Sans" w:hAnsi="Open Sans" w:cs="Open Sans"/>
          <w:sz w:val="24"/>
          <w:szCs w:val="24"/>
        </w:rPr>
        <w:br/>
      </w:r>
    </w:p>
    <w:p w14:paraId="031AF97B" w14:textId="02D1AE56" w:rsidR="002202AB" w:rsidRPr="00440645" w:rsidRDefault="002202AB" w:rsidP="0036001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lastRenderedPageBreak/>
        <w:t>In the 10 years to December 2023, 49 boats arrived in Australia, with a total of 1114 people on board.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5"/>
      </w:r>
      <w:r w:rsidR="00794839" w:rsidRPr="00440645">
        <w:rPr>
          <w:rFonts w:ascii="Open Sans" w:hAnsi="Open Sans" w:cs="Open Sans"/>
          <w:sz w:val="24"/>
          <w:szCs w:val="24"/>
        </w:rPr>
        <w:br/>
      </w:r>
    </w:p>
    <w:p w14:paraId="2F7AA96B" w14:textId="2A344EA6" w:rsidR="00794839" w:rsidRPr="00440645" w:rsidRDefault="00794839" w:rsidP="0036001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Between 7 September 2013 and 21 May 2022, 143,749 people arrived by plane and made an application for a permanent Protection visa in Australia.</w:t>
      </w:r>
      <w:r w:rsidR="004A749C" w:rsidRPr="00440645">
        <w:rPr>
          <w:rStyle w:val="EndnoteReference"/>
          <w:rFonts w:ascii="Open Sans" w:hAnsi="Open Sans" w:cs="Open Sans"/>
          <w:sz w:val="24"/>
          <w:szCs w:val="24"/>
        </w:rPr>
        <w:endnoteReference w:id="6"/>
      </w:r>
    </w:p>
    <w:p w14:paraId="633093C0" w14:textId="0AE2F0B5" w:rsidR="002202AB" w:rsidRPr="00D55EA6" w:rsidRDefault="002202AB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 xml:space="preserve">Where people are </w:t>
      </w:r>
      <w:r w:rsidR="00084090" w:rsidRPr="00D55EA6">
        <w:rPr>
          <w:rFonts w:ascii="Open Sans" w:hAnsi="Open Sans" w:cs="Open Sans"/>
          <w:b/>
          <w:bCs/>
          <w:color w:val="auto"/>
          <w:sz w:val="36"/>
          <w:szCs w:val="36"/>
        </w:rPr>
        <w:t>arriving</w:t>
      </w: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 xml:space="preserve"> from</w:t>
      </w:r>
    </w:p>
    <w:p w14:paraId="27CE5142" w14:textId="77777777" w:rsidR="002202AB" w:rsidRPr="00440645" w:rsidRDefault="002202AB" w:rsidP="0036001A">
      <w:pPr>
        <w:pStyle w:val="ListParagraph"/>
        <w:numPr>
          <w:ilvl w:val="0"/>
          <w:numId w:val="7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The top 3 source countries for humanitarian arrivals to Australia in 2022 – 2023 were:</w:t>
      </w:r>
    </w:p>
    <w:p w14:paraId="31101397" w14:textId="77777777" w:rsidR="002202AB" w:rsidRPr="00440645" w:rsidRDefault="002202AB" w:rsidP="0036001A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Afghanistan: 8,045</w:t>
      </w:r>
    </w:p>
    <w:p w14:paraId="50CC4DB0" w14:textId="77777777" w:rsidR="002202AB" w:rsidRPr="00440645" w:rsidRDefault="002202AB" w:rsidP="0036001A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Iraq: 2,108</w:t>
      </w:r>
    </w:p>
    <w:p w14:paraId="68580BC0" w14:textId="73E196CB" w:rsidR="002202AB" w:rsidRPr="00440645" w:rsidRDefault="002202AB" w:rsidP="0036001A">
      <w:pPr>
        <w:pStyle w:val="ListParagraph"/>
        <w:numPr>
          <w:ilvl w:val="0"/>
          <w:numId w:val="9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Myanmar: 1,902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7"/>
      </w:r>
    </w:p>
    <w:p w14:paraId="0281F8E0" w14:textId="57F986A1" w:rsidR="002202AB" w:rsidRPr="00D55EA6" w:rsidRDefault="002202AB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>Family separation and barriers to reunification</w:t>
      </w:r>
    </w:p>
    <w:p w14:paraId="3D030794" w14:textId="09F45E8B" w:rsidR="002202AB" w:rsidRPr="00440645" w:rsidRDefault="002202AB" w:rsidP="0036001A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1 in 3 adult refugees have experienced forced separation from family, and over half are concerned for the safety of family overseas.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8"/>
      </w:r>
      <w:r w:rsidRPr="00440645">
        <w:rPr>
          <w:rFonts w:ascii="Open Sans" w:hAnsi="Open Sans" w:cs="Open Sans"/>
          <w:sz w:val="24"/>
          <w:szCs w:val="24"/>
        </w:rPr>
        <w:br/>
      </w:r>
    </w:p>
    <w:p w14:paraId="01DB82CF" w14:textId="7EDBAA86" w:rsidR="002202AB" w:rsidRPr="00440645" w:rsidRDefault="002202AB" w:rsidP="0036001A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When families are separated, it can greatly affect the mental, financial, and social wellbeing of refugees and asylum seekers.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9"/>
      </w:r>
      <w:r w:rsidRPr="00440645">
        <w:rPr>
          <w:rFonts w:ascii="Open Sans" w:hAnsi="Open Sans" w:cs="Open Sans"/>
          <w:sz w:val="24"/>
          <w:szCs w:val="24"/>
        </w:rPr>
        <w:br/>
      </w:r>
    </w:p>
    <w:p w14:paraId="5DE78146" w14:textId="4233B791" w:rsidR="002202AB" w:rsidRPr="00440645" w:rsidRDefault="002202AB" w:rsidP="0036001A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Once settled in Australia, many refugees face barriers to reuniting their families. Visa options for relatives are limited and can be costly and slow.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0"/>
      </w:r>
    </w:p>
    <w:p w14:paraId="20B9D78B" w14:textId="2289C643" w:rsidR="002202AB" w:rsidRPr="00440645" w:rsidRDefault="002202AB" w:rsidP="0036001A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The cost of a Partner visa is around $9,000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1"/>
      </w:r>
    </w:p>
    <w:p w14:paraId="6B566E13" w14:textId="12412B55" w:rsidR="002202AB" w:rsidRPr="00440645" w:rsidRDefault="002202AB" w:rsidP="0036001A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The cost for a Contributory Parent visa is over $40,000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2"/>
      </w:r>
    </w:p>
    <w:p w14:paraId="0858F541" w14:textId="77777777" w:rsidR="002202AB" w:rsidRPr="00440645" w:rsidRDefault="002202AB" w:rsidP="0036001A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Parent &amp; Aged Parent visas take around 30 years to be processed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3"/>
      </w:r>
    </w:p>
    <w:p w14:paraId="72516DF0" w14:textId="1BCF0A8E" w:rsidR="002202AB" w:rsidRPr="00440645" w:rsidRDefault="002202AB" w:rsidP="0036001A">
      <w:pPr>
        <w:pStyle w:val="ListParagraph"/>
        <w:numPr>
          <w:ilvl w:val="1"/>
          <w:numId w:val="14"/>
        </w:numPr>
        <w:spacing w:after="0" w:line="240" w:lineRule="auto"/>
        <w:rPr>
          <w:rFonts w:ascii="Open Sans" w:hAnsi="Open Sans" w:cs="Open Sans"/>
        </w:rPr>
      </w:pPr>
      <w:r w:rsidRPr="00440645">
        <w:rPr>
          <w:rFonts w:ascii="Open Sans" w:hAnsi="Open Sans" w:cs="Open Sans"/>
          <w:sz w:val="24"/>
          <w:szCs w:val="24"/>
        </w:rPr>
        <w:t>The average processing time for a permanent protection visa is over 900 days.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4"/>
      </w:r>
    </w:p>
    <w:p w14:paraId="26D53F3E" w14:textId="77777777" w:rsidR="002202AB" w:rsidRPr="00D55EA6" w:rsidRDefault="002202AB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>Experiences of discrimination</w:t>
      </w:r>
    </w:p>
    <w:p w14:paraId="4A093179" w14:textId="77777777" w:rsidR="002202AB" w:rsidRPr="00440645" w:rsidRDefault="002202AB" w:rsidP="0036001A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The settings where refugees report experiencing discrimination in Australia are mainly:</w:t>
      </w:r>
    </w:p>
    <w:p w14:paraId="060583FC" w14:textId="16D37A58" w:rsidR="002202AB" w:rsidRPr="00440645" w:rsidRDefault="002202AB" w:rsidP="0036001A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The workplace (31%)</w:t>
      </w:r>
    </w:p>
    <w:p w14:paraId="1CA504F5" w14:textId="77777777" w:rsidR="002202AB" w:rsidRPr="00440645" w:rsidRDefault="002202AB" w:rsidP="0036001A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On the street (26%)</w:t>
      </w:r>
    </w:p>
    <w:p w14:paraId="01BBFD81" w14:textId="77777777" w:rsidR="002202AB" w:rsidRPr="00440645" w:rsidRDefault="002202AB" w:rsidP="0036001A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When looking for work (25%)</w:t>
      </w:r>
    </w:p>
    <w:p w14:paraId="4AC29B86" w14:textId="1A1C788D" w:rsidR="002202AB" w:rsidRPr="00440645" w:rsidRDefault="002202AB" w:rsidP="0036001A">
      <w:pPr>
        <w:pStyle w:val="ListParagraph"/>
        <w:numPr>
          <w:ilvl w:val="1"/>
          <w:numId w:val="15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On public transport (24%)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5"/>
      </w:r>
    </w:p>
    <w:p w14:paraId="36DE598F" w14:textId="54658466" w:rsidR="002202AB" w:rsidRPr="00D55EA6" w:rsidRDefault="002202AB" w:rsidP="0036001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lastRenderedPageBreak/>
        <w:t>Consequences of climate change</w:t>
      </w:r>
    </w:p>
    <w:p w14:paraId="5F84DDE6" w14:textId="7A461EA3" w:rsidR="002202AB" w:rsidRPr="00440645" w:rsidRDefault="002202AB" w:rsidP="0036001A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 xml:space="preserve">By 2050, 216 million people could be displaced in 6 world regions because of climate change. The top three </w:t>
      </w:r>
      <w:r w:rsidR="002B79DC" w:rsidRPr="00440645">
        <w:rPr>
          <w:rFonts w:ascii="Open Sans" w:hAnsi="Open Sans" w:cs="Open Sans"/>
          <w:sz w:val="24"/>
          <w:szCs w:val="24"/>
        </w:rPr>
        <w:t xml:space="preserve">regions </w:t>
      </w:r>
      <w:r w:rsidRPr="00440645">
        <w:rPr>
          <w:rFonts w:ascii="Open Sans" w:hAnsi="Open Sans" w:cs="Open Sans"/>
          <w:sz w:val="24"/>
          <w:szCs w:val="24"/>
        </w:rPr>
        <w:t>are:</w:t>
      </w:r>
    </w:p>
    <w:p w14:paraId="7C394414" w14:textId="4583774F" w:rsidR="002202AB" w:rsidRPr="00440645" w:rsidRDefault="002202AB" w:rsidP="0036001A">
      <w:pPr>
        <w:pStyle w:val="ListParagraph"/>
        <w:numPr>
          <w:ilvl w:val="1"/>
          <w:numId w:val="1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Sub-Saharan Africa (86 million)</w:t>
      </w:r>
    </w:p>
    <w:p w14:paraId="3BF5A05D" w14:textId="7A9F4C2B" w:rsidR="002202AB" w:rsidRPr="00440645" w:rsidRDefault="002202AB" w:rsidP="0036001A">
      <w:pPr>
        <w:pStyle w:val="ListParagraph"/>
        <w:numPr>
          <w:ilvl w:val="1"/>
          <w:numId w:val="18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East Asia and the Pacific (49 million)</w:t>
      </w:r>
    </w:p>
    <w:p w14:paraId="204AE7D3" w14:textId="1156B737" w:rsidR="002202AB" w:rsidRPr="00440645" w:rsidRDefault="002202AB" w:rsidP="0036001A">
      <w:pPr>
        <w:pStyle w:val="ListParagraph"/>
        <w:numPr>
          <w:ilvl w:val="1"/>
          <w:numId w:val="18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South Asia (40 million).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6"/>
      </w:r>
      <w:r w:rsidRPr="00440645">
        <w:rPr>
          <w:rFonts w:ascii="Open Sans" w:hAnsi="Open Sans" w:cs="Open Sans"/>
          <w:sz w:val="24"/>
          <w:szCs w:val="24"/>
        </w:rPr>
        <w:t xml:space="preserve"> </w:t>
      </w:r>
      <w:r w:rsidR="0064578D" w:rsidRPr="00440645">
        <w:rPr>
          <w:rFonts w:ascii="Open Sans" w:hAnsi="Open Sans" w:cs="Open Sans"/>
          <w:sz w:val="24"/>
          <w:szCs w:val="24"/>
        </w:rPr>
        <w:br/>
      </w:r>
    </w:p>
    <w:p w14:paraId="712852F8" w14:textId="4D93C593" w:rsidR="002202AB" w:rsidRDefault="002202AB" w:rsidP="0036001A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440645">
        <w:rPr>
          <w:rFonts w:ascii="Open Sans" w:hAnsi="Open Sans" w:cs="Open Sans"/>
          <w:sz w:val="24"/>
          <w:szCs w:val="24"/>
        </w:rPr>
        <w:t>People displaced by climate change are not directly covered by the Refugee Convention.</w:t>
      </w:r>
      <w:r w:rsidRPr="00440645">
        <w:rPr>
          <w:rStyle w:val="EndnoteReference"/>
          <w:rFonts w:ascii="Open Sans" w:hAnsi="Open Sans" w:cs="Open Sans"/>
          <w:sz w:val="24"/>
          <w:szCs w:val="24"/>
        </w:rPr>
        <w:endnoteReference w:id="17"/>
      </w:r>
    </w:p>
    <w:p w14:paraId="4AB32D1C" w14:textId="77777777" w:rsidR="00D55EA6" w:rsidRPr="00D55EA6" w:rsidRDefault="00D55EA6" w:rsidP="0036001A">
      <w:pPr>
        <w:pStyle w:val="Heading2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55EA6">
        <w:rPr>
          <w:rFonts w:ascii="Open Sans" w:hAnsi="Open Sans" w:cs="Open Sans"/>
          <w:b/>
          <w:bCs/>
          <w:color w:val="auto"/>
          <w:sz w:val="36"/>
          <w:szCs w:val="36"/>
        </w:rPr>
        <w:t>Suggested citation</w:t>
      </w:r>
    </w:p>
    <w:p w14:paraId="10F21F45" w14:textId="5DD400CA" w:rsidR="00D55EA6" w:rsidRPr="00D55EA6" w:rsidRDefault="00D55EA6" w:rsidP="0036001A">
      <w:pPr>
        <w:spacing w:line="240" w:lineRule="auto"/>
        <w:rPr>
          <w:rFonts w:ascii="Open Sans" w:hAnsi="Open Sans" w:cs="Open Sans"/>
        </w:rPr>
      </w:pPr>
      <w:r w:rsidRPr="009002AC">
        <w:rPr>
          <w:rFonts w:ascii="Open Sans" w:hAnsi="Open Sans" w:cs="Open Sans"/>
        </w:rPr>
        <w:t xml:space="preserve">Australian Human Rights Commission. (2025). Stats &amp; Facts: </w:t>
      </w:r>
      <w:r>
        <w:rPr>
          <w:rFonts w:ascii="Open Sans" w:hAnsi="Open Sans" w:cs="Open Sans"/>
        </w:rPr>
        <w:t>Refugees and People Seeking Asylum.</w:t>
      </w:r>
    </w:p>
    <w:sectPr w:rsidR="00D55EA6" w:rsidRPr="00D55EA6">
      <w:headerReference w:type="default" r:id="rId14"/>
      <w:footerReference w:type="default" r:id="rId15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D5A3" w14:textId="77777777" w:rsidR="00FA239D" w:rsidRDefault="00FA239D" w:rsidP="008F2A48">
      <w:pPr>
        <w:spacing w:after="0" w:line="240" w:lineRule="auto"/>
      </w:pPr>
      <w:r>
        <w:separator/>
      </w:r>
    </w:p>
  </w:endnote>
  <w:endnote w:type="continuationSeparator" w:id="0">
    <w:p w14:paraId="7710FA34" w14:textId="77777777" w:rsidR="00FA239D" w:rsidRDefault="00FA239D" w:rsidP="008F2A48">
      <w:pPr>
        <w:spacing w:after="0" w:line="240" w:lineRule="auto"/>
      </w:pPr>
      <w:r>
        <w:continuationSeparator/>
      </w:r>
    </w:p>
  </w:endnote>
  <w:endnote w:id="1">
    <w:p w14:paraId="47834E8B" w14:textId="07359FAD" w:rsidR="002202AB" w:rsidRPr="00440645" w:rsidRDefault="002202AB" w:rsidP="007948C7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Department of Home Affairs. (2024, February 9). </w:t>
      </w:r>
      <w:hyperlink r:id="rId1" w:history="1">
        <w:r w:rsidRPr="00440645">
          <w:rPr>
            <w:rStyle w:val="Hyperlink"/>
            <w:rFonts w:ascii="Open Sans" w:hAnsi="Open Sans" w:cs="Open Sans"/>
          </w:rPr>
          <w:t>Refugee and humanitarian program – About the program</w:t>
        </w:r>
      </w:hyperlink>
      <w:r w:rsidRPr="00440645">
        <w:rPr>
          <w:rFonts w:ascii="Open Sans" w:hAnsi="Open Sans" w:cs="Open Sans"/>
        </w:rPr>
        <w:t>. Australian Government, Department of Home Affairs. Original figure: [950,000 refugees]</w:t>
      </w:r>
      <w:r w:rsidR="00707F00" w:rsidRPr="00440645">
        <w:rPr>
          <w:rFonts w:ascii="Open Sans" w:hAnsi="Open Sans" w:cs="Open Sans"/>
        </w:rPr>
        <w:t>.</w:t>
      </w:r>
    </w:p>
  </w:endnote>
  <w:endnote w:id="2">
    <w:p w14:paraId="41B610D7" w14:textId="2F3B74A2" w:rsidR="002202AB" w:rsidRPr="00440645" w:rsidRDefault="002202AB" w:rsidP="008F2A48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United Nations High Commissioner for Refugees. (2023, October 24). </w:t>
      </w:r>
      <w:hyperlink r:id="rId2" w:history="1">
        <w:r w:rsidRPr="00440645">
          <w:rPr>
            <w:rStyle w:val="Hyperlink"/>
            <w:rFonts w:ascii="Open Sans" w:hAnsi="Open Sans" w:cs="Open Sans"/>
          </w:rPr>
          <w:t>Refugee Data Finder – Key Indicators</w:t>
        </w:r>
      </w:hyperlink>
      <w:r w:rsidRPr="00440645">
        <w:rPr>
          <w:rFonts w:ascii="Open Sans" w:hAnsi="Open Sans" w:cs="Open Sans"/>
        </w:rPr>
        <w:t>. United Nations, UNHCR. 5.3 million are other people in need of international protection</w:t>
      </w:r>
      <w:r w:rsidR="00707F00" w:rsidRPr="00440645">
        <w:rPr>
          <w:rFonts w:ascii="Open Sans" w:hAnsi="Open Sans" w:cs="Open Sans"/>
        </w:rPr>
        <w:t>.</w:t>
      </w:r>
    </w:p>
  </w:endnote>
  <w:endnote w:id="3">
    <w:p w14:paraId="5091BE66" w14:textId="0242387C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Refugee Council of Australia. (2023). </w:t>
      </w:r>
      <w:hyperlink r:id="rId3" w:history="1">
        <w:r w:rsidRPr="00440645">
          <w:rPr>
            <w:rStyle w:val="Hyperlink"/>
            <w:rFonts w:ascii="Open Sans" w:hAnsi="Open Sans" w:cs="Open Sans"/>
            <w:sz w:val="22"/>
            <w:szCs w:val="22"/>
          </w:rPr>
          <w:t>Is Australia’s response to refugees generous? An analysis of UNHCR Global Trends Statistics from 2013 to 2022</w:t>
        </w:r>
      </w:hyperlink>
      <w:r w:rsidRPr="00440645">
        <w:rPr>
          <w:rFonts w:ascii="Open Sans" w:hAnsi="Open Sans" w:cs="Open Sans"/>
          <w:sz w:val="22"/>
          <w:szCs w:val="22"/>
        </w:rPr>
        <w:t>, p 5.</w:t>
      </w:r>
    </w:p>
    <w:p w14:paraId="0908C2F0" w14:textId="77777777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</w:p>
  </w:endnote>
  <w:endnote w:id="4">
    <w:p w14:paraId="1E864268" w14:textId="04618D07" w:rsidR="002202AB" w:rsidRPr="00440645" w:rsidRDefault="002202AB" w:rsidP="008F2A48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</w:t>
      </w:r>
      <w:r w:rsidRPr="00440645">
        <w:rPr>
          <w:rFonts w:ascii="Open Sans" w:hAnsi="Open Sans" w:cs="Open Sans"/>
          <w:color w:val="222222"/>
          <w:shd w:val="clear" w:color="auto" w:fill="FFFFFF"/>
        </w:rPr>
        <w:t xml:space="preserve">Phillips, J. (2015, March 2). </w:t>
      </w:r>
      <w:hyperlink r:id="rId4" w:history="1">
        <w:r w:rsidRPr="00440645">
          <w:rPr>
            <w:rStyle w:val="Hyperlink"/>
            <w:rFonts w:ascii="Open Sans" w:hAnsi="Open Sans" w:cs="Open Sans"/>
            <w:shd w:val="clear" w:color="auto" w:fill="FFFFFF"/>
          </w:rPr>
          <w:t>Asylum seekers and refugees: what are the facts?</w:t>
        </w:r>
      </w:hyperlink>
      <w:r w:rsidRPr="00440645">
        <w:rPr>
          <w:rFonts w:ascii="Open Sans" w:hAnsi="Open Sans" w:cs="Open Sans"/>
          <w:color w:val="222222"/>
          <w:shd w:val="clear" w:color="auto" w:fill="FFFFFF"/>
        </w:rPr>
        <w:t xml:space="preserve"> Parliament of Australia.</w:t>
      </w:r>
    </w:p>
  </w:endnote>
  <w:endnote w:id="5">
    <w:p w14:paraId="4C8C203C" w14:textId="53F6559D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Refugee Council of Australia. (2024, April 21). </w:t>
      </w:r>
      <w:hyperlink r:id="rId5" w:history="1">
        <w:r w:rsidRPr="00440645">
          <w:rPr>
            <w:rStyle w:val="Hyperlink"/>
            <w:rFonts w:ascii="Open Sans" w:hAnsi="Open Sans" w:cs="Open Sans"/>
            <w:sz w:val="22"/>
            <w:szCs w:val="22"/>
          </w:rPr>
          <w:t>Statistics on boat arrivals and boat turnbacks.</w:t>
        </w:r>
      </w:hyperlink>
      <w:r w:rsidRPr="00440645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440645">
        <w:rPr>
          <w:rFonts w:ascii="Open Sans" w:hAnsi="Open Sans" w:cs="Open Sans"/>
          <w:sz w:val="22"/>
          <w:szCs w:val="22"/>
        </w:rPr>
        <w:t xml:space="preserve">[Graph: Boat arrivals since 1976 by calendar year]. The term "boat arrivals" here refers to people on board the vessels </w:t>
      </w:r>
      <w:r w:rsidR="00C81DFA" w:rsidRPr="00440645">
        <w:rPr>
          <w:rFonts w:ascii="Open Sans" w:hAnsi="Open Sans" w:cs="Open Sans"/>
          <w:sz w:val="22"/>
          <w:szCs w:val="22"/>
        </w:rPr>
        <w:t xml:space="preserve">who </w:t>
      </w:r>
      <w:r w:rsidRPr="00440645">
        <w:rPr>
          <w:rFonts w:ascii="Open Sans" w:hAnsi="Open Sans" w:cs="Open Sans"/>
          <w:sz w:val="22"/>
          <w:szCs w:val="22"/>
        </w:rPr>
        <w:t xml:space="preserve">could not be safely returned and therefore landed in Australia as well as those who were returned to countries of departure or origin. Data as at 16 February 2024. </w:t>
      </w:r>
      <w:r w:rsidRPr="00440645">
        <w:rPr>
          <w:rFonts w:ascii="Open Sans" w:hAnsi="Open Sans" w:cs="Open Sans"/>
          <w:sz w:val="22"/>
          <w:szCs w:val="22"/>
        </w:rPr>
        <w:br/>
      </w:r>
    </w:p>
  </w:endnote>
  <w:endnote w:id="6">
    <w:p w14:paraId="33BA014F" w14:textId="6A53252D" w:rsidR="004A749C" w:rsidRPr="00440645" w:rsidRDefault="004A749C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</w:t>
      </w:r>
      <w:r w:rsidR="000C1723" w:rsidRPr="00440645">
        <w:rPr>
          <w:rFonts w:ascii="Open Sans" w:hAnsi="Open Sans" w:cs="Open Sans"/>
          <w:sz w:val="22"/>
          <w:szCs w:val="22"/>
        </w:rPr>
        <w:t xml:space="preserve">Department of Home Affairs. (2023). </w:t>
      </w:r>
      <w:hyperlink r:id="rId6" w:history="1">
        <w:r w:rsidR="000C1723" w:rsidRPr="00440645">
          <w:rPr>
            <w:rStyle w:val="Hyperlink"/>
            <w:rFonts w:ascii="Open Sans" w:hAnsi="Open Sans" w:cs="Open Sans"/>
            <w:sz w:val="22"/>
            <w:szCs w:val="22"/>
          </w:rPr>
          <w:t>Senate standing committee on legal and constitutional affairs supplementary estimates October 2023</w:t>
        </w:r>
      </w:hyperlink>
      <w:r w:rsidR="000C1723" w:rsidRPr="00440645">
        <w:rPr>
          <w:rStyle w:val="Hyperlink"/>
          <w:rFonts w:ascii="Open Sans" w:hAnsi="Open Sans" w:cs="Open Sans"/>
          <w:sz w:val="22"/>
          <w:szCs w:val="22"/>
        </w:rPr>
        <w:t>.</w:t>
      </w:r>
      <w:r w:rsidR="000C1723" w:rsidRPr="00440645">
        <w:rPr>
          <w:rStyle w:val="Hyperlink"/>
          <w:rFonts w:ascii="Open Sans" w:hAnsi="Open Sans" w:cs="Open Sans"/>
          <w:sz w:val="22"/>
          <w:szCs w:val="22"/>
        </w:rPr>
        <w:br/>
      </w:r>
    </w:p>
  </w:endnote>
  <w:endnote w:id="7">
    <w:p w14:paraId="3062D6B1" w14:textId="1BE983EA" w:rsidR="002202AB" w:rsidRPr="00440645" w:rsidRDefault="002202AB" w:rsidP="003F7644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Department of Home Affairs. (2023). </w:t>
      </w:r>
      <w:hyperlink r:id="rId7" w:history="1">
        <w:r w:rsidRPr="00440645">
          <w:rPr>
            <w:rStyle w:val="Hyperlink"/>
            <w:rFonts w:ascii="Open Sans" w:hAnsi="Open Sans" w:cs="Open Sans"/>
          </w:rPr>
          <w:t>Senate Standing Committee on Legal and Constitutional Affairs Supplementary Estimates October 2023</w:t>
        </w:r>
      </w:hyperlink>
      <w:r w:rsidRPr="00440645">
        <w:rPr>
          <w:rFonts w:ascii="Open Sans" w:hAnsi="Open Sans" w:cs="Open Sans"/>
        </w:rPr>
        <w:t xml:space="preserve">. </w:t>
      </w:r>
      <w:r w:rsidRPr="00440645">
        <w:rPr>
          <w:rFonts w:ascii="Open Sans" w:hAnsi="Open Sans" w:cs="Open Sans"/>
        </w:rPr>
        <w:br/>
        <w:t xml:space="preserve">Department of Home Affairs. (2024, February 22). </w:t>
      </w:r>
      <w:hyperlink r:id="rId8" w:history="1">
        <w:r w:rsidRPr="00440645">
          <w:rPr>
            <w:rStyle w:val="Hyperlink"/>
            <w:rFonts w:ascii="Open Sans" w:hAnsi="Open Sans" w:cs="Open Sans"/>
          </w:rPr>
          <w:t>Country profiles list</w:t>
        </w:r>
      </w:hyperlink>
      <w:r w:rsidRPr="00440645">
        <w:rPr>
          <w:rFonts w:ascii="Open Sans" w:hAnsi="Open Sans" w:cs="Open Sans"/>
        </w:rPr>
        <w:t>. Australian Government, Department of Home Affairs.</w:t>
      </w:r>
    </w:p>
  </w:endnote>
  <w:endnote w:id="8">
    <w:p w14:paraId="6E2122D8" w14:textId="48182E5B" w:rsidR="002202AB" w:rsidRPr="00440645" w:rsidRDefault="002202AB" w:rsidP="003F7644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Foundation House – The Victorian Foundation for Survivors of Torture Inc. (2023). </w:t>
      </w:r>
      <w:hyperlink r:id="rId9" w:history="1">
        <w:r w:rsidRPr="00440645">
          <w:rPr>
            <w:rStyle w:val="Hyperlink"/>
            <w:rFonts w:ascii="Open Sans" w:hAnsi="Open Sans" w:cs="Open Sans"/>
          </w:rPr>
          <w:t>Annual Report 2022 – 2023</w:t>
        </w:r>
      </w:hyperlink>
      <w:r w:rsidR="00ED048F" w:rsidRPr="00440645">
        <w:rPr>
          <w:rStyle w:val="Hyperlink"/>
          <w:rFonts w:ascii="Open Sans" w:hAnsi="Open Sans" w:cs="Open Sans"/>
          <w:color w:val="auto"/>
        </w:rPr>
        <w:t>.</w:t>
      </w:r>
      <w:r w:rsidRPr="00440645">
        <w:rPr>
          <w:rStyle w:val="Hyperlink"/>
          <w:rFonts w:ascii="Open Sans" w:hAnsi="Open Sans" w:cs="Open Sans"/>
          <w:color w:val="auto"/>
        </w:rPr>
        <w:t xml:space="preserve"> </w:t>
      </w:r>
      <w:r w:rsidRPr="00440645">
        <w:rPr>
          <w:rFonts w:ascii="Open Sans" w:hAnsi="Open Sans" w:cs="Open Sans"/>
        </w:rPr>
        <w:t xml:space="preserve">p 10. 1 in 3 = 33%. Over half = 55%. </w:t>
      </w:r>
      <w:r w:rsidR="00DF1DC8" w:rsidRPr="00440645">
        <w:rPr>
          <w:rFonts w:ascii="Open Sans" w:hAnsi="Open Sans" w:cs="Open Sans"/>
        </w:rPr>
        <w:br/>
      </w:r>
      <w:r w:rsidRPr="00440645">
        <w:rPr>
          <w:rFonts w:ascii="Open Sans" w:hAnsi="Open Sans" w:cs="Open Sans"/>
        </w:rPr>
        <w:t>Study includes humanitarian migrants in Victoria who are either permanent residents, asylum seekers or substantive (temporary) visa holders, such as Temporary Protection Visa or Safe Haven Enterprise Visa.</w:t>
      </w:r>
    </w:p>
  </w:endnote>
  <w:endnote w:id="9">
    <w:p w14:paraId="32C6F7B6" w14:textId="29A73CEC" w:rsidR="002202AB" w:rsidRPr="00440645" w:rsidRDefault="002202AB" w:rsidP="007948C7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Refugee Council of Australia. (2016). </w:t>
      </w:r>
      <w:hyperlink r:id="rId10" w:history="1">
        <w:r w:rsidRPr="00440645">
          <w:rPr>
            <w:rStyle w:val="Hyperlink"/>
            <w:rFonts w:ascii="Open Sans" w:hAnsi="Open Sans" w:cs="Open Sans"/>
          </w:rPr>
          <w:t>Addressing The Pain of Separation for Refugee Families</w:t>
        </w:r>
      </w:hyperlink>
      <w:r w:rsidRPr="00440645">
        <w:rPr>
          <w:rStyle w:val="Hyperlink"/>
          <w:rFonts w:ascii="Open Sans" w:hAnsi="Open Sans" w:cs="Open Sans"/>
          <w:color w:val="auto"/>
        </w:rPr>
        <w:t>,</w:t>
      </w:r>
      <w:r w:rsidRPr="00440645">
        <w:rPr>
          <w:rFonts w:ascii="Open Sans" w:hAnsi="Open Sans" w:cs="Open Sans"/>
        </w:rPr>
        <w:t xml:space="preserve"> p. 2. </w:t>
      </w:r>
      <w:r w:rsidRPr="00440645">
        <w:rPr>
          <w:rFonts w:ascii="Open Sans" w:hAnsi="Open Sans" w:cs="Open Sans"/>
        </w:rPr>
        <w:br/>
        <w:t xml:space="preserve">Liddell, B. J., Byrow, Y., O’Donnell, M., Mau, V., Batch, N., McMahon, T., Bryant, R., &amp; Nickerson, A. (2020). </w:t>
      </w:r>
      <w:hyperlink r:id="rId11" w:history="1">
        <w:r w:rsidRPr="00440645">
          <w:rPr>
            <w:rStyle w:val="Hyperlink"/>
            <w:rFonts w:ascii="Open Sans" w:hAnsi="Open Sans" w:cs="Open Sans"/>
          </w:rPr>
          <w:t>Mechanisms underlying the mental health impact of family separation on resettled refugees</w:t>
        </w:r>
      </w:hyperlink>
      <w:r w:rsidRPr="00440645">
        <w:rPr>
          <w:rFonts w:ascii="Open Sans" w:hAnsi="Open Sans" w:cs="Open Sans"/>
        </w:rPr>
        <w:t xml:space="preserve">. </w:t>
      </w:r>
      <w:r w:rsidRPr="00440645">
        <w:rPr>
          <w:rFonts w:ascii="Open Sans" w:hAnsi="Open Sans" w:cs="Open Sans"/>
          <w:i/>
          <w:iCs/>
        </w:rPr>
        <w:t>Australian &amp; New Zealand Journal of Psychiatry</w:t>
      </w:r>
      <w:r w:rsidRPr="00440645">
        <w:rPr>
          <w:rFonts w:ascii="Open Sans" w:hAnsi="Open Sans" w:cs="Open Sans"/>
        </w:rPr>
        <w:t>, 55(7), 699-710.</w:t>
      </w:r>
    </w:p>
  </w:endnote>
  <w:endnote w:id="10">
    <w:p w14:paraId="5516156F" w14:textId="38C99E9C" w:rsidR="002202AB" w:rsidRPr="00440645" w:rsidRDefault="002202AB" w:rsidP="003F7644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Hansen Migration. (2023). </w:t>
      </w:r>
      <w:hyperlink r:id="rId12" w:history="1">
        <w:r w:rsidRPr="00440645">
          <w:rPr>
            <w:rStyle w:val="Hyperlink"/>
            <w:rFonts w:ascii="Open Sans" w:hAnsi="Open Sans" w:cs="Open Sans"/>
          </w:rPr>
          <w:t>Family Visa Handbook</w:t>
        </w:r>
      </w:hyperlink>
      <w:r w:rsidRPr="00440645">
        <w:rPr>
          <w:rFonts w:ascii="Open Sans" w:hAnsi="Open Sans" w:cs="Open Sans"/>
        </w:rPr>
        <w:t xml:space="preserve">. </w:t>
      </w:r>
      <w:r w:rsidRPr="00440645">
        <w:rPr>
          <w:rFonts w:ascii="Open Sans" w:hAnsi="Open Sans" w:cs="Open Sans"/>
        </w:rPr>
        <w:br/>
        <w:t xml:space="preserve">SBS Audio. (2023, February 22). </w:t>
      </w:r>
      <w:hyperlink r:id="rId13" w:history="1">
        <w:r w:rsidRPr="00440645">
          <w:rPr>
            <w:rStyle w:val="Hyperlink"/>
            <w:rFonts w:ascii="Open Sans" w:hAnsi="Open Sans" w:cs="Open Sans"/>
          </w:rPr>
          <w:t>Settlement Guide: parent visas cost time and money</w:t>
        </w:r>
      </w:hyperlink>
      <w:r w:rsidRPr="00440645">
        <w:rPr>
          <w:rFonts w:ascii="Open Sans" w:hAnsi="Open Sans" w:cs="Open Sans"/>
        </w:rPr>
        <w:t xml:space="preserve">. </w:t>
      </w:r>
      <w:r w:rsidRPr="00440645">
        <w:rPr>
          <w:rFonts w:ascii="Open Sans" w:hAnsi="Open Sans" w:cs="Open Sans"/>
          <w:i/>
          <w:iCs/>
        </w:rPr>
        <w:t>SBS</w:t>
      </w:r>
      <w:r w:rsidRPr="00440645">
        <w:rPr>
          <w:rFonts w:ascii="Open Sans" w:hAnsi="Open Sans" w:cs="Open Sans"/>
        </w:rPr>
        <w:t>.</w:t>
      </w:r>
    </w:p>
  </w:endnote>
  <w:endnote w:id="11">
    <w:p w14:paraId="1A87C020" w14:textId="1B842C4F" w:rsidR="002202AB" w:rsidRPr="00440645" w:rsidRDefault="002202AB">
      <w:pPr>
        <w:pStyle w:val="EndnoteText"/>
        <w:rPr>
          <w:rFonts w:ascii="Open Sans" w:hAnsi="Open Sans" w:cs="Open Sans"/>
          <w:i/>
          <w:iCs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</w:t>
      </w:r>
      <w:r w:rsidR="0030131C" w:rsidRPr="00440645">
        <w:rPr>
          <w:rFonts w:ascii="Open Sans" w:hAnsi="Open Sans" w:cs="Open Sans"/>
          <w:sz w:val="22"/>
          <w:szCs w:val="22"/>
        </w:rPr>
        <w:t xml:space="preserve">Department of Home Affairs. (2024, March 19). </w:t>
      </w:r>
      <w:hyperlink r:id="rId14" w:history="1">
        <w:r w:rsidR="0030131C" w:rsidRPr="00440645">
          <w:rPr>
            <w:rStyle w:val="Hyperlink"/>
            <w:rFonts w:ascii="Open Sans" w:hAnsi="Open Sans" w:cs="Open Sans"/>
            <w:sz w:val="22"/>
            <w:szCs w:val="22"/>
          </w:rPr>
          <w:t>(Subclasses 309 and 100) Partner visa (apply overseas)</w:t>
        </w:r>
      </w:hyperlink>
      <w:r w:rsidR="0030131C" w:rsidRPr="00440645">
        <w:rPr>
          <w:rFonts w:ascii="Open Sans" w:hAnsi="Open Sans" w:cs="Open Sans"/>
          <w:i/>
          <w:iCs/>
          <w:sz w:val="22"/>
          <w:szCs w:val="22"/>
        </w:rPr>
        <w:t xml:space="preserve">. </w:t>
      </w:r>
      <w:r w:rsidR="0030131C" w:rsidRPr="00440645">
        <w:rPr>
          <w:rFonts w:ascii="Open Sans" w:hAnsi="Open Sans" w:cs="Open Sans"/>
          <w:sz w:val="22"/>
          <w:szCs w:val="22"/>
        </w:rPr>
        <w:t>Australian Government, Department of Home Affairs.</w:t>
      </w:r>
    </w:p>
    <w:p w14:paraId="28D5DEE7" w14:textId="77777777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</w:p>
  </w:endnote>
  <w:endnote w:id="12">
    <w:p w14:paraId="69282229" w14:textId="34CED848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Department of Home Affairs.</w:t>
      </w:r>
      <w:r w:rsidR="0020248A" w:rsidRPr="00440645">
        <w:rPr>
          <w:rFonts w:ascii="Open Sans" w:hAnsi="Open Sans" w:cs="Open Sans"/>
          <w:sz w:val="22"/>
          <w:szCs w:val="22"/>
        </w:rPr>
        <w:t xml:space="preserve"> (2024, March 19). </w:t>
      </w:r>
    </w:p>
    <w:p w14:paraId="34CD7070" w14:textId="77777777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</w:p>
  </w:endnote>
  <w:endnote w:id="13">
    <w:p w14:paraId="57BBC243" w14:textId="3A94A697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Department of Home Affairs. (2024, April 24). </w:t>
      </w:r>
      <w:hyperlink r:id="rId15" w:history="1">
        <w:r w:rsidRPr="00440645">
          <w:rPr>
            <w:rStyle w:val="Hyperlink"/>
            <w:rFonts w:ascii="Open Sans" w:hAnsi="Open Sans" w:cs="Open Sans"/>
            <w:sz w:val="22"/>
            <w:szCs w:val="22"/>
          </w:rPr>
          <w:t>Visa processing times</w:t>
        </w:r>
      </w:hyperlink>
      <w:r w:rsidRPr="00440645">
        <w:rPr>
          <w:rFonts w:ascii="Open Sans" w:hAnsi="Open Sans" w:cs="Open Sans"/>
          <w:sz w:val="22"/>
          <w:szCs w:val="22"/>
        </w:rPr>
        <w:t>. Australian Government, Department of Home Affairs.</w:t>
      </w:r>
      <w:r w:rsidR="00525413" w:rsidRPr="00440645">
        <w:rPr>
          <w:rFonts w:ascii="Open Sans" w:hAnsi="Open Sans" w:cs="Open Sans"/>
          <w:sz w:val="22"/>
          <w:szCs w:val="22"/>
        </w:rPr>
        <w:br/>
      </w:r>
    </w:p>
  </w:endnote>
  <w:endnote w:id="14">
    <w:p w14:paraId="5D26EA0D" w14:textId="0F3AD78E" w:rsidR="002202AB" w:rsidRPr="00440645" w:rsidRDefault="002202AB">
      <w:pPr>
        <w:pStyle w:val="EndnoteText"/>
        <w:rPr>
          <w:rFonts w:ascii="Open Sans" w:hAnsi="Open Sans" w:cs="Open Sans"/>
          <w:sz w:val="22"/>
          <w:szCs w:val="22"/>
        </w:rPr>
      </w:pPr>
      <w:r w:rsidRPr="00440645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440645">
        <w:rPr>
          <w:rFonts w:ascii="Open Sans" w:hAnsi="Open Sans" w:cs="Open Sans"/>
          <w:sz w:val="22"/>
          <w:szCs w:val="22"/>
        </w:rPr>
        <w:t xml:space="preserve"> Refugee Council of Australia. (2024, April 17). </w:t>
      </w:r>
      <w:hyperlink r:id="rId16" w:history="1">
        <w:r w:rsidRPr="00440645">
          <w:rPr>
            <w:rStyle w:val="Hyperlink"/>
            <w:rFonts w:ascii="Open Sans" w:hAnsi="Open Sans" w:cs="Open Sans"/>
            <w:sz w:val="22"/>
            <w:szCs w:val="22"/>
          </w:rPr>
          <w:t>Statistics on people seeking asylum in the community.</w:t>
        </w:r>
      </w:hyperlink>
      <w:r w:rsidRPr="00440645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440645">
        <w:rPr>
          <w:rFonts w:ascii="Open Sans" w:hAnsi="Open Sans" w:cs="Open Sans"/>
          <w:sz w:val="22"/>
          <w:szCs w:val="22"/>
        </w:rPr>
        <w:t>[Graph: Average processing times for permanent protection visas].</w:t>
      </w:r>
      <w:r w:rsidRPr="00440645">
        <w:rPr>
          <w:rFonts w:ascii="Open Sans" w:hAnsi="Open Sans" w:cs="Open Sans"/>
          <w:sz w:val="22"/>
          <w:szCs w:val="22"/>
        </w:rPr>
        <w:br/>
      </w:r>
    </w:p>
  </w:endnote>
  <w:endnote w:id="15">
    <w:p w14:paraId="51496E32" w14:textId="6F00ED1E" w:rsidR="002202AB" w:rsidRPr="00440645" w:rsidRDefault="002202AB" w:rsidP="009C2475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Department of Social Services (2020). </w:t>
      </w:r>
      <w:hyperlink r:id="rId17" w:history="1">
        <w:r w:rsidRPr="00440645">
          <w:rPr>
            <w:rStyle w:val="Hyperlink"/>
            <w:rFonts w:ascii="Open Sans" w:hAnsi="Open Sans" w:cs="Open Sans"/>
          </w:rPr>
          <w:t>Building a New Life in Australia (BNLA): The Longitudinal Study of Humanitarian Migrants Wave 5 Update (Addendum to the Wave 3 Report)</w:t>
        </w:r>
      </w:hyperlink>
      <w:r w:rsidRPr="00440645">
        <w:rPr>
          <w:rStyle w:val="Hyperlink"/>
          <w:rFonts w:ascii="Open Sans" w:hAnsi="Open Sans" w:cs="Open Sans"/>
          <w:color w:val="auto"/>
        </w:rPr>
        <w:t>,</w:t>
      </w:r>
      <w:r w:rsidRPr="00440645">
        <w:rPr>
          <w:rFonts w:ascii="Open Sans" w:hAnsi="Open Sans" w:cs="Open Sans"/>
        </w:rPr>
        <w:t xml:space="preserve"> p. 23. </w:t>
      </w:r>
      <w:r w:rsidR="001970D2" w:rsidRPr="00440645">
        <w:rPr>
          <w:rFonts w:ascii="Open Sans" w:hAnsi="Open Sans" w:cs="Open Sans"/>
        </w:rPr>
        <w:br/>
      </w:r>
      <w:r w:rsidRPr="00440645">
        <w:rPr>
          <w:rFonts w:ascii="Open Sans" w:hAnsi="Open Sans" w:cs="Open Sans"/>
        </w:rPr>
        <w:t>This longitudinal study follows humanitarian migrants and their family members who arrived in Australia or had their permanent residency visa granted between May and October 2013.</w:t>
      </w:r>
    </w:p>
  </w:endnote>
  <w:endnote w:id="16">
    <w:p w14:paraId="0CC7F264" w14:textId="65807658" w:rsidR="002202AB" w:rsidRPr="00440645" w:rsidRDefault="002202AB" w:rsidP="009C2475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Clement, V., Rigaud, K. K., de Sherbinin, A., Jones, B., Adamo, S., Schewe, J., Sadiq, N., &amp; Shabahat, E.</w:t>
      </w:r>
      <w:r w:rsidRPr="00440645">
        <w:rPr>
          <w:rStyle w:val="CommentReference"/>
          <w:rFonts w:ascii="Open Sans" w:hAnsi="Open Sans" w:cs="Open Sans"/>
          <w:color w:val="212529"/>
          <w:sz w:val="22"/>
          <w:szCs w:val="22"/>
          <w:shd w:val="clear" w:color="auto" w:fill="FFFFFF"/>
        </w:rPr>
        <w:t xml:space="preserve"> </w:t>
      </w:r>
      <w:r w:rsidRPr="00440645">
        <w:rPr>
          <w:rStyle w:val="ng-star-inserted"/>
          <w:rFonts w:ascii="Open Sans" w:hAnsi="Open Sans" w:cs="Open Sans"/>
          <w:color w:val="212529"/>
          <w:shd w:val="clear" w:color="auto" w:fill="FFFFFF"/>
        </w:rPr>
        <w:t>(2021). </w:t>
      </w:r>
      <w:hyperlink r:id="rId18" w:history="1">
        <w:r w:rsidRPr="00440645">
          <w:rPr>
            <w:rStyle w:val="Hyperlink"/>
            <w:rFonts w:ascii="Open Sans" w:hAnsi="Open Sans" w:cs="Open Sans"/>
            <w:shd w:val="clear" w:color="auto" w:fill="FFFFFF"/>
          </w:rPr>
          <w:t>Groundswell Part 2: Acting on Internal Climate Migration</w:t>
        </w:r>
      </w:hyperlink>
      <w:r w:rsidRPr="00440645">
        <w:rPr>
          <w:rStyle w:val="ng-star-inserted"/>
          <w:rFonts w:ascii="Open Sans" w:hAnsi="Open Sans" w:cs="Open Sans"/>
          <w:color w:val="212529"/>
          <w:shd w:val="clear" w:color="auto" w:fill="FFFFFF"/>
        </w:rPr>
        <w:t>. World Bank, Washington, DC</w:t>
      </w:r>
      <w:r w:rsidR="000022E2" w:rsidRPr="00440645">
        <w:rPr>
          <w:rStyle w:val="ng-star-inserted"/>
          <w:rFonts w:ascii="Open Sans" w:hAnsi="Open Sans" w:cs="Open Sans"/>
          <w:color w:val="212529"/>
          <w:shd w:val="clear" w:color="auto" w:fill="FFFFFF"/>
        </w:rPr>
        <w:t>.</w:t>
      </w:r>
      <w:r w:rsidRPr="00440645">
        <w:rPr>
          <w:rStyle w:val="ng-star-inserted"/>
          <w:rFonts w:ascii="Open Sans" w:hAnsi="Open Sans" w:cs="Open Sans"/>
          <w:color w:val="212529"/>
          <w:shd w:val="clear" w:color="auto" w:fill="FFFFFF"/>
        </w:rPr>
        <w:t xml:space="preserve"> p. xxii.</w:t>
      </w:r>
    </w:p>
  </w:endnote>
  <w:endnote w:id="17">
    <w:p w14:paraId="11818A89" w14:textId="7102DB4B" w:rsidR="002202AB" w:rsidRPr="00EB7D4E" w:rsidRDefault="002202AB" w:rsidP="00EB7D4E">
      <w:pPr>
        <w:rPr>
          <w:rFonts w:ascii="Open Sans" w:hAnsi="Open Sans" w:cs="Open Sans"/>
        </w:rPr>
      </w:pPr>
      <w:r w:rsidRPr="00440645">
        <w:rPr>
          <w:rStyle w:val="EndnoteReference"/>
          <w:rFonts w:ascii="Open Sans" w:hAnsi="Open Sans" w:cs="Open Sans"/>
        </w:rPr>
        <w:endnoteRef/>
      </w:r>
      <w:r w:rsidRPr="00440645">
        <w:rPr>
          <w:rFonts w:ascii="Open Sans" w:hAnsi="Open Sans" w:cs="Open Sans"/>
        </w:rPr>
        <w:t xml:space="preserve"> Siegried, K. (2023, November 15). </w:t>
      </w:r>
      <w:hyperlink r:id="rId19" w:history="1">
        <w:r w:rsidRPr="00440645">
          <w:rPr>
            <w:rStyle w:val="Hyperlink"/>
            <w:rFonts w:ascii="Open Sans" w:hAnsi="Open Sans" w:cs="Open Sans"/>
          </w:rPr>
          <w:t>Climate change and displacement: the myths and the facts</w:t>
        </w:r>
      </w:hyperlink>
      <w:r w:rsidRPr="00440645">
        <w:rPr>
          <w:rFonts w:ascii="Open Sans" w:hAnsi="Open Sans" w:cs="Open Sans"/>
        </w:rPr>
        <w:t xml:space="preserve">. UNHCR. </w:t>
      </w:r>
      <w:r w:rsidR="00440645" w:rsidRPr="00440645">
        <w:rPr>
          <w:rFonts w:ascii="Open Sans" w:hAnsi="Open Sans" w:cs="Open Sans"/>
        </w:rPr>
        <w:br/>
      </w:r>
      <w:r w:rsidRPr="00440645">
        <w:rPr>
          <w:rFonts w:ascii="Open Sans" w:hAnsi="Open Sans" w:cs="Open Sans"/>
        </w:rPr>
        <w:t xml:space="preserve">Although climate change and disasters by themselves don't qualify someone as a refugee, they can support a refugee claim when combined with other issues like violence or persecution, or when they have a larger impact on certain groups. </w:t>
      </w:r>
      <w:r w:rsidR="00440645" w:rsidRPr="00440645">
        <w:rPr>
          <w:rFonts w:ascii="Open Sans" w:hAnsi="Open Sans" w:cs="Open Sans"/>
        </w:rPr>
        <w:br/>
      </w:r>
      <w:r w:rsidRPr="00440645">
        <w:rPr>
          <w:rFonts w:ascii="Open Sans" w:hAnsi="Open Sans" w:cs="Open Sans"/>
        </w:rPr>
        <w:t xml:space="preserve">McAdam, J., Wood, T. (2023). </w:t>
      </w:r>
      <w:hyperlink r:id="rId20" w:history="1">
        <w:r w:rsidRPr="00440645">
          <w:rPr>
            <w:rStyle w:val="Hyperlink"/>
            <w:rFonts w:ascii="Open Sans" w:hAnsi="Open Sans" w:cs="Open Sans"/>
          </w:rPr>
          <w:t>Kaldor Centre Principles on Climate Mobility</w:t>
        </w:r>
      </w:hyperlink>
      <w:r w:rsidRPr="00440645">
        <w:rPr>
          <w:rFonts w:ascii="Open Sans" w:hAnsi="Open Sans" w:cs="Open Sans"/>
        </w:rPr>
        <w:t>. UNSW Law &amp; Justice, p. 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543C" w14:textId="27AF4574" w:rsidR="002202AB" w:rsidRPr="002202AB" w:rsidRDefault="002202AB">
    <w:pPr>
      <w:pStyle w:val="Footer"/>
      <w:jc w:val="right"/>
      <w:rPr>
        <w:rFonts w:ascii="Open Sans" w:hAnsi="Open Sans" w:cs="Open Sans"/>
      </w:rPr>
    </w:pPr>
    <w:r w:rsidRPr="002202AB">
      <w:rPr>
        <w:rFonts w:ascii="Open Sans" w:hAnsi="Open Sans" w:cs="Open Sans"/>
      </w:rPr>
      <w:t xml:space="preserve">Australian Human Rights Commission </w:t>
    </w:r>
    <w:r w:rsidR="00427C70">
      <w:rPr>
        <w:rFonts w:ascii="Open Sans" w:hAnsi="Open Sans" w:cs="Open Sans"/>
      </w:rPr>
      <w:t>Stats &amp; Facts</w:t>
    </w:r>
    <w:r w:rsidRPr="002202AB">
      <w:rPr>
        <w:rFonts w:ascii="Open Sans" w:hAnsi="Open Sans" w:cs="Open Sans"/>
      </w:rPr>
      <w:t xml:space="preserve"> 202</w:t>
    </w:r>
    <w:r w:rsidR="002A47B8">
      <w:rPr>
        <w:rFonts w:ascii="Open Sans" w:hAnsi="Open Sans" w:cs="Open Sans"/>
      </w:rPr>
      <w:t>5</w:t>
    </w:r>
    <w:r>
      <w:rPr>
        <w:rFonts w:ascii="Open Sans" w:hAnsi="Open Sans" w:cs="Open Sans"/>
      </w:rPr>
      <w:t xml:space="preserve">                                                     </w:t>
    </w:r>
    <w:r w:rsidRPr="002202AB">
      <w:rPr>
        <w:rFonts w:ascii="Open Sans" w:hAnsi="Open Sans" w:cs="Open Sans"/>
      </w:rPr>
      <w:t xml:space="preserve"> </w:t>
    </w:r>
    <w:sdt>
      <w:sdtPr>
        <w:rPr>
          <w:rFonts w:ascii="Open Sans" w:hAnsi="Open Sans" w:cs="Open Sans"/>
        </w:rPr>
        <w:id w:val="-2371755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202AB">
          <w:rPr>
            <w:rFonts w:ascii="Open Sans" w:hAnsi="Open Sans" w:cs="Open Sans"/>
          </w:rPr>
          <w:fldChar w:fldCharType="begin"/>
        </w:r>
        <w:r w:rsidRPr="002202AB">
          <w:rPr>
            <w:rFonts w:ascii="Open Sans" w:hAnsi="Open Sans" w:cs="Open Sans"/>
          </w:rPr>
          <w:instrText xml:space="preserve"> PAGE   \* MERGEFORMAT </w:instrText>
        </w:r>
        <w:r w:rsidRPr="002202AB">
          <w:rPr>
            <w:rFonts w:ascii="Open Sans" w:hAnsi="Open Sans" w:cs="Open Sans"/>
          </w:rPr>
          <w:fldChar w:fldCharType="separate"/>
        </w:r>
        <w:r w:rsidRPr="002202AB">
          <w:rPr>
            <w:rFonts w:ascii="Open Sans" w:hAnsi="Open Sans" w:cs="Open Sans"/>
            <w:noProof/>
          </w:rPr>
          <w:t>2</w:t>
        </w:r>
        <w:r w:rsidRPr="002202AB">
          <w:rPr>
            <w:rFonts w:ascii="Open Sans" w:hAnsi="Open Sans" w:cs="Open Sans"/>
            <w:noProof/>
          </w:rPr>
          <w:fldChar w:fldCharType="end"/>
        </w:r>
      </w:sdtContent>
    </w:sdt>
  </w:p>
  <w:p w14:paraId="39DBB43B" w14:textId="77777777" w:rsidR="002202AB" w:rsidRPr="002202AB" w:rsidRDefault="002202AB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42A0" w14:textId="77777777" w:rsidR="00FA239D" w:rsidRDefault="00FA239D" w:rsidP="008F2A48">
      <w:pPr>
        <w:spacing w:after="0" w:line="240" w:lineRule="auto"/>
      </w:pPr>
      <w:r>
        <w:separator/>
      </w:r>
    </w:p>
  </w:footnote>
  <w:footnote w:type="continuationSeparator" w:id="0">
    <w:p w14:paraId="373D59F9" w14:textId="77777777" w:rsidR="00FA239D" w:rsidRDefault="00FA239D" w:rsidP="008F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91C5" w14:textId="67EBF8FC" w:rsidR="00E06759" w:rsidRDefault="00E06759">
    <w:pPr>
      <w:pStyle w:val="Header"/>
    </w:pPr>
    <w:r>
      <w:rPr>
        <w:noProof/>
        <w14:ligatures w14:val="standardContextual"/>
      </w:rPr>
      <w:drawing>
        <wp:inline distT="0" distB="0" distL="0" distR="0" wp14:anchorId="4128975C" wp14:editId="7D88922F">
          <wp:extent cx="1981204" cy="762002"/>
          <wp:effectExtent l="0" t="0" r="0" b="0"/>
          <wp:docPr id="238397984" name="Picture 1" descr="A blue glob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97984" name="Picture 1" descr="A blue glob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AA811" w14:textId="77777777" w:rsidR="00E06759" w:rsidRDefault="00E0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EBF"/>
    <w:multiLevelType w:val="hybridMultilevel"/>
    <w:tmpl w:val="2256A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768"/>
    <w:multiLevelType w:val="hybridMultilevel"/>
    <w:tmpl w:val="4A12F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A22"/>
    <w:multiLevelType w:val="hybridMultilevel"/>
    <w:tmpl w:val="2E606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4C8D"/>
    <w:multiLevelType w:val="hybridMultilevel"/>
    <w:tmpl w:val="13B44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7B46"/>
    <w:multiLevelType w:val="hybridMultilevel"/>
    <w:tmpl w:val="ECC62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2009C"/>
    <w:multiLevelType w:val="hybridMultilevel"/>
    <w:tmpl w:val="4456EF8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3D11FC"/>
    <w:multiLevelType w:val="hybridMultilevel"/>
    <w:tmpl w:val="4E9898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56168"/>
    <w:multiLevelType w:val="hybridMultilevel"/>
    <w:tmpl w:val="4D6C8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3938"/>
    <w:multiLevelType w:val="hybridMultilevel"/>
    <w:tmpl w:val="A524D3DC"/>
    <w:lvl w:ilvl="0" w:tplc="3A345920">
      <w:start w:val="40"/>
      <w:numFmt w:val="bullet"/>
      <w:lvlText w:val="-"/>
      <w:lvlJc w:val="left"/>
      <w:pPr>
        <w:ind w:left="0" w:hanging="360"/>
      </w:pPr>
      <w:rPr>
        <w:rFonts w:ascii="Open Sans" w:eastAsiaTheme="minorHAnsi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7DB60D5"/>
    <w:multiLevelType w:val="hybridMultilevel"/>
    <w:tmpl w:val="950A0498"/>
    <w:lvl w:ilvl="0" w:tplc="881E4A3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93797"/>
    <w:multiLevelType w:val="hybridMultilevel"/>
    <w:tmpl w:val="24902F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A809A8"/>
    <w:multiLevelType w:val="hybridMultilevel"/>
    <w:tmpl w:val="0BC84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899DC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B31B0"/>
    <w:multiLevelType w:val="hybridMultilevel"/>
    <w:tmpl w:val="2DDE2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95F2E"/>
    <w:multiLevelType w:val="hybridMultilevel"/>
    <w:tmpl w:val="E48EC7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16092"/>
    <w:multiLevelType w:val="hybridMultilevel"/>
    <w:tmpl w:val="6A6E9F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85BC3"/>
    <w:multiLevelType w:val="hybridMultilevel"/>
    <w:tmpl w:val="34948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518C4"/>
    <w:multiLevelType w:val="hybridMultilevel"/>
    <w:tmpl w:val="B134B4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69738F"/>
    <w:multiLevelType w:val="hybridMultilevel"/>
    <w:tmpl w:val="9AB0B9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888789">
    <w:abstractNumId w:val="16"/>
  </w:num>
  <w:num w:numId="2" w16cid:durableId="1721905623">
    <w:abstractNumId w:val="7"/>
  </w:num>
  <w:num w:numId="3" w16cid:durableId="1295940313">
    <w:abstractNumId w:val="8"/>
  </w:num>
  <w:num w:numId="4" w16cid:durableId="1976909329">
    <w:abstractNumId w:val="9"/>
  </w:num>
  <w:num w:numId="5" w16cid:durableId="810947783">
    <w:abstractNumId w:val="4"/>
  </w:num>
  <w:num w:numId="6" w16cid:durableId="1385520157">
    <w:abstractNumId w:val="0"/>
  </w:num>
  <w:num w:numId="7" w16cid:durableId="84572688">
    <w:abstractNumId w:val="2"/>
  </w:num>
  <w:num w:numId="8" w16cid:durableId="325598232">
    <w:abstractNumId w:val="5"/>
  </w:num>
  <w:num w:numId="9" w16cid:durableId="1600482574">
    <w:abstractNumId w:val="10"/>
  </w:num>
  <w:num w:numId="10" w16cid:durableId="170266900">
    <w:abstractNumId w:val="17"/>
  </w:num>
  <w:num w:numId="11" w16cid:durableId="739206414">
    <w:abstractNumId w:val="1"/>
  </w:num>
  <w:num w:numId="12" w16cid:durableId="648947419">
    <w:abstractNumId w:val="12"/>
  </w:num>
  <w:num w:numId="13" w16cid:durableId="848326679">
    <w:abstractNumId w:val="15"/>
  </w:num>
  <w:num w:numId="14" w16cid:durableId="948896183">
    <w:abstractNumId w:val="13"/>
  </w:num>
  <w:num w:numId="15" w16cid:durableId="2049065105">
    <w:abstractNumId w:val="14"/>
  </w:num>
  <w:num w:numId="16" w16cid:durableId="31149890">
    <w:abstractNumId w:val="11"/>
  </w:num>
  <w:num w:numId="17" w16cid:durableId="260837924">
    <w:abstractNumId w:val="3"/>
  </w:num>
  <w:num w:numId="18" w16cid:durableId="426848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8"/>
    <w:rsid w:val="000022E2"/>
    <w:rsid w:val="00084090"/>
    <w:rsid w:val="000A63F0"/>
    <w:rsid w:val="000C1723"/>
    <w:rsid w:val="000E77FE"/>
    <w:rsid w:val="000F616F"/>
    <w:rsid w:val="00114095"/>
    <w:rsid w:val="001279E3"/>
    <w:rsid w:val="0013497F"/>
    <w:rsid w:val="001970D2"/>
    <w:rsid w:val="00197150"/>
    <w:rsid w:val="001D2822"/>
    <w:rsid w:val="001E173E"/>
    <w:rsid w:val="001E3F2F"/>
    <w:rsid w:val="001E6724"/>
    <w:rsid w:val="0020248A"/>
    <w:rsid w:val="002202AB"/>
    <w:rsid w:val="002A3495"/>
    <w:rsid w:val="002A47B8"/>
    <w:rsid w:val="002B79DC"/>
    <w:rsid w:val="002B7BF9"/>
    <w:rsid w:val="0030131C"/>
    <w:rsid w:val="00324F6B"/>
    <w:rsid w:val="0036001A"/>
    <w:rsid w:val="00360AFA"/>
    <w:rsid w:val="00363693"/>
    <w:rsid w:val="003A62B9"/>
    <w:rsid w:val="003F6A26"/>
    <w:rsid w:val="003F7644"/>
    <w:rsid w:val="004015FF"/>
    <w:rsid w:val="00427C70"/>
    <w:rsid w:val="00440645"/>
    <w:rsid w:val="004716A3"/>
    <w:rsid w:val="00477BC5"/>
    <w:rsid w:val="004A749C"/>
    <w:rsid w:val="004F6D94"/>
    <w:rsid w:val="005105FC"/>
    <w:rsid w:val="00525413"/>
    <w:rsid w:val="00550569"/>
    <w:rsid w:val="0057032C"/>
    <w:rsid w:val="005E2BB7"/>
    <w:rsid w:val="00604A83"/>
    <w:rsid w:val="00627CF4"/>
    <w:rsid w:val="006379B6"/>
    <w:rsid w:val="0064578D"/>
    <w:rsid w:val="00652F31"/>
    <w:rsid w:val="006805DA"/>
    <w:rsid w:val="006828A0"/>
    <w:rsid w:val="006E30CB"/>
    <w:rsid w:val="006F72E1"/>
    <w:rsid w:val="00707F00"/>
    <w:rsid w:val="0078158A"/>
    <w:rsid w:val="00794839"/>
    <w:rsid w:val="007948C7"/>
    <w:rsid w:val="007E16AE"/>
    <w:rsid w:val="008222F0"/>
    <w:rsid w:val="00832EE9"/>
    <w:rsid w:val="008716F5"/>
    <w:rsid w:val="008D5786"/>
    <w:rsid w:val="008F2A48"/>
    <w:rsid w:val="009B0F15"/>
    <w:rsid w:val="009C2475"/>
    <w:rsid w:val="009E182E"/>
    <w:rsid w:val="00A17E1D"/>
    <w:rsid w:val="00A201C4"/>
    <w:rsid w:val="00A3390E"/>
    <w:rsid w:val="00A546AB"/>
    <w:rsid w:val="00A77BE6"/>
    <w:rsid w:val="00B650FA"/>
    <w:rsid w:val="00B7540E"/>
    <w:rsid w:val="00B83052"/>
    <w:rsid w:val="00BA1522"/>
    <w:rsid w:val="00BE0482"/>
    <w:rsid w:val="00C15557"/>
    <w:rsid w:val="00C81DFA"/>
    <w:rsid w:val="00CC21CF"/>
    <w:rsid w:val="00CF0736"/>
    <w:rsid w:val="00D35C28"/>
    <w:rsid w:val="00D55EA6"/>
    <w:rsid w:val="00D607DF"/>
    <w:rsid w:val="00D61C6E"/>
    <w:rsid w:val="00DF1DC8"/>
    <w:rsid w:val="00E06759"/>
    <w:rsid w:val="00E37740"/>
    <w:rsid w:val="00E57227"/>
    <w:rsid w:val="00E62BF5"/>
    <w:rsid w:val="00E70C14"/>
    <w:rsid w:val="00EA5FC2"/>
    <w:rsid w:val="00EB7D4E"/>
    <w:rsid w:val="00ED048F"/>
    <w:rsid w:val="00F605BB"/>
    <w:rsid w:val="00FA239D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BF550"/>
  <w15:chartTrackingRefBased/>
  <w15:docId w15:val="{8A7833A7-910B-49C4-82B8-3019AFC4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A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2A48"/>
    <w:rPr>
      <w:sz w:val="16"/>
      <w:szCs w:val="16"/>
    </w:rPr>
  </w:style>
  <w:style w:type="table" w:styleId="TableGrid">
    <w:name w:val="Table Grid"/>
    <w:basedOn w:val="TableNormal"/>
    <w:uiPriority w:val="39"/>
    <w:rsid w:val="008F2A4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A48"/>
    <w:rPr>
      <w:color w:val="467886" w:themeColor="hyperlink"/>
      <w:u w:val="single"/>
    </w:rPr>
  </w:style>
  <w:style w:type="character" w:customStyle="1" w:styleId="ng-star-inserted">
    <w:name w:val="ng-star-inserted"/>
    <w:basedOn w:val="DefaultParagraphFont"/>
    <w:rsid w:val="008F2A48"/>
  </w:style>
  <w:style w:type="paragraph" w:styleId="FootnoteText">
    <w:name w:val="footnote text"/>
    <w:basedOn w:val="Normal"/>
    <w:link w:val="FootnoteTextChar"/>
    <w:uiPriority w:val="99"/>
    <w:semiHidden/>
    <w:unhideWhenUsed/>
    <w:rsid w:val="008F2A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A4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F2A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2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2AB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202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0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AB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15F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81DFA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27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9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E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affairs.gov.au/research-and-statistics/statistics/country-profiles/profiles" TargetMode="External"/><Relationship Id="rId13" Type="http://schemas.openxmlformats.org/officeDocument/2006/relationships/hyperlink" Target="https://www.sbs.com.au/audio/article/settlement-guide-parent-visas-cost-time-and-money/g17yljnsi" TargetMode="External"/><Relationship Id="rId18" Type="http://schemas.openxmlformats.org/officeDocument/2006/relationships/hyperlink" Target="https://hdl.handle.net/10986/36248" TargetMode="External"/><Relationship Id="rId3" Type="http://schemas.openxmlformats.org/officeDocument/2006/relationships/hyperlink" Target="https://www.refugeecouncil.org.au/wp-content/uploads/2023/08/Global-Trends-2013-22.pdf" TargetMode="External"/><Relationship Id="rId7" Type="http://schemas.openxmlformats.org/officeDocument/2006/relationships/hyperlink" Target="https://www.aph.gov.au/api/qon/downloadattachment?attachmentId=260f7231-60ef-4478-a15e-035895d4d6cb" TargetMode="External"/><Relationship Id="rId12" Type="http://schemas.openxmlformats.org/officeDocument/2006/relationships/hyperlink" Target="https://www.hansenmigration.com.au/wp-content/uploads/2023/05/Hansen-Migration-Family-Visa-Handbook.pdf" TargetMode="External"/><Relationship Id="rId17" Type="http://schemas.openxmlformats.org/officeDocument/2006/relationships/hyperlink" Target="https://view.officeapps.live.com/op/view.aspx?src=https%3A%2F%2Fwww.dss.gov.au%2Fsites%2Fdefault%2Ffiles%2Fdocuments%2F07_2020%2Fbnla-longitudinal-study-humanitarian-migrants-wave-5.docx&amp;wdOrigin=BROWSELINK" TargetMode="External"/><Relationship Id="rId2" Type="http://schemas.openxmlformats.org/officeDocument/2006/relationships/hyperlink" Target="https://www.unhcr.org/refugee-statistics/" TargetMode="External"/><Relationship Id="rId16" Type="http://schemas.openxmlformats.org/officeDocument/2006/relationships/hyperlink" Target="https://www.refugeecouncil.org.au/asylum-community/5/" TargetMode="External"/><Relationship Id="rId20" Type="http://schemas.openxmlformats.org/officeDocument/2006/relationships/hyperlink" Target="https://aus01.safelinks.protection.outlook.com/?url=https%3A%2F%2Fwww.unsw.edu.au%2Fcontent%2Fdam%2Fpdfs%2Funsw-adobe-websites%2Fkaldor-centre%2F2023-11-others%2F2023-11-Principles-on-Climate-Mobility_v-4_DIGITAL_Singles.pdf&amp;data=05%7C02%7Crachel.stevens%40humanrights.gov.au%7C3d1735aace424e0a57e808dc6e8f6ab5%7Cea4cdebd454f4218919b7adc32bf1549%7C0%7C0%7C638506809455434106%7CUnknown%7CTWFpbGZsb3d8eyJWIjoiMC4wLjAwMDAiLCJQIjoiV2luMzIiLCJBTiI6Ik1haWwiLCJXVCI6Mn0%3D%7C0%7C%7C%7C&amp;sdata=L86mIas6XV7cPYDT3mOjYRjFr%2BJGg4TMndM%2FjWH1hsQ%3D&amp;reserved=0" TargetMode="External"/><Relationship Id="rId1" Type="http://schemas.openxmlformats.org/officeDocument/2006/relationships/hyperlink" Target="https://immi.homeaffairs.gov.au/what-we-do/refugee-and-humanitarian-program/about-the-program/about-the-program" TargetMode="External"/><Relationship Id="rId6" Type="http://schemas.openxmlformats.org/officeDocument/2006/relationships/hyperlink" Target="https://www.aph.gov.au/api/qon/downloadattachment?attachmentId=db1c2091-31fe-478e-b211-18cb4ba7333a" TargetMode="External"/><Relationship Id="rId11" Type="http://schemas.openxmlformats.org/officeDocument/2006/relationships/hyperlink" Target="https://doi.org/10.1177/0004867420967427" TargetMode="External"/><Relationship Id="rId5" Type="http://schemas.openxmlformats.org/officeDocument/2006/relationships/hyperlink" Target="https://www.refugeecouncil.org.au/asylum-boats-statistics/" TargetMode="External"/><Relationship Id="rId15" Type="http://schemas.openxmlformats.org/officeDocument/2006/relationships/hyperlink" Target="https://immi.homeaffairs.gov.au/visas/getting-a-visa/visa-processing-times/family-visa-processing-priorities/parent-visas-queue-release-dates" TargetMode="External"/><Relationship Id="rId10" Type="http://schemas.openxmlformats.org/officeDocument/2006/relationships/hyperlink" Target="https://www.refugeecouncil.org.au/wp-content/uploads/2018/12/Addressing-the-pain-of-separation-for-refugee-families.pdf" TargetMode="External"/><Relationship Id="rId19" Type="http://schemas.openxmlformats.org/officeDocument/2006/relationships/hyperlink" Target="https://www.unhcr.org/au/news/stories/climate-change-and-displacement-myths-and-facts" TargetMode="External"/><Relationship Id="rId4" Type="http://schemas.openxmlformats.org/officeDocument/2006/relationships/hyperlink" Target="https://www.aph.gov.au/About_Parliament/Parliamentary_Departments/Parliamentary_Library/pubs/rp/rp1415/AsylumFacts" TargetMode="External"/><Relationship Id="rId9" Type="http://schemas.openxmlformats.org/officeDocument/2006/relationships/hyperlink" Target="https://foundationhouse.org.au/wp-content/uploads/2023/11/Foundation-House-Annual-Report-2022-2023.pdf" TargetMode="External"/><Relationship Id="rId14" Type="http://schemas.openxmlformats.org/officeDocument/2006/relationships/hyperlink" Target="https://immi.homeaffairs.gov.au/visas/getting-a-visa/visa-listing/partner-offsh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1D285B49384795D5279A90E5FF12" ma:contentTypeVersion="13" ma:contentTypeDescription="Create a new document." ma:contentTypeScope="" ma:versionID="058eb00ca860ae3ce1556360bf7049a8">
  <xsd:schema xmlns:xsd="http://www.w3.org/2001/XMLSchema" xmlns:xs="http://www.w3.org/2001/XMLSchema" xmlns:p="http://schemas.microsoft.com/office/2006/metadata/properties" xmlns:ns2="6500fe01-343b-4fb9-a1b0-68ac19d62e01" xmlns:ns3="490d545e-0cea-44bb-b9e1-b9f087fbecb5" xmlns:ns4="8ab8274c-36ab-426d-bae7-27aa9ddedea4" targetNamespace="http://schemas.microsoft.com/office/2006/metadata/properties" ma:root="true" ma:fieldsID="808b79d652d2f46541c66df964c529a7" ns2:_="" ns3:_="" ns4:_="">
    <xsd:import namespace="6500fe01-343b-4fb9-a1b0-68ac19d62e01"/>
    <xsd:import namespace="490d545e-0cea-44bb-b9e1-b9f087fbecb5"/>
    <xsd:import namespace="8ab8274c-36ab-426d-bae7-27aa9ddedea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Divider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2ecc75-c2da-43a4-85a2-ad3c53aba26e}" ma:internalName="TaxCatchAll" ma:showField="CatchAllData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2ecc75-c2da-43a4-85a2-ad3c53aba26e}" ma:internalName="TaxCatchAllLabel" ma:readOnly="true" ma:showField="CatchAllDataLabel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der" ma:index="12" nillable="true" ma:displayName="Divider" ma:internalName="Divider">
      <xsd:simpleType>
        <xsd:restriction base="dms:Text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545e-0cea-44bb-b9e1-b9f087fbe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8274c-36ab-426d-bae7-27aa9dded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der xmlns="6500fe01-343b-4fb9-a1b0-68ac19d62e01" xsi:nil="true"/>
    <TaxCatchAll xmlns="6500fe01-343b-4fb9-a1b0-68ac19d62e01" xsi:nil="true"/>
    <lcf76f155ced4ddcb4097134ff3c332f xmlns="8ab8274c-36ab-426d-bae7-27aa9ddedea4">
      <Terms xmlns="http://schemas.microsoft.com/office/infopath/2007/PartnerControls"/>
    </lcf76f155ced4ddcb4097134ff3c332f>
    <TaxKeywordTaxHTField xmlns="6500fe01-343b-4fb9-a1b0-68ac19d62e01">
      <Terms xmlns="http://schemas.microsoft.com/office/infopath/2007/PartnerControls"/>
    </TaxKeywordTaxHTField>
    <_dlc_DocId xmlns="6500fe01-343b-4fb9-a1b0-68ac19d62e01">2VJSNK2QYUME-83637454-2502</_dlc_DocId>
    <_dlc_DocIdUrl xmlns="6500fe01-343b-4fb9-a1b0-68ac19d62e01">
      <Url>https://australianhrc.sharepoint.com/sites/WorkplaceandCommunityEducation/_layouts/15/DocIdRedir.aspx?ID=2VJSNK2QYUME-83637454-2502</Url>
      <Description>2VJSNK2QYUME-83637454-2502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9719-4D77-4F4A-86DF-E09C329AB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AA080C-A1C7-4827-BBB4-6D749B1E42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BFAE75-44B0-44E4-86E6-A413409C4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490d545e-0cea-44bb-b9e1-b9f087fbecb5"/>
    <ds:schemaRef ds:uri="8ab8274c-36ab-426d-bae7-27aa9dded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6CCBE-BB5C-4025-B921-40C4308BBFC6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8ab8274c-36ab-426d-bae7-27aa9ddedea4"/>
  </ds:schemaRefs>
</ds:datastoreItem>
</file>

<file path=customXml/itemProps5.xml><?xml version="1.0" encoding="utf-8"?>
<ds:datastoreItem xmlns:ds="http://schemas.openxmlformats.org/officeDocument/2006/customXml" ds:itemID="{1D5FCB11-814C-43AC-8AC0-16A41E531B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ED06D57-FF56-4BCD-8E2B-3C86335555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CE57D6-1C24-43FE-A621-120E6FDC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495</Words>
  <Characters>2632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Stevens</dc:creator>
  <cp:keywords/>
  <dc:description/>
  <cp:lastModifiedBy>Rachel Stevens</cp:lastModifiedBy>
  <cp:revision>50</cp:revision>
  <dcterms:created xsi:type="dcterms:W3CDTF">2024-10-25T03:26:00Z</dcterms:created>
  <dcterms:modified xsi:type="dcterms:W3CDTF">2026-01-07T03:40:00Z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0x010100F87D1D285B49384795D5279A90E5FF12</vt:lpwstr>
  </property>
  <property fmtid="{D5CDD505-2E9C-101B-9397-08002B2CF9AE}" pid="3" name="_dlc_DocIdItemGuid">
    <vt:lpwstr>7f0c1c07-170b-48b0-b15c-1132a53837ac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