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9938B" w14:textId="20E3BDEB" w:rsidR="00D45DC6" w:rsidRPr="00D45DC6" w:rsidRDefault="005A4D49" w:rsidP="00D45DC6">
      <w:pPr>
        <w:rPr>
          <w:rFonts w:cs="Arial"/>
        </w:rPr>
      </w:pPr>
      <w:r>
        <w:rPr>
          <w:rFonts w:cs="Arial"/>
          <w:noProof/>
        </w:rPr>
        <w:drawing>
          <wp:anchor distT="0" distB="0" distL="114300" distR="114300" simplePos="0" relativeHeight="251658240" behindDoc="1" locked="0" layoutInCell="1" allowOverlap="1" wp14:anchorId="5BF9A441" wp14:editId="58178BFC">
            <wp:simplePos x="0" y="0"/>
            <wp:positionH relativeFrom="column">
              <wp:posOffset>-890382</wp:posOffset>
            </wp:positionH>
            <wp:positionV relativeFrom="paragraph">
              <wp:posOffset>-144781</wp:posOffset>
            </wp:positionV>
            <wp:extent cx="7556361" cy="10681283"/>
            <wp:effectExtent l="0" t="0" r="635"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ultigenerational Workforce Guide 2019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623" cy="10716992"/>
                    </a:xfrm>
                    <a:prstGeom prst="rect">
                      <a:avLst/>
                    </a:prstGeom>
                  </pic:spPr>
                </pic:pic>
              </a:graphicData>
            </a:graphic>
            <wp14:sizeRelH relativeFrom="margin">
              <wp14:pctWidth>0</wp14:pctWidth>
            </wp14:sizeRelH>
            <wp14:sizeRelV relativeFrom="margin">
              <wp14:pctHeight>0</wp14:pctHeight>
            </wp14:sizeRelV>
          </wp:anchor>
        </w:drawing>
      </w:r>
    </w:p>
    <w:p w14:paraId="312088C8" w14:textId="77777777" w:rsidR="00D45DC6" w:rsidRPr="00D45DC6" w:rsidRDefault="00D45DC6" w:rsidP="00D45DC6">
      <w:pPr>
        <w:rPr>
          <w:rFonts w:cs="Arial"/>
        </w:rPr>
      </w:pPr>
    </w:p>
    <w:p w14:paraId="60EA2D0B" w14:textId="77777777" w:rsidR="00D45DC6" w:rsidRPr="00D45DC6" w:rsidRDefault="00D45DC6" w:rsidP="00D45DC6">
      <w:pPr>
        <w:rPr>
          <w:rFonts w:cs="Arial"/>
        </w:rPr>
      </w:pPr>
    </w:p>
    <w:p w14:paraId="27CE13F9" w14:textId="77777777" w:rsidR="00D45DC6" w:rsidRPr="00D45DC6" w:rsidRDefault="00D45DC6" w:rsidP="00D45DC6">
      <w:pPr>
        <w:rPr>
          <w:rFonts w:cs="Arial"/>
        </w:rPr>
      </w:pPr>
    </w:p>
    <w:p w14:paraId="7BEC359F" w14:textId="77777777" w:rsidR="00D45DC6" w:rsidRPr="00D45DC6" w:rsidRDefault="00D45DC6" w:rsidP="00D45DC6">
      <w:pPr>
        <w:rPr>
          <w:rFonts w:cs="Arial"/>
        </w:rPr>
      </w:pPr>
    </w:p>
    <w:p w14:paraId="147CE4FD" w14:textId="77777777" w:rsidR="00D45DC6" w:rsidRPr="00D45DC6" w:rsidRDefault="00D45DC6" w:rsidP="00D45DC6">
      <w:pPr>
        <w:rPr>
          <w:rFonts w:cs="Arial"/>
        </w:rPr>
      </w:pPr>
    </w:p>
    <w:p w14:paraId="6FA30DC2" w14:textId="77777777" w:rsidR="00D45DC6" w:rsidRPr="00D45DC6" w:rsidRDefault="00D45DC6" w:rsidP="00D45DC6">
      <w:pPr>
        <w:rPr>
          <w:rFonts w:cs="Arial"/>
        </w:rPr>
      </w:pPr>
    </w:p>
    <w:p w14:paraId="58930371" w14:textId="2BDD9B7E" w:rsidR="00D45DC6" w:rsidRPr="00D45DC6" w:rsidRDefault="00D45DC6" w:rsidP="00D45DC6">
      <w:pPr>
        <w:rPr>
          <w:rFonts w:cs="Arial"/>
        </w:rPr>
        <w:sectPr w:rsidR="00D45DC6" w:rsidRPr="00D45DC6" w:rsidSect="00B24B1D">
          <w:headerReference w:type="even" r:id="rId12"/>
          <w:headerReference w:type="default" r:id="rId13"/>
          <w:footerReference w:type="default" r:id="rId14"/>
          <w:footerReference w:type="first" r:id="rId15"/>
          <w:type w:val="continuous"/>
          <w:pgSz w:w="11906" w:h="16838" w:code="9"/>
          <w:pgMar w:top="228" w:right="1700" w:bottom="1134" w:left="1418" w:header="277" w:footer="415" w:gutter="0"/>
          <w:cols w:space="708"/>
          <w:titlePg/>
          <w:docGrid w:linePitch="360"/>
        </w:sectPr>
      </w:pPr>
    </w:p>
    <w:p w14:paraId="102D2BDE" w14:textId="6E50F741" w:rsidR="00D45DC6" w:rsidRPr="00951187" w:rsidRDefault="00D45DC6" w:rsidP="00951187">
      <w:pPr>
        <w:rPr>
          <w:sz w:val="20"/>
          <w:szCs w:val="20"/>
        </w:rPr>
      </w:pPr>
      <w:bookmarkStart w:id="0" w:name="_Toc207761829"/>
    </w:p>
    <w:p w14:paraId="18D115BE" w14:textId="77777777" w:rsidR="00951187" w:rsidRDefault="00951187" w:rsidP="00951187">
      <w:pPr>
        <w:rPr>
          <w:sz w:val="20"/>
          <w:szCs w:val="20"/>
          <w:highlight w:val="white"/>
        </w:rPr>
      </w:pPr>
    </w:p>
    <w:p w14:paraId="283BE062" w14:textId="77777777" w:rsidR="00951187" w:rsidRPr="004B3360" w:rsidRDefault="00951187" w:rsidP="00951187">
      <w:pPr>
        <w:rPr>
          <w:rFonts w:eastAsia="Arial"/>
          <w:sz w:val="20"/>
          <w:szCs w:val="20"/>
        </w:rPr>
      </w:pPr>
      <w:r w:rsidRPr="004B3360">
        <w:rPr>
          <w:sz w:val="20"/>
          <w:szCs w:val="20"/>
          <w:highlight w:val="white"/>
        </w:rPr>
        <w:t>©</w:t>
      </w:r>
      <w:r w:rsidRPr="004B3360">
        <w:rPr>
          <w:sz w:val="20"/>
          <w:szCs w:val="20"/>
        </w:rPr>
        <w:t xml:space="preserve"> Australian Human Rights Commission 2019.</w:t>
      </w:r>
    </w:p>
    <w:p w14:paraId="1C1BD896" w14:textId="77777777" w:rsidR="00951187" w:rsidRPr="00601FE6" w:rsidRDefault="00951187" w:rsidP="00951187">
      <w:pPr>
        <w:rPr>
          <w:bCs/>
          <w:color w:val="222222"/>
          <w:sz w:val="20"/>
          <w:szCs w:val="20"/>
        </w:rPr>
      </w:pPr>
      <w:r w:rsidRPr="004B3360">
        <w:rPr>
          <w:bCs/>
          <w:color w:val="222222"/>
          <w:sz w:val="20"/>
          <w:szCs w:val="20"/>
        </w:rPr>
        <w:t>The Australian Human Rights Commission encourages the dissemination and exchange of information presented in this publication</w:t>
      </w:r>
      <w:r w:rsidRPr="00601FE6">
        <w:rPr>
          <w:sz w:val="20"/>
          <w:szCs w:val="20"/>
          <w:highlight w:val="white"/>
        </w:rPr>
        <w:t>.</w:t>
      </w:r>
    </w:p>
    <w:p w14:paraId="7350A2D1" w14:textId="77777777" w:rsidR="00951187" w:rsidRPr="004B3360" w:rsidRDefault="00951187" w:rsidP="00951187">
      <w:pPr>
        <w:rPr>
          <w:rFonts w:eastAsia="Arial"/>
          <w:sz w:val="20"/>
          <w:szCs w:val="20"/>
        </w:rPr>
      </w:pPr>
      <w:r w:rsidRPr="004B3360">
        <w:rPr>
          <w:rFonts w:eastAsia="Arial"/>
          <w:noProof/>
          <w:sz w:val="20"/>
          <w:szCs w:val="20"/>
        </w:rPr>
        <w:drawing>
          <wp:inline distT="114300" distB="114300" distL="114300" distR="114300" wp14:anchorId="024B5FB0" wp14:editId="20A29045">
            <wp:extent cx="838200" cy="295275"/>
            <wp:effectExtent l="0" t="0" r="0" b="0"/>
            <wp:docPr id="5"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6"/>
                    <a:srcRect/>
                    <a:stretch>
                      <a:fillRect/>
                    </a:stretch>
                  </pic:blipFill>
                  <pic:spPr>
                    <a:xfrm>
                      <a:off x="0" y="0"/>
                      <a:ext cx="838200" cy="295275"/>
                    </a:xfrm>
                    <a:prstGeom prst="rect">
                      <a:avLst/>
                    </a:prstGeom>
                    <a:ln/>
                  </pic:spPr>
                </pic:pic>
              </a:graphicData>
            </a:graphic>
          </wp:inline>
        </w:drawing>
      </w:r>
    </w:p>
    <w:p w14:paraId="77833232" w14:textId="77777777" w:rsidR="00951187" w:rsidRPr="004B3360" w:rsidRDefault="00951187" w:rsidP="00951187">
      <w:pPr>
        <w:rPr>
          <w:sz w:val="20"/>
          <w:szCs w:val="20"/>
        </w:rPr>
      </w:pPr>
      <w:r w:rsidRPr="004B3360">
        <w:rPr>
          <w:sz w:val="20"/>
          <w:szCs w:val="20"/>
        </w:rPr>
        <w:t>All m</w:t>
      </w:r>
      <w:r w:rsidRPr="004B3360">
        <w:rPr>
          <w:color w:val="222222"/>
          <w:sz w:val="20"/>
          <w:szCs w:val="20"/>
        </w:rPr>
        <w:t xml:space="preserve">aterial </w:t>
      </w:r>
      <w:r w:rsidRPr="004B3360">
        <w:rPr>
          <w:sz w:val="20"/>
          <w:szCs w:val="20"/>
          <w:highlight w:val="white"/>
        </w:rPr>
        <w:t>presented in this publication is licensed under the</w:t>
      </w:r>
      <w:hyperlink r:id="rId17">
        <w:r w:rsidRPr="004B3360">
          <w:rPr>
            <w:sz w:val="20"/>
            <w:szCs w:val="20"/>
            <w:highlight w:val="white"/>
          </w:rPr>
          <w:t xml:space="preserve"> </w:t>
        </w:r>
      </w:hyperlink>
      <w:r w:rsidRPr="00601FE6">
        <w:rPr>
          <w:sz w:val="20"/>
          <w:szCs w:val="20"/>
          <w:highlight w:val="white"/>
        </w:rPr>
        <w:t>Creative Commons Attribution 4.0 International Licence</w:t>
      </w:r>
      <w:r w:rsidRPr="004B3360">
        <w:rPr>
          <w:sz w:val="20"/>
          <w:szCs w:val="20"/>
        </w:rPr>
        <w:t>, with the exception of:</w:t>
      </w:r>
    </w:p>
    <w:p w14:paraId="7F29952E" w14:textId="77777777" w:rsidR="00951187" w:rsidRPr="004B3360" w:rsidRDefault="00951187" w:rsidP="00951187">
      <w:pPr>
        <w:pStyle w:val="ListParagraph"/>
        <w:numPr>
          <w:ilvl w:val="0"/>
          <w:numId w:val="55"/>
        </w:numPr>
        <w:rPr>
          <w:rFonts w:eastAsia="Arial"/>
          <w:sz w:val="20"/>
          <w:szCs w:val="20"/>
        </w:rPr>
      </w:pPr>
      <w:r w:rsidRPr="004B3360">
        <w:rPr>
          <w:rFonts w:eastAsia="Arial"/>
          <w:sz w:val="20"/>
          <w:szCs w:val="20"/>
        </w:rPr>
        <w:t>photographs and images;</w:t>
      </w:r>
    </w:p>
    <w:p w14:paraId="794D1100" w14:textId="77777777" w:rsidR="00951187" w:rsidRPr="004B3360" w:rsidRDefault="00951187" w:rsidP="00951187">
      <w:pPr>
        <w:pStyle w:val="ListParagraph"/>
        <w:numPr>
          <w:ilvl w:val="0"/>
          <w:numId w:val="55"/>
        </w:numPr>
        <w:rPr>
          <w:rFonts w:eastAsia="Arial"/>
          <w:sz w:val="20"/>
          <w:szCs w:val="20"/>
        </w:rPr>
      </w:pPr>
      <w:r w:rsidRPr="004B3360">
        <w:rPr>
          <w:rFonts w:eastAsia="Arial"/>
          <w:sz w:val="20"/>
          <w:szCs w:val="20"/>
        </w:rPr>
        <w:t>the Commission’s logo, any branding or trademarks;</w:t>
      </w:r>
    </w:p>
    <w:p w14:paraId="1C92209E" w14:textId="77777777" w:rsidR="00951187" w:rsidRPr="004B3360" w:rsidRDefault="00951187" w:rsidP="00951187">
      <w:pPr>
        <w:pStyle w:val="ListParagraph"/>
        <w:numPr>
          <w:ilvl w:val="0"/>
          <w:numId w:val="55"/>
        </w:numPr>
        <w:rPr>
          <w:rFonts w:eastAsia="Arial"/>
          <w:sz w:val="20"/>
          <w:szCs w:val="20"/>
        </w:rPr>
      </w:pPr>
      <w:r w:rsidRPr="004B3360">
        <w:rPr>
          <w:rFonts w:eastAsia="Arial"/>
          <w:sz w:val="20"/>
          <w:szCs w:val="20"/>
        </w:rPr>
        <w:t xml:space="preserve">content or material provided by third parties; and </w:t>
      </w:r>
    </w:p>
    <w:p w14:paraId="2CFA0B5E" w14:textId="77777777" w:rsidR="00951187" w:rsidRPr="004B3360" w:rsidRDefault="00951187" w:rsidP="00951187">
      <w:pPr>
        <w:pStyle w:val="ListParagraph"/>
        <w:numPr>
          <w:ilvl w:val="0"/>
          <w:numId w:val="55"/>
        </w:numPr>
        <w:rPr>
          <w:rFonts w:eastAsia="Arial"/>
          <w:sz w:val="20"/>
          <w:szCs w:val="20"/>
        </w:rPr>
      </w:pPr>
      <w:r w:rsidRPr="004B3360">
        <w:rPr>
          <w:sz w:val="20"/>
          <w:szCs w:val="20"/>
        </w:rPr>
        <w:t xml:space="preserve">where otherwise indicated. </w:t>
      </w:r>
    </w:p>
    <w:p w14:paraId="0F92D0F2" w14:textId="77777777" w:rsidR="00951187" w:rsidRDefault="00951187" w:rsidP="00951187">
      <w:pPr>
        <w:rPr>
          <w:rFonts w:eastAsia="Arial"/>
          <w:sz w:val="20"/>
          <w:szCs w:val="20"/>
        </w:rPr>
      </w:pPr>
      <w:r w:rsidRPr="004B3360">
        <w:rPr>
          <w:rFonts w:eastAsia="Arial"/>
          <w:sz w:val="20"/>
          <w:szCs w:val="20"/>
        </w:rPr>
        <w:t xml:space="preserve">To view a copy of this licence, visit </w:t>
      </w:r>
      <w:hyperlink r:id="rId18" w:history="1">
        <w:r w:rsidRPr="00D45DC6">
          <w:rPr>
            <w:rStyle w:val="Hyperlink"/>
            <w:sz w:val="20"/>
            <w:szCs w:val="20"/>
          </w:rPr>
          <w:t>http://creativecommons.org/licenses/by/4.0/legalcode</w:t>
        </w:r>
      </w:hyperlink>
      <w:r>
        <w:rPr>
          <w:rFonts w:eastAsia="Arial"/>
          <w:sz w:val="20"/>
          <w:szCs w:val="20"/>
        </w:rPr>
        <w:t>.</w:t>
      </w:r>
    </w:p>
    <w:p w14:paraId="0E668572" w14:textId="77777777" w:rsidR="00951187" w:rsidRPr="004B3360" w:rsidRDefault="00951187" w:rsidP="00951187">
      <w:pPr>
        <w:rPr>
          <w:rFonts w:eastAsia="Arial"/>
          <w:sz w:val="20"/>
          <w:szCs w:val="20"/>
        </w:rPr>
      </w:pPr>
      <w:r w:rsidRPr="004B3360">
        <w:rPr>
          <w:rFonts w:eastAsia="Arial"/>
          <w:sz w:val="20"/>
          <w:szCs w:val="20"/>
        </w:rPr>
        <w:t>In essence, you are free to copy, communicate and adapt the publication, as long as you attribute the Australian Human Rights Commission and abide by the other licence terms.</w:t>
      </w:r>
    </w:p>
    <w:p w14:paraId="0E1A1C5E" w14:textId="77777777" w:rsidR="00951187" w:rsidRPr="00A52AB6" w:rsidRDefault="00951187" w:rsidP="00951187">
      <w:pPr>
        <w:rPr>
          <w:color w:val="222222"/>
          <w:sz w:val="20"/>
          <w:szCs w:val="20"/>
        </w:rPr>
      </w:pPr>
      <w:r w:rsidRPr="004B3360">
        <w:rPr>
          <w:b/>
          <w:color w:val="222222"/>
          <w:sz w:val="20"/>
          <w:szCs w:val="20"/>
          <w:highlight w:val="white"/>
        </w:rPr>
        <w:t>Please give attribution to</w:t>
      </w:r>
      <w:r w:rsidRPr="004B3360">
        <w:rPr>
          <w:b/>
          <w:color w:val="222222"/>
          <w:sz w:val="20"/>
          <w:szCs w:val="20"/>
        </w:rPr>
        <w:t>:</w:t>
      </w:r>
      <w:r w:rsidRPr="004B3360">
        <w:rPr>
          <w:color w:val="222222"/>
          <w:sz w:val="20"/>
          <w:szCs w:val="20"/>
        </w:rPr>
        <w:t xml:space="preserve"> </w:t>
      </w:r>
      <w:r w:rsidRPr="004B3360">
        <w:rPr>
          <w:sz w:val="20"/>
          <w:szCs w:val="20"/>
        </w:rPr>
        <w:t>© Australian Human Rights Commission 2019.</w:t>
      </w:r>
    </w:p>
    <w:p w14:paraId="1ABEED3C" w14:textId="77777777" w:rsidR="00951187" w:rsidRPr="00A52AB6" w:rsidRDefault="00951187" w:rsidP="00951187">
      <w:pPr>
        <w:rPr>
          <w:b/>
          <w:sz w:val="20"/>
          <w:szCs w:val="20"/>
        </w:rPr>
      </w:pPr>
      <w:r w:rsidRPr="00A52AB6">
        <w:rPr>
          <w:b/>
          <w:sz w:val="20"/>
          <w:szCs w:val="20"/>
        </w:rPr>
        <w:t>Multigenerational workforces</w:t>
      </w:r>
      <w:r>
        <w:rPr>
          <w:b/>
          <w:sz w:val="20"/>
          <w:szCs w:val="20"/>
        </w:rPr>
        <w:t xml:space="preserve">: </w:t>
      </w:r>
      <w:r w:rsidRPr="00A52AB6">
        <w:rPr>
          <w:b/>
          <w:sz w:val="20"/>
          <w:szCs w:val="20"/>
        </w:rPr>
        <w:t xml:space="preserve">a guide to the rights of older workers under the </w:t>
      </w:r>
      <w:r>
        <w:rPr>
          <w:b/>
          <w:sz w:val="20"/>
          <w:szCs w:val="20"/>
        </w:rPr>
        <w:br/>
      </w:r>
      <w:r w:rsidRPr="00A52AB6">
        <w:rPr>
          <w:b/>
          <w:i/>
          <w:sz w:val="20"/>
          <w:szCs w:val="20"/>
        </w:rPr>
        <w:t>Age Discrimination Act 2004</w:t>
      </w:r>
      <w:r w:rsidRPr="00A52AB6">
        <w:rPr>
          <w:b/>
          <w:sz w:val="20"/>
          <w:szCs w:val="20"/>
        </w:rPr>
        <w:t xml:space="preserve"> (</w:t>
      </w:r>
      <w:proofErr w:type="spellStart"/>
      <w:r w:rsidRPr="00A52AB6">
        <w:rPr>
          <w:b/>
          <w:sz w:val="20"/>
          <w:szCs w:val="20"/>
        </w:rPr>
        <w:t>Cth</w:t>
      </w:r>
      <w:proofErr w:type="spellEnd"/>
      <w:r w:rsidRPr="00A52AB6">
        <w:rPr>
          <w:b/>
          <w:sz w:val="20"/>
          <w:szCs w:val="20"/>
        </w:rPr>
        <w:t>)</w:t>
      </w:r>
    </w:p>
    <w:p w14:paraId="299FDB48" w14:textId="77777777" w:rsidR="00951187" w:rsidRPr="004B3360" w:rsidRDefault="00951187" w:rsidP="00951187">
      <w:pPr>
        <w:rPr>
          <w:sz w:val="20"/>
          <w:szCs w:val="20"/>
        </w:rPr>
      </w:pPr>
      <w:r w:rsidRPr="004B3360">
        <w:rPr>
          <w:sz w:val="20"/>
          <w:szCs w:val="20"/>
        </w:rPr>
        <w:t>ISBN 978-1-925917-07-9</w:t>
      </w:r>
    </w:p>
    <w:p w14:paraId="74AC33BE" w14:textId="77777777" w:rsidR="00951187" w:rsidRPr="00D45DC6" w:rsidRDefault="00951187" w:rsidP="00951187">
      <w:pPr>
        <w:rPr>
          <w:sz w:val="20"/>
          <w:szCs w:val="20"/>
        </w:rPr>
      </w:pPr>
      <w:r w:rsidRPr="004B3360">
        <w:rPr>
          <w:sz w:val="20"/>
          <w:szCs w:val="20"/>
        </w:rPr>
        <w:t>This publication can be found in electronic format on the Australian Human Rights Commission’s website at</w:t>
      </w:r>
      <w:r>
        <w:rPr>
          <w:sz w:val="20"/>
          <w:szCs w:val="20"/>
        </w:rPr>
        <w:t xml:space="preserve"> </w:t>
      </w:r>
      <w:hyperlink r:id="rId19" w:history="1">
        <w:r w:rsidRPr="00D45DC6">
          <w:rPr>
            <w:rStyle w:val="Hyperlink"/>
            <w:sz w:val="20"/>
            <w:szCs w:val="20"/>
          </w:rPr>
          <w:t>https://www.humanrights.gov.au/our-work/publications</w:t>
        </w:r>
      </w:hyperlink>
      <w:r>
        <w:rPr>
          <w:sz w:val="20"/>
          <w:szCs w:val="20"/>
        </w:rPr>
        <w:t>.</w:t>
      </w:r>
    </w:p>
    <w:p w14:paraId="0D49F105" w14:textId="77777777" w:rsidR="00951187" w:rsidRPr="004B3360" w:rsidRDefault="00951187" w:rsidP="00951187">
      <w:pPr>
        <w:rPr>
          <w:sz w:val="20"/>
          <w:szCs w:val="20"/>
        </w:rPr>
      </w:pPr>
      <w:r w:rsidRPr="004B3360">
        <w:rPr>
          <w:sz w:val="20"/>
          <w:szCs w:val="20"/>
          <w:highlight w:val="white"/>
        </w:rPr>
        <w:t xml:space="preserve">For further information about </w:t>
      </w:r>
      <w:r w:rsidRPr="004B3360">
        <w:rPr>
          <w:sz w:val="20"/>
          <w:szCs w:val="20"/>
        </w:rPr>
        <w:t>the Australian Human Rights Commission or copyright in this publication, please contact:</w:t>
      </w:r>
    </w:p>
    <w:p w14:paraId="68AFFCFE" w14:textId="77777777" w:rsidR="00951187" w:rsidRPr="004B3360" w:rsidRDefault="00951187" w:rsidP="00951187">
      <w:pPr>
        <w:spacing w:before="0" w:after="0"/>
        <w:rPr>
          <w:rFonts w:eastAsia="Arial"/>
          <w:sz w:val="20"/>
          <w:szCs w:val="20"/>
        </w:rPr>
      </w:pPr>
      <w:r w:rsidRPr="004B3360">
        <w:rPr>
          <w:rFonts w:eastAsia="Arial"/>
          <w:sz w:val="20"/>
          <w:szCs w:val="20"/>
        </w:rPr>
        <w:t>Australian Human Rights Commission</w:t>
      </w:r>
    </w:p>
    <w:p w14:paraId="4289949C" w14:textId="77777777" w:rsidR="00951187" w:rsidRPr="004B3360" w:rsidRDefault="00951187" w:rsidP="00951187">
      <w:pPr>
        <w:spacing w:before="0" w:after="0"/>
        <w:rPr>
          <w:rFonts w:eastAsia="Arial"/>
          <w:sz w:val="20"/>
          <w:szCs w:val="20"/>
        </w:rPr>
      </w:pPr>
      <w:r w:rsidRPr="004B3360">
        <w:rPr>
          <w:rFonts w:eastAsia="Arial"/>
          <w:sz w:val="20"/>
          <w:szCs w:val="20"/>
        </w:rPr>
        <w:t>GPO Box 5218</w:t>
      </w:r>
    </w:p>
    <w:p w14:paraId="3316F393" w14:textId="77777777" w:rsidR="00951187" w:rsidRPr="004B3360" w:rsidRDefault="00951187" w:rsidP="00951187">
      <w:pPr>
        <w:spacing w:before="0" w:after="0"/>
        <w:rPr>
          <w:rFonts w:eastAsia="Arial"/>
          <w:sz w:val="20"/>
          <w:szCs w:val="20"/>
        </w:rPr>
      </w:pPr>
      <w:r w:rsidRPr="004B3360">
        <w:rPr>
          <w:rFonts w:eastAsia="Arial"/>
          <w:sz w:val="20"/>
          <w:szCs w:val="20"/>
        </w:rPr>
        <w:t>SYDNEY NSW 2001</w:t>
      </w:r>
    </w:p>
    <w:p w14:paraId="128B0C25" w14:textId="77777777" w:rsidR="00951187" w:rsidRPr="004B3360" w:rsidRDefault="00951187" w:rsidP="00951187">
      <w:pPr>
        <w:spacing w:before="0" w:after="0"/>
        <w:rPr>
          <w:rFonts w:eastAsia="Arial"/>
          <w:sz w:val="20"/>
          <w:szCs w:val="20"/>
        </w:rPr>
      </w:pPr>
      <w:r w:rsidRPr="004B3360">
        <w:rPr>
          <w:rFonts w:eastAsia="Arial"/>
          <w:sz w:val="20"/>
          <w:szCs w:val="20"/>
        </w:rPr>
        <w:t>Telephone: (02) 9284 9600</w:t>
      </w:r>
    </w:p>
    <w:p w14:paraId="7B5DB4B0" w14:textId="77777777" w:rsidR="00951187" w:rsidRPr="004B3360" w:rsidRDefault="00951187" w:rsidP="00951187">
      <w:pPr>
        <w:spacing w:before="0"/>
        <w:rPr>
          <w:rFonts w:eastAsia="Arial"/>
          <w:color w:val="0563C1"/>
          <w:sz w:val="20"/>
          <w:szCs w:val="20"/>
          <w:u w:val="single"/>
        </w:rPr>
      </w:pPr>
      <w:r w:rsidRPr="004B3360">
        <w:rPr>
          <w:rFonts w:eastAsia="Arial"/>
          <w:sz w:val="20"/>
          <w:szCs w:val="20"/>
        </w:rPr>
        <w:t xml:space="preserve">Email: </w:t>
      </w:r>
      <w:hyperlink r:id="rId20" w:history="1">
        <w:r w:rsidRPr="00ED2FD4">
          <w:rPr>
            <w:rStyle w:val="Hyperlink"/>
            <w:sz w:val="20"/>
            <w:szCs w:val="20"/>
          </w:rPr>
          <w:t>communications@humanrights.gov.au</w:t>
        </w:r>
      </w:hyperlink>
    </w:p>
    <w:p w14:paraId="54E9CE8E" w14:textId="77777777" w:rsidR="00951187" w:rsidRPr="004B3360" w:rsidRDefault="00951187" w:rsidP="00951187">
      <w:pPr>
        <w:spacing w:after="0"/>
        <w:rPr>
          <w:rFonts w:eastAsia="Arial"/>
          <w:sz w:val="20"/>
          <w:szCs w:val="20"/>
        </w:rPr>
      </w:pPr>
      <w:r w:rsidRPr="004B3360">
        <w:rPr>
          <w:rFonts w:eastAsia="Arial"/>
          <w:b/>
          <w:sz w:val="20"/>
          <w:szCs w:val="20"/>
        </w:rPr>
        <w:t>Design and layout</w:t>
      </w:r>
      <w:r w:rsidRPr="004B3360">
        <w:rPr>
          <w:rFonts w:eastAsia="Arial"/>
          <w:sz w:val="20"/>
          <w:szCs w:val="20"/>
        </w:rPr>
        <w:t xml:space="preserve"> </w:t>
      </w:r>
      <w:r w:rsidRPr="00601FE6">
        <w:rPr>
          <w:rFonts w:eastAsia="Arial"/>
          <w:sz w:val="20"/>
          <w:szCs w:val="20"/>
        </w:rPr>
        <w:t>Dancingirl Designs</w:t>
      </w:r>
    </w:p>
    <w:p w14:paraId="28A5F8ED" w14:textId="4D63A247" w:rsidR="00951187" w:rsidRPr="004B3360" w:rsidRDefault="00951187" w:rsidP="00951187">
      <w:pPr>
        <w:spacing w:before="0"/>
        <w:rPr>
          <w:rFonts w:eastAsia="Arial"/>
          <w:sz w:val="20"/>
          <w:szCs w:val="20"/>
        </w:rPr>
      </w:pPr>
      <w:r w:rsidRPr="004B3360">
        <w:rPr>
          <w:rFonts w:eastAsia="Arial"/>
          <w:b/>
          <w:sz w:val="20"/>
          <w:szCs w:val="20"/>
        </w:rPr>
        <w:t>Cover image and internal photography</w:t>
      </w:r>
      <w:r w:rsidRPr="004B3360">
        <w:rPr>
          <w:rFonts w:eastAsia="Arial"/>
          <w:sz w:val="20"/>
          <w:szCs w:val="20"/>
        </w:rPr>
        <w:t xml:space="preserve"> </w:t>
      </w:r>
      <w:r w:rsidRPr="002B5E5B">
        <w:rPr>
          <w:rFonts w:eastAsia="Arial"/>
          <w:sz w:val="20"/>
          <w:szCs w:val="20"/>
        </w:rPr>
        <w:t>iStock,</w:t>
      </w:r>
      <w:r w:rsidRPr="004B3360">
        <w:rPr>
          <w:rFonts w:eastAsia="Arial"/>
          <w:sz w:val="20"/>
          <w:szCs w:val="20"/>
        </w:rPr>
        <w:t xml:space="preserve"> </w:t>
      </w:r>
      <w:r>
        <w:rPr>
          <w:rFonts w:eastAsia="Arial"/>
          <w:sz w:val="20"/>
          <w:szCs w:val="20"/>
        </w:rPr>
        <w:t>Adobe Stock</w:t>
      </w:r>
    </w:p>
    <w:p w14:paraId="332A7D50" w14:textId="77111411" w:rsidR="00951187" w:rsidRDefault="00951187">
      <w:pPr>
        <w:keepLines w:val="0"/>
        <w:spacing w:before="0" w:after="0"/>
        <w:rPr>
          <w:rFonts w:cs="Open Sans"/>
          <w:b/>
        </w:rPr>
      </w:pPr>
      <w:r>
        <w:rPr>
          <w:rFonts w:cs="Open Sans"/>
          <w:b/>
        </w:rPr>
        <w:br w:type="page"/>
      </w:r>
    </w:p>
    <w:p w14:paraId="7D1F2587" w14:textId="77777777" w:rsidR="00951187" w:rsidRDefault="00951187" w:rsidP="00BA67F1">
      <w:pPr>
        <w:rPr>
          <w:rFonts w:cs="Open Sans"/>
          <w:b/>
        </w:rPr>
      </w:pPr>
    </w:p>
    <w:p w14:paraId="64282A0C" w14:textId="421BFE92" w:rsidR="00C30784" w:rsidRPr="00DC779D" w:rsidRDefault="00B63D24" w:rsidP="00BA67F1">
      <w:pPr>
        <w:rPr>
          <w:rFonts w:cs="Open Sans"/>
          <w:b/>
          <w:sz w:val="36"/>
          <w:szCs w:val="36"/>
        </w:rPr>
      </w:pPr>
      <w:r w:rsidRPr="00DC779D">
        <w:rPr>
          <w:rFonts w:cs="Open Sans"/>
          <w:b/>
          <w:sz w:val="36"/>
          <w:szCs w:val="36"/>
        </w:rPr>
        <w:t>Contents</w:t>
      </w:r>
      <w:bookmarkEnd w:id="0"/>
    </w:p>
    <w:p w14:paraId="2F0B2F21" w14:textId="54B1304E" w:rsidR="00F51505" w:rsidRDefault="00B22B39">
      <w:pPr>
        <w:pStyle w:val="TOC1"/>
        <w:rPr>
          <w:rFonts w:asciiTheme="minorHAnsi" w:eastAsiaTheme="minorEastAsia" w:hAnsiTheme="minorHAnsi" w:cstheme="minorBidi"/>
          <w:b w:val="0"/>
          <w:szCs w:val="22"/>
        </w:rPr>
      </w:pPr>
      <w:r w:rsidRPr="0003202B">
        <w:rPr>
          <w:rFonts w:cs="Open Sans"/>
          <w:sz w:val="24"/>
        </w:rPr>
        <w:fldChar w:fldCharType="begin"/>
      </w:r>
      <w:r w:rsidRPr="0003202B">
        <w:rPr>
          <w:rFonts w:cs="Open Sans"/>
          <w:sz w:val="24"/>
        </w:rPr>
        <w:instrText xml:space="preserve"> TOC \o "1-2" \h \z \u </w:instrText>
      </w:r>
      <w:r w:rsidRPr="0003202B">
        <w:rPr>
          <w:rFonts w:cs="Open Sans"/>
          <w:sz w:val="24"/>
        </w:rPr>
        <w:fldChar w:fldCharType="separate"/>
      </w:r>
      <w:hyperlink w:anchor="_Toc14338755" w:history="1">
        <w:r w:rsidR="00F51505" w:rsidRPr="007F6D46">
          <w:rPr>
            <w:rStyle w:val="Hyperlink"/>
          </w:rPr>
          <w:t>1</w:t>
        </w:r>
        <w:r w:rsidR="00F51505">
          <w:rPr>
            <w:rFonts w:asciiTheme="minorHAnsi" w:eastAsiaTheme="minorEastAsia" w:hAnsiTheme="minorHAnsi" w:cstheme="minorBidi"/>
            <w:b w:val="0"/>
            <w:szCs w:val="22"/>
          </w:rPr>
          <w:tab/>
        </w:r>
        <w:r w:rsidR="00F51505" w:rsidRPr="007F6D46">
          <w:rPr>
            <w:rStyle w:val="Hyperlink"/>
          </w:rPr>
          <w:t>Introduction</w:t>
        </w:r>
        <w:r w:rsidR="00F51505">
          <w:rPr>
            <w:webHidden/>
          </w:rPr>
          <w:tab/>
        </w:r>
        <w:r w:rsidR="00F51505">
          <w:rPr>
            <w:webHidden/>
          </w:rPr>
          <w:fldChar w:fldCharType="begin"/>
        </w:r>
        <w:r w:rsidR="00F51505">
          <w:rPr>
            <w:webHidden/>
          </w:rPr>
          <w:instrText xml:space="preserve"> PAGEREF _Toc14338755 \h </w:instrText>
        </w:r>
        <w:r w:rsidR="00F51505">
          <w:rPr>
            <w:webHidden/>
          </w:rPr>
        </w:r>
        <w:r w:rsidR="00F51505">
          <w:rPr>
            <w:webHidden/>
          </w:rPr>
          <w:fldChar w:fldCharType="separate"/>
        </w:r>
        <w:r w:rsidR="00DB709A">
          <w:rPr>
            <w:webHidden/>
          </w:rPr>
          <w:t>5</w:t>
        </w:r>
        <w:r w:rsidR="00F51505">
          <w:rPr>
            <w:webHidden/>
          </w:rPr>
          <w:fldChar w:fldCharType="end"/>
        </w:r>
      </w:hyperlink>
    </w:p>
    <w:p w14:paraId="5B1BC14E" w14:textId="19915F39" w:rsidR="00F51505" w:rsidRDefault="00F51505">
      <w:pPr>
        <w:pStyle w:val="TOC1"/>
        <w:rPr>
          <w:rFonts w:asciiTheme="minorHAnsi" w:eastAsiaTheme="minorEastAsia" w:hAnsiTheme="minorHAnsi" w:cstheme="minorBidi"/>
          <w:b w:val="0"/>
          <w:szCs w:val="22"/>
        </w:rPr>
      </w:pPr>
      <w:hyperlink w:anchor="_Toc14338756" w:history="1">
        <w:r w:rsidRPr="007F6D46">
          <w:rPr>
            <w:rStyle w:val="Hyperlink"/>
          </w:rPr>
          <w:t>2</w:t>
        </w:r>
        <w:r>
          <w:rPr>
            <w:rFonts w:asciiTheme="minorHAnsi" w:eastAsiaTheme="minorEastAsia" w:hAnsiTheme="minorHAnsi" w:cstheme="minorBidi"/>
            <w:b w:val="0"/>
            <w:szCs w:val="22"/>
          </w:rPr>
          <w:tab/>
        </w:r>
        <w:r w:rsidRPr="007F6D46">
          <w:rPr>
            <w:rStyle w:val="Hyperlink"/>
          </w:rPr>
          <w:t>What does the law say?</w:t>
        </w:r>
        <w:r>
          <w:rPr>
            <w:webHidden/>
          </w:rPr>
          <w:tab/>
        </w:r>
        <w:r>
          <w:rPr>
            <w:webHidden/>
          </w:rPr>
          <w:fldChar w:fldCharType="begin"/>
        </w:r>
        <w:r>
          <w:rPr>
            <w:webHidden/>
          </w:rPr>
          <w:instrText xml:space="preserve"> PAGEREF _Toc14338756 \h </w:instrText>
        </w:r>
        <w:r>
          <w:rPr>
            <w:webHidden/>
          </w:rPr>
        </w:r>
        <w:r>
          <w:rPr>
            <w:webHidden/>
          </w:rPr>
          <w:fldChar w:fldCharType="separate"/>
        </w:r>
        <w:r w:rsidR="00DB709A">
          <w:rPr>
            <w:webHidden/>
          </w:rPr>
          <w:t>7</w:t>
        </w:r>
        <w:r>
          <w:rPr>
            <w:webHidden/>
          </w:rPr>
          <w:fldChar w:fldCharType="end"/>
        </w:r>
      </w:hyperlink>
    </w:p>
    <w:p w14:paraId="52D3BE07" w14:textId="642B6CDE" w:rsidR="00F51505" w:rsidRDefault="00F51505">
      <w:pPr>
        <w:pStyle w:val="TOC2"/>
        <w:tabs>
          <w:tab w:val="left" w:pos="1440"/>
        </w:tabs>
        <w:rPr>
          <w:rFonts w:asciiTheme="minorHAnsi" w:eastAsiaTheme="minorEastAsia" w:hAnsiTheme="minorHAnsi" w:cstheme="minorBidi"/>
          <w:b w:val="0"/>
          <w:szCs w:val="22"/>
        </w:rPr>
      </w:pPr>
      <w:hyperlink w:anchor="_Toc14338757" w:history="1">
        <w:r w:rsidRPr="007F6D46">
          <w:rPr>
            <w:rStyle w:val="Hyperlink"/>
          </w:rPr>
          <w:t>2.1</w:t>
        </w:r>
        <w:r>
          <w:rPr>
            <w:rFonts w:asciiTheme="minorHAnsi" w:eastAsiaTheme="minorEastAsia" w:hAnsiTheme="minorHAnsi" w:cstheme="minorBidi"/>
            <w:b w:val="0"/>
            <w:szCs w:val="22"/>
          </w:rPr>
          <w:tab/>
        </w:r>
        <w:r w:rsidRPr="007F6D46">
          <w:rPr>
            <w:rStyle w:val="Hyperlink"/>
          </w:rPr>
          <w:t>What is discrimination on the basis of age?</w:t>
        </w:r>
        <w:r>
          <w:rPr>
            <w:webHidden/>
          </w:rPr>
          <w:tab/>
        </w:r>
        <w:r>
          <w:rPr>
            <w:webHidden/>
          </w:rPr>
          <w:fldChar w:fldCharType="begin"/>
        </w:r>
        <w:r>
          <w:rPr>
            <w:webHidden/>
          </w:rPr>
          <w:instrText xml:space="preserve"> PAGEREF _Toc14338757 \h </w:instrText>
        </w:r>
        <w:r>
          <w:rPr>
            <w:webHidden/>
          </w:rPr>
        </w:r>
        <w:r>
          <w:rPr>
            <w:webHidden/>
          </w:rPr>
          <w:fldChar w:fldCharType="separate"/>
        </w:r>
        <w:r w:rsidR="00DB709A">
          <w:rPr>
            <w:webHidden/>
          </w:rPr>
          <w:t>7</w:t>
        </w:r>
        <w:r>
          <w:rPr>
            <w:webHidden/>
          </w:rPr>
          <w:fldChar w:fldCharType="end"/>
        </w:r>
      </w:hyperlink>
    </w:p>
    <w:p w14:paraId="202DF394" w14:textId="20444FC0" w:rsidR="00F51505" w:rsidRDefault="00F51505">
      <w:pPr>
        <w:pStyle w:val="TOC2"/>
        <w:tabs>
          <w:tab w:val="left" w:pos="1440"/>
        </w:tabs>
        <w:rPr>
          <w:rFonts w:asciiTheme="minorHAnsi" w:eastAsiaTheme="minorEastAsia" w:hAnsiTheme="minorHAnsi" w:cstheme="minorBidi"/>
          <w:b w:val="0"/>
          <w:szCs w:val="22"/>
        </w:rPr>
      </w:pPr>
      <w:hyperlink w:anchor="_Toc14338758" w:history="1">
        <w:r w:rsidRPr="007F6D46">
          <w:rPr>
            <w:rStyle w:val="Hyperlink"/>
          </w:rPr>
          <w:t>2.2</w:t>
        </w:r>
        <w:r>
          <w:rPr>
            <w:rFonts w:asciiTheme="minorHAnsi" w:eastAsiaTheme="minorEastAsia" w:hAnsiTheme="minorHAnsi" w:cstheme="minorBidi"/>
            <w:b w:val="0"/>
            <w:szCs w:val="22"/>
          </w:rPr>
          <w:tab/>
        </w:r>
        <w:r w:rsidRPr="007F6D46">
          <w:rPr>
            <w:rStyle w:val="Hyperlink"/>
          </w:rPr>
          <w:t>When is it unlawful to discriminate in a work context?</w:t>
        </w:r>
        <w:r>
          <w:rPr>
            <w:webHidden/>
          </w:rPr>
          <w:tab/>
        </w:r>
        <w:r>
          <w:rPr>
            <w:webHidden/>
          </w:rPr>
          <w:fldChar w:fldCharType="begin"/>
        </w:r>
        <w:r>
          <w:rPr>
            <w:webHidden/>
          </w:rPr>
          <w:instrText xml:space="preserve"> PAGEREF _Toc14338758 \h </w:instrText>
        </w:r>
        <w:r>
          <w:rPr>
            <w:webHidden/>
          </w:rPr>
        </w:r>
        <w:r>
          <w:rPr>
            <w:webHidden/>
          </w:rPr>
          <w:fldChar w:fldCharType="separate"/>
        </w:r>
        <w:r w:rsidR="00DB709A">
          <w:rPr>
            <w:webHidden/>
          </w:rPr>
          <w:t>9</w:t>
        </w:r>
        <w:r>
          <w:rPr>
            <w:webHidden/>
          </w:rPr>
          <w:fldChar w:fldCharType="end"/>
        </w:r>
      </w:hyperlink>
    </w:p>
    <w:p w14:paraId="1DE630DC" w14:textId="59EE5241" w:rsidR="00F51505" w:rsidRDefault="00F51505">
      <w:pPr>
        <w:pStyle w:val="TOC2"/>
        <w:tabs>
          <w:tab w:val="left" w:pos="1440"/>
        </w:tabs>
        <w:rPr>
          <w:rFonts w:asciiTheme="minorHAnsi" w:eastAsiaTheme="minorEastAsia" w:hAnsiTheme="minorHAnsi" w:cstheme="minorBidi"/>
          <w:b w:val="0"/>
          <w:szCs w:val="22"/>
        </w:rPr>
      </w:pPr>
      <w:hyperlink w:anchor="_Toc14338759" w:history="1">
        <w:r w:rsidRPr="007F6D46">
          <w:rPr>
            <w:rStyle w:val="Hyperlink"/>
          </w:rPr>
          <w:t>2.3</w:t>
        </w:r>
        <w:r>
          <w:rPr>
            <w:rFonts w:asciiTheme="minorHAnsi" w:eastAsiaTheme="minorEastAsia" w:hAnsiTheme="minorHAnsi" w:cstheme="minorBidi"/>
            <w:b w:val="0"/>
            <w:szCs w:val="22"/>
          </w:rPr>
          <w:tab/>
        </w:r>
        <w:r w:rsidRPr="007F6D46">
          <w:rPr>
            <w:rStyle w:val="Hyperlink"/>
          </w:rPr>
          <w:t>When is discrimination allowed?</w:t>
        </w:r>
        <w:r>
          <w:rPr>
            <w:webHidden/>
          </w:rPr>
          <w:tab/>
        </w:r>
        <w:r>
          <w:rPr>
            <w:webHidden/>
          </w:rPr>
          <w:fldChar w:fldCharType="begin"/>
        </w:r>
        <w:r>
          <w:rPr>
            <w:webHidden/>
          </w:rPr>
          <w:instrText xml:space="preserve"> PAGEREF _Toc14338759 \h </w:instrText>
        </w:r>
        <w:r>
          <w:rPr>
            <w:webHidden/>
          </w:rPr>
        </w:r>
        <w:r>
          <w:rPr>
            <w:webHidden/>
          </w:rPr>
          <w:fldChar w:fldCharType="separate"/>
        </w:r>
        <w:r w:rsidR="00DB709A">
          <w:rPr>
            <w:webHidden/>
          </w:rPr>
          <w:t>17</w:t>
        </w:r>
        <w:r>
          <w:rPr>
            <w:webHidden/>
          </w:rPr>
          <w:fldChar w:fldCharType="end"/>
        </w:r>
      </w:hyperlink>
    </w:p>
    <w:p w14:paraId="22ED3553" w14:textId="099EEE3B" w:rsidR="00F51505" w:rsidRDefault="00F51505">
      <w:pPr>
        <w:pStyle w:val="TOC2"/>
        <w:tabs>
          <w:tab w:val="left" w:pos="1440"/>
        </w:tabs>
        <w:rPr>
          <w:rFonts w:asciiTheme="minorHAnsi" w:eastAsiaTheme="minorEastAsia" w:hAnsiTheme="minorHAnsi" w:cstheme="minorBidi"/>
          <w:b w:val="0"/>
          <w:szCs w:val="22"/>
        </w:rPr>
      </w:pPr>
      <w:hyperlink w:anchor="_Toc14338760" w:history="1">
        <w:r w:rsidRPr="007F6D46">
          <w:rPr>
            <w:rStyle w:val="Hyperlink"/>
          </w:rPr>
          <w:t>2.4</w:t>
        </w:r>
        <w:r>
          <w:rPr>
            <w:rFonts w:asciiTheme="minorHAnsi" w:eastAsiaTheme="minorEastAsia" w:hAnsiTheme="minorHAnsi" w:cstheme="minorBidi"/>
            <w:b w:val="0"/>
            <w:szCs w:val="22"/>
          </w:rPr>
          <w:tab/>
        </w:r>
        <w:r w:rsidRPr="007F6D46">
          <w:rPr>
            <w:rStyle w:val="Hyperlink"/>
          </w:rPr>
          <w:t>What constitutes an offence?</w:t>
        </w:r>
        <w:r>
          <w:rPr>
            <w:webHidden/>
          </w:rPr>
          <w:tab/>
        </w:r>
        <w:r>
          <w:rPr>
            <w:webHidden/>
          </w:rPr>
          <w:fldChar w:fldCharType="begin"/>
        </w:r>
        <w:r>
          <w:rPr>
            <w:webHidden/>
          </w:rPr>
          <w:instrText xml:space="preserve"> PAGEREF _Toc14338760 \h </w:instrText>
        </w:r>
        <w:r>
          <w:rPr>
            <w:webHidden/>
          </w:rPr>
        </w:r>
        <w:r>
          <w:rPr>
            <w:webHidden/>
          </w:rPr>
          <w:fldChar w:fldCharType="separate"/>
        </w:r>
        <w:r w:rsidR="00DB709A">
          <w:rPr>
            <w:webHidden/>
          </w:rPr>
          <w:t>18</w:t>
        </w:r>
        <w:r>
          <w:rPr>
            <w:webHidden/>
          </w:rPr>
          <w:fldChar w:fldCharType="end"/>
        </w:r>
      </w:hyperlink>
    </w:p>
    <w:p w14:paraId="01237CFC" w14:textId="191206EC" w:rsidR="00F51505" w:rsidRDefault="00F51505">
      <w:pPr>
        <w:pStyle w:val="TOC2"/>
        <w:tabs>
          <w:tab w:val="left" w:pos="1440"/>
        </w:tabs>
        <w:rPr>
          <w:rFonts w:asciiTheme="minorHAnsi" w:eastAsiaTheme="minorEastAsia" w:hAnsiTheme="minorHAnsi" w:cstheme="minorBidi"/>
          <w:b w:val="0"/>
          <w:szCs w:val="22"/>
        </w:rPr>
      </w:pPr>
      <w:hyperlink w:anchor="_Toc14338761" w:history="1">
        <w:r w:rsidRPr="007F6D46">
          <w:rPr>
            <w:rStyle w:val="Hyperlink"/>
          </w:rPr>
          <w:t>2.5</w:t>
        </w:r>
        <w:r>
          <w:rPr>
            <w:rFonts w:asciiTheme="minorHAnsi" w:eastAsiaTheme="minorEastAsia" w:hAnsiTheme="minorHAnsi" w:cstheme="minorBidi"/>
            <w:b w:val="0"/>
            <w:szCs w:val="22"/>
          </w:rPr>
          <w:tab/>
        </w:r>
        <w:r w:rsidRPr="007F6D46">
          <w:rPr>
            <w:rStyle w:val="Hyperlink"/>
          </w:rPr>
          <w:t>Who is legally responsible for discrimination under the Act?</w:t>
        </w:r>
        <w:r>
          <w:rPr>
            <w:webHidden/>
          </w:rPr>
          <w:tab/>
        </w:r>
        <w:r>
          <w:rPr>
            <w:webHidden/>
          </w:rPr>
          <w:fldChar w:fldCharType="begin"/>
        </w:r>
        <w:r>
          <w:rPr>
            <w:webHidden/>
          </w:rPr>
          <w:instrText xml:space="preserve"> PAGEREF _Toc14338761 \h </w:instrText>
        </w:r>
        <w:r>
          <w:rPr>
            <w:webHidden/>
          </w:rPr>
        </w:r>
        <w:r>
          <w:rPr>
            <w:webHidden/>
          </w:rPr>
          <w:fldChar w:fldCharType="separate"/>
        </w:r>
        <w:r w:rsidR="00DB709A">
          <w:rPr>
            <w:webHidden/>
          </w:rPr>
          <w:t>19</w:t>
        </w:r>
        <w:r>
          <w:rPr>
            <w:webHidden/>
          </w:rPr>
          <w:fldChar w:fldCharType="end"/>
        </w:r>
      </w:hyperlink>
    </w:p>
    <w:p w14:paraId="497E7C21" w14:textId="1A3A9787" w:rsidR="00F51505" w:rsidRDefault="00F51505">
      <w:pPr>
        <w:pStyle w:val="TOC1"/>
        <w:rPr>
          <w:rFonts w:asciiTheme="minorHAnsi" w:eastAsiaTheme="minorEastAsia" w:hAnsiTheme="minorHAnsi" w:cstheme="minorBidi"/>
          <w:b w:val="0"/>
          <w:szCs w:val="22"/>
        </w:rPr>
      </w:pPr>
      <w:hyperlink w:anchor="_Toc14338762" w:history="1">
        <w:r w:rsidRPr="007F6D46">
          <w:rPr>
            <w:rStyle w:val="Hyperlink"/>
          </w:rPr>
          <w:t>3</w:t>
        </w:r>
        <w:r>
          <w:rPr>
            <w:rFonts w:asciiTheme="minorHAnsi" w:eastAsiaTheme="minorEastAsia" w:hAnsiTheme="minorHAnsi" w:cstheme="minorBidi"/>
            <w:b w:val="0"/>
            <w:szCs w:val="22"/>
          </w:rPr>
          <w:tab/>
        </w:r>
        <w:r w:rsidRPr="007F6D46">
          <w:rPr>
            <w:rStyle w:val="Hyperlink"/>
          </w:rPr>
          <w:t>How can workplaces promote the inclusion and value of older workers?</w:t>
        </w:r>
        <w:r>
          <w:rPr>
            <w:webHidden/>
          </w:rPr>
          <w:tab/>
        </w:r>
        <w:r>
          <w:rPr>
            <w:webHidden/>
          </w:rPr>
          <w:fldChar w:fldCharType="begin"/>
        </w:r>
        <w:r>
          <w:rPr>
            <w:webHidden/>
          </w:rPr>
          <w:instrText xml:space="preserve"> PAGEREF _Toc14338762 \h </w:instrText>
        </w:r>
        <w:r>
          <w:rPr>
            <w:webHidden/>
          </w:rPr>
        </w:r>
        <w:r>
          <w:rPr>
            <w:webHidden/>
          </w:rPr>
          <w:fldChar w:fldCharType="separate"/>
        </w:r>
        <w:r w:rsidR="00DB709A">
          <w:rPr>
            <w:webHidden/>
          </w:rPr>
          <w:t>20</w:t>
        </w:r>
        <w:r>
          <w:rPr>
            <w:webHidden/>
          </w:rPr>
          <w:fldChar w:fldCharType="end"/>
        </w:r>
      </w:hyperlink>
    </w:p>
    <w:p w14:paraId="146CDAC1" w14:textId="5CD27A62" w:rsidR="00F51505" w:rsidRDefault="00F51505">
      <w:pPr>
        <w:pStyle w:val="TOC2"/>
        <w:tabs>
          <w:tab w:val="left" w:pos="1440"/>
        </w:tabs>
        <w:rPr>
          <w:rFonts w:asciiTheme="minorHAnsi" w:eastAsiaTheme="minorEastAsia" w:hAnsiTheme="minorHAnsi" w:cstheme="minorBidi"/>
          <w:b w:val="0"/>
          <w:szCs w:val="22"/>
        </w:rPr>
      </w:pPr>
      <w:hyperlink w:anchor="_Toc14338763" w:history="1">
        <w:r w:rsidRPr="007F6D46">
          <w:rPr>
            <w:rStyle w:val="Hyperlink"/>
          </w:rPr>
          <w:t>3.1</w:t>
        </w:r>
        <w:r>
          <w:rPr>
            <w:rFonts w:asciiTheme="minorHAnsi" w:eastAsiaTheme="minorEastAsia" w:hAnsiTheme="minorHAnsi" w:cstheme="minorBidi"/>
            <w:b w:val="0"/>
            <w:szCs w:val="22"/>
          </w:rPr>
          <w:tab/>
        </w:r>
        <w:r w:rsidRPr="007F6D46">
          <w:rPr>
            <w:rStyle w:val="Hyperlink"/>
          </w:rPr>
          <w:t>Recruitment</w:t>
        </w:r>
        <w:r>
          <w:rPr>
            <w:webHidden/>
          </w:rPr>
          <w:tab/>
        </w:r>
        <w:r>
          <w:rPr>
            <w:webHidden/>
          </w:rPr>
          <w:fldChar w:fldCharType="begin"/>
        </w:r>
        <w:r>
          <w:rPr>
            <w:webHidden/>
          </w:rPr>
          <w:instrText xml:space="preserve"> PAGEREF _Toc14338763 \h </w:instrText>
        </w:r>
        <w:r>
          <w:rPr>
            <w:webHidden/>
          </w:rPr>
        </w:r>
        <w:r>
          <w:rPr>
            <w:webHidden/>
          </w:rPr>
          <w:fldChar w:fldCharType="separate"/>
        </w:r>
        <w:r w:rsidR="00DB709A">
          <w:rPr>
            <w:webHidden/>
          </w:rPr>
          <w:t>20</w:t>
        </w:r>
        <w:r>
          <w:rPr>
            <w:webHidden/>
          </w:rPr>
          <w:fldChar w:fldCharType="end"/>
        </w:r>
      </w:hyperlink>
    </w:p>
    <w:p w14:paraId="2F10D81C" w14:textId="56D0C3D3" w:rsidR="00F51505" w:rsidRDefault="00F51505">
      <w:pPr>
        <w:pStyle w:val="TOC2"/>
        <w:tabs>
          <w:tab w:val="left" w:pos="1440"/>
        </w:tabs>
        <w:rPr>
          <w:rFonts w:asciiTheme="minorHAnsi" w:eastAsiaTheme="minorEastAsia" w:hAnsiTheme="minorHAnsi" w:cstheme="minorBidi"/>
          <w:b w:val="0"/>
          <w:szCs w:val="22"/>
        </w:rPr>
      </w:pPr>
      <w:hyperlink w:anchor="_Toc14338764" w:history="1">
        <w:r w:rsidRPr="007F6D46">
          <w:rPr>
            <w:rStyle w:val="Hyperlink"/>
          </w:rPr>
          <w:t>3.2</w:t>
        </w:r>
        <w:r>
          <w:rPr>
            <w:rFonts w:asciiTheme="minorHAnsi" w:eastAsiaTheme="minorEastAsia" w:hAnsiTheme="minorHAnsi" w:cstheme="minorBidi"/>
            <w:b w:val="0"/>
            <w:szCs w:val="22"/>
          </w:rPr>
          <w:tab/>
        </w:r>
        <w:r w:rsidRPr="007F6D46">
          <w:rPr>
            <w:rStyle w:val="Hyperlink"/>
          </w:rPr>
          <w:t>Training and professional development</w:t>
        </w:r>
        <w:r>
          <w:rPr>
            <w:webHidden/>
          </w:rPr>
          <w:tab/>
        </w:r>
        <w:r>
          <w:rPr>
            <w:webHidden/>
          </w:rPr>
          <w:fldChar w:fldCharType="begin"/>
        </w:r>
        <w:r>
          <w:rPr>
            <w:webHidden/>
          </w:rPr>
          <w:instrText xml:space="preserve"> PAGEREF _Toc14338764 \h </w:instrText>
        </w:r>
        <w:r>
          <w:rPr>
            <w:webHidden/>
          </w:rPr>
        </w:r>
        <w:r>
          <w:rPr>
            <w:webHidden/>
          </w:rPr>
          <w:fldChar w:fldCharType="separate"/>
        </w:r>
        <w:r w:rsidR="00DB709A">
          <w:rPr>
            <w:webHidden/>
          </w:rPr>
          <w:t>21</w:t>
        </w:r>
        <w:r>
          <w:rPr>
            <w:webHidden/>
          </w:rPr>
          <w:fldChar w:fldCharType="end"/>
        </w:r>
      </w:hyperlink>
    </w:p>
    <w:p w14:paraId="343F7447" w14:textId="5B929F76" w:rsidR="00F51505" w:rsidRDefault="00F51505">
      <w:pPr>
        <w:pStyle w:val="TOC2"/>
        <w:tabs>
          <w:tab w:val="left" w:pos="1440"/>
        </w:tabs>
        <w:rPr>
          <w:rFonts w:asciiTheme="minorHAnsi" w:eastAsiaTheme="minorEastAsia" w:hAnsiTheme="minorHAnsi" w:cstheme="minorBidi"/>
          <w:b w:val="0"/>
          <w:szCs w:val="22"/>
        </w:rPr>
      </w:pPr>
      <w:hyperlink w:anchor="_Toc14338765" w:history="1">
        <w:r w:rsidRPr="007F6D46">
          <w:rPr>
            <w:rStyle w:val="Hyperlink"/>
          </w:rPr>
          <w:t>3.3</w:t>
        </w:r>
        <w:r>
          <w:rPr>
            <w:rFonts w:asciiTheme="minorHAnsi" w:eastAsiaTheme="minorEastAsia" w:hAnsiTheme="minorHAnsi" w:cstheme="minorBidi"/>
            <w:b w:val="0"/>
            <w:szCs w:val="22"/>
          </w:rPr>
          <w:tab/>
        </w:r>
        <w:r w:rsidRPr="007F6D46">
          <w:rPr>
            <w:rStyle w:val="Hyperlink"/>
          </w:rPr>
          <w:t>Promotion opportunities</w:t>
        </w:r>
        <w:r>
          <w:rPr>
            <w:webHidden/>
          </w:rPr>
          <w:tab/>
        </w:r>
        <w:r>
          <w:rPr>
            <w:webHidden/>
          </w:rPr>
          <w:fldChar w:fldCharType="begin"/>
        </w:r>
        <w:r>
          <w:rPr>
            <w:webHidden/>
          </w:rPr>
          <w:instrText xml:space="preserve"> PAGEREF _Toc14338765 \h </w:instrText>
        </w:r>
        <w:r>
          <w:rPr>
            <w:webHidden/>
          </w:rPr>
        </w:r>
        <w:r>
          <w:rPr>
            <w:webHidden/>
          </w:rPr>
          <w:fldChar w:fldCharType="separate"/>
        </w:r>
        <w:r w:rsidR="00DB709A">
          <w:rPr>
            <w:webHidden/>
          </w:rPr>
          <w:t>22</w:t>
        </w:r>
        <w:r>
          <w:rPr>
            <w:webHidden/>
          </w:rPr>
          <w:fldChar w:fldCharType="end"/>
        </w:r>
      </w:hyperlink>
    </w:p>
    <w:p w14:paraId="015C93ED" w14:textId="45052403" w:rsidR="00F51505" w:rsidRDefault="00F51505">
      <w:pPr>
        <w:pStyle w:val="TOC2"/>
        <w:tabs>
          <w:tab w:val="left" w:pos="1440"/>
        </w:tabs>
        <w:rPr>
          <w:rFonts w:asciiTheme="minorHAnsi" w:eastAsiaTheme="minorEastAsia" w:hAnsiTheme="minorHAnsi" w:cstheme="minorBidi"/>
          <w:b w:val="0"/>
          <w:szCs w:val="22"/>
        </w:rPr>
      </w:pPr>
      <w:hyperlink w:anchor="_Toc14338766" w:history="1">
        <w:r w:rsidRPr="007F6D46">
          <w:rPr>
            <w:rStyle w:val="Hyperlink"/>
          </w:rPr>
          <w:t>3.4</w:t>
        </w:r>
        <w:r>
          <w:rPr>
            <w:rFonts w:asciiTheme="minorHAnsi" w:eastAsiaTheme="minorEastAsia" w:hAnsiTheme="minorHAnsi" w:cstheme="minorBidi"/>
            <w:b w:val="0"/>
            <w:szCs w:val="22"/>
          </w:rPr>
          <w:tab/>
        </w:r>
        <w:r w:rsidRPr="007F6D46">
          <w:rPr>
            <w:rStyle w:val="Hyperlink"/>
          </w:rPr>
          <w:t>Flexible work</w:t>
        </w:r>
        <w:r>
          <w:rPr>
            <w:webHidden/>
          </w:rPr>
          <w:tab/>
        </w:r>
        <w:r>
          <w:rPr>
            <w:webHidden/>
          </w:rPr>
          <w:fldChar w:fldCharType="begin"/>
        </w:r>
        <w:r>
          <w:rPr>
            <w:webHidden/>
          </w:rPr>
          <w:instrText xml:space="preserve"> PAGEREF _Toc14338766 \h </w:instrText>
        </w:r>
        <w:r>
          <w:rPr>
            <w:webHidden/>
          </w:rPr>
        </w:r>
        <w:r>
          <w:rPr>
            <w:webHidden/>
          </w:rPr>
          <w:fldChar w:fldCharType="separate"/>
        </w:r>
        <w:r w:rsidR="00DB709A">
          <w:rPr>
            <w:webHidden/>
          </w:rPr>
          <w:t>23</w:t>
        </w:r>
        <w:r>
          <w:rPr>
            <w:webHidden/>
          </w:rPr>
          <w:fldChar w:fldCharType="end"/>
        </w:r>
      </w:hyperlink>
    </w:p>
    <w:p w14:paraId="57A38D30" w14:textId="3F0D319A" w:rsidR="00F51505" w:rsidRDefault="00F51505">
      <w:pPr>
        <w:pStyle w:val="TOC1"/>
        <w:rPr>
          <w:rFonts w:asciiTheme="minorHAnsi" w:eastAsiaTheme="minorEastAsia" w:hAnsiTheme="minorHAnsi" w:cstheme="minorBidi"/>
          <w:b w:val="0"/>
          <w:szCs w:val="22"/>
        </w:rPr>
      </w:pPr>
      <w:hyperlink w:anchor="_Toc14338767" w:history="1">
        <w:r w:rsidRPr="007F6D46">
          <w:rPr>
            <w:rStyle w:val="Hyperlink"/>
          </w:rPr>
          <w:t>4</w:t>
        </w:r>
        <w:r>
          <w:rPr>
            <w:rFonts w:asciiTheme="minorHAnsi" w:eastAsiaTheme="minorEastAsia" w:hAnsiTheme="minorHAnsi" w:cstheme="minorBidi"/>
            <w:b w:val="0"/>
            <w:szCs w:val="22"/>
          </w:rPr>
          <w:tab/>
        </w:r>
        <w:r w:rsidRPr="007F6D46">
          <w:rPr>
            <w:rStyle w:val="Hyperlink"/>
          </w:rPr>
          <w:t>Checklist</w:t>
        </w:r>
        <w:r>
          <w:rPr>
            <w:webHidden/>
          </w:rPr>
          <w:tab/>
        </w:r>
        <w:r>
          <w:rPr>
            <w:webHidden/>
          </w:rPr>
          <w:fldChar w:fldCharType="begin"/>
        </w:r>
        <w:r>
          <w:rPr>
            <w:webHidden/>
          </w:rPr>
          <w:instrText xml:space="preserve"> PAGEREF _Toc14338767 \h </w:instrText>
        </w:r>
        <w:r>
          <w:rPr>
            <w:webHidden/>
          </w:rPr>
        </w:r>
        <w:r>
          <w:rPr>
            <w:webHidden/>
          </w:rPr>
          <w:fldChar w:fldCharType="separate"/>
        </w:r>
        <w:r w:rsidR="00DB709A">
          <w:rPr>
            <w:webHidden/>
          </w:rPr>
          <w:t>25</w:t>
        </w:r>
        <w:r>
          <w:rPr>
            <w:webHidden/>
          </w:rPr>
          <w:fldChar w:fldCharType="end"/>
        </w:r>
      </w:hyperlink>
    </w:p>
    <w:p w14:paraId="386C5D14" w14:textId="18E60E98" w:rsidR="00F51505" w:rsidRDefault="00F51505">
      <w:pPr>
        <w:pStyle w:val="TOC1"/>
        <w:rPr>
          <w:rFonts w:asciiTheme="minorHAnsi" w:eastAsiaTheme="minorEastAsia" w:hAnsiTheme="minorHAnsi" w:cstheme="minorBidi"/>
          <w:b w:val="0"/>
          <w:szCs w:val="22"/>
        </w:rPr>
      </w:pPr>
      <w:hyperlink w:anchor="_Toc14338768" w:history="1">
        <w:r w:rsidRPr="007F6D46">
          <w:rPr>
            <w:rStyle w:val="Hyperlink"/>
          </w:rPr>
          <w:t>5</w:t>
        </w:r>
        <w:r>
          <w:rPr>
            <w:rFonts w:asciiTheme="minorHAnsi" w:eastAsiaTheme="minorEastAsia" w:hAnsiTheme="minorHAnsi" w:cstheme="minorBidi"/>
            <w:b w:val="0"/>
            <w:szCs w:val="22"/>
          </w:rPr>
          <w:tab/>
        </w:r>
        <w:r w:rsidRPr="007F6D46">
          <w:rPr>
            <w:rStyle w:val="Hyperlink"/>
          </w:rPr>
          <w:t>Further information</w:t>
        </w:r>
        <w:r>
          <w:rPr>
            <w:webHidden/>
          </w:rPr>
          <w:tab/>
        </w:r>
        <w:r>
          <w:rPr>
            <w:webHidden/>
          </w:rPr>
          <w:fldChar w:fldCharType="begin"/>
        </w:r>
        <w:r>
          <w:rPr>
            <w:webHidden/>
          </w:rPr>
          <w:instrText xml:space="preserve"> PAGEREF _Toc14338768 \h </w:instrText>
        </w:r>
        <w:r>
          <w:rPr>
            <w:webHidden/>
          </w:rPr>
        </w:r>
        <w:r>
          <w:rPr>
            <w:webHidden/>
          </w:rPr>
          <w:fldChar w:fldCharType="separate"/>
        </w:r>
        <w:r w:rsidR="00DB709A">
          <w:rPr>
            <w:webHidden/>
          </w:rPr>
          <w:t>26</w:t>
        </w:r>
        <w:r>
          <w:rPr>
            <w:webHidden/>
          </w:rPr>
          <w:fldChar w:fldCharType="end"/>
        </w:r>
      </w:hyperlink>
    </w:p>
    <w:p w14:paraId="54F66536" w14:textId="25E024BA" w:rsidR="00C72D01" w:rsidRPr="0003202B" w:rsidRDefault="00B22B39" w:rsidP="00BA67F1">
      <w:pPr>
        <w:pStyle w:val="Heading1"/>
        <w:keepNext w:val="0"/>
        <w:keepLines w:val="0"/>
        <w:numPr>
          <w:ilvl w:val="0"/>
          <w:numId w:val="0"/>
        </w:numPr>
        <w:rPr>
          <w:rFonts w:cs="Open Sans"/>
        </w:rPr>
        <w:sectPr w:rsidR="00C72D01" w:rsidRPr="0003202B" w:rsidSect="003752AC">
          <w:headerReference w:type="even" r:id="rId21"/>
          <w:headerReference w:type="default" r:id="rId22"/>
          <w:footerReference w:type="default" r:id="rId23"/>
          <w:headerReference w:type="first" r:id="rId24"/>
          <w:endnotePr>
            <w:numFmt w:val="decimal"/>
          </w:endnotePr>
          <w:pgSz w:w="11906" w:h="16838" w:code="9"/>
          <w:pgMar w:top="1077" w:right="1440" w:bottom="1077" w:left="1440" w:header="709" w:footer="709" w:gutter="0"/>
          <w:cols w:space="708"/>
          <w:docGrid w:linePitch="360"/>
        </w:sectPr>
      </w:pPr>
      <w:r w:rsidRPr="0003202B">
        <w:rPr>
          <w:rFonts w:cs="Open Sans"/>
        </w:rPr>
        <w:fldChar w:fldCharType="end"/>
      </w:r>
    </w:p>
    <w:p w14:paraId="229E4B07" w14:textId="77777777" w:rsidR="00D45DC6" w:rsidRDefault="00D45DC6" w:rsidP="00D45DC6">
      <w:bookmarkStart w:id="1" w:name="_Appendix_B_–"/>
      <w:bookmarkEnd w:id="1"/>
    </w:p>
    <w:p w14:paraId="7E8122F4" w14:textId="77777777" w:rsidR="00D45DC6" w:rsidRDefault="00D45DC6" w:rsidP="00D45DC6"/>
    <w:p w14:paraId="5E291C5B" w14:textId="6A31BB1A" w:rsidR="00D45DC6" w:rsidRDefault="00D45DC6" w:rsidP="00D45DC6"/>
    <w:p w14:paraId="10E3D1CE" w14:textId="0EF47AE5" w:rsidR="00D45DC6" w:rsidRDefault="00D45DC6" w:rsidP="00D45DC6"/>
    <w:p w14:paraId="541B595D" w14:textId="38402B23" w:rsidR="00D45DC6" w:rsidRDefault="00D45DC6" w:rsidP="00D45DC6"/>
    <w:p w14:paraId="046CB279" w14:textId="7C0A5DB3" w:rsidR="00D45DC6" w:rsidRPr="00D45DC6" w:rsidRDefault="00D45DC6" w:rsidP="00D45DC6">
      <w:pPr>
        <w:pStyle w:val="HeadingInternalTitlePage"/>
        <w:rPr>
          <w:rStyle w:val="CondensedMedium"/>
          <w:rFonts w:ascii="Open Sans" w:hAnsi="Open Sans" w:cs="Open Sans"/>
          <w:color w:val="7F7F7F" w:themeColor="text1" w:themeTint="80"/>
          <w:sz w:val="40"/>
          <w:szCs w:val="40"/>
        </w:rPr>
      </w:pPr>
      <w:r w:rsidRPr="00D45DC6">
        <w:rPr>
          <w:rStyle w:val="CondensedMedium"/>
          <w:rFonts w:ascii="Open Sans" w:hAnsi="Open Sans" w:cs="Open Sans"/>
          <w:color w:val="7F7F7F" w:themeColor="text1" w:themeTint="80"/>
          <w:sz w:val="40"/>
          <w:szCs w:val="40"/>
        </w:rPr>
        <w:t>Multigenerational workforces: a guide to</w:t>
      </w:r>
      <w:r w:rsidRPr="00D45DC6">
        <w:rPr>
          <w:rStyle w:val="CondensedMedium"/>
          <w:rFonts w:ascii="Open Sans" w:hAnsi="Open Sans" w:cs="Open Sans"/>
          <w:color w:val="7F7F7F" w:themeColor="text1" w:themeTint="80"/>
          <w:sz w:val="40"/>
          <w:szCs w:val="40"/>
        </w:rPr>
        <w:br/>
        <w:t>the rights of older workers under the</w:t>
      </w:r>
      <w:r w:rsidRPr="00D45DC6">
        <w:rPr>
          <w:rStyle w:val="CondensedMedium"/>
          <w:rFonts w:ascii="Open Sans" w:hAnsi="Open Sans" w:cs="Open Sans"/>
          <w:color w:val="7F7F7F" w:themeColor="text1" w:themeTint="80"/>
          <w:sz w:val="40"/>
          <w:szCs w:val="40"/>
        </w:rPr>
        <w:br/>
      </w:r>
      <w:r w:rsidRPr="00D45DC6">
        <w:rPr>
          <w:rStyle w:val="CondensedMedium"/>
          <w:rFonts w:ascii="Open Sans" w:hAnsi="Open Sans" w:cs="Open Sans"/>
          <w:i/>
          <w:iCs/>
          <w:color w:val="7F7F7F" w:themeColor="text1" w:themeTint="80"/>
          <w:sz w:val="40"/>
          <w:szCs w:val="40"/>
        </w:rPr>
        <w:t>Age Discrimination Act 2004</w:t>
      </w:r>
      <w:r w:rsidRPr="00D45DC6">
        <w:rPr>
          <w:rStyle w:val="CondensedMedium"/>
          <w:rFonts w:ascii="Open Sans" w:hAnsi="Open Sans" w:cs="Open Sans"/>
          <w:color w:val="7F7F7F" w:themeColor="text1" w:themeTint="80"/>
          <w:sz w:val="40"/>
          <w:szCs w:val="40"/>
        </w:rPr>
        <w:t xml:space="preserve"> (</w:t>
      </w:r>
      <w:proofErr w:type="spellStart"/>
      <w:r w:rsidRPr="00D45DC6">
        <w:rPr>
          <w:rStyle w:val="CondensedMedium"/>
          <w:rFonts w:ascii="Open Sans" w:hAnsi="Open Sans" w:cs="Open Sans"/>
          <w:color w:val="7F7F7F" w:themeColor="text1" w:themeTint="80"/>
          <w:sz w:val="40"/>
          <w:szCs w:val="40"/>
        </w:rPr>
        <w:t>Cth</w:t>
      </w:r>
      <w:proofErr w:type="spellEnd"/>
      <w:r w:rsidRPr="00D45DC6">
        <w:rPr>
          <w:rStyle w:val="CondensedMedium"/>
          <w:rFonts w:ascii="Open Sans" w:hAnsi="Open Sans" w:cs="Open Sans"/>
          <w:color w:val="7F7F7F" w:themeColor="text1" w:themeTint="80"/>
          <w:sz w:val="40"/>
          <w:szCs w:val="40"/>
        </w:rPr>
        <w:t>)</w:t>
      </w:r>
    </w:p>
    <w:p w14:paraId="59078FC4" w14:textId="22A57AC1" w:rsidR="00D45DC6" w:rsidRPr="00D45DC6" w:rsidRDefault="004D653D" w:rsidP="00D45DC6">
      <w:pPr>
        <w:pStyle w:val="HeadingInternalTitlePage"/>
        <w:rPr>
          <w:color w:val="7F7F7F" w:themeColor="text1" w:themeTint="80"/>
          <w:sz w:val="36"/>
          <w:szCs w:val="36"/>
        </w:rPr>
      </w:pPr>
      <w:r>
        <w:rPr>
          <w:color w:val="7F7F7F" w:themeColor="text1" w:themeTint="80"/>
          <w:sz w:val="36"/>
          <w:szCs w:val="36"/>
        </w:rPr>
        <w:t>June</w:t>
      </w:r>
      <w:r w:rsidR="00D45DC6" w:rsidRPr="00D45DC6">
        <w:rPr>
          <w:color w:val="7F7F7F" w:themeColor="text1" w:themeTint="80"/>
          <w:sz w:val="36"/>
          <w:szCs w:val="36"/>
        </w:rPr>
        <w:t xml:space="preserve"> 2019</w:t>
      </w:r>
    </w:p>
    <w:p w14:paraId="12233ACE" w14:textId="77777777" w:rsidR="00D45DC6" w:rsidRPr="00D45DC6" w:rsidRDefault="00D45DC6" w:rsidP="00D45DC6">
      <w:pPr>
        <w:pStyle w:val="Paragrafobase"/>
        <w:jc w:val="center"/>
        <w:rPr>
          <w:b/>
          <w:bCs/>
          <w:color w:val="7F7F7F" w:themeColor="text1" w:themeTint="80"/>
        </w:rPr>
      </w:pPr>
      <w:r w:rsidRPr="00D45DC6">
        <w:rPr>
          <w:b/>
          <w:bCs/>
          <w:color w:val="7F7F7F" w:themeColor="text1" w:themeTint="80"/>
        </w:rPr>
        <w:t>Australian Human Rights Commission 2019</w:t>
      </w:r>
    </w:p>
    <w:p w14:paraId="10C3BC34" w14:textId="58854B68" w:rsidR="00D45DC6" w:rsidRDefault="00D45DC6" w:rsidP="00D45DC6">
      <w:pPr>
        <w:rPr>
          <w:lang w:val="en-US"/>
        </w:rPr>
      </w:pPr>
    </w:p>
    <w:p w14:paraId="0CAACAF2" w14:textId="0F386A8D" w:rsidR="00D45DC6" w:rsidRDefault="00D45DC6" w:rsidP="00D45DC6">
      <w:pPr>
        <w:rPr>
          <w:lang w:val="en-US"/>
        </w:rPr>
      </w:pPr>
    </w:p>
    <w:p w14:paraId="025C6563" w14:textId="2DAA495A" w:rsidR="00D45DC6" w:rsidRDefault="00D45DC6" w:rsidP="00D45DC6">
      <w:pPr>
        <w:rPr>
          <w:lang w:val="en-US"/>
        </w:rPr>
      </w:pPr>
    </w:p>
    <w:p w14:paraId="78CCD8FC" w14:textId="65AD43D7" w:rsidR="00D45DC6" w:rsidRDefault="00D45DC6" w:rsidP="00D45DC6">
      <w:pPr>
        <w:rPr>
          <w:lang w:val="en-US"/>
        </w:rPr>
      </w:pPr>
    </w:p>
    <w:p w14:paraId="43107888" w14:textId="69ECC2AF" w:rsidR="00D45DC6" w:rsidRDefault="00D45DC6" w:rsidP="00D45DC6">
      <w:pPr>
        <w:rPr>
          <w:lang w:val="en-US"/>
        </w:rPr>
      </w:pPr>
    </w:p>
    <w:p w14:paraId="3AF5A624" w14:textId="7CF38280" w:rsidR="00D45DC6" w:rsidRDefault="00D45DC6" w:rsidP="00D45DC6">
      <w:pPr>
        <w:rPr>
          <w:lang w:val="en-US"/>
        </w:rPr>
      </w:pPr>
    </w:p>
    <w:p w14:paraId="24E25705" w14:textId="50110A2B" w:rsidR="00D45DC6" w:rsidRPr="00D45DC6" w:rsidRDefault="00D45DC6" w:rsidP="00D45DC6">
      <w:pPr>
        <w:jc w:val="center"/>
        <w:rPr>
          <w:lang w:val="en-US"/>
        </w:rPr>
      </w:pPr>
      <w:r w:rsidRPr="00D45DC6">
        <w:rPr>
          <w:noProof/>
          <w:lang w:val="en-US"/>
        </w:rPr>
        <w:drawing>
          <wp:inline distT="0" distB="0" distL="0" distR="0" wp14:anchorId="38BFF6C1" wp14:editId="376A0981">
            <wp:extent cx="1689100" cy="5461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89100" cy="546100"/>
                    </a:xfrm>
                    <a:prstGeom prst="rect">
                      <a:avLst/>
                    </a:prstGeom>
                  </pic:spPr>
                </pic:pic>
              </a:graphicData>
            </a:graphic>
          </wp:inline>
        </w:drawing>
      </w:r>
    </w:p>
    <w:p w14:paraId="5E183CF5" w14:textId="3B26E4ED" w:rsidR="00D45DC6" w:rsidRDefault="00D45DC6" w:rsidP="00D45DC6">
      <w:r>
        <w:br w:type="page"/>
      </w:r>
    </w:p>
    <w:p w14:paraId="61B93270" w14:textId="77777777" w:rsidR="00D45DC6" w:rsidRPr="00D45DC6" w:rsidRDefault="00D45DC6" w:rsidP="00D45DC6"/>
    <w:p w14:paraId="2D651336" w14:textId="1BF9ED7B" w:rsidR="0001353D" w:rsidRDefault="0001353D" w:rsidP="00BA67F1">
      <w:pPr>
        <w:pStyle w:val="Heading1"/>
      </w:pPr>
      <w:bookmarkStart w:id="2" w:name="_Toc14338755"/>
      <w:r>
        <w:t>Introduction</w:t>
      </w:r>
      <w:bookmarkEnd w:id="2"/>
    </w:p>
    <w:p w14:paraId="199EBE3C" w14:textId="4D7F33D6" w:rsidR="0006308E" w:rsidRDefault="0006308E" w:rsidP="00BA67F1">
      <w:pPr>
        <w:spacing w:before="0"/>
      </w:pPr>
      <w:r>
        <w:t>Australians are increasingly working to older ages.</w:t>
      </w:r>
      <w:r>
        <w:rPr>
          <w:rStyle w:val="EndnoteReference"/>
        </w:rPr>
        <w:endnoteReference w:id="1"/>
      </w:r>
      <w:r>
        <w:t xml:space="preserve"> As a result, there are now five generations working side by side in the workforce.</w:t>
      </w:r>
    </w:p>
    <w:p w14:paraId="79F4BF70" w14:textId="77777777" w:rsidR="006F622B" w:rsidRDefault="00C906FA" w:rsidP="00BA67F1">
      <w:pPr>
        <w:spacing w:before="0"/>
      </w:pPr>
      <w:r>
        <w:t xml:space="preserve">Older workers </w:t>
      </w:r>
      <w:r w:rsidR="006F622B">
        <w:t>contribute significant value to the workplace</w:t>
      </w:r>
      <w:r>
        <w:t xml:space="preserve"> in the form of</w:t>
      </w:r>
      <w:r w:rsidR="006F622B">
        <w:t>:</w:t>
      </w:r>
    </w:p>
    <w:p w14:paraId="3D611C01" w14:textId="77777777" w:rsidR="006F622B" w:rsidRDefault="00C906FA" w:rsidP="00BA67F1">
      <w:pPr>
        <w:pStyle w:val="ListParagraph"/>
        <w:numPr>
          <w:ilvl w:val="0"/>
          <w:numId w:val="53"/>
        </w:numPr>
        <w:spacing w:before="0"/>
      </w:pPr>
      <w:r>
        <w:t>industry experience</w:t>
      </w:r>
    </w:p>
    <w:p w14:paraId="517C36FE" w14:textId="77777777" w:rsidR="006F622B" w:rsidRDefault="006F622B" w:rsidP="00BA67F1">
      <w:pPr>
        <w:pStyle w:val="ListParagraph"/>
        <w:numPr>
          <w:ilvl w:val="0"/>
          <w:numId w:val="53"/>
        </w:numPr>
        <w:spacing w:before="0"/>
      </w:pPr>
      <w:r>
        <w:t>expertise</w:t>
      </w:r>
    </w:p>
    <w:p w14:paraId="255685F1" w14:textId="77777777" w:rsidR="006F622B" w:rsidRDefault="006F622B" w:rsidP="00BA67F1">
      <w:pPr>
        <w:pStyle w:val="ListParagraph"/>
        <w:numPr>
          <w:ilvl w:val="0"/>
          <w:numId w:val="53"/>
        </w:numPr>
        <w:spacing w:before="0"/>
      </w:pPr>
      <w:r>
        <w:t>strategic thinking</w:t>
      </w:r>
    </w:p>
    <w:p w14:paraId="035D35F6" w14:textId="77777777" w:rsidR="006F622B" w:rsidRDefault="006F622B" w:rsidP="00BA67F1">
      <w:pPr>
        <w:pStyle w:val="ListParagraph"/>
        <w:numPr>
          <w:ilvl w:val="0"/>
          <w:numId w:val="53"/>
        </w:numPr>
        <w:spacing w:before="0"/>
      </w:pPr>
      <w:r>
        <w:t>the ability to mentor younger workers</w:t>
      </w:r>
    </w:p>
    <w:p w14:paraId="29EBD5D1" w14:textId="23F46A1E" w:rsidR="00C906FA" w:rsidRDefault="006F622B" w:rsidP="00BA67F1">
      <w:pPr>
        <w:pStyle w:val="ListParagraph"/>
        <w:numPr>
          <w:ilvl w:val="0"/>
          <w:numId w:val="53"/>
        </w:numPr>
        <w:spacing w:before="0"/>
      </w:pPr>
      <w:r>
        <w:t>loyalty.</w:t>
      </w:r>
    </w:p>
    <w:p w14:paraId="57767649" w14:textId="7297BE69" w:rsidR="0006308E" w:rsidRDefault="0006308E" w:rsidP="00BA67F1">
      <w:pPr>
        <w:spacing w:before="0"/>
      </w:pPr>
      <w:r>
        <w:t>While older workers bring skills and knowledge to the w</w:t>
      </w:r>
      <w:r w:rsidR="001D2FB5">
        <w:t>or</w:t>
      </w:r>
      <w:r>
        <w:t>kplace,</w:t>
      </w:r>
      <w:r>
        <w:rPr>
          <w:rStyle w:val="EndnoteReference"/>
        </w:rPr>
        <w:endnoteReference w:id="2"/>
      </w:r>
      <w:r>
        <w:t xml:space="preserve"> age discrimination still presents a significant barrier to meaningful participation in the workforce. In 2016–17, 58% of </w:t>
      </w:r>
      <w:r w:rsidR="001D2FB5">
        <w:t xml:space="preserve">age </w:t>
      </w:r>
      <w:r w:rsidR="001D2FB5" w:rsidRPr="007A2222">
        <w:t xml:space="preserve">discrimination </w:t>
      </w:r>
      <w:r w:rsidRPr="007A2222">
        <w:t xml:space="preserve">complaints </w:t>
      </w:r>
      <w:r w:rsidR="001D2FB5" w:rsidRPr="007A2222">
        <w:t xml:space="preserve">received by </w:t>
      </w:r>
      <w:r w:rsidRPr="007A2222">
        <w:t xml:space="preserve">the </w:t>
      </w:r>
      <w:r w:rsidR="007A2222" w:rsidRPr="007A2222">
        <w:rPr>
          <w:lang w:val="en-US"/>
        </w:rPr>
        <w:t>Australian Human Rights Commission (the Commission)</w:t>
      </w:r>
      <w:r w:rsidRPr="007A2222">
        <w:t xml:space="preserve"> </w:t>
      </w:r>
      <w:r w:rsidR="00432ACA" w:rsidRPr="007A2222">
        <w:t>were</w:t>
      </w:r>
      <w:r w:rsidR="00432ACA">
        <w:t xml:space="preserve"> </w:t>
      </w:r>
      <w:r w:rsidR="000C7B74">
        <w:t>related to work</w:t>
      </w:r>
      <w:r>
        <w:t>.</w:t>
      </w:r>
      <w:r>
        <w:rPr>
          <w:rStyle w:val="EndnoteReference"/>
        </w:rPr>
        <w:endnoteReference w:id="3"/>
      </w:r>
    </w:p>
    <w:p w14:paraId="76A4B3AB" w14:textId="4270C738" w:rsidR="0006308E" w:rsidRDefault="00D3711F" w:rsidP="00BA67F1">
      <w:pPr>
        <w:spacing w:before="0"/>
      </w:pPr>
      <w:r>
        <w:t xml:space="preserve">This </w:t>
      </w:r>
      <w:r w:rsidR="00772CB5">
        <w:t>g</w:t>
      </w:r>
      <w:r>
        <w:t>uide is</w:t>
      </w:r>
      <w:r w:rsidR="001852EC">
        <w:t xml:space="preserve"> issued</w:t>
      </w:r>
      <w:r w:rsidR="00952D90">
        <w:t xml:space="preserve"> under section 53(1)(f) of the </w:t>
      </w:r>
      <w:r w:rsidR="00952D90">
        <w:rPr>
          <w:i/>
        </w:rPr>
        <w:t>Age Discrimination Act 2004</w:t>
      </w:r>
      <w:r w:rsidR="00952D90">
        <w:t xml:space="preserve"> (</w:t>
      </w:r>
      <w:proofErr w:type="spellStart"/>
      <w:r w:rsidR="00952D90">
        <w:t>Cth</w:t>
      </w:r>
      <w:proofErr w:type="spellEnd"/>
      <w:r w:rsidR="00952D90">
        <w:t>) (the Act). It is designed to</w:t>
      </w:r>
      <w:r w:rsidR="0006308E">
        <w:t xml:space="preserve"> </w:t>
      </w:r>
      <w:r w:rsidR="00952D90">
        <w:t xml:space="preserve">provide </w:t>
      </w:r>
      <w:r>
        <w:t>employers and other work providers with</w:t>
      </w:r>
      <w:r w:rsidR="0006308E">
        <w:t>:</w:t>
      </w:r>
    </w:p>
    <w:p w14:paraId="278DAF91" w14:textId="77777777" w:rsidR="0006308E" w:rsidRDefault="00D3711F" w:rsidP="00BA67F1">
      <w:pPr>
        <w:pStyle w:val="ListParagraph"/>
        <w:numPr>
          <w:ilvl w:val="0"/>
          <w:numId w:val="50"/>
        </w:numPr>
        <w:spacing w:before="0"/>
      </w:pPr>
      <w:r>
        <w:t xml:space="preserve">information about the operation of the </w:t>
      </w:r>
      <w:r w:rsidR="00952D90">
        <w:t>Act</w:t>
      </w:r>
    </w:p>
    <w:p w14:paraId="01951EAD" w14:textId="77777777" w:rsidR="00956B74" w:rsidRDefault="0006308E" w:rsidP="00BA67F1">
      <w:pPr>
        <w:pStyle w:val="ListParagraph"/>
        <w:numPr>
          <w:ilvl w:val="0"/>
          <w:numId w:val="50"/>
        </w:numPr>
        <w:spacing w:before="0"/>
      </w:pPr>
      <w:r>
        <w:t>practical guidance about promoting the inclusion of older workers in multigenerational workforces.</w:t>
      </w:r>
    </w:p>
    <w:p w14:paraId="763BA357" w14:textId="77777777" w:rsidR="00951187" w:rsidRDefault="00951187">
      <w:pPr>
        <w:keepLines w:val="0"/>
        <w:spacing w:before="0" w:after="0"/>
      </w:pPr>
      <w:r>
        <w:br w:type="page"/>
      </w:r>
    </w:p>
    <w:p w14:paraId="137EFAD9" w14:textId="477D9543" w:rsidR="004F4BEE" w:rsidRDefault="00C3694C" w:rsidP="00951187">
      <w:pPr>
        <w:spacing w:before="0" w:after="360"/>
      </w:pPr>
      <w:r>
        <w:lastRenderedPageBreak/>
        <w:t>The guide may also assist employees and workers in understanding their rights under the Act.</w:t>
      </w:r>
    </w:p>
    <w:tbl>
      <w:tblPr>
        <w:tblStyle w:val="TableGrid"/>
        <w:tblW w:w="0" w:type="auto"/>
        <w:shd w:val="clear" w:color="auto" w:fill="E7E6E6" w:themeFill="background2"/>
        <w:tblCellMar>
          <w:top w:w="284" w:type="dxa"/>
          <w:left w:w="284" w:type="dxa"/>
          <w:right w:w="284" w:type="dxa"/>
        </w:tblCellMar>
        <w:tblLook w:val="04A0" w:firstRow="1" w:lastRow="0" w:firstColumn="1" w:lastColumn="0" w:noHBand="0" w:noVBand="1"/>
      </w:tblPr>
      <w:tblGrid>
        <w:gridCol w:w="1498"/>
        <w:gridCol w:w="7518"/>
      </w:tblGrid>
      <w:tr w:rsidR="00B13EA4" w14:paraId="4623CC64" w14:textId="77777777" w:rsidTr="00165723">
        <w:tc>
          <w:tcPr>
            <w:tcW w:w="1146" w:type="dxa"/>
            <w:tcBorders>
              <w:bottom w:val="nil"/>
              <w:right w:val="nil"/>
            </w:tcBorders>
            <w:shd w:val="clear" w:color="auto" w:fill="E7E6E6" w:themeFill="background2"/>
          </w:tcPr>
          <w:p w14:paraId="6D24386A" w14:textId="77777777" w:rsidR="00B13EA4" w:rsidRDefault="00B13EA4" w:rsidP="00BA67F1">
            <w:pPr>
              <w:spacing w:before="0"/>
            </w:pPr>
            <w:r>
              <w:rPr>
                <w:noProof/>
              </w:rPr>
              <w:drawing>
                <wp:inline distT="0" distB="0" distL="0" distR="0" wp14:anchorId="16DB1D79" wp14:editId="3949BAE5">
                  <wp:extent cx="590550" cy="590550"/>
                  <wp:effectExtent l="0" t="0" r="0" b="0"/>
                  <wp:docPr id="10" name="Graphic 4" descr="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0550" cy="590550"/>
                          </a:xfrm>
                          <a:prstGeom prst="rect">
                            <a:avLst/>
                          </a:prstGeom>
                        </pic:spPr>
                      </pic:pic>
                    </a:graphicData>
                  </a:graphic>
                </wp:inline>
              </w:drawing>
            </w:r>
          </w:p>
        </w:tc>
        <w:tc>
          <w:tcPr>
            <w:tcW w:w="7870" w:type="dxa"/>
            <w:tcBorders>
              <w:left w:val="nil"/>
              <w:bottom w:val="nil"/>
            </w:tcBorders>
            <w:shd w:val="clear" w:color="auto" w:fill="E7E6E6" w:themeFill="background2"/>
          </w:tcPr>
          <w:p w14:paraId="219534B8" w14:textId="77777777" w:rsidR="00B13EA4" w:rsidRDefault="00D57CF3" w:rsidP="00BA67F1">
            <w:pPr>
              <w:spacing w:before="0"/>
              <w:rPr>
                <w:b/>
              </w:rPr>
            </w:pPr>
            <w:r>
              <w:rPr>
                <w:b/>
              </w:rPr>
              <w:t>Work relationships</w:t>
            </w:r>
          </w:p>
          <w:p w14:paraId="74143435" w14:textId="46BE78CE" w:rsidR="00D57CF3" w:rsidRPr="00D57CF3" w:rsidRDefault="00D57CF3" w:rsidP="00BA67F1">
            <w:pPr>
              <w:spacing w:before="0"/>
              <w:rPr>
                <w:rFonts w:cs="Open Sans"/>
              </w:rPr>
            </w:pPr>
            <w:r w:rsidRPr="00291AFA">
              <w:rPr>
                <w:rFonts w:cs="Open Sans"/>
              </w:rPr>
              <w:t xml:space="preserve">The Act </w:t>
            </w:r>
            <w:r w:rsidR="00D53D6F">
              <w:rPr>
                <w:rFonts w:cs="Open Sans"/>
              </w:rPr>
              <w:t>applies to</w:t>
            </w:r>
            <w:r w:rsidR="00D53D6F" w:rsidRPr="00291AFA">
              <w:rPr>
                <w:rFonts w:cs="Open Sans"/>
              </w:rPr>
              <w:t xml:space="preserve"> </w:t>
            </w:r>
            <w:r w:rsidRPr="00291AFA">
              <w:rPr>
                <w:rFonts w:cs="Open Sans"/>
              </w:rPr>
              <w:t xml:space="preserve">a broad range of </w:t>
            </w:r>
            <w:r>
              <w:rPr>
                <w:rFonts w:cs="Open Sans"/>
              </w:rPr>
              <w:t>‘</w:t>
            </w:r>
            <w:r w:rsidRPr="00291AFA">
              <w:rPr>
                <w:rFonts w:cs="Open Sans"/>
              </w:rPr>
              <w:t xml:space="preserve">work </w:t>
            </w:r>
            <w:r>
              <w:rPr>
                <w:rFonts w:cs="Open Sans"/>
              </w:rPr>
              <w:t>relationships’, and prospective work relationships (for example, when a person has applied for a role and is moving through the recruitment process)</w:t>
            </w:r>
            <w:r w:rsidRPr="00291AFA">
              <w:rPr>
                <w:rFonts w:cs="Open Sans"/>
              </w:rPr>
              <w:t>.</w:t>
            </w:r>
          </w:p>
        </w:tc>
      </w:tr>
      <w:tr w:rsidR="00B13EA4" w14:paraId="42F82CE0" w14:textId="77777777" w:rsidTr="00165723">
        <w:tc>
          <w:tcPr>
            <w:tcW w:w="9016" w:type="dxa"/>
            <w:gridSpan w:val="2"/>
            <w:tcBorders>
              <w:top w:val="nil"/>
            </w:tcBorders>
            <w:shd w:val="clear" w:color="auto" w:fill="E7E6E6" w:themeFill="background2"/>
          </w:tcPr>
          <w:p w14:paraId="6664EAF9" w14:textId="3DCC1921" w:rsidR="00D57CF3" w:rsidRPr="00D57CF3" w:rsidRDefault="00096B4C" w:rsidP="00BA67F1">
            <w:pPr>
              <w:spacing w:before="0"/>
              <w:rPr>
                <w:rFonts w:cs="Open Sans"/>
              </w:rPr>
            </w:pPr>
            <w:r>
              <w:rPr>
                <w:rFonts w:cs="Open Sans"/>
              </w:rPr>
              <w:t>Work relationships may</w:t>
            </w:r>
            <w:r w:rsidR="00927C2B">
              <w:rPr>
                <w:rFonts w:cs="Open Sans"/>
              </w:rPr>
              <w:t>, f</w:t>
            </w:r>
            <w:r w:rsidR="00D57CF3" w:rsidRPr="00291AFA">
              <w:rPr>
                <w:rFonts w:cs="Open Sans"/>
              </w:rPr>
              <w:t>or example</w:t>
            </w:r>
            <w:r w:rsidR="00C3694C">
              <w:rPr>
                <w:rFonts w:cs="Open Sans"/>
              </w:rPr>
              <w:t>, be</w:t>
            </w:r>
            <w:r w:rsidR="00D57CF3" w:rsidRPr="00291AFA">
              <w:rPr>
                <w:rFonts w:cs="Open Sans"/>
              </w:rPr>
              <w:t xml:space="preserve"> </w:t>
            </w:r>
            <w:hyperlink r:id="rId28" w:history="1">
              <w:r w:rsidR="00D57CF3" w:rsidRPr="00291AFA">
                <w:rPr>
                  <w:rStyle w:val="Hyperlink"/>
                  <w:rFonts w:cs="Open Sans"/>
                </w:rPr>
                <w:t>employee</w:t>
              </w:r>
              <w:r w:rsidR="00D57CF3" w:rsidRPr="002A6EEB">
                <w:rPr>
                  <w:rStyle w:val="Hyperlink"/>
                  <w:rFonts w:cs="Open Sans"/>
                </w:rPr>
                <w:t xml:space="preserve"> and employer</w:t>
              </w:r>
            </w:hyperlink>
            <w:r w:rsidR="00D57CF3" w:rsidRPr="0044249B">
              <w:rPr>
                <w:rFonts w:cs="Open Sans"/>
              </w:rPr>
              <w:t xml:space="preserve">; </w:t>
            </w:r>
            <w:hyperlink r:id="rId29" w:history="1">
              <w:r w:rsidR="00D57CF3" w:rsidRPr="00291AFA">
                <w:rPr>
                  <w:rStyle w:val="Hyperlink"/>
                  <w:rFonts w:cs="Open Sans"/>
                </w:rPr>
                <w:t>partner</w:t>
              </w:r>
              <w:r w:rsidR="00D57CF3" w:rsidRPr="002A6EEB">
                <w:rPr>
                  <w:rStyle w:val="Hyperlink"/>
                  <w:rFonts w:cs="Open Sans"/>
                </w:rPr>
                <w:t xml:space="preserve"> and partners</w:t>
              </w:r>
            </w:hyperlink>
            <w:r w:rsidR="00D57CF3" w:rsidRPr="0044249B">
              <w:rPr>
                <w:rFonts w:cs="Open Sans"/>
              </w:rPr>
              <w:t>;</w:t>
            </w:r>
            <w:r w:rsidR="00D57CF3" w:rsidRPr="00291AFA">
              <w:rPr>
                <w:rFonts w:cs="Open Sans"/>
              </w:rPr>
              <w:t xml:space="preserve"> </w:t>
            </w:r>
            <w:hyperlink r:id="rId30" w:history="1">
              <w:r w:rsidR="00D57CF3" w:rsidRPr="00291AFA">
                <w:rPr>
                  <w:rStyle w:val="Hyperlink"/>
                  <w:rFonts w:cs="Open Sans"/>
                </w:rPr>
                <w:t>commission agent</w:t>
              </w:r>
              <w:r w:rsidR="00D57CF3" w:rsidRPr="002A6EEB">
                <w:rPr>
                  <w:rStyle w:val="Hyperlink"/>
                  <w:rFonts w:cs="Open Sans"/>
                </w:rPr>
                <w:t xml:space="preserve"> and principal</w:t>
              </w:r>
            </w:hyperlink>
            <w:r w:rsidR="00D57CF3" w:rsidRPr="0044249B">
              <w:rPr>
                <w:rFonts w:cs="Open Sans"/>
              </w:rPr>
              <w:t>;</w:t>
            </w:r>
            <w:r w:rsidR="00D57CF3" w:rsidRPr="00291AFA">
              <w:rPr>
                <w:rFonts w:cs="Open Sans"/>
              </w:rPr>
              <w:t xml:space="preserve"> </w:t>
            </w:r>
            <w:hyperlink r:id="rId31" w:history="1">
              <w:r w:rsidR="00D57CF3" w:rsidRPr="00291AFA">
                <w:rPr>
                  <w:rStyle w:val="Hyperlink"/>
                  <w:rFonts w:cs="Open Sans"/>
                </w:rPr>
                <w:t>contract worker</w:t>
              </w:r>
              <w:r w:rsidR="00D57CF3" w:rsidRPr="002A6EEB">
                <w:rPr>
                  <w:rStyle w:val="Hyperlink"/>
                  <w:rFonts w:cs="Open Sans"/>
                </w:rPr>
                <w:t xml:space="preserve"> and principal</w:t>
              </w:r>
            </w:hyperlink>
            <w:r w:rsidR="00D57CF3" w:rsidRPr="0044249B">
              <w:rPr>
                <w:rFonts w:cs="Open Sans"/>
              </w:rPr>
              <w:t>;</w:t>
            </w:r>
            <w:r w:rsidR="00D57CF3" w:rsidRPr="00291AFA">
              <w:rPr>
                <w:rFonts w:cs="Open Sans"/>
              </w:rPr>
              <w:t xml:space="preserve"> or an </w:t>
            </w:r>
            <w:hyperlink r:id="rId32" w:history="1">
              <w:r w:rsidR="00D57CF3" w:rsidRPr="00291AFA">
                <w:rPr>
                  <w:rStyle w:val="Hyperlink"/>
                  <w:rFonts w:cs="Open Sans"/>
                </w:rPr>
                <w:t>employment agency</w:t>
              </w:r>
              <w:r w:rsidR="00D57CF3" w:rsidRPr="002A6EEB">
                <w:rPr>
                  <w:rStyle w:val="Hyperlink"/>
                  <w:rFonts w:cs="Open Sans"/>
                </w:rPr>
                <w:t>, employer and employee</w:t>
              </w:r>
            </w:hyperlink>
            <w:r w:rsidR="00751B96">
              <w:rPr>
                <w:rStyle w:val="Hyperlink"/>
                <w:rFonts w:cs="Open Sans"/>
              </w:rPr>
              <w:t>/worker</w:t>
            </w:r>
            <w:r w:rsidR="00D57CF3" w:rsidRPr="00291AFA">
              <w:rPr>
                <w:rFonts w:cs="Open Sans"/>
              </w:rPr>
              <w:t>.</w:t>
            </w:r>
          </w:p>
          <w:p w14:paraId="7EF454C5" w14:textId="42E147ED" w:rsidR="004F4BEE" w:rsidRDefault="00B13EA4" w:rsidP="00BA67F1">
            <w:pPr>
              <w:spacing w:before="0"/>
            </w:pPr>
            <w:r>
              <w:t xml:space="preserve">See </w:t>
            </w:r>
            <w:r w:rsidRPr="004F4BEE">
              <w:rPr>
                <w:b/>
                <w:color w:val="0070C0"/>
              </w:rPr>
              <w:t xml:space="preserve">section </w:t>
            </w:r>
            <w:r w:rsidR="00601FE6" w:rsidRPr="004F4BEE">
              <w:rPr>
                <w:b/>
                <w:color w:val="0070C0"/>
              </w:rPr>
              <w:fldChar w:fldCharType="begin"/>
            </w:r>
            <w:r w:rsidR="00601FE6" w:rsidRPr="004F4BEE">
              <w:rPr>
                <w:b/>
                <w:color w:val="0070C0"/>
              </w:rPr>
              <w:instrText xml:space="preserve"> REF _Ref7895254 \r \h  \* MERGEFORMAT </w:instrText>
            </w:r>
            <w:r w:rsidR="00601FE6" w:rsidRPr="004F4BEE">
              <w:rPr>
                <w:b/>
                <w:color w:val="0070C0"/>
              </w:rPr>
            </w:r>
            <w:r w:rsidR="00601FE6" w:rsidRPr="004F4BEE">
              <w:rPr>
                <w:b/>
                <w:color w:val="0070C0"/>
              </w:rPr>
              <w:fldChar w:fldCharType="separate"/>
            </w:r>
            <w:r w:rsidR="00DB709A">
              <w:rPr>
                <w:b/>
                <w:color w:val="0070C0"/>
              </w:rPr>
              <w:t>2.2</w:t>
            </w:r>
            <w:r w:rsidR="00601FE6" w:rsidRPr="004F4BEE">
              <w:rPr>
                <w:b/>
                <w:color w:val="0070C0"/>
              </w:rPr>
              <w:fldChar w:fldCharType="end"/>
            </w:r>
            <w:r w:rsidR="00601FE6">
              <w:t xml:space="preserve"> </w:t>
            </w:r>
            <w:r>
              <w:t xml:space="preserve">for a detailed discussion </w:t>
            </w:r>
            <w:r w:rsidR="00C91ED7">
              <w:t>about</w:t>
            </w:r>
            <w:r>
              <w:t xml:space="preserve"> how the Act applies to these different relationships.</w:t>
            </w:r>
          </w:p>
          <w:p w14:paraId="6C8DBA21" w14:textId="0F0A8E2F" w:rsidR="00D57CF3" w:rsidRPr="00535918" w:rsidRDefault="00D57CF3" w:rsidP="00BA67F1">
            <w:pPr>
              <w:spacing w:before="0"/>
              <w:rPr>
                <w:b/>
              </w:rPr>
            </w:pPr>
            <w:r>
              <w:rPr>
                <w:b/>
              </w:rPr>
              <w:t>Work</w:t>
            </w:r>
          </w:p>
          <w:p w14:paraId="142A7AFA" w14:textId="40C5ED05" w:rsidR="00B13EA4" w:rsidRDefault="00B13EA4" w:rsidP="00BA67F1">
            <w:pPr>
              <w:spacing w:before="0"/>
            </w:pPr>
            <w:r>
              <w:t xml:space="preserve">‘Work’ is not defined in the Act. It is used in this guide to refer to activities undertaken in the context of the </w:t>
            </w:r>
            <w:r w:rsidR="00D57CF3">
              <w:t>relationships</w:t>
            </w:r>
            <w:r>
              <w:t xml:space="preserve"> outlined above. Examples of work include the activities </w:t>
            </w:r>
            <w:r w:rsidR="00D57CF3">
              <w:t>of</w:t>
            </w:r>
            <w:r>
              <w:t xml:space="preserve"> a partner in an accounting firm</w:t>
            </w:r>
            <w:r w:rsidR="00D53D6F">
              <w:t xml:space="preserve"> with </w:t>
            </w:r>
            <w:r w:rsidR="00D81399">
              <w:t>six</w:t>
            </w:r>
            <w:r w:rsidR="00D53D6F">
              <w:t xml:space="preserve"> or more partners</w:t>
            </w:r>
            <w:r w:rsidR="00D65D2D">
              <w:t>,</w:t>
            </w:r>
            <w:r>
              <w:t xml:space="preserve"> or a barista employed in a café.</w:t>
            </w:r>
          </w:p>
          <w:p w14:paraId="3CBC8D61" w14:textId="77777777" w:rsidR="00D57CF3" w:rsidRPr="00535918" w:rsidRDefault="00D57CF3" w:rsidP="00BA67F1">
            <w:pPr>
              <w:spacing w:before="0"/>
              <w:rPr>
                <w:b/>
              </w:rPr>
            </w:pPr>
            <w:r>
              <w:rPr>
                <w:b/>
              </w:rPr>
              <w:t>Work provider</w:t>
            </w:r>
          </w:p>
          <w:p w14:paraId="2888A3CC" w14:textId="784E2850" w:rsidR="00B13EA4" w:rsidRDefault="00B13EA4" w:rsidP="00BA67F1">
            <w:pPr>
              <w:spacing w:before="0"/>
            </w:pPr>
            <w:r>
              <w:t xml:space="preserve">The term ‘work provider’ </w:t>
            </w:r>
            <w:r w:rsidR="00C91ED7">
              <w:t xml:space="preserve">is not used in the Act. It </w:t>
            </w:r>
            <w:r w:rsidR="00C87F4F">
              <w:t xml:space="preserve">is a collective term used in this guide to </w:t>
            </w:r>
            <w:r>
              <w:t>refer to all parties who engage another person to do work or partner with them in a partnership</w:t>
            </w:r>
            <w:r w:rsidR="00F1505A">
              <w:t xml:space="preserve"> </w:t>
            </w:r>
            <w:r w:rsidR="00066936">
              <w:t>w</w:t>
            </w:r>
            <w:r>
              <w:t>hether as an employer, fellow partner, principal (in the context of a commission agent or contract worker) or employment agency</w:t>
            </w:r>
            <w:r w:rsidR="00C87F4F">
              <w:t>.</w:t>
            </w:r>
          </w:p>
          <w:p w14:paraId="1D008F9F" w14:textId="22FD4BEF" w:rsidR="00D57CF3" w:rsidRDefault="00D57CF3" w:rsidP="00BA67F1">
            <w:pPr>
              <w:spacing w:before="0"/>
            </w:pPr>
            <w:r>
              <w:rPr>
                <w:b/>
              </w:rPr>
              <w:t>Workplace</w:t>
            </w:r>
          </w:p>
          <w:p w14:paraId="39927751" w14:textId="77777777" w:rsidR="00B13EA4" w:rsidRDefault="00B13EA4" w:rsidP="00BA67F1">
            <w:pPr>
              <w:spacing w:before="0"/>
            </w:pPr>
            <w:r>
              <w:t>‘Workplace’ is not defined in the Act but is used in this guide as a collective term to refer to all of the places and contexts in which work is conducted. Examples of workplaces include an office, factory, shop, or café.</w:t>
            </w:r>
          </w:p>
        </w:tc>
      </w:tr>
    </w:tbl>
    <w:p w14:paraId="0F10D6ED" w14:textId="77777777" w:rsidR="00A81856" w:rsidRPr="00A81856" w:rsidRDefault="00A81856" w:rsidP="00A81856">
      <w:bookmarkStart w:id="3" w:name="_Toc5694002"/>
      <w:bookmarkEnd w:id="3"/>
    </w:p>
    <w:p w14:paraId="0E187052" w14:textId="77777777" w:rsidR="00A81856" w:rsidRDefault="00A81856">
      <w:pPr>
        <w:keepLines w:val="0"/>
        <w:spacing w:before="0" w:after="0"/>
        <w:rPr>
          <w:b/>
          <w:bCs/>
          <w:sz w:val="36"/>
          <w:szCs w:val="28"/>
        </w:rPr>
      </w:pPr>
      <w:r>
        <w:br w:type="page"/>
      </w:r>
    </w:p>
    <w:p w14:paraId="45DE6E08" w14:textId="1411E8B0" w:rsidR="0001353D" w:rsidRDefault="0001353D" w:rsidP="00BA67F1">
      <w:pPr>
        <w:pStyle w:val="Heading1"/>
      </w:pPr>
      <w:bookmarkStart w:id="4" w:name="_Toc14338756"/>
      <w:r>
        <w:lastRenderedPageBreak/>
        <w:t>What does the law say?</w:t>
      </w:r>
      <w:bookmarkEnd w:id="4"/>
    </w:p>
    <w:p w14:paraId="01300EE3" w14:textId="14F2B889" w:rsidR="000A2917" w:rsidRDefault="000A2917" w:rsidP="00BA67F1">
      <w:r>
        <w:t xml:space="preserve">This section outlines the relevant provisions of the federal </w:t>
      </w:r>
      <w:r w:rsidR="001852EC">
        <w:t>Act</w:t>
      </w:r>
      <w:r>
        <w:t>.</w:t>
      </w:r>
    </w:p>
    <w:p w14:paraId="2BB7D61C" w14:textId="3E9E0B74" w:rsidR="000A2917" w:rsidRDefault="000A2917" w:rsidP="00951187">
      <w:pPr>
        <w:spacing w:after="360"/>
      </w:pPr>
      <w:r>
        <w:t>In addition to the federal Act, employers</w:t>
      </w:r>
      <w:r w:rsidR="001852EC">
        <w:t xml:space="preserve"> and other work providers</w:t>
      </w:r>
      <w:r>
        <w:t xml:space="preserve"> also have obligations under state and ter</w:t>
      </w:r>
      <w:r w:rsidR="00FA0F65">
        <w:t>ritory anti-discrimination laws.</w:t>
      </w:r>
    </w:p>
    <w:tbl>
      <w:tblPr>
        <w:tblStyle w:val="TableGrid"/>
        <w:tblW w:w="0" w:type="auto"/>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0A2917" w14:paraId="15BEC440" w14:textId="77777777" w:rsidTr="008B2E14">
        <w:tc>
          <w:tcPr>
            <w:tcW w:w="9016" w:type="dxa"/>
            <w:shd w:val="clear" w:color="auto" w:fill="E2EFD9" w:themeFill="accent6" w:themeFillTint="33"/>
          </w:tcPr>
          <w:p w14:paraId="469DBA21" w14:textId="77777777" w:rsidR="000A2917" w:rsidRDefault="000A2917" w:rsidP="00C30784">
            <w:pPr>
              <w:spacing w:before="0"/>
              <w:rPr>
                <w:b/>
              </w:rPr>
            </w:pPr>
            <w:r w:rsidRPr="000A2917">
              <w:rPr>
                <w:b/>
              </w:rPr>
              <w:t xml:space="preserve">Summary of the federal </w:t>
            </w:r>
            <w:r w:rsidRPr="000A2917">
              <w:rPr>
                <w:b/>
                <w:i/>
              </w:rPr>
              <w:t xml:space="preserve">Age Discrimination Act 2004 </w:t>
            </w:r>
            <w:r w:rsidRPr="000A2917">
              <w:rPr>
                <w:b/>
              </w:rPr>
              <w:t>(</w:t>
            </w:r>
            <w:proofErr w:type="spellStart"/>
            <w:r w:rsidRPr="000A2917">
              <w:rPr>
                <w:b/>
              </w:rPr>
              <w:t>Cth</w:t>
            </w:r>
            <w:proofErr w:type="spellEnd"/>
            <w:r w:rsidRPr="000A2917">
              <w:rPr>
                <w:b/>
              </w:rPr>
              <w:t>)</w:t>
            </w:r>
          </w:p>
          <w:p w14:paraId="2BFA4DAF" w14:textId="79522C20" w:rsidR="000A2917" w:rsidRDefault="000A2917" w:rsidP="00BA67F1">
            <w:r>
              <w:t xml:space="preserve">It is unlawful </w:t>
            </w:r>
            <w:r w:rsidR="00D53D6F">
              <w:t xml:space="preserve">for a work provider to </w:t>
            </w:r>
            <w:r>
              <w:t>discriminat</w:t>
            </w:r>
            <w:r w:rsidR="001852EC">
              <w:t>e</w:t>
            </w:r>
            <w:r>
              <w:t xml:space="preserve"> on the basis of age in </w:t>
            </w:r>
            <w:r w:rsidR="00D57CF3">
              <w:t xml:space="preserve">a work context </w:t>
            </w:r>
            <w:r>
              <w:t>unless:</w:t>
            </w:r>
          </w:p>
          <w:p w14:paraId="3C82EB85" w14:textId="77777777" w:rsidR="000A2917" w:rsidRPr="000A2917" w:rsidRDefault="000A2917" w:rsidP="00BA67F1">
            <w:pPr>
              <w:pStyle w:val="ListParagraph"/>
              <w:numPr>
                <w:ilvl w:val="0"/>
                <w:numId w:val="16"/>
              </w:numPr>
              <w:rPr>
                <w:i/>
              </w:rPr>
            </w:pPr>
            <w:r>
              <w:t>the different treatment amounts to ‘positive discrimination’, or</w:t>
            </w:r>
          </w:p>
          <w:p w14:paraId="059228F5" w14:textId="77777777" w:rsidR="000A2917" w:rsidRPr="000A2917" w:rsidRDefault="000A2917" w:rsidP="00BA67F1">
            <w:pPr>
              <w:pStyle w:val="ListParagraph"/>
              <w:numPr>
                <w:ilvl w:val="0"/>
                <w:numId w:val="16"/>
              </w:numPr>
              <w:rPr>
                <w:i/>
              </w:rPr>
            </w:pPr>
            <w:r>
              <w:t>an exemption</w:t>
            </w:r>
            <w:r w:rsidR="00D57CF3">
              <w:t xml:space="preserve"> </w:t>
            </w:r>
            <w:r>
              <w:t>applies.</w:t>
            </w:r>
          </w:p>
          <w:p w14:paraId="5339F819" w14:textId="7B977998" w:rsidR="000A2917" w:rsidRPr="00A12D47" w:rsidRDefault="000A2917" w:rsidP="00BA67F1">
            <w:r w:rsidRPr="00A12D47">
              <w:rPr>
                <w:b/>
              </w:rPr>
              <w:t>Positive discrimination</w:t>
            </w:r>
            <w:r w:rsidR="00A12D47">
              <w:rPr>
                <w:b/>
              </w:rPr>
              <w:t xml:space="preserve"> </w:t>
            </w:r>
            <w:r w:rsidR="00D53D6F">
              <w:t xml:space="preserve">includes </w:t>
            </w:r>
            <w:r w:rsidR="00A12D47">
              <w:t xml:space="preserve">a measure put in place to provide a benefit to a </w:t>
            </w:r>
            <w:r w:rsidR="00D53D6F">
              <w:t>person of a particular age group</w:t>
            </w:r>
            <w:r w:rsidR="00A12D47">
              <w:t>.</w:t>
            </w:r>
          </w:p>
          <w:p w14:paraId="71EFC0A7" w14:textId="1508D330" w:rsidR="000A2917" w:rsidRPr="000A2917" w:rsidRDefault="000A2917" w:rsidP="007C3120">
            <w:pPr>
              <w:spacing w:after="100"/>
            </w:pPr>
            <w:r>
              <w:t xml:space="preserve">An </w:t>
            </w:r>
            <w:r>
              <w:rPr>
                <w:b/>
              </w:rPr>
              <w:t>exemption</w:t>
            </w:r>
            <w:r>
              <w:t xml:space="preserve"> ‘exempts’ a person or organisation from the operation of the </w:t>
            </w:r>
            <w:proofErr w:type="gramStart"/>
            <w:r>
              <w:t>Act, and</w:t>
            </w:r>
            <w:proofErr w:type="gramEnd"/>
            <w:r>
              <w:t xml:space="preserve"> means that a successful claim of unlawful discrimination cannot be brought. </w:t>
            </w:r>
            <w:r w:rsidR="00A12D47">
              <w:t>The Act provides for specific exemptions (for example,</w:t>
            </w:r>
            <w:r w:rsidR="00B972E5">
              <w:t xml:space="preserve"> the</w:t>
            </w:r>
            <w:r w:rsidR="00A12D47">
              <w:t xml:space="preserve"> inherent requirements of the job</w:t>
            </w:r>
            <w:r w:rsidR="007E0CC7">
              <w:t xml:space="preserve"> or domestic duties</w:t>
            </w:r>
            <w:r w:rsidR="00A12D47">
              <w:t>), general exemptions, and temporary exemptions.</w:t>
            </w:r>
          </w:p>
        </w:tc>
      </w:tr>
    </w:tbl>
    <w:p w14:paraId="527B8F36" w14:textId="77777777" w:rsidR="001F197A" w:rsidRDefault="0001353D" w:rsidP="00951187">
      <w:pPr>
        <w:pStyle w:val="Heading2"/>
        <w:spacing w:before="600"/>
      </w:pPr>
      <w:bookmarkStart w:id="5" w:name="_Toc14338757"/>
      <w:r>
        <w:t>What is discrimination on the basis of age?</w:t>
      </w:r>
      <w:bookmarkEnd w:id="5"/>
    </w:p>
    <w:p w14:paraId="6931DACA" w14:textId="7D20BCA4" w:rsidR="001F197A" w:rsidRDefault="001F197A" w:rsidP="00BA67F1">
      <w:r>
        <w:t xml:space="preserve">The Act operates to prohibit discrimination against older Australians, as well as younger Australians in certain areas of public life. ‘Age’ is defined to </w:t>
      </w:r>
      <w:r w:rsidR="00033C5D">
        <w:t>include ‘age group</w:t>
      </w:r>
      <w:r w:rsidR="00A12D47">
        <w:t>’, a term which is undefined</w:t>
      </w:r>
      <w:r>
        <w:t>.</w:t>
      </w:r>
      <w:r>
        <w:rPr>
          <w:rStyle w:val="EndnoteReference"/>
        </w:rPr>
        <w:endnoteReference w:id="4"/>
      </w:r>
      <w:r w:rsidR="007F323C">
        <w:t xml:space="preserve"> </w:t>
      </w:r>
      <w:r w:rsidR="00D9008A">
        <w:t>This guide focuses on the</w:t>
      </w:r>
      <w:r w:rsidR="007F323C">
        <w:t xml:space="preserve"> experience</w:t>
      </w:r>
      <w:r w:rsidR="00C3694C">
        <w:t>s</w:t>
      </w:r>
      <w:r w:rsidR="007F323C">
        <w:t xml:space="preserve"> of older workers.</w:t>
      </w:r>
    </w:p>
    <w:p w14:paraId="38A35EDC" w14:textId="77777777" w:rsidR="007301FA" w:rsidRDefault="007301FA" w:rsidP="00BA67F1">
      <w:r>
        <w:t>Under the Act, discrimination on the basis of age can include both direct and indirect discrimination.</w:t>
      </w:r>
    </w:p>
    <w:p w14:paraId="5744FC98" w14:textId="77777777" w:rsidR="00A81856" w:rsidRDefault="00A81856">
      <w:pPr>
        <w:keepLines w:val="0"/>
        <w:spacing w:before="0" w:after="0"/>
      </w:pPr>
      <w:r>
        <w:br w:type="page"/>
      </w:r>
    </w:p>
    <w:p w14:paraId="6E7AF1D7" w14:textId="5A99BF19" w:rsidR="007301FA" w:rsidRDefault="007301FA" w:rsidP="00951187">
      <w:pPr>
        <w:spacing w:after="360"/>
      </w:pPr>
      <w:r>
        <w:t>‘Direct discrimination’ occurs when a p</w:t>
      </w:r>
      <w:r w:rsidR="00281D09">
        <w:t>erson is treated less favourably</w:t>
      </w:r>
      <w:r>
        <w:t xml:space="preserve"> than another person because of their age, or a characteristic generally associated with a person of that age, in circumstances that are the same or not materially different.</w:t>
      </w:r>
      <w:r>
        <w:rPr>
          <w:rStyle w:val="EndnoteReference"/>
        </w:rPr>
        <w:endnoteReference w:id="5"/>
      </w:r>
    </w:p>
    <w:tbl>
      <w:tblPr>
        <w:tblStyle w:val="TableGrid"/>
        <w:tblW w:w="0" w:type="auto"/>
        <w:shd w:val="clear" w:color="auto" w:fill="BDD6EE" w:themeFill="accent1" w:themeFillTint="66"/>
        <w:tblLook w:val="04A0" w:firstRow="1" w:lastRow="0" w:firstColumn="1" w:lastColumn="0" w:noHBand="0" w:noVBand="1"/>
      </w:tblPr>
      <w:tblGrid>
        <w:gridCol w:w="1206"/>
        <w:gridCol w:w="7810"/>
      </w:tblGrid>
      <w:tr w:rsidR="00475928" w14:paraId="65538A55" w14:textId="77777777" w:rsidTr="00951187">
        <w:tc>
          <w:tcPr>
            <w:tcW w:w="988" w:type="dxa"/>
            <w:tcBorders>
              <w:right w:val="nil"/>
            </w:tcBorders>
            <w:shd w:val="clear" w:color="auto" w:fill="BDD6EE" w:themeFill="accent1" w:themeFillTint="66"/>
          </w:tcPr>
          <w:p w14:paraId="7D9CAFBA" w14:textId="77777777" w:rsidR="00475928" w:rsidRDefault="00475928" w:rsidP="00BA67F1">
            <w:r>
              <w:rPr>
                <w:noProof/>
              </w:rPr>
              <w:drawing>
                <wp:inline distT="0" distB="0" distL="0" distR="0" wp14:anchorId="635E8E9D" wp14:editId="3F1D28A8">
                  <wp:extent cx="628650" cy="628650"/>
                  <wp:effectExtent l="0" t="0" r="0" b="0"/>
                  <wp:docPr id="20"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28650" cy="628650"/>
                          </a:xfrm>
                          <a:prstGeom prst="rect">
                            <a:avLst/>
                          </a:prstGeom>
                        </pic:spPr>
                      </pic:pic>
                    </a:graphicData>
                  </a:graphic>
                </wp:inline>
              </w:drawing>
            </w:r>
          </w:p>
        </w:tc>
        <w:tc>
          <w:tcPr>
            <w:tcW w:w="8028" w:type="dxa"/>
            <w:tcBorders>
              <w:left w:val="nil"/>
            </w:tcBorders>
            <w:shd w:val="clear" w:color="auto" w:fill="BDD6EE" w:themeFill="accent1" w:themeFillTint="66"/>
          </w:tcPr>
          <w:p w14:paraId="7F0E5EB0" w14:textId="661F8458" w:rsidR="00475928" w:rsidRDefault="00D57CF3" w:rsidP="00BA67F1">
            <w:r>
              <w:t xml:space="preserve">For example, </w:t>
            </w:r>
            <w:r w:rsidRPr="00D317CD">
              <w:t xml:space="preserve">if a person is selected for </w:t>
            </w:r>
            <w:r>
              <w:t xml:space="preserve">a </w:t>
            </w:r>
            <w:r w:rsidRPr="00D317CD">
              <w:t xml:space="preserve">redundancy simply because </w:t>
            </w:r>
            <w:r>
              <w:t>they are aged over 5</w:t>
            </w:r>
            <w:r w:rsidR="00C3694C">
              <w:t>5</w:t>
            </w:r>
            <w:r w:rsidR="003F16E9">
              <w:t xml:space="preserve"> this </w:t>
            </w:r>
            <w:r w:rsidR="00476428">
              <w:t>is likely to</w:t>
            </w:r>
            <w:r w:rsidR="003F16E9">
              <w:t xml:space="preserve"> amount to </w:t>
            </w:r>
            <w:r w:rsidR="00476428">
              <w:t xml:space="preserve">direct </w:t>
            </w:r>
            <w:r w:rsidR="003F16E9">
              <w:t>discrimination on the basis of age.</w:t>
            </w:r>
          </w:p>
        </w:tc>
      </w:tr>
    </w:tbl>
    <w:p w14:paraId="50EEDD95" w14:textId="62250393" w:rsidR="007301FA" w:rsidRDefault="00475928" w:rsidP="00951187">
      <w:pPr>
        <w:spacing w:after="360"/>
      </w:pPr>
      <w:r w:rsidDel="00475928">
        <w:t xml:space="preserve"> </w:t>
      </w:r>
      <w:r w:rsidR="007301FA">
        <w:t>‘Indirect discrimination’ can be less obvious. Indirect discrimination occurs when a condition, requirement or practice that applies to everyone, disadvantages pe</w:t>
      </w:r>
      <w:r w:rsidR="00691CCA">
        <w:t xml:space="preserve">ople </w:t>
      </w:r>
      <w:r w:rsidR="007301FA">
        <w:t>of a particular age, and the condition, requirement or practice is not reasonable in the circumstances.</w:t>
      </w:r>
      <w:r w:rsidR="007301FA">
        <w:rPr>
          <w:rStyle w:val="EndnoteReference"/>
        </w:rPr>
        <w:endnoteReference w:id="6"/>
      </w:r>
      <w:r w:rsidR="00A0070D">
        <w:t xml:space="preserve"> In </w:t>
      </w:r>
      <w:r w:rsidR="001A394B">
        <w:t>a work</w:t>
      </w:r>
      <w:r w:rsidR="00A0070D">
        <w:t xml:space="preserve"> context the employe</w:t>
      </w:r>
      <w:r w:rsidR="001A394B">
        <w:t>r</w:t>
      </w:r>
      <w:r w:rsidR="00A0070D">
        <w:t xml:space="preserve"> </w:t>
      </w:r>
      <w:r w:rsidR="005E1FCE">
        <w:t>or work provider</w:t>
      </w:r>
      <w:r w:rsidR="009A3C11">
        <w:t xml:space="preserve"> is required</w:t>
      </w:r>
      <w:r w:rsidR="005E1FCE">
        <w:t xml:space="preserve"> </w:t>
      </w:r>
      <w:r w:rsidR="00A0070D">
        <w:t>to prove that the condition, requirement or practice was reasonable.</w:t>
      </w:r>
      <w:r w:rsidR="00A0070D">
        <w:rPr>
          <w:rStyle w:val="EndnoteReference"/>
        </w:rPr>
        <w:endnoteReference w:id="7"/>
      </w:r>
    </w:p>
    <w:tbl>
      <w:tblPr>
        <w:tblStyle w:val="TableGrid"/>
        <w:tblW w:w="0" w:type="auto"/>
        <w:shd w:val="clear" w:color="auto" w:fill="BDD6EE" w:themeFill="accent1" w:themeFillTint="66"/>
        <w:tblLook w:val="04A0" w:firstRow="1" w:lastRow="0" w:firstColumn="1" w:lastColumn="0" w:noHBand="0" w:noVBand="1"/>
      </w:tblPr>
      <w:tblGrid>
        <w:gridCol w:w="1206"/>
        <w:gridCol w:w="7810"/>
      </w:tblGrid>
      <w:tr w:rsidR="00475928" w14:paraId="2178BB08" w14:textId="77777777" w:rsidTr="00951187">
        <w:tc>
          <w:tcPr>
            <w:tcW w:w="988" w:type="dxa"/>
            <w:tcBorders>
              <w:right w:val="nil"/>
            </w:tcBorders>
            <w:shd w:val="clear" w:color="auto" w:fill="BDD6EE" w:themeFill="accent1" w:themeFillTint="66"/>
          </w:tcPr>
          <w:p w14:paraId="76B77CE2" w14:textId="77777777" w:rsidR="00475928" w:rsidRDefault="00475928" w:rsidP="00BA67F1">
            <w:r>
              <w:rPr>
                <w:noProof/>
              </w:rPr>
              <w:drawing>
                <wp:inline distT="0" distB="0" distL="0" distR="0" wp14:anchorId="26D21D5B" wp14:editId="7DDD0DB3">
                  <wp:extent cx="628650" cy="628650"/>
                  <wp:effectExtent l="0" t="0" r="0" b="0"/>
                  <wp:docPr id="21"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28650" cy="628650"/>
                          </a:xfrm>
                          <a:prstGeom prst="rect">
                            <a:avLst/>
                          </a:prstGeom>
                        </pic:spPr>
                      </pic:pic>
                    </a:graphicData>
                  </a:graphic>
                </wp:inline>
              </w:drawing>
            </w:r>
          </w:p>
        </w:tc>
        <w:tc>
          <w:tcPr>
            <w:tcW w:w="8028" w:type="dxa"/>
            <w:tcBorders>
              <w:left w:val="nil"/>
            </w:tcBorders>
            <w:shd w:val="clear" w:color="auto" w:fill="BDD6EE" w:themeFill="accent1" w:themeFillTint="66"/>
          </w:tcPr>
          <w:p w14:paraId="783EEF8C" w14:textId="3530CDCF" w:rsidR="00475928" w:rsidRPr="00C55E49" w:rsidRDefault="00796D2B" w:rsidP="00BA67F1">
            <w:r w:rsidRPr="00C55E49">
              <w:t xml:space="preserve">For </w:t>
            </w:r>
            <w:r w:rsidRPr="00C55E49">
              <w:rPr>
                <w:rFonts w:cs="Open Sans"/>
              </w:rPr>
              <w:t>example</w:t>
            </w:r>
            <w:r w:rsidR="00C55E49" w:rsidRPr="00C55E49">
              <w:rPr>
                <w:rFonts w:cs="Open Sans"/>
              </w:rPr>
              <w:t>, it coul</w:t>
            </w:r>
            <w:r w:rsidR="00C55E49" w:rsidRPr="003C3043">
              <w:rPr>
                <w:rFonts w:cs="Open Sans"/>
              </w:rPr>
              <w:t xml:space="preserve">d be indirect discrimination if </w:t>
            </w:r>
            <w:r w:rsidR="00C55E49" w:rsidRPr="00951187">
              <w:rPr>
                <w:rFonts w:cs="Open Sans"/>
              </w:rPr>
              <w:t>an</w:t>
            </w:r>
            <w:r w:rsidR="00C55E49" w:rsidRPr="00951187">
              <w:rPr>
                <w:rFonts w:cs="Open Sans"/>
                <w:color w:val="000000"/>
              </w:rPr>
              <w:t xml:space="preserve"> employer requires an older person to meet a physical fitness test, which more young people are able to meet, if that fitness standard is not necessary for the job in question.</w:t>
            </w:r>
          </w:p>
        </w:tc>
      </w:tr>
    </w:tbl>
    <w:p w14:paraId="2FABEE69" w14:textId="77777777" w:rsidR="00F44BA3" w:rsidRDefault="00F44BA3" w:rsidP="00BA67F1">
      <w:pPr>
        <w:pStyle w:val="Heading2"/>
        <w:sectPr w:rsidR="00F44BA3" w:rsidSect="003752AC">
          <w:endnotePr>
            <w:numFmt w:val="decimal"/>
          </w:endnotePr>
          <w:pgSz w:w="11906" w:h="16838" w:code="9"/>
          <w:pgMar w:top="1077" w:right="1440" w:bottom="1077" w:left="1440" w:header="709" w:footer="709" w:gutter="0"/>
          <w:cols w:space="708"/>
          <w:docGrid w:linePitch="360"/>
        </w:sectPr>
      </w:pPr>
    </w:p>
    <w:p w14:paraId="71E5F713" w14:textId="77777777" w:rsidR="0001353D" w:rsidRDefault="0001353D" w:rsidP="00BA67F1">
      <w:pPr>
        <w:pStyle w:val="Heading2"/>
      </w:pPr>
      <w:bookmarkStart w:id="6" w:name="_Ref7895254"/>
      <w:bookmarkStart w:id="7" w:name="_Ref7895256"/>
      <w:bookmarkStart w:id="8" w:name="_Toc14338758"/>
      <w:r>
        <w:lastRenderedPageBreak/>
        <w:t>When is it unlawful to discriminate</w:t>
      </w:r>
      <w:r w:rsidR="001021C8">
        <w:t xml:space="preserve"> in </w:t>
      </w:r>
      <w:r w:rsidR="00475928">
        <w:t xml:space="preserve">a </w:t>
      </w:r>
      <w:r w:rsidR="001021C8">
        <w:t>work</w:t>
      </w:r>
      <w:r w:rsidR="00475928">
        <w:t xml:space="preserve"> context</w:t>
      </w:r>
      <w:r>
        <w:t>?</w:t>
      </w:r>
      <w:bookmarkEnd w:id="6"/>
      <w:bookmarkEnd w:id="7"/>
      <w:bookmarkEnd w:id="8"/>
    </w:p>
    <w:p w14:paraId="1E44984E" w14:textId="7C9A5EB4" w:rsidR="00796D2B" w:rsidRDefault="00796D2B" w:rsidP="00BA67F1">
      <w:r w:rsidRPr="000F280F">
        <w:t xml:space="preserve">The Act makes it unlawful to discriminate on the basis of age </w:t>
      </w:r>
      <w:r>
        <w:t>in the workplace in relation to</w:t>
      </w:r>
      <w:r w:rsidR="00563DEF">
        <w:t>, amongst other things</w:t>
      </w:r>
      <w:r>
        <w:t>:</w:t>
      </w:r>
    </w:p>
    <w:p w14:paraId="48939A50" w14:textId="77777777" w:rsidR="00796D2B" w:rsidRDefault="00796D2B" w:rsidP="00BA67F1">
      <w:pPr>
        <w:pStyle w:val="ListParagraph"/>
        <w:numPr>
          <w:ilvl w:val="0"/>
          <w:numId w:val="51"/>
        </w:numPr>
      </w:pPr>
      <w:r>
        <w:t>recruitment arrangements</w:t>
      </w:r>
    </w:p>
    <w:p w14:paraId="6193CED2" w14:textId="77777777" w:rsidR="00796D2B" w:rsidRDefault="00796D2B" w:rsidP="00BA67F1">
      <w:pPr>
        <w:pStyle w:val="ListParagraph"/>
        <w:numPr>
          <w:ilvl w:val="0"/>
          <w:numId w:val="51"/>
        </w:numPr>
      </w:pPr>
      <w:r>
        <w:t>decisions about who should be offered a role</w:t>
      </w:r>
    </w:p>
    <w:p w14:paraId="7E722D5F" w14:textId="77777777" w:rsidR="00796D2B" w:rsidRDefault="00563DEF" w:rsidP="00BA67F1">
      <w:pPr>
        <w:pStyle w:val="ListParagraph"/>
        <w:numPr>
          <w:ilvl w:val="0"/>
          <w:numId w:val="51"/>
        </w:numPr>
      </w:pPr>
      <w:r>
        <w:t xml:space="preserve">access to </w:t>
      </w:r>
      <w:r w:rsidR="00796D2B">
        <w:t>the benefits of a role</w:t>
      </w:r>
    </w:p>
    <w:p w14:paraId="7D43829B" w14:textId="77777777" w:rsidR="00796D2B" w:rsidRDefault="00796D2B" w:rsidP="00BA67F1">
      <w:pPr>
        <w:pStyle w:val="ListParagraph"/>
        <w:numPr>
          <w:ilvl w:val="0"/>
          <w:numId w:val="51"/>
        </w:numPr>
      </w:pPr>
      <w:r>
        <w:t>access to promotion, transfer or training opportunities</w:t>
      </w:r>
    </w:p>
    <w:p w14:paraId="21F66022" w14:textId="77777777" w:rsidR="00796D2B" w:rsidRDefault="00796D2B" w:rsidP="00BA67F1">
      <w:pPr>
        <w:pStyle w:val="ListParagraph"/>
        <w:numPr>
          <w:ilvl w:val="0"/>
          <w:numId w:val="51"/>
        </w:numPr>
      </w:pPr>
      <w:r>
        <w:t>the terms and conditions of a role</w:t>
      </w:r>
    </w:p>
    <w:p w14:paraId="03D2BA84" w14:textId="77777777" w:rsidR="00563DEF" w:rsidRPr="00C87F4F" w:rsidRDefault="00796D2B" w:rsidP="00BA67F1">
      <w:pPr>
        <w:pStyle w:val="ListParagraph"/>
        <w:numPr>
          <w:ilvl w:val="0"/>
          <w:numId w:val="51"/>
        </w:numPr>
        <w:rPr>
          <w:lang w:val="en"/>
        </w:rPr>
      </w:pPr>
      <w:r>
        <w:t>termination</w:t>
      </w:r>
    </w:p>
    <w:p w14:paraId="464A1C57" w14:textId="78F8BD9C" w:rsidR="00796D2B" w:rsidRPr="00291AFA" w:rsidRDefault="00563DEF" w:rsidP="00BA67F1">
      <w:pPr>
        <w:pStyle w:val="ListParagraph"/>
        <w:numPr>
          <w:ilvl w:val="0"/>
          <w:numId w:val="51"/>
        </w:numPr>
        <w:rPr>
          <w:lang w:val="en"/>
        </w:rPr>
      </w:pPr>
      <w:r>
        <w:t>any other detriment</w:t>
      </w:r>
      <w:r w:rsidR="00C90853">
        <w:t>.</w:t>
      </w:r>
    </w:p>
    <w:p w14:paraId="242E0CE6" w14:textId="099A2144" w:rsidR="00796D2B" w:rsidRDefault="001A394B" w:rsidP="00BA67F1">
      <w:r>
        <w:t xml:space="preserve">The </w:t>
      </w:r>
      <w:r w:rsidR="00F51505">
        <w:t xml:space="preserve">information in </w:t>
      </w:r>
      <w:r w:rsidR="00DB709A">
        <w:t xml:space="preserve">sections </w:t>
      </w:r>
      <w:r w:rsidR="00F51505">
        <w:t>2.2(a) to 2.2(e)</w:t>
      </w:r>
      <w:r w:rsidR="00DB709A">
        <w:t xml:space="preserve"> of this Guide</w:t>
      </w:r>
      <w:r w:rsidR="00F51505">
        <w:t xml:space="preserve"> </w:t>
      </w:r>
      <w:r w:rsidR="00DB709A">
        <w:t>outlines</w:t>
      </w:r>
      <w:r w:rsidR="00F51505">
        <w:t>:</w:t>
      </w:r>
    </w:p>
    <w:p w14:paraId="15B19E7C" w14:textId="77777777" w:rsidR="00796D2B" w:rsidRDefault="001A394B" w:rsidP="00BA67F1">
      <w:pPr>
        <w:pStyle w:val="ListParagraph"/>
        <w:numPr>
          <w:ilvl w:val="0"/>
          <w:numId w:val="52"/>
        </w:numPr>
      </w:pPr>
      <w:r>
        <w:t xml:space="preserve">when discrimination on the basis of age will be unlawful, based on the type of work </w:t>
      </w:r>
      <w:r w:rsidR="00796D2B">
        <w:t>relationship (for example, employee/applicant and employer)</w:t>
      </w:r>
    </w:p>
    <w:p w14:paraId="5A19C719" w14:textId="6BF1ECAA" w:rsidR="00F44BA3" w:rsidRDefault="00796D2B" w:rsidP="00BA67F1">
      <w:pPr>
        <w:pStyle w:val="ListParagraph"/>
        <w:numPr>
          <w:ilvl w:val="0"/>
          <w:numId w:val="52"/>
        </w:numPr>
      </w:pPr>
      <w:r>
        <w:t>the</w:t>
      </w:r>
      <w:r w:rsidR="001A394B">
        <w:t xml:space="preserve"> specific exemptions </w:t>
      </w:r>
      <w:r>
        <w:t>that exist in relation to</w:t>
      </w:r>
      <w:r w:rsidR="00D0598B">
        <w:t xml:space="preserve"> </w:t>
      </w:r>
      <w:r>
        <w:t>each of these relationships</w:t>
      </w:r>
      <w:r w:rsidR="00D0598B">
        <w:t xml:space="preserve"> (for example, domestic duties and inherent requirements</w:t>
      </w:r>
      <w:r w:rsidR="00666244">
        <w:t>)</w:t>
      </w:r>
      <w:r w:rsidR="00D0598B">
        <w:t>.</w:t>
      </w:r>
      <w:r w:rsidR="00FE0F59">
        <w:t xml:space="preserve"> </w:t>
      </w:r>
      <w:r w:rsidR="00F318C8">
        <w:t>‘Inherent requirement</w:t>
      </w:r>
      <w:r w:rsidR="0006308E">
        <w:t>s</w:t>
      </w:r>
      <w:r w:rsidR="00F318C8">
        <w:t xml:space="preserve">’ is not defined in the Act but can be understood as being </w:t>
      </w:r>
      <w:r w:rsidR="00C91ED7">
        <w:t>something essential to a position</w:t>
      </w:r>
      <w:r w:rsidR="00F318C8">
        <w:t>.</w:t>
      </w:r>
    </w:p>
    <w:p w14:paraId="28092E39" w14:textId="716CBE2B" w:rsidR="003B0491" w:rsidRDefault="00402978" w:rsidP="00BA67F1">
      <w:r>
        <w:t xml:space="preserve">Relevant definitions and examples are outlined in the </w:t>
      </w:r>
      <w:r w:rsidRPr="00F51505">
        <w:t xml:space="preserve">breakout boxes </w:t>
      </w:r>
      <w:r w:rsidR="00F51505" w:rsidRPr="00F97E10">
        <w:t>within each section.</w:t>
      </w:r>
    </w:p>
    <w:p w14:paraId="3C189F1A" w14:textId="27068AA5" w:rsidR="007C3120" w:rsidRDefault="00A07173" w:rsidP="00A07173">
      <w:pPr>
        <w:pStyle w:val="Heading3"/>
      </w:pPr>
      <w:r>
        <w:t>Employment</w:t>
      </w:r>
    </w:p>
    <w:p w14:paraId="4101945D" w14:textId="26E0A50B" w:rsidR="00A07173" w:rsidRDefault="00A07173" w:rsidP="00A07173">
      <w:pPr>
        <w:pStyle w:val="Heading4"/>
      </w:pPr>
      <w:r>
        <w:t>Unlawful discrimination</w:t>
      </w:r>
    </w:p>
    <w:p w14:paraId="3EE09DE4" w14:textId="77777777" w:rsidR="00A07173" w:rsidRPr="00F97E10" w:rsidRDefault="00A07173" w:rsidP="00A07173">
      <w:pPr>
        <w:rPr>
          <w:b/>
          <w:bCs/>
        </w:rPr>
      </w:pPr>
      <w:r w:rsidRPr="00F97E10">
        <w:rPr>
          <w:b/>
          <w:bCs/>
        </w:rPr>
        <w:t>Applicant</w:t>
      </w:r>
    </w:p>
    <w:p w14:paraId="4A161157" w14:textId="77777777" w:rsidR="00A07173" w:rsidRDefault="00A07173" w:rsidP="00A07173">
      <w:r>
        <w:t>It is unlawful for an employer</w:t>
      </w:r>
      <w:r>
        <w:rPr>
          <w:rStyle w:val="EndnoteReference"/>
        </w:rPr>
        <w:endnoteReference w:id="8"/>
      </w:r>
      <w:r>
        <w:t xml:space="preserve"> to discriminate against a person based on their age:</w:t>
      </w:r>
    </w:p>
    <w:p w14:paraId="4BA40475" w14:textId="77777777" w:rsidR="00A07173" w:rsidRDefault="00A07173" w:rsidP="00A07173">
      <w:pPr>
        <w:pStyle w:val="ListParagraph"/>
        <w:numPr>
          <w:ilvl w:val="0"/>
          <w:numId w:val="17"/>
        </w:numPr>
      </w:pPr>
      <w:r>
        <w:t>in the arrangements made for the purpose of determining who should be offered employment</w:t>
      </w:r>
    </w:p>
    <w:p w14:paraId="6E4BCBC7" w14:textId="77777777" w:rsidR="00A07173" w:rsidRDefault="00A07173" w:rsidP="00A07173">
      <w:pPr>
        <w:pStyle w:val="ListParagraph"/>
        <w:numPr>
          <w:ilvl w:val="0"/>
          <w:numId w:val="17"/>
        </w:numPr>
      </w:pPr>
      <w:r>
        <w:t>in determining who should be offered employment</w:t>
      </w:r>
    </w:p>
    <w:p w14:paraId="6CD571E0" w14:textId="77777777" w:rsidR="00A07173" w:rsidRPr="00535918" w:rsidRDefault="00A07173" w:rsidP="00A07173">
      <w:pPr>
        <w:pStyle w:val="ListParagraph"/>
        <w:numPr>
          <w:ilvl w:val="0"/>
          <w:numId w:val="17"/>
        </w:numPr>
        <w:rPr>
          <w:b/>
        </w:rPr>
      </w:pPr>
      <w:r>
        <w:t>in the terms or conditions on which employment is offered.</w:t>
      </w:r>
      <w:r>
        <w:rPr>
          <w:rStyle w:val="EndnoteReference"/>
        </w:rPr>
        <w:endnoteReference w:id="9"/>
      </w:r>
    </w:p>
    <w:p w14:paraId="599A7DE1" w14:textId="77777777" w:rsidR="00DB709A" w:rsidRDefault="00DB709A" w:rsidP="00A07173">
      <w:pPr>
        <w:rPr>
          <w:b/>
          <w:bCs/>
        </w:rPr>
        <w:sectPr w:rsidR="00DB709A" w:rsidSect="009A5CE5">
          <w:endnotePr>
            <w:numFmt w:val="decimal"/>
          </w:endnotePr>
          <w:pgSz w:w="11906" w:h="16838" w:code="9"/>
          <w:pgMar w:top="1077" w:right="1440" w:bottom="1077" w:left="1440" w:header="709" w:footer="709" w:gutter="0"/>
          <w:cols w:space="708"/>
          <w:docGrid w:linePitch="360"/>
        </w:sectPr>
      </w:pPr>
    </w:p>
    <w:p w14:paraId="05B92A7A" w14:textId="12D6E84D" w:rsidR="00A07173" w:rsidRPr="00F97E10" w:rsidRDefault="00A07173" w:rsidP="00A07173">
      <w:pPr>
        <w:rPr>
          <w:b/>
          <w:bCs/>
        </w:rPr>
      </w:pPr>
      <w:r w:rsidRPr="00F97E10">
        <w:rPr>
          <w:b/>
          <w:bCs/>
        </w:rPr>
        <w:t>Employee</w:t>
      </w:r>
    </w:p>
    <w:p w14:paraId="2B9F45E4" w14:textId="77777777" w:rsidR="00A07173" w:rsidRDefault="00A07173" w:rsidP="00A07173">
      <w:r>
        <w:t>It is unlawful for an employer</w:t>
      </w:r>
      <w:r>
        <w:rPr>
          <w:rStyle w:val="EndnoteReference"/>
        </w:rPr>
        <w:endnoteReference w:id="10"/>
      </w:r>
      <w:r>
        <w:t xml:space="preserve"> to discriminate against an employee based on the employee’s age:</w:t>
      </w:r>
    </w:p>
    <w:p w14:paraId="1848FED1" w14:textId="77777777" w:rsidR="00A07173" w:rsidRDefault="00A07173" w:rsidP="00A07173">
      <w:pPr>
        <w:pStyle w:val="ListParagraph"/>
        <w:numPr>
          <w:ilvl w:val="0"/>
          <w:numId w:val="18"/>
        </w:numPr>
      </w:pPr>
      <w:r>
        <w:t>in the terms or conditions of employment for the employee</w:t>
      </w:r>
    </w:p>
    <w:p w14:paraId="43645A3D" w14:textId="77777777" w:rsidR="00A07173" w:rsidRDefault="00A07173" w:rsidP="00A07173">
      <w:pPr>
        <w:pStyle w:val="ListParagraph"/>
        <w:numPr>
          <w:ilvl w:val="0"/>
          <w:numId w:val="18"/>
        </w:numPr>
      </w:pPr>
      <w:r>
        <w:t xml:space="preserve">by denying the employee access, or limiting their access, to </w:t>
      </w:r>
      <w:proofErr w:type="spellStart"/>
      <w:r>
        <w:t>opportunitites</w:t>
      </w:r>
      <w:proofErr w:type="spellEnd"/>
      <w:r>
        <w:t xml:space="preserve"> for promotion, transfer or training, or any other benefits</w:t>
      </w:r>
    </w:p>
    <w:p w14:paraId="681DF2DB" w14:textId="77777777" w:rsidR="00DB709A" w:rsidRDefault="00A07173" w:rsidP="00F97E10">
      <w:pPr>
        <w:pStyle w:val="ListParagraph"/>
        <w:numPr>
          <w:ilvl w:val="0"/>
          <w:numId w:val="18"/>
        </w:numPr>
      </w:pPr>
      <w:r>
        <w:t>by dismissing the employee, or</w:t>
      </w:r>
    </w:p>
    <w:p w14:paraId="13286A3F" w14:textId="0CEC8102" w:rsidR="00A07173" w:rsidRPr="00A07173" w:rsidRDefault="00A07173" w:rsidP="00F97E10">
      <w:pPr>
        <w:pStyle w:val="ListParagraph"/>
        <w:numPr>
          <w:ilvl w:val="0"/>
          <w:numId w:val="18"/>
        </w:numPr>
      </w:pPr>
      <w:r>
        <w:t xml:space="preserve">by subjecting the employee to any other </w:t>
      </w:r>
      <w:r w:rsidRPr="00260400">
        <w:t>detriment.</w:t>
      </w:r>
      <w:r>
        <w:rPr>
          <w:rStyle w:val="EndnoteReference"/>
        </w:rPr>
        <w:endnoteReference w:id="11"/>
      </w:r>
    </w:p>
    <w:p w14:paraId="08BA337F" w14:textId="06B6E5FD" w:rsidR="00A07173" w:rsidRDefault="00A07173" w:rsidP="00A07173">
      <w:pPr>
        <w:pStyle w:val="Heading4"/>
      </w:pPr>
      <w:r>
        <w:t>Specific exemptions</w:t>
      </w:r>
    </w:p>
    <w:p w14:paraId="47848307" w14:textId="77777777" w:rsidR="00A07173" w:rsidRDefault="00A07173" w:rsidP="00A07173">
      <w:pPr>
        <w:rPr>
          <w:b/>
        </w:rPr>
      </w:pPr>
      <w:r>
        <w:rPr>
          <w:b/>
        </w:rPr>
        <w:t>Domestic duties</w:t>
      </w:r>
    </w:p>
    <w:p w14:paraId="41A37C42" w14:textId="77777777" w:rsidR="00A07173" w:rsidRDefault="00A07173" w:rsidP="00A07173">
      <w:r>
        <w:t>It is permissible for a potential employer to discriminate against a person based on their age in relation to:</w:t>
      </w:r>
    </w:p>
    <w:p w14:paraId="37E2CC37" w14:textId="77777777" w:rsidR="00A07173" w:rsidRDefault="00A07173" w:rsidP="00A07173">
      <w:pPr>
        <w:pStyle w:val="ListParagraph"/>
        <w:numPr>
          <w:ilvl w:val="0"/>
          <w:numId w:val="44"/>
        </w:numPr>
      </w:pPr>
      <w:r>
        <w:t>the arrangements made for the purpose of determining who should be offered employment</w:t>
      </w:r>
    </w:p>
    <w:p w14:paraId="12C12476" w14:textId="77777777" w:rsidR="00A07173" w:rsidRDefault="00A07173" w:rsidP="00A07173">
      <w:pPr>
        <w:pStyle w:val="ListParagraph"/>
        <w:numPr>
          <w:ilvl w:val="0"/>
          <w:numId w:val="44"/>
        </w:numPr>
      </w:pPr>
      <w:r>
        <w:t>in determining who should be offered employment</w:t>
      </w:r>
    </w:p>
    <w:p w14:paraId="16A08B7A" w14:textId="77777777" w:rsidR="00A07173" w:rsidRDefault="00A07173" w:rsidP="00A07173">
      <w:r>
        <w:t>in connection with employment to perform ‘domestic duties’ for the potential employer at the premises</w:t>
      </w:r>
      <w:r>
        <w:rPr>
          <w:rStyle w:val="EndnoteReference"/>
        </w:rPr>
        <w:endnoteReference w:id="12"/>
      </w:r>
      <w:r>
        <w:t xml:space="preserve"> where they reside.</w:t>
      </w:r>
      <w:r>
        <w:rPr>
          <w:rStyle w:val="EndnoteReference"/>
        </w:rPr>
        <w:endnoteReference w:id="13"/>
      </w:r>
    </w:p>
    <w:p w14:paraId="28137B2C" w14:textId="77777777" w:rsidR="00A07173" w:rsidRPr="007C3120" w:rsidRDefault="00A07173" w:rsidP="00A07173">
      <w:r w:rsidRPr="002D2CAB">
        <w:t>‘Domestic duties’</w:t>
      </w:r>
      <w:r>
        <w:t xml:space="preserve"> is not</w:t>
      </w:r>
      <w:r w:rsidRPr="002D2CAB">
        <w:t xml:space="preserve"> defined in the Act.</w:t>
      </w:r>
    </w:p>
    <w:p w14:paraId="402B40B0" w14:textId="77777777" w:rsidR="00A07173" w:rsidRDefault="00A07173" w:rsidP="00A07173">
      <w:pPr>
        <w:rPr>
          <w:b/>
        </w:rPr>
      </w:pPr>
      <w:r>
        <w:rPr>
          <w:b/>
        </w:rPr>
        <w:t>Inherent requirements</w:t>
      </w:r>
    </w:p>
    <w:p w14:paraId="565D82C4" w14:textId="77777777" w:rsidR="00A07173" w:rsidRDefault="00A07173" w:rsidP="00A07173">
      <w:r>
        <w:t>It is permissible for an employer to discriminate against a person if they are unable to carry out the inherent requirements of the role because of their age.</w:t>
      </w:r>
      <w:r>
        <w:rPr>
          <w:rStyle w:val="EndnoteReference"/>
        </w:rPr>
        <w:endnoteReference w:id="14"/>
      </w:r>
    </w:p>
    <w:p w14:paraId="5C6E8972" w14:textId="77777777" w:rsidR="00A07173" w:rsidRDefault="00A07173" w:rsidP="00A07173">
      <w:r>
        <w:t>This exemption applies in the following contexts:</w:t>
      </w:r>
    </w:p>
    <w:p w14:paraId="179BB801" w14:textId="77777777" w:rsidR="00A07173" w:rsidRDefault="00A07173" w:rsidP="00A07173">
      <w:pPr>
        <w:pStyle w:val="ListParagraph"/>
        <w:numPr>
          <w:ilvl w:val="0"/>
          <w:numId w:val="20"/>
        </w:numPr>
      </w:pPr>
      <w:r>
        <w:t>in the arrangements made for determining who should be offered employment</w:t>
      </w:r>
    </w:p>
    <w:p w14:paraId="4BEEACD2" w14:textId="77777777" w:rsidR="00A07173" w:rsidRDefault="00A07173" w:rsidP="00A07173">
      <w:pPr>
        <w:pStyle w:val="ListParagraph"/>
        <w:numPr>
          <w:ilvl w:val="0"/>
          <w:numId w:val="20"/>
        </w:numPr>
      </w:pPr>
      <w:r>
        <w:t>in determining who should be offered employment</w:t>
      </w:r>
    </w:p>
    <w:p w14:paraId="1E68BF72" w14:textId="77777777" w:rsidR="00A07173" w:rsidRDefault="00A07173" w:rsidP="00A07173">
      <w:pPr>
        <w:pStyle w:val="ListParagraph"/>
        <w:numPr>
          <w:ilvl w:val="0"/>
          <w:numId w:val="20"/>
        </w:numPr>
      </w:pPr>
      <w:r>
        <w:t>the dismissal of an employee.</w:t>
      </w:r>
      <w:r>
        <w:rPr>
          <w:rStyle w:val="EndnoteReference"/>
        </w:rPr>
        <w:endnoteReference w:id="15"/>
      </w:r>
    </w:p>
    <w:p w14:paraId="33853302" w14:textId="77777777" w:rsidR="00A07173" w:rsidRDefault="00A07173" w:rsidP="00A07173">
      <w:r>
        <w:lastRenderedPageBreak/>
        <w:t xml:space="preserve">In deciding whether a person is unable to carry out the inherent requirements of the </w:t>
      </w:r>
      <w:proofErr w:type="gramStart"/>
      <w:r>
        <w:t>particular employment</w:t>
      </w:r>
      <w:proofErr w:type="gramEnd"/>
      <w:r>
        <w:t>, the following is to be taken into account:</w:t>
      </w:r>
    </w:p>
    <w:p w14:paraId="1802AF37" w14:textId="77777777" w:rsidR="00A07173" w:rsidRDefault="00A07173" w:rsidP="00A07173">
      <w:pPr>
        <w:pStyle w:val="ListParagraph"/>
        <w:numPr>
          <w:ilvl w:val="0"/>
          <w:numId w:val="20"/>
        </w:numPr>
      </w:pPr>
      <w:r>
        <w:t>the person’s past training, qualifications and experience as relevant to the employment</w:t>
      </w:r>
    </w:p>
    <w:p w14:paraId="1D07E391" w14:textId="77777777" w:rsidR="00DB709A" w:rsidRDefault="00A07173" w:rsidP="00DB709A">
      <w:pPr>
        <w:pStyle w:val="ListParagraph"/>
        <w:numPr>
          <w:ilvl w:val="0"/>
          <w:numId w:val="20"/>
        </w:numPr>
      </w:pPr>
      <w:r>
        <w:t>the person’s performance as an employee</w:t>
      </w:r>
    </w:p>
    <w:p w14:paraId="31A1CADE" w14:textId="5CBB6B15" w:rsidR="00A07173" w:rsidRPr="00DB709A" w:rsidRDefault="00A07173" w:rsidP="00DB709A">
      <w:pPr>
        <w:pStyle w:val="ListParagraph"/>
        <w:numPr>
          <w:ilvl w:val="0"/>
          <w:numId w:val="20"/>
        </w:numPr>
      </w:pPr>
      <w:r w:rsidRPr="00DB709A">
        <w:rPr>
          <w:rFonts w:cs="Open Sans"/>
        </w:rPr>
        <w:t xml:space="preserve">all other relevant factors that it is reasonable to </w:t>
      </w:r>
      <w:proofErr w:type="gramStart"/>
      <w:r w:rsidRPr="00DB709A">
        <w:rPr>
          <w:rFonts w:cs="Open Sans"/>
        </w:rPr>
        <w:t>take into account</w:t>
      </w:r>
      <w:proofErr w:type="gramEnd"/>
      <w:r w:rsidRPr="00DB709A">
        <w:rPr>
          <w:rFonts w:cs="Open Sans"/>
        </w:rPr>
        <w:t>.</w:t>
      </w:r>
      <w:r w:rsidRPr="00A07173">
        <w:rPr>
          <w:rStyle w:val="EndnoteReference"/>
          <w:rFonts w:cs="Open Sans"/>
        </w:rPr>
        <w:endnoteReference w:id="16"/>
      </w:r>
    </w:p>
    <w:p w14:paraId="2D0F676B" w14:textId="77777777" w:rsidR="00A07173" w:rsidRPr="007C3120" w:rsidRDefault="00A07173" w:rsidP="00A07173">
      <w:pPr>
        <w:rPr>
          <w:sz w:val="10"/>
          <w:szCs w:val="10"/>
        </w:rPr>
      </w:pPr>
    </w:p>
    <w:tbl>
      <w:tblPr>
        <w:tblStyle w:val="TableGrid"/>
        <w:tblW w:w="0" w:type="auto"/>
        <w:shd w:val="clear" w:color="auto" w:fill="E7E6E6" w:themeFill="background2"/>
        <w:tblLook w:val="04A0" w:firstRow="1" w:lastRow="0" w:firstColumn="1" w:lastColumn="0" w:noHBand="0" w:noVBand="1"/>
      </w:tblPr>
      <w:tblGrid>
        <w:gridCol w:w="1238"/>
        <w:gridCol w:w="7778"/>
      </w:tblGrid>
      <w:tr w:rsidR="00A07173" w14:paraId="79586F92" w14:textId="77777777" w:rsidTr="00F97E10">
        <w:tc>
          <w:tcPr>
            <w:tcW w:w="1309" w:type="dxa"/>
            <w:tcBorders>
              <w:right w:val="nil"/>
            </w:tcBorders>
            <w:shd w:val="clear" w:color="auto" w:fill="E7E6E6" w:themeFill="background2"/>
          </w:tcPr>
          <w:p w14:paraId="42FF4638" w14:textId="77777777" w:rsidR="00A07173" w:rsidRDefault="00A07173" w:rsidP="00A07173">
            <w:pPr>
              <w:rPr>
                <w:b/>
              </w:rPr>
            </w:pPr>
            <w:r>
              <w:rPr>
                <w:noProof/>
              </w:rPr>
              <w:drawing>
                <wp:inline distT="0" distB="0" distL="0" distR="0" wp14:anchorId="50BD2B06" wp14:editId="61BD3211">
                  <wp:extent cx="590550" cy="590550"/>
                  <wp:effectExtent l="0" t="0" r="0" b="0"/>
                  <wp:docPr id="1" name="Graphic 4" descr="Information symbol indicating a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0550" cy="590550"/>
                          </a:xfrm>
                          <a:prstGeom prst="rect">
                            <a:avLst/>
                          </a:prstGeom>
                        </pic:spPr>
                      </pic:pic>
                    </a:graphicData>
                  </a:graphic>
                </wp:inline>
              </w:drawing>
            </w:r>
          </w:p>
        </w:tc>
        <w:tc>
          <w:tcPr>
            <w:tcW w:w="12011" w:type="dxa"/>
            <w:tcBorders>
              <w:left w:val="nil"/>
            </w:tcBorders>
            <w:shd w:val="clear" w:color="auto" w:fill="E7E6E6" w:themeFill="background2"/>
          </w:tcPr>
          <w:p w14:paraId="56359DB8" w14:textId="77777777" w:rsidR="00A07173" w:rsidRPr="00F97E10" w:rsidRDefault="00A07173" w:rsidP="00A07173">
            <w:r w:rsidRPr="00F97E10">
              <w:rPr>
                <w:b/>
                <w:i/>
              </w:rPr>
              <w:t>Employment</w:t>
            </w:r>
            <w:r w:rsidRPr="00F97E10">
              <w:t xml:space="preserve"> includes:</w:t>
            </w:r>
          </w:p>
          <w:p w14:paraId="61F091B4" w14:textId="77777777" w:rsidR="00A07173" w:rsidRPr="00F97E10" w:rsidRDefault="00A07173" w:rsidP="00A07173">
            <w:pPr>
              <w:pStyle w:val="ListParagraph"/>
              <w:numPr>
                <w:ilvl w:val="0"/>
                <w:numId w:val="19"/>
              </w:numPr>
              <w:ind w:left="284" w:hanging="284"/>
            </w:pPr>
            <w:r w:rsidRPr="00F97E10">
              <w:t>part-time and temporary</w:t>
            </w:r>
          </w:p>
          <w:p w14:paraId="65129BE0" w14:textId="77777777" w:rsidR="00A07173" w:rsidRPr="00F97E10" w:rsidRDefault="00A07173" w:rsidP="00A07173">
            <w:pPr>
              <w:pStyle w:val="ListParagraph"/>
              <w:numPr>
                <w:ilvl w:val="0"/>
                <w:numId w:val="19"/>
              </w:numPr>
              <w:ind w:left="284" w:hanging="284"/>
            </w:pPr>
            <w:r w:rsidRPr="00F97E10">
              <w:t>work under a contract for services</w:t>
            </w:r>
            <w:r w:rsidRPr="00F97E10">
              <w:rPr>
                <w:rStyle w:val="EndnoteReference"/>
                <w:sz w:val="24"/>
              </w:rPr>
              <w:endnoteReference w:id="17"/>
            </w:r>
          </w:p>
          <w:p w14:paraId="15F2D963" w14:textId="77777777" w:rsidR="00A07173" w:rsidRPr="00F97E10" w:rsidRDefault="00A07173" w:rsidP="00A07173">
            <w:pPr>
              <w:pStyle w:val="ListParagraph"/>
              <w:numPr>
                <w:ilvl w:val="0"/>
                <w:numId w:val="19"/>
              </w:numPr>
              <w:ind w:left="284" w:hanging="284"/>
            </w:pPr>
            <w:r w:rsidRPr="00F97E10">
              <w:t>work as a Commonwealth employee</w:t>
            </w:r>
            <w:r w:rsidRPr="00F97E10">
              <w:rPr>
                <w:rStyle w:val="EndnoteReference"/>
                <w:sz w:val="24"/>
              </w:rPr>
              <w:endnoteReference w:id="18"/>
            </w:r>
          </w:p>
          <w:p w14:paraId="208A6BDB" w14:textId="77777777" w:rsidR="00A07173" w:rsidRPr="00F97E10" w:rsidRDefault="00A07173" w:rsidP="00A07173">
            <w:pPr>
              <w:pStyle w:val="ListParagraph"/>
              <w:numPr>
                <w:ilvl w:val="0"/>
                <w:numId w:val="19"/>
              </w:numPr>
              <w:ind w:left="284" w:hanging="284"/>
            </w:pPr>
            <w:r w:rsidRPr="00F97E10">
              <w:t>work as an employee of a State or an instrumentality of a State.</w:t>
            </w:r>
            <w:r w:rsidRPr="00F97E10">
              <w:rPr>
                <w:rStyle w:val="EndnoteReference"/>
                <w:sz w:val="24"/>
              </w:rPr>
              <w:endnoteReference w:id="19"/>
            </w:r>
          </w:p>
        </w:tc>
      </w:tr>
    </w:tbl>
    <w:p w14:paraId="4D8514EF" w14:textId="77777777" w:rsidR="000E3E4E" w:rsidRPr="007C3120" w:rsidRDefault="000E3E4E" w:rsidP="000E3E4E">
      <w:pPr>
        <w:rPr>
          <w:sz w:val="10"/>
          <w:szCs w:val="10"/>
        </w:rPr>
      </w:pPr>
    </w:p>
    <w:tbl>
      <w:tblPr>
        <w:tblStyle w:val="TableGrid"/>
        <w:tblW w:w="0" w:type="auto"/>
        <w:shd w:val="clear" w:color="auto" w:fill="E7E6E6" w:themeFill="background2"/>
        <w:tblLook w:val="04A0" w:firstRow="1" w:lastRow="0" w:firstColumn="1" w:lastColumn="0" w:noHBand="0" w:noVBand="1"/>
      </w:tblPr>
      <w:tblGrid>
        <w:gridCol w:w="1242"/>
        <w:gridCol w:w="7774"/>
      </w:tblGrid>
      <w:tr w:rsidR="000E3E4E" w14:paraId="7FDAAC82" w14:textId="77777777" w:rsidTr="00F97E10">
        <w:tc>
          <w:tcPr>
            <w:tcW w:w="1310" w:type="dxa"/>
            <w:tcBorders>
              <w:right w:val="nil"/>
            </w:tcBorders>
            <w:shd w:val="clear" w:color="auto" w:fill="E7E6E6" w:themeFill="background2"/>
          </w:tcPr>
          <w:p w14:paraId="0580F569" w14:textId="77777777" w:rsidR="000E3E4E" w:rsidRDefault="000E3E4E" w:rsidP="003370F5">
            <w:pPr>
              <w:rPr>
                <w:b/>
              </w:rPr>
            </w:pPr>
            <w:r>
              <w:rPr>
                <w:noProof/>
              </w:rPr>
              <w:drawing>
                <wp:inline distT="0" distB="0" distL="0" distR="0" wp14:anchorId="0318E72C" wp14:editId="7619AEC3">
                  <wp:extent cx="590550" cy="590550"/>
                  <wp:effectExtent l="0" t="0" r="0" b="0"/>
                  <wp:docPr id="3" name="Graphic 4" descr="Information symbol indicating a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0550" cy="590550"/>
                          </a:xfrm>
                          <a:prstGeom prst="rect">
                            <a:avLst/>
                          </a:prstGeom>
                        </pic:spPr>
                      </pic:pic>
                    </a:graphicData>
                  </a:graphic>
                </wp:inline>
              </w:drawing>
            </w:r>
          </w:p>
        </w:tc>
        <w:tc>
          <w:tcPr>
            <w:tcW w:w="12010" w:type="dxa"/>
            <w:tcBorders>
              <w:left w:val="nil"/>
            </w:tcBorders>
            <w:shd w:val="clear" w:color="auto" w:fill="E7E6E6" w:themeFill="background2"/>
          </w:tcPr>
          <w:p w14:paraId="3F5375CA" w14:textId="77777777" w:rsidR="000E3E4E" w:rsidRDefault="000E3E4E" w:rsidP="003370F5">
            <w:pPr>
              <w:rPr>
                <w:b/>
              </w:rPr>
            </w:pPr>
            <w:r w:rsidRPr="00535918">
              <w:rPr>
                <w:b/>
              </w:rPr>
              <w:t>Inherent requirements</w:t>
            </w:r>
            <w:r>
              <w:t xml:space="preserve"> </w:t>
            </w:r>
            <w:proofErr w:type="gramStart"/>
            <w:r>
              <w:t>is</w:t>
            </w:r>
            <w:proofErr w:type="gramEnd"/>
            <w:r>
              <w:t xml:space="preserve"> not defined in the Act but can be understood as something essential to the position.</w:t>
            </w:r>
          </w:p>
        </w:tc>
      </w:tr>
    </w:tbl>
    <w:p w14:paraId="12561547" w14:textId="0B7AF56D" w:rsidR="00A07173" w:rsidRDefault="00A07173" w:rsidP="00A07173"/>
    <w:tbl>
      <w:tblPr>
        <w:tblStyle w:val="TableGrid"/>
        <w:tblW w:w="0" w:type="auto"/>
        <w:shd w:val="clear" w:color="auto" w:fill="BDD6EE" w:themeFill="accent1" w:themeFillTint="66"/>
        <w:tblLook w:val="04A0" w:firstRow="1" w:lastRow="0" w:firstColumn="1" w:lastColumn="0" w:noHBand="0" w:noVBand="1"/>
      </w:tblPr>
      <w:tblGrid>
        <w:gridCol w:w="1206"/>
        <w:gridCol w:w="7810"/>
      </w:tblGrid>
      <w:tr w:rsidR="000E3E4E" w14:paraId="3B708C76" w14:textId="77777777" w:rsidTr="00F97E10">
        <w:trPr>
          <w:trHeight w:val="1866"/>
        </w:trPr>
        <w:tc>
          <w:tcPr>
            <w:tcW w:w="1206" w:type="dxa"/>
            <w:tcBorders>
              <w:right w:val="nil"/>
            </w:tcBorders>
            <w:shd w:val="clear" w:color="auto" w:fill="BDD6EE" w:themeFill="accent1" w:themeFillTint="66"/>
          </w:tcPr>
          <w:p w14:paraId="526BBFA1" w14:textId="77777777" w:rsidR="000E3E4E" w:rsidRDefault="000E3E4E" w:rsidP="003370F5">
            <w:pPr>
              <w:rPr>
                <w:b/>
              </w:rPr>
            </w:pPr>
            <w:r>
              <w:rPr>
                <w:noProof/>
              </w:rPr>
              <w:drawing>
                <wp:inline distT="0" distB="0" distL="0" distR="0" wp14:anchorId="67C950C6" wp14:editId="3BD57471">
                  <wp:extent cx="628650" cy="628650"/>
                  <wp:effectExtent l="0" t="0" r="0" b="0"/>
                  <wp:docPr id="8"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28650" cy="628650"/>
                          </a:xfrm>
                          <a:prstGeom prst="rect">
                            <a:avLst/>
                          </a:prstGeom>
                        </pic:spPr>
                      </pic:pic>
                    </a:graphicData>
                  </a:graphic>
                </wp:inline>
              </w:drawing>
            </w:r>
          </w:p>
        </w:tc>
        <w:tc>
          <w:tcPr>
            <w:tcW w:w="12114" w:type="dxa"/>
            <w:tcBorders>
              <w:left w:val="nil"/>
            </w:tcBorders>
            <w:shd w:val="clear" w:color="auto" w:fill="BDD6EE" w:themeFill="accent1" w:themeFillTint="66"/>
          </w:tcPr>
          <w:p w14:paraId="0AA3729C" w14:textId="77777777" w:rsidR="000E3E4E" w:rsidRPr="00DD4056" w:rsidRDefault="000E3E4E" w:rsidP="003370F5">
            <w:r>
              <w:t>A potential employer can require that a housekeeper they are proposing to employ in their home is younger than 60 years old.</w:t>
            </w:r>
          </w:p>
        </w:tc>
      </w:tr>
    </w:tbl>
    <w:p w14:paraId="33395146" w14:textId="77777777" w:rsidR="000E3E4E" w:rsidRPr="007C3120" w:rsidRDefault="000E3E4E" w:rsidP="000E3E4E">
      <w:pPr>
        <w:rPr>
          <w:sz w:val="10"/>
          <w:szCs w:val="10"/>
        </w:rPr>
      </w:pPr>
    </w:p>
    <w:tbl>
      <w:tblPr>
        <w:tblStyle w:val="TableGrid"/>
        <w:tblW w:w="0" w:type="auto"/>
        <w:shd w:val="clear" w:color="auto" w:fill="BDD6EE" w:themeFill="accent1" w:themeFillTint="66"/>
        <w:tblLook w:val="04A0" w:firstRow="1" w:lastRow="0" w:firstColumn="1" w:lastColumn="0" w:noHBand="0" w:noVBand="1"/>
      </w:tblPr>
      <w:tblGrid>
        <w:gridCol w:w="1266"/>
        <w:gridCol w:w="7750"/>
      </w:tblGrid>
      <w:tr w:rsidR="000E3E4E" w14:paraId="0C8AA642" w14:textId="77777777" w:rsidTr="00F97E10">
        <w:tc>
          <w:tcPr>
            <w:tcW w:w="1309" w:type="dxa"/>
            <w:tcBorders>
              <w:right w:val="nil"/>
            </w:tcBorders>
            <w:shd w:val="clear" w:color="auto" w:fill="BDD6EE" w:themeFill="accent1" w:themeFillTint="66"/>
          </w:tcPr>
          <w:p w14:paraId="38EFB18A" w14:textId="77777777" w:rsidR="000E3E4E" w:rsidRDefault="000E3E4E" w:rsidP="003370F5">
            <w:pPr>
              <w:rPr>
                <w:b/>
              </w:rPr>
            </w:pPr>
            <w:r>
              <w:rPr>
                <w:noProof/>
              </w:rPr>
              <w:drawing>
                <wp:inline distT="0" distB="0" distL="0" distR="0" wp14:anchorId="3E18FBC8" wp14:editId="7C126DD6">
                  <wp:extent cx="628650" cy="628650"/>
                  <wp:effectExtent l="0" t="0" r="0" b="0"/>
                  <wp:docPr id="4"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28650" cy="628650"/>
                          </a:xfrm>
                          <a:prstGeom prst="rect">
                            <a:avLst/>
                          </a:prstGeom>
                        </pic:spPr>
                      </pic:pic>
                    </a:graphicData>
                  </a:graphic>
                </wp:inline>
              </w:drawing>
            </w:r>
          </w:p>
        </w:tc>
        <w:tc>
          <w:tcPr>
            <w:tcW w:w="12011" w:type="dxa"/>
            <w:tcBorders>
              <w:left w:val="nil"/>
            </w:tcBorders>
            <w:shd w:val="clear" w:color="auto" w:fill="BDD6EE" w:themeFill="accent1" w:themeFillTint="66"/>
          </w:tcPr>
          <w:p w14:paraId="5E7ABD11" w14:textId="77777777" w:rsidR="000E3E4E" w:rsidRDefault="000E3E4E" w:rsidP="003370F5">
            <w:r>
              <w:t xml:space="preserve">It may be an inherent requirement of working on the factory floor of a manufacturing company that a person is able to work a </w:t>
            </w:r>
            <w:proofErr w:type="gramStart"/>
            <w:r>
              <w:t>12 hour</w:t>
            </w:r>
            <w:proofErr w:type="gramEnd"/>
            <w:r>
              <w:t xml:space="preserve"> shift.</w:t>
            </w:r>
          </w:p>
          <w:p w14:paraId="25B42F63" w14:textId="77777777" w:rsidR="000E3E4E" w:rsidRDefault="000E3E4E" w:rsidP="003370F5">
            <w:pPr>
              <w:rPr>
                <w:b/>
              </w:rPr>
            </w:pPr>
            <w:r>
              <w:t xml:space="preserve">It is likely to be permissible for a manufacturing company to dismiss an older employee if they are no longer </w:t>
            </w:r>
            <w:proofErr w:type="gramStart"/>
            <w:r>
              <w:t>wish</w:t>
            </w:r>
            <w:proofErr w:type="gramEnd"/>
            <w:r>
              <w:t xml:space="preserve"> to work a 12 hour shift because of their age.</w:t>
            </w:r>
          </w:p>
        </w:tc>
      </w:tr>
    </w:tbl>
    <w:p w14:paraId="12B27437" w14:textId="77777777" w:rsidR="00DB709A" w:rsidRDefault="00DB709A" w:rsidP="000E3E4E">
      <w:pPr>
        <w:pStyle w:val="Heading3"/>
        <w:rPr>
          <w:bCs w:val="0"/>
        </w:rPr>
        <w:sectPr w:rsidR="00DB709A" w:rsidSect="009A5CE5">
          <w:endnotePr>
            <w:numFmt w:val="decimal"/>
          </w:endnotePr>
          <w:pgSz w:w="11906" w:h="16838" w:code="9"/>
          <w:pgMar w:top="1077" w:right="1440" w:bottom="1077" w:left="1440" w:header="709" w:footer="709" w:gutter="0"/>
          <w:cols w:space="708"/>
          <w:docGrid w:linePitch="360"/>
        </w:sectPr>
      </w:pPr>
    </w:p>
    <w:p w14:paraId="5A1E2B30" w14:textId="16DC0B84" w:rsidR="000E3E4E" w:rsidRPr="00F97E10" w:rsidRDefault="000E3E4E" w:rsidP="000E3E4E">
      <w:pPr>
        <w:pStyle w:val="Heading3"/>
        <w:rPr>
          <w:bCs w:val="0"/>
        </w:rPr>
      </w:pPr>
      <w:r w:rsidRPr="00F97E10">
        <w:rPr>
          <w:bCs w:val="0"/>
        </w:rPr>
        <w:t>Commission agent</w:t>
      </w:r>
    </w:p>
    <w:p w14:paraId="5093EDE9" w14:textId="15703720" w:rsidR="000E3E4E" w:rsidRDefault="000E3E4E" w:rsidP="000E3E4E">
      <w:pPr>
        <w:pStyle w:val="Heading4"/>
      </w:pPr>
      <w:r>
        <w:t>Unlawful discrimination</w:t>
      </w:r>
    </w:p>
    <w:p w14:paraId="5251F5FB" w14:textId="77777777" w:rsidR="000E3E4E" w:rsidRDefault="000E3E4E" w:rsidP="000E3E4E">
      <w:pPr>
        <w:rPr>
          <w:b/>
        </w:rPr>
      </w:pPr>
      <w:r>
        <w:rPr>
          <w:b/>
        </w:rPr>
        <w:t>Applicant</w:t>
      </w:r>
    </w:p>
    <w:p w14:paraId="2D568C08" w14:textId="77777777" w:rsidR="000E3E4E" w:rsidRDefault="000E3E4E" w:rsidP="000E3E4E">
      <w:r>
        <w:t>It is unlawful for a principal to discriminate against a person based on the person’s age:</w:t>
      </w:r>
    </w:p>
    <w:p w14:paraId="6C46CD52" w14:textId="77777777" w:rsidR="000E3E4E" w:rsidRDefault="000E3E4E" w:rsidP="000E3E4E">
      <w:pPr>
        <w:pStyle w:val="ListParagraph"/>
        <w:numPr>
          <w:ilvl w:val="0"/>
          <w:numId w:val="22"/>
        </w:numPr>
      </w:pPr>
      <w:r>
        <w:t>in the arrangements made for the purpose of determining who should be engaged as a commission agent</w:t>
      </w:r>
    </w:p>
    <w:p w14:paraId="733FA864" w14:textId="77777777" w:rsidR="000E3E4E" w:rsidRDefault="000E3E4E" w:rsidP="000E3E4E">
      <w:pPr>
        <w:pStyle w:val="ListParagraph"/>
        <w:numPr>
          <w:ilvl w:val="0"/>
          <w:numId w:val="22"/>
        </w:numPr>
      </w:pPr>
      <w:r>
        <w:t>in determining who should be engaged as a commission agent</w:t>
      </w:r>
    </w:p>
    <w:p w14:paraId="6C2BE9DB" w14:textId="77777777" w:rsidR="000E3E4E" w:rsidRPr="00B43F2E" w:rsidRDefault="000E3E4E" w:rsidP="000E3E4E">
      <w:pPr>
        <w:pStyle w:val="ListParagraph"/>
        <w:numPr>
          <w:ilvl w:val="0"/>
          <w:numId w:val="22"/>
        </w:numPr>
      </w:pPr>
      <w:r>
        <w:t xml:space="preserve">in the terms or conditions on which a person is </w:t>
      </w:r>
      <w:proofErr w:type="spellStart"/>
      <w:r>
        <w:t>enaged</w:t>
      </w:r>
      <w:proofErr w:type="spellEnd"/>
      <w:r>
        <w:t xml:space="preserve"> as a commission agent.</w:t>
      </w:r>
      <w:r>
        <w:rPr>
          <w:rStyle w:val="EndnoteReference"/>
        </w:rPr>
        <w:endnoteReference w:id="20"/>
      </w:r>
    </w:p>
    <w:p w14:paraId="6BB75531" w14:textId="77777777" w:rsidR="000E3E4E" w:rsidRDefault="000E3E4E" w:rsidP="000E3E4E">
      <w:pPr>
        <w:rPr>
          <w:b/>
        </w:rPr>
      </w:pPr>
      <w:r>
        <w:rPr>
          <w:b/>
        </w:rPr>
        <w:t>Commission agent</w:t>
      </w:r>
    </w:p>
    <w:p w14:paraId="734C2286" w14:textId="77777777" w:rsidR="000E3E4E" w:rsidRDefault="000E3E4E" w:rsidP="000E3E4E">
      <w:r>
        <w:t>It is unlawful for a principal to discriminate against a commission agent based on the commission agent’s age:</w:t>
      </w:r>
    </w:p>
    <w:p w14:paraId="4AD553E8" w14:textId="77777777" w:rsidR="000E3E4E" w:rsidRDefault="000E3E4E" w:rsidP="000E3E4E">
      <w:pPr>
        <w:pStyle w:val="ListParagraph"/>
        <w:numPr>
          <w:ilvl w:val="0"/>
          <w:numId w:val="23"/>
        </w:numPr>
      </w:pPr>
      <w:r>
        <w:t>in the terms or conditions on which they are engaged</w:t>
      </w:r>
    </w:p>
    <w:p w14:paraId="7500D467" w14:textId="77777777" w:rsidR="000E3E4E" w:rsidRDefault="000E3E4E" w:rsidP="000E3E4E">
      <w:pPr>
        <w:pStyle w:val="ListParagraph"/>
        <w:numPr>
          <w:ilvl w:val="0"/>
          <w:numId w:val="23"/>
        </w:numPr>
      </w:pPr>
      <w:r>
        <w:t>by denying them access to, or limiting their access, to opportunities for promotion, transfer or training, or any other benefits</w:t>
      </w:r>
    </w:p>
    <w:p w14:paraId="6DB4D9E6" w14:textId="77777777" w:rsidR="00DB709A" w:rsidRDefault="000E3E4E" w:rsidP="00F97E10">
      <w:pPr>
        <w:pStyle w:val="ListParagraph"/>
        <w:numPr>
          <w:ilvl w:val="0"/>
          <w:numId w:val="23"/>
        </w:numPr>
      </w:pPr>
      <w:r>
        <w:t>by terminating their engagement</w:t>
      </w:r>
    </w:p>
    <w:p w14:paraId="0CFF90F5" w14:textId="4908B281" w:rsidR="000E3E4E" w:rsidRPr="000E3E4E" w:rsidRDefault="000E3E4E" w:rsidP="00F97E10">
      <w:pPr>
        <w:pStyle w:val="ListParagraph"/>
        <w:numPr>
          <w:ilvl w:val="0"/>
          <w:numId w:val="23"/>
        </w:numPr>
      </w:pPr>
      <w:r>
        <w:t>by subjecting them to any other detriment.</w:t>
      </w:r>
      <w:r>
        <w:rPr>
          <w:rStyle w:val="EndnoteReference"/>
        </w:rPr>
        <w:endnoteReference w:id="21"/>
      </w:r>
    </w:p>
    <w:p w14:paraId="52B399CE" w14:textId="51FD2806" w:rsidR="000E3E4E" w:rsidRDefault="000E3E4E" w:rsidP="000E3E4E">
      <w:pPr>
        <w:pStyle w:val="Heading4"/>
      </w:pPr>
      <w:r>
        <w:t>Specific exemptions</w:t>
      </w:r>
    </w:p>
    <w:p w14:paraId="050F1F05" w14:textId="77777777" w:rsidR="000E3E4E" w:rsidRDefault="000E3E4E" w:rsidP="000E3E4E">
      <w:r>
        <w:t>It is permissible for a principal to discriminate against a person if they are unable to carry out the inherent requirements of the role because of their age.</w:t>
      </w:r>
      <w:r>
        <w:rPr>
          <w:rStyle w:val="EndnoteReference"/>
        </w:rPr>
        <w:endnoteReference w:id="22"/>
      </w:r>
    </w:p>
    <w:p w14:paraId="3025A61C" w14:textId="77777777" w:rsidR="000E3E4E" w:rsidRDefault="000E3E4E" w:rsidP="000E3E4E">
      <w:r>
        <w:lastRenderedPageBreak/>
        <w:t>This exemption applies in the following contexts:</w:t>
      </w:r>
    </w:p>
    <w:p w14:paraId="2F6248DB" w14:textId="77777777" w:rsidR="000E3E4E" w:rsidRDefault="000E3E4E" w:rsidP="000E3E4E">
      <w:pPr>
        <w:pStyle w:val="ListParagraph"/>
        <w:numPr>
          <w:ilvl w:val="0"/>
          <w:numId w:val="20"/>
        </w:numPr>
      </w:pPr>
      <w:r>
        <w:t>in the arrangements made for determining who should be engaged as a commission agent</w:t>
      </w:r>
    </w:p>
    <w:p w14:paraId="6891B460" w14:textId="77777777" w:rsidR="000E3E4E" w:rsidRDefault="000E3E4E" w:rsidP="000E3E4E">
      <w:pPr>
        <w:pStyle w:val="ListParagraph"/>
        <w:numPr>
          <w:ilvl w:val="0"/>
          <w:numId w:val="20"/>
        </w:numPr>
      </w:pPr>
      <w:r>
        <w:t xml:space="preserve">in determining who should be engaged as a commission agent </w:t>
      </w:r>
    </w:p>
    <w:p w14:paraId="38C1B745" w14:textId="77777777" w:rsidR="000E3E4E" w:rsidRDefault="000E3E4E" w:rsidP="000E3E4E">
      <w:pPr>
        <w:pStyle w:val="ListParagraph"/>
        <w:numPr>
          <w:ilvl w:val="0"/>
          <w:numId w:val="20"/>
        </w:numPr>
      </w:pPr>
      <w:r>
        <w:t>the termination of a commission agent’s engagement.</w:t>
      </w:r>
      <w:r>
        <w:rPr>
          <w:rStyle w:val="EndnoteReference"/>
        </w:rPr>
        <w:endnoteReference w:id="23"/>
      </w:r>
    </w:p>
    <w:p w14:paraId="7AA09739" w14:textId="77777777" w:rsidR="000E3E4E" w:rsidRDefault="000E3E4E" w:rsidP="000E3E4E">
      <w:r>
        <w:t xml:space="preserve">In deciding whether the inherent requirements exemption applies the following is to be </w:t>
      </w:r>
      <w:proofErr w:type="gramStart"/>
      <w:r>
        <w:t>taken into account</w:t>
      </w:r>
      <w:proofErr w:type="gramEnd"/>
      <w:r>
        <w:t>:</w:t>
      </w:r>
    </w:p>
    <w:p w14:paraId="7DD658A5" w14:textId="77777777" w:rsidR="000E3E4E" w:rsidRDefault="000E3E4E" w:rsidP="000E3E4E">
      <w:pPr>
        <w:pStyle w:val="ListParagraph"/>
        <w:numPr>
          <w:ilvl w:val="0"/>
          <w:numId w:val="21"/>
        </w:numPr>
      </w:pPr>
      <w:r>
        <w:t>the person’s past training, qualifications and experience as relevant to engagement as a commission agent</w:t>
      </w:r>
    </w:p>
    <w:p w14:paraId="2313A45C" w14:textId="77777777" w:rsidR="000E3E4E" w:rsidRDefault="000E3E4E" w:rsidP="000E3E4E">
      <w:pPr>
        <w:pStyle w:val="ListParagraph"/>
        <w:numPr>
          <w:ilvl w:val="0"/>
          <w:numId w:val="21"/>
        </w:numPr>
      </w:pPr>
      <w:r>
        <w:t>the person’s performance as a commission agent</w:t>
      </w:r>
    </w:p>
    <w:p w14:paraId="43951EFC" w14:textId="77777777" w:rsidR="000E3E4E" w:rsidRDefault="000E3E4E" w:rsidP="000E3E4E">
      <w:pPr>
        <w:pStyle w:val="ListParagraph"/>
        <w:numPr>
          <w:ilvl w:val="0"/>
          <w:numId w:val="21"/>
        </w:numPr>
      </w:pPr>
      <w:r>
        <w:t>all other relevant factors.</w:t>
      </w:r>
      <w:r>
        <w:rPr>
          <w:rStyle w:val="EndnoteReference"/>
        </w:rPr>
        <w:endnoteReference w:id="24"/>
      </w:r>
    </w:p>
    <w:tbl>
      <w:tblPr>
        <w:tblStyle w:val="TableGrid"/>
        <w:tblW w:w="0" w:type="auto"/>
        <w:shd w:val="clear" w:color="auto" w:fill="E7E6E6" w:themeFill="background2"/>
        <w:tblLook w:val="04A0" w:firstRow="1" w:lastRow="0" w:firstColumn="1" w:lastColumn="0" w:noHBand="0" w:noVBand="1"/>
      </w:tblPr>
      <w:tblGrid>
        <w:gridCol w:w="1238"/>
        <w:gridCol w:w="7778"/>
      </w:tblGrid>
      <w:tr w:rsidR="000E3E4E" w:rsidRPr="000E2480" w14:paraId="57958754" w14:textId="77777777" w:rsidTr="00F97E10">
        <w:tc>
          <w:tcPr>
            <w:tcW w:w="1309" w:type="dxa"/>
            <w:tcBorders>
              <w:right w:val="nil"/>
            </w:tcBorders>
            <w:shd w:val="clear" w:color="auto" w:fill="E7E6E6" w:themeFill="background2"/>
          </w:tcPr>
          <w:p w14:paraId="204D9147" w14:textId="77777777" w:rsidR="000E3E4E" w:rsidRDefault="000E3E4E" w:rsidP="003370F5">
            <w:pPr>
              <w:rPr>
                <w:b/>
              </w:rPr>
            </w:pPr>
            <w:r>
              <w:rPr>
                <w:noProof/>
              </w:rPr>
              <w:drawing>
                <wp:inline distT="0" distB="0" distL="0" distR="0" wp14:anchorId="1E758E17" wp14:editId="404CA13A">
                  <wp:extent cx="590550" cy="590550"/>
                  <wp:effectExtent l="0" t="0" r="0" b="0"/>
                  <wp:docPr id="25" name="Graphic 4" descr="Information symbol indicating a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0550" cy="590550"/>
                          </a:xfrm>
                          <a:prstGeom prst="rect">
                            <a:avLst/>
                          </a:prstGeom>
                        </pic:spPr>
                      </pic:pic>
                    </a:graphicData>
                  </a:graphic>
                </wp:inline>
              </w:drawing>
            </w:r>
          </w:p>
        </w:tc>
        <w:tc>
          <w:tcPr>
            <w:tcW w:w="12436" w:type="dxa"/>
            <w:tcBorders>
              <w:left w:val="nil"/>
            </w:tcBorders>
            <w:shd w:val="clear" w:color="auto" w:fill="E7E6E6" w:themeFill="background2"/>
          </w:tcPr>
          <w:p w14:paraId="5ACB246A" w14:textId="77777777" w:rsidR="000E3E4E" w:rsidRPr="002D4D5C" w:rsidRDefault="000E3E4E" w:rsidP="003370F5">
            <w:pPr>
              <w:rPr>
                <w:sz w:val="22"/>
                <w:szCs w:val="22"/>
              </w:rPr>
            </w:pPr>
            <w:r w:rsidRPr="002D4D5C">
              <w:rPr>
                <w:b/>
                <w:bCs/>
                <w:i/>
                <w:iCs/>
                <w:sz w:val="22"/>
                <w:szCs w:val="22"/>
              </w:rPr>
              <w:t>Commission agent </w:t>
            </w:r>
            <w:r w:rsidRPr="002D4D5C">
              <w:rPr>
                <w:sz w:val="22"/>
                <w:szCs w:val="22"/>
              </w:rPr>
              <w:t>means a person who does work for another person (</w:t>
            </w:r>
            <w:r>
              <w:rPr>
                <w:sz w:val="22"/>
                <w:szCs w:val="22"/>
              </w:rPr>
              <w:t>as the agent of that person</w:t>
            </w:r>
            <w:r w:rsidRPr="002D4D5C">
              <w:rPr>
                <w:sz w:val="22"/>
                <w:szCs w:val="22"/>
              </w:rPr>
              <w:t>) and is paid in whole or in part, by commission.</w:t>
            </w:r>
            <w:r w:rsidRPr="002D4D5C">
              <w:rPr>
                <w:sz w:val="22"/>
                <w:szCs w:val="22"/>
                <w:vertAlign w:val="superscript"/>
              </w:rPr>
              <w:endnoteReference w:id="25"/>
            </w:r>
          </w:p>
          <w:p w14:paraId="3E40D0C2" w14:textId="77777777" w:rsidR="000E3E4E" w:rsidRPr="00535918" w:rsidRDefault="000E3E4E" w:rsidP="003370F5">
            <w:pPr>
              <w:rPr>
                <w:sz w:val="22"/>
                <w:szCs w:val="22"/>
              </w:rPr>
            </w:pPr>
            <w:r w:rsidRPr="002D4D5C">
              <w:rPr>
                <w:b/>
                <w:bCs/>
                <w:i/>
                <w:iCs/>
                <w:sz w:val="22"/>
                <w:szCs w:val="22"/>
              </w:rPr>
              <w:t>Principal</w:t>
            </w:r>
            <w:r w:rsidRPr="002D4D5C">
              <w:rPr>
                <w:sz w:val="22"/>
                <w:szCs w:val="22"/>
              </w:rPr>
              <w:t>, in relation to a commission agent, means a person who a commission agent works for.</w:t>
            </w:r>
            <w:r w:rsidRPr="002D4D5C">
              <w:rPr>
                <w:sz w:val="22"/>
                <w:szCs w:val="22"/>
                <w:vertAlign w:val="superscript"/>
              </w:rPr>
              <w:endnoteReference w:id="26"/>
            </w:r>
          </w:p>
        </w:tc>
      </w:tr>
    </w:tbl>
    <w:p w14:paraId="20269429" w14:textId="77777777" w:rsidR="000E3E4E" w:rsidRDefault="000E3E4E" w:rsidP="000E3E4E">
      <w:pPr>
        <w:rPr>
          <w:b/>
        </w:rPr>
      </w:pPr>
    </w:p>
    <w:tbl>
      <w:tblPr>
        <w:tblStyle w:val="TableGrid"/>
        <w:tblW w:w="0" w:type="auto"/>
        <w:shd w:val="clear" w:color="auto" w:fill="BDD6EE" w:themeFill="accent1" w:themeFillTint="66"/>
        <w:tblLook w:val="04A0" w:firstRow="1" w:lastRow="0" w:firstColumn="1" w:lastColumn="0" w:noHBand="0" w:noVBand="1"/>
      </w:tblPr>
      <w:tblGrid>
        <w:gridCol w:w="1264"/>
        <w:gridCol w:w="7752"/>
      </w:tblGrid>
      <w:tr w:rsidR="000E3E4E" w14:paraId="70FD5C8C" w14:textId="77777777" w:rsidTr="00F97E10">
        <w:tc>
          <w:tcPr>
            <w:tcW w:w="1309" w:type="dxa"/>
            <w:tcBorders>
              <w:right w:val="nil"/>
            </w:tcBorders>
            <w:shd w:val="clear" w:color="auto" w:fill="BDD6EE" w:themeFill="accent1" w:themeFillTint="66"/>
          </w:tcPr>
          <w:p w14:paraId="030EA9B6" w14:textId="77777777" w:rsidR="000E3E4E" w:rsidRDefault="000E3E4E" w:rsidP="003370F5">
            <w:pPr>
              <w:rPr>
                <w:b/>
              </w:rPr>
            </w:pPr>
            <w:r>
              <w:rPr>
                <w:noProof/>
              </w:rPr>
              <w:drawing>
                <wp:inline distT="0" distB="0" distL="0" distR="0" wp14:anchorId="42D4693C" wp14:editId="01604A9A">
                  <wp:extent cx="628650" cy="628650"/>
                  <wp:effectExtent l="0" t="0" r="0" b="0"/>
                  <wp:docPr id="12"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28650" cy="628650"/>
                          </a:xfrm>
                          <a:prstGeom prst="rect">
                            <a:avLst/>
                          </a:prstGeom>
                        </pic:spPr>
                      </pic:pic>
                    </a:graphicData>
                  </a:graphic>
                </wp:inline>
              </w:drawing>
            </w:r>
          </w:p>
        </w:tc>
        <w:tc>
          <w:tcPr>
            <w:tcW w:w="12436" w:type="dxa"/>
            <w:tcBorders>
              <w:left w:val="nil"/>
            </w:tcBorders>
            <w:shd w:val="clear" w:color="auto" w:fill="BDD6EE" w:themeFill="accent1" w:themeFillTint="66"/>
          </w:tcPr>
          <w:p w14:paraId="64916329" w14:textId="77777777" w:rsidR="000E3E4E" w:rsidRDefault="000E3E4E" w:rsidP="003370F5">
            <w:r>
              <w:t>It may be an inherent requirement of being a commission agent for a large fertiliser company that a person is able to drive to local farms to meet with farmers and agronomists.</w:t>
            </w:r>
          </w:p>
          <w:p w14:paraId="38961701" w14:textId="77777777" w:rsidR="000E3E4E" w:rsidRPr="00535918" w:rsidRDefault="000E3E4E" w:rsidP="003370F5">
            <w:r>
              <w:t>It is likely to be permissible for a fertiliser company to decide not to engage someone who is 80 years old as a commission agent because they do not hold a driver’s licence because of their age.</w:t>
            </w:r>
          </w:p>
        </w:tc>
      </w:tr>
    </w:tbl>
    <w:p w14:paraId="26ACD4CB" w14:textId="36FC9FC6" w:rsidR="000E3E4E" w:rsidRDefault="000E3E4E" w:rsidP="000E3E4E">
      <w:pPr>
        <w:pStyle w:val="Heading3"/>
      </w:pPr>
      <w:r>
        <w:t>Contract worker</w:t>
      </w:r>
    </w:p>
    <w:p w14:paraId="148A4B52" w14:textId="6CCFECEB" w:rsidR="000E3E4E" w:rsidRDefault="000E3E4E" w:rsidP="000E3E4E">
      <w:pPr>
        <w:pStyle w:val="Heading4"/>
      </w:pPr>
      <w:r>
        <w:t>Unlawful discrimination</w:t>
      </w:r>
    </w:p>
    <w:p w14:paraId="24846BCF" w14:textId="77777777" w:rsidR="000E3E4E" w:rsidRDefault="000E3E4E" w:rsidP="000E3E4E">
      <w:r>
        <w:t>It is unlawful for a principal to discriminate against a contract worker based on their age:</w:t>
      </w:r>
    </w:p>
    <w:p w14:paraId="0728ACF5" w14:textId="77777777" w:rsidR="000E3E4E" w:rsidRDefault="000E3E4E" w:rsidP="000E3E4E">
      <w:pPr>
        <w:pStyle w:val="ListParagraph"/>
        <w:numPr>
          <w:ilvl w:val="0"/>
          <w:numId w:val="24"/>
        </w:numPr>
      </w:pPr>
      <w:r>
        <w:t>in the terms or conditions of their arrangement</w:t>
      </w:r>
    </w:p>
    <w:p w14:paraId="3E7FF4CB" w14:textId="77777777" w:rsidR="000E3E4E" w:rsidRDefault="000E3E4E" w:rsidP="000E3E4E">
      <w:pPr>
        <w:pStyle w:val="ListParagraph"/>
        <w:numPr>
          <w:ilvl w:val="0"/>
          <w:numId w:val="24"/>
        </w:numPr>
      </w:pPr>
      <w:r>
        <w:t>by not allowing them to work or continue to work</w:t>
      </w:r>
    </w:p>
    <w:p w14:paraId="5A179121" w14:textId="77777777" w:rsidR="00DB709A" w:rsidRDefault="000E3E4E" w:rsidP="000E3E4E">
      <w:pPr>
        <w:pStyle w:val="ListParagraph"/>
        <w:numPr>
          <w:ilvl w:val="0"/>
          <w:numId w:val="24"/>
        </w:numPr>
      </w:pPr>
      <w:r>
        <w:t>by denying them access, or limiting their access, to any benefit associated with the contract</w:t>
      </w:r>
    </w:p>
    <w:p w14:paraId="7FC0DA52" w14:textId="436378A1" w:rsidR="000E3E4E" w:rsidRDefault="000E3E4E" w:rsidP="000E3E4E">
      <w:pPr>
        <w:pStyle w:val="ListParagraph"/>
        <w:numPr>
          <w:ilvl w:val="0"/>
          <w:numId w:val="24"/>
        </w:numPr>
      </w:pPr>
      <w:r>
        <w:t>by subjecting them to any other detriment.</w:t>
      </w:r>
      <w:r>
        <w:rPr>
          <w:rStyle w:val="EndnoteReference"/>
        </w:rPr>
        <w:endnoteReference w:id="27"/>
      </w:r>
    </w:p>
    <w:p w14:paraId="670C5F02" w14:textId="0BF52BCE" w:rsidR="000E3E4E" w:rsidRPr="000E3E4E" w:rsidRDefault="00D81182" w:rsidP="00F97E10">
      <w:pPr>
        <w:pStyle w:val="Heading4"/>
      </w:pPr>
      <w:r>
        <w:t>Specific exemptions</w:t>
      </w:r>
    </w:p>
    <w:p w14:paraId="3846B8E4" w14:textId="77777777" w:rsidR="00D81182" w:rsidRDefault="00D81182" w:rsidP="00D81182">
      <w:r>
        <w:t>It is permissible for a principal to discriminate against a person in the following circumstances if the person is unable to carry out the inherent requirements of a contract worker because of their age:</w:t>
      </w:r>
    </w:p>
    <w:p w14:paraId="0C2FD960" w14:textId="77777777" w:rsidR="00D81182" w:rsidRDefault="00D81182" w:rsidP="00D81182">
      <w:pPr>
        <w:pStyle w:val="ListParagraph"/>
        <w:numPr>
          <w:ilvl w:val="0"/>
          <w:numId w:val="25"/>
        </w:numPr>
      </w:pPr>
      <w:r>
        <w:t>by not allowing them to work</w:t>
      </w:r>
    </w:p>
    <w:p w14:paraId="22B2E37C" w14:textId="77777777" w:rsidR="00D81182" w:rsidRDefault="00D81182" w:rsidP="00D81182">
      <w:pPr>
        <w:pStyle w:val="ListParagraph"/>
        <w:numPr>
          <w:ilvl w:val="0"/>
          <w:numId w:val="25"/>
        </w:numPr>
      </w:pPr>
      <w:r>
        <w:t>by not allowing them to continue to work.</w:t>
      </w:r>
      <w:r>
        <w:rPr>
          <w:rStyle w:val="EndnoteReference"/>
        </w:rPr>
        <w:endnoteReference w:id="28"/>
      </w:r>
    </w:p>
    <w:p w14:paraId="05978E52" w14:textId="77777777" w:rsidR="00DB709A" w:rsidRDefault="00DB709A" w:rsidP="00D81182">
      <w:pPr>
        <w:sectPr w:rsidR="00DB709A" w:rsidSect="009A5CE5">
          <w:endnotePr>
            <w:numFmt w:val="decimal"/>
          </w:endnotePr>
          <w:pgSz w:w="11906" w:h="16838" w:code="9"/>
          <w:pgMar w:top="1077" w:right="1440" w:bottom="1077" w:left="1440" w:header="709" w:footer="709" w:gutter="0"/>
          <w:cols w:space="708"/>
          <w:docGrid w:linePitch="360"/>
        </w:sectPr>
      </w:pPr>
    </w:p>
    <w:p w14:paraId="43CDDAF2" w14:textId="63210A5D" w:rsidR="00D81182" w:rsidRDefault="00D81182" w:rsidP="00D81182">
      <w:r>
        <w:t xml:space="preserve">In deciding whether the inherent requirements exemption applies the following is to be </w:t>
      </w:r>
      <w:proofErr w:type="gramStart"/>
      <w:r>
        <w:t>taken into account</w:t>
      </w:r>
      <w:proofErr w:type="gramEnd"/>
      <w:r>
        <w:t>:</w:t>
      </w:r>
    </w:p>
    <w:p w14:paraId="4B555A05" w14:textId="77777777" w:rsidR="00D81182" w:rsidRDefault="00D81182" w:rsidP="00D81182">
      <w:pPr>
        <w:pStyle w:val="ListParagraph"/>
        <w:numPr>
          <w:ilvl w:val="0"/>
          <w:numId w:val="21"/>
        </w:numPr>
      </w:pPr>
      <w:r>
        <w:t>the person’s past training, qualifications and experience as relevant to working as a contract worker</w:t>
      </w:r>
    </w:p>
    <w:p w14:paraId="005CA288" w14:textId="77777777" w:rsidR="00DB709A" w:rsidRDefault="00D81182" w:rsidP="00D81182">
      <w:pPr>
        <w:pStyle w:val="ListParagraph"/>
        <w:numPr>
          <w:ilvl w:val="0"/>
          <w:numId w:val="21"/>
        </w:numPr>
      </w:pPr>
      <w:r>
        <w:t>the person’s performance as a contract worker</w:t>
      </w:r>
    </w:p>
    <w:p w14:paraId="0824B31C" w14:textId="15C34C8E" w:rsidR="000E3E4E" w:rsidRDefault="00D81182" w:rsidP="00D81182">
      <w:pPr>
        <w:pStyle w:val="ListParagraph"/>
        <w:numPr>
          <w:ilvl w:val="0"/>
          <w:numId w:val="21"/>
        </w:numPr>
      </w:pPr>
      <w:r>
        <w:t xml:space="preserve">all other relevant factors that it is reasonable to </w:t>
      </w:r>
      <w:proofErr w:type="gramStart"/>
      <w:r>
        <w:t>take into account</w:t>
      </w:r>
      <w:proofErr w:type="gramEnd"/>
      <w:r>
        <w:t>.</w:t>
      </w:r>
      <w:r>
        <w:rPr>
          <w:rStyle w:val="EndnoteReference"/>
        </w:rPr>
        <w:endnoteReference w:id="29"/>
      </w:r>
    </w:p>
    <w:p w14:paraId="3AF89AFD" w14:textId="77777777" w:rsidR="00D81182" w:rsidRDefault="00D81182" w:rsidP="00D81182">
      <w:pPr>
        <w:rPr>
          <w:b/>
        </w:rPr>
      </w:pPr>
    </w:p>
    <w:tbl>
      <w:tblPr>
        <w:tblStyle w:val="TableGrid"/>
        <w:tblW w:w="0" w:type="auto"/>
        <w:shd w:val="clear" w:color="auto" w:fill="E7E6E6" w:themeFill="background2"/>
        <w:tblLook w:val="04A0" w:firstRow="1" w:lastRow="0" w:firstColumn="1" w:lastColumn="0" w:noHBand="0" w:noVBand="1"/>
      </w:tblPr>
      <w:tblGrid>
        <w:gridCol w:w="1241"/>
        <w:gridCol w:w="7775"/>
      </w:tblGrid>
      <w:tr w:rsidR="00D81182" w:rsidRPr="000E2480" w14:paraId="3E4D8076" w14:textId="77777777" w:rsidTr="00F97E10">
        <w:tc>
          <w:tcPr>
            <w:tcW w:w="1309" w:type="dxa"/>
            <w:tcBorders>
              <w:right w:val="nil"/>
            </w:tcBorders>
            <w:shd w:val="clear" w:color="auto" w:fill="E7E6E6" w:themeFill="background2"/>
          </w:tcPr>
          <w:p w14:paraId="6E5EA124" w14:textId="77777777" w:rsidR="00D81182" w:rsidRDefault="00D81182" w:rsidP="003370F5">
            <w:pPr>
              <w:rPr>
                <w:b/>
              </w:rPr>
            </w:pPr>
            <w:r>
              <w:rPr>
                <w:noProof/>
              </w:rPr>
              <w:drawing>
                <wp:inline distT="0" distB="0" distL="0" distR="0" wp14:anchorId="3E45FFDD" wp14:editId="535DDD9E">
                  <wp:extent cx="590550" cy="590550"/>
                  <wp:effectExtent l="0" t="0" r="0" b="0"/>
                  <wp:docPr id="14" name="Graphic 4" descr="Information symbol indicating a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0550" cy="590550"/>
                          </a:xfrm>
                          <a:prstGeom prst="rect">
                            <a:avLst/>
                          </a:prstGeom>
                        </pic:spPr>
                      </pic:pic>
                    </a:graphicData>
                  </a:graphic>
                </wp:inline>
              </w:drawing>
            </w:r>
          </w:p>
        </w:tc>
        <w:tc>
          <w:tcPr>
            <w:tcW w:w="12153" w:type="dxa"/>
            <w:tcBorders>
              <w:left w:val="nil"/>
            </w:tcBorders>
            <w:shd w:val="clear" w:color="auto" w:fill="E7E6E6" w:themeFill="background2"/>
          </w:tcPr>
          <w:p w14:paraId="3F58DBFD" w14:textId="77777777" w:rsidR="00D81182" w:rsidRPr="002D4D5C" w:rsidRDefault="00D81182" w:rsidP="003370F5">
            <w:pPr>
              <w:rPr>
                <w:sz w:val="22"/>
                <w:szCs w:val="22"/>
              </w:rPr>
            </w:pPr>
            <w:r w:rsidRPr="002D4D5C">
              <w:rPr>
                <w:b/>
                <w:bCs/>
                <w:i/>
                <w:iCs/>
                <w:sz w:val="22"/>
                <w:szCs w:val="22"/>
              </w:rPr>
              <w:t>Contract worker</w:t>
            </w:r>
            <w:r w:rsidRPr="002D4D5C">
              <w:rPr>
                <w:sz w:val="22"/>
                <w:szCs w:val="22"/>
              </w:rPr>
              <w:t xml:space="preserve"> means a person who does work </w:t>
            </w:r>
            <w:r>
              <w:rPr>
                <w:sz w:val="22"/>
                <w:szCs w:val="22"/>
              </w:rPr>
              <w:t xml:space="preserve">for another person </w:t>
            </w:r>
            <w:r w:rsidRPr="002D4D5C">
              <w:rPr>
                <w:sz w:val="22"/>
                <w:szCs w:val="22"/>
              </w:rPr>
              <w:t xml:space="preserve">under a contract between their employer and </w:t>
            </w:r>
            <w:r>
              <w:rPr>
                <w:sz w:val="22"/>
                <w:szCs w:val="22"/>
              </w:rPr>
              <w:t>the other</w:t>
            </w:r>
            <w:r w:rsidRPr="002D4D5C">
              <w:rPr>
                <w:sz w:val="22"/>
                <w:szCs w:val="22"/>
              </w:rPr>
              <w:t xml:space="preserve"> person.</w:t>
            </w:r>
            <w:r w:rsidRPr="002D4D5C">
              <w:rPr>
                <w:sz w:val="22"/>
                <w:szCs w:val="22"/>
                <w:vertAlign w:val="superscript"/>
              </w:rPr>
              <w:endnoteReference w:id="30"/>
            </w:r>
          </w:p>
          <w:p w14:paraId="4EFC40C4" w14:textId="77777777" w:rsidR="00D81182" w:rsidRPr="000E2480" w:rsidRDefault="00D81182" w:rsidP="003370F5">
            <w:pPr>
              <w:rPr>
                <w:sz w:val="22"/>
                <w:szCs w:val="22"/>
              </w:rPr>
            </w:pPr>
            <w:r w:rsidRPr="002D4D5C">
              <w:rPr>
                <w:b/>
                <w:bCs/>
                <w:i/>
                <w:iCs/>
                <w:sz w:val="22"/>
                <w:szCs w:val="22"/>
              </w:rPr>
              <w:t>Principal</w:t>
            </w:r>
            <w:r w:rsidRPr="002D4D5C">
              <w:rPr>
                <w:sz w:val="22"/>
                <w:szCs w:val="22"/>
              </w:rPr>
              <w:t xml:space="preserve">, in relation to a contract worker, means </w:t>
            </w:r>
            <w:r>
              <w:rPr>
                <w:sz w:val="22"/>
                <w:szCs w:val="22"/>
              </w:rPr>
              <w:t>the</w:t>
            </w:r>
            <w:r w:rsidRPr="002D4D5C">
              <w:rPr>
                <w:sz w:val="22"/>
                <w:szCs w:val="22"/>
              </w:rPr>
              <w:t xml:space="preserve"> person that the contract worker performs work for (not the employer).</w:t>
            </w:r>
            <w:r w:rsidRPr="002D4D5C">
              <w:rPr>
                <w:sz w:val="22"/>
                <w:szCs w:val="22"/>
                <w:vertAlign w:val="superscript"/>
              </w:rPr>
              <w:endnoteReference w:id="31"/>
            </w:r>
          </w:p>
        </w:tc>
      </w:tr>
    </w:tbl>
    <w:p w14:paraId="737A199C" w14:textId="4A59CFF8" w:rsidR="00D81182" w:rsidRDefault="00D81182" w:rsidP="00D81182">
      <w:pPr>
        <w:pStyle w:val="Heading3"/>
      </w:pPr>
      <w:r>
        <w:t>Partnership</w:t>
      </w:r>
    </w:p>
    <w:p w14:paraId="728C459E" w14:textId="08A62A09" w:rsidR="00D81182" w:rsidRDefault="00D81182" w:rsidP="00D81182">
      <w:pPr>
        <w:pStyle w:val="Heading4"/>
      </w:pPr>
      <w:r>
        <w:t>Unlawful discrimination</w:t>
      </w:r>
    </w:p>
    <w:p w14:paraId="54EECB41" w14:textId="77777777" w:rsidR="00D81182" w:rsidRDefault="00D81182" w:rsidP="00D81182">
      <w:pPr>
        <w:rPr>
          <w:b/>
        </w:rPr>
      </w:pPr>
      <w:r>
        <w:rPr>
          <w:b/>
        </w:rPr>
        <w:t>New partnership</w:t>
      </w:r>
    </w:p>
    <w:p w14:paraId="67F85254" w14:textId="77777777" w:rsidR="00D81182" w:rsidRDefault="00D81182" w:rsidP="00D81182">
      <w:r>
        <w:t>It is unlawful for six or more people, who are proposing to form a partnership, to discriminate against another person based on their age:</w:t>
      </w:r>
    </w:p>
    <w:p w14:paraId="3C7B58ED" w14:textId="77777777" w:rsidR="00D81182" w:rsidRDefault="00D81182" w:rsidP="00D81182">
      <w:pPr>
        <w:pStyle w:val="ListParagraph"/>
        <w:numPr>
          <w:ilvl w:val="0"/>
          <w:numId w:val="26"/>
        </w:numPr>
      </w:pPr>
      <w:r>
        <w:t>in determining who should be invited to become a partner in the partnership</w:t>
      </w:r>
    </w:p>
    <w:p w14:paraId="630F51F7" w14:textId="77777777" w:rsidR="00D81182" w:rsidRPr="00D45287" w:rsidRDefault="00D81182" w:rsidP="00D81182">
      <w:pPr>
        <w:pStyle w:val="ListParagraph"/>
        <w:numPr>
          <w:ilvl w:val="0"/>
          <w:numId w:val="26"/>
        </w:numPr>
      </w:pPr>
      <w:r>
        <w:t>in the terms or conditions on which the other person is invited to become a partner in the partnership.</w:t>
      </w:r>
      <w:r>
        <w:rPr>
          <w:rStyle w:val="EndnoteReference"/>
        </w:rPr>
        <w:endnoteReference w:id="32"/>
      </w:r>
    </w:p>
    <w:p w14:paraId="5DC850B6" w14:textId="77777777" w:rsidR="00D81182" w:rsidRDefault="00D81182" w:rsidP="00D81182">
      <w:pPr>
        <w:rPr>
          <w:b/>
        </w:rPr>
      </w:pPr>
      <w:r>
        <w:rPr>
          <w:b/>
        </w:rPr>
        <w:t>Existing partnership and non-partner</w:t>
      </w:r>
    </w:p>
    <w:p w14:paraId="68CD4A1B" w14:textId="77777777" w:rsidR="00D81182" w:rsidRDefault="00D81182" w:rsidP="00D81182">
      <w:r>
        <w:t>It is unlawful for a partner in a partnership (of six or more partners) to discriminate against another person based on their age:</w:t>
      </w:r>
    </w:p>
    <w:p w14:paraId="26A0CE8B" w14:textId="77777777" w:rsidR="00D81182" w:rsidRDefault="00D81182" w:rsidP="00D81182">
      <w:pPr>
        <w:pStyle w:val="ListParagraph"/>
        <w:numPr>
          <w:ilvl w:val="0"/>
          <w:numId w:val="27"/>
        </w:numPr>
      </w:pPr>
      <w:r>
        <w:t>in determining who should be invited to become a partner in the partnership</w:t>
      </w:r>
    </w:p>
    <w:p w14:paraId="02207115" w14:textId="77777777" w:rsidR="00D81182" w:rsidRPr="00D45287" w:rsidRDefault="00D81182" w:rsidP="00D81182">
      <w:pPr>
        <w:pStyle w:val="ListParagraph"/>
        <w:numPr>
          <w:ilvl w:val="0"/>
          <w:numId w:val="27"/>
        </w:numPr>
      </w:pPr>
      <w:r>
        <w:t xml:space="preserve">in </w:t>
      </w:r>
      <w:proofErr w:type="spellStart"/>
      <w:r>
        <w:t>ther</w:t>
      </w:r>
      <w:proofErr w:type="spellEnd"/>
      <w:r>
        <w:t xml:space="preserve"> terms or conditions on which the other person is invited to become a partner in the partnership.</w:t>
      </w:r>
      <w:r>
        <w:rPr>
          <w:rStyle w:val="EndnoteReference"/>
        </w:rPr>
        <w:endnoteReference w:id="33"/>
      </w:r>
    </w:p>
    <w:p w14:paraId="61E6B0E0" w14:textId="77777777" w:rsidR="00DB709A" w:rsidRDefault="00DB709A" w:rsidP="00D81182">
      <w:pPr>
        <w:rPr>
          <w:b/>
        </w:rPr>
        <w:sectPr w:rsidR="00DB709A" w:rsidSect="009A5CE5">
          <w:endnotePr>
            <w:numFmt w:val="decimal"/>
          </w:endnotePr>
          <w:pgSz w:w="11906" w:h="16838" w:code="9"/>
          <w:pgMar w:top="1077" w:right="1440" w:bottom="1077" w:left="1440" w:header="709" w:footer="709" w:gutter="0"/>
          <w:cols w:space="708"/>
          <w:docGrid w:linePitch="360"/>
        </w:sectPr>
      </w:pPr>
    </w:p>
    <w:p w14:paraId="319EEA27" w14:textId="223B8EEC" w:rsidR="00D81182" w:rsidRDefault="00D81182" w:rsidP="00D81182">
      <w:pPr>
        <w:rPr>
          <w:b/>
        </w:rPr>
      </w:pPr>
      <w:r>
        <w:rPr>
          <w:b/>
        </w:rPr>
        <w:t>Existing partnership and partner</w:t>
      </w:r>
    </w:p>
    <w:p w14:paraId="3889A480" w14:textId="77777777" w:rsidR="00D81182" w:rsidRDefault="00D81182" w:rsidP="00D81182">
      <w:r>
        <w:t>It is unlawful for a partner in a partnership (of six or more partners) to discriminate against another partner based on their age:</w:t>
      </w:r>
    </w:p>
    <w:p w14:paraId="1378942D" w14:textId="77777777" w:rsidR="00D81182" w:rsidRDefault="00D81182" w:rsidP="00D81182">
      <w:pPr>
        <w:pStyle w:val="ListParagraph"/>
        <w:numPr>
          <w:ilvl w:val="0"/>
          <w:numId w:val="28"/>
        </w:numPr>
      </w:pPr>
      <w:r>
        <w:t>by denying the other partner access, or limiting the partner’s access, to any benefit arising from being a partner</w:t>
      </w:r>
    </w:p>
    <w:p w14:paraId="01E2883A" w14:textId="77777777" w:rsidR="00DB709A" w:rsidRDefault="00D81182" w:rsidP="00D81182">
      <w:pPr>
        <w:pStyle w:val="ListParagraph"/>
        <w:numPr>
          <w:ilvl w:val="0"/>
          <w:numId w:val="28"/>
        </w:numPr>
      </w:pPr>
      <w:r>
        <w:t>by expelling the other partner from the partnership</w:t>
      </w:r>
    </w:p>
    <w:p w14:paraId="69A75EDA" w14:textId="7A5DF73B" w:rsidR="00D81182" w:rsidRDefault="00D81182" w:rsidP="00D81182">
      <w:pPr>
        <w:pStyle w:val="ListParagraph"/>
        <w:numPr>
          <w:ilvl w:val="0"/>
          <w:numId w:val="28"/>
        </w:numPr>
      </w:pPr>
      <w:r>
        <w:t>by subjecting the partner to any other detriment.</w:t>
      </w:r>
      <w:r>
        <w:rPr>
          <w:rStyle w:val="EndnoteReference"/>
        </w:rPr>
        <w:endnoteReference w:id="34"/>
      </w:r>
    </w:p>
    <w:p w14:paraId="1153A043" w14:textId="326DACFC" w:rsidR="00D81182" w:rsidRDefault="00D81182" w:rsidP="00D81182">
      <w:pPr>
        <w:pStyle w:val="Heading4"/>
      </w:pPr>
      <w:r>
        <w:t>Specific exemptions</w:t>
      </w:r>
    </w:p>
    <w:p w14:paraId="7900ACD8" w14:textId="77777777" w:rsidR="00B838BB" w:rsidRDefault="00B838BB" w:rsidP="00B838BB">
      <w:r>
        <w:t>It is permissible for a person to discriminate against another person in the following circumstances if the person is unable to carry out the inherent requirements of a partner because of their age:</w:t>
      </w:r>
    </w:p>
    <w:p w14:paraId="29F3C22C" w14:textId="77777777" w:rsidR="00B838BB" w:rsidRDefault="00B838BB" w:rsidP="00B838BB">
      <w:pPr>
        <w:pStyle w:val="ListParagraph"/>
        <w:numPr>
          <w:ilvl w:val="0"/>
          <w:numId w:val="29"/>
        </w:numPr>
      </w:pPr>
      <w:r>
        <w:t>in determining who should be invited to become a partner in a new partnership</w:t>
      </w:r>
    </w:p>
    <w:p w14:paraId="076CD473" w14:textId="77777777" w:rsidR="00B838BB" w:rsidRDefault="00B838BB" w:rsidP="00B838BB">
      <w:pPr>
        <w:pStyle w:val="ListParagraph"/>
        <w:numPr>
          <w:ilvl w:val="0"/>
          <w:numId w:val="29"/>
        </w:numPr>
      </w:pPr>
      <w:r>
        <w:t>in determining who should be invited to become a partner in an existing partnership</w:t>
      </w:r>
    </w:p>
    <w:p w14:paraId="751EF7AC" w14:textId="77777777" w:rsidR="00B838BB" w:rsidRDefault="00B838BB" w:rsidP="00B838BB">
      <w:pPr>
        <w:pStyle w:val="ListParagraph"/>
        <w:numPr>
          <w:ilvl w:val="0"/>
          <w:numId w:val="29"/>
        </w:numPr>
      </w:pPr>
      <w:r>
        <w:t>by expelling a partner from a partnership.</w:t>
      </w:r>
      <w:r>
        <w:rPr>
          <w:rStyle w:val="EndnoteReference"/>
        </w:rPr>
        <w:endnoteReference w:id="35"/>
      </w:r>
    </w:p>
    <w:p w14:paraId="40106EA8" w14:textId="77777777" w:rsidR="00B838BB" w:rsidRDefault="00B838BB" w:rsidP="00B838BB">
      <w:r>
        <w:t xml:space="preserve">In deciding whether the inherent requirements exemption applies the following is to be </w:t>
      </w:r>
      <w:proofErr w:type="gramStart"/>
      <w:r>
        <w:t>taken into account</w:t>
      </w:r>
      <w:proofErr w:type="gramEnd"/>
      <w:r>
        <w:t>:</w:t>
      </w:r>
    </w:p>
    <w:p w14:paraId="5171EF88" w14:textId="77777777" w:rsidR="00B838BB" w:rsidRDefault="00B838BB" w:rsidP="00B838BB">
      <w:pPr>
        <w:pStyle w:val="ListParagraph"/>
        <w:numPr>
          <w:ilvl w:val="0"/>
          <w:numId w:val="30"/>
        </w:numPr>
      </w:pPr>
      <w:r>
        <w:t>the person’s past training, qualifications and experience relevant to the proposed or existing partnership</w:t>
      </w:r>
    </w:p>
    <w:p w14:paraId="49DDDA36" w14:textId="77777777" w:rsidR="00DB709A" w:rsidRDefault="00B838BB" w:rsidP="00B838BB">
      <w:pPr>
        <w:pStyle w:val="ListParagraph"/>
        <w:numPr>
          <w:ilvl w:val="0"/>
          <w:numId w:val="30"/>
        </w:numPr>
      </w:pPr>
      <w:r>
        <w:t>the person’s performance as a partner</w:t>
      </w:r>
    </w:p>
    <w:p w14:paraId="34921976" w14:textId="6CA67B87" w:rsidR="00D81182" w:rsidRDefault="00B838BB" w:rsidP="00B838BB">
      <w:pPr>
        <w:pStyle w:val="ListParagraph"/>
        <w:numPr>
          <w:ilvl w:val="0"/>
          <w:numId w:val="30"/>
        </w:numPr>
      </w:pPr>
      <w:r>
        <w:t xml:space="preserve">all other relevant factors that it is reasonable to </w:t>
      </w:r>
      <w:proofErr w:type="gramStart"/>
      <w:r>
        <w:t>take into account</w:t>
      </w:r>
      <w:proofErr w:type="gramEnd"/>
      <w:r>
        <w:t>.</w:t>
      </w:r>
      <w:r>
        <w:rPr>
          <w:rStyle w:val="EndnoteReference"/>
        </w:rPr>
        <w:endnoteReference w:id="36"/>
      </w:r>
    </w:p>
    <w:p w14:paraId="3CD74E88" w14:textId="4C481E8F" w:rsidR="00B838BB" w:rsidRDefault="00B838BB" w:rsidP="00B838BB">
      <w:pPr>
        <w:pStyle w:val="Heading3"/>
      </w:pPr>
      <w:r>
        <w:t>Employment agency</w:t>
      </w:r>
    </w:p>
    <w:p w14:paraId="05C92E51" w14:textId="1417BA59" w:rsidR="00B838BB" w:rsidRDefault="00B838BB" w:rsidP="00B838BB">
      <w:pPr>
        <w:pStyle w:val="Heading4"/>
      </w:pPr>
      <w:r>
        <w:t>Unlawful discrimination</w:t>
      </w:r>
    </w:p>
    <w:p w14:paraId="61464D3E" w14:textId="77777777" w:rsidR="00B838BB" w:rsidRDefault="00B838BB" w:rsidP="00B838BB">
      <w:r>
        <w:t>It is unlawful for an employment agency to discriminate against a person based on their age:</w:t>
      </w:r>
    </w:p>
    <w:p w14:paraId="610E21B5" w14:textId="77777777" w:rsidR="00B838BB" w:rsidRDefault="00B838BB" w:rsidP="00B838BB">
      <w:pPr>
        <w:pStyle w:val="ListParagraph"/>
        <w:numPr>
          <w:ilvl w:val="0"/>
          <w:numId w:val="31"/>
        </w:numPr>
      </w:pPr>
      <w:r>
        <w:t>by refusing to provide the person with any of its services</w:t>
      </w:r>
    </w:p>
    <w:p w14:paraId="32C1F095" w14:textId="77777777" w:rsidR="00DB709A" w:rsidRDefault="00B838BB" w:rsidP="00B838BB">
      <w:pPr>
        <w:pStyle w:val="ListParagraph"/>
        <w:numPr>
          <w:ilvl w:val="0"/>
          <w:numId w:val="31"/>
        </w:numPr>
      </w:pPr>
      <w:r>
        <w:t>in the terms or conditions on which it offers to provide its services</w:t>
      </w:r>
    </w:p>
    <w:p w14:paraId="6D549789" w14:textId="40A2707B" w:rsidR="00B838BB" w:rsidRDefault="00B838BB" w:rsidP="00B838BB">
      <w:pPr>
        <w:pStyle w:val="ListParagraph"/>
        <w:numPr>
          <w:ilvl w:val="0"/>
          <w:numId w:val="31"/>
        </w:numPr>
      </w:pPr>
      <w:r>
        <w:t xml:space="preserve">in the </w:t>
      </w:r>
      <w:proofErr w:type="gramStart"/>
      <w:r>
        <w:t>manner in which</w:t>
      </w:r>
      <w:proofErr w:type="gramEnd"/>
      <w:r>
        <w:t xml:space="preserve"> it provides its services.</w:t>
      </w:r>
      <w:r>
        <w:rPr>
          <w:rStyle w:val="EndnoteReference"/>
        </w:rPr>
        <w:endnoteReference w:id="37"/>
      </w:r>
    </w:p>
    <w:p w14:paraId="46D64DF2" w14:textId="5819F53D" w:rsidR="00B838BB" w:rsidRDefault="00B838BB" w:rsidP="00B838BB">
      <w:pPr>
        <w:pStyle w:val="Heading4"/>
      </w:pPr>
      <w:r>
        <w:t>Specific exemptions</w:t>
      </w:r>
    </w:p>
    <w:p w14:paraId="039386D9" w14:textId="77777777" w:rsidR="00B838BB" w:rsidRDefault="00B838BB" w:rsidP="00B838BB">
      <w:r w:rsidRPr="00EF371B">
        <w:t>It is permissible f</w:t>
      </w:r>
      <w:r>
        <w:t>o</w:t>
      </w:r>
      <w:r w:rsidRPr="00EF371B">
        <w:t>r an employment agency to discr</w:t>
      </w:r>
      <w:r>
        <w:t>iminate against a person if the person is unable to carry out the inherent requirements of the work because of their age.</w:t>
      </w:r>
      <w:r>
        <w:rPr>
          <w:rStyle w:val="EndnoteReference"/>
        </w:rPr>
        <w:endnoteReference w:id="38"/>
      </w:r>
    </w:p>
    <w:p w14:paraId="4DA8DB5E" w14:textId="77777777" w:rsidR="00B838BB" w:rsidRDefault="00B838BB" w:rsidP="00B838BB">
      <w:r>
        <w:t xml:space="preserve">In deciding whether the inherent requirements exemption applies the following is to be </w:t>
      </w:r>
      <w:proofErr w:type="gramStart"/>
      <w:r>
        <w:t>taken into account</w:t>
      </w:r>
      <w:proofErr w:type="gramEnd"/>
      <w:r>
        <w:t>:</w:t>
      </w:r>
    </w:p>
    <w:p w14:paraId="06538E06" w14:textId="77777777" w:rsidR="00DB709A" w:rsidRDefault="00B838BB" w:rsidP="00B838BB">
      <w:pPr>
        <w:pStyle w:val="ListParagraph"/>
        <w:numPr>
          <w:ilvl w:val="0"/>
          <w:numId w:val="30"/>
        </w:numPr>
      </w:pPr>
      <w:r>
        <w:t>the person’s past training, qualifications and experience relevant to the work sought</w:t>
      </w:r>
    </w:p>
    <w:p w14:paraId="76E204D7" w14:textId="0BA2F9BD" w:rsidR="00B838BB" w:rsidRDefault="00B838BB" w:rsidP="00B838BB">
      <w:pPr>
        <w:pStyle w:val="ListParagraph"/>
        <w:numPr>
          <w:ilvl w:val="0"/>
          <w:numId w:val="30"/>
        </w:numPr>
      </w:pPr>
      <w:r>
        <w:t xml:space="preserve">all other relevant factors that it is reasonable to </w:t>
      </w:r>
      <w:proofErr w:type="gramStart"/>
      <w:r>
        <w:t>take into account</w:t>
      </w:r>
      <w:proofErr w:type="gramEnd"/>
      <w:r>
        <w:t>.</w:t>
      </w:r>
      <w:r>
        <w:rPr>
          <w:rStyle w:val="EndnoteReference"/>
        </w:rPr>
        <w:endnoteReference w:id="39"/>
      </w:r>
    </w:p>
    <w:tbl>
      <w:tblPr>
        <w:tblStyle w:val="TableGrid"/>
        <w:tblW w:w="8878" w:type="dxa"/>
        <w:shd w:val="clear" w:color="auto" w:fill="E7E6E6" w:themeFill="background2"/>
        <w:tblLook w:val="04A0" w:firstRow="1" w:lastRow="0" w:firstColumn="1" w:lastColumn="0" w:noHBand="0" w:noVBand="1"/>
      </w:tblPr>
      <w:tblGrid>
        <w:gridCol w:w="1146"/>
        <w:gridCol w:w="7732"/>
      </w:tblGrid>
      <w:tr w:rsidR="00B838BB" w:rsidRPr="000E2480" w14:paraId="228DC92E" w14:textId="77777777" w:rsidTr="00DB709A">
        <w:trPr>
          <w:trHeight w:val="1273"/>
        </w:trPr>
        <w:tc>
          <w:tcPr>
            <w:tcW w:w="863" w:type="dxa"/>
            <w:tcBorders>
              <w:right w:val="nil"/>
            </w:tcBorders>
            <w:shd w:val="clear" w:color="auto" w:fill="E7E6E6" w:themeFill="background2"/>
          </w:tcPr>
          <w:p w14:paraId="49669E44" w14:textId="77777777" w:rsidR="00B838BB" w:rsidRDefault="00B838BB" w:rsidP="003370F5">
            <w:pPr>
              <w:rPr>
                <w:b/>
              </w:rPr>
            </w:pPr>
            <w:r>
              <w:rPr>
                <w:noProof/>
              </w:rPr>
              <w:lastRenderedPageBreak/>
              <w:drawing>
                <wp:inline distT="0" distB="0" distL="0" distR="0" wp14:anchorId="346BBB16" wp14:editId="06DBEA5D">
                  <wp:extent cx="590550" cy="590550"/>
                  <wp:effectExtent l="0" t="0" r="0" b="0"/>
                  <wp:docPr id="31" name="Graphic 4" descr="Information symbol indicating a 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0550" cy="590550"/>
                          </a:xfrm>
                          <a:prstGeom prst="rect">
                            <a:avLst/>
                          </a:prstGeom>
                        </pic:spPr>
                      </pic:pic>
                    </a:graphicData>
                  </a:graphic>
                </wp:inline>
              </w:drawing>
            </w:r>
          </w:p>
        </w:tc>
        <w:tc>
          <w:tcPr>
            <w:tcW w:w="8015" w:type="dxa"/>
            <w:tcBorders>
              <w:left w:val="nil"/>
            </w:tcBorders>
            <w:shd w:val="clear" w:color="auto" w:fill="E7E6E6" w:themeFill="background2"/>
          </w:tcPr>
          <w:p w14:paraId="00D26588" w14:textId="77777777" w:rsidR="00B838BB" w:rsidRPr="000E2480" w:rsidRDefault="00B838BB" w:rsidP="003370F5">
            <w:pPr>
              <w:rPr>
                <w:sz w:val="22"/>
                <w:szCs w:val="22"/>
              </w:rPr>
            </w:pPr>
            <w:r w:rsidRPr="00423A70">
              <w:rPr>
                <w:b/>
                <w:i/>
              </w:rPr>
              <w:t>Employment agency</w:t>
            </w:r>
            <w:r w:rsidRPr="00423A70">
              <w:rPr>
                <w:i/>
              </w:rPr>
              <w:t xml:space="preserve"> </w:t>
            </w:r>
            <w:r w:rsidRPr="007C7FC7">
              <w:t>means a person/body who assists pe</w:t>
            </w:r>
            <w:r>
              <w:t>ople</w:t>
            </w:r>
            <w:r w:rsidRPr="007C7FC7">
              <w:t xml:space="preserve"> to find employment or other </w:t>
            </w:r>
            <w:proofErr w:type="gramStart"/>
            <w:r w:rsidRPr="007C7FC7">
              <w:t>work, or</w:t>
            </w:r>
            <w:proofErr w:type="gramEnd"/>
            <w:r w:rsidRPr="007C7FC7">
              <w:t xml:space="preserve"> assists employers to find employees or workers.</w:t>
            </w:r>
            <w:r w:rsidRPr="007C7FC7">
              <w:rPr>
                <w:rStyle w:val="EndnoteReference"/>
              </w:rPr>
              <w:endnoteReference w:id="40"/>
            </w:r>
          </w:p>
        </w:tc>
      </w:tr>
    </w:tbl>
    <w:p w14:paraId="4236D310" w14:textId="2D9B3BAD" w:rsidR="00B838BB" w:rsidRDefault="00B838BB" w:rsidP="00B838BB"/>
    <w:tbl>
      <w:tblPr>
        <w:tblStyle w:val="TableGrid"/>
        <w:tblW w:w="8842" w:type="dxa"/>
        <w:shd w:val="clear" w:color="auto" w:fill="BDD6EE" w:themeFill="accent1" w:themeFillTint="66"/>
        <w:tblLook w:val="04A0" w:firstRow="1" w:lastRow="0" w:firstColumn="1" w:lastColumn="0" w:noHBand="0" w:noVBand="1"/>
      </w:tblPr>
      <w:tblGrid>
        <w:gridCol w:w="1206"/>
        <w:gridCol w:w="7636"/>
      </w:tblGrid>
      <w:tr w:rsidR="00B838BB" w:rsidRPr="00535918" w14:paraId="1CCB541D" w14:textId="77777777" w:rsidTr="00DB709A">
        <w:trPr>
          <w:trHeight w:val="1658"/>
        </w:trPr>
        <w:tc>
          <w:tcPr>
            <w:tcW w:w="830" w:type="dxa"/>
            <w:tcBorders>
              <w:right w:val="nil"/>
            </w:tcBorders>
            <w:shd w:val="clear" w:color="auto" w:fill="BDD6EE" w:themeFill="accent1" w:themeFillTint="66"/>
          </w:tcPr>
          <w:p w14:paraId="25C70CFE" w14:textId="77777777" w:rsidR="00B838BB" w:rsidRDefault="00B838BB" w:rsidP="003370F5">
            <w:pPr>
              <w:rPr>
                <w:b/>
              </w:rPr>
            </w:pPr>
            <w:r>
              <w:rPr>
                <w:noProof/>
              </w:rPr>
              <w:drawing>
                <wp:inline distT="0" distB="0" distL="0" distR="0" wp14:anchorId="3F669807" wp14:editId="269D9486">
                  <wp:extent cx="628650" cy="628650"/>
                  <wp:effectExtent l="0" t="0" r="0" b="0"/>
                  <wp:docPr id="32"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28650" cy="628650"/>
                          </a:xfrm>
                          <a:prstGeom prst="rect">
                            <a:avLst/>
                          </a:prstGeom>
                        </pic:spPr>
                      </pic:pic>
                    </a:graphicData>
                  </a:graphic>
                </wp:inline>
              </w:drawing>
            </w:r>
          </w:p>
        </w:tc>
        <w:tc>
          <w:tcPr>
            <w:tcW w:w="8012" w:type="dxa"/>
            <w:tcBorders>
              <w:left w:val="nil"/>
            </w:tcBorders>
            <w:shd w:val="clear" w:color="auto" w:fill="BDD6EE" w:themeFill="accent1" w:themeFillTint="66"/>
          </w:tcPr>
          <w:p w14:paraId="604A425D" w14:textId="77777777" w:rsidR="00B838BB" w:rsidRDefault="00B838BB" w:rsidP="003370F5">
            <w:r>
              <w:t>It is an inherent requirement of flying for an international private jet charter company that a pilot is under 60 years old, in order to be permitted to fly into international air space without restriction.</w:t>
            </w:r>
          </w:p>
          <w:p w14:paraId="1BE0DEAD" w14:textId="77777777" w:rsidR="00B838BB" w:rsidRPr="00535918" w:rsidRDefault="00B838BB" w:rsidP="003370F5">
            <w:r>
              <w:t>It is likely to be permissible for an employment agency that recruits charter pilots to refuse to provide its services to a person aged over 60 because of their age.</w:t>
            </w:r>
          </w:p>
        </w:tc>
      </w:tr>
    </w:tbl>
    <w:p w14:paraId="374D2667" w14:textId="77777777" w:rsidR="00B838BB" w:rsidRDefault="00B838BB" w:rsidP="00B838BB"/>
    <w:tbl>
      <w:tblPr>
        <w:tblStyle w:val="TableGrid"/>
        <w:tblW w:w="0" w:type="auto"/>
        <w:shd w:val="clear" w:color="auto" w:fill="E7E6E6" w:themeFill="background2"/>
        <w:tblLook w:val="04A0" w:firstRow="1" w:lastRow="0" w:firstColumn="1" w:lastColumn="0" w:noHBand="0" w:noVBand="1"/>
      </w:tblPr>
      <w:tblGrid>
        <w:gridCol w:w="1213"/>
        <w:gridCol w:w="7598"/>
      </w:tblGrid>
      <w:tr w:rsidR="00B838BB" w14:paraId="08162DBE" w14:textId="77777777" w:rsidTr="00DB709A">
        <w:trPr>
          <w:trHeight w:val="2019"/>
        </w:trPr>
        <w:tc>
          <w:tcPr>
            <w:tcW w:w="1213" w:type="dxa"/>
            <w:tcBorders>
              <w:right w:val="nil"/>
            </w:tcBorders>
            <w:shd w:val="clear" w:color="auto" w:fill="E7E6E6" w:themeFill="background2"/>
          </w:tcPr>
          <w:p w14:paraId="50FE8F0C" w14:textId="77777777" w:rsidR="00B838BB" w:rsidRDefault="00B838BB" w:rsidP="003370F5">
            <w:r>
              <w:rPr>
                <w:noProof/>
              </w:rPr>
              <w:drawing>
                <wp:inline distT="0" distB="0" distL="0" distR="0" wp14:anchorId="55E57C95" wp14:editId="770D8502">
                  <wp:extent cx="590550" cy="590550"/>
                  <wp:effectExtent l="0" t="0" r="0" b="0"/>
                  <wp:docPr id="33" name="Graphic 4" descr="Information symbol indicating furthe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rmation.svg"/>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90550" cy="590550"/>
                          </a:xfrm>
                          <a:prstGeom prst="rect">
                            <a:avLst/>
                          </a:prstGeom>
                        </pic:spPr>
                      </pic:pic>
                    </a:graphicData>
                  </a:graphic>
                </wp:inline>
              </w:drawing>
            </w:r>
          </w:p>
        </w:tc>
        <w:tc>
          <w:tcPr>
            <w:tcW w:w="7598" w:type="dxa"/>
            <w:tcBorders>
              <w:left w:val="nil"/>
            </w:tcBorders>
            <w:shd w:val="clear" w:color="auto" w:fill="E7E6E6" w:themeFill="background2"/>
          </w:tcPr>
          <w:p w14:paraId="50C2A915" w14:textId="77777777" w:rsidR="00B838BB" w:rsidRDefault="00B838BB" w:rsidP="003370F5">
            <w:r>
              <w:t>It is also unlawful for other bodies that are not work providers to discriminate against a person in relation to activities connected to work. For example, it is unlawful for a body that issues qualifications</w:t>
            </w:r>
            <w:r>
              <w:rPr>
                <w:rStyle w:val="EndnoteReference"/>
              </w:rPr>
              <w:endnoteReference w:id="41"/>
            </w:r>
            <w:r>
              <w:t xml:space="preserve"> (such as a TAFE or university) or an organisation or association registered or recognised under the </w:t>
            </w:r>
            <w:r>
              <w:rPr>
                <w:i/>
              </w:rPr>
              <w:t xml:space="preserve">Fair Work (Registered Organisations) Act 2009 </w:t>
            </w:r>
            <w:r>
              <w:t>(</w:t>
            </w:r>
            <w:proofErr w:type="spellStart"/>
            <w:r>
              <w:t>Cth</w:t>
            </w:r>
            <w:proofErr w:type="spellEnd"/>
            <w:r>
              <w:t>)</w:t>
            </w:r>
            <w:r>
              <w:rPr>
                <w:rStyle w:val="EndnoteReference"/>
              </w:rPr>
              <w:endnoteReference w:id="42"/>
            </w:r>
            <w:r>
              <w:t xml:space="preserve"> (such as a union) to discriminate against a person based on their age in particular circumstances.</w:t>
            </w:r>
          </w:p>
          <w:p w14:paraId="56DD6FC8" w14:textId="77777777" w:rsidR="00B838BB" w:rsidRDefault="00B838BB" w:rsidP="003370F5">
            <w:r>
              <w:t>It is also important to note that requesting information about a person’s age for the purpose of discrimination is also unlawful.</w:t>
            </w:r>
            <w:r>
              <w:rPr>
                <w:rStyle w:val="EndnoteReference"/>
              </w:rPr>
              <w:endnoteReference w:id="43"/>
            </w:r>
          </w:p>
        </w:tc>
      </w:tr>
    </w:tbl>
    <w:p w14:paraId="5C600BB8" w14:textId="77777777" w:rsidR="0001353D" w:rsidRDefault="0001353D" w:rsidP="00BA67F1">
      <w:pPr>
        <w:pStyle w:val="Heading2"/>
      </w:pPr>
      <w:bookmarkStart w:id="9" w:name="_Toc14338759"/>
      <w:bookmarkStart w:id="10" w:name="_GoBack"/>
      <w:bookmarkEnd w:id="10"/>
      <w:r>
        <w:t>When is discrimination allowed?</w:t>
      </w:r>
      <w:bookmarkEnd w:id="9"/>
    </w:p>
    <w:p w14:paraId="6BAE7413" w14:textId="0FC80063" w:rsidR="000A2917" w:rsidRDefault="000A2917" w:rsidP="002D109E">
      <w:pPr>
        <w:pStyle w:val="Heading3"/>
      </w:pPr>
      <w:r w:rsidRPr="000A2917">
        <w:t xml:space="preserve">Positive </w:t>
      </w:r>
      <w:r w:rsidRPr="002D109E">
        <w:t>discrimination</w:t>
      </w:r>
    </w:p>
    <w:p w14:paraId="1EA7DBC4" w14:textId="77777777" w:rsidR="003250AC" w:rsidRDefault="006B776F" w:rsidP="00BA67F1">
      <w:r>
        <w:t>Discrimination on the basis of age will be permissible if</w:t>
      </w:r>
      <w:r w:rsidR="003250AC">
        <w:t xml:space="preserve"> it amounts to positive discrimination.</w:t>
      </w:r>
      <w:r w:rsidR="003250AC">
        <w:rPr>
          <w:rStyle w:val="EndnoteReference"/>
        </w:rPr>
        <w:endnoteReference w:id="44"/>
      </w:r>
    </w:p>
    <w:p w14:paraId="28A6A02F" w14:textId="53B35D78" w:rsidR="00CF101E" w:rsidRDefault="003250AC" w:rsidP="00BA67F1">
      <w:r>
        <w:t>An act will constitute positive discrimination under the Act if</w:t>
      </w:r>
      <w:r w:rsidR="00C91ED7">
        <w:t>,</w:t>
      </w:r>
      <w:r w:rsidR="004C0792">
        <w:t xml:space="preserve"> consistent with the purposes of the Act</w:t>
      </w:r>
      <w:r w:rsidR="006B776F">
        <w:t>:</w:t>
      </w:r>
    </w:p>
    <w:p w14:paraId="1B5BE479" w14:textId="77777777" w:rsidR="006B776F" w:rsidRDefault="006B776F" w:rsidP="00BA67F1">
      <w:pPr>
        <w:pStyle w:val="ListParagraph"/>
        <w:numPr>
          <w:ilvl w:val="0"/>
          <w:numId w:val="32"/>
        </w:numPr>
      </w:pPr>
      <w:r>
        <w:t>it provides a bona fide benefit to pe</w:t>
      </w:r>
      <w:r w:rsidR="00AC6696">
        <w:t>ople</w:t>
      </w:r>
      <w:r>
        <w:t xml:space="preserve"> of a particular age</w:t>
      </w:r>
    </w:p>
    <w:p w14:paraId="2F58AEAE" w14:textId="77777777" w:rsidR="006B776F" w:rsidRPr="00951187" w:rsidRDefault="00AC6696" w:rsidP="00BA67F1">
      <w:pPr>
        <w:pStyle w:val="ListParagraph"/>
        <w:numPr>
          <w:ilvl w:val="0"/>
          <w:numId w:val="32"/>
        </w:numPr>
      </w:pPr>
      <w:r w:rsidRPr="00951187">
        <w:t>it is intended to meet</w:t>
      </w:r>
      <w:r w:rsidR="006B776F" w:rsidRPr="00951187">
        <w:t xml:space="preserve"> a need that ar</w:t>
      </w:r>
      <w:r w:rsidRPr="00951187">
        <w:t>ises out of the age of people</w:t>
      </w:r>
      <w:r w:rsidR="006B776F" w:rsidRPr="00951187">
        <w:t xml:space="preserve"> of a particular age</w:t>
      </w:r>
      <w:r w:rsidR="003164EB" w:rsidRPr="00951187">
        <w:t>, or</w:t>
      </w:r>
    </w:p>
    <w:p w14:paraId="78320FF1" w14:textId="06C380FA" w:rsidR="006B776F" w:rsidRDefault="006B776F" w:rsidP="00951187">
      <w:pPr>
        <w:pStyle w:val="ListParagraph"/>
        <w:numPr>
          <w:ilvl w:val="0"/>
          <w:numId w:val="32"/>
        </w:numPr>
        <w:spacing w:after="360"/>
        <w:ind w:left="714" w:hanging="357"/>
      </w:pPr>
      <w:r>
        <w:t>the act is intended to reduce a disadvantage experienced by people of a particular age.</w:t>
      </w:r>
      <w:r w:rsidR="003164EB">
        <w:rPr>
          <w:rStyle w:val="EndnoteReference"/>
        </w:rPr>
        <w:endnoteReference w:id="45"/>
      </w:r>
    </w:p>
    <w:tbl>
      <w:tblPr>
        <w:tblStyle w:val="TableGrid"/>
        <w:tblW w:w="0" w:type="auto"/>
        <w:shd w:val="clear" w:color="auto" w:fill="BDD6EE" w:themeFill="accent1" w:themeFillTint="66"/>
        <w:tblLook w:val="04A0" w:firstRow="1" w:lastRow="0" w:firstColumn="1" w:lastColumn="0" w:noHBand="0" w:noVBand="1"/>
      </w:tblPr>
      <w:tblGrid>
        <w:gridCol w:w="1271"/>
        <w:gridCol w:w="7745"/>
      </w:tblGrid>
      <w:tr w:rsidR="00AC717E" w14:paraId="11400F06" w14:textId="77777777" w:rsidTr="00F85E36">
        <w:tc>
          <w:tcPr>
            <w:tcW w:w="1271" w:type="dxa"/>
            <w:tcBorders>
              <w:right w:val="nil"/>
            </w:tcBorders>
            <w:shd w:val="clear" w:color="auto" w:fill="BDD6EE" w:themeFill="accent1" w:themeFillTint="66"/>
          </w:tcPr>
          <w:p w14:paraId="339A7C60" w14:textId="77777777" w:rsidR="00AC717E" w:rsidRDefault="00AC717E" w:rsidP="00BA67F1">
            <w:r>
              <w:rPr>
                <w:noProof/>
              </w:rPr>
              <w:drawing>
                <wp:inline distT="0" distB="0" distL="0" distR="0" wp14:anchorId="4ACF6F8F" wp14:editId="3327E946">
                  <wp:extent cx="533400" cy="533400"/>
                  <wp:effectExtent l="0" t="0" r="0" b="0"/>
                  <wp:docPr id="6"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33400" cy="533400"/>
                          </a:xfrm>
                          <a:prstGeom prst="rect">
                            <a:avLst/>
                          </a:prstGeom>
                        </pic:spPr>
                      </pic:pic>
                    </a:graphicData>
                  </a:graphic>
                </wp:inline>
              </w:drawing>
            </w:r>
          </w:p>
        </w:tc>
        <w:tc>
          <w:tcPr>
            <w:tcW w:w="7745" w:type="dxa"/>
            <w:tcBorders>
              <w:left w:val="nil"/>
            </w:tcBorders>
            <w:shd w:val="clear" w:color="auto" w:fill="BDD6EE" w:themeFill="accent1" w:themeFillTint="66"/>
          </w:tcPr>
          <w:p w14:paraId="48A23109" w14:textId="6B8CB2CF" w:rsidR="00AC717E" w:rsidRPr="00E271D4" w:rsidRDefault="00751B96" w:rsidP="00951187">
            <w:pPr>
              <w:pStyle w:val="Heading3"/>
              <w:numPr>
                <w:ilvl w:val="0"/>
                <w:numId w:val="0"/>
              </w:numPr>
              <w:spacing w:before="240"/>
              <w:outlineLvl w:val="2"/>
              <w:rPr>
                <w:rFonts w:cs="Open Sans"/>
                <w:b w:val="0"/>
                <w:szCs w:val="24"/>
              </w:rPr>
            </w:pPr>
            <w:r w:rsidRPr="00E271D4">
              <w:rPr>
                <w:rFonts w:cs="Open Sans"/>
                <w:b w:val="0"/>
                <w:szCs w:val="24"/>
              </w:rPr>
              <w:t xml:space="preserve">For example, a recruitment campaign targeted at unemployed or underemployed older workers </w:t>
            </w:r>
            <w:r w:rsidR="00AC717E" w:rsidRPr="00E271D4">
              <w:rPr>
                <w:rFonts w:cs="Open Sans"/>
                <w:b w:val="0"/>
                <w:szCs w:val="24"/>
              </w:rPr>
              <w:t>(an act intended to reduce disadvantage)</w:t>
            </w:r>
            <w:r w:rsidR="00AC717E" w:rsidRPr="00E271D4">
              <w:rPr>
                <w:rStyle w:val="EndnoteReference"/>
                <w:rFonts w:cs="Open Sans"/>
                <w:b w:val="0"/>
                <w:szCs w:val="20"/>
              </w:rPr>
              <w:endnoteReference w:id="46"/>
            </w:r>
            <w:r w:rsidR="003250AC" w:rsidRPr="00E271D4">
              <w:rPr>
                <w:rStyle w:val="EndnoteReference"/>
                <w:rFonts w:cs="Open Sans"/>
                <w:b w:val="0"/>
                <w:sz w:val="24"/>
                <w:szCs w:val="24"/>
              </w:rPr>
              <w:t xml:space="preserve"> </w:t>
            </w:r>
            <w:r w:rsidR="003250AC" w:rsidRPr="00E271D4">
              <w:rPr>
                <w:rStyle w:val="EndnoteReference"/>
                <w:rFonts w:cs="Open Sans"/>
                <w:b w:val="0"/>
                <w:sz w:val="24"/>
                <w:szCs w:val="24"/>
                <w:vertAlign w:val="baseline"/>
              </w:rPr>
              <w:t>is likely to be a form of positive discrimination.</w:t>
            </w:r>
          </w:p>
        </w:tc>
      </w:tr>
    </w:tbl>
    <w:p w14:paraId="618D0A1B" w14:textId="6A40D8CF" w:rsidR="000A2917" w:rsidRDefault="009B0D87" w:rsidP="002D109E">
      <w:pPr>
        <w:pStyle w:val="Heading3"/>
      </w:pPr>
      <w:r>
        <w:t xml:space="preserve">General </w:t>
      </w:r>
      <w:r w:rsidRPr="002D109E">
        <w:t>e</w:t>
      </w:r>
      <w:r w:rsidR="000A2917" w:rsidRPr="002D109E">
        <w:t>xemptions</w:t>
      </w:r>
    </w:p>
    <w:p w14:paraId="7AC99F19" w14:textId="70B002A4" w:rsidR="00907E0C" w:rsidRDefault="009B0D87" w:rsidP="00BA67F1">
      <w:r>
        <w:t xml:space="preserve">There are a number of </w:t>
      </w:r>
      <w:r w:rsidR="001D031C">
        <w:t xml:space="preserve">general exemptions to the </w:t>
      </w:r>
      <w:r w:rsidR="004C0792">
        <w:t>discrimination protections</w:t>
      </w:r>
      <w:r w:rsidR="004D653D">
        <w:t xml:space="preserve"> </w:t>
      </w:r>
      <w:r w:rsidR="001D031C">
        <w:t xml:space="preserve">of the Act. </w:t>
      </w:r>
      <w:r w:rsidR="00F1684E">
        <w:t>Depending on the particular circumstances these may be relevant in a work context.</w:t>
      </w:r>
    </w:p>
    <w:p w14:paraId="23E97480" w14:textId="77777777" w:rsidR="001D031C" w:rsidRDefault="00F478BD" w:rsidP="00BA67F1">
      <w:r>
        <w:t>The</w:t>
      </w:r>
      <w:r w:rsidR="00F1684E">
        <w:t xml:space="preserve"> general exemptions</w:t>
      </w:r>
      <w:r>
        <w:t xml:space="preserve"> relate to:</w:t>
      </w:r>
    </w:p>
    <w:p w14:paraId="4E271410" w14:textId="6488E7B2" w:rsidR="00F478BD" w:rsidRDefault="002220F6" w:rsidP="00BA67F1">
      <w:pPr>
        <w:pStyle w:val="ListParagraph"/>
        <w:numPr>
          <w:ilvl w:val="0"/>
          <w:numId w:val="34"/>
        </w:numPr>
      </w:pPr>
      <w:r>
        <w:t>c</w:t>
      </w:r>
      <w:r w:rsidR="00F478BD">
        <w:t>harities, religious and voluntary bodies</w:t>
      </w:r>
      <w:r w:rsidR="00F478BD">
        <w:rPr>
          <w:rStyle w:val="EndnoteReference"/>
        </w:rPr>
        <w:endnoteReference w:id="47"/>
      </w:r>
    </w:p>
    <w:p w14:paraId="4C39812E" w14:textId="77777777" w:rsidR="00F478BD" w:rsidRDefault="002220F6" w:rsidP="00BA67F1">
      <w:pPr>
        <w:pStyle w:val="ListParagraph"/>
        <w:numPr>
          <w:ilvl w:val="0"/>
          <w:numId w:val="34"/>
        </w:numPr>
      </w:pPr>
      <w:r>
        <w:t>superannuation, insurance and credit</w:t>
      </w:r>
      <w:r>
        <w:rPr>
          <w:rStyle w:val="EndnoteReference"/>
        </w:rPr>
        <w:endnoteReference w:id="48"/>
      </w:r>
    </w:p>
    <w:p w14:paraId="551D939B" w14:textId="77777777" w:rsidR="008F482F" w:rsidRDefault="008F482F" w:rsidP="00BA67F1">
      <w:pPr>
        <w:pStyle w:val="ListParagraph"/>
        <w:numPr>
          <w:ilvl w:val="0"/>
          <w:numId w:val="34"/>
        </w:numPr>
      </w:pPr>
      <w:r>
        <w:t>health</w:t>
      </w:r>
      <w:r w:rsidR="00B13FFF">
        <w:rPr>
          <w:rStyle w:val="EndnoteReference"/>
        </w:rPr>
        <w:endnoteReference w:id="49"/>
      </w:r>
    </w:p>
    <w:p w14:paraId="6AB48F9A" w14:textId="3889BCAE" w:rsidR="00B13FFF" w:rsidRDefault="00B13FFF" w:rsidP="00BA67F1">
      <w:pPr>
        <w:pStyle w:val="ListParagraph"/>
        <w:numPr>
          <w:ilvl w:val="0"/>
          <w:numId w:val="34"/>
        </w:numPr>
      </w:pPr>
      <w:r>
        <w:t>direct compliance with</w:t>
      </w:r>
      <w:r w:rsidR="00C3694C">
        <w:t xml:space="preserve"> the</w:t>
      </w:r>
      <w:r>
        <w:t xml:space="preserve"> law, </w:t>
      </w:r>
      <w:r w:rsidR="00C3694C">
        <w:t>a court order</w:t>
      </w:r>
      <w:r>
        <w:t>,</w:t>
      </w:r>
      <w:r w:rsidR="00C3694C">
        <w:t xml:space="preserve"> or</w:t>
      </w:r>
      <w:r>
        <w:t xml:space="preserve"> taxation and social security legislation</w:t>
      </w:r>
      <w:r>
        <w:rPr>
          <w:rStyle w:val="EndnoteReference"/>
        </w:rPr>
        <w:endnoteReference w:id="50"/>
      </w:r>
    </w:p>
    <w:p w14:paraId="2BF5EF2C" w14:textId="77777777" w:rsidR="00F24BBF" w:rsidRDefault="00FD35D5" w:rsidP="00BA67F1">
      <w:pPr>
        <w:pStyle w:val="ListParagraph"/>
        <w:numPr>
          <w:ilvl w:val="0"/>
          <w:numId w:val="34"/>
        </w:numPr>
      </w:pPr>
      <w:r>
        <w:t>targeted Commonwealth employment programs</w:t>
      </w:r>
      <w:r>
        <w:rPr>
          <w:rStyle w:val="EndnoteReference"/>
        </w:rPr>
        <w:endnoteReference w:id="51"/>
      </w:r>
    </w:p>
    <w:p w14:paraId="14E537DD" w14:textId="77777777" w:rsidR="00FD35D5" w:rsidRDefault="00FD35D5" w:rsidP="00BA67F1">
      <w:pPr>
        <w:pStyle w:val="ListParagraph"/>
        <w:numPr>
          <w:ilvl w:val="0"/>
          <w:numId w:val="34"/>
        </w:numPr>
      </w:pPr>
      <w:r>
        <w:t>administration of</w:t>
      </w:r>
      <w:r w:rsidR="00B47670">
        <w:t xml:space="preserve"> migration and citizenship laws</w:t>
      </w:r>
      <w:r>
        <w:rPr>
          <w:rStyle w:val="EndnoteReference"/>
        </w:rPr>
        <w:endnoteReference w:id="52"/>
      </w:r>
    </w:p>
    <w:p w14:paraId="389CDAB3" w14:textId="77777777" w:rsidR="00B47670" w:rsidRDefault="00B47670" w:rsidP="00BA67F1">
      <w:pPr>
        <w:pStyle w:val="ListParagraph"/>
        <w:numPr>
          <w:ilvl w:val="0"/>
          <w:numId w:val="34"/>
        </w:numPr>
      </w:pPr>
      <w:r>
        <w:t>youth wages</w:t>
      </w:r>
      <w:r w:rsidR="003164EB">
        <w:t>.</w:t>
      </w:r>
      <w:r>
        <w:rPr>
          <w:rStyle w:val="EndnoteReference"/>
        </w:rPr>
        <w:endnoteReference w:id="53"/>
      </w:r>
    </w:p>
    <w:p w14:paraId="569289DE" w14:textId="77777777" w:rsidR="00BA67F1" w:rsidRDefault="00BA67F1">
      <w:pPr>
        <w:keepLines w:val="0"/>
        <w:spacing w:before="0" w:after="0"/>
      </w:pPr>
      <w:r>
        <w:br w:type="page"/>
      </w:r>
    </w:p>
    <w:p w14:paraId="747ECE74" w14:textId="4319F9D7" w:rsidR="00BF0BC9" w:rsidRDefault="003C1D24" w:rsidP="00951187">
      <w:pPr>
        <w:spacing w:after="360"/>
      </w:pPr>
      <w:r>
        <w:lastRenderedPageBreak/>
        <w:t xml:space="preserve">Specific </w:t>
      </w:r>
      <w:r w:rsidR="001B694A">
        <w:t>requirements</w:t>
      </w:r>
      <w:r>
        <w:t xml:space="preserve"> must be met in order for these exemptions to apply.</w:t>
      </w:r>
    </w:p>
    <w:tbl>
      <w:tblPr>
        <w:tblStyle w:val="TableGrid"/>
        <w:tblW w:w="0" w:type="auto"/>
        <w:shd w:val="clear" w:color="auto" w:fill="BDD6EE" w:themeFill="accent1" w:themeFillTint="66"/>
        <w:tblLook w:val="04A0" w:firstRow="1" w:lastRow="0" w:firstColumn="1" w:lastColumn="0" w:noHBand="0" w:noVBand="1"/>
      </w:tblPr>
      <w:tblGrid>
        <w:gridCol w:w="1271"/>
        <w:gridCol w:w="7745"/>
      </w:tblGrid>
      <w:tr w:rsidR="00496E13" w14:paraId="0E81ACF9" w14:textId="77777777" w:rsidTr="00F85E36">
        <w:tc>
          <w:tcPr>
            <w:tcW w:w="1271" w:type="dxa"/>
            <w:tcBorders>
              <w:right w:val="nil"/>
            </w:tcBorders>
            <w:shd w:val="clear" w:color="auto" w:fill="BDD6EE" w:themeFill="accent1" w:themeFillTint="66"/>
          </w:tcPr>
          <w:p w14:paraId="3FC338A5" w14:textId="77777777" w:rsidR="00BF0BC9" w:rsidRDefault="00BF0BC9" w:rsidP="00BA67F1">
            <w:r>
              <w:rPr>
                <w:noProof/>
              </w:rPr>
              <w:drawing>
                <wp:inline distT="0" distB="0" distL="0" distR="0" wp14:anchorId="3FDA6A7A" wp14:editId="605865F0">
                  <wp:extent cx="533400" cy="533400"/>
                  <wp:effectExtent l="0" t="0" r="0" b="0"/>
                  <wp:docPr id="7" name="Graphic 2" descr="Document symbol indicating a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33400" cy="533400"/>
                          </a:xfrm>
                          <a:prstGeom prst="rect">
                            <a:avLst/>
                          </a:prstGeom>
                        </pic:spPr>
                      </pic:pic>
                    </a:graphicData>
                  </a:graphic>
                </wp:inline>
              </w:drawing>
            </w:r>
          </w:p>
        </w:tc>
        <w:tc>
          <w:tcPr>
            <w:tcW w:w="7745" w:type="dxa"/>
            <w:tcBorders>
              <w:left w:val="nil"/>
            </w:tcBorders>
            <w:shd w:val="clear" w:color="auto" w:fill="BDD6EE" w:themeFill="accent1" w:themeFillTint="66"/>
          </w:tcPr>
          <w:p w14:paraId="3F60D933" w14:textId="1718219A" w:rsidR="00BF0BC9" w:rsidRDefault="00BB33F8" w:rsidP="00BA67F1">
            <w:r>
              <w:t>For example i</w:t>
            </w:r>
            <w:r w:rsidR="00DB11C3">
              <w:t>f the relevant requirements are met</w:t>
            </w:r>
            <w:r w:rsidR="008D1468">
              <w:t>, i</w:t>
            </w:r>
            <w:r w:rsidR="00BF0BC9">
              <w:t xml:space="preserve">t </w:t>
            </w:r>
            <w:r w:rsidR="004C0792">
              <w:t xml:space="preserve">may </w:t>
            </w:r>
            <w:r w:rsidR="008D1468">
              <w:t>be permissible for:</w:t>
            </w:r>
          </w:p>
          <w:p w14:paraId="01794968" w14:textId="77777777" w:rsidR="00BF0BC9" w:rsidRDefault="00BF0BC9" w:rsidP="00BA67F1">
            <w:pPr>
              <w:pStyle w:val="ListParagraph"/>
              <w:numPr>
                <w:ilvl w:val="0"/>
                <w:numId w:val="48"/>
              </w:numPr>
            </w:pPr>
            <w:r>
              <w:t>a voluntary body</w:t>
            </w:r>
            <w:r w:rsidR="00F1684E">
              <w:t xml:space="preserve"> (including a union)</w:t>
            </w:r>
            <w:r>
              <w:t xml:space="preserve"> to </w:t>
            </w:r>
            <w:r w:rsidR="00BB33F8">
              <w:t>refuse a person’s</w:t>
            </w:r>
            <w:r w:rsidR="008D1468">
              <w:t xml:space="preserve"> application</w:t>
            </w:r>
            <w:r>
              <w:t xml:space="preserve"> for membership based on their age</w:t>
            </w:r>
          </w:p>
          <w:p w14:paraId="2501C006" w14:textId="77777777" w:rsidR="008D1468" w:rsidRDefault="00BF0BC9" w:rsidP="00BA67F1">
            <w:pPr>
              <w:pStyle w:val="ListParagraph"/>
              <w:numPr>
                <w:ilvl w:val="0"/>
                <w:numId w:val="48"/>
              </w:numPr>
            </w:pPr>
            <w:r>
              <w:t>a</w:t>
            </w:r>
            <w:r w:rsidR="008D1468">
              <w:t>n organisation to refuse to provide a person with</w:t>
            </w:r>
            <w:r w:rsidR="004C0792">
              <w:t xml:space="preserve"> an</w:t>
            </w:r>
            <w:r w:rsidR="008D1468">
              <w:t xml:space="preserve"> </w:t>
            </w:r>
            <w:r w:rsidR="00F1684E">
              <w:t>income protection</w:t>
            </w:r>
            <w:r w:rsidR="008D1468">
              <w:t xml:space="preserve"> insurance policy based on their age</w:t>
            </w:r>
          </w:p>
          <w:p w14:paraId="4F306439" w14:textId="1FD8A565" w:rsidR="00BF0BC9" w:rsidRPr="000E2480" w:rsidRDefault="00DB11C3" w:rsidP="00BA67F1">
            <w:pPr>
              <w:pStyle w:val="ListParagraph"/>
              <w:numPr>
                <w:ilvl w:val="0"/>
                <w:numId w:val="48"/>
              </w:numPr>
            </w:pPr>
            <w:r>
              <w:t>a work provider</w:t>
            </w:r>
            <w:r w:rsidR="00F1684E">
              <w:t xml:space="preserve"> to facilitate the provision of free </w:t>
            </w:r>
            <w:r w:rsidR="00BB33F8">
              <w:t>flu</w:t>
            </w:r>
            <w:r w:rsidR="00F1684E">
              <w:t xml:space="preserve"> vaccinations </w:t>
            </w:r>
            <w:r>
              <w:t>to employees over a certain age where the vaccine is part of an ‘exempt</w:t>
            </w:r>
            <w:r w:rsidR="00EB0619">
              <w:t>ed</w:t>
            </w:r>
            <w:r>
              <w:t xml:space="preserve"> health program’</w:t>
            </w:r>
            <w:r w:rsidR="001B694A">
              <w:t>.</w:t>
            </w:r>
          </w:p>
        </w:tc>
      </w:tr>
    </w:tbl>
    <w:p w14:paraId="1FD5888D" w14:textId="77777777" w:rsidR="009B0D87" w:rsidRPr="009B0D87" w:rsidRDefault="009B0D87" w:rsidP="00E55ADC">
      <w:pPr>
        <w:pStyle w:val="Heading3"/>
      </w:pPr>
      <w:r w:rsidRPr="009B0D87">
        <w:t xml:space="preserve">Temporary </w:t>
      </w:r>
      <w:r w:rsidRPr="00E55ADC">
        <w:t>exemptions</w:t>
      </w:r>
    </w:p>
    <w:p w14:paraId="5DE4569F" w14:textId="31ABECF9" w:rsidR="009B0D87" w:rsidRDefault="00FD35D5" w:rsidP="00BA67F1">
      <w:r>
        <w:t>An organisation may apply to the Commission for a temporary exemption. Given the other general exempti</w:t>
      </w:r>
      <w:r w:rsidR="00ED2DE3">
        <w:t>o</w:t>
      </w:r>
      <w:r>
        <w:t>ns</w:t>
      </w:r>
      <w:r w:rsidR="00ED2DE3">
        <w:t xml:space="preserve"> that already exist in the A</w:t>
      </w:r>
      <w:r>
        <w:t xml:space="preserve">ct, the Commission grants temporary exemptions sparingly. </w:t>
      </w:r>
      <w:r w:rsidR="00B77E06">
        <w:t>The Commission has published</w:t>
      </w:r>
      <w:hyperlink r:id="rId36" w:history="1">
        <w:r w:rsidR="00B77E06" w:rsidRPr="00B77E06">
          <w:rPr>
            <w:rStyle w:val="Hyperlink"/>
          </w:rPr>
          <w:t xml:space="preserve"> guidelines</w:t>
        </w:r>
      </w:hyperlink>
      <w:r w:rsidR="00B77E06">
        <w:t xml:space="preserve"> a</w:t>
      </w:r>
      <w:r w:rsidR="003164EB">
        <w:t>b</w:t>
      </w:r>
      <w:r w:rsidR="00B77E06">
        <w:t>out how it assesses applications for temporary exemptions under the Act.</w:t>
      </w:r>
      <w:r w:rsidR="00B77E06">
        <w:rPr>
          <w:rStyle w:val="EndnoteReference"/>
        </w:rPr>
        <w:endnoteReference w:id="54"/>
      </w:r>
    </w:p>
    <w:p w14:paraId="1BDC03F4" w14:textId="77777777" w:rsidR="00B77E06" w:rsidRDefault="00B77E06" w:rsidP="00BA67F1">
      <w:r>
        <w:t>Temporary exemptions can be gra</w:t>
      </w:r>
      <w:r w:rsidR="001343F7">
        <w:t>n</w:t>
      </w:r>
      <w:r>
        <w:t>ted:</w:t>
      </w:r>
    </w:p>
    <w:p w14:paraId="62907A96" w14:textId="77777777" w:rsidR="00B77E06" w:rsidRDefault="00B77E06" w:rsidP="00BA67F1">
      <w:pPr>
        <w:pStyle w:val="ListParagraph"/>
        <w:numPr>
          <w:ilvl w:val="0"/>
          <w:numId w:val="35"/>
        </w:numPr>
      </w:pPr>
      <w:r>
        <w:t>subject to certain terms and conditions, and</w:t>
      </w:r>
    </w:p>
    <w:p w14:paraId="5BBBA941" w14:textId="77777777" w:rsidR="00B77E06" w:rsidRDefault="00B77E06" w:rsidP="00BA67F1">
      <w:pPr>
        <w:pStyle w:val="ListParagraph"/>
        <w:numPr>
          <w:ilvl w:val="0"/>
          <w:numId w:val="35"/>
        </w:numPr>
      </w:pPr>
      <w:r>
        <w:t>for a period of up to five years.</w:t>
      </w:r>
      <w:r>
        <w:rPr>
          <w:rStyle w:val="EndnoteReference"/>
        </w:rPr>
        <w:endnoteReference w:id="55"/>
      </w:r>
    </w:p>
    <w:p w14:paraId="4958F782" w14:textId="77777777" w:rsidR="00B77E06" w:rsidRPr="009B0D87" w:rsidRDefault="00B77E06" w:rsidP="00BA67F1">
      <w:r>
        <w:t>If a temporary exemption is granted, it will not be possi</w:t>
      </w:r>
      <w:r w:rsidR="003164EB">
        <w:t xml:space="preserve">ble for a successful complaint </w:t>
      </w:r>
      <w:r>
        <w:t>t</w:t>
      </w:r>
      <w:r w:rsidR="003164EB">
        <w:t>o</w:t>
      </w:r>
      <w:r>
        <w:t xml:space="preserve"> be brought in relation to the circumstances covered by the exemption. </w:t>
      </w:r>
    </w:p>
    <w:p w14:paraId="751C0858" w14:textId="77777777" w:rsidR="002455F8" w:rsidRDefault="006C2F25" w:rsidP="00BA67F1">
      <w:pPr>
        <w:pStyle w:val="Heading2"/>
      </w:pPr>
      <w:bookmarkStart w:id="11" w:name="_Toc14338760"/>
      <w:r>
        <w:t>What constitutes an offence</w:t>
      </w:r>
      <w:r w:rsidR="00FA2418">
        <w:t>?</w:t>
      </w:r>
      <w:bookmarkEnd w:id="11"/>
    </w:p>
    <w:p w14:paraId="4F791B2B" w14:textId="693DF9F8" w:rsidR="002455F8" w:rsidRDefault="001B694A" w:rsidP="00BA67F1">
      <w:r>
        <w:t xml:space="preserve">Advertisements which </w:t>
      </w:r>
      <w:r w:rsidR="001C3F94">
        <w:t xml:space="preserve">indicate an intention to </w:t>
      </w:r>
      <w:r w:rsidR="00F9365B">
        <w:t>discriminate</w:t>
      </w:r>
      <w:r w:rsidR="001C3F94">
        <w:t xml:space="preserve"> </w:t>
      </w:r>
      <w:r>
        <w:t>on the basis of age, and victimisation are both offences</w:t>
      </w:r>
      <w:r w:rsidR="003F16E9">
        <w:t xml:space="preserve"> subject to penalties</w:t>
      </w:r>
      <w:r>
        <w:t xml:space="preserve"> under the Act.</w:t>
      </w:r>
      <w:r>
        <w:rPr>
          <w:rStyle w:val="EndnoteReference"/>
        </w:rPr>
        <w:endnoteReference w:id="56"/>
      </w:r>
    </w:p>
    <w:p w14:paraId="74141C8E" w14:textId="77777777" w:rsidR="002455F8" w:rsidRPr="00014AF2" w:rsidRDefault="002455F8" w:rsidP="002D109E">
      <w:pPr>
        <w:pStyle w:val="Heading3"/>
      </w:pPr>
      <w:r w:rsidRPr="002D109E">
        <w:t>Advertisement</w:t>
      </w:r>
    </w:p>
    <w:p w14:paraId="42986EEB" w14:textId="77777777" w:rsidR="002455F8" w:rsidRDefault="002455F8" w:rsidP="00BA67F1">
      <w:r>
        <w:t>It is an offence to publish</w:t>
      </w:r>
      <w:r w:rsidR="00BB33F8">
        <w:t xml:space="preserve"> or display</w:t>
      </w:r>
      <w:r>
        <w:t>, or cause the publication</w:t>
      </w:r>
      <w:r w:rsidR="00BB33F8">
        <w:t xml:space="preserve"> or display</w:t>
      </w:r>
      <w:r>
        <w:t>, of an advertisement or notice if:</w:t>
      </w:r>
    </w:p>
    <w:p w14:paraId="6CE4069C" w14:textId="77777777" w:rsidR="002455F8" w:rsidRDefault="002455F8" w:rsidP="00BA67F1">
      <w:pPr>
        <w:pStyle w:val="ListParagraph"/>
        <w:numPr>
          <w:ilvl w:val="0"/>
          <w:numId w:val="36"/>
        </w:numPr>
      </w:pPr>
      <w:r>
        <w:t>the advertisement or notice</w:t>
      </w:r>
      <w:r w:rsidR="00014AF2">
        <w:t xml:space="preserve"> indicates, or</w:t>
      </w:r>
      <w:r>
        <w:t xml:space="preserve"> </w:t>
      </w:r>
      <w:r w:rsidR="00014AF2">
        <w:t xml:space="preserve">could reasonably be understood to indicate, an </w:t>
      </w:r>
      <w:r w:rsidR="001C3F94">
        <w:t xml:space="preserve">intention to do an </w:t>
      </w:r>
      <w:r w:rsidR="00014AF2">
        <w:t>action</w:t>
      </w:r>
      <w:r w:rsidR="007E6164">
        <w:t>, and</w:t>
      </w:r>
    </w:p>
    <w:p w14:paraId="02DE7554" w14:textId="77777777" w:rsidR="00014AF2" w:rsidRDefault="00014AF2" w:rsidP="00BA67F1">
      <w:pPr>
        <w:pStyle w:val="ListParagraph"/>
        <w:numPr>
          <w:ilvl w:val="0"/>
          <w:numId w:val="36"/>
        </w:numPr>
      </w:pPr>
      <w:r>
        <w:t xml:space="preserve">that action would constitute </w:t>
      </w:r>
      <w:r w:rsidR="001C3F94">
        <w:t xml:space="preserve">unlawful </w:t>
      </w:r>
      <w:r>
        <w:t>discrimination on the basis of age.</w:t>
      </w:r>
      <w:r>
        <w:rPr>
          <w:rStyle w:val="EndnoteReference"/>
        </w:rPr>
        <w:endnoteReference w:id="57"/>
      </w:r>
    </w:p>
    <w:p w14:paraId="2B47C54C" w14:textId="09AB90D7" w:rsidR="00014AF2" w:rsidRDefault="00014AF2" w:rsidP="00BA67F1">
      <w:r>
        <w:lastRenderedPageBreak/>
        <w:t>‘Publication or display’ is broadly defined and includes</w:t>
      </w:r>
      <w:r w:rsidR="00E60ACE">
        <w:t xml:space="preserve"> newspapers, television, radio</w:t>
      </w:r>
      <w:r w:rsidR="00F9365B">
        <w:t>, signs and circulars</w:t>
      </w:r>
      <w:r w:rsidR="00E60ACE">
        <w:t>.</w:t>
      </w:r>
      <w:r w:rsidR="00E60ACE">
        <w:rPr>
          <w:rStyle w:val="EndnoteReference"/>
        </w:rPr>
        <w:endnoteReference w:id="58"/>
      </w:r>
      <w:r w:rsidR="00E60ACE">
        <w:t xml:space="preserve"> The advertisement or notice does not need to be displayed </w:t>
      </w:r>
      <w:r w:rsidR="003F6986">
        <w:t>to the</w:t>
      </w:r>
      <w:r w:rsidR="00E60ACE">
        <w:t xml:space="preserve"> public.</w:t>
      </w:r>
      <w:r w:rsidR="00E60ACE">
        <w:rPr>
          <w:rStyle w:val="EndnoteReference"/>
        </w:rPr>
        <w:endnoteReference w:id="59"/>
      </w:r>
    </w:p>
    <w:p w14:paraId="7EAB1B9D" w14:textId="77777777" w:rsidR="002455F8" w:rsidRDefault="002455F8" w:rsidP="002D109E">
      <w:pPr>
        <w:pStyle w:val="Heading3"/>
      </w:pPr>
      <w:r w:rsidRPr="002D109E">
        <w:t>Victimisation</w:t>
      </w:r>
    </w:p>
    <w:p w14:paraId="054F4B74" w14:textId="77777777" w:rsidR="00F76D77" w:rsidRDefault="005B75A9" w:rsidP="00BA67F1">
      <w:r>
        <w:t>It is an offence under the Act to</w:t>
      </w:r>
      <w:r w:rsidR="00432412">
        <w:t xml:space="preserve"> victimise another person.</w:t>
      </w:r>
      <w:r w:rsidR="008C0916">
        <w:rPr>
          <w:rStyle w:val="EndnoteReference"/>
        </w:rPr>
        <w:endnoteReference w:id="60"/>
      </w:r>
      <w:r w:rsidR="00432412">
        <w:t xml:space="preserve"> </w:t>
      </w:r>
      <w:r w:rsidR="008E6C84">
        <w:t xml:space="preserve">Victimisation includes </w:t>
      </w:r>
      <w:r w:rsidR="001C3F94">
        <w:t xml:space="preserve">intentionally </w:t>
      </w:r>
      <w:r w:rsidR="008E6C84">
        <w:t>subjecting, or threatening to subject,</w:t>
      </w:r>
      <w:r w:rsidR="00432412">
        <w:t xml:space="preserve"> </w:t>
      </w:r>
      <w:r w:rsidR="008E6C84">
        <w:t>a person to a</w:t>
      </w:r>
      <w:r w:rsidR="00432412">
        <w:t xml:space="preserve"> detriment because they have either made </w:t>
      </w:r>
      <w:r w:rsidR="001C3F94">
        <w:t xml:space="preserve">or proposed to make </w:t>
      </w:r>
      <w:r w:rsidR="00432412">
        <w:t>a complaint under the Act, or have engaged with the Commission’s complaints process in some other way (for example, as a witness in proceedings).</w:t>
      </w:r>
      <w:r w:rsidR="00432412">
        <w:rPr>
          <w:rStyle w:val="EndnoteReference"/>
        </w:rPr>
        <w:endnoteReference w:id="61"/>
      </w:r>
    </w:p>
    <w:p w14:paraId="14B49B63" w14:textId="77777777" w:rsidR="0001353D" w:rsidRDefault="0001353D" w:rsidP="00BA67F1">
      <w:pPr>
        <w:pStyle w:val="Heading2"/>
      </w:pPr>
      <w:bookmarkStart w:id="12" w:name="_Toc5694009"/>
      <w:bookmarkStart w:id="13" w:name="_Toc5694010"/>
      <w:bookmarkStart w:id="14" w:name="_Toc5694011"/>
      <w:bookmarkStart w:id="15" w:name="_Toc14338761"/>
      <w:bookmarkEnd w:id="12"/>
      <w:bookmarkEnd w:id="13"/>
      <w:bookmarkEnd w:id="14"/>
      <w:r>
        <w:t xml:space="preserve">Who is legally responsible </w:t>
      </w:r>
      <w:r w:rsidRPr="00963C7F">
        <w:t>for discrimination under</w:t>
      </w:r>
      <w:r>
        <w:t xml:space="preserve"> the Act?</w:t>
      </w:r>
      <w:bookmarkEnd w:id="15"/>
    </w:p>
    <w:p w14:paraId="6FB9DF7B" w14:textId="0F12F362" w:rsidR="009D638D" w:rsidRDefault="009D638D" w:rsidP="00BA67F1">
      <w:r>
        <w:t>Legal responsibility</w:t>
      </w:r>
      <w:r w:rsidR="000E3EC2">
        <w:t>—</w:t>
      </w:r>
      <w:r>
        <w:t>often described as liability</w:t>
      </w:r>
      <w:r w:rsidR="000E3EC2">
        <w:t>—</w:t>
      </w:r>
      <w:r>
        <w:t>determines who has to pay compensation or take other actions because of a finding of unlawful discrimination.</w:t>
      </w:r>
    </w:p>
    <w:p w14:paraId="48BF6C91" w14:textId="77777777" w:rsidR="009D638D" w:rsidRDefault="009D638D" w:rsidP="00BA67F1">
      <w:r>
        <w:t xml:space="preserve">Both an individual or organisation </w:t>
      </w:r>
      <w:r w:rsidR="003F6986">
        <w:t>that</w:t>
      </w:r>
      <w:r>
        <w:t xml:space="preserve"> discriminates against</w:t>
      </w:r>
      <w:r w:rsidR="004718F9">
        <w:t xml:space="preserve"> </w:t>
      </w:r>
      <w:r>
        <w:t>an individual</w:t>
      </w:r>
      <w:r w:rsidR="004718F9">
        <w:t>,</w:t>
      </w:r>
      <w:r>
        <w:t xml:space="preserve"> and a person </w:t>
      </w:r>
      <w:r w:rsidR="003F6986">
        <w:t>who ‘c</w:t>
      </w:r>
      <w:r w:rsidR="004718F9">
        <w:t>a</w:t>
      </w:r>
      <w:r w:rsidR="003F6986">
        <w:t>u</w:t>
      </w:r>
      <w:r w:rsidR="004718F9">
        <w:t>ses, instructs, induces, aids or permits’ another person to</w:t>
      </w:r>
      <w:r w:rsidR="003F6986">
        <w:t xml:space="preserve"> do</w:t>
      </w:r>
      <w:r w:rsidR="004718F9">
        <w:t xml:space="preserve"> that act can be held liable under the Act.</w:t>
      </w:r>
      <w:r w:rsidR="004718F9">
        <w:rPr>
          <w:rStyle w:val="EndnoteReference"/>
        </w:rPr>
        <w:endnoteReference w:id="62"/>
      </w:r>
    </w:p>
    <w:p w14:paraId="72B4CC51" w14:textId="650FB7DD" w:rsidR="001343F7" w:rsidRDefault="00686007" w:rsidP="00BA67F1">
      <w:r>
        <w:t xml:space="preserve">It is also important to note that an employer </w:t>
      </w:r>
      <w:r w:rsidR="00F9365B">
        <w:t xml:space="preserve">or other work provider </w:t>
      </w:r>
      <w:r>
        <w:t>can be vicariously liable for the action</w:t>
      </w:r>
      <w:r w:rsidR="008E6C84">
        <w:t xml:space="preserve">s of </w:t>
      </w:r>
      <w:r>
        <w:t xml:space="preserve">employees or agents where these amount to unlawful discrimination, </w:t>
      </w:r>
      <w:r w:rsidRPr="00963C7F">
        <w:t>or an unlawful request for</w:t>
      </w:r>
      <w:r>
        <w:t xml:space="preserve"> information</w:t>
      </w:r>
      <w:r w:rsidR="001343F7">
        <w:t>,</w:t>
      </w:r>
      <w:r w:rsidR="00A30278">
        <w:t xml:space="preserve"> unless they </w:t>
      </w:r>
      <w:r w:rsidR="008E6C84">
        <w:t xml:space="preserve">have taken </w:t>
      </w:r>
      <w:r w:rsidR="00A30278">
        <w:t>reasonable pre</w:t>
      </w:r>
      <w:r w:rsidR="001343F7">
        <w:t>cautions or conducted due diligence to prevent discrimination on the basis of age</w:t>
      </w:r>
      <w:r>
        <w:t>.</w:t>
      </w:r>
      <w:r>
        <w:rPr>
          <w:rStyle w:val="EndnoteReference"/>
        </w:rPr>
        <w:endnoteReference w:id="63"/>
      </w:r>
    </w:p>
    <w:p w14:paraId="31C94C9E" w14:textId="128D263D" w:rsidR="00BA67F1" w:rsidRDefault="00BA67F1">
      <w:pPr>
        <w:keepLines w:val="0"/>
        <w:spacing w:before="0" w:after="0"/>
      </w:pPr>
      <w:r>
        <w:br w:type="page"/>
      </w:r>
    </w:p>
    <w:p w14:paraId="1D0F30DF" w14:textId="77777777" w:rsidR="0001353D" w:rsidRPr="00680E41" w:rsidRDefault="0001353D" w:rsidP="00BA67F1">
      <w:pPr>
        <w:pStyle w:val="Heading1"/>
      </w:pPr>
      <w:bookmarkStart w:id="16" w:name="_Toc14338762"/>
      <w:r w:rsidRPr="00680E41">
        <w:lastRenderedPageBreak/>
        <w:t xml:space="preserve">How can </w:t>
      </w:r>
      <w:r w:rsidR="003C1D24">
        <w:t>workplaces</w:t>
      </w:r>
      <w:r w:rsidRPr="00680E41">
        <w:t xml:space="preserve"> promote</w:t>
      </w:r>
      <w:r w:rsidR="000961ED" w:rsidRPr="00680E41">
        <w:t xml:space="preserve"> the</w:t>
      </w:r>
      <w:r w:rsidRPr="00680E41">
        <w:t xml:space="preserve"> </w:t>
      </w:r>
      <w:r w:rsidR="000961ED" w:rsidRPr="00680E41">
        <w:t xml:space="preserve">inclusion </w:t>
      </w:r>
      <w:r w:rsidR="0021371C">
        <w:t xml:space="preserve">and value </w:t>
      </w:r>
      <w:r w:rsidR="000961ED" w:rsidRPr="00680E41">
        <w:t>of</w:t>
      </w:r>
      <w:r w:rsidRPr="00680E41">
        <w:t xml:space="preserve"> older workers?</w:t>
      </w:r>
      <w:bookmarkEnd w:id="16"/>
    </w:p>
    <w:p w14:paraId="6AD28EC9" w14:textId="77777777" w:rsidR="00CA1406" w:rsidRPr="00CA1406" w:rsidRDefault="00CA1406" w:rsidP="00BA67F1">
      <w:r w:rsidRPr="00680E41">
        <w:t xml:space="preserve">The case studies below have been developed to illustrate the </w:t>
      </w:r>
      <w:proofErr w:type="spellStart"/>
      <w:r w:rsidRPr="00680E41">
        <w:t>barrriers</w:t>
      </w:r>
      <w:proofErr w:type="spellEnd"/>
      <w:r w:rsidRPr="00680E41">
        <w:t xml:space="preserve"> that older workers face, and how employers and other work providers can </w:t>
      </w:r>
      <w:r w:rsidR="000961ED" w:rsidRPr="00680E41">
        <w:t>promote</w:t>
      </w:r>
      <w:r w:rsidR="001D0142">
        <w:t xml:space="preserve"> the inclusion </w:t>
      </w:r>
      <w:r w:rsidR="0021371C">
        <w:t xml:space="preserve">and value </w:t>
      </w:r>
      <w:r w:rsidR="001D0142">
        <w:t>of older workers in a multigenerational workforce.</w:t>
      </w:r>
    </w:p>
    <w:p w14:paraId="2ABCA291" w14:textId="77777777" w:rsidR="00371598" w:rsidRDefault="0001353D" w:rsidP="00BA67F1">
      <w:pPr>
        <w:pStyle w:val="Heading2"/>
      </w:pPr>
      <w:bookmarkStart w:id="17" w:name="_Toc14338763"/>
      <w:r>
        <w:t>Recruitment</w:t>
      </w:r>
      <w:bookmarkEnd w:id="17"/>
    </w:p>
    <w:p w14:paraId="21B55DBC" w14:textId="4996F632" w:rsidR="00680E41" w:rsidRDefault="00680E41" w:rsidP="00BA67F1">
      <w:r>
        <w:t>Employers and work providers can promote the inclusion of older workers by ensuring that recruitment processes are age</w:t>
      </w:r>
      <w:r w:rsidR="001F496F">
        <w:t>-</w:t>
      </w:r>
      <w:r>
        <w:t>neutral.</w:t>
      </w:r>
    </w:p>
    <w:p w14:paraId="45D9AC98" w14:textId="56C9CD92" w:rsidR="00702B54" w:rsidRPr="00702B54" w:rsidRDefault="00702B54" w:rsidP="00951187">
      <w:pPr>
        <w:spacing w:after="360"/>
      </w:pPr>
      <w:r>
        <w:t xml:space="preserve">A recent Australian </w:t>
      </w:r>
      <w:r w:rsidR="007F323C">
        <w:t>HR</w:t>
      </w:r>
      <w:r>
        <w:t xml:space="preserve"> Institute report found that </w:t>
      </w:r>
      <w:r w:rsidR="000E76CA">
        <w:t xml:space="preserve">an increasing number of </w:t>
      </w:r>
      <w:r>
        <w:t>organisations believe there are no obstacles preventing the recruitment of older workers (3</w:t>
      </w:r>
      <w:r w:rsidR="007F323C">
        <w:t>2% in 2018</w:t>
      </w:r>
      <w:r w:rsidR="00CC1AD2">
        <w:t>,</w:t>
      </w:r>
      <w:r w:rsidR="007F323C">
        <w:t xml:space="preserve"> up from 27% in 2014).</w:t>
      </w:r>
      <w:r w:rsidR="00666329">
        <w:rPr>
          <w:rStyle w:val="EndnoteReference"/>
        </w:rPr>
        <w:endnoteReference w:id="64"/>
      </w:r>
      <w:r w:rsidR="007F323C">
        <w:t xml:space="preserve"> However</w:t>
      </w:r>
      <w:r w:rsidR="00CC1AD2">
        <w:t>,</w:t>
      </w:r>
      <w:r w:rsidR="007F323C">
        <w:t xml:space="preserve"> </w:t>
      </w:r>
      <w:r>
        <w:t xml:space="preserve">one in three </w:t>
      </w:r>
      <w:r w:rsidR="004607F4">
        <w:t xml:space="preserve">survey </w:t>
      </w:r>
      <w:r w:rsidR="00CC1AD2">
        <w:t>respondents</w:t>
      </w:r>
      <w:r w:rsidR="00360FC4">
        <w:t xml:space="preserve"> </w:t>
      </w:r>
      <w:r>
        <w:t>indicate</w:t>
      </w:r>
      <w:r w:rsidR="007F323C">
        <w:t>d</w:t>
      </w:r>
      <w:r>
        <w:t xml:space="preserve"> there </w:t>
      </w:r>
      <w:r w:rsidR="00C65159">
        <w:t>wa</w:t>
      </w:r>
      <w:r>
        <w:t xml:space="preserve">s an age over which they </w:t>
      </w:r>
      <w:r w:rsidR="00C65159">
        <w:t>we</w:t>
      </w:r>
      <w:r>
        <w:t>re reluctant to recruit</w:t>
      </w:r>
      <w:r w:rsidR="00F42D13">
        <w:t>.</w:t>
      </w:r>
      <w:r w:rsidR="002A69DC">
        <w:rPr>
          <w:rStyle w:val="EndnoteReference"/>
        </w:rPr>
        <w:endnoteReference w:id="65"/>
      </w:r>
      <w:r w:rsidR="00F42D13">
        <w:t xml:space="preserve"> T</w:t>
      </w:r>
      <w:r>
        <w:t>he major</w:t>
      </w:r>
      <w:r w:rsidR="001D0142">
        <w:t>ity of them nominate</w:t>
      </w:r>
      <w:r w:rsidR="00F42D13">
        <w:t>d</w:t>
      </w:r>
      <w:r w:rsidR="001D0142">
        <w:t xml:space="preserve"> 50 as ‘too old’</w:t>
      </w:r>
      <w:r>
        <w:t>.</w:t>
      </w:r>
      <w:r>
        <w:rPr>
          <w:rStyle w:val="EndnoteReference"/>
        </w:rPr>
        <w:endnoteReference w:id="66"/>
      </w:r>
    </w:p>
    <w:tbl>
      <w:tblPr>
        <w:tblStyle w:val="TableGrid"/>
        <w:tblW w:w="0" w:type="auto"/>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523973" w14:paraId="5335AB75" w14:textId="77777777" w:rsidTr="008B2E14">
        <w:tc>
          <w:tcPr>
            <w:tcW w:w="9016" w:type="dxa"/>
            <w:shd w:val="clear" w:color="auto" w:fill="E2EFD9" w:themeFill="accent6" w:themeFillTint="33"/>
          </w:tcPr>
          <w:p w14:paraId="4ABF1F01" w14:textId="77777777" w:rsidR="00523973" w:rsidRDefault="00523973" w:rsidP="00F85E36">
            <w:pPr>
              <w:spacing w:before="0"/>
              <w:rPr>
                <w:b/>
              </w:rPr>
            </w:pPr>
            <w:r>
              <w:rPr>
                <w:b/>
              </w:rPr>
              <w:t>Case study—job interview</w:t>
            </w:r>
          </w:p>
          <w:p w14:paraId="211556C3" w14:textId="0CB44A2C" w:rsidR="00416ACC" w:rsidRDefault="00416ACC" w:rsidP="00BA67F1">
            <w:r>
              <w:t xml:space="preserve">Ivan is a </w:t>
            </w:r>
            <w:proofErr w:type="gramStart"/>
            <w:r>
              <w:t>55 year old</w:t>
            </w:r>
            <w:proofErr w:type="gramEnd"/>
            <w:r>
              <w:t xml:space="preserve"> software developer. He applies for a role at a </w:t>
            </w:r>
            <w:r w:rsidR="00433BA0">
              <w:t>start</w:t>
            </w:r>
            <w:r w:rsidR="001F496F">
              <w:t>-</w:t>
            </w:r>
            <w:r w:rsidR="00433BA0">
              <w:t>up</w:t>
            </w:r>
            <w:r>
              <w:t xml:space="preserve"> gaming company. In his previous role he was the head of innovation at Australia’s largest developer.</w:t>
            </w:r>
          </w:p>
          <w:p w14:paraId="4AAE31CF" w14:textId="3D4EA608" w:rsidR="004155C3" w:rsidRDefault="00416ACC" w:rsidP="00BA67F1">
            <w:r>
              <w:t xml:space="preserve">When Ivan enters the </w:t>
            </w:r>
            <w:r w:rsidR="00A12948">
              <w:t xml:space="preserve">interview </w:t>
            </w:r>
            <w:proofErr w:type="gramStart"/>
            <w:r w:rsidR="00A12948">
              <w:t>room</w:t>
            </w:r>
            <w:proofErr w:type="gramEnd"/>
            <w:r w:rsidR="00A12948">
              <w:t xml:space="preserve"> he sees the three </w:t>
            </w:r>
            <w:r w:rsidR="00FA0F65">
              <w:t>people</w:t>
            </w:r>
            <w:r w:rsidR="00A12948">
              <w:t xml:space="preserve"> on the panel, al</w:t>
            </w:r>
            <w:r w:rsidR="00C54DA9">
              <w:t>l</w:t>
            </w:r>
            <w:r w:rsidR="00A12948">
              <w:t xml:space="preserve"> aged in th</w:t>
            </w:r>
            <w:r w:rsidR="00FA0F65">
              <w:t xml:space="preserve">eir </w:t>
            </w:r>
            <w:r w:rsidR="00E446AC">
              <w:t>30</w:t>
            </w:r>
            <w:r w:rsidR="00FA0F65">
              <w:t xml:space="preserve">s, </w:t>
            </w:r>
            <w:r w:rsidR="004155C3">
              <w:t xml:space="preserve">smile and </w:t>
            </w:r>
            <w:r w:rsidR="00FA0F65">
              <w:t xml:space="preserve">nod at each other. </w:t>
            </w:r>
            <w:r w:rsidR="004155C3">
              <w:t xml:space="preserve">One of </w:t>
            </w:r>
            <w:r w:rsidR="004F5C9F">
              <w:t xml:space="preserve">the </w:t>
            </w:r>
            <w:r w:rsidR="004155C3">
              <w:t xml:space="preserve">panel members </w:t>
            </w:r>
            <w:r w:rsidR="00FA0F65">
              <w:t>ask</w:t>
            </w:r>
            <w:r w:rsidR="004155C3">
              <w:t>s</w:t>
            </w:r>
            <w:r w:rsidR="00FA0F65">
              <w:t xml:space="preserve"> about how he started working in software development.</w:t>
            </w:r>
            <w:r w:rsidR="004155C3">
              <w:t xml:space="preserve"> They are thrilled </w:t>
            </w:r>
            <w:r w:rsidR="00FA0F65">
              <w:t>t</w:t>
            </w:r>
            <w:r w:rsidR="004155C3">
              <w:t>o</w:t>
            </w:r>
            <w:r w:rsidR="00FA0F65">
              <w:t xml:space="preserve"> hear that Ivan wrote the </w:t>
            </w:r>
            <w:r w:rsidR="004155C3">
              <w:t xml:space="preserve">code </w:t>
            </w:r>
            <w:r w:rsidR="00F42D13">
              <w:t xml:space="preserve">that </w:t>
            </w:r>
            <w:r w:rsidR="004155C3">
              <w:t>their company’s new flagship game is based</w:t>
            </w:r>
            <w:r w:rsidR="000C31CF">
              <w:t xml:space="preserve"> on</w:t>
            </w:r>
            <w:r w:rsidR="004155C3">
              <w:t>.</w:t>
            </w:r>
          </w:p>
          <w:p w14:paraId="17B9AA2B" w14:textId="7B8E3DDE" w:rsidR="00FA0F65" w:rsidRDefault="004155C3" w:rsidP="00BA67F1">
            <w:r>
              <w:t xml:space="preserve">Ivan asks a number of questions about the company’s plans for their new game. The Director of marketing indicates that while the game has good engagement they are finding </w:t>
            </w:r>
            <w:r w:rsidR="000C31CF">
              <w:t>it difficult to connect with distributors.</w:t>
            </w:r>
            <w:r>
              <w:t xml:space="preserve"> Ivan explains that due to the time he has spent working in the industry he has developed strong relationships with a number of </w:t>
            </w:r>
            <w:r w:rsidR="00B10846">
              <w:t>large distributors.</w:t>
            </w:r>
          </w:p>
          <w:p w14:paraId="48C1F08A" w14:textId="1C0F8275" w:rsidR="00433BA0" w:rsidRPr="00416ACC" w:rsidRDefault="00B10846" w:rsidP="00F85E36">
            <w:pPr>
              <w:spacing w:after="100"/>
            </w:pPr>
            <w:r>
              <w:t xml:space="preserve">The panel consider Ivan’s technical and business experience in their industry would be a significant asset to their </w:t>
            </w:r>
            <w:proofErr w:type="gramStart"/>
            <w:r>
              <w:t>business</w:t>
            </w:r>
            <w:proofErr w:type="gramEnd"/>
            <w:r>
              <w:t xml:space="preserve"> so they offer him the role.</w:t>
            </w:r>
          </w:p>
        </w:tc>
      </w:tr>
    </w:tbl>
    <w:p w14:paraId="4CFF92BA" w14:textId="77777777" w:rsidR="0001353D" w:rsidRDefault="0001353D" w:rsidP="00BA67F1">
      <w:pPr>
        <w:pStyle w:val="Heading2"/>
      </w:pPr>
      <w:bookmarkStart w:id="18" w:name="_Toc14338764"/>
      <w:r>
        <w:lastRenderedPageBreak/>
        <w:t>Training and professional development</w:t>
      </w:r>
      <w:bookmarkEnd w:id="18"/>
    </w:p>
    <w:p w14:paraId="03ACC0A4" w14:textId="1B9208A9" w:rsidR="00680E41" w:rsidRDefault="00680E41" w:rsidP="00BA67F1">
      <w:r>
        <w:t>Employers and work providers can promote the inclusion of older workers by ensuring that</w:t>
      </w:r>
      <w:r w:rsidR="007F323C">
        <w:t xml:space="preserve"> </w:t>
      </w:r>
      <w:r>
        <w:t xml:space="preserve">training and professional development opportunities are open to all </w:t>
      </w:r>
      <w:r w:rsidR="00355FF6">
        <w:t>workers</w:t>
      </w:r>
      <w:r>
        <w:t>, regardless of age</w:t>
      </w:r>
      <w:r w:rsidR="000E126A">
        <w:t>.</w:t>
      </w:r>
    </w:p>
    <w:p w14:paraId="1567099B" w14:textId="16E0389A" w:rsidR="004D2E23" w:rsidRPr="00702B54" w:rsidRDefault="000C31CF" w:rsidP="00951187">
      <w:pPr>
        <w:spacing w:after="360"/>
      </w:pPr>
      <w:r>
        <w:t xml:space="preserve">In a recent survey on ageism the Benevolent Society found that one in four respondents </w:t>
      </w:r>
      <w:r w:rsidR="000A503C">
        <w:t>thought that employers would get better value out of training younger people, rather than older people.</w:t>
      </w:r>
      <w:r w:rsidR="000A503C">
        <w:rPr>
          <w:rStyle w:val="EndnoteReference"/>
        </w:rPr>
        <w:endnoteReference w:id="67"/>
      </w:r>
      <w:r w:rsidR="000A503C">
        <w:t xml:space="preserve"> This is despit</w:t>
      </w:r>
      <w:r w:rsidR="00D26D6C">
        <w:t>e</w:t>
      </w:r>
      <w:r w:rsidR="000A503C">
        <w:t xml:space="preserve"> older </w:t>
      </w:r>
      <w:r w:rsidR="00C90332">
        <w:t>workers being loyal employees—a</w:t>
      </w:r>
      <w:r w:rsidR="000A503C">
        <w:t xml:space="preserve">n </w:t>
      </w:r>
      <w:r w:rsidR="00345716">
        <w:t xml:space="preserve">earlier </w:t>
      </w:r>
      <w:r w:rsidR="000A503C">
        <w:t xml:space="preserve">study indicated that workers </w:t>
      </w:r>
      <w:r w:rsidR="00EE7023">
        <w:t xml:space="preserve">aged </w:t>
      </w:r>
      <w:r w:rsidR="000A503C">
        <w:t>45</w:t>
      </w:r>
      <w:r w:rsidR="00EE7023">
        <w:t xml:space="preserve"> and over</w:t>
      </w:r>
      <w:r w:rsidR="000A503C">
        <w:t xml:space="preserve"> were 2.6 times less likely to leave their jobs in the preceding 12 months.</w:t>
      </w:r>
      <w:r w:rsidR="000A503C">
        <w:rPr>
          <w:rStyle w:val="EndnoteReference"/>
        </w:rPr>
        <w:endnoteReference w:id="68"/>
      </w:r>
    </w:p>
    <w:tbl>
      <w:tblPr>
        <w:tblStyle w:val="TableGrid"/>
        <w:tblW w:w="0" w:type="auto"/>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B10846" w14:paraId="23A59DDE" w14:textId="77777777" w:rsidTr="008B2E14">
        <w:tc>
          <w:tcPr>
            <w:tcW w:w="9016" w:type="dxa"/>
            <w:shd w:val="clear" w:color="auto" w:fill="E2EFD9" w:themeFill="accent6" w:themeFillTint="33"/>
          </w:tcPr>
          <w:p w14:paraId="2CE8315D" w14:textId="77777777" w:rsidR="00B10846" w:rsidRDefault="00B10846" w:rsidP="00F85E36">
            <w:pPr>
              <w:spacing w:before="0"/>
              <w:rPr>
                <w:b/>
              </w:rPr>
            </w:pPr>
            <w:r w:rsidRPr="00B10846">
              <w:rPr>
                <w:b/>
              </w:rPr>
              <w:t xml:space="preserve">Case study—opportunity </w:t>
            </w:r>
            <w:r>
              <w:rPr>
                <w:b/>
              </w:rPr>
              <w:t>for training</w:t>
            </w:r>
          </w:p>
          <w:p w14:paraId="62BA7D26" w14:textId="77777777" w:rsidR="00B04E69" w:rsidRDefault="00B10846" w:rsidP="00BA67F1">
            <w:r>
              <w:t xml:space="preserve">Samara is </w:t>
            </w:r>
            <w:r w:rsidR="00B04E69">
              <w:t xml:space="preserve">a </w:t>
            </w:r>
            <w:proofErr w:type="gramStart"/>
            <w:r w:rsidR="00BB385D">
              <w:t>58</w:t>
            </w:r>
            <w:r>
              <w:t xml:space="preserve"> year old</w:t>
            </w:r>
            <w:proofErr w:type="gramEnd"/>
            <w:r>
              <w:t xml:space="preserve"> midw</w:t>
            </w:r>
            <w:r w:rsidR="00B04E69">
              <w:t xml:space="preserve">ife. </w:t>
            </w:r>
            <w:r w:rsidR="00AD4790">
              <w:t>She has been working at the same hospital for ten years.</w:t>
            </w:r>
          </w:p>
          <w:p w14:paraId="275FF5C5" w14:textId="69762279" w:rsidR="00BB385D" w:rsidRDefault="00B04E69" w:rsidP="00BA67F1">
            <w:r>
              <w:t>The hospital that Samara works at h</w:t>
            </w:r>
            <w:r w:rsidR="00AB30E2">
              <w:t xml:space="preserve">as been selected for training in a </w:t>
            </w:r>
            <w:r>
              <w:t xml:space="preserve">new pain management protocol. Half of the midwives that work at the hospital </w:t>
            </w:r>
            <w:r w:rsidR="00BB385D">
              <w:t xml:space="preserve">will have an opportunity to </w:t>
            </w:r>
            <w:r w:rsidR="00AD4790">
              <w:t>participate in the training</w:t>
            </w:r>
            <w:r w:rsidR="00BB385D">
              <w:t>.</w:t>
            </w:r>
          </w:p>
          <w:p w14:paraId="27644DAD" w14:textId="74155D36" w:rsidR="002F70A8" w:rsidRDefault="00BB385D" w:rsidP="00BA67F1">
            <w:r>
              <w:t xml:space="preserve">When Samara expresses her interest in participating in the training the nursing unit manager explains that given the limited places available in the </w:t>
            </w:r>
            <w:proofErr w:type="gramStart"/>
            <w:r w:rsidR="00AD4790">
              <w:t>program</w:t>
            </w:r>
            <w:proofErr w:type="gramEnd"/>
            <w:r w:rsidR="00AD4790">
              <w:t xml:space="preserve"> she</w:t>
            </w:r>
            <w:r>
              <w:t xml:space="preserve"> want</w:t>
            </w:r>
            <w:r w:rsidR="00AD4790">
              <w:t>s</w:t>
            </w:r>
            <w:r>
              <w:t xml:space="preserve"> to make sure that the pl</w:t>
            </w:r>
            <w:r w:rsidR="00AB30E2">
              <w:t>aces are offered to people who ‘</w:t>
            </w:r>
            <w:r w:rsidR="00995404">
              <w:t>will be here for a while’</w:t>
            </w:r>
            <w:r w:rsidR="00AD4790">
              <w:t>.</w:t>
            </w:r>
          </w:p>
          <w:p w14:paraId="4E04A7C9" w14:textId="77777777" w:rsidR="00BB385D" w:rsidRPr="00B10846" w:rsidRDefault="00BB385D" w:rsidP="00F85E36">
            <w:pPr>
              <w:spacing w:after="100"/>
            </w:pPr>
            <w:r>
              <w:t>By making assumptions about Samara based on her age the nursing unit manager, and the hospital, have potentially unlawfully discriminated aga</w:t>
            </w:r>
            <w:r w:rsidR="002F70A8">
              <w:t>inst her and they have missed an opportunity to draw on Samara’s life and work experience as part of the new program.</w:t>
            </w:r>
          </w:p>
        </w:tc>
      </w:tr>
    </w:tbl>
    <w:p w14:paraId="7056D4BB" w14:textId="20452D93" w:rsidR="00BA67F1" w:rsidRDefault="00BA67F1" w:rsidP="00BA67F1"/>
    <w:p w14:paraId="18F21E5F" w14:textId="77777777" w:rsidR="00BA67F1" w:rsidRDefault="00BA67F1">
      <w:pPr>
        <w:keepLines w:val="0"/>
        <w:spacing w:before="0" w:after="0"/>
      </w:pPr>
      <w:r>
        <w:br w:type="page"/>
      </w:r>
    </w:p>
    <w:p w14:paraId="23A60AF1" w14:textId="55FD4542" w:rsidR="0001353D" w:rsidRDefault="0001353D" w:rsidP="00BA67F1">
      <w:pPr>
        <w:pStyle w:val="Heading2"/>
      </w:pPr>
      <w:bookmarkStart w:id="19" w:name="_Toc14338765"/>
      <w:r>
        <w:lastRenderedPageBreak/>
        <w:t>Promotion opportunities</w:t>
      </w:r>
      <w:bookmarkEnd w:id="19"/>
    </w:p>
    <w:p w14:paraId="33FE895B" w14:textId="3BBD1500" w:rsidR="006907A5" w:rsidRDefault="006907A5" w:rsidP="00BA67F1">
      <w:r>
        <w:t>Employers and work providers can promote the inclusion of</w:t>
      </w:r>
      <w:r w:rsidR="005C7D36">
        <w:t xml:space="preserve"> older workers by ensuring that promotion and advancement processes are age</w:t>
      </w:r>
      <w:r w:rsidR="001F496F">
        <w:t>-</w:t>
      </w:r>
      <w:r w:rsidR="005C7D36">
        <w:t>neutral.</w:t>
      </w:r>
    </w:p>
    <w:p w14:paraId="46E83EAD" w14:textId="384F8E7E" w:rsidR="0008006F" w:rsidRPr="00463CAD" w:rsidRDefault="00463CAD" w:rsidP="00951187">
      <w:pPr>
        <w:spacing w:after="360"/>
        <w:rPr>
          <w:rFonts w:cs="Open Sans"/>
        </w:rPr>
      </w:pPr>
      <w:r w:rsidRPr="00463CAD">
        <w:rPr>
          <w:rFonts w:eastAsia="Times New Roman" w:cs="Open Sans"/>
          <w:color w:val="000000"/>
          <w:lang w:val="en-US"/>
        </w:rPr>
        <w:t>In the Benevolent Society's recent survey</w:t>
      </w:r>
      <w:r w:rsidR="00C24C3C" w:rsidRPr="00463CAD">
        <w:rPr>
          <w:rFonts w:cs="Open Sans"/>
        </w:rPr>
        <w:t xml:space="preserve"> </w:t>
      </w:r>
      <w:r w:rsidR="0008006F" w:rsidRPr="00463CAD">
        <w:rPr>
          <w:rFonts w:cs="Open Sans"/>
        </w:rPr>
        <w:t>14%</w:t>
      </w:r>
      <w:r w:rsidR="00C24C3C" w:rsidRPr="00463CAD">
        <w:rPr>
          <w:rFonts w:cs="Open Sans"/>
        </w:rPr>
        <w:t xml:space="preserve"> of respondents</w:t>
      </w:r>
      <w:r w:rsidR="0008006F" w:rsidRPr="00463CAD">
        <w:rPr>
          <w:rFonts w:cs="Open Sans"/>
        </w:rPr>
        <w:t xml:space="preserve"> </w:t>
      </w:r>
      <w:r w:rsidR="00A34427" w:rsidRPr="00463CAD">
        <w:rPr>
          <w:rFonts w:cs="Open Sans"/>
        </w:rPr>
        <w:t>aged 65 and over</w:t>
      </w:r>
      <w:r w:rsidR="00C91ED7" w:rsidRPr="00463CAD">
        <w:rPr>
          <w:rFonts w:cs="Open Sans"/>
        </w:rPr>
        <w:t xml:space="preserve"> </w:t>
      </w:r>
      <w:r w:rsidR="0008006F" w:rsidRPr="00463CAD">
        <w:rPr>
          <w:rFonts w:cs="Open Sans"/>
        </w:rPr>
        <w:t>said they had been denied a promotion at work due to their age.</w:t>
      </w:r>
      <w:r w:rsidR="0008006F" w:rsidRPr="00463CAD">
        <w:rPr>
          <w:rStyle w:val="EndnoteReference"/>
          <w:rFonts w:cs="Open Sans"/>
          <w:sz w:val="24"/>
        </w:rPr>
        <w:endnoteReference w:id="69"/>
      </w:r>
    </w:p>
    <w:tbl>
      <w:tblPr>
        <w:tblStyle w:val="TableGrid"/>
        <w:tblW w:w="0" w:type="auto"/>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FE0585" w14:paraId="04B18395" w14:textId="77777777" w:rsidTr="008B2E14">
        <w:tc>
          <w:tcPr>
            <w:tcW w:w="9016" w:type="dxa"/>
            <w:shd w:val="clear" w:color="auto" w:fill="E2EFD9" w:themeFill="accent6" w:themeFillTint="33"/>
          </w:tcPr>
          <w:p w14:paraId="56B94BC9" w14:textId="77777777" w:rsidR="00FE0585" w:rsidRDefault="00FE0585" w:rsidP="00F85E36">
            <w:pPr>
              <w:spacing w:before="0"/>
              <w:rPr>
                <w:b/>
              </w:rPr>
            </w:pPr>
            <w:r w:rsidRPr="00FE0585">
              <w:rPr>
                <w:b/>
              </w:rPr>
              <w:t>Case study—</w:t>
            </w:r>
            <w:r w:rsidR="00DD1F36">
              <w:rPr>
                <w:b/>
              </w:rPr>
              <w:t>denied a promotion</w:t>
            </w:r>
          </w:p>
          <w:p w14:paraId="1D9D4F2A" w14:textId="6B72EBB7" w:rsidR="00007D2C" w:rsidRDefault="00007D2C" w:rsidP="00BA67F1">
            <w:r>
              <w:t xml:space="preserve">Lisbeth is a </w:t>
            </w:r>
            <w:proofErr w:type="gramStart"/>
            <w:r>
              <w:t>48 y</w:t>
            </w:r>
            <w:r w:rsidR="00C0375C">
              <w:t>ear old</w:t>
            </w:r>
            <w:proofErr w:type="gramEnd"/>
            <w:r>
              <w:t xml:space="preserve"> lawyer. She studied law as a mature age </w:t>
            </w:r>
            <w:proofErr w:type="gramStart"/>
            <w:r>
              <w:t>student</w:t>
            </w:r>
            <w:r w:rsidR="00AB30E2">
              <w:t>, and</w:t>
            </w:r>
            <w:proofErr w:type="gramEnd"/>
            <w:r>
              <w:t xml:space="preserve"> works in a regional area in a firm of </w:t>
            </w:r>
            <w:r w:rsidR="00D26D6C">
              <w:t>eight partners</w:t>
            </w:r>
            <w:r w:rsidR="00C0375C">
              <w:t xml:space="preserve">, </w:t>
            </w:r>
            <w:r w:rsidR="00C24C3C">
              <w:t>15 lawyers and four paralegals.</w:t>
            </w:r>
          </w:p>
          <w:p w14:paraId="36F2BC60" w14:textId="4A8AE26C" w:rsidR="00C24C3C" w:rsidRDefault="00AB30E2" w:rsidP="00BA67F1">
            <w:r>
              <w:t xml:space="preserve">Lisbeth has been practising for seven years. </w:t>
            </w:r>
            <w:r w:rsidR="00C0375C">
              <w:t>All of the other people in her cohort</w:t>
            </w:r>
            <w:r w:rsidR="00C24C3C">
              <w:t xml:space="preserve">, aged in their early </w:t>
            </w:r>
            <w:r w:rsidR="001F496F">
              <w:t>30s</w:t>
            </w:r>
            <w:r w:rsidR="00C24C3C">
              <w:t>, have be</w:t>
            </w:r>
            <w:r>
              <w:t>en promoted to Senior Associate</w:t>
            </w:r>
            <w:r w:rsidR="00C24C3C">
              <w:t xml:space="preserve">. Two people who commenced two years after </w:t>
            </w:r>
            <w:proofErr w:type="gramStart"/>
            <w:r w:rsidR="00C24C3C">
              <w:t>her</w:t>
            </w:r>
            <w:proofErr w:type="gramEnd"/>
            <w:r w:rsidR="00C24C3C">
              <w:t xml:space="preserve"> have also been promoted.</w:t>
            </w:r>
          </w:p>
          <w:p w14:paraId="1931789B" w14:textId="02818C80" w:rsidR="00C0375C" w:rsidRDefault="00E34245" w:rsidP="00BA67F1">
            <w:r>
              <w:t>On average</w:t>
            </w:r>
            <w:r w:rsidR="009F118D">
              <w:t>,</w:t>
            </w:r>
            <w:r>
              <w:t xml:space="preserve"> people at her firm are made </w:t>
            </w:r>
            <w:r w:rsidR="00C24C3C">
              <w:t>Senior Associates</w:t>
            </w:r>
            <w:r>
              <w:t xml:space="preserve"> once they have been practising law for five years.</w:t>
            </w:r>
            <w:r w:rsidR="00C0375C">
              <w:t xml:space="preserve"> Lisbet</w:t>
            </w:r>
            <w:r>
              <w:t xml:space="preserve">h has always performed well in her appraisals and is recognised as </w:t>
            </w:r>
            <w:r w:rsidR="00DD1F36">
              <w:t>a skilled lawyer who brings in a significant amount of work for the firm.</w:t>
            </w:r>
          </w:p>
          <w:p w14:paraId="19ECA1F6" w14:textId="4D1D2420" w:rsidR="00E34245" w:rsidRDefault="00E34245" w:rsidP="00BA67F1">
            <w:r>
              <w:t xml:space="preserve">The next round of promotions </w:t>
            </w:r>
            <w:proofErr w:type="gramStart"/>
            <w:r>
              <w:t>are</w:t>
            </w:r>
            <w:proofErr w:type="gramEnd"/>
            <w:r>
              <w:t xml:space="preserve"> due to be announced in May. Lisbeth arranges a meeting with the </w:t>
            </w:r>
            <w:r w:rsidR="00C24C3C">
              <w:t>Part</w:t>
            </w:r>
            <w:r w:rsidR="00E86985">
              <w:t>n</w:t>
            </w:r>
            <w:r w:rsidR="00C24C3C">
              <w:t>er</w:t>
            </w:r>
            <w:r>
              <w:t xml:space="preserve"> she works for to discuss her desire to be promoted. During their meeting the </w:t>
            </w:r>
            <w:r w:rsidR="00C24C3C">
              <w:t>Partner</w:t>
            </w:r>
            <w:r>
              <w:t xml:space="preserve"> indicates that he has put her forward for a promotion for the last two years but </w:t>
            </w:r>
            <w:r w:rsidR="00E86985">
              <w:t>‘</w:t>
            </w:r>
            <w:r>
              <w:t xml:space="preserve">there is a real concern from the other </w:t>
            </w:r>
            <w:r w:rsidR="00C24C3C">
              <w:t xml:space="preserve">Partners about having a Senior Associate </w:t>
            </w:r>
            <w:r>
              <w:t>who appea</w:t>
            </w:r>
            <w:r w:rsidR="00E86985">
              <w:t>rs to be more senior tha</w:t>
            </w:r>
            <w:r w:rsidR="000E126A">
              <w:t>n</w:t>
            </w:r>
            <w:r w:rsidR="00E86985">
              <w:t xml:space="preserve"> them.’</w:t>
            </w:r>
          </w:p>
          <w:p w14:paraId="260E1111" w14:textId="77777777" w:rsidR="00FE0585" w:rsidRPr="006F632D" w:rsidRDefault="00DD1F36" w:rsidP="00F85E36">
            <w:pPr>
              <w:spacing w:after="100"/>
            </w:pPr>
            <w:r>
              <w:t xml:space="preserve">By not promoting Lisbeth to the role of </w:t>
            </w:r>
            <w:r w:rsidR="00234638">
              <w:t>Senior Associate</w:t>
            </w:r>
            <w:r>
              <w:t xml:space="preserve"> because of concerns about </w:t>
            </w:r>
            <w:r w:rsidR="00E86985">
              <w:t>her appearing ‘more senior’</w:t>
            </w:r>
            <w:r w:rsidR="006F632D">
              <w:t xml:space="preserve"> than the </w:t>
            </w:r>
            <w:r w:rsidR="00234638">
              <w:t>Partners</w:t>
            </w:r>
            <w:r w:rsidR="006F632D">
              <w:t>, her firm has</w:t>
            </w:r>
            <w:r>
              <w:t xml:space="preserve"> potentially unlawfully discriminated against her.</w:t>
            </w:r>
          </w:p>
        </w:tc>
      </w:tr>
    </w:tbl>
    <w:p w14:paraId="088BD80D" w14:textId="2000CF2D" w:rsidR="00BA67F1" w:rsidRDefault="00BA67F1" w:rsidP="00BA67F1"/>
    <w:p w14:paraId="5A18A87E" w14:textId="77777777" w:rsidR="00BA67F1" w:rsidRDefault="00BA67F1">
      <w:pPr>
        <w:keepLines w:val="0"/>
        <w:spacing w:before="0" w:after="0"/>
      </w:pPr>
      <w:r>
        <w:br w:type="page"/>
      </w:r>
    </w:p>
    <w:p w14:paraId="2911ACC5" w14:textId="2E9E4362" w:rsidR="00852E05" w:rsidRDefault="0001353D" w:rsidP="00BA67F1">
      <w:pPr>
        <w:pStyle w:val="Heading2"/>
      </w:pPr>
      <w:bookmarkStart w:id="20" w:name="_Toc14338766"/>
      <w:r>
        <w:lastRenderedPageBreak/>
        <w:t>Flexible work</w:t>
      </w:r>
      <w:bookmarkEnd w:id="20"/>
    </w:p>
    <w:p w14:paraId="261DB98A" w14:textId="5F1A5C1A" w:rsidR="005C7D36" w:rsidRDefault="005C7D36" w:rsidP="00BA67F1">
      <w:r>
        <w:t>To promote the inclusion of older workers</w:t>
      </w:r>
      <w:r w:rsidR="00463CAD">
        <w:t>,</w:t>
      </w:r>
      <w:r>
        <w:t xml:space="preserve"> employers and work providers should:</w:t>
      </w:r>
    </w:p>
    <w:p w14:paraId="5D63B0E8" w14:textId="77777777" w:rsidR="005C7D36" w:rsidRDefault="005C7D36" w:rsidP="00BA67F1">
      <w:pPr>
        <w:pStyle w:val="ListParagraph"/>
        <w:numPr>
          <w:ilvl w:val="0"/>
          <w:numId w:val="43"/>
        </w:numPr>
      </w:pPr>
      <w:r>
        <w:t>ensure that flexible work arrangements are available to all people regardless of age</w:t>
      </w:r>
    </w:p>
    <w:p w14:paraId="5486A2F3" w14:textId="72A5D7FA" w:rsidR="005C7D36" w:rsidRDefault="005C7D36" w:rsidP="00BA67F1">
      <w:pPr>
        <w:pStyle w:val="ListParagraph"/>
        <w:numPr>
          <w:ilvl w:val="0"/>
          <w:numId w:val="43"/>
        </w:numPr>
      </w:pPr>
      <w:r>
        <w:t>consider harnessing flexible work arrangements as part of their transition to retirement process</w:t>
      </w:r>
      <w:r w:rsidR="00F42D13">
        <w:t>es</w:t>
      </w:r>
      <w:r>
        <w:t>.</w:t>
      </w:r>
    </w:p>
    <w:p w14:paraId="4C2628FB" w14:textId="78C5022E" w:rsidR="00005E3F" w:rsidRDefault="00005E3F" w:rsidP="00BA67F1">
      <w:r>
        <w:t>Flexible work is an effective way to address issues of underemployment for older workers, and a loss of knowledge for organisations.</w:t>
      </w:r>
    </w:p>
    <w:p w14:paraId="6EFF03D1" w14:textId="114C339B" w:rsidR="00AE1BB5" w:rsidRDefault="00AE1BB5" w:rsidP="00BA67F1">
      <w:r>
        <w:t xml:space="preserve">Some older people are either working less than they would like </w:t>
      </w:r>
      <w:proofErr w:type="gramStart"/>
      <w:r>
        <w:t>to</w:t>
      </w:r>
      <w:r w:rsidR="00463CAD">
        <w:t>,</w:t>
      </w:r>
      <w:r>
        <w:t xml:space="preserve"> or</w:t>
      </w:r>
      <w:proofErr w:type="gramEnd"/>
      <w:r>
        <w:t xml:space="preserve"> are looking for work. </w:t>
      </w:r>
      <w:r w:rsidRPr="005A6010">
        <w:t>Among people aged 55 and over in November 2017, 6.1% of employed people were underemployed.</w:t>
      </w:r>
      <w:r>
        <w:rPr>
          <w:rStyle w:val="EndnoteReference"/>
        </w:rPr>
        <w:endnoteReference w:id="70"/>
      </w:r>
    </w:p>
    <w:p w14:paraId="48425293" w14:textId="7F04DDFC" w:rsidR="00F71372" w:rsidRPr="00F71372" w:rsidRDefault="00F71372" w:rsidP="00951187">
      <w:pPr>
        <w:spacing w:after="360"/>
      </w:pPr>
      <w:r>
        <w:t>Loss of knowledge is a significant problem for organisations.</w:t>
      </w:r>
      <w:r w:rsidR="00CF530D">
        <w:t xml:space="preserve"> Accordin</w:t>
      </w:r>
      <w:r w:rsidR="00743D34">
        <w:t>g</w:t>
      </w:r>
      <w:r w:rsidR="00CF530D">
        <w:t xml:space="preserve"> to the Australian HR Institute, two in three</w:t>
      </w:r>
      <w:r w:rsidR="00C91ED7">
        <w:t xml:space="preserve"> organisations</w:t>
      </w:r>
      <w:r w:rsidR="00CF530D">
        <w:t xml:space="preserve"> lose</w:t>
      </w:r>
      <w:r>
        <w:t xml:space="preserve"> key skills and knowledge when older workers leave, but only a quarter (26%) have processes in place to capture corporate knowledge from exiting workers.</w:t>
      </w:r>
      <w:r w:rsidR="00234638">
        <w:rPr>
          <w:rStyle w:val="EndnoteReference"/>
        </w:rPr>
        <w:endnoteReference w:id="71"/>
      </w:r>
    </w:p>
    <w:tbl>
      <w:tblPr>
        <w:tblStyle w:val="TableGrid"/>
        <w:tblW w:w="0" w:type="auto"/>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F8025E" w14:paraId="540F2A91" w14:textId="77777777" w:rsidTr="008B2E14">
        <w:tc>
          <w:tcPr>
            <w:tcW w:w="9016" w:type="dxa"/>
            <w:shd w:val="clear" w:color="auto" w:fill="E2EFD9" w:themeFill="accent6" w:themeFillTint="33"/>
          </w:tcPr>
          <w:p w14:paraId="3366AFBD" w14:textId="163A0579" w:rsidR="00F8025E" w:rsidRDefault="00F8025E" w:rsidP="00F85E36">
            <w:pPr>
              <w:spacing w:before="0"/>
              <w:rPr>
                <w:b/>
              </w:rPr>
            </w:pPr>
            <w:r>
              <w:rPr>
                <w:b/>
              </w:rPr>
              <w:t>Case study—request for flexible work</w:t>
            </w:r>
          </w:p>
          <w:p w14:paraId="0570B371" w14:textId="5F5B794B" w:rsidR="00F8025E" w:rsidRDefault="008C38D0" w:rsidP="00BA67F1">
            <w:r>
              <w:t xml:space="preserve">Carlos is a </w:t>
            </w:r>
            <w:proofErr w:type="gramStart"/>
            <w:r>
              <w:t>65</w:t>
            </w:r>
            <w:r w:rsidR="00F8025E">
              <w:t xml:space="preserve"> year old</w:t>
            </w:r>
            <w:proofErr w:type="gramEnd"/>
            <w:r w:rsidR="00F8025E">
              <w:t xml:space="preserve"> delivery driver. He</w:t>
            </w:r>
            <w:r w:rsidR="00F547EC">
              <w:t xml:space="preserve"> </w:t>
            </w:r>
            <w:r w:rsidR="00005E3F">
              <w:t>delivers</w:t>
            </w:r>
            <w:r w:rsidR="00F547EC">
              <w:t xml:space="preserve"> flowers for a local florist</w:t>
            </w:r>
            <w:r w:rsidR="00EB58E8">
              <w:t>, Silvia,</w:t>
            </w:r>
            <w:r w:rsidR="00F547EC">
              <w:t xml:space="preserve"> who owns </w:t>
            </w:r>
            <w:r>
              <w:t>a number of stores. Carlos works five days a week.</w:t>
            </w:r>
          </w:p>
          <w:p w14:paraId="4FA097FE" w14:textId="77777777" w:rsidR="00FE0585" w:rsidRDefault="00FE0585" w:rsidP="00BA67F1">
            <w:r>
              <w:t>Carlos’ mother now requires more care.</w:t>
            </w:r>
            <w:r w:rsidR="008C38D0">
              <w:t xml:space="preserve"> Carlos and his sister agree to share her care over the week. Carlos is planning on working for another five years and is not yet ready to retire. He and his sister have put together a plan which will allow him to continue working three days a week</w:t>
            </w:r>
            <w:r w:rsidR="00507910">
              <w:t>.</w:t>
            </w:r>
          </w:p>
          <w:p w14:paraId="5EF3CFFA" w14:textId="77777777" w:rsidR="00EB58E8" w:rsidRDefault="008C38D0" w:rsidP="00BA67F1">
            <w:r>
              <w:t xml:space="preserve">When Carlos explains the situation to </w:t>
            </w:r>
            <w:proofErr w:type="gramStart"/>
            <w:r w:rsidR="00EB58E8">
              <w:t>Silvia</w:t>
            </w:r>
            <w:proofErr w:type="gramEnd"/>
            <w:r>
              <w:t xml:space="preserve"> she is very understanding. She thinks that this presents a good opportunity to </w:t>
            </w:r>
            <w:r w:rsidR="00594108">
              <w:t xml:space="preserve">start training a new </w:t>
            </w:r>
            <w:r w:rsidR="00234638">
              <w:t>person</w:t>
            </w:r>
            <w:r w:rsidR="00EB58E8">
              <w:t xml:space="preserve">. Silvia advertises at the local TAFE for a delivery driver. After interviewing a number of </w:t>
            </w:r>
            <w:proofErr w:type="gramStart"/>
            <w:r w:rsidR="00EB58E8">
              <w:t>applicants</w:t>
            </w:r>
            <w:proofErr w:type="gramEnd"/>
            <w:r w:rsidR="00EB58E8">
              <w:t xml:space="preserve"> </w:t>
            </w:r>
            <w:r w:rsidR="00871082">
              <w:t>she hires Renata.</w:t>
            </w:r>
          </w:p>
          <w:p w14:paraId="4A7E8874" w14:textId="77777777" w:rsidR="00CE6E01" w:rsidRDefault="00871082" w:rsidP="00BA67F1">
            <w:r>
              <w:t>Renata is studying floristry and jump</w:t>
            </w:r>
            <w:r w:rsidR="00234638">
              <w:t>s</w:t>
            </w:r>
            <w:r>
              <w:t xml:space="preserve"> at the opportunity</w:t>
            </w:r>
            <w:r w:rsidR="00CE6E01">
              <w:t xml:space="preserve"> to work for Silvia. For her first week she and Carlos deliver all </w:t>
            </w:r>
            <w:r w:rsidR="00007D2C">
              <w:t xml:space="preserve">of </w:t>
            </w:r>
            <w:r w:rsidR="00CE6E01">
              <w:t>the orders together so that he can introduce her to all of Silvia’s wholesale customers and show her the best routes to take for deliveries.</w:t>
            </w:r>
          </w:p>
          <w:p w14:paraId="7345B3C9" w14:textId="53492C9A" w:rsidR="00CE6E01" w:rsidRPr="00F8025E" w:rsidRDefault="00CE6E01" w:rsidP="00BA67F1">
            <w:r>
              <w:lastRenderedPageBreak/>
              <w:t xml:space="preserve">Carlos and Renata work alternate days so it is important that they are able to </w:t>
            </w:r>
            <w:r w:rsidR="00234638">
              <w:t>communicate from day to day</w:t>
            </w:r>
            <w:r>
              <w:t>. Renata sets up a whiteboard that cap</w:t>
            </w:r>
            <w:r w:rsidR="00007D2C">
              <w:t xml:space="preserve">tures the booked orders by </w:t>
            </w:r>
            <w:proofErr w:type="gramStart"/>
            <w:r w:rsidR="00007D2C">
              <w:t>day, and</w:t>
            </w:r>
            <w:proofErr w:type="gramEnd"/>
            <w:r w:rsidR="00007D2C">
              <w:t xml:space="preserve"> </w:t>
            </w:r>
            <w:r w:rsidR="00234638">
              <w:t>allows</w:t>
            </w:r>
            <w:r w:rsidR="00007D2C">
              <w:t xml:space="preserve"> messages</w:t>
            </w:r>
            <w:r w:rsidR="00234638">
              <w:t xml:space="preserve"> to be passed on</w:t>
            </w:r>
            <w:r w:rsidR="00007D2C">
              <w:t xml:space="preserve">. Carlos and Renata develop a good working relationship and through her delivery role, Renata is also able to start working in the </w:t>
            </w:r>
            <w:r w:rsidR="00286B18">
              <w:t>shop</w:t>
            </w:r>
            <w:r w:rsidR="00007D2C">
              <w:t>front for Silvia on Saturdays, gaining valuable experience.</w:t>
            </w:r>
          </w:p>
        </w:tc>
      </w:tr>
    </w:tbl>
    <w:p w14:paraId="2972BCDC" w14:textId="77777777" w:rsidR="00BA67F1" w:rsidRPr="00BA67F1" w:rsidRDefault="00BA67F1" w:rsidP="00BA67F1"/>
    <w:p w14:paraId="479D62B7" w14:textId="77777777" w:rsidR="00BA67F1" w:rsidRDefault="00BA67F1">
      <w:pPr>
        <w:keepLines w:val="0"/>
        <w:spacing w:before="0" w:after="0"/>
        <w:rPr>
          <w:b/>
          <w:bCs/>
          <w:sz w:val="36"/>
          <w:szCs w:val="28"/>
        </w:rPr>
      </w:pPr>
      <w:r>
        <w:br w:type="page"/>
      </w:r>
    </w:p>
    <w:p w14:paraId="64E0E2F3" w14:textId="2EA7EA28" w:rsidR="00B446F8" w:rsidRDefault="00B446F8" w:rsidP="00BA67F1">
      <w:pPr>
        <w:pStyle w:val="Heading1"/>
      </w:pPr>
      <w:bookmarkStart w:id="21" w:name="_Toc14338767"/>
      <w:r>
        <w:lastRenderedPageBreak/>
        <w:t>Checklist</w:t>
      </w:r>
      <w:bookmarkEnd w:id="21"/>
    </w:p>
    <w:p w14:paraId="226F8229" w14:textId="43FA1D5C" w:rsidR="00B446F8" w:rsidRPr="00B446F8" w:rsidRDefault="00B446F8" w:rsidP="00951187">
      <w:pPr>
        <w:spacing w:after="360"/>
      </w:pPr>
      <w:r>
        <w:t xml:space="preserve">The checklist below is designed to assist employers and work providers </w:t>
      </w:r>
      <w:r w:rsidR="00924596">
        <w:t xml:space="preserve">ensure that their </w:t>
      </w:r>
      <w:r>
        <w:t>processes</w:t>
      </w:r>
      <w:r w:rsidR="00924596">
        <w:t xml:space="preserve"> promote the inclusion of older workers in a multigenerational workforce.</w:t>
      </w:r>
    </w:p>
    <w:tbl>
      <w:tblPr>
        <w:tblStyle w:val="TableGrid"/>
        <w:tblW w:w="0" w:type="auto"/>
        <w:tblLook w:val="04A0" w:firstRow="1" w:lastRow="0" w:firstColumn="1" w:lastColumn="0" w:noHBand="0" w:noVBand="1"/>
      </w:tblPr>
      <w:tblGrid>
        <w:gridCol w:w="9016"/>
      </w:tblGrid>
      <w:tr w:rsidR="00B446F8" w14:paraId="18708DD7" w14:textId="77777777" w:rsidTr="00F85E36">
        <w:tc>
          <w:tcPr>
            <w:tcW w:w="9016" w:type="dxa"/>
            <w:shd w:val="clear" w:color="auto" w:fill="9CC2E5" w:themeFill="accent1" w:themeFillTint="99"/>
          </w:tcPr>
          <w:p w14:paraId="2AE1185E" w14:textId="77777777" w:rsidR="00B446F8" w:rsidRPr="00F85E36" w:rsidRDefault="001D5A07" w:rsidP="00BA67F1">
            <w:pPr>
              <w:rPr>
                <w:b/>
              </w:rPr>
            </w:pPr>
            <w:r w:rsidRPr="00F85E36">
              <w:rPr>
                <w:b/>
              </w:rPr>
              <w:t>Questions</w:t>
            </w:r>
          </w:p>
        </w:tc>
      </w:tr>
      <w:tr w:rsidR="001D5A07" w14:paraId="2312DFAE" w14:textId="77777777" w:rsidTr="00F85E36">
        <w:tc>
          <w:tcPr>
            <w:tcW w:w="9016" w:type="dxa"/>
            <w:shd w:val="clear" w:color="auto" w:fill="DEEAF6" w:themeFill="accent1" w:themeFillTint="33"/>
          </w:tcPr>
          <w:p w14:paraId="30FE33B8" w14:textId="77777777" w:rsidR="001D5A07" w:rsidRPr="00924596" w:rsidRDefault="001D5A07" w:rsidP="00BA67F1">
            <w:pPr>
              <w:rPr>
                <w:b/>
              </w:rPr>
            </w:pPr>
            <w:r w:rsidRPr="00924596">
              <w:rPr>
                <w:b/>
              </w:rPr>
              <w:t>Recruitment</w:t>
            </w:r>
          </w:p>
        </w:tc>
      </w:tr>
      <w:tr w:rsidR="00B446F8" w14:paraId="2E780A0C" w14:textId="77777777" w:rsidTr="00B446F8">
        <w:tc>
          <w:tcPr>
            <w:tcW w:w="9016" w:type="dxa"/>
          </w:tcPr>
          <w:p w14:paraId="261BD4C7" w14:textId="02C2133F" w:rsidR="00B446F8" w:rsidRDefault="00B446F8" w:rsidP="00BA67F1">
            <w:pPr>
              <w:pStyle w:val="ListParagraph"/>
              <w:numPr>
                <w:ilvl w:val="0"/>
                <w:numId w:val="38"/>
              </w:numPr>
            </w:pPr>
            <w:r>
              <w:t>Are your recruitment processes age</w:t>
            </w:r>
            <w:r w:rsidR="001F496F">
              <w:t>-</w:t>
            </w:r>
            <w:r>
              <w:t>neutral?</w:t>
            </w:r>
          </w:p>
          <w:p w14:paraId="14BEA379" w14:textId="77777777" w:rsidR="00924596" w:rsidRDefault="00924596" w:rsidP="00BA67F1">
            <w:pPr>
              <w:pStyle w:val="ListParagraph"/>
            </w:pPr>
          </w:p>
          <w:p w14:paraId="70920FE0" w14:textId="77777777" w:rsidR="00924596" w:rsidRDefault="00924596" w:rsidP="00BA67F1">
            <w:pPr>
              <w:pStyle w:val="ListParagraph"/>
            </w:pPr>
            <w:r>
              <w:t xml:space="preserve">Consider the role of applications, delivery of tests, and the </w:t>
            </w:r>
            <w:r w:rsidR="00F42D13">
              <w:t>composition</w:t>
            </w:r>
            <w:r>
              <w:t xml:space="preserve"> of interview panels.</w:t>
            </w:r>
          </w:p>
        </w:tc>
      </w:tr>
      <w:tr w:rsidR="00B446F8" w14:paraId="2DF19B19" w14:textId="77777777" w:rsidTr="00F85E36">
        <w:tc>
          <w:tcPr>
            <w:tcW w:w="9016" w:type="dxa"/>
            <w:shd w:val="clear" w:color="auto" w:fill="DEEAF6" w:themeFill="accent1" w:themeFillTint="33"/>
          </w:tcPr>
          <w:p w14:paraId="4E2649FF" w14:textId="77777777" w:rsidR="00B446F8" w:rsidRPr="00924596" w:rsidRDefault="00B446F8" w:rsidP="00BA67F1">
            <w:pPr>
              <w:rPr>
                <w:b/>
              </w:rPr>
            </w:pPr>
            <w:r w:rsidRPr="00924596">
              <w:rPr>
                <w:b/>
              </w:rPr>
              <w:t>Training and professional development</w:t>
            </w:r>
          </w:p>
        </w:tc>
      </w:tr>
      <w:tr w:rsidR="00B446F8" w14:paraId="7A850176" w14:textId="77777777" w:rsidTr="00B446F8">
        <w:tc>
          <w:tcPr>
            <w:tcW w:w="9016" w:type="dxa"/>
          </w:tcPr>
          <w:p w14:paraId="28D7D14B" w14:textId="77777777" w:rsidR="00B446F8" w:rsidRDefault="001D5A07" w:rsidP="00BA67F1">
            <w:pPr>
              <w:pStyle w:val="ListParagraph"/>
              <w:numPr>
                <w:ilvl w:val="0"/>
                <w:numId w:val="38"/>
              </w:numPr>
            </w:pPr>
            <w:r>
              <w:t xml:space="preserve">Are training and professional development opportunities open to all </w:t>
            </w:r>
            <w:r w:rsidR="00995404">
              <w:t>workers</w:t>
            </w:r>
            <w:r w:rsidR="00680E41">
              <w:t xml:space="preserve"> regardless of age</w:t>
            </w:r>
            <w:r>
              <w:t>?</w:t>
            </w:r>
          </w:p>
        </w:tc>
      </w:tr>
      <w:tr w:rsidR="00B446F8" w14:paraId="2312860D" w14:textId="77777777" w:rsidTr="00F85E36">
        <w:tc>
          <w:tcPr>
            <w:tcW w:w="9016" w:type="dxa"/>
            <w:shd w:val="clear" w:color="auto" w:fill="DEEAF6" w:themeFill="accent1" w:themeFillTint="33"/>
          </w:tcPr>
          <w:p w14:paraId="5B95F630" w14:textId="77777777" w:rsidR="00B446F8" w:rsidRPr="00924596" w:rsidRDefault="001D5A07" w:rsidP="00BA67F1">
            <w:pPr>
              <w:rPr>
                <w:b/>
              </w:rPr>
            </w:pPr>
            <w:r w:rsidRPr="00924596">
              <w:rPr>
                <w:b/>
              </w:rPr>
              <w:t>Promotions</w:t>
            </w:r>
          </w:p>
        </w:tc>
      </w:tr>
      <w:tr w:rsidR="00B446F8" w14:paraId="4F9A76A2" w14:textId="77777777" w:rsidTr="00B446F8">
        <w:tc>
          <w:tcPr>
            <w:tcW w:w="9016" w:type="dxa"/>
          </w:tcPr>
          <w:p w14:paraId="18AD68CE" w14:textId="5A50472F" w:rsidR="00B446F8" w:rsidRDefault="005C7D36" w:rsidP="00BA67F1">
            <w:pPr>
              <w:pStyle w:val="ListParagraph"/>
              <w:numPr>
                <w:ilvl w:val="0"/>
                <w:numId w:val="38"/>
              </w:numPr>
            </w:pPr>
            <w:r>
              <w:t>Are</w:t>
            </w:r>
            <w:r w:rsidR="001D5A07">
              <w:t xml:space="preserve"> your promotion or advancement processes </w:t>
            </w:r>
            <w:r>
              <w:t>age</w:t>
            </w:r>
            <w:r w:rsidR="001F496F">
              <w:t>-</w:t>
            </w:r>
            <w:r>
              <w:t>neutral</w:t>
            </w:r>
            <w:r w:rsidR="004E392C">
              <w:t>?</w:t>
            </w:r>
          </w:p>
        </w:tc>
      </w:tr>
      <w:tr w:rsidR="00B446F8" w14:paraId="105AE05C" w14:textId="77777777" w:rsidTr="00F85E36">
        <w:tc>
          <w:tcPr>
            <w:tcW w:w="9016" w:type="dxa"/>
            <w:shd w:val="clear" w:color="auto" w:fill="DEEAF6" w:themeFill="accent1" w:themeFillTint="33"/>
          </w:tcPr>
          <w:p w14:paraId="73C60FD9" w14:textId="77777777" w:rsidR="00B446F8" w:rsidRPr="00924596" w:rsidRDefault="004E392C" w:rsidP="00BA67F1">
            <w:pPr>
              <w:rPr>
                <w:b/>
              </w:rPr>
            </w:pPr>
            <w:r w:rsidRPr="00924596">
              <w:rPr>
                <w:b/>
              </w:rPr>
              <w:t>Flexible work</w:t>
            </w:r>
          </w:p>
        </w:tc>
      </w:tr>
      <w:tr w:rsidR="00B446F8" w14:paraId="732F1B5C" w14:textId="77777777" w:rsidTr="00B446F8">
        <w:tc>
          <w:tcPr>
            <w:tcW w:w="9016" w:type="dxa"/>
          </w:tcPr>
          <w:p w14:paraId="095DEBE3" w14:textId="77777777" w:rsidR="00B446F8" w:rsidRDefault="004E392C" w:rsidP="00BA67F1">
            <w:pPr>
              <w:pStyle w:val="ListParagraph"/>
              <w:numPr>
                <w:ilvl w:val="0"/>
                <w:numId w:val="38"/>
              </w:numPr>
            </w:pPr>
            <w:r>
              <w:t xml:space="preserve">Do you </w:t>
            </w:r>
            <w:r w:rsidR="0095024B">
              <w:t>offer</w:t>
            </w:r>
            <w:r>
              <w:t xml:space="preserve"> flexible work arrangements?</w:t>
            </w:r>
          </w:p>
        </w:tc>
      </w:tr>
      <w:tr w:rsidR="00B446F8" w14:paraId="46C6E4B8" w14:textId="77777777" w:rsidTr="00B446F8">
        <w:tc>
          <w:tcPr>
            <w:tcW w:w="9016" w:type="dxa"/>
          </w:tcPr>
          <w:p w14:paraId="71398597" w14:textId="1ADB1C86" w:rsidR="00B446F8" w:rsidRDefault="004E392C" w:rsidP="00BA67F1">
            <w:pPr>
              <w:pStyle w:val="ListParagraph"/>
              <w:numPr>
                <w:ilvl w:val="0"/>
                <w:numId w:val="38"/>
              </w:numPr>
            </w:pPr>
            <w:r>
              <w:t xml:space="preserve">If you do </w:t>
            </w:r>
            <w:r w:rsidR="0095024B">
              <w:t xml:space="preserve">offer </w:t>
            </w:r>
            <w:r>
              <w:t>flexible work arrangements, are these available to, or promoted</w:t>
            </w:r>
            <w:r w:rsidR="00360FC4">
              <w:t>,</w:t>
            </w:r>
            <w:r>
              <w:t xml:space="preserve"> to al</w:t>
            </w:r>
            <w:r w:rsidR="00360FC4">
              <w:t>l</w:t>
            </w:r>
            <w:r>
              <w:t xml:space="preserve"> </w:t>
            </w:r>
            <w:r w:rsidR="00995404">
              <w:t>workers</w:t>
            </w:r>
            <w:r>
              <w:t xml:space="preserve"> regardless of their age?</w:t>
            </w:r>
          </w:p>
        </w:tc>
      </w:tr>
      <w:tr w:rsidR="004E392C" w14:paraId="7FFBECFB" w14:textId="77777777" w:rsidTr="00B446F8">
        <w:tc>
          <w:tcPr>
            <w:tcW w:w="9016" w:type="dxa"/>
          </w:tcPr>
          <w:p w14:paraId="57415237" w14:textId="77777777" w:rsidR="004E392C" w:rsidRDefault="004E392C" w:rsidP="00BA67F1">
            <w:pPr>
              <w:pStyle w:val="ListParagraph"/>
              <w:numPr>
                <w:ilvl w:val="0"/>
                <w:numId w:val="38"/>
              </w:numPr>
            </w:pPr>
            <w:r>
              <w:t>Do you have a transition to retirement process o</w:t>
            </w:r>
            <w:r w:rsidR="00F42D13">
              <w:t>r</w:t>
            </w:r>
            <w:r>
              <w:t xml:space="preserve"> program? Does this program encompass flexible work arrangements?</w:t>
            </w:r>
          </w:p>
        </w:tc>
      </w:tr>
    </w:tbl>
    <w:p w14:paraId="7EBF53B0" w14:textId="77777777" w:rsidR="00B10846" w:rsidRDefault="00423A70" w:rsidP="00951187">
      <w:pPr>
        <w:pStyle w:val="Heading1"/>
        <w:spacing w:after="360"/>
      </w:pPr>
      <w:bookmarkStart w:id="22" w:name="_Toc14338768"/>
      <w:r>
        <w:lastRenderedPageBreak/>
        <w:t>Further information</w:t>
      </w:r>
      <w:bookmarkEnd w:id="22"/>
    </w:p>
    <w:tbl>
      <w:tblPr>
        <w:tblStyle w:val="TableGrid"/>
        <w:tblW w:w="0" w:type="auto"/>
        <w:tblBorders>
          <w:insideH w:val="none" w:sz="0" w:space="0" w:color="auto"/>
          <w:insideV w:val="none" w:sz="0" w:space="0" w:color="auto"/>
        </w:tblBorders>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924596" w14:paraId="3735E793" w14:textId="77777777" w:rsidTr="008B2E14">
        <w:tc>
          <w:tcPr>
            <w:tcW w:w="9016" w:type="dxa"/>
            <w:shd w:val="clear" w:color="auto" w:fill="E2EFD9" w:themeFill="accent6" w:themeFillTint="33"/>
          </w:tcPr>
          <w:p w14:paraId="0CFA868B" w14:textId="77777777" w:rsidR="00924596" w:rsidRPr="00924596" w:rsidRDefault="00924596" w:rsidP="00F85E36">
            <w:pPr>
              <w:spacing w:before="0"/>
              <w:rPr>
                <w:b/>
              </w:rPr>
            </w:pPr>
            <w:r>
              <w:rPr>
                <w:b/>
              </w:rPr>
              <w:t>National Information Service</w:t>
            </w:r>
          </w:p>
          <w:p w14:paraId="020842DD" w14:textId="19F415EE" w:rsidR="00924596" w:rsidRDefault="00924596" w:rsidP="00BA67F1">
            <w:r>
              <w:t xml:space="preserve">If you require further information please contact the Commission’s </w:t>
            </w:r>
            <w:hyperlink r:id="rId37" w:history="1">
              <w:r w:rsidRPr="00F36102">
                <w:rPr>
                  <w:rStyle w:val="Hyperlink"/>
                </w:rPr>
                <w:t>National Information Service</w:t>
              </w:r>
            </w:hyperlink>
            <w:r w:rsidR="0095024B">
              <w:t xml:space="preserve"> (NIS). The NIS</w:t>
            </w:r>
            <w:r>
              <w:t xml:space="preserve"> provides information and referrals for individuals, organisations and employers about a range of human rights and discrimination issues.</w:t>
            </w:r>
          </w:p>
          <w:p w14:paraId="11F9CCE3" w14:textId="77777777" w:rsidR="00924596" w:rsidRDefault="00924596" w:rsidP="00F85E36">
            <w:pPr>
              <w:spacing w:after="100"/>
            </w:pPr>
            <w:r>
              <w:t>Phone 1300 656 419 or (02) 9284 9888 to access this service.</w:t>
            </w:r>
          </w:p>
        </w:tc>
      </w:tr>
    </w:tbl>
    <w:p w14:paraId="2A01CB58" w14:textId="77777777" w:rsidR="00924596" w:rsidRDefault="00924596" w:rsidP="00BA67F1"/>
    <w:tbl>
      <w:tblPr>
        <w:tblStyle w:val="TableGrid"/>
        <w:tblW w:w="0" w:type="auto"/>
        <w:tblBorders>
          <w:insideH w:val="none" w:sz="0" w:space="0" w:color="auto"/>
          <w:insideV w:val="none" w:sz="0" w:space="0" w:color="auto"/>
        </w:tblBorders>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924596" w14:paraId="274CE661" w14:textId="77777777" w:rsidTr="008B2E14">
        <w:tc>
          <w:tcPr>
            <w:tcW w:w="9016" w:type="dxa"/>
            <w:shd w:val="clear" w:color="auto" w:fill="E2EFD9" w:themeFill="accent6" w:themeFillTint="33"/>
          </w:tcPr>
          <w:p w14:paraId="21E2B9C0" w14:textId="77777777" w:rsidR="00924596" w:rsidRPr="00924596" w:rsidRDefault="00924596" w:rsidP="00F85E36">
            <w:pPr>
              <w:spacing w:before="0"/>
              <w:rPr>
                <w:b/>
              </w:rPr>
            </w:pPr>
            <w:r>
              <w:rPr>
                <w:b/>
              </w:rPr>
              <w:t>Complaints process</w:t>
            </w:r>
          </w:p>
          <w:p w14:paraId="11FCB8DE" w14:textId="3DF77675" w:rsidR="00924596" w:rsidRDefault="00924596" w:rsidP="00F85E36">
            <w:pPr>
              <w:spacing w:after="100"/>
            </w:pPr>
            <w:r>
              <w:t>The Commission can also inv</w:t>
            </w:r>
            <w:r w:rsidR="00C6471D">
              <w:t>e</w:t>
            </w:r>
            <w:r>
              <w:t>stigate complaints about discrimination and other human rights breaches</w:t>
            </w:r>
            <w:r w:rsidR="00383968">
              <w:t>.</w:t>
            </w:r>
            <w:r>
              <w:t xml:space="preserve"> The complaints process is simple, free and flexible. For further information on the complaints process please visit the Commission’s </w:t>
            </w:r>
            <w:hyperlink r:id="rId38" w:history="1">
              <w:r w:rsidRPr="00F36102">
                <w:rPr>
                  <w:rStyle w:val="Hyperlink"/>
                </w:rPr>
                <w:t>website</w:t>
              </w:r>
            </w:hyperlink>
            <w:r>
              <w:t>.</w:t>
            </w:r>
          </w:p>
        </w:tc>
      </w:tr>
    </w:tbl>
    <w:p w14:paraId="4C2EE6E3" w14:textId="77777777" w:rsidR="00924596" w:rsidRDefault="00924596" w:rsidP="00BA67F1"/>
    <w:tbl>
      <w:tblPr>
        <w:tblStyle w:val="TableGrid"/>
        <w:tblW w:w="0" w:type="auto"/>
        <w:tblBorders>
          <w:insideH w:val="none" w:sz="0" w:space="0" w:color="auto"/>
          <w:insideV w:val="none" w:sz="0" w:space="0" w:color="auto"/>
        </w:tblBorders>
        <w:shd w:val="clear" w:color="auto" w:fill="E2EFD9" w:themeFill="accent6" w:themeFillTint="33"/>
        <w:tblCellMar>
          <w:top w:w="284" w:type="dxa"/>
          <w:left w:w="284" w:type="dxa"/>
          <w:bottom w:w="284" w:type="dxa"/>
          <w:right w:w="284" w:type="dxa"/>
        </w:tblCellMar>
        <w:tblLook w:val="04A0" w:firstRow="1" w:lastRow="0" w:firstColumn="1" w:lastColumn="0" w:noHBand="0" w:noVBand="1"/>
      </w:tblPr>
      <w:tblGrid>
        <w:gridCol w:w="9016"/>
      </w:tblGrid>
      <w:tr w:rsidR="00924596" w14:paraId="6260F56A" w14:textId="77777777" w:rsidTr="008B2E14">
        <w:tc>
          <w:tcPr>
            <w:tcW w:w="9016" w:type="dxa"/>
            <w:shd w:val="clear" w:color="auto" w:fill="E2EFD9" w:themeFill="accent6" w:themeFillTint="33"/>
          </w:tcPr>
          <w:p w14:paraId="3E5C6F87" w14:textId="77777777" w:rsidR="00924596" w:rsidRDefault="00924596" w:rsidP="00F85E36">
            <w:pPr>
              <w:spacing w:before="0"/>
              <w:rPr>
                <w:b/>
              </w:rPr>
            </w:pPr>
            <w:r w:rsidRPr="00924596">
              <w:rPr>
                <w:b/>
              </w:rPr>
              <w:t>Training</w:t>
            </w:r>
          </w:p>
          <w:p w14:paraId="7B2F5872" w14:textId="544C6ACF" w:rsidR="00924596" w:rsidRPr="00924596" w:rsidRDefault="00924596" w:rsidP="00F85E36">
            <w:pPr>
              <w:spacing w:after="100"/>
              <w:rPr>
                <w:b/>
              </w:rPr>
            </w:pPr>
            <w:r>
              <w:t xml:space="preserve">The Commission can also provide assistance in the form of diversity and inclusion training workshops and educational resources. For more information please contact us by sending an email to </w:t>
            </w:r>
            <w:hyperlink r:id="rId39" w:history="1">
              <w:r w:rsidRPr="00774CE1">
                <w:rPr>
                  <w:rStyle w:val="Hyperlink"/>
                </w:rPr>
                <w:t>training@humanrights.gov.au</w:t>
              </w:r>
            </w:hyperlink>
            <w:r w:rsidR="00F85E36">
              <w:t>.</w:t>
            </w:r>
          </w:p>
        </w:tc>
      </w:tr>
    </w:tbl>
    <w:p w14:paraId="3CB3C1D8" w14:textId="77777777" w:rsidR="00423A70" w:rsidRPr="00423A70" w:rsidRDefault="00423A70" w:rsidP="00BA67F1">
      <w:pPr>
        <w:sectPr w:rsidR="00423A70" w:rsidRPr="00423A70" w:rsidSect="006B776F">
          <w:endnotePr>
            <w:numFmt w:val="decimal"/>
          </w:endnotePr>
          <w:pgSz w:w="11906" w:h="16838" w:code="9"/>
          <w:pgMar w:top="1077" w:right="1440" w:bottom="1077" w:left="1440" w:header="709" w:footer="709" w:gutter="0"/>
          <w:cols w:space="708"/>
          <w:docGrid w:linePitch="360"/>
        </w:sectPr>
      </w:pPr>
    </w:p>
    <w:p w14:paraId="5720493E" w14:textId="7C5F0992" w:rsidR="006C3A2F" w:rsidRPr="00BA67F1" w:rsidRDefault="00BA67F1" w:rsidP="00BA67F1">
      <w:pPr>
        <w:rPr>
          <w:b/>
        </w:rPr>
      </w:pPr>
      <w:bookmarkStart w:id="23" w:name="_Appendix_A_-"/>
      <w:bookmarkEnd w:id="23"/>
      <w:r w:rsidRPr="00BA67F1">
        <w:rPr>
          <w:b/>
        </w:rPr>
        <w:lastRenderedPageBreak/>
        <w:t>Endnotes</w:t>
      </w:r>
    </w:p>
    <w:sectPr w:rsidR="006C3A2F" w:rsidRPr="00BA67F1" w:rsidSect="008400CA">
      <w:endnotePr>
        <w:numFmt w:val="decimal"/>
      </w:endnotePr>
      <w:pgSz w:w="11906" w:h="16838" w:code="9"/>
      <w:pgMar w:top="1077" w:right="1440" w:bottom="1077"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759E10" w14:textId="77777777" w:rsidR="00A07173" w:rsidRDefault="00A07173" w:rsidP="00F14C6D">
      <w:r>
        <w:separator/>
      </w:r>
    </w:p>
  </w:endnote>
  <w:endnote w:type="continuationSeparator" w:id="0">
    <w:p w14:paraId="5DF3FC34" w14:textId="77777777" w:rsidR="00A07173" w:rsidRDefault="00A07173" w:rsidP="00F14C6D">
      <w:r>
        <w:continuationSeparator/>
      </w:r>
    </w:p>
  </w:endnote>
  <w:endnote w:id="1">
    <w:p w14:paraId="6C8BD169" w14:textId="5C86A382" w:rsidR="00A07173" w:rsidRPr="003A410F" w:rsidRDefault="00A07173" w:rsidP="00B13238">
      <w:pPr>
        <w:pStyle w:val="EndnoteText"/>
        <w:rPr>
          <w:sz w:val="22"/>
        </w:rPr>
      </w:pPr>
      <w:r>
        <w:rPr>
          <w:rStyle w:val="EndnoteReference"/>
        </w:rPr>
        <w:endnoteRef/>
      </w:r>
      <w:r>
        <w:t xml:space="preserve"> </w:t>
      </w:r>
      <w:r w:rsidRPr="00695D3F">
        <w:rPr>
          <w:rFonts w:cs="Arial"/>
        </w:rPr>
        <w:t>In January 2018, Australians aged 65 and over had a workforce participation rate of 13% (17% for men and 10% for women), compared with 8% in 2006 (12% for men and 4% for women).</w:t>
      </w:r>
      <w:r w:rsidRPr="00517AF2">
        <w:rPr>
          <w:rStyle w:val="EndnoteReference"/>
        </w:rPr>
        <w:t xml:space="preserve"> </w:t>
      </w:r>
      <w:r w:rsidRPr="00517AF2">
        <w:t xml:space="preserve">See </w:t>
      </w:r>
      <w:r>
        <w:t xml:space="preserve">Australian Institute of Health and Welfare, </w:t>
      </w:r>
      <w:r w:rsidRPr="00695D3F">
        <w:rPr>
          <w:i/>
        </w:rPr>
        <w:t>Older Australians at a Glance</w:t>
      </w:r>
      <w:r>
        <w:t xml:space="preserve"> (10 September 2018) &lt;</w:t>
      </w:r>
      <w:hyperlink r:id="rId1" w:history="1">
        <w:r w:rsidRPr="001C4F47">
          <w:rPr>
            <w:rStyle w:val="Hyperlink"/>
          </w:rPr>
          <w:t>https://www.aihw.gov.au/reports/older-people/older-australia-at-a-glance/contents/demographics-of-older-australians</w:t>
        </w:r>
      </w:hyperlink>
      <w:r w:rsidRPr="00517AF2">
        <w:t>&gt;.</w:t>
      </w:r>
    </w:p>
  </w:endnote>
  <w:endnote w:id="2">
    <w:p w14:paraId="4AED8C59" w14:textId="77777777" w:rsidR="00A07173" w:rsidRPr="00956B74" w:rsidRDefault="00A07173" w:rsidP="00B13238">
      <w:pPr>
        <w:pStyle w:val="EndnoteText"/>
      </w:pPr>
      <w:r>
        <w:rPr>
          <w:rStyle w:val="EndnoteReference"/>
        </w:rPr>
        <w:endnoteRef/>
      </w:r>
      <w:r>
        <w:t xml:space="preserve"> Australian HR Institute, </w:t>
      </w:r>
      <w:r w:rsidRPr="00A832CD">
        <w:rPr>
          <w:i/>
        </w:rPr>
        <w:t>Employing Older Workers Report</w:t>
      </w:r>
      <w:r>
        <w:t xml:space="preserve"> (2018) 18 &lt;</w:t>
      </w:r>
      <w:r w:rsidRPr="006A62DF">
        <w:rPr>
          <w:rStyle w:val="Hyperlink"/>
        </w:rPr>
        <w:t>https://www.humanrights.gov.au/our-work/age-discrimination/publications/employing-older-workers-2018</w:t>
      </w:r>
      <w:r>
        <w:t>&gt;.</w:t>
      </w:r>
    </w:p>
  </w:endnote>
  <w:endnote w:id="3">
    <w:p w14:paraId="162E1F0E" w14:textId="77777777" w:rsidR="00A07173" w:rsidRDefault="00A07173" w:rsidP="00B13238">
      <w:pPr>
        <w:pStyle w:val="EndnoteText"/>
      </w:pPr>
      <w:r>
        <w:rPr>
          <w:rStyle w:val="EndnoteReference"/>
        </w:rPr>
        <w:endnoteRef/>
      </w:r>
      <w:r>
        <w:t xml:space="preserve"> Australian Human Rights Commission, </w:t>
      </w:r>
      <w:r w:rsidRPr="00272AE4">
        <w:rPr>
          <w:i/>
        </w:rPr>
        <w:t>2016-2017 Complaint Statistics</w:t>
      </w:r>
      <w:r>
        <w:t xml:space="preserve"> (2017) </w:t>
      </w:r>
      <w:hyperlink r:id="rId2" w:history="1">
        <w:r w:rsidRPr="00C25961">
          <w:rPr>
            <w:rStyle w:val="Hyperlink"/>
          </w:rPr>
          <w:t>https://www.humanrights.gov.au/sites/default/files/AHRC_Complaints_AR_Stats_Tables%202016-2017.pdf</w:t>
        </w:r>
      </w:hyperlink>
      <w:r>
        <w:t>.</w:t>
      </w:r>
    </w:p>
  </w:endnote>
  <w:endnote w:id="4">
    <w:p w14:paraId="026A2512" w14:textId="77777777" w:rsidR="00A07173" w:rsidRPr="001F197A" w:rsidRDefault="00A07173" w:rsidP="00B13238">
      <w:pPr>
        <w:pStyle w:val="EndnoteText"/>
      </w:pPr>
      <w:r>
        <w:rPr>
          <w:rStyle w:val="EndnoteReference"/>
        </w:rPr>
        <w:endnoteRef/>
      </w:r>
      <w:r>
        <w:t xml:space="preserve"> </w:t>
      </w:r>
      <w:r>
        <w:rPr>
          <w:i/>
        </w:rPr>
        <w:t>Age Discrimination Act 2004</w:t>
      </w:r>
      <w:r>
        <w:t xml:space="preserve"> (Cth) s 5 (definition of ‘age’).</w:t>
      </w:r>
    </w:p>
  </w:endnote>
  <w:endnote w:id="5">
    <w:p w14:paraId="3D1CD3DE" w14:textId="77777777" w:rsidR="00A07173" w:rsidRDefault="00A07173" w:rsidP="00B13238">
      <w:pPr>
        <w:pStyle w:val="EndnoteText"/>
      </w:pPr>
      <w:r>
        <w:rPr>
          <w:rStyle w:val="EndnoteReference"/>
        </w:rPr>
        <w:endnoteRef/>
      </w:r>
      <w:r>
        <w:t xml:space="preserve"> </w:t>
      </w:r>
      <w:r>
        <w:rPr>
          <w:i/>
        </w:rPr>
        <w:t>Age Discrimination Act 2004</w:t>
      </w:r>
      <w:r>
        <w:t xml:space="preserve"> (Cth) s 14. If an act (that is, an act of discrimination) is done for two or more reasons and one of those reasons is the age of the person (or a characteristic that is generally associated with a person of that age) the act will still be considered discrimination on the basis of age. </w:t>
      </w:r>
    </w:p>
  </w:endnote>
  <w:endnote w:id="6">
    <w:p w14:paraId="15F8CB90" w14:textId="77777777" w:rsidR="00A07173" w:rsidRDefault="00A07173" w:rsidP="00B13238">
      <w:pPr>
        <w:pStyle w:val="EndnoteText"/>
      </w:pPr>
      <w:r>
        <w:rPr>
          <w:rStyle w:val="EndnoteReference"/>
        </w:rPr>
        <w:endnoteRef/>
      </w:r>
      <w:r>
        <w:t xml:space="preserve"> </w:t>
      </w:r>
      <w:r>
        <w:rPr>
          <w:i/>
        </w:rPr>
        <w:t>Age Discrimination Act 2004</w:t>
      </w:r>
      <w:r>
        <w:t xml:space="preserve"> (Cth) s 15(1).</w:t>
      </w:r>
    </w:p>
  </w:endnote>
  <w:endnote w:id="7">
    <w:p w14:paraId="04A60A9D" w14:textId="77777777" w:rsidR="00A07173" w:rsidRDefault="00A07173" w:rsidP="00B13238">
      <w:pPr>
        <w:pStyle w:val="EndnoteText"/>
      </w:pPr>
      <w:r>
        <w:rPr>
          <w:rStyle w:val="EndnoteReference"/>
        </w:rPr>
        <w:endnoteRef/>
      </w:r>
      <w:r>
        <w:t xml:space="preserve"> </w:t>
      </w:r>
      <w:r>
        <w:rPr>
          <w:i/>
        </w:rPr>
        <w:t>Age Discrimination Act 2004</w:t>
      </w:r>
      <w:r>
        <w:t xml:space="preserve"> (Cth) s 15(2).</w:t>
      </w:r>
    </w:p>
  </w:endnote>
  <w:endnote w:id="8">
    <w:p w14:paraId="537E7D75" w14:textId="77777777" w:rsidR="00A07173" w:rsidRPr="00CC0672" w:rsidRDefault="00A07173" w:rsidP="00A07173">
      <w:pPr>
        <w:pStyle w:val="EndnoteText"/>
      </w:pPr>
      <w:r>
        <w:rPr>
          <w:rStyle w:val="EndnoteReference"/>
        </w:rPr>
        <w:endnoteRef/>
      </w:r>
      <w:r>
        <w:t xml:space="preserve"> Employer also refers to a person ‘purporting to act on behalf of an employer.’ See </w:t>
      </w:r>
      <w:r>
        <w:rPr>
          <w:i/>
        </w:rPr>
        <w:t>Age Discrimination Act 2004</w:t>
      </w:r>
      <w:r>
        <w:t xml:space="preserve"> (Cth) s 18.</w:t>
      </w:r>
    </w:p>
  </w:endnote>
  <w:endnote w:id="9">
    <w:p w14:paraId="369FDEAD" w14:textId="77777777" w:rsidR="00A07173" w:rsidRPr="00E84CAE" w:rsidRDefault="00A07173" w:rsidP="00A07173">
      <w:pPr>
        <w:pStyle w:val="EndnoteText"/>
      </w:pPr>
      <w:r>
        <w:rPr>
          <w:rStyle w:val="EndnoteReference"/>
        </w:rPr>
        <w:endnoteRef/>
      </w:r>
      <w:r>
        <w:t xml:space="preserve"> </w:t>
      </w:r>
      <w:r>
        <w:rPr>
          <w:i/>
        </w:rPr>
        <w:t>Age Discrimination Act 2004</w:t>
      </w:r>
      <w:r>
        <w:t xml:space="preserve"> (Cth) s 18(1).</w:t>
      </w:r>
    </w:p>
  </w:endnote>
  <w:endnote w:id="10">
    <w:p w14:paraId="08F634D7" w14:textId="77777777" w:rsidR="00A07173" w:rsidRDefault="00A07173" w:rsidP="00A07173">
      <w:pPr>
        <w:pStyle w:val="EndnoteText"/>
      </w:pPr>
      <w:r>
        <w:rPr>
          <w:rStyle w:val="EndnoteReference"/>
        </w:rPr>
        <w:endnoteRef/>
      </w:r>
      <w:r>
        <w:t xml:space="preserve"> Employer also refers to a person ‘purporting to act on behalf of an employer.’ See </w:t>
      </w:r>
      <w:r>
        <w:rPr>
          <w:i/>
        </w:rPr>
        <w:t>Age Discrimination Act 2004</w:t>
      </w:r>
      <w:r>
        <w:t xml:space="preserve"> (Cth) s 18.</w:t>
      </w:r>
    </w:p>
  </w:endnote>
  <w:endnote w:id="11">
    <w:p w14:paraId="6855C1B8" w14:textId="77777777" w:rsidR="00A07173" w:rsidRDefault="00A07173" w:rsidP="00A07173">
      <w:pPr>
        <w:pStyle w:val="EndnoteText"/>
      </w:pPr>
      <w:r>
        <w:rPr>
          <w:rStyle w:val="EndnoteReference"/>
        </w:rPr>
        <w:endnoteRef/>
      </w:r>
      <w:r>
        <w:t xml:space="preserve"> </w:t>
      </w:r>
      <w:r>
        <w:rPr>
          <w:i/>
        </w:rPr>
        <w:t>Age Discrimination Act 2004</w:t>
      </w:r>
      <w:r>
        <w:t xml:space="preserve"> (Cth) s 18(2).</w:t>
      </w:r>
    </w:p>
  </w:endnote>
  <w:endnote w:id="12">
    <w:p w14:paraId="0E691523" w14:textId="77777777" w:rsidR="00A07173" w:rsidRPr="004F250F" w:rsidRDefault="00A07173" w:rsidP="00A07173">
      <w:pPr>
        <w:pStyle w:val="EndnoteText"/>
        <w:rPr>
          <w:rFonts w:cs="Open Sans"/>
        </w:rPr>
      </w:pPr>
      <w:r>
        <w:rPr>
          <w:rStyle w:val="EndnoteReference"/>
        </w:rPr>
        <w:endnoteRef/>
      </w:r>
      <w:r>
        <w:t xml:space="preserve"> ‘Premises’ includes a structure, building, aircraft, vehicle or vessel, place, or part of a premises. See </w:t>
      </w:r>
      <w:r>
        <w:rPr>
          <w:i/>
        </w:rPr>
        <w:t>Age Discrimination Act 2004</w:t>
      </w:r>
      <w:r>
        <w:t xml:space="preserve"> (Cth) s </w:t>
      </w:r>
      <w:r w:rsidRPr="004F250F">
        <w:rPr>
          <w:rFonts w:cs="Open Sans"/>
        </w:rPr>
        <w:t>5</w:t>
      </w:r>
      <w:r w:rsidRPr="00CF396B">
        <w:rPr>
          <w:rFonts w:eastAsia="Times New Roman" w:cs="Open Sans"/>
          <w:color w:val="000000"/>
          <w:lang w:val="en-US"/>
        </w:rPr>
        <w:t xml:space="preserve"> (definition of </w:t>
      </w:r>
      <w:r>
        <w:rPr>
          <w:rFonts w:eastAsia="Times New Roman" w:cs="Open Sans"/>
          <w:color w:val="000000"/>
          <w:lang w:val="en-US"/>
        </w:rPr>
        <w:t>‘</w:t>
      </w:r>
      <w:r w:rsidRPr="00CF396B">
        <w:rPr>
          <w:rFonts w:eastAsia="Times New Roman" w:cs="Open Sans"/>
          <w:color w:val="000000"/>
          <w:lang w:val="en-US"/>
        </w:rPr>
        <w:t>premises</w:t>
      </w:r>
      <w:r>
        <w:rPr>
          <w:rFonts w:eastAsia="Times New Roman" w:cs="Open Sans"/>
          <w:color w:val="000000"/>
          <w:lang w:val="en-US"/>
        </w:rPr>
        <w:t>’</w:t>
      </w:r>
      <w:r w:rsidRPr="00CF396B">
        <w:rPr>
          <w:rFonts w:eastAsia="Times New Roman" w:cs="Open Sans"/>
          <w:color w:val="000000"/>
          <w:lang w:val="en-US"/>
        </w:rPr>
        <w:t>).</w:t>
      </w:r>
    </w:p>
  </w:endnote>
  <w:endnote w:id="13">
    <w:p w14:paraId="705CA47F" w14:textId="77777777" w:rsidR="00A07173" w:rsidRPr="0071514C" w:rsidRDefault="00A07173" w:rsidP="00A07173">
      <w:pPr>
        <w:pStyle w:val="EndnoteText"/>
      </w:pPr>
      <w:r>
        <w:rPr>
          <w:rStyle w:val="EndnoteReference"/>
        </w:rPr>
        <w:endnoteRef/>
      </w:r>
      <w:r>
        <w:t xml:space="preserve"> </w:t>
      </w:r>
      <w:r>
        <w:rPr>
          <w:i/>
        </w:rPr>
        <w:t xml:space="preserve">Age Discrimination Act 2004 </w:t>
      </w:r>
      <w:r>
        <w:t>(Cth) s 18(3).</w:t>
      </w:r>
    </w:p>
  </w:endnote>
  <w:endnote w:id="14">
    <w:p w14:paraId="08E5CBE6" w14:textId="77777777" w:rsidR="00A07173" w:rsidRPr="0022739F" w:rsidRDefault="00A07173" w:rsidP="00A07173">
      <w:pPr>
        <w:pStyle w:val="EndnoteText"/>
      </w:pPr>
      <w:r>
        <w:rPr>
          <w:rStyle w:val="EndnoteReference"/>
        </w:rPr>
        <w:endnoteRef/>
      </w:r>
      <w:r>
        <w:t xml:space="preserve"> </w:t>
      </w:r>
      <w:r>
        <w:rPr>
          <w:i/>
        </w:rPr>
        <w:t xml:space="preserve">Age Discrimination Act 2004 </w:t>
      </w:r>
      <w:r>
        <w:t>(Cth) s 18(4).</w:t>
      </w:r>
    </w:p>
  </w:endnote>
  <w:endnote w:id="15">
    <w:p w14:paraId="72CBDB57" w14:textId="77777777" w:rsidR="00A07173" w:rsidRPr="00B43F2E" w:rsidRDefault="00A07173" w:rsidP="00A07173">
      <w:pPr>
        <w:pStyle w:val="EndnoteText"/>
      </w:pPr>
      <w:r>
        <w:rPr>
          <w:rStyle w:val="EndnoteReference"/>
        </w:rPr>
        <w:endnoteRef/>
      </w:r>
      <w:r>
        <w:t xml:space="preserve"> </w:t>
      </w:r>
      <w:r>
        <w:rPr>
          <w:i/>
        </w:rPr>
        <w:t>Age Discrimination Act 2004</w:t>
      </w:r>
      <w:r>
        <w:t xml:space="preserve"> (Cth) s 18(4).</w:t>
      </w:r>
    </w:p>
  </w:endnote>
  <w:endnote w:id="16">
    <w:p w14:paraId="11AA9FEE" w14:textId="77777777" w:rsidR="00A07173" w:rsidRPr="00B43F2E" w:rsidRDefault="00A07173" w:rsidP="00A07173">
      <w:pPr>
        <w:pStyle w:val="EndnoteText"/>
      </w:pPr>
      <w:r>
        <w:rPr>
          <w:rStyle w:val="EndnoteReference"/>
        </w:rPr>
        <w:endnoteRef/>
      </w:r>
      <w:r>
        <w:t xml:space="preserve"> </w:t>
      </w:r>
      <w:r>
        <w:rPr>
          <w:i/>
        </w:rPr>
        <w:t>Age Discrimination Act 2004</w:t>
      </w:r>
      <w:r>
        <w:t xml:space="preserve"> (Cth) s 18(5).</w:t>
      </w:r>
    </w:p>
  </w:endnote>
  <w:endnote w:id="17">
    <w:p w14:paraId="1E617701" w14:textId="77777777" w:rsidR="00A07173" w:rsidRPr="00033C5D" w:rsidRDefault="00A07173" w:rsidP="00A07173">
      <w:pPr>
        <w:pStyle w:val="EndnoteText"/>
      </w:pPr>
      <w:r>
        <w:rPr>
          <w:rStyle w:val="EndnoteReference"/>
        </w:rPr>
        <w:endnoteRef/>
      </w:r>
      <w:r>
        <w:t xml:space="preserve"> ’Services’ is broadly defined and includes the provision of financial services, entertainment, recreation, transport, telecommunications, professional services and government services. See </w:t>
      </w:r>
      <w:r>
        <w:rPr>
          <w:i/>
        </w:rPr>
        <w:t>Age Discrimination Act 2004</w:t>
      </w:r>
      <w:r>
        <w:t xml:space="preserve"> (Cth) s 5 (definition of ‘services’).</w:t>
      </w:r>
    </w:p>
  </w:endnote>
  <w:endnote w:id="18">
    <w:p w14:paraId="1C1F27E0" w14:textId="77777777" w:rsidR="00A07173" w:rsidRPr="00014D39" w:rsidRDefault="00A07173" w:rsidP="00A07173">
      <w:pPr>
        <w:pStyle w:val="EndnoteText"/>
      </w:pPr>
      <w:r>
        <w:rPr>
          <w:rStyle w:val="EndnoteReference"/>
        </w:rPr>
        <w:endnoteRef/>
      </w:r>
      <w:r>
        <w:t xml:space="preserve"> ‘Commonwealth employee’ is broadly defined and includes those appointed and engaged under the </w:t>
      </w:r>
      <w:r>
        <w:rPr>
          <w:i/>
        </w:rPr>
        <w:t>Public Service Act 1999</w:t>
      </w:r>
      <w:r>
        <w:t xml:space="preserve"> (Cth), members of the intelligence services, members of the Defence Force and Australian Federal Police Commissioners, Deputy Commissioners, employees and special members. See </w:t>
      </w:r>
      <w:r>
        <w:rPr>
          <w:i/>
        </w:rPr>
        <w:t>Age Discrimination Act 2004</w:t>
      </w:r>
      <w:r>
        <w:t xml:space="preserve"> (Cth) s 5 (definition of ‘Commonwealth employee’).</w:t>
      </w:r>
    </w:p>
  </w:endnote>
  <w:endnote w:id="19">
    <w:p w14:paraId="72496CED" w14:textId="77777777" w:rsidR="00A07173" w:rsidRPr="00014D39" w:rsidRDefault="00A07173" w:rsidP="00A07173">
      <w:pPr>
        <w:pStyle w:val="EndnoteText"/>
      </w:pPr>
      <w:r>
        <w:rPr>
          <w:rStyle w:val="EndnoteReference"/>
        </w:rPr>
        <w:endnoteRef/>
      </w:r>
      <w:r>
        <w:t xml:space="preserve"> ‘Instrumentality of a state’ is a ‘body or authority established for a public purpose by a law of a State and includes a local government body’. See </w:t>
      </w:r>
      <w:r>
        <w:rPr>
          <w:i/>
        </w:rPr>
        <w:t>Age Discrimination Act 2004</w:t>
      </w:r>
      <w:r>
        <w:t xml:space="preserve"> (Cth) s 5 (definition of ‘instrumentality of a state’).</w:t>
      </w:r>
    </w:p>
  </w:endnote>
  <w:endnote w:id="20">
    <w:p w14:paraId="4693F650" w14:textId="77777777" w:rsidR="000E3E4E" w:rsidRDefault="000E3E4E" w:rsidP="000E3E4E">
      <w:pPr>
        <w:pStyle w:val="EndnoteText"/>
      </w:pPr>
      <w:r>
        <w:rPr>
          <w:rStyle w:val="EndnoteReference"/>
        </w:rPr>
        <w:endnoteRef/>
      </w:r>
      <w:r>
        <w:t xml:space="preserve"> </w:t>
      </w:r>
      <w:r>
        <w:rPr>
          <w:i/>
        </w:rPr>
        <w:t>Age Discrimination Act 2004</w:t>
      </w:r>
      <w:r>
        <w:t xml:space="preserve"> (Cth) s 19(1).</w:t>
      </w:r>
    </w:p>
  </w:endnote>
  <w:endnote w:id="21">
    <w:p w14:paraId="355D2910" w14:textId="77777777" w:rsidR="000E3E4E" w:rsidRDefault="000E3E4E" w:rsidP="000E3E4E">
      <w:pPr>
        <w:pStyle w:val="EndnoteText"/>
      </w:pPr>
      <w:r>
        <w:rPr>
          <w:rStyle w:val="EndnoteReference"/>
        </w:rPr>
        <w:endnoteRef/>
      </w:r>
      <w:r>
        <w:t xml:space="preserve"> </w:t>
      </w:r>
      <w:r>
        <w:rPr>
          <w:i/>
        </w:rPr>
        <w:t>Age Discrimination Act 2004</w:t>
      </w:r>
      <w:r>
        <w:t xml:space="preserve"> (Cth) s 19(2).</w:t>
      </w:r>
    </w:p>
  </w:endnote>
  <w:endnote w:id="22">
    <w:p w14:paraId="4AD280EA" w14:textId="77777777" w:rsidR="000E3E4E" w:rsidRDefault="000E3E4E" w:rsidP="000E3E4E">
      <w:pPr>
        <w:pStyle w:val="EndnoteText"/>
      </w:pPr>
      <w:r>
        <w:rPr>
          <w:rStyle w:val="EndnoteReference"/>
        </w:rPr>
        <w:endnoteRef/>
      </w:r>
      <w:r>
        <w:t xml:space="preserve"> </w:t>
      </w:r>
      <w:r>
        <w:rPr>
          <w:i/>
        </w:rPr>
        <w:t>Age Discrimination Act 2004</w:t>
      </w:r>
      <w:r>
        <w:t xml:space="preserve"> (Cth) s 19(3).</w:t>
      </w:r>
    </w:p>
  </w:endnote>
  <w:endnote w:id="23">
    <w:p w14:paraId="08A862E8" w14:textId="77777777" w:rsidR="000E3E4E" w:rsidRPr="00B43F2E" w:rsidRDefault="000E3E4E" w:rsidP="000E3E4E">
      <w:pPr>
        <w:pStyle w:val="EndnoteText"/>
      </w:pPr>
      <w:r>
        <w:rPr>
          <w:rStyle w:val="EndnoteReference"/>
        </w:rPr>
        <w:endnoteRef/>
      </w:r>
      <w:r>
        <w:t xml:space="preserve"> </w:t>
      </w:r>
      <w:r>
        <w:rPr>
          <w:i/>
        </w:rPr>
        <w:t>Age Discrimination Act 2004</w:t>
      </w:r>
      <w:r>
        <w:t xml:space="preserve"> (Cth) s 19(3).</w:t>
      </w:r>
    </w:p>
  </w:endnote>
  <w:endnote w:id="24">
    <w:p w14:paraId="3EE72636" w14:textId="77777777" w:rsidR="000E3E4E" w:rsidRPr="00DB39BF" w:rsidRDefault="000E3E4E" w:rsidP="000E3E4E">
      <w:pPr>
        <w:pStyle w:val="EndnoteText"/>
        <w:rPr>
          <w:rFonts w:cs="Open Sans"/>
          <w:lang w:val="en-US"/>
        </w:rPr>
      </w:pPr>
      <w:r>
        <w:rPr>
          <w:rStyle w:val="EndnoteReference"/>
        </w:rPr>
        <w:endnoteRef/>
      </w:r>
      <w:r>
        <w:t xml:space="preserve"> </w:t>
      </w:r>
      <w:r w:rsidRPr="00DB39BF">
        <w:rPr>
          <w:rFonts w:eastAsia="Times New Roman" w:cs="Open Sans"/>
          <w:i/>
          <w:iCs/>
          <w:color w:val="000000"/>
          <w:lang w:val="en-US"/>
        </w:rPr>
        <w:t>Age Discrimination Act 2004</w:t>
      </w:r>
      <w:r w:rsidRPr="00DB39BF">
        <w:rPr>
          <w:rFonts w:eastAsia="Times New Roman" w:cs="Open Sans"/>
          <w:color w:val="000000"/>
          <w:lang w:val="en-US"/>
        </w:rPr>
        <w:t xml:space="preserve"> (Cth) s 19(4).</w:t>
      </w:r>
    </w:p>
  </w:endnote>
  <w:endnote w:id="25">
    <w:p w14:paraId="7CCCFEFC" w14:textId="77777777" w:rsidR="000E3E4E" w:rsidRPr="00CF7E7B" w:rsidRDefault="000E3E4E" w:rsidP="000E3E4E">
      <w:pPr>
        <w:pStyle w:val="EndnoteText"/>
      </w:pPr>
      <w:r>
        <w:rPr>
          <w:rStyle w:val="EndnoteReference"/>
        </w:rPr>
        <w:endnoteRef/>
      </w:r>
      <w:r>
        <w:t xml:space="preserve"> </w:t>
      </w:r>
      <w:r>
        <w:rPr>
          <w:i/>
        </w:rPr>
        <w:t>Age Discrimination Act 2004</w:t>
      </w:r>
      <w:r>
        <w:t xml:space="preserve"> (Cth) s 19(5) (definition of ‘commission agent’).</w:t>
      </w:r>
    </w:p>
  </w:endnote>
  <w:endnote w:id="26">
    <w:p w14:paraId="5F5F0F11" w14:textId="77777777" w:rsidR="000E3E4E" w:rsidRDefault="000E3E4E" w:rsidP="000E3E4E">
      <w:pPr>
        <w:pStyle w:val="EndnoteText"/>
      </w:pPr>
      <w:r>
        <w:rPr>
          <w:rStyle w:val="EndnoteReference"/>
        </w:rPr>
        <w:endnoteRef/>
      </w:r>
      <w:r>
        <w:t xml:space="preserve"> </w:t>
      </w:r>
      <w:r>
        <w:rPr>
          <w:i/>
        </w:rPr>
        <w:t>Age Discrimination Act 2004</w:t>
      </w:r>
      <w:r>
        <w:t xml:space="preserve"> (Cth) s 19(5) (definition of ‘principal’).</w:t>
      </w:r>
    </w:p>
  </w:endnote>
  <w:endnote w:id="27">
    <w:p w14:paraId="2C0DAABB" w14:textId="77777777" w:rsidR="000E3E4E" w:rsidRPr="00D65A6A" w:rsidRDefault="000E3E4E" w:rsidP="000E3E4E">
      <w:pPr>
        <w:pStyle w:val="EndnoteText"/>
      </w:pPr>
      <w:r>
        <w:rPr>
          <w:rStyle w:val="EndnoteReference"/>
        </w:rPr>
        <w:endnoteRef/>
      </w:r>
      <w:r>
        <w:t xml:space="preserve"> </w:t>
      </w:r>
      <w:r>
        <w:rPr>
          <w:i/>
        </w:rPr>
        <w:t>Age Discrimination Act 2004</w:t>
      </w:r>
      <w:r>
        <w:t xml:space="preserve"> (Cth) s 20(1).</w:t>
      </w:r>
    </w:p>
  </w:endnote>
  <w:endnote w:id="28">
    <w:p w14:paraId="01107E27" w14:textId="77777777" w:rsidR="00D81182" w:rsidRPr="005B1AD3" w:rsidRDefault="00D81182" w:rsidP="00D81182">
      <w:pPr>
        <w:pStyle w:val="EndnoteText"/>
      </w:pPr>
      <w:r>
        <w:rPr>
          <w:rStyle w:val="EndnoteReference"/>
        </w:rPr>
        <w:endnoteRef/>
      </w:r>
      <w:r>
        <w:t xml:space="preserve"> </w:t>
      </w:r>
      <w:r>
        <w:rPr>
          <w:i/>
        </w:rPr>
        <w:t>Age Discrimination Act 2004</w:t>
      </w:r>
      <w:r>
        <w:t xml:space="preserve"> (Cth) s 20(2).</w:t>
      </w:r>
    </w:p>
  </w:endnote>
  <w:endnote w:id="29">
    <w:p w14:paraId="70C453D0" w14:textId="77777777" w:rsidR="00D81182" w:rsidRPr="00B43F2E" w:rsidRDefault="00D81182" w:rsidP="00D81182">
      <w:pPr>
        <w:pStyle w:val="EndnoteText"/>
      </w:pPr>
      <w:r>
        <w:rPr>
          <w:rStyle w:val="EndnoteReference"/>
        </w:rPr>
        <w:endnoteRef/>
      </w:r>
      <w:r>
        <w:t xml:space="preserve"> </w:t>
      </w:r>
      <w:r>
        <w:rPr>
          <w:i/>
        </w:rPr>
        <w:t>Age Discrimination Act 2004</w:t>
      </w:r>
      <w:r>
        <w:t xml:space="preserve"> (Cth) s 20(3).</w:t>
      </w:r>
    </w:p>
  </w:endnote>
  <w:endnote w:id="30">
    <w:p w14:paraId="22D534E4" w14:textId="77777777" w:rsidR="00D81182" w:rsidRDefault="00D81182" w:rsidP="00D81182">
      <w:pPr>
        <w:pStyle w:val="EndnoteText"/>
      </w:pPr>
      <w:r>
        <w:rPr>
          <w:rStyle w:val="EndnoteReference"/>
        </w:rPr>
        <w:endnoteRef/>
      </w:r>
      <w:r>
        <w:t xml:space="preserve"> </w:t>
      </w:r>
      <w:r>
        <w:rPr>
          <w:i/>
        </w:rPr>
        <w:t>Age Discrimination Act 2004</w:t>
      </w:r>
      <w:r>
        <w:t xml:space="preserve"> (Cth) s 20(4) (definition of ‘contract worker’). </w:t>
      </w:r>
    </w:p>
  </w:endnote>
  <w:endnote w:id="31">
    <w:p w14:paraId="685AD735" w14:textId="77777777" w:rsidR="00D81182" w:rsidRDefault="00D81182" w:rsidP="00D81182">
      <w:pPr>
        <w:pStyle w:val="EndnoteText"/>
      </w:pPr>
      <w:r>
        <w:rPr>
          <w:rStyle w:val="EndnoteReference"/>
        </w:rPr>
        <w:endnoteRef/>
      </w:r>
      <w:r>
        <w:t xml:space="preserve"> </w:t>
      </w:r>
      <w:r>
        <w:rPr>
          <w:i/>
        </w:rPr>
        <w:t>Age Discrimination Act 2004</w:t>
      </w:r>
      <w:r>
        <w:t xml:space="preserve"> (Cth) s 20(4) (definition of ‘principal’).</w:t>
      </w:r>
    </w:p>
  </w:endnote>
  <w:endnote w:id="32">
    <w:p w14:paraId="79E31B32" w14:textId="77777777" w:rsidR="00D81182" w:rsidRPr="00B7222E" w:rsidRDefault="00D81182" w:rsidP="00D81182">
      <w:pPr>
        <w:pStyle w:val="EndnoteText"/>
      </w:pPr>
      <w:r>
        <w:rPr>
          <w:rStyle w:val="EndnoteReference"/>
        </w:rPr>
        <w:endnoteRef/>
      </w:r>
      <w:r>
        <w:t xml:space="preserve"> </w:t>
      </w:r>
      <w:r>
        <w:rPr>
          <w:i/>
        </w:rPr>
        <w:t>Age Discrimination Act 2004</w:t>
      </w:r>
      <w:r>
        <w:t xml:space="preserve"> (Cth) s 21(1).</w:t>
      </w:r>
    </w:p>
  </w:endnote>
  <w:endnote w:id="33">
    <w:p w14:paraId="18973F82" w14:textId="77777777" w:rsidR="00D81182" w:rsidRDefault="00D81182" w:rsidP="00D81182">
      <w:pPr>
        <w:pStyle w:val="EndnoteText"/>
      </w:pPr>
      <w:r>
        <w:rPr>
          <w:rStyle w:val="EndnoteReference"/>
        </w:rPr>
        <w:endnoteRef/>
      </w:r>
      <w:r>
        <w:t xml:space="preserve"> </w:t>
      </w:r>
      <w:r>
        <w:rPr>
          <w:i/>
        </w:rPr>
        <w:t>Age Discrimination Act 2004</w:t>
      </w:r>
      <w:r>
        <w:t xml:space="preserve"> (Cth) s 21(2).</w:t>
      </w:r>
    </w:p>
  </w:endnote>
  <w:endnote w:id="34">
    <w:p w14:paraId="7D6C18E4" w14:textId="77777777" w:rsidR="00D81182" w:rsidRDefault="00D81182" w:rsidP="00D81182">
      <w:pPr>
        <w:pStyle w:val="EndnoteText"/>
      </w:pPr>
      <w:r>
        <w:rPr>
          <w:rStyle w:val="EndnoteReference"/>
        </w:rPr>
        <w:endnoteRef/>
      </w:r>
      <w:r>
        <w:t xml:space="preserve"> </w:t>
      </w:r>
      <w:r>
        <w:rPr>
          <w:i/>
        </w:rPr>
        <w:t>Age Discrimination Act 2004</w:t>
      </w:r>
      <w:r>
        <w:t xml:space="preserve"> (Cth) s 21(3).</w:t>
      </w:r>
    </w:p>
  </w:endnote>
  <w:endnote w:id="35">
    <w:p w14:paraId="0FB29FDE" w14:textId="77777777" w:rsidR="00B838BB" w:rsidRDefault="00B838BB" w:rsidP="00B838BB">
      <w:pPr>
        <w:pStyle w:val="EndnoteText"/>
      </w:pPr>
      <w:r>
        <w:rPr>
          <w:rStyle w:val="EndnoteReference"/>
        </w:rPr>
        <w:endnoteRef/>
      </w:r>
      <w:r>
        <w:t xml:space="preserve"> </w:t>
      </w:r>
      <w:r>
        <w:rPr>
          <w:i/>
        </w:rPr>
        <w:t>Age Discrimination Act 2004</w:t>
      </w:r>
      <w:r>
        <w:t xml:space="preserve"> (Cth) s 21(4).</w:t>
      </w:r>
    </w:p>
  </w:endnote>
  <w:endnote w:id="36">
    <w:p w14:paraId="52ABBA13" w14:textId="77777777" w:rsidR="00B838BB" w:rsidRPr="008067E1" w:rsidRDefault="00B838BB" w:rsidP="00B838BB">
      <w:pPr>
        <w:pStyle w:val="EndnoteText"/>
      </w:pPr>
      <w:r>
        <w:rPr>
          <w:rStyle w:val="EndnoteReference"/>
        </w:rPr>
        <w:endnoteRef/>
      </w:r>
      <w:r>
        <w:t xml:space="preserve"> </w:t>
      </w:r>
      <w:r>
        <w:rPr>
          <w:i/>
        </w:rPr>
        <w:t>Age Discrimination Act 2004</w:t>
      </w:r>
      <w:r>
        <w:t xml:space="preserve"> (Cth) s 21(5).</w:t>
      </w:r>
    </w:p>
  </w:endnote>
  <w:endnote w:id="37">
    <w:p w14:paraId="1155A241" w14:textId="77777777" w:rsidR="00B838BB" w:rsidRPr="007912BE" w:rsidRDefault="00B838BB" w:rsidP="00B838BB">
      <w:pPr>
        <w:pStyle w:val="EndnoteText"/>
      </w:pPr>
      <w:r>
        <w:rPr>
          <w:rStyle w:val="EndnoteReference"/>
        </w:rPr>
        <w:endnoteRef/>
      </w:r>
      <w:r>
        <w:t xml:space="preserve"> </w:t>
      </w:r>
      <w:r>
        <w:rPr>
          <w:i/>
        </w:rPr>
        <w:t>Age Discrimination Act 2004</w:t>
      </w:r>
      <w:r>
        <w:t xml:space="preserve"> (Cth) s 24(1).</w:t>
      </w:r>
    </w:p>
  </w:endnote>
  <w:endnote w:id="38">
    <w:p w14:paraId="73FEB589" w14:textId="77777777" w:rsidR="00B838BB" w:rsidRDefault="00B838BB" w:rsidP="00B838BB">
      <w:pPr>
        <w:pStyle w:val="EndnoteText"/>
      </w:pPr>
      <w:r>
        <w:rPr>
          <w:rStyle w:val="EndnoteReference"/>
        </w:rPr>
        <w:endnoteRef/>
      </w:r>
      <w:r>
        <w:t xml:space="preserve"> </w:t>
      </w:r>
      <w:r>
        <w:rPr>
          <w:i/>
        </w:rPr>
        <w:t>Age Discrimination Act 2004</w:t>
      </w:r>
      <w:r>
        <w:t xml:space="preserve"> (Cth) s 24(2).</w:t>
      </w:r>
    </w:p>
  </w:endnote>
  <w:endnote w:id="39">
    <w:p w14:paraId="0D874A79" w14:textId="77777777" w:rsidR="00B838BB" w:rsidRPr="00EF371B" w:rsidRDefault="00B838BB" w:rsidP="00B838BB">
      <w:pPr>
        <w:pStyle w:val="EndnoteText"/>
      </w:pPr>
      <w:r>
        <w:rPr>
          <w:rStyle w:val="EndnoteReference"/>
        </w:rPr>
        <w:endnoteRef/>
      </w:r>
      <w:r>
        <w:t xml:space="preserve"> </w:t>
      </w:r>
      <w:r>
        <w:rPr>
          <w:i/>
        </w:rPr>
        <w:t>Age Discrimination Act 2004</w:t>
      </w:r>
      <w:r>
        <w:t xml:space="preserve"> (Cth) s 24(3).</w:t>
      </w:r>
    </w:p>
  </w:endnote>
  <w:endnote w:id="40">
    <w:p w14:paraId="09A7AE17" w14:textId="77777777" w:rsidR="00B838BB" w:rsidRDefault="00B838BB" w:rsidP="00B838BB">
      <w:pPr>
        <w:pStyle w:val="EndnoteText"/>
      </w:pPr>
      <w:r>
        <w:rPr>
          <w:rStyle w:val="EndnoteReference"/>
        </w:rPr>
        <w:endnoteRef/>
      </w:r>
      <w:r>
        <w:t xml:space="preserve"> </w:t>
      </w:r>
      <w:r>
        <w:rPr>
          <w:i/>
        </w:rPr>
        <w:t>Age Discrimination Act 2004</w:t>
      </w:r>
      <w:r>
        <w:t xml:space="preserve"> (Cth) s 24(4).</w:t>
      </w:r>
    </w:p>
  </w:endnote>
  <w:endnote w:id="41">
    <w:p w14:paraId="125EA563" w14:textId="77777777" w:rsidR="00B838BB" w:rsidRPr="008067E1" w:rsidRDefault="00B838BB" w:rsidP="00B838BB">
      <w:pPr>
        <w:pStyle w:val="EndnoteText"/>
      </w:pPr>
      <w:r>
        <w:rPr>
          <w:rStyle w:val="EndnoteReference"/>
        </w:rPr>
        <w:endnoteRef/>
      </w:r>
      <w:r>
        <w:t xml:space="preserve"> </w:t>
      </w:r>
      <w:r>
        <w:rPr>
          <w:i/>
        </w:rPr>
        <w:t>Age Discrimination Act 2004</w:t>
      </w:r>
      <w:r>
        <w:t xml:space="preserve"> (Cth) s 22.</w:t>
      </w:r>
    </w:p>
  </w:endnote>
  <w:endnote w:id="42">
    <w:p w14:paraId="53FB8EF8" w14:textId="77777777" w:rsidR="00B838BB" w:rsidRPr="0047586E" w:rsidRDefault="00B838BB" w:rsidP="00B838BB">
      <w:pPr>
        <w:pStyle w:val="EndnoteText"/>
      </w:pPr>
      <w:r>
        <w:rPr>
          <w:rStyle w:val="EndnoteReference"/>
        </w:rPr>
        <w:endnoteRef/>
      </w:r>
      <w:r>
        <w:t xml:space="preserve"> </w:t>
      </w:r>
      <w:r>
        <w:rPr>
          <w:i/>
        </w:rPr>
        <w:t>Age Discrimination Act 2004</w:t>
      </w:r>
      <w:r>
        <w:t xml:space="preserve"> (Cth) s 23.</w:t>
      </w:r>
    </w:p>
  </w:endnote>
  <w:endnote w:id="43">
    <w:p w14:paraId="74A8AF49" w14:textId="77777777" w:rsidR="00B838BB" w:rsidRPr="00FA0F65" w:rsidRDefault="00B838BB" w:rsidP="00B838BB">
      <w:pPr>
        <w:pStyle w:val="EndnoteText"/>
      </w:pPr>
      <w:r>
        <w:rPr>
          <w:rStyle w:val="EndnoteReference"/>
        </w:rPr>
        <w:endnoteRef/>
      </w:r>
      <w:r>
        <w:t xml:space="preserve"> </w:t>
      </w:r>
      <w:r>
        <w:rPr>
          <w:i/>
        </w:rPr>
        <w:t>Age Discrimination Act 2004</w:t>
      </w:r>
      <w:r>
        <w:t xml:space="preserve"> (Cth) s 32.</w:t>
      </w:r>
    </w:p>
  </w:endnote>
  <w:endnote w:id="44">
    <w:p w14:paraId="513E48CD" w14:textId="77777777" w:rsidR="00A07173" w:rsidRDefault="00A07173" w:rsidP="00B13238">
      <w:pPr>
        <w:pStyle w:val="EndnoteText"/>
      </w:pPr>
      <w:r>
        <w:rPr>
          <w:rStyle w:val="EndnoteReference"/>
        </w:rPr>
        <w:endnoteRef/>
      </w:r>
      <w:r>
        <w:t xml:space="preserve"> </w:t>
      </w:r>
      <w:r>
        <w:rPr>
          <w:i/>
        </w:rPr>
        <w:t>Age Discrimination Act 2004</w:t>
      </w:r>
      <w:r>
        <w:t xml:space="preserve"> (Cth) s 33.</w:t>
      </w:r>
    </w:p>
  </w:endnote>
  <w:endnote w:id="45">
    <w:p w14:paraId="5D7BCE17" w14:textId="77777777" w:rsidR="00A07173" w:rsidRPr="0081163F" w:rsidRDefault="00A07173" w:rsidP="00B13238">
      <w:pPr>
        <w:pStyle w:val="EndnoteText"/>
      </w:pPr>
      <w:r w:rsidRPr="0081163F">
        <w:rPr>
          <w:rStyle w:val="EndnoteReference"/>
        </w:rPr>
        <w:endnoteRef/>
      </w:r>
      <w:r w:rsidRPr="0081163F">
        <w:t xml:space="preserve"> </w:t>
      </w:r>
      <w:r w:rsidRPr="0081163F">
        <w:rPr>
          <w:i/>
        </w:rPr>
        <w:t>Age Discrimination Act 2004</w:t>
      </w:r>
      <w:r w:rsidRPr="0081163F">
        <w:t xml:space="preserve"> (Cth) s 33.</w:t>
      </w:r>
    </w:p>
  </w:endnote>
  <w:endnote w:id="46">
    <w:p w14:paraId="719E3E97" w14:textId="77777777" w:rsidR="00A07173" w:rsidRPr="0081163F" w:rsidRDefault="00A07173" w:rsidP="00B13238">
      <w:pPr>
        <w:pStyle w:val="EndnoteText"/>
      </w:pPr>
      <w:r w:rsidRPr="0081163F">
        <w:rPr>
          <w:rStyle w:val="EndnoteReference"/>
        </w:rPr>
        <w:endnoteRef/>
      </w:r>
      <w:r w:rsidRPr="0081163F">
        <w:t xml:space="preserve"> See notes to </w:t>
      </w:r>
      <w:r w:rsidRPr="0081163F">
        <w:rPr>
          <w:i/>
        </w:rPr>
        <w:t>Age Discrimination Act 2004</w:t>
      </w:r>
      <w:r w:rsidRPr="0081163F">
        <w:t xml:space="preserve"> (Cth) s 33.</w:t>
      </w:r>
    </w:p>
  </w:endnote>
  <w:endnote w:id="47">
    <w:p w14:paraId="5ED418D2" w14:textId="00F6694C" w:rsidR="00A07173" w:rsidRPr="00F478BD" w:rsidRDefault="00A07173" w:rsidP="00B13238">
      <w:pPr>
        <w:pStyle w:val="EndnoteText"/>
      </w:pPr>
      <w:r>
        <w:rPr>
          <w:rStyle w:val="EndnoteReference"/>
        </w:rPr>
        <w:endnoteRef/>
      </w:r>
      <w:r>
        <w:t xml:space="preserve"> </w:t>
      </w:r>
      <w:r>
        <w:rPr>
          <w:i/>
        </w:rPr>
        <w:t xml:space="preserve">Age Discrimination Act 2004 </w:t>
      </w:r>
      <w:r>
        <w:t>(Cth) ss 34, 35, 36.</w:t>
      </w:r>
    </w:p>
  </w:endnote>
  <w:endnote w:id="48">
    <w:p w14:paraId="09C914C6" w14:textId="08324947" w:rsidR="00A07173" w:rsidRDefault="00A07173" w:rsidP="00B13238">
      <w:pPr>
        <w:pStyle w:val="EndnoteText"/>
      </w:pPr>
      <w:r>
        <w:rPr>
          <w:rStyle w:val="EndnoteReference"/>
        </w:rPr>
        <w:endnoteRef/>
      </w:r>
      <w:r>
        <w:t xml:space="preserve"> </w:t>
      </w:r>
      <w:r>
        <w:rPr>
          <w:i/>
        </w:rPr>
        <w:t xml:space="preserve">Age Discrimination Act 2004 </w:t>
      </w:r>
      <w:r>
        <w:t>(Cth) ss 37, 38.</w:t>
      </w:r>
    </w:p>
  </w:endnote>
  <w:endnote w:id="49">
    <w:p w14:paraId="022E934D" w14:textId="77777777" w:rsidR="00A07173" w:rsidRPr="00B13FFF" w:rsidRDefault="00A07173" w:rsidP="00B13238">
      <w:pPr>
        <w:pStyle w:val="EndnoteText"/>
      </w:pPr>
      <w:r>
        <w:rPr>
          <w:rStyle w:val="EndnoteReference"/>
        </w:rPr>
        <w:endnoteRef/>
      </w:r>
      <w:r>
        <w:t xml:space="preserve"> </w:t>
      </w:r>
      <w:r>
        <w:rPr>
          <w:i/>
        </w:rPr>
        <w:t>Age Discrimination Act 2004</w:t>
      </w:r>
      <w:r>
        <w:t xml:space="preserve"> (Cth) s 42.</w:t>
      </w:r>
    </w:p>
  </w:endnote>
  <w:endnote w:id="50">
    <w:p w14:paraId="4FD59A42" w14:textId="77777777" w:rsidR="00A07173" w:rsidRPr="00B13FFF" w:rsidRDefault="00A07173" w:rsidP="00B13238">
      <w:pPr>
        <w:pStyle w:val="EndnoteText"/>
      </w:pPr>
      <w:r>
        <w:rPr>
          <w:rStyle w:val="EndnoteReference"/>
        </w:rPr>
        <w:endnoteRef/>
      </w:r>
      <w:r>
        <w:t xml:space="preserve"> </w:t>
      </w:r>
      <w:r>
        <w:rPr>
          <w:i/>
        </w:rPr>
        <w:t>Age Discrimination Act 2004</w:t>
      </w:r>
      <w:r>
        <w:t xml:space="preserve"> (Cth) ss 39, 40, 41.</w:t>
      </w:r>
    </w:p>
  </w:endnote>
  <w:endnote w:id="51">
    <w:p w14:paraId="508BB30A" w14:textId="77777777" w:rsidR="00A07173" w:rsidRPr="00FD35D5" w:rsidRDefault="00A07173" w:rsidP="00B13238">
      <w:pPr>
        <w:pStyle w:val="EndnoteText"/>
        <w:rPr>
          <w:lang w:val="en-US"/>
        </w:rPr>
      </w:pPr>
      <w:r>
        <w:rPr>
          <w:rStyle w:val="EndnoteReference"/>
        </w:rPr>
        <w:endnoteRef/>
      </w:r>
      <w:r>
        <w:t xml:space="preserve"> </w:t>
      </w:r>
      <w:r>
        <w:rPr>
          <w:i/>
        </w:rPr>
        <w:t>Age Discrimination Act 2004</w:t>
      </w:r>
      <w:r>
        <w:t xml:space="preserve"> (Cth) s 41A.</w:t>
      </w:r>
    </w:p>
  </w:endnote>
  <w:endnote w:id="52">
    <w:p w14:paraId="1A60680B" w14:textId="77777777" w:rsidR="00A07173" w:rsidRPr="00FD35D5" w:rsidRDefault="00A07173" w:rsidP="00B13238">
      <w:pPr>
        <w:pStyle w:val="EndnoteText"/>
        <w:rPr>
          <w:lang w:val="en-US"/>
        </w:rPr>
      </w:pPr>
      <w:r>
        <w:rPr>
          <w:rStyle w:val="EndnoteReference"/>
        </w:rPr>
        <w:endnoteRef/>
      </w:r>
      <w:r>
        <w:t xml:space="preserve"> </w:t>
      </w:r>
      <w:r>
        <w:rPr>
          <w:i/>
        </w:rPr>
        <w:t>Age Discrimination Act 2004</w:t>
      </w:r>
      <w:r>
        <w:t xml:space="preserve"> (Cth) s 43.</w:t>
      </w:r>
    </w:p>
  </w:endnote>
  <w:endnote w:id="53">
    <w:p w14:paraId="7F842690" w14:textId="77777777" w:rsidR="00A07173" w:rsidRPr="00B47670" w:rsidRDefault="00A07173" w:rsidP="00B13238">
      <w:pPr>
        <w:pStyle w:val="EndnoteText"/>
      </w:pPr>
      <w:r>
        <w:rPr>
          <w:rStyle w:val="EndnoteReference"/>
        </w:rPr>
        <w:endnoteRef/>
      </w:r>
      <w:r>
        <w:t xml:space="preserve"> </w:t>
      </w:r>
      <w:r>
        <w:rPr>
          <w:i/>
        </w:rPr>
        <w:t>Age Discrimination Act 2004</w:t>
      </w:r>
      <w:r>
        <w:t xml:space="preserve"> (Cth) s 25.</w:t>
      </w:r>
    </w:p>
  </w:endnote>
  <w:endnote w:id="54">
    <w:p w14:paraId="0BC867D7" w14:textId="48B8404A" w:rsidR="00A07173" w:rsidRPr="00B77E06" w:rsidRDefault="00A07173" w:rsidP="00B13238">
      <w:pPr>
        <w:pStyle w:val="EndnoteText"/>
        <w:rPr>
          <w:lang w:val="en-US"/>
        </w:rPr>
      </w:pPr>
      <w:r>
        <w:rPr>
          <w:rStyle w:val="EndnoteReference"/>
        </w:rPr>
        <w:endnoteRef/>
      </w:r>
      <w:r>
        <w:t xml:space="preserve"> Australian Human Rights Commission, </w:t>
      </w:r>
      <w:r>
        <w:rPr>
          <w:i/>
        </w:rPr>
        <w:t>Temporary exemptions under the Age Discrimination Act</w:t>
      </w:r>
      <w:r>
        <w:t xml:space="preserve"> (2010) &lt;</w:t>
      </w:r>
      <w:hyperlink r:id="rId3" w:history="1">
        <w:r w:rsidRPr="009F145A">
          <w:rPr>
            <w:rStyle w:val="Hyperlink"/>
          </w:rPr>
          <w:t>https://www.humanrights.gov.au/temporary-exemptions-under-age-discrimination-act-2004-cth</w:t>
        </w:r>
      </w:hyperlink>
      <w:r w:rsidRPr="00517AF2">
        <w:t>&gt;.</w:t>
      </w:r>
    </w:p>
  </w:endnote>
  <w:endnote w:id="55">
    <w:p w14:paraId="22444A98" w14:textId="77777777" w:rsidR="00A07173" w:rsidRPr="00B77E06" w:rsidRDefault="00A07173" w:rsidP="00B13238">
      <w:pPr>
        <w:pStyle w:val="EndnoteText"/>
        <w:rPr>
          <w:lang w:val="en-US"/>
        </w:rPr>
      </w:pPr>
      <w:r>
        <w:rPr>
          <w:rStyle w:val="EndnoteReference"/>
        </w:rPr>
        <w:endnoteRef/>
      </w:r>
      <w:r>
        <w:t xml:space="preserve"> </w:t>
      </w:r>
      <w:r>
        <w:rPr>
          <w:i/>
        </w:rPr>
        <w:t>Age Discrimination Act 2004</w:t>
      </w:r>
      <w:r>
        <w:t xml:space="preserve"> (Cth) s 44.</w:t>
      </w:r>
    </w:p>
  </w:endnote>
  <w:endnote w:id="56">
    <w:p w14:paraId="30EE787E" w14:textId="77DF3319" w:rsidR="00A07173" w:rsidRPr="001B694A" w:rsidRDefault="00A07173" w:rsidP="00B13238">
      <w:pPr>
        <w:pStyle w:val="EndnoteText"/>
      </w:pPr>
      <w:r>
        <w:rPr>
          <w:rStyle w:val="EndnoteReference"/>
        </w:rPr>
        <w:endnoteRef/>
      </w:r>
      <w:r>
        <w:t xml:space="preserve"> </w:t>
      </w:r>
      <w:r w:rsidRPr="001B694A">
        <w:t>It is</w:t>
      </w:r>
      <w:r>
        <w:t xml:space="preserve"> also</w:t>
      </w:r>
      <w:r w:rsidRPr="001B694A">
        <w:t xml:space="preserve"> an offence not to disclose the source of actuarial or statistical data within 28 days of being asked to by the President of the Commission or the Commission.</w:t>
      </w:r>
      <w:r>
        <w:t xml:space="preserve"> See </w:t>
      </w:r>
      <w:r>
        <w:rPr>
          <w:i/>
        </w:rPr>
        <w:t>Age Discrimination Act 2004</w:t>
      </w:r>
      <w:r>
        <w:t xml:space="preserve"> (Cth) s 52.</w:t>
      </w:r>
    </w:p>
  </w:endnote>
  <w:endnote w:id="57">
    <w:p w14:paraId="47915A5B" w14:textId="77777777" w:rsidR="00A07173" w:rsidRPr="00014AF2" w:rsidRDefault="00A07173" w:rsidP="00B13238">
      <w:pPr>
        <w:pStyle w:val="EndnoteText"/>
        <w:rPr>
          <w:lang w:val="en-US"/>
        </w:rPr>
      </w:pPr>
      <w:r>
        <w:rPr>
          <w:rStyle w:val="EndnoteReference"/>
        </w:rPr>
        <w:endnoteRef/>
      </w:r>
      <w:r>
        <w:t xml:space="preserve"> </w:t>
      </w:r>
      <w:r>
        <w:rPr>
          <w:i/>
        </w:rPr>
        <w:t>Age Discrimination Act 2004</w:t>
      </w:r>
      <w:r>
        <w:t xml:space="preserve"> (Cth) s 50(1).</w:t>
      </w:r>
    </w:p>
  </w:endnote>
  <w:endnote w:id="58">
    <w:p w14:paraId="2E443412" w14:textId="77777777" w:rsidR="00A07173" w:rsidRPr="00E60ACE" w:rsidRDefault="00A07173" w:rsidP="00B13238">
      <w:pPr>
        <w:pStyle w:val="EndnoteText"/>
        <w:rPr>
          <w:lang w:val="en-US"/>
        </w:rPr>
      </w:pPr>
      <w:r>
        <w:rPr>
          <w:rStyle w:val="EndnoteReference"/>
        </w:rPr>
        <w:endnoteRef/>
      </w:r>
      <w:r>
        <w:t xml:space="preserve"> </w:t>
      </w:r>
      <w:r>
        <w:rPr>
          <w:i/>
        </w:rPr>
        <w:t>Age Discrimination Act 2004</w:t>
      </w:r>
      <w:r>
        <w:t xml:space="preserve"> (Cth) s 50(1)(b).</w:t>
      </w:r>
    </w:p>
  </w:endnote>
  <w:endnote w:id="59">
    <w:p w14:paraId="098E564F" w14:textId="77777777" w:rsidR="00A07173" w:rsidRPr="00E60ACE" w:rsidRDefault="00A07173" w:rsidP="00B13238">
      <w:pPr>
        <w:pStyle w:val="EndnoteText"/>
        <w:rPr>
          <w:lang w:val="en-US"/>
        </w:rPr>
      </w:pPr>
      <w:r>
        <w:rPr>
          <w:rStyle w:val="EndnoteReference"/>
        </w:rPr>
        <w:endnoteRef/>
      </w:r>
      <w:r>
        <w:t xml:space="preserve"> </w:t>
      </w:r>
      <w:r>
        <w:rPr>
          <w:i/>
        </w:rPr>
        <w:t>Age Discrimination Act 2004</w:t>
      </w:r>
      <w:r>
        <w:t xml:space="preserve"> (Cth) s 50(1)(b).</w:t>
      </w:r>
    </w:p>
  </w:endnote>
  <w:endnote w:id="60">
    <w:p w14:paraId="7DF72EEE" w14:textId="77777777" w:rsidR="00A07173" w:rsidRPr="008C0916" w:rsidRDefault="00A07173" w:rsidP="00B13238">
      <w:pPr>
        <w:pStyle w:val="EndnoteText"/>
        <w:rPr>
          <w:lang w:val="en-US"/>
        </w:rPr>
      </w:pPr>
      <w:r>
        <w:rPr>
          <w:rStyle w:val="EndnoteReference"/>
        </w:rPr>
        <w:endnoteRef/>
      </w:r>
      <w:r>
        <w:t xml:space="preserve"> </w:t>
      </w:r>
      <w:r>
        <w:rPr>
          <w:i/>
          <w:lang w:val="en-US"/>
        </w:rPr>
        <w:t>Age Discrimination Act 2004</w:t>
      </w:r>
      <w:r>
        <w:rPr>
          <w:lang w:val="en-US"/>
        </w:rPr>
        <w:t xml:space="preserve"> (Cth) s 51(1).</w:t>
      </w:r>
    </w:p>
  </w:endnote>
  <w:endnote w:id="61">
    <w:p w14:paraId="0ED0507B" w14:textId="77777777" w:rsidR="00A07173" w:rsidRPr="00432412" w:rsidRDefault="00A07173" w:rsidP="00B13238">
      <w:pPr>
        <w:pStyle w:val="EndnoteText"/>
        <w:rPr>
          <w:lang w:val="en-US"/>
        </w:rPr>
      </w:pPr>
      <w:r>
        <w:rPr>
          <w:rStyle w:val="EndnoteReference"/>
        </w:rPr>
        <w:endnoteRef/>
      </w:r>
      <w:r>
        <w:t xml:space="preserve"> </w:t>
      </w:r>
      <w:r>
        <w:rPr>
          <w:i/>
          <w:lang w:val="en-US"/>
        </w:rPr>
        <w:t>Age Discrimination Act 2004</w:t>
      </w:r>
      <w:r>
        <w:rPr>
          <w:lang w:val="en-US"/>
        </w:rPr>
        <w:t xml:space="preserve"> (Cth) s 51.</w:t>
      </w:r>
    </w:p>
  </w:endnote>
  <w:endnote w:id="62">
    <w:p w14:paraId="35C4AD04" w14:textId="77777777" w:rsidR="00A07173" w:rsidRPr="004718F9" w:rsidRDefault="00A07173" w:rsidP="00B13238">
      <w:pPr>
        <w:pStyle w:val="EndnoteText"/>
        <w:rPr>
          <w:lang w:val="en-US"/>
        </w:rPr>
      </w:pPr>
      <w:r>
        <w:rPr>
          <w:rStyle w:val="EndnoteReference"/>
        </w:rPr>
        <w:endnoteRef/>
      </w:r>
      <w:r>
        <w:t xml:space="preserve"> </w:t>
      </w:r>
      <w:r>
        <w:rPr>
          <w:i/>
          <w:lang w:val="en-US"/>
        </w:rPr>
        <w:t xml:space="preserve">Age Discrimination Act 2004 </w:t>
      </w:r>
      <w:r>
        <w:rPr>
          <w:lang w:val="en-US"/>
        </w:rPr>
        <w:t>(Cth) s 56.</w:t>
      </w:r>
    </w:p>
  </w:endnote>
  <w:endnote w:id="63">
    <w:p w14:paraId="552E37FC" w14:textId="77777777" w:rsidR="00A07173" w:rsidRPr="00686007" w:rsidRDefault="00A07173" w:rsidP="00B13238">
      <w:pPr>
        <w:pStyle w:val="EndnoteText"/>
        <w:rPr>
          <w:lang w:val="en-US"/>
        </w:rPr>
      </w:pPr>
      <w:r>
        <w:rPr>
          <w:rStyle w:val="EndnoteReference"/>
        </w:rPr>
        <w:endnoteRef/>
      </w:r>
      <w:r>
        <w:t xml:space="preserve"> </w:t>
      </w:r>
      <w:r>
        <w:rPr>
          <w:i/>
          <w:lang w:val="en-US"/>
        </w:rPr>
        <w:t xml:space="preserve">Age Discrimination Act 2004 </w:t>
      </w:r>
      <w:r>
        <w:rPr>
          <w:lang w:val="en-US"/>
        </w:rPr>
        <w:t>(Cth) s 57.</w:t>
      </w:r>
    </w:p>
  </w:endnote>
  <w:endnote w:id="64">
    <w:p w14:paraId="2D211BFF" w14:textId="78A0B81F" w:rsidR="00A07173" w:rsidRDefault="00A07173" w:rsidP="00B13238">
      <w:pPr>
        <w:pStyle w:val="EndnoteText"/>
      </w:pPr>
      <w:r>
        <w:rPr>
          <w:rStyle w:val="EndnoteReference"/>
        </w:rPr>
        <w:endnoteRef/>
      </w:r>
      <w:r>
        <w:t xml:space="preserve"> Australian HR Institute, </w:t>
      </w:r>
      <w:r w:rsidRPr="00A832CD">
        <w:rPr>
          <w:i/>
        </w:rPr>
        <w:t>Employing Older Workers Report</w:t>
      </w:r>
      <w:r>
        <w:t xml:space="preserve"> (2018) 15 &lt;</w:t>
      </w:r>
      <w:hyperlink r:id="rId4" w:history="1">
        <w:r>
          <w:rPr>
            <w:rStyle w:val="Hyperlink"/>
          </w:rPr>
          <w:t>https://www.humanrights.gov.au/our-work/age-discrimination/publications/employing-older-workers-2018</w:t>
        </w:r>
      </w:hyperlink>
      <w:r>
        <w:t>&gt;.</w:t>
      </w:r>
    </w:p>
  </w:endnote>
  <w:endnote w:id="65">
    <w:p w14:paraId="6872C8AD" w14:textId="48C47CDD" w:rsidR="00A07173" w:rsidRDefault="00A07173" w:rsidP="00B13238">
      <w:pPr>
        <w:pStyle w:val="EndnoteText"/>
      </w:pPr>
      <w:r>
        <w:rPr>
          <w:rStyle w:val="EndnoteReference"/>
        </w:rPr>
        <w:endnoteRef/>
      </w:r>
      <w:r>
        <w:t xml:space="preserve"> Australian HR Institute, </w:t>
      </w:r>
      <w:r w:rsidRPr="00A832CD">
        <w:rPr>
          <w:i/>
        </w:rPr>
        <w:t>Employing Older Workers Report</w:t>
      </w:r>
      <w:r>
        <w:t xml:space="preserve"> (2018) 14 &lt;</w:t>
      </w:r>
      <w:hyperlink r:id="rId5" w:history="1">
        <w:r>
          <w:rPr>
            <w:rStyle w:val="Hyperlink"/>
          </w:rPr>
          <w:t>https://www.humanrights.gov.au/our-work/age-discrimination/publications/employing-older-workers-2018</w:t>
        </w:r>
      </w:hyperlink>
      <w:r>
        <w:t>&gt;.</w:t>
      </w:r>
    </w:p>
  </w:endnote>
  <w:endnote w:id="66">
    <w:p w14:paraId="6926ADF7" w14:textId="34F71103" w:rsidR="00A07173" w:rsidRDefault="00A07173" w:rsidP="00B13238">
      <w:pPr>
        <w:pStyle w:val="EndnoteText"/>
      </w:pPr>
      <w:r>
        <w:rPr>
          <w:rStyle w:val="EndnoteReference"/>
        </w:rPr>
        <w:endnoteRef/>
      </w:r>
      <w:r>
        <w:t xml:space="preserve"> Australian HR Institute, </w:t>
      </w:r>
      <w:r w:rsidRPr="00A832CD">
        <w:rPr>
          <w:i/>
        </w:rPr>
        <w:t>Employing Older Workers Report</w:t>
      </w:r>
      <w:r>
        <w:t xml:space="preserve"> (2018) 14 &lt;</w:t>
      </w:r>
      <w:hyperlink r:id="rId6" w:history="1">
        <w:r>
          <w:rPr>
            <w:rStyle w:val="Hyperlink"/>
          </w:rPr>
          <w:t>https://www.humanrights.gov.au/our-work/age-discrimination/publications/employing-older-workers-2018</w:t>
        </w:r>
      </w:hyperlink>
      <w:r>
        <w:t>&gt;.</w:t>
      </w:r>
    </w:p>
  </w:endnote>
  <w:endnote w:id="67">
    <w:p w14:paraId="0BECBA65" w14:textId="77777777" w:rsidR="00A07173" w:rsidRDefault="00A07173" w:rsidP="00B13238">
      <w:pPr>
        <w:pStyle w:val="EndnoteText"/>
      </w:pPr>
      <w:r>
        <w:rPr>
          <w:rStyle w:val="EndnoteReference"/>
        </w:rPr>
        <w:endnoteRef/>
      </w:r>
      <w:r>
        <w:t xml:space="preserve"> Benevolent Society, </w:t>
      </w:r>
      <w:r w:rsidRPr="004D628F">
        <w:rPr>
          <w:i/>
        </w:rPr>
        <w:t>Drivers of Ageism, Summary Report</w:t>
      </w:r>
      <w:r>
        <w:t xml:space="preserve"> (2018) 19 </w:t>
      </w:r>
      <w:r w:rsidRPr="00517AF2">
        <w:t>&lt;</w:t>
      </w:r>
      <w:hyperlink r:id="rId7" w:history="1">
        <w:r w:rsidRPr="001C4F47">
          <w:rPr>
            <w:rStyle w:val="Hyperlink"/>
          </w:rPr>
          <w:t>https://www.benevolent.org.au/ArticleDocuments/340/Ageism_SummaryReport_Final.pdf.aspx</w:t>
        </w:r>
      </w:hyperlink>
      <w:r w:rsidRPr="00517AF2">
        <w:t>&gt;</w:t>
      </w:r>
      <w:r>
        <w:t>.</w:t>
      </w:r>
    </w:p>
  </w:endnote>
  <w:endnote w:id="68">
    <w:p w14:paraId="13B76A1E" w14:textId="05547B0F" w:rsidR="00A07173" w:rsidRPr="000A503C" w:rsidRDefault="00A07173" w:rsidP="00B13238">
      <w:pPr>
        <w:pStyle w:val="EndnoteText"/>
        <w:rPr>
          <w:i/>
        </w:rPr>
      </w:pPr>
      <w:r>
        <w:rPr>
          <w:rStyle w:val="EndnoteReference"/>
        </w:rPr>
        <w:endnoteRef/>
      </w:r>
      <w:r>
        <w:t xml:space="preserve"> Australian Employers Convention 2001, </w:t>
      </w:r>
      <w:r>
        <w:rPr>
          <w:i/>
        </w:rPr>
        <w:t xml:space="preserve">The Human Resource Costs and Benefits of Maintaining an age-balanced workforce </w:t>
      </w:r>
      <w:r>
        <w:t>3.</w:t>
      </w:r>
    </w:p>
  </w:endnote>
  <w:endnote w:id="69">
    <w:p w14:paraId="7E6EC7ED" w14:textId="3A6FA55B" w:rsidR="00A07173" w:rsidRDefault="00A07173" w:rsidP="00B13238">
      <w:pPr>
        <w:pStyle w:val="EndnoteText"/>
      </w:pPr>
      <w:r>
        <w:rPr>
          <w:rStyle w:val="EndnoteReference"/>
        </w:rPr>
        <w:endnoteRef/>
      </w:r>
      <w:r>
        <w:t xml:space="preserve"> Benevolent Society, </w:t>
      </w:r>
      <w:r w:rsidRPr="004D628F">
        <w:rPr>
          <w:i/>
        </w:rPr>
        <w:t>Drivers of Ageism, Summary Report</w:t>
      </w:r>
      <w:r w:rsidRPr="00F85E36">
        <w:t xml:space="preserve"> (2018), </w:t>
      </w:r>
      <w:r>
        <w:t xml:space="preserve">19 </w:t>
      </w:r>
      <w:r w:rsidRPr="00517AF2">
        <w:t>&lt;</w:t>
      </w:r>
      <w:hyperlink r:id="rId8" w:history="1">
        <w:r w:rsidRPr="001C4F47">
          <w:rPr>
            <w:rStyle w:val="Hyperlink"/>
          </w:rPr>
          <w:t>https://www.benevolent.org.au/ArticleDocuments/340/Ageism_SummaryReport_Final.pdf.aspx</w:t>
        </w:r>
      </w:hyperlink>
      <w:r w:rsidRPr="00517AF2">
        <w:t>&gt;.</w:t>
      </w:r>
    </w:p>
  </w:endnote>
  <w:endnote w:id="70">
    <w:p w14:paraId="7AF8D6CA" w14:textId="77777777" w:rsidR="00A07173" w:rsidRDefault="00A07173" w:rsidP="00B13238">
      <w:pPr>
        <w:pStyle w:val="EndnoteText"/>
      </w:pPr>
      <w:r w:rsidRPr="0062654F">
        <w:rPr>
          <w:rStyle w:val="EndnoteReference"/>
        </w:rPr>
        <w:endnoteRef/>
      </w:r>
      <w:r w:rsidRPr="0062654F">
        <w:t xml:space="preserve"> </w:t>
      </w:r>
      <w:r w:rsidRPr="0062654F">
        <w:rPr>
          <w:rFonts w:cs="Arial"/>
        </w:rPr>
        <w:t>Australian Bureau of Statistics</w:t>
      </w:r>
      <w:r w:rsidRPr="0062654F">
        <w:t xml:space="preserve">, </w:t>
      </w:r>
      <w:r w:rsidRPr="0062654F">
        <w:rPr>
          <w:i/>
        </w:rPr>
        <w:t xml:space="preserve">Labour force, Australia, January 2018 </w:t>
      </w:r>
      <w:r w:rsidRPr="0062654F">
        <w:t>(Catalogue No 6202.0, January 2018).</w:t>
      </w:r>
    </w:p>
  </w:endnote>
  <w:endnote w:id="71">
    <w:p w14:paraId="375501CA" w14:textId="15018F32" w:rsidR="00A07173" w:rsidRDefault="00A07173" w:rsidP="00B13238">
      <w:pPr>
        <w:pStyle w:val="EndnoteText"/>
      </w:pPr>
      <w:r>
        <w:rPr>
          <w:rStyle w:val="EndnoteReference"/>
        </w:rPr>
        <w:endnoteRef/>
      </w:r>
      <w:r>
        <w:t xml:space="preserve"> Australian HR Institute, </w:t>
      </w:r>
      <w:r w:rsidRPr="00A832CD">
        <w:rPr>
          <w:i/>
        </w:rPr>
        <w:t>Employing Older Workers Report</w:t>
      </w:r>
      <w:r>
        <w:t xml:space="preserve"> (2018) 18-19 &lt;</w:t>
      </w:r>
      <w:hyperlink r:id="rId9" w:history="1">
        <w:r>
          <w:rPr>
            <w:rStyle w:val="Hyperlink"/>
          </w:rPr>
          <w:t>https://www.humanrights.gov.au/our-work/age-discrimination/publications/employing-older-workers-2018</w:t>
        </w:r>
      </w:hyperlink>
      <w:r>
        <w:t>&gt;.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NeueLT Pro 57 Cn">
    <w:altName w:val="Arial"/>
    <w:panose1 w:val="00000000000000000000"/>
    <w:charset w:val="4D"/>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0D70" w14:textId="77777777" w:rsidR="00A07173" w:rsidRPr="0090165F" w:rsidRDefault="00A07173" w:rsidP="00162A8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0CA2" w14:textId="77777777" w:rsidR="00A07173" w:rsidRPr="004A187B" w:rsidRDefault="00A07173" w:rsidP="008B23BC">
    <w:pPr>
      <w:pStyle w:val="Footer"/>
    </w:pPr>
    <w:r>
      <w:rPr>
        <w:noProof/>
      </w:rPr>
      <mc:AlternateContent>
        <mc:Choice Requires="wps">
          <w:drawing>
            <wp:anchor distT="0" distB="0" distL="114300" distR="114300" simplePos="0" relativeHeight="251660288" behindDoc="0" locked="0" layoutInCell="1" allowOverlap="1" wp14:anchorId="5187AD61" wp14:editId="5D134E95">
              <wp:simplePos x="0" y="0"/>
              <wp:positionH relativeFrom="column">
                <wp:posOffset>-548005</wp:posOffset>
              </wp:positionH>
              <wp:positionV relativeFrom="paragraph">
                <wp:posOffset>-1339215</wp:posOffset>
              </wp:positionV>
              <wp:extent cx="6071235" cy="90678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1235" cy="906780"/>
                      </a:xfrm>
                      <a:prstGeom prst="rect">
                        <a:avLst/>
                      </a:prstGeom>
                      <a:noFill/>
                      <a:ln w="6350">
                        <a:noFill/>
                      </a:ln>
                      <a:effectLst/>
                    </wps:spPr>
                    <wps:txbx>
                      <w:txbxContent>
                        <w:p w14:paraId="2675DF4F" w14:textId="77777777" w:rsidR="00A07173" w:rsidRPr="0003606D" w:rsidRDefault="00A07173" w:rsidP="00730BD2">
                          <w:pPr>
                            <w:pStyle w:val="coveraddress"/>
                          </w:pPr>
                          <w:r w:rsidRPr="0003606D">
                            <w:t>ABN 47 996 232 602</w:t>
                          </w:r>
                        </w:p>
                        <w:p w14:paraId="130499B1" w14:textId="77777777" w:rsidR="00A07173" w:rsidRPr="0003606D" w:rsidRDefault="00A07173" w:rsidP="00730BD2">
                          <w:pPr>
                            <w:pStyle w:val="coveraddress"/>
                          </w:pPr>
                          <w:r w:rsidRPr="0003606D">
                            <w:t>Level 3, 175 Pitt Street, Sydney NSW 2000</w:t>
                          </w:r>
                        </w:p>
                        <w:p w14:paraId="3288D36C" w14:textId="77777777" w:rsidR="00A07173" w:rsidRPr="0003606D" w:rsidRDefault="00A07173" w:rsidP="00730BD2">
                          <w:pPr>
                            <w:pStyle w:val="coveraddress"/>
                          </w:pPr>
                          <w:r w:rsidRPr="0003606D">
                            <w:t>GPO Box 5218, Sydney NSW 2001</w:t>
                          </w:r>
                        </w:p>
                        <w:p w14:paraId="4623B1F2" w14:textId="77777777" w:rsidR="00A07173" w:rsidRPr="0003606D" w:rsidRDefault="00A07173" w:rsidP="00730BD2">
                          <w:pPr>
                            <w:pStyle w:val="coveraddress"/>
                          </w:pPr>
                          <w:r w:rsidRPr="0003606D">
                            <w:t>General enquiries 1300 369 711</w:t>
                          </w:r>
                        </w:p>
                        <w:p w14:paraId="626E7757" w14:textId="77777777" w:rsidR="00A07173" w:rsidRPr="0003606D" w:rsidRDefault="00A07173" w:rsidP="00730BD2">
                          <w:pPr>
                            <w:pStyle w:val="coveraddress"/>
                          </w:pPr>
                          <w:r w:rsidRPr="0003606D">
                            <w:t>Complaints info line 1300 656 419</w:t>
                          </w:r>
                        </w:p>
                        <w:p w14:paraId="42E52A0F" w14:textId="77777777" w:rsidR="00A07173" w:rsidRPr="0003606D" w:rsidRDefault="00A07173" w:rsidP="00730BD2">
                          <w:pPr>
                            <w:pStyle w:val="coveraddress"/>
                          </w:pPr>
                          <w:r w:rsidRPr="0003606D">
                            <w:t>TTY 1800 620 241</w:t>
                          </w:r>
                        </w:p>
                        <w:p w14:paraId="6C8B590A" w14:textId="77777777" w:rsidR="00A07173" w:rsidRPr="00B63D24" w:rsidRDefault="00A07173" w:rsidP="00730BD2">
                          <w:pPr>
                            <w:pStyle w:val="Footer"/>
                          </w:pPr>
                          <w:r w:rsidRPr="00B63D24">
                            <w:tab/>
                          </w:r>
                        </w:p>
                        <w:p w14:paraId="38E3BB6F" w14:textId="77777777" w:rsidR="00A07173" w:rsidRPr="00B63D24" w:rsidRDefault="00A07173" w:rsidP="00B63D24">
                          <w:pPr>
                            <w:pStyle w:val="Foo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7AD61" id="_x0000_t202" coordsize="21600,21600" o:spt="202" path="m,l,21600r21600,l21600,xe">
              <v:stroke joinstyle="miter"/>
              <v:path gradientshapeok="t" o:connecttype="rect"/>
            </v:shapetype>
            <v:shape id="Text Box 9" o:spid="_x0000_s1026" type="#_x0000_t202" style="position:absolute;margin-left:-43.15pt;margin-top:-105.45pt;width:478.05pt;height:7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" filled="f" stroked="f" strokeweight=".5pt">
              <v:textbox inset="0,0,0,0">
                <w:txbxContent>
                  <w:p w14:paraId="2675DF4F" w14:textId="77777777" w:rsidR="00A07173" w:rsidRPr="0003606D" w:rsidRDefault="00A07173" w:rsidP="00730BD2">
                    <w:pPr>
                      <w:pStyle w:val="coveraddress"/>
                    </w:pPr>
                    <w:r w:rsidRPr="0003606D">
                      <w:t>ABN 47 996 232 602</w:t>
                    </w:r>
                  </w:p>
                  <w:p w14:paraId="130499B1" w14:textId="77777777" w:rsidR="00A07173" w:rsidRPr="0003606D" w:rsidRDefault="00A07173" w:rsidP="00730BD2">
                    <w:pPr>
                      <w:pStyle w:val="coveraddress"/>
                    </w:pPr>
                    <w:r w:rsidRPr="0003606D">
                      <w:t>Level 3, 175 Pitt Street, Sydney NSW 2000</w:t>
                    </w:r>
                  </w:p>
                  <w:p w14:paraId="3288D36C" w14:textId="77777777" w:rsidR="00A07173" w:rsidRPr="0003606D" w:rsidRDefault="00A07173" w:rsidP="00730BD2">
                    <w:pPr>
                      <w:pStyle w:val="coveraddress"/>
                    </w:pPr>
                    <w:r w:rsidRPr="0003606D">
                      <w:t>GPO Box 5218, Sydney NSW 2001</w:t>
                    </w:r>
                  </w:p>
                  <w:p w14:paraId="4623B1F2" w14:textId="77777777" w:rsidR="00A07173" w:rsidRPr="0003606D" w:rsidRDefault="00A07173" w:rsidP="00730BD2">
                    <w:pPr>
                      <w:pStyle w:val="coveraddress"/>
                    </w:pPr>
                    <w:r w:rsidRPr="0003606D">
                      <w:t>General enquiries 1300 369 711</w:t>
                    </w:r>
                  </w:p>
                  <w:p w14:paraId="626E7757" w14:textId="77777777" w:rsidR="00A07173" w:rsidRPr="0003606D" w:rsidRDefault="00A07173" w:rsidP="00730BD2">
                    <w:pPr>
                      <w:pStyle w:val="coveraddress"/>
                    </w:pPr>
                    <w:r w:rsidRPr="0003606D">
                      <w:t>Complaints info line 1300 656 419</w:t>
                    </w:r>
                  </w:p>
                  <w:p w14:paraId="42E52A0F" w14:textId="77777777" w:rsidR="00A07173" w:rsidRPr="0003606D" w:rsidRDefault="00A07173" w:rsidP="00730BD2">
                    <w:pPr>
                      <w:pStyle w:val="coveraddress"/>
                    </w:pPr>
                    <w:r w:rsidRPr="0003606D">
                      <w:t>TTY 1800 620 241</w:t>
                    </w:r>
                  </w:p>
                  <w:p w14:paraId="6C8B590A" w14:textId="77777777" w:rsidR="00A07173" w:rsidRPr="00B63D24" w:rsidRDefault="00A07173" w:rsidP="00730BD2">
                    <w:pPr>
                      <w:pStyle w:val="Footer"/>
                    </w:pPr>
                    <w:r w:rsidRPr="00B63D24">
                      <w:tab/>
                    </w:r>
                  </w:p>
                  <w:p w14:paraId="38E3BB6F" w14:textId="77777777" w:rsidR="00A07173" w:rsidRPr="00B63D24" w:rsidRDefault="00A07173" w:rsidP="00B63D24">
                    <w:pPr>
                      <w:pStyle w:val="Foote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CFC43" w14:textId="38783EDB" w:rsidR="00A07173" w:rsidRPr="0090165F" w:rsidRDefault="00A07173"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76938" w14:textId="77777777" w:rsidR="00A07173" w:rsidRDefault="00A07173" w:rsidP="00F14C6D">
      <w:r>
        <w:separator/>
      </w:r>
    </w:p>
  </w:footnote>
  <w:footnote w:type="continuationSeparator" w:id="0">
    <w:p w14:paraId="58069691" w14:textId="77777777" w:rsidR="00A07173" w:rsidRDefault="00A07173"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B06A2" w14:textId="77777777" w:rsidR="00A07173" w:rsidRDefault="00A07173">
    <w:pPr>
      <w:pStyle w:val="Header"/>
    </w:pPr>
    <w:r>
      <w:rPr>
        <w:noProof/>
      </w:rPr>
      <w:pict w14:anchorId="2ABBC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8" o:spid="_x0000_s2052" type="#_x0000_t75" alt="MS word cover1" style="position:absolute;margin-left:0;margin-top:0;width:595.65pt;height:870.15pt;z-index:-251660288;mso-wrap-edited:f;mso-width-percent:0;mso-height-percent:0;mso-position-horizontal:center;mso-position-horizontal-relative:margin;mso-position-vertical:center;mso-position-vertical-relative:margin;mso-width-percent:0;mso-height-percent:0" o:allowincell="f">
          <v:imagedata r:id="rId1" o:title="MS word cover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F52C2" w14:textId="77777777" w:rsidR="00A07173" w:rsidRPr="00D27262" w:rsidRDefault="00A07173" w:rsidP="002B1B65">
    <w:pPr>
      <w:spacing w:before="0" w:after="0"/>
      <w:jc w:val="right"/>
      <w:rPr>
        <w:sz w:val="22"/>
        <w:szCs w:val="22"/>
      </w:rPr>
    </w:pPr>
    <w:r>
      <w:rPr>
        <w:noProof/>
        <w:sz w:val="22"/>
        <w:szCs w:val="22"/>
      </w:rPr>
      <w:pict w14:anchorId="7E08F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9" o:spid="_x0000_s2051" type="#_x0000_t75" alt="MS word cover1" style="position:absolute;left:0;text-align:left;margin-left:0;margin-top:0;width:595.65pt;height:870.15pt;z-index:-251659264;mso-wrap-edited:f;mso-width-percent:0;mso-height-percent:0;mso-position-horizontal:center;mso-position-horizontal-relative:margin;mso-position-vertical:center;mso-position-vertical-relative:margin;mso-width-percent:0;mso-height-percent:0" o:allowincell="f">
          <v:imagedata r:id="rId1" o:title="MS word cover1"/>
          <w10:wrap anchorx="margin" anchory="margin"/>
        </v:shape>
      </w:pict>
    </w:r>
    <w:r w:rsidRPr="00D27262">
      <w:rPr>
        <w:sz w:val="22"/>
        <w:szCs w:val="22"/>
      </w:rPr>
      <w:t>Au</w:t>
    </w:r>
    <w:r>
      <w:rPr>
        <w:sz w:val="22"/>
        <w:szCs w:val="22"/>
      </w:rPr>
      <w:t>stralian Human Rights Commission</w:t>
    </w:r>
  </w:p>
  <w:p w14:paraId="5C76B4F7" w14:textId="77777777" w:rsidR="00A07173" w:rsidRDefault="00A07173" w:rsidP="002B1B65">
    <w:pPr>
      <w:pStyle w:val="Footer"/>
      <w:jc w:val="right"/>
      <w:rPr>
        <w:i/>
        <w:szCs w:val="22"/>
      </w:rPr>
    </w:pPr>
    <w:r w:rsidRPr="00D27262">
      <w:rPr>
        <w:b/>
        <w:i/>
        <w:szCs w:val="22"/>
      </w:rPr>
      <w:t>Short document title</w:t>
    </w:r>
    <w:r w:rsidRPr="00D27262">
      <w:rPr>
        <w:i/>
        <w:szCs w:val="22"/>
      </w:rPr>
      <w:t xml:space="preserve">, </w:t>
    </w:r>
    <w:r>
      <w:rPr>
        <w:i/>
        <w:szCs w:val="22"/>
      </w:rPr>
      <w:t>Short description –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4F317" w14:textId="77777777" w:rsidR="00A07173" w:rsidRDefault="00A07173">
    <w:pPr>
      <w:pStyle w:val="Header"/>
    </w:pPr>
    <w:r>
      <w:rPr>
        <w:noProof/>
      </w:rPr>
      <w:pict w14:anchorId="2062D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1" o:spid="_x0000_s2050" type="#_x0000_t75" alt="MS word cover1" style="position:absolute;margin-left:0;margin-top:0;width:595.65pt;height:870.15pt;z-index:-251657216;mso-wrap-edited:f;mso-width-percent:0;mso-height-percent:0;mso-position-horizontal:center;mso-position-horizontal-relative:margin;mso-position-vertical:center;mso-position-vertical-relative:margin;mso-width-percent:0;mso-height-percent:0" o:allowincell="f">
          <v:imagedata r:id="rId1" o:title="MS word cover1"/>
          <w10:wrap anchorx="margin" anchory="margin"/>
        </v:shape>
      </w:pict>
    </w:r>
  </w:p>
  <w:p w14:paraId="74BE7B84" w14:textId="77777777" w:rsidR="00A07173" w:rsidRDefault="00A0717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553D5" w14:textId="77777777" w:rsidR="00A07173" w:rsidRPr="00D27262" w:rsidRDefault="00A07173" w:rsidP="00B34946">
    <w:pPr>
      <w:spacing w:before="0" w:after="60"/>
      <w:jc w:val="right"/>
      <w:rPr>
        <w:sz w:val="22"/>
        <w:szCs w:val="22"/>
      </w:rPr>
    </w:pPr>
    <w:r w:rsidRPr="00D27262">
      <w:rPr>
        <w:sz w:val="22"/>
        <w:szCs w:val="22"/>
      </w:rPr>
      <w:t>Au</w:t>
    </w:r>
    <w:r>
      <w:rPr>
        <w:sz w:val="22"/>
        <w:szCs w:val="22"/>
      </w:rPr>
      <w:t>stralian Human Rights Commission</w:t>
    </w:r>
  </w:p>
  <w:p w14:paraId="18EDEB3F" w14:textId="41B4A51E" w:rsidR="00A07173" w:rsidRPr="00D45DC6" w:rsidRDefault="00A07173" w:rsidP="00476E74">
    <w:pPr>
      <w:pStyle w:val="Footer"/>
      <w:spacing w:after="240"/>
      <w:jc w:val="right"/>
      <w:rPr>
        <w:color w:val="auto"/>
        <w:sz w:val="18"/>
        <w:szCs w:val="18"/>
      </w:rPr>
    </w:pPr>
    <w:r w:rsidRPr="00D45DC6">
      <w:rPr>
        <w:i/>
        <w:color w:val="auto"/>
        <w:sz w:val="18"/>
        <w:szCs w:val="18"/>
      </w:rPr>
      <w:t xml:space="preserve">Multigenerational workforces: a guide to the rights of older workers under the Age Discrimination Act 2004 </w:t>
    </w:r>
    <w:r w:rsidRPr="00D45DC6">
      <w:rPr>
        <w:color w:val="auto"/>
        <w:sz w:val="18"/>
        <w:szCs w:val="18"/>
      </w:rPr>
      <w:t>(</w:t>
    </w:r>
    <w:proofErr w:type="spellStart"/>
    <w:r w:rsidRPr="00D45DC6">
      <w:rPr>
        <w:color w:val="auto"/>
        <w:sz w:val="18"/>
        <w:szCs w:val="18"/>
      </w:rPr>
      <w:t>Cth</w:t>
    </w:r>
    <w:proofErr w:type="spellEnd"/>
    <w:r w:rsidRPr="00D45DC6">
      <w:rPr>
        <w:color w:val="auto"/>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A07173" w:rsidRPr="00B85DD4" w14:paraId="5D2DA5F5" w14:textId="77777777" w:rsidTr="002B1B65">
      <w:trPr>
        <w:trHeight w:val="1603"/>
      </w:trPr>
      <w:tc>
        <w:tcPr>
          <w:tcW w:w="1508" w:type="dxa"/>
        </w:tcPr>
        <w:p w14:paraId="4171C09F" w14:textId="77777777" w:rsidR="00A07173" w:rsidRPr="00B85DD4" w:rsidRDefault="00A07173" w:rsidP="00B520BC">
          <w:pPr>
            <w:pStyle w:val="Header"/>
            <w:tabs>
              <w:tab w:val="left" w:pos="4686"/>
              <w:tab w:val="left" w:pos="7088"/>
              <w:tab w:val="left" w:pos="7242"/>
            </w:tabs>
            <w:ind w:left="-108"/>
            <w:rPr>
              <w:rFonts w:cs="ArialMT"/>
              <w:b/>
              <w:spacing w:val="-20"/>
            </w:rPr>
          </w:pPr>
          <w:r>
            <w:rPr>
              <w:rFonts w:cs="ArialMT"/>
              <w:b/>
              <w:noProof/>
              <w:spacing w:val="-20"/>
            </w:rPr>
            <w:drawing>
              <wp:inline distT="0" distB="0" distL="0" distR="0" wp14:anchorId="3A25A792" wp14:editId="519A6A13">
                <wp:extent cx="819150" cy="819150"/>
                <wp:effectExtent l="0" t="0" r="0" b="0"/>
                <wp:docPr id="11" name="Picture 11" descr="Description: 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REOC-Globe_PM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2688" w:type="dxa"/>
          <w:vAlign w:val="center"/>
        </w:tcPr>
        <w:p w14:paraId="43F75F11" w14:textId="77777777" w:rsidR="00A07173" w:rsidRPr="00D36BB2" w:rsidRDefault="00A07173" w:rsidP="002B1B65">
          <w:pPr>
            <w:pStyle w:val="LogoType"/>
            <w:pBdr>
              <w:bottom w:val="single" w:sz="4" w:space="1" w:color="808080"/>
            </w:pBdr>
            <w:spacing w:line="240" w:lineRule="auto"/>
          </w:pPr>
          <w:r w:rsidRPr="00D36BB2">
            <w:t>Australian</w:t>
          </w:r>
        </w:p>
        <w:p w14:paraId="0406D7B6" w14:textId="77777777" w:rsidR="00A07173" w:rsidRPr="00D36BB2" w:rsidRDefault="00A07173" w:rsidP="002B1B65">
          <w:pPr>
            <w:pStyle w:val="LogoType"/>
            <w:pBdr>
              <w:bottom w:val="single" w:sz="4" w:space="1" w:color="808080"/>
            </w:pBdr>
            <w:spacing w:line="240" w:lineRule="auto"/>
          </w:pPr>
          <w:r w:rsidRPr="00D36BB2">
            <w:t>Human Rights</w:t>
          </w:r>
        </w:p>
        <w:p w14:paraId="158E0E01" w14:textId="77777777" w:rsidR="00A07173" w:rsidRPr="00D36BB2" w:rsidRDefault="00A07173" w:rsidP="002B1B65">
          <w:pPr>
            <w:pStyle w:val="LogoType"/>
            <w:pBdr>
              <w:bottom w:val="single" w:sz="4" w:space="1" w:color="808080"/>
            </w:pBdr>
            <w:spacing w:line="240" w:lineRule="auto"/>
          </w:pPr>
          <w:r w:rsidRPr="00D36BB2">
            <w:t>Commission</w:t>
          </w:r>
        </w:p>
        <w:p w14:paraId="05BBE846" w14:textId="77777777" w:rsidR="00A07173" w:rsidRPr="00B85DD4" w:rsidRDefault="00A07173" w:rsidP="002B1B65">
          <w:pPr>
            <w:spacing w:before="0" w:after="0"/>
            <w:rPr>
              <w:rFonts w:cs="ArialMT"/>
              <w:i/>
              <w:color w:val="808080"/>
              <w:sz w:val="17"/>
            </w:rPr>
          </w:pPr>
          <w:r w:rsidRPr="00B85DD4">
            <w:rPr>
              <w:rFonts w:cs="ArialMT"/>
              <w:i/>
              <w:color w:val="808080"/>
              <w:sz w:val="17"/>
            </w:rPr>
            <w:t>everyone, everywhere, everyday</w:t>
          </w:r>
        </w:p>
      </w:tc>
      <w:tc>
        <w:tcPr>
          <w:tcW w:w="2302" w:type="dxa"/>
        </w:tcPr>
        <w:p w14:paraId="14CA89D8" w14:textId="77777777" w:rsidR="00A07173" w:rsidRPr="00B85DD4" w:rsidRDefault="00A07173" w:rsidP="00B520BC">
          <w:pPr>
            <w:pStyle w:val="HeaderFooter"/>
            <w:rPr>
              <w:b/>
              <w:spacing w:val="-20"/>
              <w:sz w:val="40"/>
            </w:rPr>
          </w:pPr>
        </w:p>
      </w:tc>
      <w:tc>
        <w:tcPr>
          <w:tcW w:w="2130" w:type="dxa"/>
        </w:tcPr>
        <w:p w14:paraId="3916D0BA" w14:textId="77777777" w:rsidR="00A07173" w:rsidRPr="00B85DD4" w:rsidRDefault="00A07173" w:rsidP="00B520BC">
          <w:pPr>
            <w:pStyle w:val="HeaderFooter"/>
            <w:rPr>
              <w:b/>
              <w:spacing w:val="-20"/>
              <w:sz w:val="40"/>
            </w:rPr>
          </w:pPr>
        </w:p>
      </w:tc>
      <w:tc>
        <w:tcPr>
          <w:tcW w:w="1721" w:type="dxa"/>
        </w:tcPr>
        <w:p w14:paraId="3B523E52" w14:textId="77777777" w:rsidR="00A07173" w:rsidRPr="00B85DD4" w:rsidRDefault="00A07173" w:rsidP="00B520BC">
          <w:pPr>
            <w:pStyle w:val="HeaderFooter"/>
            <w:spacing w:before="227" w:after="340"/>
            <w:rPr>
              <w:b/>
              <w:spacing w:val="-20"/>
              <w:sz w:val="40"/>
            </w:rPr>
          </w:pPr>
        </w:p>
      </w:tc>
    </w:tr>
  </w:tbl>
  <w:p w14:paraId="3B447D7F" w14:textId="77777777" w:rsidR="00A07173" w:rsidRDefault="00A07173">
    <w:pPr>
      <w:pStyle w:val="Header"/>
    </w:pPr>
    <w:r>
      <w:rPr>
        <w:rFonts w:cs="ArialMT"/>
        <w:b/>
        <w:noProof/>
        <w:spacing w:val="-20"/>
      </w:rPr>
      <w:pict w14:anchorId="1D8DA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0" o:spid="_x0000_s2049" type="#_x0000_t75" alt="MS word cover1" style="position:absolute;margin-left:0;margin-top:0;width:595.65pt;height:870.15pt;z-index:-251658240;mso-wrap-edited:f;mso-width-percent:0;mso-height-percent:0;mso-position-horizontal:center;mso-position-horizontal-relative:margin;mso-position-vertical:center;mso-position-vertical-relative:margin;mso-width-percent:0;mso-height-percent:0" o:allowincell="f">
          <v:imagedata r:id="rId2" o:title="MS word cover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C5C35"/>
    <w:multiLevelType w:val="hybridMultilevel"/>
    <w:tmpl w:val="61021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034F07"/>
    <w:multiLevelType w:val="hybridMultilevel"/>
    <w:tmpl w:val="20747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2AD66FE"/>
    <w:multiLevelType w:val="hybridMultilevel"/>
    <w:tmpl w:val="435EC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465377"/>
    <w:multiLevelType w:val="multilevel"/>
    <w:tmpl w:val="A93CF2D4"/>
    <w:lvl w:ilvl="0">
      <w:start w:val="1"/>
      <w:numFmt w:val="decimal"/>
      <w:lvlText w:val="%1"/>
      <w:lvlJc w:val="left"/>
      <w:pPr>
        <w:tabs>
          <w:tab w:val="num" w:pos="851"/>
        </w:tabs>
        <w:ind w:left="851" w:hanging="851"/>
      </w:pPr>
      <w:rPr>
        <w:rFonts w:hint="default"/>
        <w:i w:val="0"/>
      </w:rPr>
    </w:lvl>
    <w:lvl w:ilvl="1">
      <w:start w:val="1"/>
      <w:numFmt w:val="decimal"/>
      <w:lvlText w:val="%1.%2"/>
      <w:lvlJc w:val="left"/>
      <w:pPr>
        <w:tabs>
          <w:tab w:val="num" w:pos="1135"/>
        </w:tabs>
        <w:ind w:left="1135" w:hanging="851"/>
      </w:pPr>
      <w:rPr>
        <w:rFonts w:hint="default"/>
      </w:rPr>
    </w:lvl>
    <w:lvl w:ilvl="2">
      <w:start w:val="1"/>
      <w:numFmt w:val="lowerLetter"/>
      <w:lvlText w:val="(%3)"/>
      <w:lvlJc w:val="left"/>
      <w:pPr>
        <w:tabs>
          <w:tab w:val="num" w:pos="1277"/>
        </w:tabs>
        <w:ind w:left="1277" w:hanging="851"/>
      </w:pPr>
      <w:rPr>
        <w:rFonts w:hint="default"/>
        <w:b/>
        <w:i w:val="0"/>
      </w:rPr>
    </w:lvl>
    <w:lvl w:ilvl="3">
      <w:start w:val="1"/>
      <w:numFmt w:val="lowerRoman"/>
      <w:lvlText w:val="(%4)"/>
      <w:lvlJc w:val="left"/>
      <w:pPr>
        <w:tabs>
          <w:tab w:val="num" w:pos="851"/>
        </w:tabs>
        <w:ind w:left="851" w:hanging="851"/>
      </w:pPr>
      <w:rPr>
        <w:rFonts w:hint="default"/>
        <w:b/>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07BE419F"/>
    <w:multiLevelType w:val="hybridMultilevel"/>
    <w:tmpl w:val="6BE22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1A05C3"/>
    <w:multiLevelType w:val="hybridMultilevel"/>
    <w:tmpl w:val="52805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DB5F7B"/>
    <w:multiLevelType w:val="hybridMultilevel"/>
    <w:tmpl w:val="9AFADA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14040FF1"/>
    <w:multiLevelType w:val="hybridMultilevel"/>
    <w:tmpl w:val="7DA8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4463A9"/>
    <w:multiLevelType w:val="hybridMultilevel"/>
    <w:tmpl w:val="14D20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6876A41"/>
    <w:multiLevelType w:val="hybridMultilevel"/>
    <w:tmpl w:val="F740E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CF22D0E"/>
    <w:multiLevelType w:val="hybridMultilevel"/>
    <w:tmpl w:val="48F2C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20B046D6"/>
    <w:multiLevelType w:val="hybridMultilevel"/>
    <w:tmpl w:val="A790D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585D90"/>
    <w:multiLevelType w:val="hybridMultilevel"/>
    <w:tmpl w:val="733C3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22BD6B01"/>
    <w:multiLevelType w:val="hybridMultilevel"/>
    <w:tmpl w:val="88F6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C123C1"/>
    <w:multiLevelType w:val="hybridMultilevel"/>
    <w:tmpl w:val="9EDE3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2B70BB"/>
    <w:multiLevelType w:val="hybridMultilevel"/>
    <w:tmpl w:val="09927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442B87"/>
    <w:multiLevelType w:val="hybridMultilevel"/>
    <w:tmpl w:val="2E9096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2B232718"/>
    <w:multiLevelType w:val="hybridMultilevel"/>
    <w:tmpl w:val="0EF40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CB72180"/>
    <w:multiLevelType w:val="hybridMultilevel"/>
    <w:tmpl w:val="B6F8E49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31" w15:restartNumberingAfterBreak="0">
    <w:nsid w:val="30C41D28"/>
    <w:multiLevelType w:val="hybridMultilevel"/>
    <w:tmpl w:val="81DEB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A23691"/>
    <w:multiLevelType w:val="hybridMultilevel"/>
    <w:tmpl w:val="4CCE0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6953CFE"/>
    <w:multiLevelType w:val="hybridMultilevel"/>
    <w:tmpl w:val="42AAF3B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36FB6847"/>
    <w:multiLevelType w:val="hybridMultilevel"/>
    <w:tmpl w:val="118A2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9982AB5"/>
    <w:multiLevelType w:val="hybridMultilevel"/>
    <w:tmpl w:val="4D82F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8C32D6"/>
    <w:multiLevelType w:val="hybridMultilevel"/>
    <w:tmpl w:val="EE305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1E4159C"/>
    <w:multiLevelType w:val="hybridMultilevel"/>
    <w:tmpl w:val="7D70A7A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9" w15:restartNumberingAfterBreak="0">
    <w:nsid w:val="422E1839"/>
    <w:multiLevelType w:val="hybridMultilevel"/>
    <w:tmpl w:val="1084E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9DC34DA"/>
    <w:multiLevelType w:val="hybridMultilevel"/>
    <w:tmpl w:val="B074C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9FF7A73"/>
    <w:multiLevelType w:val="multilevel"/>
    <w:tmpl w:val="657802DC"/>
    <w:lvl w:ilvl="0">
      <w:start w:val="1"/>
      <w:numFmt w:val="decimal"/>
      <w:pStyle w:val="Heading1"/>
      <w:lvlText w:val="%1"/>
      <w:lvlJc w:val="left"/>
      <w:pPr>
        <w:tabs>
          <w:tab w:val="num" w:pos="851"/>
        </w:tabs>
        <w:ind w:left="851" w:hanging="851"/>
      </w:pPr>
      <w:rPr>
        <w:rFonts w:hint="default"/>
        <w:i w:val="0"/>
      </w:rPr>
    </w:lvl>
    <w:lvl w:ilvl="1">
      <w:start w:val="1"/>
      <w:numFmt w:val="decimal"/>
      <w:pStyle w:val="Heading2"/>
      <w:lvlText w:val="%1.%2"/>
      <w:lvlJc w:val="left"/>
      <w:pPr>
        <w:tabs>
          <w:tab w:val="num" w:pos="1135"/>
        </w:tabs>
        <w:ind w:left="1135" w:hanging="851"/>
      </w:pPr>
      <w:rPr>
        <w:rFonts w:hint="default"/>
      </w:rPr>
    </w:lvl>
    <w:lvl w:ilvl="2">
      <w:start w:val="1"/>
      <w:numFmt w:val="lowerLetter"/>
      <w:pStyle w:val="Heading3"/>
      <w:lvlText w:val="(%3)"/>
      <w:lvlJc w:val="left"/>
      <w:pPr>
        <w:ind w:left="1277" w:hanging="851"/>
      </w:pPr>
      <w:rPr>
        <w:rFonts w:hint="default"/>
        <w:b/>
        <w:i w:val="0"/>
      </w:rPr>
    </w:lvl>
    <w:lvl w:ilvl="3">
      <w:start w:val="1"/>
      <w:numFmt w:val="lowerRoman"/>
      <w:pStyle w:val="Heading4"/>
      <w:lvlText w:val="(%4)"/>
      <w:lvlJc w:val="left"/>
      <w:pPr>
        <w:tabs>
          <w:tab w:val="num" w:pos="851"/>
        </w:tabs>
        <w:ind w:left="851" w:hanging="851"/>
      </w:pPr>
      <w:rPr>
        <w:rFonts w:hint="default"/>
        <w:b/>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42" w15:restartNumberingAfterBreak="0">
    <w:nsid w:val="4D9E7CC8"/>
    <w:multiLevelType w:val="hybridMultilevel"/>
    <w:tmpl w:val="CF046B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E345A15"/>
    <w:multiLevelType w:val="hybridMultilevel"/>
    <w:tmpl w:val="35882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589E62D3"/>
    <w:multiLevelType w:val="hybridMultilevel"/>
    <w:tmpl w:val="035A0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73525F0"/>
    <w:multiLevelType w:val="hybridMultilevel"/>
    <w:tmpl w:val="68EA5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A1B658E"/>
    <w:multiLevelType w:val="hybridMultilevel"/>
    <w:tmpl w:val="720E2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BBC5427"/>
    <w:multiLevelType w:val="hybridMultilevel"/>
    <w:tmpl w:val="2B0CB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CFA727E"/>
    <w:multiLevelType w:val="hybridMultilevel"/>
    <w:tmpl w:val="40D817F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50" w15:restartNumberingAfterBreak="0">
    <w:nsid w:val="6EB31B8F"/>
    <w:multiLevelType w:val="hybridMultilevel"/>
    <w:tmpl w:val="02248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EC7086A"/>
    <w:multiLevelType w:val="hybridMultilevel"/>
    <w:tmpl w:val="DD14F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6920777"/>
    <w:multiLevelType w:val="hybridMultilevel"/>
    <w:tmpl w:val="E8081B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BE30809"/>
    <w:multiLevelType w:val="hybridMultilevel"/>
    <w:tmpl w:val="06C658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FAF1EE2"/>
    <w:multiLevelType w:val="hybridMultilevel"/>
    <w:tmpl w:val="14960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1"/>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44"/>
  </w:num>
  <w:num w:numId="13">
    <w:abstractNumId w:val="37"/>
  </w:num>
  <w:num w:numId="14">
    <w:abstractNumId w:val="24"/>
  </w:num>
  <w:num w:numId="15">
    <w:abstractNumId w:val="21"/>
  </w:num>
  <w:num w:numId="16">
    <w:abstractNumId w:val="50"/>
  </w:num>
  <w:num w:numId="17">
    <w:abstractNumId w:val="18"/>
  </w:num>
  <w:num w:numId="18">
    <w:abstractNumId w:val="46"/>
  </w:num>
  <w:num w:numId="19">
    <w:abstractNumId w:val="43"/>
  </w:num>
  <w:num w:numId="20">
    <w:abstractNumId w:val="33"/>
  </w:num>
  <w:num w:numId="21">
    <w:abstractNumId w:val="34"/>
  </w:num>
  <w:num w:numId="22">
    <w:abstractNumId w:val="10"/>
  </w:num>
  <w:num w:numId="23">
    <w:abstractNumId w:val="22"/>
  </w:num>
  <w:num w:numId="24">
    <w:abstractNumId w:val="45"/>
  </w:num>
  <w:num w:numId="25">
    <w:abstractNumId w:val="12"/>
  </w:num>
  <w:num w:numId="26">
    <w:abstractNumId w:val="31"/>
  </w:num>
  <w:num w:numId="27">
    <w:abstractNumId w:val="23"/>
  </w:num>
  <w:num w:numId="28">
    <w:abstractNumId w:val="36"/>
  </w:num>
  <w:num w:numId="29">
    <w:abstractNumId w:val="17"/>
  </w:num>
  <w:num w:numId="30">
    <w:abstractNumId w:val="29"/>
  </w:num>
  <w:num w:numId="31">
    <w:abstractNumId w:val="40"/>
  </w:num>
  <w:num w:numId="32">
    <w:abstractNumId w:val="32"/>
  </w:num>
  <w:num w:numId="33">
    <w:abstractNumId w:val="48"/>
  </w:num>
  <w:num w:numId="34">
    <w:abstractNumId w:val="20"/>
  </w:num>
  <w:num w:numId="35">
    <w:abstractNumId w:val="25"/>
  </w:num>
  <w:num w:numId="36">
    <w:abstractNumId w:val="35"/>
  </w:num>
  <w:num w:numId="37">
    <w:abstractNumId w:val="11"/>
  </w:num>
  <w:num w:numId="38">
    <w:abstractNumId w:val="52"/>
  </w:num>
  <w:num w:numId="39">
    <w:abstractNumId w:val="53"/>
  </w:num>
  <w:num w:numId="40">
    <w:abstractNumId w:val="42"/>
  </w:num>
  <w:num w:numId="41">
    <w:abstractNumId w:val="14"/>
  </w:num>
  <w:num w:numId="42">
    <w:abstractNumId w:val="19"/>
  </w:num>
  <w:num w:numId="43">
    <w:abstractNumId w:val="54"/>
  </w:num>
  <w:num w:numId="44">
    <w:abstractNumId w:val="15"/>
  </w:num>
  <w:num w:numId="45">
    <w:abstractNumId w:val="26"/>
  </w:num>
  <w:num w:numId="46">
    <w:abstractNumId w:val="47"/>
  </w:num>
  <w:num w:numId="47">
    <w:abstractNumId w:val="39"/>
  </w:num>
  <w:num w:numId="48">
    <w:abstractNumId w:val="49"/>
  </w:num>
  <w:num w:numId="49">
    <w:abstractNumId w:val="38"/>
  </w:num>
  <w:num w:numId="50">
    <w:abstractNumId w:val="51"/>
  </w:num>
  <w:num w:numId="51">
    <w:abstractNumId w:val="27"/>
  </w:num>
  <w:num w:numId="52">
    <w:abstractNumId w:val="30"/>
  </w:num>
  <w:num w:numId="53">
    <w:abstractNumId w:val="16"/>
  </w:num>
  <w:num w:numId="54">
    <w:abstractNumId w:val="13"/>
  </w:num>
  <w:num w:numId="55">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A3"/>
    <w:rsid w:val="000004C9"/>
    <w:rsid w:val="00001471"/>
    <w:rsid w:val="0000168C"/>
    <w:rsid w:val="00002EA1"/>
    <w:rsid w:val="00003A77"/>
    <w:rsid w:val="00003B1E"/>
    <w:rsid w:val="00003D5F"/>
    <w:rsid w:val="00005E3F"/>
    <w:rsid w:val="000062F6"/>
    <w:rsid w:val="00006872"/>
    <w:rsid w:val="00007077"/>
    <w:rsid w:val="00007206"/>
    <w:rsid w:val="00007868"/>
    <w:rsid w:val="000079E7"/>
    <w:rsid w:val="00007D2C"/>
    <w:rsid w:val="000121BF"/>
    <w:rsid w:val="00012528"/>
    <w:rsid w:val="00012ADB"/>
    <w:rsid w:val="0001353D"/>
    <w:rsid w:val="00013918"/>
    <w:rsid w:val="0001451E"/>
    <w:rsid w:val="00014700"/>
    <w:rsid w:val="000148C3"/>
    <w:rsid w:val="00014AF2"/>
    <w:rsid w:val="00014D39"/>
    <w:rsid w:val="0001528B"/>
    <w:rsid w:val="00015915"/>
    <w:rsid w:val="000159A0"/>
    <w:rsid w:val="000174A8"/>
    <w:rsid w:val="00020E06"/>
    <w:rsid w:val="000230BA"/>
    <w:rsid w:val="000244C9"/>
    <w:rsid w:val="00025511"/>
    <w:rsid w:val="0002588F"/>
    <w:rsid w:val="0002607E"/>
    <w:rsid w:val="00026DF0"/>
    <w:rsid w:val="00026EEE"/>
    <w:rsid w:val="0003202B"/>
    <w:rsid w:val="000326E2"/>
    <w:rsid w:val="00033C5D"/>
    <w:rsid w:val="00033CE3"/>
    <w:rsid w:val="00036237"/>
    <w:rsid w:val="00040C05"/>
    <w:rsid w:val="00041C46"/>
    <w:rsid w:val="00042C6C"/>
    <w:rsid w:val="000434F8"/>
    <w:rsid w:val="00047040"/>
    <w:rsid w:val="00050BF4"/>
    <w:rsid w:val="00051A2F"/>
    <w:rsid w:val="000529B6"/>
    <w:rsid w:val="00053F79"/>
    <w:rsid w:val="00054F3D"/>
    <w:rsid w:val="00056392"/>
    <w:rsid w:val="000579B1"/>
    <w:rsid w:val="000609DB"/>
    <w:rsid w:val="0006308E"/>
    <w:rsid w:val="000630E2"/>
    <w:rsid w:val="00063317"/>
    <w:rsid w:val="00063F45"/>
    <w:rsid w:val="00064DE9"/>
    <w:rsid w:val="00065923"/>
    <w:rsid w:val="00065F38"/>
    <w:rsid w:val="000667E1"/>
    <w:rsid w:val="00066936"/>
    <w:rsid w:val="00071195"/>
    <w:rsid w:val="000718F4"/>
    <w:rsid w:val="00072585"/>
    <w:rsid w:val="00072F4E"/>
    <w:rsid w:val="00073004"/>
    <w:rsid w:val="0007309D"/>
    <w:rsid w:val="00074AF4"/>
    <w:rsid w:val="00075003"/>
    <w:rsid w:val="00075022"/>
    <w:rsid w:val="00075FA7"/>
    <w:rsid w:val="0008006F"/>
    <w:rsid w:val="00081962"/>
    <w:rsid w:val="000856C3"/>
    <w:rsid w:val="000902F2"/>
    <w:rsid w:val="00090AC2"/>
    <w:rsid w:val="00091503"/>
    <w:rsid w:val="00091644"/>
    <w:rsid w:val="00091C6C"/>
    <w:rsid w:val="00093745"/>
    <w:rsid w:val="00093D27"/>
    <w:rsid w:val="000953FA"/>
    <w:rsid w:val="000961ED"/>
    <w:rsid w:val="00096B4C"/>
    <w:rsid w:val="000A0369"/>
    <w:rsid w:val="000A1317"/>
    <w:rsid w:val="000A1607"/>
    <w:rsid w:val="000A1CD8"/>
    <w:rsid w:val="000A1DB8"/>
    <w:rsid w:val="000A1ED4"/>
    <w:rsid w:val="000A2917"/>
    <w:rsid w:val="000A48AC"/>
    <w:rsid w:val="000A4D88"/>
    <w:rsid w:val="000A503C"/>
    <w:rsid w:val="000A5076"/>
    <w:rsid w:val="000A60F0"/>
    <w:rsid w:val="000A7B5B"/>
    <w:rsid w:val="000B0088"/>
    <w:rsid w:val="000B0A5D"/>
    <w:rsid w:val="000B1A18"/>
    <w:rsid w:val="000B3EE4"/>
    <w:rsid w:val="000C01B8"/>
    <w:rsid w:val="000C16B4"/>
    <w:rsid w:val="000C1D9D"/>
    <w:rsid w:val="000C1FFD"/>
    <w:rsid w:val="000C301E"/>
    <w:rsid w:val="000C31CF"/>
    <w:rsid w:val="000C3F82"/>
    <w:rsid w:val="000C41E0"/>
    <w:rsid w:val="000C7258"/>
    <w:rsid w:val="000C746D"/>
    <w:rsid w:val="000C7B74"/>
    <w:rsid w:val="000D066A"/>
    <w:rsid w:val="000D1B2B"/>
    <w:rsid w:val="000D209D"/>
    <w:rsid w:val="000D2601"/>
    <w:rsid w:val="000D27D6"/>
    <w:rsid w:val="000D6495"/>
    <w:rsid w:val="000D7F8A"/>
    <w:rsid w:val="000E0A61"/>
    <w:rsid w:val="000E126A"/>
    <w:rsid w:val="000E130A"/>
    <w:rsid w:val="000E3D32"/>
    <w:rsid w:val="000E3E4E"/>
    <w:rsid w:val="000E3EC2"/>
    <w:rsid w:val="000E52E1"/>
    <w:rsid w:val="000E620F"/>
    <w:rsid w:val="000E62F5"/>
    <w:rsid w:val="000E76CA"/>
    <w:rsid w:val="000F275B"/>
    <w:rsid w:val="000F519A"/>
    <w:rsid w:val="000F5589"/>
    <w:rsid w:val="000F568F"/>
    <w:rsid w:val="000F61BF"/>
    <w:rsid w:val="000F7266"/>
    <w:rsid w:val="0010033D"/>
    <w:rsid w:val="001008C1"/>
    <w:rsid w:val="001008CF"/>
    <w:rsid w:val="00101393"/>
    <w:rsid w:val="0010175A"/>
    <w:rsid w:val="00101CEB"/>
    <w:rsid w:val="001021C8"/>
    <w:rsid w:val="00102E43"/>
    <w:rsid w:val="00103395"/>
    <w:rsid w:val="00103448"/>
    <w:rsid w:val="00103B30"/>
    <w:rsid w:val="001059BF"/>
    <w:rsid w:val="001059F0"/>
    <w:rsid w:val="00105DFA"/>
    <w:rsid w:val="00106D59"/>
    <w:rsid w:val="00107BB3"/>
    <w:rsid w:val="001106B9"/>
    <w:rsid w:val="001111F2"/>
    <w:rsid w:val="00113C35"/>
    <w:rsid w:val="00116A79"/>
    <w:rsid w:val="0011755D"/>
    <w:rsid w:val="00120661"/>
    <w:rsid w:val="00120D30"/>
    <w:rsid w:val="00122EF5"/>
    <w:rsid w:val="00125836"/>
    <w:rsid w:val="00125A0B"/>
    <w:rsid w:val="00125EEF"/>
    <w:rsid w:val="001274F1"/>
    <w:rsid w:val="00130BBB"/>
    <w:rsid w:val="00133216"/>
    <w:rsid w:val="001343D6"/>
    <w:rsid w:val="001343E3"/>
    <w:rsid w:val="001343F7"/>
    <w:rsid w:val="00134774"/>
    <w:rsid w:val="001362FB"/>
    <w:rsid w:val="00137617"/>
    <w:rsid w:val="00140274"/>
    <w:rsid w:val="00142A2B"/>
    <w:rsid w:val="00142E00"/>
    <w:rsid w:val="00143548"/>
    <w:rsid w:val="00143C2D"/>
    <w:rsid w:val="001503BE"/>
    <w:rsid w:val="001504D1"/>
    <w:rsid w:val="00150827"/>
    <w:rsid w:val="00151263"/>
    <w:rsid w:val="001513FA"/>
    <w:rsid w:val="00151DE1"/>
    <w:rsid w:val="00153782"/>
    <w:rsid w:val="001539F0"/>
    <w:rsid w:val="00153A3F"/>
    <w:rsid w:val="00154C42"/>
    <w:rsid w:val="00155DCC"/>
    <w:rsid w:val="00157284"/>
    <w:rsid w:val="0016096D"/>
    <w:rsid w:val="00160BA5"/>
    <w:rsid w:val="00160EFE"/>
    <w:rsid w:val="0016259F"/>
    <w:rsid w:val="00162A8D"/>
    <w:rsid w:val="0016391D"/>
    <w:rsid w:val="00163C91"/>
    <w:rsid w:val="00163D2E"/>
    <w:rsid w:val="00163FA3"/>
    <w:rsid w:val="001645E9"/>
    <w:rsid w:val="00165690"/>
    <w:rsid w:val="00165723"/>
    <w:rsid w:val="00165E3C"/>
    <w:rsid w:val="001675F8"/>
    <w:rsid w:val="0016791C"/>
    <w:rsid w:val="00172790"/>
    <w:rsid w:val="00172AA6"/>
    <w:rsid w:val="00173FB5"/>
    <w:rsid w:val="00174CAC"/>
    <w:rsid w:val="00176E32"/>
    <w:rsid w:val="001813DE"/>
    <w:rsid w:val="00181407"/>
    <w:rsid w:val="00182EDF"/>
    <w:rsid w:val="0018343B"/>
    <w:rsid w:val="0018482B"/>
    <w:rsid w:val="0018485E"/>
    <w:rsid w:val="00184A45"/>
    <w:rsid w:val="001852EC"/>
    <w:rsid w:val="00192919"/>
    <w:rsid w:val="001929B3"/>
    <w:rsid w:val="00192BDE"/>
    <w:rsid w:val="00194364"/>
    <w:rsid w:val="0019513F"/>
    <w:rsid w:val="00195141"/>
    <w:rsid w:val="001962D3"/>
    <w:rsid w:val="001966B5"/>
    <w:rsid w:val="00196F12"/>
    <w:rsid w:val="00197D3D"/>
    <w:rsid w:val="001A2322"/>
    <w:rsid w:val="001A31AD"/>
    <w:rsid w:val="001A385B"/>
    <w:rsid w:val="001A394B"/>
    <w:rsid w:val="001A67B6"/>
    <w:rsid w:val="001A6D6C"/>
    <w:rsid w:val="001B0353"/>
    <w:rsid w:val="001B04AA"/>
    <w:rsid w:val="001B37FD"/>
    <w:rsid w:val="001B39BD"/>
    <w:rsid w:val="001B3AE2"/>
    <w:rsid w:val="001B48C0"/>
    <w:rsid w:val="001B50E0"/>
    <w:rsid w:val="001B5E8D"/>
    <w:rsid w:val="001B694A"/>
    <w:rsid w:val="001B6D4D"/>
    <w:rsid w:val="001B7BB6"/>
    <w:rsid w:val="001C0E96"/>
    <w:rsid w:val="001C11B0"/>
    <w:rsid w:val="001C1494"/>
    <w:rsid w:val="001C1F8B"/>
    <w:rsid w:val="001C22C1"/>
    <w:rsid w:val="001C3F94"/>
    <w:rsid w:val="001C471E"/>
    <w:rsid w:val="001C5F9F"/>
    <w:rsid w:val="001C71C8"/>
    <w:rsid w:val="001C7279"/>
    <w:rsid w:val="001D0142"/>
    <w:rsid w:val="001D0251"/>
    <w:rsid w:val="001D031C"/>
    <w:rsid w:val="001D0347"/>
    <w:rsid w:val="001D038D"/>
    <w:rsid w:val="001D1FF9"/>
    <w:rsid w:val="001D2877"/>
    <w:rsid w:val="001D2C4F"/>
    <w:rsid w:val="001D2FB5"/>
    <w:rsid w:val="001D303D"/>
    <w:rsid w:val="001D3FD2"/>
    <w:rsid w:val="001D4884"/>
    <w:rsid w:val="001D57A8"/>
    <w:rsid w:val="001D5A07"/>
    <w:rsid w:val="001D5F43"/>
    <w:rsid w:val="001D7AB1"/>
    <w:rsid w:val="001E14FD"/>
    <w:rsid w:val="001E1F72"/>
    <w:rsid w:val="001E2186"/>
    <w:rsid w:val="001E40BD"/>
    <w:rsid w:val="001E45F1"/>
    <w:rsid w:val="001E5676"/>
    <w:rsid w:val="001E7B9D"/>
    <w:rsid w:val="001F076B"/>
    <w:rsid w:val="001F197A"/>
    <w:rsid w:val="001F1B06"/>
    <w:rsid w:val="001F1C35"/>
    <w:rsid w:val="001F22BC"/>
    <w:rsid w:val="001F2BBB"/>
    <w:rsid w:val="001F44EA"/>
    <w:rsid w:val="001F496F"/>
    <w:rsid w:val="001F4BAC"/>
    <w:rsid w:val="001F4C51"/>
    <w:rsid w:val="001F57D3"/>
    <w:rsid w:val="001F6CB9"/>
    <w:rsid w:val="00200677"/>
    <w:rsid w:val="00202570"/>
    <w:rsid w:val="002029CC"/>
    <w:rsid w:val="00204A1F"/>
    <w:rsid w:val="0020667B"/>
    <w:rsid w:val="00206A3A"/>
    <w:rsid w:val="00207F90"/>
    <w:rsid w:val="002108CA"/>
    <w:rsid w:val="0021289C"/>
    <w:rsid w:val="0021371C"/>
    <w:rsid w:val="00213C64"/>
    <w:rsid w:val="00215636"/>
    <w:rsid w:val="00217B74"/>
    <w:rsid w:val="002207B2"/>
    <w:rsid w:val="002209FB"/>
    <w:rsid w:val="00221E6C"/>
    <w:rsid w:val="002220E1"/>
    <w:rsid w:val="002220F6"/>
    <w:rsid w:val="002221BF"/>
    <w:rsid w:val="00223672"/>
    <w:rsid w:val="00223F9D"/>
    <w:rsid w:val="00225EED"/>
    <w:rsid w:val="00226B80"/>
    <w:rsid w:val="0022739F"/>
    <w:rsid w:val="0023164E"/>
    <w:rsid w:val="00231D2D"/>
    <w:rsid w:val="00231ED1"/>
    <w:rsid w:val="002328BB"/>
    <w:rsid w:val="00234638"/>
    <w:rsid w:val="00234B46"/>
    <w:rsid w:val="00240150"/>
    <w:rsid w:val="00240771"/>
    <w:rsid w:val="00241209"/>
    <w:rsid w:val="00241669"/>
    <w:rsid w:val="00242624"/>
    <w:rsid w:val="002426F6"/>
    <w:rsid w:val="00242A76"/>
    <w:rsid w:val="00243CC2"/>
    <w:rsid w:val="0024450B"/>
    <w:rsid w:val="002446D1"/>
    <w:rsid w:val="0024557E"/>
    <w:rsid w:val="002455F8"/>
    <w:rsid w:val="002513B8"/>
    <w:rsid w:val="0025183A"/>
    <w:rsid w:val="00252E6F"/>
    <w:rsid w:val="00254D21"/>
    <w:rsid w:val="00255632"/>
    <w:rsid w:val="00256878"/>
    <w:rsid w:val="002574F6"/>
    <w:rsid w:val="0025794E"/>
    <w:rsid w:val="00260034"/>
    <w:rsid w:val="00260400"/>
    <w:rsid w:val="0026049B"/>
    <w:rsid w:val="00260A04"/>
    <w:rsid w:val="00260AB4"/>
    <w:rsid w:val="002615AF"/>
    <w:rsid w:val="00261617"/>
    <w:rsid w:val="00261654"/>
    <w:rsid w:val="00262652"/>
    <w:rsid w:val="00262C14"/>
    <w:rsid w:val="00263A06"/>
    <w:rsid w:val="00266D27"/>
    <w:rsid w:val="00270714"/>
    <w:rsid w:val="00272227"/>
    <w:rsid w:val="0027274E"/>
    <w:rsid w:val="00272AE4"/>
    <w:rsid w:val="00273052"/>
    <w:rsid w:val="002736FB"/>
    <w:rsid w:val="00273DFC"/>
    <w:rsid w:val="00274948"/>
    <w:rsid w:val="00276664"/>
    <w:rsid w:val="002801C1"/>
    <w:rsid w:val="0028024C"/>
    <w:rsid w:val="00281D09"/>
    <w:rsid w:val="00282E13"/>
    <w:rsid w:val="002863D7"/>
    <w:rsid w:val="00286A69"/>
    <w:rsid w:val="00286B18"/>
    <w:rsid w:val="00286FBE"/>
    <w:rsid w:val="002873B4"/>
    <w:rsid w:val="00292777"/>
    <w:rsid w:val="00292F01"/>
    <w:rsid w:val="00293579"/>
    <w:rsid w:val="002942D0"/>
    <w:rsid w:val="00294794"/>
    <w:rsid w:val="00296BDF"/>
    <w:rsid w:val="002971AB"/>
    <w:rsid w:val="00297F2D"/>
    <w:rsid w:val="002A0133"/>
    <w:rsid w:val="002A2375"/>
    <w:rsid w:val="002A46DF"/>
    <w:rsid w:val="002A559A"/>
    <w:rsid w:val="002A676B"/>
    <w:rsid w:val="002A69DC"/>
    <w:rsid w:val="002A76BD"/>
    <w:rsid w:val="002A78A7"/>
    <w:rsid w:val="002A78AD"/>
    <w:rsid w:val="002B0282"/>
    <w:rsid w:val="002B10DB"/>
    <w:rsid w:val="002B1B65"/>
    <w:rsid w:val="002B5245"/>
    <w:rsid w:val="002B5C89"/>
    <w:rsid w:val="002B5E5B"/>
    <w:rsid w:val="002B7B4E"/>
    <w:rsid w:val="002C0272"/>
    <w:rsid w:val="002C0F16"/>
    <w:rsid w:val="002C10AB"/>
    <w:rsid w:val="002C11C2"/>
    <w:rsid w:val="002C1866"/>
    <w:rsid w:val="002C1E43"/>
    <w:rsid w:val="002C3858"/>
    <w:rsid w:val="002C3AC7"/>
    <w:rsid w:val="002C452F"/>
    <w:rsid w:val="002C52B8"/>
    <w:rsid w:val="002C52DD"/>
    <w:rsid w:val="002C6DC2"/>
    <w:rsid w:val="002D0203"/>
    <w:rsid w:val="002D03AD"/>
    <w:rsid w:val="002D09E2"/>
    <w:rsid w:val="002D109E"/>
    <w:rsid w:val="002D20B6"/>
    <w:rsid w:val="002D238C"/>
    <w:rsid w:val="002D2CAB"/>
    <w:rsid w:val="002D332F"/>
    <w:rsid w:val="002D4D5C"/>
    <w:rsid w:val="002D5DB2"/>
    <w:rsid w:val="002D600F"/>
    <w:rsid w:val="002D7907"/>
    <w:rsid w:val="002E02FC"/>
    <w:rsid w:val="002E1A90"/>
    <w:rsid w:val="002E29DD"/>
    <w:rsid w:val="002E2FAF"/>
    <w:rsid w:val="002E384C"/>
    <w:rsid w:val="002E77ED"/>
    <w:rsid w:val="002F0312"/>
    <w:rsid w:val="002F062C"/>
    <w:rsid w:val="002F2CC2"/>
    <w:rsid w:val="002F3006"/>
    <w:rsid w:val="002F377E"/>
    <w:rsid w:val="002F3976"/>
    <w:rsid w:val="002F427B"/>
    <w:rsid w:val="002F427C"/>
    <w:rsid w:val="002F4CE1"/>
    <w:rsid w:val="002F5C1A"/>
    <w:rsid w:val="002F5EB7"/>
    <w:rsid w:val="002F70A8"/>
    <w:rsid w:val="002F70EE"/>
    <w:rsid w:val="002F7387"/>
    <w:rsid w:val="002F79CD"/>
    <w:rsid w:val="00300F22"/>
    <w:rsid w:val="0030256D"/>
    <w:rsid w:val="00303301"/>
    <w:rsid w:val="003039DD"/>
    <w:rsid w:val="00304209"/>
    <w:rsid w:val="00304A37"/>
    <w:rsid w:val="003050B7"/>
    <w:rsid w:val="00305C1A"/>
    <w:rsid w:val="00305C69"/>
    <w:rsid w:val="00305EFE"/>
    <w:rsid w:val="00310ED4"/>
    <w:rsid w:val="00311273"/>
    <w:rsid w:val="00311963"/>
    <w:rsid w:val="00312301"/>
    <w:rsid w:val="003131BB"/>
    <w:rsid w:val="00313C20"/>
    <w:rsid w:val="0031492A"/>
    <w:rsid w:val="003156E7"/>
    <w:rsid w:val="00315729"/>
    <w:rsid w:val="003164EB"/>
    <w:rsid w:val="00316C1A"/>
    <w:rsid w:val="00321806"/>
    <w:rsid w:val="00321BD9"/>
    <w:rsid w:val="00322102"/>
    <w:rsid w:val="0032379E"/>
    <w:rsid w:val="00323C73"/>
    <w:rsid w:val="00324B44"/>
    <w:rsid w:val="003250AC"/>
    <w:rsid w:val="003274B6"/>
    <w:rsid w:val="0032788A"/>
    <w:rsid w:val="0033068D"/>
    <w:rsid w:val="00331141"/>
    <w:rsid w:val="00331CE2"/>
    <w:rsid w:val="0033250A"/>
    <w:rsid w:val="00335250"/>
    <w:rsid w:val="003367CD"/>
    <w:rsid w:val="00337A67"/>
    <w:rsid w:val="00341547"/>
    <w:rsid w:val="00341FA2"/>
    <w:rsid w:val="00343DBD"/>
    <w:rsid w:val="00344343"/>
    <w:rsid w:val="00344726"/>
    <w:rsid w:val="00344758"/>
    <w:rsid w:val="00344CD5"/>
    <w:rsid w:val="00345716"/>
    <w:rsid w:val="003457BB"/>
    <w:rsid w:val="00347142"/>
    <w:rsid w:val="0035037D"/>
    <w:rsid w:val="0035040D"/>
    <w:rsid w:val="00350E06"/>
    <w:rsid w:val="0035113D"/>
    <w:rsid w:val="00351230"/>
    <w:rsid w:val="00352209"/>
    <w:rsid w:val="00352A86"/>
    <w:rsid w:val="00354CD6"/>
    <w:rsid w:val="00355D2C"/>
    <w:rsid w:val="00355F88"/>
    <w:rsid w:val="00355FF6"/>
    <w:rsid w:val="003565A8"/>
    <w:rsid w:val="003565B5"/>
    <w:rsid w:val="003566EA"/>
    <w:rsid w:val="00357037"/>
    <w:rsid w:val="003601D2"/>
    <w:rsid w:val="003608F1"/>
    <w:rsid w:val="00360FC4"/>
    <w:rsid w:val="0036184A"/>
    <w:rsid w:val="00362EB7"/>
    <w:rsid w:val="00363C3C"/>
    <w:rsid w:val="00364537"/>
    <w:rsid w:val="00365D8E"/>
    <w:rsid w:val="00365EB0"/>
    <w:rsid w:val="00371598"/>
    <w:rsid w:val="00371599"/>
    <w:rsid w:val="00372AA8"/>
    <w:rsid w:val="00372C79"/>
    <w:rsid w:val="003733FB"/>
    <w:rsid w:val="00374483"/>
    <w:rsid w:val="00374D6B"/>
    <w:rsid w:val="00375048"/>
    <w:rsid w:val="0037524E"/>
    <w:rsid w:val="003752AC"/>
    <w:rsid w:val="00376EFA"/>
    <w:rsid w:val="0037737C"/>
    <w:rsid w:val="00377599"/>
    <w:rsid w:val="00377CF5"/>
    <w:rsid w:val="00381A94"/>
    <w:rsid w:val="00382794"/>
    <w:rsid w:val="00383968"/>
    <w:rsid w:val="00383C28"/>
    <w:rsid w:val="00384F39"/>
    <w:rsid w:val="00385EDA"/>
    <w:rsid w:val="0038618E"/>
    <w:rsid w:val="003869B0"/>
    <w:rsid w:val="00386F09"/>
    <w:rsid w:val="00387067"/>
    <w:rsid w:val="003878B4"/>
    <w:rsid w:val="0039071D"/>
    <w:rsid w:val="00390B4E"/>
    <w:rsid w:val="00391512"/>
    <w:rsid w:val="003929E6"/>
    <w:rsid w:val="00393577"/>
    <w:rsid w:val="00393DDC"/>
    <w:rsid w:val="0039475F"/>
    <w:rsid w:val="003951C1"/>
    <w:rsid w:val="003A0290"/>
    <w:rsid w:val="003A1E3B"/>
    <w:rsid w:val="003A384A"/>
    <w:rsid w:val="003A3B44"/>
    <w:rsid w:val="003A410F"/>
    <w:rsid w:val="003A5C6F"/>
    <w:rsid w:val="003A6A1A"/>
    <w:rsid w:val="003A6D73"/>
    <w:rsid w:val="003B0491"/>
    <w:rsid w:val="003B1920"/>
    <w:rsid w:val="003B22B8"/>
    <w:rsid w:val="003B2FAF"/>
    <w:rsid w:val="003B4BBD"/>
    <w:rsid w:val="003B51B0"/>
    <w:rsid w:val="003B575A"/>
    <w:rsid w:val="003B58D1"/>
    <w:rsid w:val="003C09BD"/>
    <w:rsid w:val="003C0B89"/>
    <w:rsid w:val="003C11B3"/>
    <w:rsid w:val="003C1D24"/>
    <w:rsid w:val="003C1FBB"/>
    <w:rsid w:val="003C2178"/>
    <w:rsid w:val="003C261C"/>
    <w:rsid w:val="003C292A"/>
    <w:rsid w:val="003C3043"/>
    <w:rsid w:val="003C3C17"/>
    <w:rsid w:val="003C40A5"/>
    <w:rsid w:val="003C528A"/>
    <w:rsid w:val="003C6356"/>
    <w:rsid w:val="003C674F"/>
    <w:rsid w:val="003D1DE9"/>
    <w:rsid w:val="003D3672"/>
    <w:rsid w:val="003D38BB"/>
    <w:rsid w:val="003D38CE"/>
    <w:rsid w:val="003D3BA4"/>
    <w:rsid w:val="003D5157"/>
    <w:rsid w:val="003D531E"/>
    <w:rsid w:val="003D67E6"/>
    <w:rsid w:val="003E1747"/>
    <w:rsid w:val="003E192A"/>
    <w:rsid w:val="003E21DB"/>
    <w:rsid w:val="003E2C7D"/>
    <w:rsid w:val="003E3231"/>
    <w:rsid w:val="003E5113"/>
    <w:rsid w:val="003E5A33"/>
    <w:rsid w:val="003E76CE"/>
    <w:rsid w:val="003F11F6"/>
    <w:rsid w:val="003F16E9"/>
    <w:rsid w:val="003F2FFF"/>
    <w:rsid w:val="003F4188"/>
    <w:rsid w:val="003F4EC3"/>
    <w:rsid w:val="003F5057"/>
    <w:rsid w:val="003F5544"/>
    <w:rsid w:val="003F6986"/>
    <w:rsid w:val="004002A3"/>
    <w:rsid w:val="004013CE"/>
    <w:rsid w:val="00402978"/>
    <w:rsid w:val="004041C3"/>
    <w:rsid w:val="0040422E"/>
    <w:rsid w:val="004043E3"/>
    <w:rsid w:val="00404D95"/>
    <w:rsid w:val="00404DF3"/>
    <w:rsid w:val="004055CD"/>
    <w:rsid w:val="0040621D"/>
    <w:rsid w:val="00411D17"/>
    <w:rsid w:val="0041210C"/>
    <w:rsid w:val="00412AAB"/>
    <w:rsid w:val="00412FDB"/>
    <w:rsid w:val="00414298"/>
    <w:rsid w:val="004147BF"/>
    <w:rsid w:val="004155C3"/>
    <w:rsid w:val="004162B8"/>
    <w:rsid w:val="0041681F"/>
    <w:rsid w:val="00416ACC"/>
    <w:rsid w:val="00420868"/>
    <w:rsid w:val="004222A9"/>
    <w:rsid w:val="00422417"/>
    <w:rsid w:val="00422C33"/>
    <w:rsid w:val="00423A70"/>
    <w:rsid w:val="004241FD"/>
    <w:rsid w:val="00424233"/>
    <w:rsid w:val="00424616"/>
    <w:rsid w:val="00425073"/>
    <w:rsid w:val="00425D3E"/>
    <w:rsid w:val="00426212"/>
    <w:rsid w:val="00426FEC"/>
    <w:rsid w:val="00432412"/>
    <w:rsid w:val="004327D7"/>
    <w:rsid w:val="00432ACA"/>
    <w:rsid w:val="00433BA0"/>
    <w:rsid w:val="00436167"/>
    <w:rsid w:val="00436E71"/>
    <w:rsid w:val="00436F55"/>
    <w:rsid w:val="004412A5"/>
    <w:rsid w:val="00442C73"/>
    <w:rsid w:val="00443719"/>
    <w:rsid w:val="00443C95"/>
    <w:rsid w:val="0044454C"/>
    <w:rsid w:val="0044691C"/>
    <w:rsid w:val="00446941"/>
    <w:rsid w:val="0044776D"/>
    <w:rsid w:val="00450A56"/>
    <w:rsid w:val="004521F0"/>
    <w:rsid w:val="00452CDF"/>
    <w:rsid w:val="00454337"/>
    <w:rsid w:val="00456E95"/>
    <w:rsid w:val="004607F4"/>
    <w:rsid w:val="00460AFA"/>
    <w:rsid w:val="00460B22"/>
    <w:rsid w:val="004637F5"/>
    <w:rsid w:val="00463CAD"/>
    <w:rsid w:val="004652AA"/>
    <w:rsid w:val="00465BCA"/>
    <w:rsid w:val="00470E43"/>
    <w:rsid w:val="00471128"/>
    <w:rsid w:val="004711C4"/>
    <w:rsid w:val="004712FB"/>
    <w:rsid w:val="004718F9"/>
    <w:rsid w:val="00471BF3"/>
    <w:rsid w:val="004727FB"/>
    <w:rsid w:val="00472EFF"/>
    <w:rsid w:val="0047346A"/>
    <w:rsid w:val="00474063"/>
    <w:rsid w:val="0047469C"/>
    <w:rsid w:val="00475429"/>
    <w:rsid w:val="0047586E"/>
    <w:rsid w:val="00475928"/>
    <w:rsid w:val="00476428"/>
    <w:rsid w:val="00476793"/>
    <w:rsid w:val="00476E74"/>
    <w:rsid w:val="004778FF"/>
    <w:rsid w:val="0048232D"/>
    <w:rsid w:val="004829AC"/>
    <w:rsid w:val="004830FE"/>
    <w:rsid w:val="00483458"/>
    <w:rsid w:val="00485E58"/>
    <w:rsid w:val="00485FB8"/>
    <w:rsid w:val="0048714B"/>
    <w:rsid w:val="004878E2"/>
    <w:rsid w:val="0049072E"/>
    <w:rsid w:val="0049111F"/>
    <w:rsid w:val="00495143"/>
    <w:rsid w:val="00495AC8"/>
    <w:rsid w:val="004960ED"/>
    <w:rsid w:val="004967BB"/>
    <w:rsid w:val="00496E13"/>
    <w:rsid w:val="004A09A3"/>
    <w:rsid w:val="004A187B"/>
    <w:rsid w:val="004A1FE0"/>
    <w:rsid w:val="004A219D"/>
    <w:rsid w:val="004A2CA6"/>
    <w:rsid w:val="004A2D3C"/>
    <w:rsid w:val="004A31B2"/>
    <w:rsid w:val="004A3BD4"/>
    <w:rsid w:val="004A68EF"/>
    <w:rsid w:val="004A724B"/>
    <w:rsid w:val="004A77D9"/>
    <w:rsid w:val="004B2266"/>
    <w:rsid w:val="004B3360"/>
    <w:rsid w:val="004B4509"/>
    <w:rsid w:val="004B4930"/>
    <w:rsid w:val="004B4C18"/>
    <w:rsid w:val="004B592F"/>
    <w:rsid w:val="004B752E"/>
    <w:rsid w:val="004B7FED"/>
    <w:rsid w:val="004C0792"/>
    <w:rsid w:val="004C0834"/>
    <w:rsid w:val="004C108C"/>
    <w:rsid w:val="004C1F20"/>
    <w:rsid w:val="004C1FB7"/>
    <w:rsid w:val="004C2335"/>
    <w:rsid w:val="004C3E3E"/>
    <w:rsid w:val="004C51FD"/>
    <w:rsid w:val="004C5F07"/>
    <w:rsid w:val="004C6146"/>
    <w:rsid w:val="004C62F7"/>
    <w:rsid w:val="004C7412"/>
    <w:rsid w:val="004D04BF"/>
    <w:rsid w:val="004D136F"/>
    <w:rsid w:val="004D2E23"/>
    <w:rsid w:val="004D2E9D"/>
    <w:rsid w:val="004D3B15"/>
    <w:rsid w:val="004D5003"/>
    <w:rsid w:val="004D59CF"/>
    <w:rsid w:val="004D5B83"/>
    <w:rsid w:val="004D653D"/>
    <w:rsid w:val="004E0A90"/>
    <w:rsid w:val="004E0DFF"/>
    <w:rsid w:val="004E0F23"/>
    <w:rsid w:val="004E1D26"/>
    <w:rsid w:val="004E1F0F"/>
    <w:rsid w:val="004E306D"/>
    <w:rsid w:val="004E35B0"/>
    <w:rsid w:val="004E37BD"/>
    <w:rsid w:val="004E392C"/>
    <w:rsid w:val="004E39D4"/>
    <w:rsid w:val="004E4DE4"/>
    <w:rsid w:val="004E501A"/>
    <w:rsid w:val="004E5FBA"/>
    <w:rsid w:val="004E6D02"/>
    <w:rsid w:val="004F026A"/>
    <w:rsid w:val="004F1381"/>
    <w:rsid w:val="004F16DB"/>
    <w:rsid w:val="004F1C7C"/>
    <w:rsid w:val="004F2484"/>
    <w:rsid w:val="004F250F"/>
    <w:rsid w:val="004F376A"/>
    <w:rsid w:val="004F3EF3"/>
    <w:rsid w:val="004F3FF7"/>
    <w:rsid w:val="004F42FA"/>
    <w:rsid w:val="004F4BEE"/>
    <w:rsid w:val="004F52F2"/>
    <w:rsid w:val="004F5544"/>
    <w:rsid w:val="004F5B17"/>
    <w:rsid w:val="004F5C9F"/>
    <w:rsid w:val="004F692A"/>
    <w:rsid w:val="004F6B39"/>
    <w:rsid w:val="00501A8E"/>
    <w:rsid w:val="005059C0"/>
    <w:rsid w:val="00506209"/>
    <w:rsid w:val="00506847"/>
    <w:rsid w:val="00506C22"/>
    <w:rsid w:val="00507910"/>
    <w:rsid w:val="00507F74"/>
    <w:rsid w:val="00510275"/>
    <w:rsid w:val="00510C7E"/>
    <w:rsid w:val="00511653"/>
    <w:rsid w:val="005123F0"/>
    <w:rsid w:val="00512ADE"/>
    <w:rsid w:val="00513540"/>
    <w:rsid w:val="00513941"/>
    <w:rsid w:val="00513D46"/>
    <w:rsid w:val="0051461C"/>
    <w:rsid w:val="005162AF"/>
    <w:rsid w:val="00516AFC"/>
    <w:rsid w:val="005176DB"/>
    <w:rsid w:val="00517AF2"/>
    <w:rsid w:val="00517C11"/>
    <w:rsid w:val="00520459"/>
    <w:rsid w:val="0052056B"/>
    <w:rsid w:val="00521422"/>
    <w:rsid w:val="00522207"/>
    <w:rsid w:val="00522927"/>
    <w:rsid w:val="005232C9"/>
    <w:rsid w:val="00523973"/>
    <w:rsid w:val="00524084"/>
    <w:rsid w:val="00526CE1"/>
    <w:rsid w:val="0052750E"/>
    <w:rsid w:val="005277BA"/>
    <w:rsid w:val="00527895"/>
    <w:rsid w:val="0053051D"/>
    <w:rsid w:val="00530FF6"/>
    <w:rsid w:val="00531154"/>
    <w:rsid w:val="0053253C"/>
    <w:rsid w:val="00533D6C"/>
    <w:rsid w:val="0053464B"/>
    <w:rsid w:val="00535918"/>
    <w:rsid w:val="00536CCF"/>
    <w:rsid w:val="00537E9F"/>
    <w:rsid w:val="00540D3E"/>
    <w:rsid w:val="00540EA9"/>
    <w:rsid w:val="00542C30"/>
    <w:rsid w:val="00543BBF"/>
    <w:rsid w:val="00544471"/>
    <w:rsid w:val="00545192"/>
    <w:rsid w:val="00545CE8"/>
    <w:rsid w:val="005470CC"/>
    <w:rsid w:val="00547161"/>
    <w:rsid w:val="00550619"/>
    <w:rsid w:val="00552DEB"/>
    <w:rsid w:val="005541F6"/>
    <w:rsid w:val="00555C73"/>
    <w:rsid w:val="00560B5C"/>
    <w:rsid w:val="00560C6F"/>
    <w:rsid w:val="00562BC9"/>
    <w:rsid w:val="00563DEF"/>
    <w:rsid w:val="00564208"/>
    <w:rsid w:val="0056568C"/>
    <w:rsid w:val="005656B6"/>
    <w:rsid w:val="00566E94"/>
    <w:rsid w:val="00571568"/>
    <w:rsid w:val="00571CEB"/>
    <w:rsid w:val="00572FC7"/>
    <w:rsid w:val="00573067"/>
    <w:rsid w:val="005730DF"/>
    <w:rsid w:val="00574C8C"/>
    <w:rsid w:val="00575B0A"/>
    <w:rsid w:val="00576C68"/>
    <w:rsid w:val="00577159"/>
    <w:rsid w:val="0058179A"/>
    <w:rsid w:val="00581C38"/>
    <w:rsid w:val="00584ACD"/>
    <w:rsid w:val="00586E0A"/>
    <w:rsid w:val="00591951"/>
    <w:rsid w:val="005919E3"/>
    <w:rsid w:val="005919F8"/>
    <w:rsid w:val="005920E8"/>
    <w:rsid w:val="00592A5D"/>
    <w:rsid w:val="0059304A"/>
    <w:rsid w:val="005933FE"/>
    <w:rsid w:val="005936E1"/>
    <w:rsid w:val="00594108"/>
    <w:rsid w:val="00594B72"/>
    <w:rsid w:val="005969DB"/>
    <w:rsid w:val="00597C22"/>
    <w:rsid w:val="005A1BD8"/>
    <w:rsid w:val="005A22D1"/>
    <w:rsid w:val="005A3695"/>
    <w:rsid w:val="005A4D49"/>
    <w:rsid w:val="005A53E2"/>
    <w:rsid w:val="005A55BC"/>
    <w:rsid w:val="005A5997"/>
    <w:rsid w:val="005A688F"/>
    <w:rsid w:val="005A7027"/>
    <w:rsid w:val="005A7145"/>
    <w:rsid w:val="005A7539"/>
    <w:rsid w:val="005A76E2"/>
    <w:rsid w:val="005B095A"/>
    <w:rsid w:val="005B1AD3"/>
    <w:rsid w:val="005B1BAC"/>
    <w:rsid w:val="005B3227"/>
    <w:rsid w:val="005B356E"/>
    <w:rsid w:val="005B4C91"/>
    <w:rsid w:val="005B75A9"/>
    <w:rsid w:val="005C0CFE"/>
    <w:rsid w:val="005C1FFA"/>
    <w:rsid w:val="005C2E57"/>
    <w:rsid w:val="005C3BF9"/>
    <w:rsid w:val="005C43D6"/>
    <w:rsid w:val="005C4D80"/>
    <w:rsid w:val="005C5D41"/>
    <w:rsid w:val="005C7D36"/>
    <w:rsid w:val="005C7E0E"/>
    <w:rsid w:val="005D0D84"/>
    <w:rsid w:val="005D1ADB"/>
    <w:rsid w:val="005D1F34"/>
    <w:rsid w:val="005D383D"/>
    <w:rsid w:val="005D3F3A"/>
    <w:rsid w:val="005D458C"/>
    <w:rsid w:val="005E01DD"/>
    <w:rsid w:val="005E0BF4"/>
    <w:rsid w:val="005E1FCE"/>
    <w:rsid w:val="005E543A"/>
    <w:rsid w:val="005F4BA0"/>
    <w:rsid w:val="005F4DB7"/>
    <w:rsid w:val="005F4E11"/>
    <w:rsid w:val="005F5AA2"/>
    <w:rsid w:val="005F5E22"/>
    <w:rsid w:val="005F62FD"/>
    <w:rsid w:val="00601608"/>
    <w:rsid w:val="00601A0C"/>
    <w:rsid w:val="00601FE6"/>
    <w:rsid w:val="00602862"/>
    <w:rsid w:val="00603426"/>
    <w:rsid w:val="006038DA"/>
    <w:rsid w:val="0060553B"/>
    <w:rsid w:val="00607455"/>
    <w:rsid w:val="00610C12"/>
    <w:rsid w:val="006140BA"/>
    <w:rsid w:val="00614DBE"/>
    <w:rsid w:val="00615228"/>
    <w:rsid w:val="00615673"/>
    <w:rsid w:val="006161E0"/>
    <w:rsid w:val="006175FF"/>
    <w:rsid w:val="00617A4B"/>
    <w:rsid w:val="00617C66"/>
    <w:rsid w:val="00623083"/>
    <w:rsid w:val="0062654F"/>
    <w:rsid w:val="006267DD"/>
    <w:rsid w:val="00630AEB"/>
    <w:rsid w:val="0063233E"/>
    <w:rsid w:val="00632AEE"/>
    <w:rsid w:val="00634BD9"/>
    <w:rsid w:val="006350A0"/>
    <w:rsid w:val="006353EA"/>
    <w:rsid w:val="00636229"/>
    <w:rsid w:val="00636DC9"/>
    <w:rsid w:val="0063746D"/>
    <w:rsid w:val="00640231"/>
    <w:rsid w:val="006403FD"/>
    <w:rsid w:val="00643463"/>
    <w:rsid w:val="00644743"/>
    <w:rsid w:val="006454F2"/>
    <w:rsid w:val="00646366"/>
    <w:rsid w:val="006464DB"/>
    <w:rsid w:val="006470B2"/>
    <w:rsid w:val="00647804"/>
    <w:rsid w:val="00651778"/>
    <w:rsid w:val="006525BF"/>
    <w:rsid w:val="006535FC"/>
    <w:rsid w:val="00653DDF"/>
    <w:rsid w:val="00654793"/>
    <w:rsid w:val="006554F6"/>
    <w:rsid w:val="00657CB0"/>
    <w:rsid w:val="0066055B"/>
    <w:rsid w:val="00660596"/>
    <w:rsid w:val="00661383"/>
    <w:rsid w:val="0066285B"/>
    <w:rsid w:val="00662B83"/>
    <w:rsid w:val="0066351B"/>
    <w:rsid w:val="00666244"/>
    <w:rsid w:val="00666329"/>
    <w:rsid w:val="0066675F"/>
    <w:rsid w:val="00667AEE"/>
    <w:rsid w:val="006724BD"/>
    <w:rsid w:val="0067385D"/>
    <w:rsid w:val="00673B82"/>
    <w:rsid w:val="0067402A"/>
    <w:rsid w:val="00674210"/>
    <w:rsid w:val="00675556"/>
    <w:rsid w:val="00675A51"/>
    <w:rsid w:val="00680CE0"/>
    <w:rsid w:val="00680E18"/>
    <w:rsid w:val="00680E41"/>
    <w:rsid w:val="00681A66"/>
    <w:rsid w:val="0068210E"/>
    <w:rsid w:val="00682A33"/>
    <w:rsid w:val="006832F4"/>
    <w:rsid w:val="00686007"/>
    <w:rsid w:val="0068604B"/>
    <w:rsid w:val="00686B0C"/>
    <w:rsid w:val="00687C73"/>
    <w:rsid w:val="006902E2"/>
    <w:rsid w:val="006907A5"/>
    <w:rsid w:val="006909C4"/>
    <w:rsid w:val="006919A8"/>
    <w:rsid w:val="00691CCA"/>
    <w:rsid w:val="006928E8"/>
    <w:rsid w:val="00692D5E"/>
    <w:rsid w:val="00692E16"/>
    <w:rsid w:val="0069461A"/>
    <w:rsid w:val="00695847"/>
    <w:rsid w:val="00695C04"/>
    <w:rsid w:val="006969A8"/>
    <w:rsid w:val="00697FD6"/>
    <w:rsid w:val="006A1183"/>
    <w:rsid w:val="006A1262"/>
    <w:rsid w:val="006A2AAA"/>
    <w:rsid w:val="006A3E01"/>
    <w:rsid w:val="006A468C"/>
    <w:rsid w:val="006A5111"/>
    <w:rsid w:val="006A62DF"/>
    <w:rsid w:val="006A6353"/>
    <w:rsid w:val="006A6BB3"/>
    <w:rsid w:val="006A7EF5"/>
    <w:rsid w:val="006B05EF"/>
    <w:rsid w:val="006B09FE"/>
    <w:rsid w:val="006B218A"/>
    <w:rsid w:val="006B4265"/>
    <w:rsid w:val="006B56D7"/>
    <w:rsid w:val="006B5938"/>
    <w:rsid w:val="006B5947"/>
    <w:rsid w:val="006B776F"/>
    <w:rsid w:val="006C0892"/>
    <w:rsid w:val="006C0DA8"/>
    <w:rsid w:val="006C147C"/>
    <w:rsid w:val="006C1F1A"/>
    <w:rsid w:val="006C204D"/>
    <w:rsid w:val="006C241C"/>
    <w:rsid w:val="006C2F25"/>
    <w:rsid w:val="006C3A2F"/>
    <w:rsid w:val="006C418A"/>
    <w:rsid w:val="006C46B4"/>
    <w:rsid w:val="006C49CD"/>
    <w:rsid w:val="006C5165"/>
    <w:rsid w:val="006C5875"/>
    <w:rsid w:val="006C7E8C"/>
    <w:rsid w:val="006D0B73"/>
    <w:rsid w:val="006D102E"/>
    <w:rsid w:val="006D1227"/>
    <w:rsid w:val="006D269D"/>
    <w:rsid w:val="006D3571"/>
    <w:rsid w:val="006D3AC6"/>
    <w:rsid w:val="006D4578"/>
    <w:rsid w:val="006D5211"/>
    <w:rsid w:val="006D5EE5"/>
    <w:rsid w:val="006D6121"/>
    <w:rsid w:val="006E1565"/>
    <w:rsid w:val="006E18CD"/>
    <w:rsid w:val="006E2126"/>
    <w:rsid w:val="006E2E9F"/>
    <w:rsid w:val="006E342A"/>
    <w:rsid w:val="006E3D76"/>
    <w:rsid w:val="006E5C0A"/>
    <w:rsid w:val="006E5CEB"/>
    <w:rsid w:val="006E5D32"/>
    <w:rsid w:val="006E5E21"/>
    <w:rsid w:val="006E68B3"/>
    <w:rsid w:val="006E6D3B"/>
    <w:rsid w:val="006F1124"/>
    <w:rsid w:val="006F2325"/>
    <w:rsid w:val="006F315D"/>
    <w:rsid w:val="006F4782"/>
    <w:rsid w:val="006F622B"/>
    <w:rsid w:val="006F632D"/>
    <w:rsid w:val="006F648A"/>
    <w:rsid w:val="006F7D03"/>
    <w:rsid w:val="00701690"/>
    <w:rsid w:val="0070219C"/>
    <w:rsid w:val="00702B54"/>
    <w:rsid w:val="00703696"/>
    <w:rsid w:val="00704F97"/>
    <w:rsid w:val="00705063"/>
    <w:rsid w:val="00705B08"/>
    <w:rsid w:val="00707084"/>
    <w:rsid w:val="00707BA6"/>
    <w:rsid w:val="007102F1"/>
    <w:rsid w:val="007118A4"/>
    <w:rsid w:val="007123FD"/>
    <w:rsid w:val="007128BE"/>
    <w:rsid w:val="007136F2"/>
    <w:rsid w:val="0071514C"/>
    <w:rsid w:val="007169B9"/>
    <w:rsid w:val="00716FAF"/>
    <w:rsid w:val="0072058A"/>
    <w:rsid w:val="0072059B"/>
    <w:rsid w:val="00720E57"/>
    <w:rsid w:val="00721093"/>
    <w:rsid w:val="007210A6"/>
    <w:rsid w:val="007239AA"/>
    <w:rsid w:val="00725280"/>
    <w:rsid w:val="00725937"/>
    <w:rsid w:val="00726A9C"/>
    <w:rsid w:val="00726E8D"/>
    <w:rsid w:val="007301FA"/>
    <w:rsid w:val="007304FB"/>
    <w:rsid w:val="00730BD2"/>
    <w:rsid w:val="00731AB7"/>
    <w:rsid w:val="0073206D"/>
    <w:rsid w:val="007328BD"/>
    <w:rsid w:val="00732E0F"/>
    <w:rsid w:val="00734062"/>
    <w:rsid w:val="00737746"/>
    <w:rsid w:val="00740015"/>
    <w:rsid w:val="0074005C"/>
    <w:rsid w:val="0074085C"/>
    <w:rsid w:val="0074145E"/>
    <w:rsid w:val="00741B85"/>
    <w:rsid w:val="00742284"/>
    <w:rsid w:val="00743D34"/>
    <w:rsid w:val="00750F0D"/>
    <w:rsid w:val="00751B96"/>
    <w:rsid w:val="00753604"/>
    <w:rsid w:val="007540BD"/>
    <w:rsid w:val="007540BF"/>
    <w:rsid w:val="00754425"/>
    <w:rsid w:val="00755748"/>
    <w:rsid w:val="0075724F"/>
    <w:rsid w:val="007575E7"/>
    <w:rsid w:val="007579F7"/>
    <w:rsid w:val="00757AC9"/>
    <w:rsid w:val="0076086B"/>
    <w:rsid w:val="0076088A"/>
    <w:rsid w:val="0076127D"/>
    <w:rsid w:val="00762A44"/>
    <w:rsid w:val="00764889"/>
    <w:rsid w:val="00764E8C"/>
    <w:rsid w:val="00765347"/>
    <w:rsid w:val="00766184"/>
    <w:rsid w:val="00767F47"/>
    <w:rsid w:val="00770DCB"/>
    <w:rsid w:val="00772AE1"/>
    <w:rsid w:val="00772CB5"/>
    <w:rsid w:val="00773ACC"/>
    <w:rsid w:val="00775485"/>
    <w:rsid w:val="007767AC"/>
    <w:rsid w:val="00776AB7"/>
    <w:rsid w:val="007832DF"/>
    <w:rsid w:val="00783EFA"/>
    <w:rsid w:val="007845C7"/>
    <w:rsid w:val="00785BA9"/>
    <w:rsid w:val="007870F1"/>
    <w:rsid w:val="0078727C"/>
    <w:rsid w:val="007912BE"/>
    <w:rsid w:val="00791617"/>
    <w:rsid w:val="00792B02"/>
    <w:rsid w:val="00793680"/>
    <w:rsid w:val="007939DD"/>
    <w:rsid w:val="007941DC"/>
    <w:rsid w:val="00796D2B"/>
    <w:rsid w:val="007A063F"/>
    <w:rsid w:val="007A2222"/>
    <w:rsid w:val="007A2261"/>
    <w:rsid w:val="007A443E"/>
    <w:rsid w:val="007A509B"/>
    <w:rsid w:val="007A5A2F"/>
    <w:rsid w:val="007A5D7A"/>
    <w:rsid w:val="007B0300"/>
    <w:rsid w:val="007B1306"/>
    <w:rsid w:val="007B1CC7"/>
    <w:rsid w:val="007B1FC9"/>
    <w:rsid w:val="007B2379"/>
    <w:rsid w:val="007B291A"/>
    <w:rsid w:val="007B2BB6"/>
    <w:rsid w:val="007B3534"/>
    <w:rsid w:val="007B3B08"/>
    <w:rsid w:val="007B5945"/>
    <w:rsid w:val="007B6E0C"/>
    <w:rsid w:val="007B7FE2"/>
    <w:rsid w:val="007C0520"/>
    <w:rsid w:val="007C0F1C"/>
    <w:rsid w:val="007C13D3"/>
    <w:rsid w:val="007C15F4"/>
    <w:rsid w:val="007C3120"/>
    <w:rsid w:val="007C34BF"/>
    <w:rsid w:val="007C3756"/>
    <w:rsid w:val="007C3A9C"/>
    <w:rsid w:val="007C458D"/>
    <w:rsid w:val="007C520D"/>
    <w:rsid w:val="007C6537"/>
    <w:rsid w:val="007C6888"/>
    <w:rsid w:val="007C7447"/>
    <w:rsid w:val="007C7FC7"/>
    <w:rsid w:val="007D00F8"/>
    <w:rsid w:val="007D1259"/>
    <w:rsid w:val="007D1E7C"/>
    <w:rsid w:val="007D2359"/>
    <w:rsid w:val="007D2D70"/>
    <w:rsid w:val="007D30A5"/>
    <w:rsid w:val="007D352E"/>
    <w:rsid w:val="007D3B47"/>
    <w:rsid w:val="007D3C91"/>
    <w:rsid w:val="007D488C"/>
    <w:rsid w:val="007D57B1"/>
    <w:rsid w:val="007D593F"/>
    <w:rsid w:val="007E0254"/>
    <w:rsid w:val="007E053E"/>
    <w:rsid w:val="007E0CC7"/>
    <w:rsid w:val="007E2D17"/>
    <w:rsid w:val="007E4AFE"/>
    <w:rsid w:val="007E4BEE"/>
    <w:rsid w:val="007E5440"/>
    <w:rsid w:val="007E5B88"/>
    <w:rsid w:val="007E6164"/>
    <w:rsid w:val="007E67A4"/>
    <w:rsid w:val="007E6E87"/>
    <w:rsid w:val="007E759B"/>
    <w:rsid w:val="007E7DF3"/>
    <w:rsid w:val="007F0C52"/>
    <w:rsid w:val="007F0D0B"/>
    <w:rsid w:val="007F1280"/>
    <w:rsid w:val="007F1515"/>
    <w:rsid w:val="007F15E7"/>
    <w:rsid w:val="007F1DBB"/>
    <w:rsid w:val="007F2E90"/>
    <w:rsid w:val="007F323C"/>
    <w:rsid w:val="007F3D50"/>
    <w:rsid w:val="007F64AA"/>
    <w:rsid w:val="007F69FE"/>
    <w:rsid w:val="007F76DA"/>
    <w:rsid w:val="007F7E1E"/>
    <w:rsid w:val="00800244"/>
    <w:rsid w:val="008007A8"/>
    <w:rsid w:val="008026AD"/>
    <w:rsid w:val="00802C27"/>
    <w:rsid w:val="00802D2B"/>
    <w:rsid w:val="00803A63"/>
    <w:rsid w:val="00803BCF"/>
    <w:rsid w:val="00803CF3"/>
    <w:rsid w:val="008042D9"/>
    <w:rsid w:val="008055E2"/>
    <w:rsid w:val="008067E1"/>
    <w:rsid w:val="008073FA"/>
    <w:rsid w:val="00810564"/>
    <w:rsid w:val="0081163F"/>
    <w:rsid w:val="008117B9"/>
    <w:rsid w:val="00812014"/>
    <w:rsid w:val="008122DF"/>
    <w:rsid w:val="00814FC0"/>
    <w:rsid w:val="0081569C"/>
    <w:rsid w:val="00816376"/>
    <w:rsid w:val="00816E40"/>
    <w:rsid w:val="00817BAB"/>
    <w:rsid w:val="00817E4C"/>
    <w:rsid w:val="00817FFB"/>
    <w:rsid w:val="00824CE5"/>
    <w:rsid w:val="00824F2A"/>
    <w:rsid w:val="00830D49"/>
    <w:rsid w:val="008316A0"/>
    <w:rsid w:val="00831E3C"/>
    <w:rsid w:val="00832D5E"/>
    <w:rsid w:val="00833D76"/>
    <w:rsid w:val="008370DF"/>
    <w:rsid w:val="0083762C"/>
    <w:rsid w:val="008400CA"/>
    <w:rsid w:val="008412DB"/>
    <w:rsid w:val="00841E70"/>
    <w:rsid w:val="008432A2"/>
    <w:rsid w:val="00843660"/>
    <w:rsid w:val="00844494"/>
    <w:rsid w:val="0084473C"/>
    <w:rsid w:val="0084605A"/>
    <w:rsid w:val="00846CA4"/>
    <w:rsid w:val="00850040"/>
    <w:rsid w:val="0085074B"/>
    <w:rsid w:val="00850B45"/>
    <w:rsid w:val="008514BB"/>
    <w:rsid w:val="008526A0"/>
    <w:rsid w:val="00852DB3"/>
    <w:rsid w:val="00852E05"/>
    <w:rsid w:val="00855E62"/>
    <w:rsid w:val="00856111"/>
    <w:rsid w:val="008564CC"/>
    <w:rsid w:val="00856A48"/>
    <w:rsid w:val="00857734"/>
    <w:rsid w:val="00860404"/>
    <w:rsid w:val="00863A82"/>
    <w:rsid w:val="00864529"/>
    <w:rsid w:val="00864EA4"/>
    <w:rsid w:val="00864F9A"/>
    <w:rsid w:val="008667F7"/>
    <w:rsid w:val="00867754"/>
    <w:rsid w:val="00870FF7"/>
    <w:rsid w:val="00871082"/>
    <w:rsid w:val="008724DE"/>
    <w:rsid w:val="00873848"/>
    <w:rsid w:val="00874001"/>
    <w:rsid w:val="00875416"/>
    <w:rsid w:val="008756FD"/>
    <w:rsid w:val="00876182"/>
    <w:rsid w:val="00876D9D"/>
    <w:rsid w:val="00881325"/>
    <w:rsid w:val="00881344"/>
    <w:rsid w:val="00882216"/>
    <w:rsid w:val="00883176"/>
    <w:rsid w:val="00884239"/>
    <w:rsid w:val="00884349"/>
    <w:rsid w:val="00884A4B"/>
    <w:rsid w:val="00884F7C"/>
    <w:rsid w:val="00886877"/>
    <w:rsid w:val="00886E70"/>
    <w:rsid w:val="00886EE1"/>
    <w:rsid w:val="0088731B"/>
    <w:rsid w:val="00891C08"/>
    <w:rsid w:val="008935AE"/>
    <w:rsid w:val="00893F8E"/>
    <w:rsid w:val="0089438E"/>
    <w:rsid w:val="008950C4"/>
    <w:rsid w:val="00895BB3"/>
    <w:rsid w:val="00895D70"/>
    <w:rsid w:val="008967C6"/>
    <w:rsid w:val="008A123B"/>
    <w:rsid w:val="008A34C9"/>
    <w:rsid w:val="008A3A23"/>
    <w:rsid w:val="008A3D57"/>
    <w:rsid w:val="008A4486"/>
    <w:rsid w:val="008A5A6A"/>
    <w:rsid w:val="008A5DBC"/>
    <w:rsid w:val="008A6774"/>
    <w:rsid w:val="008B13AA"/>
    <w:rsid w:val="008B1610"/>
    <w:rsid w:val="008B1990"/>
    <w:rsid w:val="008B1AED"/>
    <w:rsid w:val="008B23BC"/>
    <w:rsid w:val="008B2DF3"/>
    <w:rsid w:val="008B2E14"/>
    <w:rsid w:val="008B2E22"/>
    <w:rsid w:val="008B3E86"/>
    <w:rsid w:val="008B422C"/>
    <w:rsid w:val="008B78EB"/>
    <w:rsid w:val="008C0916"/>
    <w:rsid w:val="008C1C62"/>
    <w:rsid w:val="008C38D0"/>
    <w:rsid w:val="008C7F6F"/>
    <w:rsid w:val="008D031F"/>
    <w:rsid w:val="008D09FE"/>
    <w:rsid w:val="008D1468"/>
    <w:rsid w:val="008D3A63"/>
    <w:rsid w:val="008D3CA6"/>
    <w:rsid w:val="008D4795"/>
    <w:rsid w:val="008D48C5"/>
    <w:rsid w:val="008E339E"/>
    <w:rsid w:val="008E3D60"/>
    <w:rsid w:val="008E3F4C"/>
    <w:rsid w:val="008E5E1C"/>
    <w:rsid w:val="008E630B"/>
    <w:rsid w:val="008E633B"/>
    <w:rsid w:val="008E6716"/>
    <w:rsid w:val="008E6C84"/>
    <w:rsid w:val="008E72AB"/>
    <w:rsid w:val="008E7B61"/>
    <w:rsid w:val="008F0EF9"/>
    <w:rsid w:val="008F2864"/>
    <w:rsid w:val="008F482F"/>
    <w:rsid w:val="008F4EF1"/>
    <w:rsid w:val="008F5B29"/>
    <w:rsid w:val="008F75F4"/>
    <w:rsid w:val="008F763A"/>
    <w:rsid w:val="0090003A"/>
    <w:rsid w:val="009001AF"/>
    <w:rsid w:val="00900219"/>
    <w:rsid w:val="0090165F"/>
    <w:rsid w:val="00901B82"/>
    <w:rsid w:val="00902A16"/>
    <w:rsid w:val="00903090"/>
    <w:rsid w:val="0090328F"/>
    <w:rsid w:val="00903D1D"/>
    <w:rsid w:val="00903D3D"/>
    <w:rsid w:val="00904F01"/>
    <w:rsid w:val="00905485"/>
    <w:rsid w:val="009055FC"/>
    <w:rsid w:val="00906657"/>
    <w:rsid w:val="00906D39"/>
    <w:rsid w:val="00907DF6"/>
    <w:rsid w:val="00907E0C"/>
    <w:rsid w:val="0091181B"/>
    <w:rsid w:val="00911CA7"/>
    <w:rsid w:val="00912B09"/>
    <w:rsid w:val="0091327A"/>
    <w:rsid w:val="00914387"/>
    <w:rsid w:val="009150E3"/>
    <w:rsid w:val="00917318"/>
    <w:rsid w:val="00920051"/>
    <w:rsid w:val="009236B4"/>
    <w:rsid w:val="009238B6"/>
    <w:rsid w:val="00924596"/>
    <w:rsid w:val="0092496D"/>
    <w:rsid w:val="00924CDD"/>
    <w:rsid w:val="0092595A"/>
    <w:rsid w:val="009262EE"/>
    <w:rsid w:val="00926FB8"/>
    <w:rsid w:val="00927C2B"/>
    <w:rsid w:val="00930D82"/>
    <w:rsid w:val="00931091"/>
    <w:rsid w:val="00932329"/>
    <w:rsid w:val="0093449C"/>
    <w:rsid w:val="00934A79"/>
    <w:rsid w:val="009356C4"/>
    <w:rsid w:val="009364A8"/>
    <w:rsid w:val="00937523"/>
    <w:rsid w:val="00940786"/>
    <w:rsid w:val="0094174F"/>
    <w:rsid w:val="0094242D"/>
    <w:rsid w:val="00943781"/>
    <w:rsid w:val="00944297"/>
    <w:rsid w:val="00944C96"/>
    <w:rsid w:val="00947394"/>
    <w:rsid w:val="0094764E"/>
    <w:rsid w:val="00947787"/>
    <w:rsid w:val="0095024B"/>
    <w:rsid w:val="00950E6C"/>
    <w:rsid w:val="00951187"/>
    <w:rsid w:val="00951320"/>
    <w:rsid w:val="009515AC"/>
    <w:rsid w:val="00952D2E"/>
    <w:rsid w:val="00952D90"/>
    <w:rsid w:val="00953972"/>
    <w:rsid w:val="00953B81"/>
    <w:rsid w:val="009549D7"/>
    <w:rsid w:val="00956B74"/>
    <w:rsid w:val="00957907"/>
    <w:rsid w:val="00957A12"/>
    <w:rsid w:val="0096011C"/>
    <w:rsid w:val="00963277"/>
    <w:rsid w:val="009639D4"/>
    <w:rsid w:val="00963C7F"/>
    <w:rsid w:val="0096573A"/>
    <w:rsid w:val="009668AC"/>
    <w:rsid w:val="00966C2F"/>
    <w:rsid w:val="009678D1"/>
    <w:rsid w:val="00967954"/>
    <w:rsid w:val="0097160A"/>
    <w:rsid w:val="00972D6A"/>
    <w:rsid w:val="00973A4C"/>
    <w:rsid w:val="0097512B"/>
    <w:rsid w:val="00976B01"/>
    <w:rsid w:val="00977137"/>
    <w:rsid w:val="00980358"/>
    <w:rsid w:val="00980E0E"/>
    <w:rsid w:val="0098154F"/>
    <w:rsid w:val="00981923"/>
    <w:rsid w:val="00982354"/>
    <w:rsid w:val="00982A26"/>
    <w:rsid w:val="0098300F"/>
    <w:rsid w:val="00983767"/>
    <w:rsid w:val="00985A99"/>
    <w:rsid w:val="00985E70"/>
    <w:rsid w:val="00990499"/>
    <w:rsid w:val="009907CC"/>
    <w:rsid w:val="00990B93"/>
    <w:rsid w:val="00990BBE"/>
    <w:rsid w:val="00991929"/>
    <w:rsid w:val="00991956"/>
    <w:rsid w:val="00991CE8"/>
    <w:rsid w:val="0099229D"/>
    <w:rsid w:val="0099445B"/>
    <w:rsid w:val="00994FA6"/>
    <w:rsid w:val="00995404"/>
    <w:rsid w:val="009965CF"/>
    <w:rsid w:val="009977C9"/>
    <w:rsid w:val="009A3C11"/>
    <w:rsid w:val="009A49F8"/>
    <w:rsid w:val="009A5CE5"/>
    <w:rsid w:val="009B0D87"/>
    <w:rsid w:val="009B1B17"/>
    <w:rsid w:val="009B3FA5"/>
    <w:rsid w:val="009B455B"/>
    <w:rsid w:val="009B536A"/>
    <w:rsid w:val="009B5B6D"/>
    <w:rsid w:val="009B79BA"/>
    <w:rsid w:val="009C0498"/>
    <w:rsid w:val="009C264E"/>
    <w:rsid w:val="009C4820"/>
    <w:rsid w:val="009C4F2E"/>
    <w:rsid w:val="009C5412"/>
    <w:rsid w:val="009C59D7"/>
    <w:rsid w:val="009C6297"/>
    <w:rsid w:val="009D056F"/>
    <w:rsid w:val="009D2C42"/>
    <w:rsid w:val="009D36DF"/>
    <w:rsid w:val="009D3704"/>
    <w:rsid w:val="009D3734"/>
    <w:rsid w:val="009D3BD5"/>
    <w:rsid w:val="009D5DD4"/>
    <w:rsid w:val="009D638D"/>
    <w:rsid w:val="009D67F6"/>
    <w:rsid w:val="009D6FB0"/>
    <w:rsid w:val="009E0FE1"/>
    <w:rsid w:val="009E18E4"/>
    <w:rsid w:val="009E538D"/>
    <w:rsid w:val="009E77F6"/>
    <w:rsid w:val="009F0E67"/>
    <w:rsid w:val="009F118D"/>
    <w:rsid w:val="009F11A1"/>
    <w:rsid w:val="009F2114"/>
    <w:rsid w:val="009F2764"/>
    <w:rsid w:val="009F27DF"/>
    <w:rsid w:val="009F30BD"/>
    <w:rsid w:val="009F319C"/>
    <w:rsid w:val="009F3A33"/>
    <w:rsid w:val="009F534D"/>
    <w:rsid w:val="009F5E85"/>
    <w:rsid w:val="009F66E3"/>
    <w:rsid w:val="009F72D1"/>
    <w:rsid w:val="00A00378"/>
    <w:rsid w:val="00A0070D"/>
    <w:rsid w:val="00A0146F"/>
    <w:rsid w:val="00A032A1"/>
    <w:rsid w:val="00A038BC"/>
    <w:rsid w:val="00A0406E"/>
    <w:rsid w:val="00A042E2"/>
    <w:rsid w:val="00A062CC"/>
    <w:rsid w:val="00A07173"/>
    <w:rsid w:val="00A10D0D"/>
    <w:rsid w:val="00A10ED6"/>
    <w:rsid w:val="00A11307"/>
    <w:rsid w:val="00A11F24"/>
    <w:rsid w:val="00A1264E"/>
    <w:rsid w:val="00A12948"/>
    <w:rsid w:val="00A12D47"/>
    <w:rsid w:val="00A13AF3"/>
    <w:rsid w:val="00A153DE"/>
    <w:rsid w:val="00A20145"/>
    <w:rsid w:val="00A20466"/>
    <w:rsid w:val="00A207E4"/>
    <w:rsid w:val="00A21388"/>
    <w:rsid w:val="00A230E0"/>
    <w:rsid w:val="00A2364B"/>
    <w:rsid w:val="00A2383C"/>
    <w:rsid w:val="00A23E31"/>
    <w:rsid w:val="00A254B5"/>
    <w:rsid w:val="00A2678F"/>
    <w:rsid w:val="00A27134"/>
    <w:rsid w:val="00A275F5"/>
    <w:rsid w:val="00A27791"/>
    <w:rsid w:val="00A3010A"/>
    <w:rsid w:val="00A30278"/>
    <w:rsid w:val="00A310FA"/>
    <w:rsid w:val="00A34427"/>
    <w:rsid w:val="00A35123"/>
    <w:rsid w:val="00A356AE"/>
    <w:rsid w:val="00A37B2B"/>
    <w:rsid w:val="00A40A33"/>
    <w:rsid w:val="00A40C3B"/>
    <w:rsid w:val="00A41355"/>
    <w:rsid w:val="00A41867"/>
    <w:rsid w:val="00A424AB"/>
    <w:rsid w:val="00A43805"/>
    <w:rsid w:val="00A43B92"/>
    <w:rsid w:val="00A4417B"/>
    <w:rsid w:val="00A46915"/>
    <w:rsid w:val="00A51836"/>
    <w:rsid w:val="00A528B8"/>
    <w:rsid w:val="00A52AB6"/>
    <w:rsid w:val="00A530C9"/>
    <w:rsid w:val="00A54251"/>
    <w:rsid w:val="00A54659"/>
    <w:rsid w:val="00A55F16"/>
    <w:rsid w:val="00A56984"/>
    <w:rsid w:val="00A56EF7"/>
    <w:rsid w:val="00A614F0"/>
    <w:rsid w:val="00A6179E"/>
    <w:rsid w:val="00A61CBC"/>
    <w:rsid w:val="00A61D7E"/>
    <w:rsid w:val="00A629B5"/>
    <w:rsid w:val="00A62A30"/>
    <w:rsid w:val="00A63431"/>
    <w:rsid w:val="00A64316"/>
    <w:rsid w:val="00A64757"/>
    <w:rsid w:val="00A66390"/>
    <w:rsid w:val="00A67486"/>
    <w:rsid w:val="00A710DD"/>
    <w:rsid w:val="00A71380"/>
    <w:rsid w:val="00A71A24"/>
    <w:rsid w:val="00A7207A"/>
    <w:rsid w:val="00A72B90"/>
    <w:rsid w:val="00A72BED"/>
    <w:rsid w:val="00A7552F"/>
    <w:rsid w:val="00A76444"/>
    <w:rsid w:val="00A77F94"/>
    <w:rsid w:val="00A800A1"/>
    <w:rsid w:val="00A804D9"/>
    <w:rsid w:val="00A8144D"/>
    <w:rsid w:val="00A8175A"/>
    <w:rsid w:val="00A81856"/>
    <w:rsid w:val="00A81E09"/>
    <w:rsid w:val="00A82C52"/>
    <w:rsid w:val="00A8451D"/>
    <w:rsid w:val="00A8507E"/>
    <w:rsid w:val="00A865BC"/>
    <w:rsid w:val="00A9096F"/>
    <w:rsid w:val="00A90DDC"/>
    <w:rsid w:val="00A90F6B"/>
    <w:rsid w:val="00A92915"/>
    <w:rsid w:val="00A92B88"/>
    <w:rsid w:val="00A92F92"/>
    <w:rsid w:val="00A946CE"/>
    <w:rsid w:val="00A94BC1"/>
    <w:rsid w:val="00A95DD1"/>
    <w:rsid w:val="00A96608"/>
    <w:rsid w:val="00A96892"/>
    <w:rsid w:val="00A9777C"/>
    <w:rsid w:val="00AA0492"/>
    <w:rsid w:val="00AA1E73"/>
    <w:rsid w:val="00AA2051"/>
    <w:rsid w:val="00AA3082"/>
    <w:rsid w:val="00AA42FA"/>
    <w:rsid w:val="00AA4521"/>
    <w:rsid w:val="00AA74C5"/>
    <w:rsid w:val="00AA7E0D"/>
    <w:rsid w:val="00AB30E2"/>
    <w:rsid w:val="00AB3D1E"/>
    <w:rsid w:val="00AB3E1A"/>
    <w:rsid w:val="00AB40F6"/>
    <w:rsid w:val="00AB4943"/>
    <w:rsid w:val="00AB689D"/>
    <w:rsid w:val="00AB722F"/>
    <w:rsid w:val="00AC0AD3"/>
    <w:rsid w:val="00AC12BD"/>
    <w:rsid w:val="00AC3FA7"/>
    <w:rsid w:val="00AC5420"/>
    <w:rsid w:val="00AC6696"/>
    <w:rsid w:val="00AC70CB"/>
    <w:rsid w:val="00AC717E"/>
    <w:rsid w:val="00AD0879"/>
    <w:rsid w:val="00AD328F"/>
    <w:rsid w:val="00AD4281"/>
    <w:rsid w:val="00AD4790"/>
    <w:rsid w:val="00AD50CA"/>
    <w:rsid w:val="00AD5FD1"/>
    <w:rsid w:val="00AD612E"/>
    <w:rsid w:val="00AD70E6"/>
    <w:rsid w:val="00AD759F"/>
    <w:rsid w:val="00AE0687"/>
    <w:rsid w:val="00AE11C2"/>
    <w:rsid w:val="00AE1BB5"/>
    <w:rsid w:val="00AE22ED"/>
    <w:rsid w:val="00AE2790"/>
    <w:rsid w:val="00AE28A4"/>
    <w:rsid w:val="00AE4A44"/>
    <w:rsid w:val="00AE526F"/>
    <w:rsid w:val="00AE5535"/>
    <w:rsid w:val="00AE5A33"/>
    <w:rsid w:val="00AE65D2"/>
    <w:rsid w:val="00AE7699"/>
    <w:rsid w:val="00AF1230"/>
    <w:rsid w:val="00AF2900"/>
    <w:rsid w:val="00AF2C31"/>
    <w:rsid w:val="00AF34AE"/>
    <w:rsid w:val="00AF3795"/>
    <w:rsid w:val="00AF64EF"/>
    <w:rsid w:val="00B00AF1"/>
    <w:rsid w:val="00B0173C"/>
    <w:rsid w:val="00B01FCC"/>
    <w:rsid w:val="00B02680"/>
    <w:rsid w:val="00B0293E"/>
    <w:rsid w:val="00B03765"/>
    <w:rsid w:val="00B03F21"/>
    <w:rsid w:val="00B041EA"/>
    <w:rsid w:val="00B04284"/>
    <w:rsid w:val="00B04665"/>
    <w:rsid w:val="00B04D6E"/>
    <w:rsid w:val="00B04E69"/>
    <w:rsid w:val="00B05795"/>
    <w:rsid w:val="00B067A5"/>
    <w:rsid w:val="00B07DEC"/>
    <w:rsid w:val="00B10846"/>
    <w:rsid w:val="00B1109D"/>
    <w:rsid w:val="00B1296D"/>
    <w:rsid w:val="00B12FF5"/>
    <w:rsid w:val="00B13238"/>
    <w:rsid w:val="00B13EA4"/>
    <w:rsid w:val="00B13FFF"/>
    <w:rsid w:val="00B1698E"/>
    <w:rsid w:val="00B179B9"/>
    <w:rsid w:val="00B17CEC"/>
    <w:rsid w:val="00B20A50"/>
    <w:rsid w:val="00B22B39"/>
    <w:rsid w:val="00B24B1D"/>
    <w:rsid w:val="00B25670"/>
    <w:rsid w:val="00B277BC"/>
    <w:rsid w:val="00B277E0"/>
    <w:rsid w:val="00B27918"/>
    <w:rsid w:val="00B30327"/>
    <w:rsid w:val="00B30649"/>
    <w:rsid w:val="00B3099A"/>
    <w:rsid w:val="00B31AF1"/>
    <w:rsid w:val="00B33DC1"/>
    <w:rsid w:val="00B3462E"/>
    <w:rsid w:val="00B348A0"/>
    <w:rsid w:val="00B34946"/>
    <w:rsid w:val="00B359B6"/>
    <w:rsid w:val="00B36697"/>
    <w:rsid w:val="00B366A3"/>
    <w:rsid w:val="00B37DF4"/>
    <w:rsid w:val="00B40B2E"/>
    <w:rsid w:val="00B41F63"/>
    <w:rsid w:val="00B4367E"/>
    <w:rsid w:val="00B43F2E"/>
    <w:rsid w:val="00B446F8"/>
    <w:rsid w:val="00B45069"/>
    <w:rsid w:val="00B47322"/>
    <w:rsid w:val="00B47670"/>
    <w:rsid w:val="00B47F3D"/>
    <w:rsid w:val="00B50FFA"/>
    <w:rsid w:val="00B514EC"/>
    <w:rsid w:val="00B5150C"/>
    <w:rsid w:val="00B519FD"/>
    <w:rsid w:val="00B520BC"/>
    <w:rsid w:val="00B52FDF"/>
    <w:rsid w:val="00B5482B"/>
    <w:rsid w:val="00B55934"/>
    <w:rsid w:val="00B56214"/>
    <w:rsid w:val="00B57133"/>
    <w:rsid w:val="00B578F1"/>
    <w:rsid w:val="00B600C2"/>
    <w:rsid w:val="00B6151C"/>
    <w:rsid w:val="00B633B1"/>
    <w:rsid w:val="00B63D24"/>
    <w:rsid w:val="00B658E2"/>
    <w:rsid w:val="00B70D44"/>
    <w:rsid w:val="00B718FF"/>
    <w:rsid w:val="00B71BEB"/>
    <w:rsid w:val="00B7222E"/>
    <w:rsid w:val="00B72240"/>
    <w:rsid w:val="00B72D07"/>
    <w:rsid w:val="00B72EA9"/>
    <w:rsid w:val="00B73075"/>
    <w:rsid w:val="00B742FA"/>
    <w:rsid w:val="00B7463A"/>
    <w:rsid w:val="00B757A8"/>
    <w:rsid w:val="00B77A9B"/>
    <w:rsid w:val="00B77E06"/>
    <w:rsid w:val="00B830CA"/>
    <w:rsid w:val="00B83154"/>
    <w:rsid w:val="00B8382F"/>
    <w:rsid w:val="00B83870"/>
    <w:rsid w:val="00B838BB"/>
    <w:rsid w:val="00B83E33"/>
    <w:rsid w:val="00B86783"/>
    <w:rsid w:val="00B86A8A"/>
    <w:rsid w:val="00B87925"/>
    <w:rsid w:val="00B91E5C"/>
    <w:rsid w:val="00B91FF1"/>
    <w:rsid w:val="00B924E6"/>
    <w:rsid w:val="00B929AA"/>
    <w:rsid w:val="00B9371E"/>
    <w:rsid w:val="00B971D7"/>
    <w:rsid w:val="00B972E5"/>
    <w:rsid w:val="00BA02A9"/>
    <w:rsid w:val="00BA0B6A"/>
    <w:rsid w:val="00BA0F62"/>
    <w:rsid w:val="00BA262D"/>
    <w:rsid w:val="00BA3A77"/>
    <w:rsid w:val="00BA40DD"/>
    <w:rsid w:val="00BA4399"/>
    <w:rsid w:val="00BA5698"/>
    <w:rsid w:val="00BA63D2"/>
    <w:rsid w:val="00BA67F1"/>
    <w:rsid w:val="00BA7141"/>
    <w:rsid w:val="00BB00EA"/>
    <w:rsid w:val="00BB0A1B"/>
    <w:rsid w:val="00BB17A9"/>
    <w:rsid w:val="00BB23F1"/>
    <w:rsid w:val="00BB2A8B"/>
    <w:rsid w:val="00BB33F8"/>
    <w:rsid w:val="00BB35BF"/>
    <w:rsid w:val="00BB385D"/>
    <w:rsid w:val="00BB3A54"/>
    <w:rsid w:val="00BB5C85"/>
    <w:rsid w:val="00BB65E0"/>
    <w:rsid w:val="00BB70B2"/>
    <w:rsid w:val="00BC08F1"/>
    <w:rsid w:val="00BC25A1"/>
    <w:rsid w:val="00BC48FC"/>
    <w:rsid w:val="00BC5A56"/>
    <w:rsid w:val="00BC6330"/>
    <w:rsid w:val="00BC6F2A"/>
    <w:rsid w:val="00BC79EB"/>
    <w:rsid w:val="00BC7F12"/>
    <w:rsid w:val="00BD0182"/>
    <w:rsid w:val="00BD01F6"/>
    <w:rsid w:val="00BD0C54"/>
    <w:rsid w:val="00BD15C7"/>
    <w:rsid w:val="00BD1B61"/>
    <w:rsid w:val="00BD27AD"/>
    <w:rsid w:val="00BD5752"/>
    <w:rsid w:val="00BD7FCF"/>
    <w:rsid w:val="00BE0362"/>
    <w:rsid w:val="00BE0ABE"/>
    <w:rsid w:val="00BE0C06"/>
    <w:rsid w:val="00BE0CBB"/>
    <w:rsid w:val="00BE24D7"/>
    <w:rsid w:val="00BE2524"/>
    <w:rsid w:val="00BE266A"/>
    <w:rsid w:val="00BE3BEA"/>
    <w:rsid w:val="00BE41BD"/>
    <w:rsid w:val="00BE47C4"/>
    <w:rsid w:val="00BE4D6B"/>
    <w:rsid w:val="00BE6148"/>
    <w:rsid w:val="00BE63C0"/>
    <w:rsid w:val="00BF0086"/>
    <w:rsid w:val="00BF0637"/>
    <w:rsid w:val="00BF08DF"/>
    <w:rsid w:val="00BF0BC9"/>
    <w:rsid w:val="00BF1676"/>
    <w:rsid w:val="00BF1E0D"/>
    <w:rsid w:val="00BF3A9E"/>
    <w:rsid w:val="00BF5053"/>
    <w:rsid w:val="00BF51C9"/>
    <w:rsid w:val="00BF59A1"/>
    <w:rsid w:val="00BF7D88"/>
    <w:rsid w:val="00C00158"/>
    <w:rsid w:val="00C0082B"/>
    <w:rsid w:val="00C01E2B"/>
    <w:rsid w:val="00C02A70"/>
    <w:rsid w:val="00C0375C"/>
    <w:rsid w:val="00C064DC"/>
    <w:rsid w:val="00C06BD7"/>
    <w:rsid w:val="00C10230"/>
    <w:rsid w:val="00C10EC6"/>
    <w:rsid w:val="00C12376"/>
    <w:rsid w:val="00C15CA4"/>
    <w:rsid w:val="00C20A6D"/>
    <w:rsid w:val="00C20C3E"/>
    <w:rsid w:val="00C21638"/>
    <w:rsid w:val="00C23FF6"/>
    <w:rsid w:val="00C2489C"/>
    <w:rsid w:val="00C24C3C"/>
    <w:rsid w:val="00C25BDA"/>
    <w:rsid w:val="00C26CB0"/>
    <w:rsid w:val="00C27BB6"/>
    <w:rsid w:val="00C30437"/>
    <w:rsid w:val="00C30784"/>
    <w:rsid w:val="00C307F3"/>
    <w:rsid w:val="00C33104"/>
    <w:rsid w:val="00C332D4"/>
    <w:rsid w:val="00C353A5"/>
    <w:rsid w:val="00C3560F"/>
    <w:rsid w:val="00C368AE"/>
    <w:rsid w:val="00C3694C"/>
    <w:rsid w:val="00C40650"/>
    <w:rsid w:val="00C416A2"/>
    <w:rsid w:val="00C42C36"/>
    <w:rsid w:val="00C435E3"/>
    <w:rsid w:val="00C4488B"/>
    <w:rsid w:val="00C44AEC"/>
    <w:rsid w:val="00C4521E"/>
    <w:rsid w:val="00C45333"/>
    <w:rsid w:val="00C460F2"/>
    <w:rsid w:val="00C46BD8"/>
    <w:rsid w:val="00C472BC"/>
    <w:rsid w:val="00C51C1F"/>
    <w:rsid w:val="00C526C9"/>
    <w:rsid w:val="00C52CD9"/>
    <w:rsid w:val="00C53769"/>
    <w:rsid w:val="00C54AAE"/>
    <w:rsid w:val="00C54DA9"/>
    <w:rsid w:val="00C55137"/>
    <w:rsid w:val="00C55184"/>
    <w:rsid w:val="00C55E49"/>
    <w:rsid w:val="00C561D5"/>
    <w:rsid w:val="00C5684B"/>
    <w:rsid w:val="00C5706E"/>
    <w:rsid w:val="00C5710E"/>
    <w:rsid w:val="00C6140C"/>
    <w:rsid w:val="00C6237D"/>
    <w:rsid w:val="00C6277E"/>
    <w:rsid w:val="00C63909"/>
    <w:rsid w:val="00C643DA"/>
    <w:rsid w:val="00C6471D"/>
    <w:rsid w:val="00C65159"/>
    <w:rsid w:val="00C65469"/>
    <w:rsid w:val="00C66BC3"/>
    <w:rsid w:val="00C678DC"/>
    <w:rsid w:val="00C70297"/>
    <w:rsid w:val="00C72D01"/>
    <w:rsid w:val="00C742BE"/>
    <w:rsid w:val="00C74389"/>
    <w:rsid w:val="00C7492C"/>
    <w:rsid w:val="00C75ED2"/>
    <w:rsid w:val="00C76A1F"/>
    <w:rsid w:val="00C76D49"/>
    <w:rsid w:val="00C8176F"/>
    <w:rsid w:val="00C81F15"/>
    <w:rsid w:val="00C81FA4"/>
    <w:rsid w:val="00C82266"/>
    <w:rsid w:val="00C83D3C"/>
    <w:rsid w:val="00C854D4"/>
    <w:rsid w:val="00C8585B"/>
    <w:rsid w:val="00C85BF8"/>
    <w:rsid w:val="00C87F4F"/>
    <w:rsid w:val="00C87FB1"/>
    <w:rsid w:val="00C90332"/>
    <w:rsid w:val="00C90556"/>
    <w:rsid w:val="00C906FA"/>
    <w:rsid w:val="00C90853"/>
    <w:rsid w:val="00C91ED7"/>
    <w:rsid w:val="00C94194"/>
    <w:rsid w:val="00C96CC1"/>
    <w:rsid w:val="00C97C9D"/>
    <w:rsid w:val="00CA0986"/>
    <w:rsid w:val="00CA0D78"/>
    <w:rsid w:val="00CA116F"/>
    <w:rsid w:val="00CA1406"/>
    <w:rsid w:val="00CA2E1A"/>
    <w:rsid w:val="00CA3853"/>
    <w:rsid w:val="00CA3F73"/>
    <w:rsid w:val="00CA4855"/>
    <w:rsid w:val="00CA5653"/>
    <w:rsid w:val="00CA57FD"/>
    <w:rsid w:val="00CA7A7D"/>
    <w:rsid w:val="00CB0FCE"/>
    <w:rsid w:val="00CB12B4"/>
    <w:rsid w:val="00CB1644"/>
    <w:rsid w:val="00CB24FE"/>
    <w:rsid w:val="00CB3673"/>
    <w:rsid w:val="00CB4A10"/>
    <w:rsid w:val="00CB5B53"/>
    <w:rsid w:val="00CB5E69"/>
    <w:rsid w:val="00CB6C0D"/>
    <w:rsid w:val="00CB6E07"/>
    <w:rsid w:val="00CB78DF"/>
    <w:rsid w:val="00CC0483"/>
    <w:rsid w:val="00CC0672"/>
    <w:rsid w:val="00CC0B7D"/>
    <w:rsid w:val="00CC1743"/>
    <w:rsid w:val="00CC1AD2"/>
    <w:rsid w:val="00CC3860"/>
    <w:rsid w:val="00CC4EE6"/>
    <w:rsid w:val="00CC5D98"/>
    <w:rsid w:val="00CC6BF0"/>
    <w:rsid w:val="00CD08AF"/>
    <w:rsid w:val="00CD1256"/>
    <w:rsid w:val="00CD26B0"/>
    <w:rsid w:val="00CD330D"/>
    <w:rsid w:val="00CD47B4"/>
    <w:rsid w:val="00CD50A7"/>
    <w:rsid w:val="00CD58FD"/>
    <w:rsid w:val="00CD7B92"/>
    <w:rsid w:val="00CD7F1B"/>
    <w:rsid w:val="00CE013F"/>
    <w:rsid w:val="00CE22EF"/>
    <w:rsid w:val="00CE2FF1"/>
    <w:rsid w:val="00CE4663"/>
    <w:rsid w:val="00CE6E01"/>
    <w:rsid w:val="00CF0143"/>
    <w:rsid w:val="00CF02D4"/>
    <w:rsid w:val="00CF0994"/>
    <w:rsid w:val="00CF0CE1"/>
    <w:rsid w:val="00CF101E"/>
    <w:rsid w:val="00CF1D69"/>
    <w:rsid w:val="00CF27F0"/>
    <w:rsid w:val="00CF2C8E"/>
    <w:rsid w:val="00CF35E3"/>
    <w:rsid w:val="00CF396B"/>
    <w:rsid w:val="00CF530D"/>
    <w:rsid w:val="00CF606D"/>
    <w:rsid w:val="00CF72C8"/>
    <w:rsid w:val="00CF7E7B"/>
    <w:rsid w:val="00D00AA9"/>
    <w:rsid w:val="00D00B98"/>
    <w:rsid w:val="00D031DE"/>
    <w:rsid w:val="00D04807"/>
    <w:rsid w:val="00D04C76"/>
    <w:rsid w:val="00D0598B"/>
    <w:rsid w:val="00D11598"/>
    <w:rsid w:val="00D1215B"/>
    <w:rsid w:val="00D12AEB"/>
    <w:rsid w:val="00D17AB8"/>
    <w:rsid w:val="00D17D09"/>
    <w:rsid w:val="00D21159"/>
    <w:rsid w:val="00D21EB1"/>
    <w:rsid w:val="00D26D6C"/>
    <w:rsid w:val="00D27514"/>
    <w:rsid w:val="00D30795"/>
    <w:rsid w:val="00D31A1B"/>
    <w:rsid w:val="00D31CB4"/>
    <w:rsid w:val="00D327E2"/>
    <w:rsid w:val="00D3298D"/>
    <w:rsid w:val="00D335F3"/>
    <w:rsid w:val="00D33CC0"/>
    <w:rsid w:val="00D343FA"/>
    <w:rsid w:val="00D36117"/>
    <w:rsid w:val="00D36498"/>
    <w:rsid w:val="00D3711F"/>
    <w:rsid w:val="00D40CB9"/>
    <w:rsid w:val="00D4147B"/>
    <w:rsid w:val="00D418FF"/>
    <w:rsid w:val="00D41A0F"/>
    <w:rsid w:val="00D427D7"/>
    <w:rsid w:val="00D4304C"/>
    <w:rsid w:val="00D442F1"/>
    <w:rsid w:val="00D45287"/>
    <w:rsid w:val="00D45DC6"/>
    <w:rsid w:val="00D46190"/>
    <w:rsid w:val="00D4637B"/>
    <w:rsid w:val="00D464E4"/>
    <w:rsid w:val="00D4663A"/>
    <w:rsid w:val="00D47C35"/>
    <w:rsid w:val="00D50376"/>
    <w:rsid w:val="00D50494"/>
    <w:rsid w:val="00D50B07"/>
    <w:rsid w:val="00D50E0F"/>
    <w:rsid w:val="00D51411"/>
    <w:rsid w:val="00D51669"/>
    <w:rsid w:val="00D52A61"/>
    <w:rsid w:val="00D52EF7"/>
    <w:rsid w:val="00D53453"/>
    <w:rsid w:val="00D53ACC"/>
    <w:rsid w:val="00D53D6F"/>
    <w:rsid w:val="00D55717"/>
    <w:rsid w:val="00D55A86"/>
    <w:rsid w:val="00D55FEA"/>
    <w:rsid w:val="00D57849"/>
    <w:rsid w:val="00D57CF3"/>
    <w:rsid w:val="00D640BE"/>
    <w:rsid w:val="00D6419C"/>
    <w:rsid w:val="00D648FA"/>
    <w:rsid w:val="00D65A6A"/>
    <w:rsid w:val="00D65C76"/>
    <w:rsid w:val="00D65D2D"/>
    <w:rsid w:val="00D66074"/>
    <w:rsid w:val="00D671DE"/>
    <w:rsid w:val="00D7054A"/>
    <w:rsid w:val="00D724AC"/>
    <w:rsid w:val="00D72FC3"/>
    <w:rsid w:val="00D73015"/>
    <w:rsid w:val="00D734C7"/>
    <w:rsid w:val="00D73B2D"/>
    <w:rsid w:val="00D76C98"/>
    <w:rsid w:val="00D77730"/>
    <w:rsid w:val="00D81182"/>
    <w:rsid w:val="00D81399"/>
    <w:rsid w:val="00D81A67"/>
    <w:rsid w:val="00D82298"/>
    <w:rsid w:val="00D8283B"/>
    <w:rsid w:val="00D8305F"/>
    <w:rsid w:val="00D835E9"/>
    <w:rsid w:val="00D83DC9"/>
    <w:rsid w:val="00D84735"/>
    <w:rsid w:val="00D848E9"/>
    <w:rsid w:val="00D8557F"/>
    <w:rsid w:val="00D860E3"/>
    <w:rsid w:val="00D86D3D"/>
    <w:rsid w:val="00D877C0"/>
    <w:rsid w:val="00D9008A"/>
    <w:rsid w:val="00D91C43"/>
    <w:rsid w:val="00D94B25"/>
    <w:rsid w:val="00D94FC9"/>
    <w:rsid w:val="00D95A99"/>
    <w:rsid w:val="00D96732"/>
    <w:rsid w:val="00DA059C"/>
    <w:rsid w:val="00DA092C"/>
    <w:rsid w:val="00DA1E97"/>
    <w:rsid w:val="00DA2F73"/>
    <w:rsid w:val="00DA4FEA"/>
    <w:rsid w:val="00DA65DE"/>
    <w:rsid w:val="00DA6A42"/>
    <w:rsid w:val="00DA7F76"/>
    <w:rsid w:val="00DB11C3"/>
    <w:rsid w:val="00DB1926"/>
    <w:rsid w:val="00DB1FAF"/>
    <w:rsid w:val="00DB21A7"/>
    <w:rsid w:val="00DB39BF"/>
    <w:rsid w:val="00DB3B3C"/>
    <w:rsid w:val="00DB53AC"/>
    <w:rsid w:val="00DB709A"/>
    <w:rsid w:val="00DB7ED9"/>
    <w:rsid w:val="00DC2DCC"/>
    <w:rsid w:val="00DC462F"/>
    <w:rsid w:val="00DC4CB1"/>
    <w:rsid w:val="00DC51FC"/>
    <w:rsid w:val="00DC555C"/>
    <w:rsid w:val="00DC56B9"/>
    <w:rsid w:val="00DC637F"/>
    <w:rsid w:val="00DC779D"/>
    <w:rsid w:val="00DC79D3"/>
    <w:rsid w:val="00DD1F36"/>
    <w:rsid w:val="00DD28A0"/>
    <w:rsid w:val="00DD3613"/>
    <w:rsid w:val="00DD55A4"/>
    <w:rsid w:val="00DD5631"/>
    <w:rsid w:val="00DD6A21"/>
    <w:rsid w:val="00DE0424"/>
    <w:rsid w:val="00DE198C"/>
    <w:rsid w:val="00DE2814"/>
    <w:rsid w:val="00DE33E2"/>
    <w:rsid w:val="00DE3660"/>
    <w:rsid w:val="00DE498B"/>
    <w:rsid w:val="00DE4D3E"/>
    <w:rsid w:val="00DE538E"/>
    <w:rsid w:val="00DE60CA"/>
    <w:rsid w:val="00DE62DF"/>
    <w:rsid w:val="00DF03CE"/>
    <w:rsid w:val="00DF0A2B"/>
    <w:rsid w:val="00DF0DA3"/>
    <w:rsid w:val="00DF41EE"/>
    <w:rsid w:val="00DF53CC"/>
    <w:rsid w:val="00DF5C78"/>
    <w:rsid w:val="00DF5EBD"/>
    <w:rsid w:val="00DF6635"/>
    <w:rsid w:val="00DF7309"/>
    <w:rsid w:val="00E009EF"/>
    <w:rsid w:val="00E00FE8"/>
    <w:rsid w:val="00E01076"/>
    <w:rsid w:val="00E013CE"/>
    <w:rsid w:val="00E0181F"/>
    <w:rsid w:val="00E01A1A"/>
    <w:rsid w:val="00E02585"/>
    <w:rsid w:val="00E07729"/>
    <w:rsid w:val="00E10DF2"/>
    <w:rsid w:val="00E115B2"/>
    <w:rsid w:val="00E11AB2"/>
    <w:rsid w:val="00E12258"/>
    <w:rsid w:val="00E12601"/>
    <w:rsid w:val="00E143A9"/>
    <w:rsid w:val="00E15E45"/>
    <w:rsid w:val="00E15F56"/>
    <w:rsid w:val="00E1634F"/>
    <w:rsid w:val="00E20534"/>
    <w:rsid w:val="00E20834"/>
    <w:rsid w:val="00E209BC"/>
    <w:rsid w:val="00E20AB9"/>
    <w:rsid w:val="00E21284"/>
    <w:rsid w:val="00E220BE"/>
    <w:rsid w:val="00E23F8B"/>
    <w:rsid w:val="00E2450D"/>
    <w:rsid w:val="00E24FA3"/>
    <w:rsid w:val="00E26390"/>
    <w:rsid w:val="00E263E1"/>
    <w:rsid w:val="00E26B28"/>
    <w:rsid w:val="00E271D4"/>
    <w:rsid w:val="00E2777E"/>
    <w:rsid w:val="00E3075F"/>
    <w:rsid w:val="00E31465"/>
    <w:rsid w:val="00E328CD"/>
    <w:rsid w:val="00E33CAE"/>
    <w:rsid w:val="00E34245"/>
    <w:rsid w:val="00E365D9"/>
    <w:rsid w:val="00E36B95"/>
    <w:rsid w:val="00E36C64"/>
    <w:rsid w:val="00E4003F"/>
    <w:rsid w:val="00E422DA"/>
    <w:rsid w:val="00E42658"/>
    <w:rsid w:val="00E44482"/>
    <w:rsid w:val="00E44559"/>
    <w:rsid w:val="00E446AC"/>
    <w:rsid w:val="00E45223"/>
    <w:rsid w:val="00E458F6"/>
    <w:rsid w:val="00E45954"/>
    <w:rsid w:val="00E45B8C"/>
    <w:rsid w:val="00E4725F"/>
    <w:rsid w:val="00E47395"/>
    <w:rsid w:val="00E514AF"/>
    <w:rsid w:val="00E52B92"/>
    <w:rsid w:val="00E53C53"/>
    <w:rsid w:val="00E55ADC"/>
    <w:rsid w:val="00E55DB3"/>
    <w:rsid w:val="00E57B00"/>
    <w:rsid w:val="00E60ACE"/>
    <w:rsid w:val="00E615AA"/>
    <w:rsid w:val="00E61BEF"/>
    <w:rsid w:val="00E62704"/>
    <w:rsid w:val="00E62A66"/>
    <w:rsid w:val="00E640F5"/>
    <w:rsid w:val="00E65184"/>
    <w:rsid w:val="00E65843"/>
    <w:rsid w:val="00E67F8E"/>
    <w:rsid w:val="00E702AD"/>
    <w:rsid w:val="00E71E42"/>
    <w:rsid w:val="00E73A02"/>
    <w:rsid w:val="00E76817"/>
    <w:rsid w:val="00E7684B"/>
    <w:rsid w:val="00E76CE2"/>
    <w:rsid w:val="00E80850"/>
    <w:rsid w:val="00E81DE0"/>
    <w:rsid w:val="00E8205B"/>
    <w:rsid w:val="00E8260B"/>
    <w:rsid w:val="00E82CAE"/>
    <w:rsid w:val="00E84899"/>
    <w:rsid w:val="00E84CAE"/>
    <w:rsid w:val="00E84D6A"/>
    <w:rsid w:val="00E85066"/>
    <w:rsid w:val="00E86985"/>
    <w:rsid w:val="00E90E2E"/>
    <w:rsid w:val="00E91759"/>
    <w:rsid w:val="00E9384E"/>
    <w:rsid w:val="00E93E3D"/>
    <w:rsid w:val="00E9400E"/>
    <w:rsid w:val="00E9430C"/>
    <w:rsid w:val="00E944DC"/>
    <w:rsid w:val="00E9695D"/>
    <w:rsid w:val="00EA0022"/>
    <w:rsid w:val="00EA0374"/>
    <w:rsid w:val="00EA0391"/>
    <w:rsid w:val="00EA1AF0"/>
    <w:rsid w:val="00EA1F78"/>
    <w:rsid w:val="00EA34B8"/>
    <w:rsid w:val="00EA4077"/>
    <w:rsid w:val="00EA44D9"/>
    <w:rsid w:val="00EA4C2B"/>
    <w:rsid w:val="00EA55AA"/>
    <w:rsid w:val="00EA5D47"/>
    <w:rsid w:val="00EA6748"/>
    <w:rsid w:val="00EA713E"/>
    <w:rsid w:val="00EA760B"/>
    <w:rsid w:val="00EB0619"/>
    <w:rsid w:val="00EB2BE4"/>
    <w:rsid w:val="00EB365A"/>
    <w:rsid w:val="00EB3727"/>
    <w:rsid w:val="00EB4606"/>
    <w:rsid w:val="00EB58E8"/>
    <w:rsid w:val="00EB5DF8"/>
    <w:rsid w:val="00EB6A76"/>
    <w:rsid w:val="00EC0DCF"/>
    <w:rsid w:val="00EC1332"/>
    <w:rsid w:val="00EC58BB"/>
    <w:rsid w:val="00EC71EC"/>
    <w:rsid w:val="00ED2DE3"/>
    <w:rsid w:val="00ED2FD4"/>
    <w:rsid w:val="00ED42D8"/>
    <w:rsid w:val="00ED5D26"/>
    <w:rsid w:val="00ED6863"/>
    <w:rsid w:val="00ED784D"/>
    <w:rsid w:val="00ED7CC6"/>
    <w:rsid w:val="00EE042A"/>
    <w:rsid w:val="00EE0B74"/>
    <w:rsid w:val="00EE1F8B"/>
    <w:rsid w:val="00EE30A9"/>
    <w:rsid w:val="00EE3E49"/>
    <w:rsid w:val="00EE4841"/>
    <w:rsid w:val="00EE5905"/>
    <w:rsid w:val="00EE7023"/>
    <w:rsid w:val="00EE7244"/>
    <w:rsid w:val="00EF0373"/>
    <w:rsid w:val="00EF0A63"/>
    <w:rsid w:val="00EF16A5"/>
    <w:rsid w:val="00EF1E83"/>
    <w:rsid w:val="00EF371B"/>
    <w:rsid w:val="00EF5F23"/>
    <w:rsid w:val="00EF65BF"/>
    <w:rsid w:val="00EF69A7"/>
    <w:rsid w:val="00EF6A68"/>
    <w:rsid w:val="00EF6D6D"/>
    <w:rsid w:val="00F00772"/>
    <w:rsid w:val="00F012A1"/>
    <w:rsid w:val="00F0325B"/>
    <w:rsid w:val="00F04A18"/>
    <w:rsid w:val="00F04C5C"/>
    <w:rsid w:val="00F064D0"/>
    <w:rsid w:val="00F06F63"/>
    <w:rsid w:val="00F07F96"/>
    <w:rsid w:val="00F100D9"/>
    <w:rsid w:val="00F1115A"/>
    <w:rsid w:val="00F128C8"/>
    <w:rsid w:val="00F13446"/>
    <w:rsid w:val="00F14B11"/>
    <w:rsid w:val="00F14C6D"/>
    <w:rsid w:val="00F1505A"/>
    <w:rsid w:val="00F15F14"/>
    <w:rsid w:val="00F15F85"/>
    <w:rsid w:val="00F1684E"/>
    <w:rsid w:val="00F21358"/>
    <w:rsid w:val="00F21E2F"/>
    <w:rsid w:val="00F21F55"/>
    <w:rsid w:val="00F2207B"/>
    <w:rsid w:val="00F2256B"/>
    <w:rsid w:val="00F22F4B"/>
    <w:rsid w:val="00F24BBF"/>
    <w:rsid w:val="00F25587"/>
    <w:rsid w:val="00F2719C"/>
    <w:rsid w:val="00F318C8"/>
    <w:rsid w:val="00F31CCE"/>
    <w:rsid w:val="00F32F2C"/>
    <w:rsid w:val="00F34BC9"/>
    <w:rsid w:val="00F35221"/>
    <w:rsid w:val="00F354D7"/>
    <w:rsid w:val="00F35584"/>
    <w:rsid w:val="00F36102"/>
    <w:rsid w:val="00F36476"/>
    <w:rsid w:val="00F41265"/>
    <w:rsid w:val="00F425BD"/>
    <w:rsid w:val="00F42D13"/>
    <w:rsid w:val="00F42F2E"/>
    <w:rsid w:val="00F43915"/>
    <w:rsid w:val="00F43C67"/>
    <w:rsid w:val="00F43DF0"/>
    <w:rsid w:val="00F44624"/>
    <w:rsid w:val="00F44BA3"/>
    <w:rsid w:val="00F478BD"/>
    <w:rsid w:val="00F47A34"/>
    <w:rsid w:val="00F47CEB"/>
    <w:rsid w:val="00F51505"/>
    <w:rsid w:val="00F5169D"/>
    <w:rsid w:val="00F53B86"/>
    <w:rsid w:val="00F547EC"/>
    <w:rsid w:val="00F55E0E"/>
    <w:rsid w:val="00F62D3C"/>
    <w:rsid w:val="00F63496"/>
    <w:rsid w:val="00F63B3C"/>
    <w:rsid w:val="00F64A20"/>
    <w:rsid w:val="00F6550C"/>
    <w:rsid w:val="00F65C15"/>
    <w:rsid w:val="00F664F4"/>
    <w:rsid w:val="00F66A5A"/>
    <w:rsid w:val="00F703C1"/>
    <w:rsid w:val="00F70D57"/>
    <w:rsid w:val="00F71282"/>
    <w:rsid w:val="00F71372"/>
    <w:rsid w:val="00F720BE"/>
    <w:rsid w:val="00F727A6"/>
    <w:rsid w:val="00F73DFC"/>
    <w:rsid w:val="00F74260"/>
    <w:rsid w:val="00F7595E"/>
    <w:rsid w:val="00F75CF9"/>
    <w:rsid w:val="00F7675B"/>
    <w:rsid w:val="00F768B1"/>
    <w:rsid w:val="00F76968"/>
    <w:rsid w:val="00F76D77"/>
    <w:rsid w:val="00F7756A"/>
    <w:rsid w:val="00F7757C"/>
    <w:rsid w:val="00F77D3D"/>
    <w:rsid w:val="00F800F3"/>
    <w:rsid w:val="00F8025E"/>
    <w:rsid w:val="00F80943"/>
    <w:rsid w:val="00F81FF4"/>
    <w:rsid w:val="00F823E2"/>
    <w:rsid w:val="00F823FA"/>
    <w:rsid w:val="00F8266D"/>
    <w:rsid w:val="00F8302E"/>
    <w:rsid w:val="00F835D8"/>
    <w:rsid w:val="00F83943"/>
    <w:rsid w:val="00F84541"/>
    <w:rsid w:val="00F852E2"/>
    <w:rsid w:val="00F85E36"/>
    <w:rsid w:val="00F86A52"/>
    <w:rsid w:val="00F86B6A"/>
    <w:rsid w:val="00F87DF2"/>
    <w:rsid w:val="00F90303"/>
    <w:rsid w:val="00F91DED"/>
    <w:rsid w:val="00F9365B"/>
    <w:rsid w:val="00F95B81"/>
    <w:rsid w:val="00F95E42"/>
    <w:rsid w:val="00F9682F"/>
    <w:rsid w:val="00F96B80"/>
    <w:rsid w:val="00F97589"/>
    <w:rsid w:val="00F97997"/>
    <w:rsid w:val="00F97E10"/>
    <w:rsid w:val="00FA0F5A"/>
    <w:rsid w:val="00FA0F65"/>
    <w:rsid w:val="00FA2418"/>
    <w:rsid w:val="00FA3F83"/>
    <w:rsid w:val="00FA4916"/>
    <w:rsid w:val="00FA5F6D"/>
    <w:rsid w:val="00FA6716"/>
    <w:rsid w:val="00FA6E1D"/>
    <w:rsid w:val="00FA79DA"/>
    <w:rsid w:val="00FB093B"/>
    <w:rsid w:val="00FB23F1"/>
    <w:rsid w:val="00FB2685"/>
    <w:rsid w:val="00FB2E25"/>
    <w:rsid w:val="00FB2E85"/>
    <w:rsid w:val="00FB33AF"/>
    <w:rsid w:val="00FB5055"/>
    <w:rsid w:val="00FB67F7"/>
    <w:rsid w:val="00FB6AC2"/>
    <w:rsid w:val="00FC0438"/>
    <w:rsid w:val="00FC07F1"/>
    <w:rsid w:val="00FC0E11"/>
    <w:rsid w:val="00FC1185"/>
    <w:rsid w:val="00FC2BC0"/>
    <w:rsid w:val="00FC2D2B"/>
    <w:rsid w:val="00FC667F"/>
    <w:rsid w:val="00FD01B5"/>
    <w:rsid w:val="00FD0432"/>
    <w:rsid w:val="00FD12CF"/>
    <w:rsid w:val="00FD17AD"/>
    <w:rsid w:val="00FD2BB9"/>
    <w:rsid w:val="00FD35D5"/>
    <w:rsid w:val="00FD3709"/>
    <w:rsid w:val="00FD5CE0"/>
    <w:rsid w:val="00FD628E"/>
    <w:rsid w:val="00FD6A47"/>
    <w:rsid w:val="00FE0585"/>
    <w:rsid w:val="00FE0A7D"/>
    <w:rsid w:val="00FE0F59"/>
    <w:rsid w:val="00FE1642"/>
    <w:rsid w:val="00FE417A"/>
    <w:rsid w:val="00FF1047"/>
    <w:rsid w:val="00FF1098"/>
    <w:rsid w:val="00FF1129"/>
    <w:rsid w:val="00FF165B"/>
    <w:rsid w:val="00FF312A"/>
    <w:rsid w:val="00FF3982"/>
    <w:rsid w:val="00FF521C"/>
    <w:rsid w:val="00FF6C4F"/>
    <w:rsid w:val="00FF6F13"/>
    <w:rsid w:val="00FF76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BB9F953"/>
  <w15:chartTrackingRefBased/>
  <w15:docId w15:val="{639777B7-5F04-4652-8AF2-3979FE80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uiPriority="22" w:qFormat="1"/>
    <w:lsdException w:name="Emphasis" w:locked="1" w:uiPriority="2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7F1"/>
    <w:pPr>
      <w:keepLines/>
      <w:spacing w:before="240" w:after="240"/>
    </w:pPr>
    <w:rPr>
      <w:rFonts w:ascii="Open Sans" w:eastAsia="MS Mincho" w:hAnsi="Open Sans"/>
      <w:sz w:val="24"/>
      <w:szCs w:val="24"/>
    </w:rPr>
  </w:style>
  <w:style w:type="paragraph" w:styleId="Heading1">
    <w:name w:val="heading 1"/>
    <w:basedOn w:val="Normal"/>
    <w:next w:val="Normal"/>
    <w:link w:val="Heading1Char"/>
    <w:qFormat/>
    <w:rsid w:val="00BA67F1"/>
    <w:pPr>
      <w:keepNext/>
      <w:numPr>
        <w:numId w:val="1"/>
      </w:numPr>
      <w:spacing w:before="360"/>
      <w:outlineLvl w:val="0"/>
    </w:pPr>
    <w:rPr>
      <w:b/>
      <w:bCs/>
      <w:sz w:val="36"/>
      <w:szCs w:val="28"/>
    </w:rPr>
  </w:style>
  <w:style w:type="paragraph" w:styleId="Heading2">
    <w:name w:val="heading 2"/>
    <w:basedOn w:val="Heading1"/>
    <w:next w:val="Normal"/>
    <w:link w:val="Heading2Char"/>
    <w:qFormat/>
    <w:rsid w:val="00BA67F1"/>
    <w:pPr>
      <w:numPr>
        <w:ilvl w:val="1"/>
      </w:numPr>
      <w:ind w:left="851"/>
      <w:outlineLvl w:val="1"/>
    </w:pPr>
    <w:rPr>
      <w:bCs w:val="0"/>
      <w:color w:val="000000"/>
      <w:sz w:val="28"/>
      <w:szCs w:val="26"/>
    </w:rPr>
  </w:style>
  <w:style w:type="paragraph" w:styleId="Heading3">
    <w:name w:val="heading 3"/>
    <w:basedOn w:val="Heading2"/>
    <w:next w:val="Normal"/>
    <w:link w:val="Heading3Char"/>
    <w:qFormat/>
    <w:rsid w:val="00BC5A56"/>
    <w:pPr>
      <w:numPr>
        <w:ilvl w:val="2"/>
      </w:numPr>
      <w:ind w:left="851"/>
      <w:outlineLvl w:val="2"/>
    </w:pPr>
    <w:rPr>
      <w:bCs/>
      <w:color w:val="auto"/>
      <w:sz w:val="24"/>
    </w:rPr>
  </w:style>
  <w:style w:type="paragraph" w:styleId="Heading4">
    <w:name w:val="heading 4"/>
    <w:basedOn w:val="Heading3"/>
    <w:next w:val="Normal"/>
    <w:link w:val="Heading4Char"/>
    <w:qFormat/>
    <w:rsid w:val="008007A8"/>
    <w:pPr>
      <w:numPr>
        <w:ilvl w:val="3"/>
      </w:numPr>
      <w:outlineLvl w:val="3"/>
    </w:pPr>
    <w:rPr>
      <w:bCs w:val="0"/>
      <w:i/>
      <w:iCs/>
    </w:rPr>
  </w:style>
  <w:style w:type="paragraph" w:styleId="Heading5">
    <w:name w:val="heading 5"/>
    <w:basedOn w:val="Normal"/>
    <w:next w:val="Normal"/>
    <w:link w:val="Heading5Char"/>
    <w:qFormat/>
    <w:locked/>
    <w:rsid w:val="00BA67F1"/>
    <w:pPr>
      <w:keepNext/>
      <w:numPr>
        <w:ilvl w:val="4"/>
        <w:numId w:val="1"/>
      </w:numPr>
      <w:spacing w:before="200"/>
      <w:outlineLvl w:val="4"/>
    </w:pPr>
    <w:rPr>
      <w:rFonts w:ascii="Cambria" w:hAnsi="Cambria"/>
      <w:color w:val="243F60"/>
    </w:rPr>
  </w:style>
  <w:style w:type="paragraph" w:styleId="Heading6">
    <w:name w:val="heading 6"/>
    <w:basedOn w:val="Normal"/>
    <w:next w:val="Normal"/>
    <w:link w:val="Heading6Char"/>
    <w:qFormat/>
    <w:locked/>
    <w:rsid w:val="00BA67F1"/>
    <w:pPr>
      <w:keepNext/>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locked/>
    <w:rsid w:val="00BA67F1"/>
    <w:pPr>
      <w:keepNext/>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locked/>
    <w:rsid w:val="00BA67F1"/>
    <w:pPr>
      <w:keepNext/>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BA67F1"/>
    <w:pPr>
      <w:keepNext/>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A67F1"/>
    <w:rPr>
      <w:rFonts w:ascii="Open Sans" w:eastAsia="MS Mincho" w:hAnsi="Open Sans"/>
      <w:b/>
      <w:bCs/>
      <w:sz w:val="36"/>
      <w:szCs w:val="28"/>
    </w:rPr>
  </w:style>
  <w:style w:type="character" w:customStyle="1" w:styleId="Heading2Char">
    <w:name w:val="Heading 2 Char"/>
    <w:link w:val="Heading2"/>
    <w:rsid w:val="00BA67F1"/>
    <w:rPr>
      <w:rFonts w:ascii="Open Sans" w:eastAsia="MS Mincho" w:hAnsi="Open Sans"/>
      <w:b/>
      <w:color w:val="000000"/>
      <w:sz w:val="28"/>
      <w:szCs w:val="26"/>
    </w:rPr>
  </w:style>
  <w:style w:type="character" w:customStyle="1" w:styleId="Heading3Char">
    <w:name w:val="Heading 3 Char"/>
    <w:link w:val="Heading3"/>
    <w:rsid w:val="00BC5A56"/>
    <w:rPr>
      <w:rFonts w:ascii="Open Sans" w:eastAsia="MS Mincho" w:hAnsi="Open Sans"/>
      <w:b/>
      <w:bCs/>
      <w:sz w:val="24"/>
      <w:szCs w:val="26"/>
    </w:rPr>
  </w:style>
  <w:style w:type="character" w:customStyle="1" w:styleId="Heading4Char">
    <w:name w:val="Heading 4 Char"/>
    <w:link w:val="Heading4"/>
    <w:rsid w:val="008007A8"/>
    <w:rPr>
      <w:rFonts w:ascii="Open Sans" w:eastAsia="MS Mincho" w:hAnsi="Open Sans"/>
      <w:iCs/>
      <w:sz w:val="24"/>
      <w:szCs w:val="26"/>
    </w:rPr>
  </w:style>
  <w:style w:type="character" w:styleId="Strong">
    <w:name w:val="Strong"/>
    <w:uiPriority w:val="22"/>
    <w:qFormat/>
    <w:locked/>
    <w:rsid w:val="000B0A5D"/>
    <w:rPr>
      <w:b/>
      <w:bCs/>
    </w:rPr>
  </w:style>
  <w:style w:type="character" w:customStyle="1" w:styleId="Heading5Char">
    <w:name w:val="Heading 5 Char"/>
    <w:link w:val="Heading5"/>
    <w:rsid w:val="008007A8"/>
    <w:rPr>
      <w:rFonts w:ascii="Cambria" w:eastAsia="MS Mincho" w:hAnsi="Cambria"/>
      <w:color w:val="243F60"/>
      <w:sz w:val="24"/>
      <w:szCs w:val="24"/>
    </w:rPr>
  </w:style>
  <w:style w:type="character" w:customStyle="1" w:styleId="Heading6Char">
    <w:name w:val="Heading 6 Char"/>
    <w:link w:val="Heading6"/>
    <w:rsid w:val="008007A8"/>
    <w:rPr>
      <w:rFonts w:ascii="Cambria" w:eastAsia="MS Mincho" w:hAnsi="Cambria"/>
      <w:i/>
      <w:iCs/>
      <w:color w:val="243F60"/>
      <w:sz w:val="24"/>
      <w:szCs w:val="24"/>
    </w:rPr>
  </w:style>
  <w:style w:type="character" w:customStyle="1" w:styleId="Heading7Char">
    <w:name w:val="Heading 7 Char"/>
    <w:link w:val="Heading7"/>
    <w:rsid w:val="008007A8"/>
    <w:rPr>
      <w:rFonts w:ascii="Cambria" w:eastAsia="MS Mincho" w:hAnsi="Cambria"/>
      <w:i/>
      <w:iCs/>
      <w:color w:val="404040"/>
      <w:sz w:val="24"/>
      <w:szCs w:val="24"/>
    </w:rPr>
  </w:style>
  <w:style w:type="character" w:customStyle="1" w:styleId="Heading8Char">
    <w:name w:val="Heading 8 Char"/>
    <w:link w:val="Heading8"/>
    <w:rsid w:val="008007A8"/>
    <w:rPr>
      <w:rFonts w:ascii="Cambria" w:eastAsia="MS Mincho" w:hAnsi="Cambria"/>
      <w:color w:val="404040"/>
    </w:rPr>
  </w:style>
  <w:style w:type="character" w:customStyle="1" w:styleId="Heading9Char">
    <w:name w:val="Heading 9 Char"/>
    <w:link w:val="Heading9"/>
    <w:rsid w:val="008007A8"/>
    <w:rPr>
      <w:rFonts w:ascii="Cambria" w:eastAsia="MS Mincho" w:hAnsi="Cambria"/>
      <w:i/>
      <w:iCs/>
      <w:color w:val="404040"/>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34946"/>
    <w:pPr>
      <w:tabs>
        <w:tab w:val="right" w:pos="2835"/>
        <w:tab w:val="right" w:pos="5670"/>
      </w:tabs>
      <w:spacing w:before="0" w:after="60"/>
    </w:pPr>
    <w:rPr>
      <w:color w:val="404040"/>
      <w:sz w:val="16"/>
    </w:rPr>
  </w:style>
  <w:style w:type="character" w:customStyle="1" w:styleId="FooterChar">
    <w:name w:val="Footer Char"/>
    <w:link w:val="Footer"/>
    <w:uiPriority w:val="99"/>
    <w:semiHidden/>
    <w:rsid w:val="00B34946"/>
    <w:rPr>
      <w:rFonts w:ascii="Arial" w:eastAsia="MS Mincho" w:hAnsi="Arial"/>
      <w:color w:val="404040"/>
      <w:sz w:val="16"/>
      <w:szCs w:val="24"/>
    </w:rPr>
  </w:style>
  <w:style w:type="paragraph" w:styleId="TOC3">
    <w:name w:val="toc 3"/>
    <w:basedOn w:val="Normal"/>
    <w:next w:val="Normal"/>
    <w:autoRedefine/>
    <w:uiPriority w:val="39"/>
    <w:qFormat/>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qFormat/>
    <w:locked/>
    <w:rsid w:val="00C460F2"/>
    <w:pPr>
      <w:tabs>
        <w:tab w:val="right" w:leader="dot" w:pos="9060"/>
      </w:tabs>
      <w:spacing w:after="0"/>
      <w:ind w:left="720" w:hanging="720"/>
    </w:pPr>
    <w:rPr>
      <w:b/>
      <w:noProof/>
      <w:sz w:val="22"/>
    </w:rPr>
  </w:style>
  <w:style w:type="paragraph" w:styleId="TOC2">
    <w:name w:val="toc 2"/>
    <w:basedOn w:val="Normal"/>
    <w:next w:val="Normal"/>
    <w:autoRedefine/>
    <w:uiPriority w:val="39"/>
    <w:qFormat/>
    <w:locked/>
    <w:rsid w:val="008400CA"/>
    <w:pPr>
      <w:tabs>
        <w:tab w:val="right" w:leader="dot" w:pos="9060"/>
      </w:tabs>
      <w:spacing w:before="0" w:after="0"/>
      <w:ind w:left="1440" w:hanging="720"/>
    </w:pPr>
    <w:rPr>
      <w:b/>
      <w:noProof/>
      <w:sz w:val="22"/>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601FE6"/>
    <w:rPr>
      <w:b/>
      <w:color w:val="0070C0"/>
      <w:u w:val="none"/>
    </w:rPr>
  </w:style>
  <w:style w:type="paragraph" w:styleId="TOCHeading">
    <w:name w:val="TOC Heading"/>
    <w:basedOn w:val="Normal"/>
    <w:next w:val="Normal"/>
    <w:uiPriority w:val="39"/>
    <w:qFormat/>
    <w:locked/>
    <w:rsid w:val="007540BF"/>
    <w:pPr>
      <w:spacing w:before="0" w:after="360"/>
    </w:pPr>
    <w:rPr>
      <w:b/>
      <w:color w:val="000000"/>
      <w:lang w:val="en-US" w:eastAsia="en-US"/>
    </w:rPr>
  </w:style>
  <w:style w:type="paragraph" w:styleId="EndnoteText">
    <w:name w:val="endnote text"/>
    <w:basedOn w:val="Normal"/>
    <w:link w:val="EndnoteTextChar1"/>
    <w:rsid w:val="000E130A"/>
    <w:pPr>
      <w:spacing w:before="0" w:after="0"/>
    </w:pPr>
    <w:rPr>
      <w:sz w:val="20"/>
      <w:szCs w:val="20"/>
    </w:rPr>
  </w:style>
  <w:style w:type="character" w:customStyle="1" w:styleId="EndnoteTextChar1">
    <w:name w:val="Endnote Text Char1"/>
    <w:link w:val="EndnoteText"/>
    <w:rsid w:val="000E130A"/>
    <w:rPr>
      <w:rFonts w:ascii="Arial" w:eastAsia="MS Mincho" w:hAnsi="Arial"/>
      <w:lang w:val="en-AU" w:eastAsia="en-AU" w:bidi="ar-SA"/>
    </w:rPr>
  </w:style>
  <w:style w:type="character" w:styleId="EndnoteReference">
    <w:name w:val="endnote reference"/>
    <w:rsid w:val="0081163F"/>
    <w:rPr>
      <w:rFonts w:ascii="Open Sans" w:hAnsi="Open Sans"/>
      <w:b w:val="0"/>
      <w:i w:val="0"/>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uiPriority w:val="1"/>
    <w:qFormat/>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C33104"/>
    <w:pPr>
      <w:spacing w:before="120" w:after="120"/>
      <w:jc w:val="right"/>
    </w:pPr>
    <w:rPr>
      <w:color w:val="595959"/>
      <w:sz w:val="26"/>
    </w:rPr>
  </w:style>
  <w:style w:type="paragraph" w:styleId="E-mailSignature">
    <w:name w:val="E-mail Signature"/>
    <w:basedOn w:val="Normal"/>
    <w:link w:val="E-mailSignatureChar"/>
    <w:semiHidden/>
    <w:locked/>
    <w:rsid w:val="00E45954"/>
  </w:style>
  <w:style w:type="character" w:styleId="Emphasis">
    <w:name w:val="Emphasis"/>
    <w:uiPriority w:val="20"/>
    <w:qFormat/>
    <w:locked/>
    <w:rsid w:val="00E45954"/>
    <w:rPr>
      <w:i/>
      <w:iC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basedOn w:val="Normal"/>
    <w:link w:val="FootnoteTextChar"/>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qFormat/>
    <w:locked/>
    <w:rsid w:val="00323C73"/>
    <w:pPr>
      <w:spacing w:before="40" w:after="0"/>
      <w:jc w:val="right"/>
      <w:outlineLvl w:val="1"/>
    </w:pPr>
    <w:rPr>
      <w:rFonts w:cs="Arial"/>
      <w:b/>
      <w:caps/>
      <w:sz w:val="26"/>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locked/>
    <w:rsid w:val="00E45954"/>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pPr>
    <w:rPr>
      <w:rFonts w:eastAsia="Times New Roman"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hAnsi="Tahoma" w:cs="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locked/>
    <w:rsid w:val="00EB6A76"/>
    <w:rPr>
      <w:rFonts w:ascii="Arial" w:hAnsi="Arial"/>
      <w:lang w:bidi="ar-SA"/>
    </w:rPr>
  </w:style>
  <w:style w:type="character" w:customStyle="1" w:styleId="SubtitleChar">
    <w:name w:val="Subtitle Char"/>
    <w:link w:val="Subtitle"/>
    <w:rsid w:val="00323C73"/>
    <w:rPr>
      <w:rFonts w:ascii="Arial" w:eastAsia="MS Mincho" w:hAnsi="Arial" w:cs="Arial"/>
      <w:b/>
      <w:caps/>
      <w:sz w:val="26"/>
      <w:szCs w:val="24"/>
    </w:rPr>
  </w:style>
  <w:style w:type="paragraph" w:customStyle="1" w:styleId="SubmissionNormal">
    <w:name w:val="Submission Normal"/>
    <w:basedOn w:val="Normal"/>
    <w:link w:val="SubmissionNormalChar"/>
    <w:rsid w:val="00B34946"/>
    <w:pPr>
      <w:numPr>
        <w:numId w:val="15"/>
      </w:numPr>
      <w:tabs>
        <w:tab w:val="clear" w:pos="720"/>
      </w:tabs>
      <w:ind w:hanging="720"/>
    </w:pPr>
    <w:rPr>
      <w:rFonts w:eastAsia="Times New Roman"/>
    </w:rPr>
  </w:style>
  <w:style w:type="character" w:customStyle="1" w:styleId="SubmissionNormalChar">
    <w:name w:val="Submission Normal Char"/>
    <w:link w:val="SubmissionNormal"/>
    <w:rsid w:val="00B34946"/>
    <w:rPr>
      <w:rFonts w:ascii="Open Sans" w:hAnsi="Open Sans"/>
      <w:sz w:val="24"/>
      <w:szCs w:val="24"/>
    </w:rPr>
  </w:style>
  <w:style w:type="paragraph" w:customStyle="1" w:styleId="coveraddresses">
    <w:name w:val="cover addresses"/>
    <w:basedOn w:val="Footer"/>
    <w:qFormat/>
    <w:rsid w:val="00730BD2"/>
    <w:pPr>
      <w:spacing w:after="40"/>
    </w:pPr>
    <w:rPr>
      <w:szCs w:val="16"/>
    </w:rPr>
  </w:style>
  <w:style w:type="paragraph" w:customStyle="1" w:styleId="coveraddress">
    <w:name w:val="cover address"/>
    <w:basedOn w:val="coveraddresses"/>
    <w:qFormat/>
    <w:rsid w:val="00730BD2"/>
  </w:style>
  <w:style w:type="paragraph" w:styleId="ListParagraph">
    <w:name w:val="List Paragraph"/>
    <w:aliases w:val="L,List Paragraph1,List Paragraph11,Recommendation,EOT List Paragraph,Bullet point,List Paragraph Number,First level bullet point"/>
    <w:basedOn w:val="Normal"/>
    <w:link w:val="ListParagraphChar"/>
    <w:uiPriority w:val="34"/>
    <w:qFormat/>
    <w:rsid w:val="00485E58"/>
    <w:pPr>
      <w:ind w:left="720"/>
      <w:contextualSpacing/>
    </w:pPr>
  </w:style>
  <w:style w:type="table" w:styleId="GridTable2-Accent1">
    <w:name w:val="Grid Table 2 Accent 1"/>
    <w:basedOn w:val="TableNormal"/>
    <w:uiPriority w:val="47"/>
    <w:rsid w:val="00163C9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ghtGrid-Accent1">
    <w:name w:val="Light Grid Accent 1"/>
    <w:basedOn w:val="TableNormal"/>
    <w:uiPriority w:val="62"/>
    <w:rsid w:val="00B86A8A"/>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DateChar">
    <w:name w:val="Date Char"/>
    <w:link w:val="Date"/>
    <w:semiHidden/>
    <w:rsid w:val="00343DBD"/>
    <w:rPr>
      <w:rFonts w:ascii="Arial" w:eastAsia="MS Mincho" w:hAnsi="Arial"/>
      <w:color w:val="595959"/>
      <w:sz w:val="26"/>
      <w:szCs w:val="24"/>
    </w:rPr>
  </w:style>
  <w:style w:type="character" w:customStyle="1" w:styleId="ListParagraphChar">
    <w:name w:val="List Paragraph Char"/>
    <w:aliases w:val="L Char,List Paragraph1 Char,List Paragraph11 Char,Recommendation Char,EOT List Paragraph Char,Bullet point Char,List Paragraph Number Char,First level bullet point Char"/>
    <w:link w:val="ListParagraph"/>
    <w:uiPriority w:val="34"/>
    <w:rsid w:val="00343DBD"/>
    <w:rPr>
      <w:rFonts w:ascii="Arial" w:eastAsia="MS Mincho" w:hAnsi="Arial"/>
      <w:sz w:val="24"/>
      <w:szCs w:val="24"/>
    </w:rPr>
  </w:style>
  <w:style w:type="table" w:styleId="GridTable6Colorful-Accent1">
    <w:name w:val="Grid Table 6 Colorful Accent 1"/>
    <w:basedOn w:val="TableNormal"/>
    <w:uiPriority w:val="51"/>
    <w:rsid w:val="00343DBD"/>
    <w:rPr>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MediumGrid1-Accent1">
    <w:name w:val="Medium Grid 1 Accent 1"/>
    <w:basedOn w:val="TableNormal"/>
    <w:uiPriority w:val="67"/>
    <w:rsid w:val="00F32F2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dTable1Light-Accent1">
    <w:name w:val="Grid Table 1 Light Accent 1"/>
    <w:basedOn w:val="TableNormal"/>
    <w:uiPriority w:val="46"/>
    <w:rsid w:val="0000168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601A0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otnoteTextChar">
    <w:name w:val="Footnote Text Char"/>
    <w:link w:val="FootnoteText"/>
    <w:semiHidden/>
    <w:rsid w:val="00705B08"/>
    <w:rPr>
      <w:rFonts w:ascii="Arial" w:eastAsia="MS Mincho" w:hAnsi="Arial"/>
    </w:rPr>
  </w:style>
  <w:style w:type="table" w:styleId="GridTable6Colorful-Accent5">
    <w:name w:val="Grid Table 6 Colorful Accent 5"/>
    <w:basedOn w:val="TableNormal"/>
    <w:uiPriority w:val="51"/>
    <w:rsid w:val="00BA714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7Colorful-Accent5">
    <w:name w:val="Grid Table 7 Colorful Accent 5"/>
    <w:basedOn w:val="TableNormal"/>
    <w:uiPriority w:val="52"/>
    <w:rsid w:val="00BA714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character" w:customStyle="1" w:styleId="E-mailSignatureChar">
    <w:name w:val="E-mail Signature Char"/>
    <w:link w:val="E-mailSignature"/>
    <w:semiHidden/>
    <w:rsid w:val="006353EA"/>
    <w:rPr>
      <w:rFonts w:ascii="Arial" w:eastAsia="MS Mincho" w:hAnsi="Arial"/>
      <w:sz w:val="24"/>
      <w:szCs w:val="24"/>
    </w:rPr>
  </w:style>
  <w:style w:type="character" w:customStyle="1" w:styleId="TitleChar">
    <w:name w:val="Title Char"/>
    <w:link w:val="Title"/>
    <w:rsid w:val="006353EA"/>
    <w:rPr>
      <w:rFonts w:ascii="Arial" w:eastAsia="MS Mincho" w:hAnsi="Arial" w:cs="Arial"/>
      <w:b/>
      <w:bCs/>
      <w:kern w:val="28"/>
      <w:sz w:val="32"/>
      <w:szCs w:val="32"/>
    </w:rPr>
  </w:style>
  <w:style w:type="table" w:styleId="MediumGrid3-Accent1">
    <w:name w:val="Medium Grid 3 Accent 1"/>
    <w:basedOn w:val="TableNormal"/>
    <w:uiPriority w:val="69"/>
    <w:rsid w:val="006353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3">
    <w:name w:val="Medium Grid 3 Accent 3"/>
    <w:basedOn w:val="TableNormal"/>
    <w:uiPriority w:val="69"/>
    <w:rsid w:val="006353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6353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dTable5Dark-Accent4">
    <w:name w:val="Grid Table 5 Dark Accent 4"/>
    <w:basedOn w:val="TableNormal"/>
    <w:uiPriority w:val="50"/>
    <w:rsid w:val="006C49C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paragraph" w:customStyle="1" w:styleId="BoxText">
    <w:name w:val="Box Text"/>
    <w:basedOn w:val="Normal"/>
    <w:rsid w:val="006969A8"/>
    <w:pPr>
      <w:spacing w:before="60" w:after="60"/>
    </w:pPr>
    <w:rPr>
      <w:rFonts w:ascii="Calibri" w:eastAsia="Times New Roman" w:hAnsi="Calibri"/>
      <w:color w:val="000000"/>
      <w:sz w:val="16"/>
      <w:szCs w:val="20"/>
    </w:rPr>
  </w:style>
  <w:style w:type="character" w:styleId="CommentReference">
    <w:name w:val="annotation reference"/>
    <w:basedOn w:val="DefaultParagraphFont"/>
    <w:locked/>
    <w:rsid w:val="00260AB4"/>
    <w:rPr>
      <w:sz w:val="16"/>
      <w:szCs w:val="16"/>
    </w:rPr>
  </w:style>
  <w:style w:type="paragraph" w:styleId="CommentText">
    <w:name w:val="annotation text"/>
    <w:basedOn w:val="Normal"/>
    <w:link w:val="CommentTextChar"/>
    <w:locked/>
    <w:rsid w:val="00260AB4"/>
    <w:rPr>
      <w:sz w:val="20"/>
      <w:szCs w:val="20"/>
    </w:rPr>
  </w:style>
  <w:style w:type="character" w:customStyle="1" w:styleId="CommentTextChar">
    <w:name w:val="Comment Text Char"/>
    <w:basedOn w:val="DefaultParagraphFont"/>
    <w:link w:val="CommentText"/>
    <w:rsid w:val="00260AB4"/>
    <w:rPr>
      <w:rFonts w:ascii="Arial" w:eastAsia="MS Mincho" w:hAnsi="Arial"/>
    </w:rPr>
  </w:style>
  <w:style w:type="paragraph" w:styleId="CommentSubject">
    <w:name w:val="annotation subject"/>
    <w:basedOn w:val="CommentText"/>
    <w:next w:val="CommentText"/>
    <w:link w:val="CommentSubjectChar"/>
    <w:locked/>
    <w:rsid w:val="00260AB4"/>
    <w:rPr>
      <w:b/>
      <w:bCs/>
    </w:rPr>
  </w:style>
  <w:style w:type="character" w:customStyle="1" w:styleId="CommentSubjectChar">
    <w:name w:val="Comment Subject Char"/>
    <w:basedOn w:val="CommentTextChar"/>
    <w:link w:val="CommentSubject"/>
    <w:rsid w:val="00260AB4"/>
    <w:rPr>
      <w:rFonts w:ascii="Arial" w:eastAsia="MS Mincho" w:hAnsi="Arial"/>
      <w:b/>
      <w:bCs/>
    </w:rPr>
  </w:style>
  <w:style w:type="paragraph" w:customStyle="1" w:styleId="subsection">
    <w:name w:val="subsection"/>
    <w:basedOn w:val="Normal"/>
    <w:rsid w:val="004960ED"/>
    <w:pPr>
      <w:spacing w:before="100" w:beforeAutospacing="1" w:after="100" w:afterAutospacing="1"/>
    </w:pPr>
    <w:rPr>
      <w:rFonts w:ascii="Times New Roman" w:eastAsia="Times New Roman" w:hAnsi="Times New Roman"/>
    </w:rPr>
  </w:style>
  <w:style w:type="paragraph" w:customStyle="1" w:styleId="paragraph">
    <w:name w:val="paragraph"/>
    <w:basedOn w:val="Normal"/>
    <w:rsid w:val="004960ED"/>
    <w:pPr>
      <w:spacing w:before="100" w:beforeAutospacing="1" w:after="100" w:afterAutospacing="1"/>
    </w:pPr>
    <w:rPr>
      <w:rFonts w:ascii="Times New Roman" w:eastAsia="Times New Roman" w:hAnsi="Times New Roman"/>
    </w:rPr>
  </w:style>
  <w:style w:type="paragraph" w:customStyle="1" w:styleId="subsection2">
    <w:name w:val="subsection2"/>
    <w:basedOn w:val="Normal"/>
    <w:rsid w:val="004960ED"/>
    <w:pPr>
      <w:spacing w:before="100" w:beforeAutospacing="1" w:after="100" w:afterAutospacing="1"/>
    </w:pPr>
    <w:rPr>
      <w:rFonts w:ascii="Times New Roman" w:eastAsia="Times New Roman" w:hAnsi="Times New Roman"/>
    </w:rPr>
  </w:style>
  <w:style w:type="paragraph" w:customStyle="1" w:styleId="acthead5">
    <w:name w:val="acthead5"/>
    <w:basedOn w:val="Normal"/>
    <w:rsid w:val="00F80943"/>
    <w:pPr>
      <w:spacing w:before="100" w:beforeAutospacing="1" w:after="100" w:afterAutospacing="1"/>
    </w:pPr>
    <w:rPr>
      <w:rFonts w:ascii="Times New Roman" w:eastAsia="Times New Roman" w:hAnsi="Times New Roman"/>
    </w:rPr>
  </w:style>
  <w:style w:type="character" w:customStyle="1" w:styleId="charsectno">
    <w:name w:val="charsectno"/>
    <w:basedOn w:val="DefaultParagraphFont"/>
    <w:rsid w:val="00F80943"/>
  </w:style>
  <w:style w:type="paragraph" w:customStyle="1" w:styleId="paragraphsub">
    <w:name w:val="paragraphsub"/>
    <w:basedOn w:val="Normal"/>
    <w:rsid w:val="0035037D"/>
    <w:pPr>
      <w:spacing w:before="100" w:beforeAutospacing="1" w:after="100" w:afterAutospacing="1"/>
    </w:pPr>
    <w:rPr>
      <w:rFonts w:ascii="Times New Roman" w:eastAsia="Times New Roman" w:hAnsi="Times New Roman"/>
    </w:rPr>
  </w:style>
  <w:style w:type="paragraph" w:customStyle="1" w:styleId="definition">
    <w:name w:val="definition"/>
    <w:basedOn w:val="Normal"/>
    <w:rsid w:val="00B359B6"/>
    <w:pPr>
      <w:spacing w:before="100" w:beforeAutospacing="1" w:after="100" w:afterAutospacing="1"/>
    </w:pPr>
    <w:rPr>
      <w:rFonts w:ascii="Times New Roman" w:eastAsia="Times New Roman" w:hAnsi="Times New Roman"/>
    </w:rPr>
  </w:style>
  <w:style w:type="paragraph" w:styleId="Revision">
    <w:name w:val="Revision"/>
    <w:hidden/>
    <w:uiPriority w:val="99"/>
    <w:semiHidden/>
    <w:rsid w:val="00A254B5"/>
    <w:rPr>
      <w:rFonts w:ascii="Arial" w:eastAsia="MS Mincho" w:hAnsi="Arial"/>
      <w:sz w:val="24"/>
      <w:szCs w:val="24"/>
    </w:rPr>
  </w:style>
  <w:style w:type="character" w:customStyle="1" w:styleId="VEOHRCItalics">
    <w:name w:val="VEOHRC Italics"/>
    <w:uiPriority w:val="99"/>
    <w:rsid w:val="00393DDC"/>
    <w:rPr>
      <w:rFonts w:ascii="Arial" w:hAnsi="Arial"/>
      <w:i/>
      <w:iCs/>
    </w:rPr>
  </w:style>
  <w:style w:type="character" w:customStyle="1" w:styleId="apple-converted-space">
    <w:name w:val="apple-converted-space"/>
    <w:basedOn w:val="DefaultParagraphFont"/>
    <w:rsid w:val="00274948"/>
  </w:style>
  <w:style w:type="character" w:customStyle="1" w:styleId="UnresolvedMention1">
    <w:name w:val="Unresolved Mention1"/>
    <w:basedOn w:val="DefaultParagraphFont"/>
    <w:uiPriority w:val="99"/>
    <w:semiHidden/>
    <w:unhideWhenUsed/>
    <w:rsid w:val="00F823FA"/>
    <w:rPr>
      <w:color w:val="605E5C"/>
      <w:shd w:val="clear" w:color="auto" w:fill="E1DFDD"/>
    </w:rPr>
  </w:style>
  <w:style w:type="character" w:customStyle="1" w:styleId="UnresolvedMention2">
    <w:name w:val="Unresolved Mention2"/>
    <w:basedOn w:val="DefaultParagraphFont"/>
    <w:uiPriority w:val="99"/>
    <w:semiHidden/>
    <w:unhideWhenUsed/>
    <w:rsid w:val="00B77E06"/>
    <w:rPr>
      <w:color w:val="605E5C"/>
      <w:shd w:val="clear" w:color="auto" w:fill="E1DFDD"/>
    </w:rPr>
  </w:style>
  <w:style w:type="paragraph" w:customStyle="1" w:styleId="HeadingInternalTitlePage">
    <w:name w:val="Heading Internal Title Page"/>
    <w:basedOn w:val="Normal"/>
    <w:uiPriority w:val="99"/>
    <w:rsid w:val="00D45DC6"/>
    <w:pPr>
      <w:suppressAutoHyphens/>
      <w:autoSpaceDE w:val="0"/>
      <w:autoSpaceDN w:val="0"/>
      <w:adjustRightInd w:val="0"/>
      <w:spacing w:before="0" w:after="567" w:line="288" w:lineRule="auto"/>
      <w:jc w:val="center"/>
      <w:textAlignment w:val="center"/>
    </w:pPr>
    <w:rPr>
      <w:rFonts w:eastAsia="Times New Roman" w:cs="Open Sans"/>
      <w:color w:val="8BB7C9"/>
      <w:sz w:val="52"/>
      <w:szCs w:val="52"/>
      <w:lang w:val="en-US"/>
    </w:rPr>
  </w:style>
  <w:style w:type="paragraph" w:customStyle="1" w:styleId="Paragrafobase">
    <w:name w:val="[Paragrafo base]"/>
    <w:basedOn w:val="Normal"/>
    <w:uiPriority w:val="99"/>
    <w:rsid w:val="00D45DC6"/>
    <w:pPr>
      <w:suppressAutoHyphens/>
      <w:autoSpaceDE w:val="0"/>
      <w:autoSpaceDN w:val="0"/>
      <w:adjustRightInd w:val="0"/>
      <w:spacing w:before="0" w:after="170" w:line="288" w:lineRule="auto"/>
      <w:textAlignment w:val="center"/>
    </w:pPr>
    <w:rPr>
      <w:rFonts w:eastAsia="Times New Roman" w:cs="Open Sans"/>
      <w:color w:val="000000"/>
      <w:sz w:val="20"/>
      <w:szCs w:val="20"/>
      <w:lang w:val="en-US"/>
    </w:rPr>
  </w:style>
  <w:style w:type="character" w:customStyle="1" w:styleId="CondensedMedium">
    <w:name w:val="Condensed Medium"/>
    <w:basedOn w:val="DefaultParagraphFont"/>
    <w:uiPriority w:val="99"/>
    <w:rsid w:val="00D45DC6"/>
    <w:rPr>
      <w:rFonts w:ascii="HelveticaNeueLT Pro 57 Cn" w:hAnsi="HelveticaNeueLT Pro 57 Cn" w:cs="HelveticaNeueLT Pro 57 Cn"/>
      <w:u w:val="none"/>
    </w:rPr>
  </w:style>
  <w:style w:type="paragraph" w:customStyle="1" w:styleId="CopyrightText">
    <w:name w:val="Copyright Text"/>
    <w:basedOn w:val="Normal"/>
    <w:uiPriority w:val="99"/>
    <w:rsid w:val="00D45DC6"/>
    <w:pPr>
      <w:keepLines w:val="0"/>
      <w:tabs>
        <w:tab w:val="left" w:pos="567"/>
      </w:tabs>
      <w:suppressAutoHyphens/>
      <w:autoSpaceDE w:val="0"/>
      <w:autoSpaceDN w:val="0"/>
      <w:adjustRightInd w:val="0"/>
      <w:spacing w:before="0" w:after="57" w:line="288" w:lineRule="auto"/>
      <w:textAlignment w:val="center"/>
    </w:pPr>
    <w:rPr>
      <w:rFonts w:eastAsia="Times New Roman" w:cs="Open Sans"/>
      <w:color w:val="FFFFFF"/>
      <w:sz w:val="16"/>
      <w:szCs w:val="16"/>
      <w:u w:color="000000"/>
    </w:rPr>
  </w:style>
  <w:style w:type="character" w:customStyle="1" w:styleId="HyperlinkBoldWhite">
    <w:name w:val="Hyperlink Bold White"/>
    <w:basedOn w:val="DefaultParagraphFont"/>
    <w:uiPriority w:val="99"/>
    <w:rsid w:val="00D45DC6"/>
    <w:rPr>
      <w:rFonts w:ascii="Open Sans" w:hAnsi="Open Sans" w:cs="Open Sans"/>
      <w:b/>
      <w:bCs/>
    </w:rPr>
  </w:style>
  <w:style w:type="character" w:styleId="UnresolvedMention">
    <w:name w:val="Unresolved Mention"/>
    <w:basedOn w:val="DefaultParagraphFont"/>
    <w:uiPriority w:val="99"/>
    <w:semiHidden/>
    <w:unhideWhenUsed/>
    <w:rsid w:val="00D45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057">
      <w:bodyDiv w:val="1"/>
      <w:marLeft w:val="0"/>
      <w:marRight w:val="0"/>
      <w:marTop w:val="0"/>
      <w:marBottom w:val="0"/>
      <w:divBdr>
        <w:top w:val="none" w:sz="0" w:space="0" w:color="auto"/>
        <w:left w:val="none" w:sz="0" w:space="0" w:color="auto"/>
        <w:bottom w:val="none" w:sz="0" w:space="0" w:color="auto"/>
        <w:right w:val="none" w:sz="0" w:space="0" w:color="auto"/>
      </w:divBdr>
    </w:div>
    <w:div w:id="17433900">
      <w:bodyDiv w:val="1"/>
      <w:marLeft w:val="0"/>
      <w:marRight w:val="0"/>
      <w:marTop w:val="0"/>
      <w:marBottom w:val="0"/>
      <w:divBdr>
        <w:top w:val="none" w:sz="0" w:space="0" w:color="auto"/>
        <w:left w:val="none" w:sz="0" w:space="0" w:color="auto"/>
        <w:bottom w:val="none" w:sz="0" w:space="0" w:color="auto"/>
        <w:right w:val="none" w:sz="0" w:space="0" w:color="auto"/>
      </w:divBdr>
    </w:div>
    <w:div w:id="66652007">
      <w:bodyDiv w:val="1"/>
      <w:marLeft w:val="0"/>
      <w:marRight w:val="0"/>
      <w:marTop w:val="0"/>
      <w:marBottom w:val="0"/>
      <w:divBdr>
        <w:top w:val="none" w:sz="0" w:space="0" w:color="auto"/>
        <w:left w:val="none" w:sz="0" w:space="0" w:color="auto"/>
        <w:bottom w:val="none" w:sz="0" w:space="0" w:color="auto"/>
        <w:right w:val="none" w:sz="0" w:space="0" w:color="auto"/>
      </w:divBdr>
    </w:div>
    <w:div w:id="73210055">
      <w:bodyDiv w:val="1"/>
      <w:marLeft w:val="0"/>
      <w:marRight w:val="0"/>
      <w:marTop w:val="0"/>
      <w:marBottom w:val="0"/>
      <w:divBdr>
        <w:top w:val="none" w:sz="0" w:space="0" w:color="auto"/>
        <w:left w:val="none" w:sz="0" w:space="0" w:color="auto"/>
        <w:bottom w:val="none" w:sz="0" w:space="0" w:color="auto"/>
        <w:right w:val="none" w:sz="0" w:space="0" w:color="auto"/>
      </w:divBdr>
    </w:div>
    <w:div w:id="157811096">
      <w:bodyDiv w:val="1"/>
      <w:marLeft w:val="0"/>
      <w:marRight w:val="0"/>
      <w:marTop w:val="0"/>
      <w:marBottom w:val="0"/>
      <w:divBdr>
        <w:top w:val="none" w:sz="0" w:space="0" w:color="auto"/>
        <w:left w:val="none" w:sz="0" w:space="0" w:color="auto"/>
        <w:bottom w:val="none" w:sz="0" w:space="0" w:color="auto"/>
        <w:right w:val="none" w:sz="0" w:space="0" w:color="auto"/>
      </w:divBdr>
    </w:div>
    <w:div w:id="198469563">
      <w:bodyDiv w:val="1"/>
      <w:marLeft w:val="0"/>
      <w:marRight w:val="0"/>
      <w:marTop w:val="0"/>
      <w:marBottom w:val="0"/>
      <w:divBdr>
        <w:top w:val="none" w:sz="0" w:space="0" w:color="auto"/>
        <w:left w:val="none" w:sz="0" w:space="0" w:color="auto"/>
        <w:bottom w:val="none" w:sz="0" w:space="0" w:color="auto"/>
        <w:right w:val="none" w:sz="0" w:space="0" w:color="auto"/>
      </w:divBdr>
    </w:div>
    <w:div w:id="240145196">
      <w:bodyDiv w:val="1"/>
      <w:marLeft w:val="0"/>
      <w:marRight w:val="0"/>
      <w:marTop w:val="0"/>
      <w:marBottom w:val="0"/>
      <w:divBdr>
        <w:top w:val="none" w:sz="0" w:space="0" w:color="auto"/>
        <w:left w:val="none" w:sz="0" w:space="0" w:color="auto"/>
        <w:bottom w:val="none" w:sz="0" w:space="0" w:color="auto"/>
        <w:right w:val="none" w:sz="0" w:space="0" w:color="auto"/>
      </w:divBdr>
    </w:div>
    <w:div w:id="349766896">
      <w:bodyDiv w:val="1"/>
      <w:marLeft w:val="0"/>
      <w:marRight w:val="0"/>
      <w:marTop w:val="0"/>
      <w:marBottom w:val="0"/>
      <w:divBdr>
        <w:top w:val="none" w:sz="0" w:space="0" w:color="auto"/>
        <w:left w:val="none" w:sz="0" w:space="0" w:color="auto"/>
        <w:bottom w:val="none" w:sz="0" w:space="0" w:color="auto"/>
        <w:right w:val="none" w:sz="0" w:space="0" w:color="auto"/>
      </w:divBdr>
    </w:div>
    <w:div w:id="460459718">
      <w:bodyDiv w:val="1"/>
      <w:marLeft w:val="0"/>
      <w:marRight w:val="0"/>
      <w:marTop w:val="0"/>
      <w:marBottom w:val="0"/>
      <w:divBdr>
        <w:top w:val="none" w:sz="0" w:space="0" w:color="auto"/>
        <w:left w:val="none" w:sz="0" w:space="0" w:color="auto"/>
        <w:bottom w:val="none" w:sz="0" w:space="0" w:color="auto"/>
        <w:right w:val="none" w:sz="0" w:space="0" w:color="auto"/>
      </w:divBdr>
      <w:divsChild>
        <w:div w:id="26299820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76146527">
      <w:bodyDiv w:val="1"/>
      <w:marLeft w:val="0"/>
      <w:marRight w:val="0"/>
      <w:marTop w:val="0"/>
      <w:marBottom w:val="0"/>
      <w:divBdr>
        <w:top w:val="none" w:sz="0" w:space="0" w:color="auto"/>
        <w:left w:val="none" w:sz="0" w:space="0" w:color="auto"/>
        <w:bottom w:val="none" w:sz="0" w:space="0" w:color="auto"/>
        <w:right w:val="none" w:sz="0" w:space="0" w:color="auto"/>
      </w:divBdr>
    </w:div>
    <w:div w:id="478426076">
      <w:bodyDiv w:val="1"/>
      <w:marLeft w:val="0"/>
      <w:marRight w:val="0"/>
      <w:marTop w:val="0"/>
      <w:marBottom w:val="0"/>
      <w:divBdr>
        <w:top w:val="none" w:sz="0" w:space="0" w:color="auto"/>
        <w:left w:val="none" w:sz="0" w:space="0" w:color="auto"/>
        <w:bottom w:val="none" w:sz="0" w:space="0" w:color="auto"/>
        <w:right w:val="none" w:sz="0" w:space="0" w:color="auto"/>
      </w:divBdr>
    </w:div>
    <w:div w:id="480270437">
      <w:bodyDiv w:val="1"/>
      <w:marLeft w:val="0"/>
      <w:marRight w:val="0"/>
      <w:marTop w:val="0"/>
      <w:marBottom w:val="0"/>
      <w:divBdr>
        <w:top w:val="none" w:sz="0" w:space="0" w:color="auto"/>
        <w:left w:val="none" w:sz="0" w:space="0" w:color="auto"/>
        <w:bottom w:val="none" w:sz="0" w:space="0" w:color="auto"/>
        <w:right w:val="none" w:sz="0" w:space="0" w:color="auto"/>
      </w:divBdr>
    </w:div>
    <w:div w:id="629672346">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97991121">
      <w:bodyDiv w:val="1"/>
      <w:marLeft w:val="0"/>
      <w:marRight w:val="0"/>
      <w:marTop w:val="0"/>
      <w:marBottom w:val="0"/>
      <w:divBdr>
        <w:top w:val="none" w:sz="0" w:space="0" w:color="auto"/>
        <w:left w:val="none" w:sz="0" w:space="0" w:color="auto"/>
        <w:bottom w:val="none" w:sz="0" w:space="0" w:color="auto"/>
        <w:right w:val="none" w:sz="0" w:space="0" w:color="auto"/>
      </w:divBdr>
      <w:divsChild>
        <w:div w:id="78872159">
          <w:marLeft w:val="0"/>
          <w:marRight w:val="0"/>
          <w:marTop w:val="0"/>
          <w:marBottom w:val="0"/>
          <w:divBdr>
            <w:top w:val="none" w:sz="0" w:space="0" w:color="auto"/>
            <w:left w:val="none" w:sz="0" w:space="0" w:color="auto"/>
            <w:bottom w:val="none" w:sz="0" w:space="0" w:color="auto"/>
            <w:right w:val="none" w:sz="0" w:space="0" w:color="auto"/>
          </w:divBdr>
          <w:divsChild>
            <w:div w:id="1533109008">
              <w:marLeft w:val="0"/>
              <w:marRight w:val="0"/>
              <w:marTop w:val="0"/>
              <w:marBottom w:val="0"/>
              <w:divBdr>
                <w:top w:val="none" w:sz="0" w:space="0" w:color="auto"/>
                <w:left w:val="none" w:sz="0" w:space="0" w:color="auto"/>
                <w:bottom w:val="none" w:sz="0" w:space="0" w:color="auto"/>
                <w:right w:val="none" w:sz="0" w:space="0" w:color="auto"/>
              </w:divBdr>
              <w:divsChild>
                <w:div w:id="747192353">
                  <w:marLeft w:val="0"/>
                  <w:marRight w:val="0"/>
                  <w:marTop w:val="0"/>
                  <w:marBottom w:val="0"/>
                  <w:divBdr>
                    <w:top w:val="none" w:sz="0" w:space="0" w:color="auto"/>
                    <w:left w:val="none" w:sz="0" w:space="0" w:color="auto"/>
                    <w:bottom w:val="none" w:sz="0" w:space="0" w:color="auto"/>
                    <w:right w:val="none" w:sz="0" w:space="0" w:color="auto"/>
                  </w:divBdr>
                  <w:divsChild>
                    <w:div w:id="6099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89909">
      <w:bodyDiv w:val="1"/>
      <w:marLeft w:val="0"/>
      <w:marRight w:val="0"/>
      <w:marTop w:val="0"/>
      <w:marBottom w:val="0"/>
      <w:divBdr>
        <w:top w:val="none" w:sz="0" w:space="0" w:color="auto"/>
        <w:left w:val="none" w:sz="0" w:space="0" w:color="auto"/>
        <w:bottom w:val="none" w:sz="0" w:space="0" w:color="auto"/>
        <w:right w:val="none" w:sz="0" w:space="0" w:color="auto"/>
      </w:divBdr>
    </w:div>
    <w:div w:id="967782475">
      <w:bodyDiv w:val="1"/>
      <w:marLeft w:val="0"/>
      <w:marRight w:val="0"/>
      <w:marTop w:val="0"/>
      <w:marBottom w:val="0"/>
      <w:divBdr>
        <w:top w:val="none" w:sz="0" w:space="0" w:color="auto"/>
        <w:left w:val="none" w:sz="0" w:space="0" w:color="auto"/>
        <w:bottom w:val="none" w:sz="0" w:space="0" w:color="auto"/>
        <w:right w:val="none" w:sz="0" w:space="0" w:color="auto"/>
      </w:divBdr>
      <w:divsChild>
        <w:div w:id="343242465">
          <w:marLeft w:val="0"/>
          <w:marRight w:val="0"/>
          <w:marTop w:val="0"/>
          <w:marBottom w:val="0"/>
          <w:divBdr>
            <w:top w:val="none" w:sz="0" w:space="0" w:color="auto"/>
            <w:left w:val="none" w:sz="0" w:space="0" w:color="auto"/>
            <w:bottom w:val="none" w:sz="0" w:space="0" w:color="auto"/>
            <w:right w:val="none" w:sz="0" w:space="0" w:color="auto"/>
          </w:divBdr>
          <w:divsChild>
            <w:div w:id="1135676704">
              <w:marLeft w:val="0"/>
              <w:marRight w:val="0"/>
              <w:marTop w:val="0"/>
              <w:marBottom w:val="0"/>
              <w:divBdr>
                <w:top w:val="none" w:sz="0" w:space="0" w:color="auto"/>
                <w:left w:val="none" w:sz="0" w:space="0" w:color="auto"/>
                <w:bottom w:val="none" w:sz="0" w:space="0" w:color="auto"/>
                <w:right w:val="none" w:sz="0" w:space="0" w:color="auto"/>
              </w:divBdr>
              <w:divsChild>
                <w:div w:id="905266696">
                  <w:marLeft w:val="0"/>
                  <w:marRight w:val="0"/>
                  <w:marTop w:val="0"/>
                  <w:marBottom w:val="0"/>
                  <w:divBdr>
                    <w:top w:val="none" w:sz="0" w:space="0" w:color="auto"/>
                    <w:left w:val="none" w:sz="0" w:space="0" w:color="auto"/>
                    <w:bottom w:val="none" w:sz="0" w:space="0" w:color="auto"/>
                    <w:right w:val="none" w:sz="0" w:space="0" w:color="auto"/>
                  </w:divBdr>
                  <w:divsChild>
                    <w:div w:id="52429692">
                      <w:marLeft w:val="0"/>
                      <w:marRight w:val="0"/>
                      <w:marTop w:val="0"/>
                      <w:marBottom w:val="0"/>
                      <w:divBdr>
                        <w:top w:val="none" w:sz="0" w:space="0" w:color="auto"/>
                        <w:left w:val="none" w:sz="0" w:space="0" w:color="auto"/>
                        <w:bottom w:val="none" w:sz="0" w:space="0" w:color="auto"/>
                        <w:right w:val="none" w:sz="0" w:space="0" w:color="auto"/>
                      </w:divBdr>
                      <w:divsChild>
                        <w:div w:id="1712073377">
                          <w:marLeft w:val="0"/>
                          <w:marRight w:val="0"/>
                          <w:marTop w:val="0"/>
                          <w:marBottom w:val="0"/>
                          <w:divBdr>
                            <w:top w:val="none" w:sz="0" w:space="0" w:color="auto"/>
                            <w:left w:val="none" w:sz="0" w:space="0" w:color="auto"/>
                            <w:bottom w:val="none" w:sz="0" w:space="0" w:color="auto"/>
                            <w:right w:val="none" w:sz="0" w:space="0" w:color="auto"/>
                          </w:divBdr>
                          <w:divsChild>
                            <w:div w:id="1295866932">
                              <w:marLeft w:val="0"/>
                              <w:marRight w:val="0"/>
                              <w:marTop w:val="0"/>
                              <w:marBottom w:val="0"/>
                              <w:divBdr>
                                <w:top w:val="none" w:sz="0" w:space="0" w:color="auto"/>
                                <w:left w:val="none" w:sz="0" w:space="0" w:color="auto"/>
                                <w:bottom w:val="none" w:sz="0" w:space="0" w:color="auto"/>
                                <w:right w:val="none" w:sz="0" w:space="0" w:color="auto"/>
                              </w:divBdr>
                              <w:divsChild>
                                <w:div w:id="92048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986782156">
      <w:bodyDiv w:val="1"/>
      <w:marLeft w:val="0"/>
      <w:marRight w:val="0"/>
      <w:marTop w:val="0"/>
      <w:marBottom w:val="0"/>
      <w:divBdr>
        <w:top w:val="none" w:sz="0" w:space="0" w:color="auto"/>
        <w:left w:val="none" w:sz="0" w:space="0" w:color="auto"/>
        <w:bottom w:val="none" w:sz="0" w:space="0" w:color="auto"/>
        <w:right w:val="none" w:sz="0" w:space="0" w:color="auto"/>
      </w:divBdr>
    </w:div>
    <w:div w:id="992492211">
      <w:bodyDiv w:val="1"/>
      <w:marLeft w:val="0"/>
      <w:marRight w:val="0"/>
      <w:marTop w:val="0"/>
      <w:marBottom w:val="0"/>
      <w:divBdr>
        <w:top w:val="none" w:sz="0" w:space="0" w:color="auto"/>
        <w:left w:val="none" w:sz="0" w:space="0" w:color="auto"/>
        <w:bottom w:val="none" w:sz="0" w:space="0" w:color="auto"/>
        <w:right w:val="none" w:sz="0" w:space="0" w:color="auto"/>
      </w:divBdr>
    </w:div>
    <w:div w:id="1021736300">
      <w:bodyDiv w:val="1"/>
      <w:marLeft w:val="0"/>
      <w:marRight w:val="0"/>
      <w:marTop w:val="0"/>
      <w:marBottom w:val="0"/>
      <w:divBdr>
        <w:top w:val="none" w:sz="0" w:space="0" w:color="auto"/>
        <w:left w:val="none" w:sz="0" w:space="0" w:color="auto"/>
        <w:bottom w:val="none" w:sz="0" w:space="0" w:color="auto"/>
        <w:right w:val="none" w:sz="0" w:space="0" w:color="auto"/>
      </w:divBdr>
    </w:div>
    <w:div w:id="1038776932">
      <w:bodyDiv w:val="1"/>
      <w:marLeft w:val="0"/>
      <w:marRight w:val="0"/>
      <w:marTop w:val="0"/>
      <w:marBottom w:val="0"/>
      <w:divBdr>
        <w:top w:val="none" w:sz="0" w:space="0" w:color="auto"/>
        <w:left w:val="none" w:sz="0" w:space="0" w:color="auto"/>
        <w:bottom w:val="none" w:sz="0" w:space="0" w:color="auto"/>
        <w:right w:val="none" w:sz="0" w:space="0" w:color="auto"/>
      </w:divBdr>
    </w:div>
    <w:div w:id="1048652950">
      <w:bodyDiv w:val="1"/>
      <w:marLeft w:val="0"/>
      <w:marRight w:val="0"/>
      <w:marTop w:val="0"/>
      <w:marBottom w:val="0"/>
      <w:divBdr>
        <w:top w:val="none" w:sz="0" w:space="0" w:color="auto"/>
        <w:left w:val="none" w:sz="0" w:space="0" w:color="auto"/>
        <w:bottom w:val="none" w:sz="0" w:space="0" w:color="auto"/>
        <w:right w:val="none" w:sz="0" w:space="0" w:color="auto"/>
      </w:divBdr>
    </w:div>
    <w:div w:id="1079253845">
      <w:bodyDiv w:val="1"/>
      <w:marLeft w:val="0"/>
      <w:marRight w:val="0"/>
      <w:marTop w:val="0"/>
      <w:marBottom w:val="0"/>
      <w:divBdr>
        <w:top w:val="none" w:sz="0" w:space="0" w:color="auto"/>
        <w:left w:val="none" w:sz="0" w:space="0" w:color="auto"/>
        <w:bottom w:val="none" w:sz="0" w:space="0" w:color="auto"/>
        <w:right w:val="none" w:sz="0" w:space="0" w:color="auto"/>
      </w:divBdr>
    </w:div>
    <w:div w:id="1163356432">
      <w:bodyDiv w:val="1"/>
      <w:marLeft w:val="0"/>
      <w:marRight w:val="0"/>
      <w:marTop w:val="0"/>
      <w:marBottom w:val="0"/>
      <w:divBdr>
        <w:top w:val="none" w:sz="0" w:space="0" w:color="auto"/>
        <w:left w:val="none" w:sz="0" w:space="0" w:color="auto"/>
        <w:bottom w:val="none" w:sz="0" w:space="0" w:color="auto"/>
        <w:right w:val="none" w:sz="0" w:space="0" w:color="auto"/>
      </w:divBdr>
    </w:div>
    <w:div w:id="1193688883">
      <w:bodyDiv w:val="1"/>
      <w:marLeft w:val="0"/>
      <w:marRight w:val="0"/>
      <w:marTop w:val="0"/>
      <w:marBottom w:val="0"/>
      <w:divBdr>
        <w:top w:val="none" w:sz="0" w:space="0" w:color="auto"/>
        <w:left w:val="none" w:sz="0" w:space="0" w:color="auto"/>
        <w:bottom w:val="none" w:sz="0" w:space="0" w:color="auto"/>
        <w:right w:val="none" w:sz="0" w:space="0" w:color="auto"/>
      </w:divBdr>
    </w:div>
    <w:div w:id="1223909817">
      <w:bodyDiv w:val="1"/>
      <w:marLeft w:val="0"/>
      <w:marRight w:val="0"/>
      <w:marTop w:val="0"/>
      <w:marBottom w:val="0"/>
      <w:divBdr>
        <w:top w:val="none" w:sz="0" w:space="0" w:color="auto"/>
        <w:left w:val="none" w:sz="0" w:space="0" w:color="auto"/>
        <w:bottom w:val="none" w:sz="0" w:space="0" w:color="auto"/>
        <w:right w:val="none" w:sz="0" w:space="0" w:color="auto"/>
      </w:divBdr>
    </w:div>
    <w:div w:id="1314406367">
      <w:bodyDiv w:val="1"/>
      <w:marLeft w:val="0"/>
      <w:marRight w:val="0"/>
      <w:marTop w:val="0"/>
      <w:marBottom w:val="0"/>
      <w:divBdr>
        <w:top w:val="none" w:sz="0" w:space="0" w:color="auto"/>
        <w:left w:val="none" w:sz="0" w:space="0" w:color="auto"/>
        <w:bottom w:val="none" w:sz="0" w:space="0" w:color="auto"/>
        <w:right w:val="none" w:sz="0" w:space="0" w:color="auto"/>
      </w:divBdr>
    </w:div>
    <w:div w:id="1324507505">
      <w:bodyDiv w:val="1"/>
      <w:marLeft w:val="0"/>
      <w:marRight w:val="0"/>
      <w:marTop w:val="0"/>
      <w:marBottom w:val="0"/>
      <w:divBdr>
        <w:top w:val="none" w:sz="0" w:space="0" w:color="auto"/>
        <w:left w:val="none" w:sz="0" w:space="0" w:color="auto"/>
        <w:bottom w:val="none" w:sz="0" w:space="0" w:color="auto"/>
        <w:right w:val="none" w:sz="0" w:space="0" w:color="auto"/>
      </w:divBdr>
    </w:div>
    <w:div w:id="1342390280">
      <w:bodyDiv w:val="1"/>
      <w:marLeft w:val="0"/>
      <w:marRight w:val="0"/>
      <w:marTop w:val="0"/>
      <w:marBottom w:val="0"/>
      <w:divBdr>
        <w:top w:val="none" w:sz="0" w:space="0" w:color="auto"/>
        <w:left w:val="none" w:sz="0" w:space="0" w:color="auto"/>
        <w:bottom w:val="none" w:sz="0" w:space="0" w:color="auto"/>
        <w:right w:val="none" w:sz="0" w:space="0" w:color="auto"/>
      </w:divBdr>
    </w:div>
    <w:div w:id="1383866437">
      <w:bodyDiv w:val="1"/>
      <w:marLeft w:val="0"/>
      <w:marRight w:val="0"/>
      <w:marTop w:val="0"/>
      <w:marBottom w:val="0"/>
      <w:divBdr>
        <w:top w:val="none" w:sz="0" w:space="0" w:color="auto"/>
        <w:left w:val="none" w:sz="0" w:space="0" w:color="auto"/>
        <w:bottom w:val="none" w:sz="0" w:space="0" w:color="auto"/>
        <w:right w:val="none" w:sz="0" w:space="0" w:color="auto"/>
      </w:divBdr>
    </w:div>
    <w:div w:id="1438983594">
      <w:bodyDiv w:val="1"/>
      <w:marLeft w:val="0"/>
      <w:marRight w:val="0"/>
      <w:marTop w:val="0"/>
      <w:marBottom w:val="0"/>
      <w:divBdr>
        <w:top w:val="none" w:sz="0" w:space="0" w:color="auto"/>
        <w:left w:val="none" w:sz="0" w:space="0" w:color="auto"/>
        <w:bottom w:val="none" w:sz="0" w:space="0" w:color="auto"/>
        <w:right w:val="none" w:sz="0" w:space="0" w:color="auto"/>
      </w:divBdr>
    </w:div>
    <w:div w:id="1533349017">
      <w:bodyDiv w:val="1"/>
      <w:marLeft w:val="0"/>
      <w:marRight w:val="0"/>
      <w:marTop w:val="0"/>
      <w:marBottom w:val="0"/>
      <w:divBdr>
        <w:top w:val="none" w:sz="0" w:space="0" w:color="auto"/>
        <w:left w:val="none" w:sz="0" w:space="0" w:color="auto"/>
        <w:bottom w:val="none" w:sz="0" w:space="0" w:color="auto"/>
        <w:right w:val="none" w:sz="0" w:space="0" w:color="auto"/>
      </w:divBdr>
    </w:div>
    <w:div w:id="1562132660">
      <w:bodyDiv w:val="1"/>
      <w:marLeft w:val="0"/>
      <w:marRight w:val="0"/>
      <w:marTop w:val="0"/>
      <w:marBottom w:val="0"/>
      <w:divBdr>
        <w:top w:val="none" w:sz="0" w:space="0" w:color="auto"/>
        <w:left w:val="none" w:sz="0" w:space="0" w:color="auto"/>
        <w:bottom w:val="none" w:sz="0" w:space="0" w:color="auto"/>
        <w:right w:val="none" w:sz="0" w:space="0" w:color="auto"/>
      </w:divBdr>
    </w:div>
    <w:div w:id="1570337538">
      <w:bodyDiv w:val="1"/>
      <w:marLeft w:val="0"/>
      <w:marRight w:val="0"/>
      <w:marTop w:val="0"/>
      <w:marBottom w:val="0"/>
      <w:divBdr>
        <w:top w:val="none" w:sz="0" w:space="0" w:color="auto"/>
        <w:left w:val="none" w:sz="0" w:space="0" w:color="auto"/>
        <w:bottom w:val="none" w:sz="0" w:space="0" w:color="auto"/>
        <w:right w:val="none" w:sz="0" w:space="0" w:color="auto"/>
      </w:divBdr>
    </w:div>
    <w:div w:id="1640305579">
      <w:bodyDiv w:val="1"/>
      <w:marLeft w:val="0"/>
      <w:marRight w:val="0"/>
      <w:marTop w:val="0"/>
      <w:marBottom w:val="0"/>
      <w:divBdr>
        <w:top w:val="none" w:sz="0" w:space="0" w:color="auto"/>
        <w:left w:val="none" w:sz="0" w:space="0" w:color="auto"/>
        <w:bottom w:val="none" w:sz="0" w:space="0" w:color="auto"/>
        <w:right w:val="none" w:sz="0" w:space="0" w:color="auto"/>
      </w:divBdr>
    </w:div>
    <w:div w:id="1691563071">
      <w:bodyDiv w:val="1"/>
      <w:marLeft w:val="0"/>
      <w:marRight w:val="0"/>
      <w:marTop w:val="0"/>
      <w:marBottom w:val="0"/>
      <w:divBdr>
        <w:top w:val="none" w:sz="0" w:space="0" w:color="auto"/>
        <w:left w:val="none" w:sz="0" w:space="0" w:color="auto"/>
        <w:bottom w:val="none" w:sz="0" w:space="0" w:color="auto"/>
        <w:right w:val="none" w:sz="0" w:space="0" w:color="auto"/>
      </w:divBdr>
    </w:div>
    <w:div w:id="1702703478">
      <w:bodyDiv w:val="1"/>
      <w:marLeft w:val="0"/>
      <w:marRight w:val="0"/>
      <w:marTop w:val="0"/>
      <w:marBottom w:val="0"/>
      <w:divBdr>
        <w:top w:val="none" w:sz="0" w:space="0" w:color="auto"/>
        <w:left w:val="none" w:sz="0" w:space="0" w:color="auto"/>
        <w:bottom w:val="none" w:sz="0" w:space="0" w:color="auto"/>
        <w:right w:val="none" w:sz="0" w:space="0" w:color="auto"/>
      </w:divBdr>
    </w:div>
    <w:div w:id="1703358535">
      <w:bodyDiv w:val="1"/>
      <w:marLeft w:val="0"/>
      <w:marRight w:val="0"/>
      <w:marTop w:val="0"/>
      <w:marBottom w:val="0"/>
      <w:divBdr>
        <w:top w:val="none" w:sz="0" w:space="0" w:color="auto"/>
        <w:left w:val="none" w:sz="0" w:space="0" w:color="auto"/>
        <w:bottom w:val="none" w:sz="0" w:space="0" w:color="auto"/>
        <w:right w:val="none" w:sz="0" w:space="0" w:color="auto"/>
      </w:divBdr>
    </w:div>
    <w:div w:id="1951626037">
      <w:bodyDiv w:val="1"/>
      <w:marLeft w:val="0"/>
      <w:marRight w:val="0"/>
      <w:marTop w:val="0"/>
      <w:marBottom w:val="0"/>
      <w:divBdr>
        <w:top w:val="none" w:sz="0" w:space="0" w:color="auto"/>
        <w:left w:val="none" w:sz="0" w:space="0" w:color="auto"/>
        <w:bottom w:val="none" w:sz="0" w:space="0" w:color="auto"/>
        <w:right w:val="none" w:sz="0" w:space="0" w:color="auto"/>
      </w:divBdr>
    </w:div>
    <w:div w:id="1981183319">
      <w:bodyDiv w:val="1"/>
      <w:marLeft w:val="0"/>
      <w:marRight w:val="0"/>
      <w:marTop w:val="0"/>
      <w:marBottom w:val="0"/>
      <w:divBdr>
        <w:top w:val="none" w:sz="0" w:space="0" w:color="auto"/>
        <w:left w:val="none" w:sz="0" w:space="0" w:color="auto"/>
        <w:bottom w:val="none" w:sz="0" w:space="0" w:color="auto"/>
        <w:right w:val="none" w:sz="0" w:space="0" w:color="auto"/>
      </w:divBdr>
    </w:div>
    <w:div w:id="1989893287">
      <w:bodyDiv w:val="1"/>
      <w:marLeft w:val="0"/>
      <w:marRight w:val="0"/>
      <w:marTop w:val="0"/>
      <w:marBottom w:val="0"/>
      <w:divBdr>
        <w:top w:val="none" w:sz="0" w:space="0" w:color="auto"/>
        <w:left w:val="none" w:sz="0" w:space="0" w:color="auto"/>
        <w:bottom w:val="none" w:sz="0" w:space="0" w:color="auto"/>
        <w:right w:val="none" w:sz="0" w:space="0" w:color="auto"/>
      </w:divBdr>
    </w:div>
    <w:div w:id="2026710654">
      <w:bodyDiv w:val="1"/>
      <w:marLeft w:val="0"/>
      <w:marRight w:val="0"/>
      <w:marTop w:val="0"/>
      <w:marBottom w:val="0"/>
      <w:divBdr>
        <w:top w:val="none" w:sz="0" w:space="0" w:color="auto"/>
        <w:left w:val="none" w:sz="0" w:space="0" w:color="auto"/>
        <w:bottom w:val="none" w:sz="0" w:space="0" w:color="auto"/>
        <w:right w:val="none" w:sz="0" w:space="0" w:color="auto"/>
      </w:divBdr>
      <w:divsChild>
        <w:div w:id="936793307">
          <w:marLeft w:val="0"/>
          <w:marRight w:val="0"/>
          <w:marTop w:val="0"/>
          <w:marBottom w:val="0"/>
          <w:divBdr>
            <w:top w:val="none" w:sz="0" w:space="0" w:color="auto"/>
            <w:left w:val="none" w:sz="0" w:space="0" w:color="auto"/>
            <w:bottom w:val="none" w:sz="0" w:space="0" w:color="auto"/>
            <w:right w:val="none" w:sz="0" w:space="0" w:color="auto"/>
          </w:divBdr>
          <w:divsChild>
            <w:div w:id="460151939">
              <w:marLeft w:val="0"/>
              <w:marRight w:val="0"/>
              <w:marTop w:val="0"/>
              <w:marBottom w:val="0"/>
              <w:divBdr>
                <w:top w:val="none" w:sz="0" w:space="0" w:color="auto"/>
                <w:left w:val="none" w:sz="0" w:space="0" w:color="auto"/>
                <w:bottom w:val="none" w:sz="0" w:space="0" w:color="auto"/>
                <w:right w:val="none" w:sz="0" w:space="0" w:color="auto"/>
              </w:divBdr>
              <w:divsChild>
                <w:div w:id="1997681088">
                  <w:marLeft w:val="0"/>
                  <w:marRight w:val="0"/>
                  <w:marTop w:val="0"/>
                  <w:marBottom w:val="0"/>
                  <w:divBdr>
                    <w:top w:val="none" w:sz="0" w:space="0" w:color="auto"/>
                    <w:left w:val="none" w:sz="0" w:space="0" w:color="auto"/>
                    <w:bottom w:val="none" w:sz="0" w:space="0" w:color="auto"/>
                    <w:right w:val="none" w:sz="0" w:space="0" w:color="auto"/>
                  </w:divBdr>
                  <w:divsChild>
                    <w:div w:id="19763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creativecommons.org/licenses/by/4.0/legalcode" TargetMode="External"/><Relationship Id="rId26" Type="http://schemas.openxmlformats.org/officeDocument/2006/relationships/image" Target="media/image6.png"/><Relationship Id="rId39" Type="http://schemas.openxmlformats.org/officeDocument/2006/relationships/hyperlink" Target="mailto:training@humanrights.gov.au" TargetMode="External"/><Relationship Id="rId21" Type="http://schemas.openxmlformats.org/officeDocument/2006/relationships/header" Target="header3.xml"/><Relationship Id="rId34" Type="http://schemas.openxmlformats.org/officeDocument/2006/relationships/image" Target="media/image9.sv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communications@humanrights.gov.au" TargetMode="External"/><Relationship Id="rId29" Type="http://schemas.openxmlformats.org/officeDocument/2006/relationships/hyperlink" Target="http://www.austlii.edu.au/cgi-bin/viewdoc/au/legis/cth/consol_act/ada2004174/s21.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hyperlink" Target="http://www.austlii.edu.au/cgi-bin/viewdoc/au/legis/cth/consol_act/ada2004174/s24.html" TargetMode="External"/><Relationship Id="rId37" Type="http://schemas.openxmlformats.org/officeDocument/2006/relationships/hyperlink" Target="https://www.humanrights.gov.au/complaints/contact-national-information-service"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hyperlink" Target="http://www.austlii.edu.au/cgi-bin/viewdoc/au/legis/cth/consol_act/ada2004174/s18.html" TargetMode="External"/><Relationship Id="rId36" Type="http://schemas.openxmlformats.org/officeDocument/2006/relationships/hyperlink" Target="https://www.humanrights.gov.au/temporary-exemptions-under-age-discrimination-act-2004-cth" TargetMode="External"/><Relationship Id="rId10" Type="http://schemas.openxmlformats.org/officeDocument/2006/relationships/endnotes" Target="endnotes.xml"/><Relationship Id="rId19" Type="http://schemas.openxmlformats.org/officeDocument/2006/relationships/hyperlink" Target="https://www.humanrights.gov.au/our-work/publications" TargetMode="External"/><Relationship Id="rId31" Type="http://schemas.openxmlformats.org/officeDocument/2006/relationships/hyperlink" Target="http://www.austlii.edu.au/cgi-bin/viewdoc/au/legis/cth/consol_act/ada2004174/s20.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7.svg"/><Relationship Id="rId30" Type="http://schemas.openxmlformats.org/officeDocument/2006/relationships/hyperlink" Target="http://www.austlii.edu.au/cgi-bin/viewdoc/au/legis/cth/consol_act/ada2004174/s19.html" TargetMode="External"/><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creativecommons.org/licenses/by/4.0/legalcode" TargetMode="External"/><Relationship Id="rId25" Type="http://schemas.openxmlformats.org/officeDocument/2006/relationships/image" Target="media/image5.emf"/><Relationship Id="rId33" Type="http://schemas.openxmlformats.org/officeDocument/2006/relationships/image" Target="media/image8.png"/><Relationship Id="rId38" Type="http://schemas.openxmlformats.org/officeDocument/2006/relationships/hyperlink" Target="https://www.humanrights.gov.au/complaint-information"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benevolent.org.au/ArticleDocuments/340/Ageism_SummaryReport_Final.pdf.aspx" TargetMode="External"/><Relationship Id="rId3" Type="http://schemas.openxmlformats.org/officeDocument/2006/relationships/hyperlink" Target="https://www.humanrights.gov.au/temporary-exemptions-under-age-discrimination-act-2004-cth" TargetMode="External"/><Relationship Id="rId7" Type="http://schemas.openxmlformats.org/officeDocument/2006/relationships/hyperlink" Target="https://www.benevolent.org.au/ArticleDocuments/340/Ageism_SummaryReport_Final.pdf.aspx" TargetMode="External"/><Relationship Id="rId2" Type="http://schemas.openxmlformats.org/officeDocument/2006/relationships/hyperlink" Target="https://www.humanrights.gov.au/sites/default/files/AHRC_Complaints_AR_Stats_Tables%202016-2017.pdf" TargetMode="External"/><Relationship Id="rId1" Type="http://schemas.openxmlformats.org/officeDocument/2006/relationships/hyperlink" Target="https://www.aihw.gov.au/reports/older-people/older-australia-at-a-glance/contents/demographics-of-older-australians" TargetMode="External"/><Relationship Id="rId6" Type="http://schemas.openxmlformats.org/officeDocument/2006/relationships/hyperlink" Target="https://www.humanrights.gov.au/our-work/age-discrimination/publications/employing-older-workers-2018" TargetMode="External"/><Relationship Id="rId5" Type="http://schemas.openxmlformats.org/officeDocument/2006/relationships/hyperlink" Target="https://www.humanrights.gov.au/our-work/age-discrimination/publications/employing-older-workers-2018" TargetMode="External"/><Relationship Id="rId4" Type="http://schemas.openxmlformats.org/officeDocument/2006/relationships/hyperlink" Target="https://www.humanrights.gov.au/our-work/age-discrimination/publications/employing-older-workers-2018" TargetMode="External"/><Relationship Id="rId9" Type="http://schemas.openxmlformats.org/officeDocument/2006/relationships/hyperlink" Target="https://www.humanrights.gov.au/our-work/age-discrimination/publications/employing-older-workers-20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mmission_x0020_Workplan_x0020_Category xmlns="66c00d4f-7d6c-4060-ae17-0134fb1bd573">Toolkit and planning and evaluation resources</Commission_x0020_Workplan_x0020_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80BD8960C7DE458B4A16F8434A836C" ma:contentTypeVersion="2" ma:contentTypeDescription="Create a new document." ma:contentTypeScope="" ma:versionID="1c0fe9ee632e8dc19eed38f579df74ec">
  <xsd:schema xmlns:xsd="http://www.w3.org/2001/XMLSchema" xmlns:p="http://schemas.microsoft.com/office/2006/metadata/properties" xmlns:ns2="66c00d4f-7d6c-4060-ae17-0134fb1bd573" targetNamespace="http://schemas.microsoft.com/office/2006/metadata/properties" ma:root="true" ma:fieldsID="ced6eed7a4df4f77b80f29035c58b701" ns2:_="">
    <xsd:import namespace="66c00d4f-7d6c-4060-ae17-0134fb1bd573"/>
    <xsd:element name="properties">
      <xsd:complexType>
        <xsd:sequence>
          <xsd:element name="documentManagement">
            <xsd:complexType>
              <xsd:all>
                <xsd:element ref="ns2:Commission_x0020_Workplan_x0020_Category" minOccurs="0"/>
              </xsd:all>
            </xsd:complexType>
          </xsd:element>
        </xsd:sequence>
      </xsd:complexType>
    </xsd:element>
  </xsd:schema>
  <xsd:schema xmlns:xsd="http://www.w3.org/2001/XMLSchema" xmlns:dms="http://schemas.microsoft.com/office/2006/documentManagement/types" targetNamespace="66c00d4f-7d6c-4060-ae17-0134fb1bd573" elementFormDefault="qualified">
    <xsd:import namespace="http://schemas.microsoft.com/office/2006/documentManagement/types"/>
    <xsd:element name="Commission_x0020_Workplan_x0020_Category" ma:index="8" nillable="true" ma:displayName="Commission Workplan Category" ma:default="Corporate Plan" ma:format="Dropdown" ma:internalName="Commission_x0020_Workplan_x0020_Category">
      <xsd:simpleType>
        <xsd:restriction base="dms:Choice">
          <xsd:enumeration value="Corporate Plan"/>
          <xsd:enumeration value="Project Plans"/>
          <xsd:enumeration value="Toolkit and planning and evaluation resources"/>
          <xsd:enumeration value="Planning Context"/>
          <xsd:enumeration value="Workpla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F5FD-0819-4872-8496-320B530989BF}">
  <ds:schemaRefs>
    <ds:schemaRef ds:uri="http://purl.org/dc/terms/"/>
    <ds:schemaRef ds:uri="http://schemas.microsoft.com/office/2006/documentManagement/types"/>
    <ds:schemaRef ds:uri="http://schemas.openxmlformats.org/package/2006/metadata/core-properties"/>
    <ds:schemaRef ds:uri="66c00d4f-7d6c-4060-ae17-0134fb1bd573"/>
    <ds:schemaRef ds:uri="http://purl.org/dc/elements/1.1/"/>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68E58ED-993D-4A8E-8278-C5F29BC03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c00d4f-7d6c-4060-ae17-0134fb1bd57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E1272D1-F624-4DFF-B412-9F03E3163DF9}">
  <ds:schemaRefs>
    <ds:schemaRef ds:uri="http://schemas.microsoft.com/sharepoint/v3/contenttype/forms"/>
  </ds:schemaRefs>
</ds:datastoreItem>
</file>

<file path=customXml/itemProps4.xml><?xml version="1.0" encoding="utf-8"?>
<ds:datastoreItem xmlns:ds="http://schemas.openxmlformats.org/officeDocument/2006/customXml" ds:itemID="{C469FEC4-229B-4AD8-BB81-028A163EA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29</Pages>
  <Words>4901</Words>
  <Characters>27792</Characters>
  <Application>Microsoft Office Word</Application>
  <DocSecurity>0</DocSecurity>
  <Lines>231</Lines>
  <Paragraphs>65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2018 Project.Evaluation PLAN form</vt:lpstr>
      <vt:lpstr>2018 Project.Evaluation PLAN form</vt:lpstr>
    </vt:vector>
  </TitlesOfParts>
  <Company>Human Rights and Equal Opportunity Commission</Company>
  <LinksUpToDate>false</LinksUpToDate>
  <CharactersWithSpaces>32628</CharactersWithSpaces>
  <SharedDoc>false</SharedDoc>
  <HLinks>
    <vt:vector size="36" baseType="variant">
      <vt:variant>
        <vt:i4>1572920</vt:i4>
      </vt:variant>
      <vt:variant>
        <vt:i4>32</vt:i4>
      </vt:variant>
      <vt:variant>
        <vt:i4>0</vt:i4>
      </vt:variant>
      <vt:variant>
        <vt:i4>5</vt:i4>
      </vt:variant>
      <vt:variant>
        <vt:lpwstr/>
      </vt:variant>
      <vt:variant>
        <vt:lpwstr>_Toc209941772</vt:lpwstr>
      </vt:variant>
      <vt:variant>
        <vt:i4>1572920</vt:i4>
      </vt:variant>
      <vt:variant>
        <vt:i4>26</vt:i4>
      </vt:variant>
      <vt:variant>
        <vt:i4>0</vt:i4>
      </vt:variant>
      <vt:variant>
        <vt:i4>5</vt:i4>
      </vt:variant>
      <vt:variant>
        <vt:lpwstr/>
      </vt:variant>
      <vt:variant>
        <vt:lpwstr>_Toc209941771</vt:lpwstr>
      </vt:variant>
      <vt:variant>
        <vt:i4>1572920</vt:i4>
      </vt:variant>
      <vt:variant>
        <vt:i4>20</vt:i4>
      </vt:variant>
      <vt:variant>
        <vt:i4>0</vt:i4>
      </vt:variant>
      <vt:variant>
        <vt:i4>5</vt:i4>
      </vt:variant>
      <vt:variant>
        <vt:lpwstr/>
      </vt:variant>
      <vt:variant>
        <vt:lpwstr>_Toc209941771</vt:lpwstr>
      </vt:variant>
      <vt:variant>
        <vt:i4>1572920</vt:i4>
      </vt:variant>
      <vt:variant>
        <vt:i4>14</vt:i4>
      </vt:variant>
      <vt:variant>
        <vt:i4>0</vt:i4>
      </vt:variant>
      <vt:variant>
        <vt:i4>5</vt:i4>
      </vt:variant>
      <vt:variant>
        <vt:lpwstr/>
      </vt:variant>
      <vt:variant>
        <vt:lpwstr>_Toc209941770</vt:lpwstr>
      </vt:variant>
      <vt:variant>
        <vt:i4>1638456</vt:i4>
      </vt:variant>
      <vt:variant>
        <vt:i4>8</vt:i4>
      </vt:variant>
      <vt:variant>
        <vt:i4>0</vt:i4>
      </vt:variant>
      <vt:variant>
        <vt:i4>5</vt:i4>
      </vt:variant>
      <vt:variant>
        <vt:lpwstr/>
      </vt:variant>
      <vt:variant>
        <vt:lpwstr>_Toc209941769</vt:lpwstr>
      </vt:variant>
      <vt:variant>
        <vt:i4>1638456</vt:i4>
      </vt:variant>
      <vt:variant>
        <vt:i4>2</vt:i4>
      </vt:variant>
      <vt:variant>
        <vt:i4>0</vt:i4>
      </vt:variant>
      <vt:variant>
        <vt:i4>5</vt:i4>
      </vt:variant>
      <vt:variant>
        <vt:lpwstr/>
      </vt:variant>
      <vt:variant>
        <vt:lpwstr>_Toc209941766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Project.Evaluation PLAN form</dc:title>
  <dc:subject/>
  <dc:creator>Afton Fife</dc:creator>
  <cp:keywords/>
  <cp:lastModifiedBy>Afton Fife</cp:lastModifiedBy>
  <cp:revision>4</cp:revision>
  <cp:lastPrinted>2019-07-18T00:52:00Z</cp:lastPrinted>
  <dcterms:created xsi:type="dcterms:W3CDTF">2019-07-18T00:45:00Z</dcterms:created>
  <dcterms:modified xsi:type="dcterms:W3CDTF">2019-07-18T01:46:00Z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0x010100A680BD8960C7DE458B4A16F8434A836C</vt:lpwstr>
  </property>
  <property fmtid="{D5CDD505-2E9C-101B-9397-08002B2CF9AE}" pid="3" name="_DocHome">
    <vt:i4>87286831</vt:i4>
  </property>
</Properties>
</file>