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C62" w:rsidRDefault="00F74C62">
      <w:pPr>
        <w:spacing w:before="0" w:after="0"/>
        <w:rPr>
          <w:b/>
          <w:sz w:val="28"/>
          <w:lang w:val="en-US"/>
        </w:rPr>
      </w:pPr>
      <w:r>
        <w:rPr>
          <w:b/>
          <w:noProof/>
          <w:sz w:val="28"/>
        </w:rPr>
        <mc:AlternateContent>
          <mc:Choice Requires="wps">
            <w:drawing>
              <wp:anchor distT="0" distB="0" distL="114300" distR="114300" simplePos="0" relativeHeight="251659264" behindDoc="0" locked="0" layoutInCell="1" allowOverlap="1">
                <wp:simplePos x="0" y="0"/>
                <wp:positionH relativeFrom="column">
                  <wp:posOffset>-390855</wp:posOffset>
                </wp:positionH>
                <wp:positionV relativeFrom="paragraph">
                  <wp:posOffset>353060</wp:posOffset>
                </wp:positionV>
                <wp:extent cx="5825490" cy="2383047"/>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5490" cy="2383047"/>
                        </a:xfrm>
                        <a:prstGeom prst="rect">
                          <a:avLst/>
                        </a:prstGeom>
                        <a:noFill/>
                        <a:ln w="6350">
                          <a:noFill/>
                        </a:ln>
                        <a:effectLst/>
                      </wps:spPr>
                      <wps:txbx>
                        <w:txbxContent>
                          <w:p w:rsidR="0045331E" w:rsidRDefault="0045331E" w:rsidP="00F74C62">
                            <w:pPr>
                              <w:pStyle w:val="MainTitle"/>
                              <w:rPr>
                                <w:color w:val="auto"/>
                              </w:rPr>
                            </w:pPr>
                            <w:r>
                              <w:t>Supporting Working Parents:</w:t>
                            </w:r>
                            <w:r w:rsidRPr="003E07CF">
                              <w:t xml:space="preserve"> </w:t>
                            </w:r>
                            <w:r>
                              <w:t xml:space="preserve">Pregnancy and Return to Work National Review </w:t>
                            </w:r>
                          </w:p>
                          <w:p w:rsidR="0045331E" w:rsidRPr="001E220E" w:rsidRDefault="0045331E" w:rsidP="00F74C62">
                            <w:pPr>
                              <w:pStyle w:val="MainTitle"/>
                              <w:rPr>
                                <w:color w:val="4F81BD" w:themeColor="accent1"/>
                              </w:rPr>
                            </w:pPr>
                            <w:r w:rsidRPr="001E220E">
                              <w:rPr>
                                <w:color w:val="4F81BD" w:themeColor="accent1"/>
                              </w:rPr>
                              <w:t>Community Guide</w:t>
                            </w:r>
                          </w:p>
                          <w:p w:rsidR="0045331E" w:rsidRPr="001E220E" w:rsidRDefault="0045331E" w:rsidP="00F74C62">
                            <w:pPr>
                              <w:pStyle w:val="MainTitle"/>
                              <w:rPr>
                                <w:color w:val="4F81BD" w:themeColor="accent1"/>
                              </w:rPr>
                            </w:pPr>
                            <w:r w:rsidRPr="001E220E">
                              <w:rPr>
                                <w:color w:val="4F81BD" w:themeColor="accent1"/>
                              </w:rPr>
                              <w:t>2014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0.8pt;margin-top:27.8pt;width:458.7pt;height:18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" filled="f" stroked="f" strokeweight=".5pt">
                <v:path arrowok="t"/>
                <v:textbox>
                  <w:txbxContent>
                    <w:p w:rsidR="00902E81" w:rsidRDefault="00902E81" w:rsidP="00F74C62">
                      <w:pPr>
                        <w:pStyle w:val="MainTitle"/>
                        <w:rPr>
                          <w:color w:val="auto"/>
                        </w:rPr>
                      </w:pPr>
                      <w:r>
                        <w:t>Supporting Working Parents:</w:t>
                      </w:r>
                      <w:r w:rsidRPr="003E07CF">
                        <w:t xml:space="preserve"> </w:t>
                      </w:r>
                      <w:r>
                        <w:t xml:space="preserve">Pregnancy and Return to Work National Review </w:t>
                      </w:r>
                    </w:p>
                    <w:p w:rsidR="00902E81" w:rsidRPr="001E220E" w:rsidRDefault="00902E81" w:rsidP="00F74C62">
                      <w:pPr>
                        <w:pStyle w:val="MainTitle"/>
                        <w:rPr>
                          <w:color w:val="4F81BD" w:themeColor="accent1"/>
                        </w:rPr>
                      </w:pPr>
                      <w:r w:rsidRPr="001E220E">
                        <w:rPr>
                          <w:color w:val="4F81BD" w:themeColor="accent1"/>
                        </w:rPr>
                        <w:t>Community Guide</w:t>
                      </w:r>
                    </w:p>
                    <w:p w:rsidR="00902E81" w:rsidRPr="001E220E" w:rsidRDefault="00902E81" w:rsidP="00F74C62">
                      <w:pPr>
                        <w:pStyle w:val="MainTitle"/>
                        <w:rPr>
                          <w:color w:val="4F81BD" w:themeColor="accent1"/>
                        </w:rPr>
                      </w:pPr>
                      <w:r w:rsidRPr="001E220E">
                        <w:rPr>
                          <w:color w:val="4F81BD" w:themeColor="accent1"/>
                        </w:rPr>
                        <w:t>2014</w:t>
                      </w:r>
                    </w:p>
                  </w:txbxContent>
                </v:textbox>
              </v:shape>
            </w:pict>
          </mc:Fallback>
        </mc:AlternateContent>
      </w:r>
      <w:r>
        <w:rPr>
          <w:b/>
          <w:noProof/>
          <w:sz w:val="28"/>
        </w:rPr>
        <w:drawing>
          <wp:anchor distT="0" distB="0" distL="114300" distR="114300" simplePos="0" relativeHeight="251658240" behindDoc="1" locked="0" layoutInCell="0" allowOverlap="1">
            <wp:simplePos x="0" y="0"/>
            <wp:positionH relativeFrom="margin">
              <wp:posOffset>-1157845</wp:posOffset>
            </wp:positionH>
            <wp:positionV relativeFrom="margin">
              <wp:posOffset>-1071137</wp:posOffset>
            </wp:positionV>
            <wp:extent cx="7564755" cy="11050905"/>
            <wp:effectExtent l="0" t="0" r="0" b="0"/>
            <wp:wrapNone/>
            <wp:docPr id="2" name="Picture 2" descr="MS word cov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4066017" descr="MS word cove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4755" cy="11050905"/>
                    </a:xfrm>
                    <a:prstGeom prst="rect">
                      <a:avLst/>
                    </a:prstGeom>
                    <a:noFill/>
                  </pic:spPr>
                </pic:pic>
              </a:graphicData>
            </a:graphic>
            <wp14:sizeRelH relativeFrom="page">
              <wp14:pctWidth>0</wp14:pctWidth>
            </wp14:sizeRelH>
            <wp14:sizeRelV relativeFrom="page">
              <wp14:pctHeight>0</wp14:pctHeight>
            </wp14:sizeRelV>
          </wp:anchor>
        </w:drawing>
      </w:r>
      <w:r>
        <w:rPr>
          <w:b/>
          <w:sz w:val="28"/>
          <w:lang w:val="en-US"/>
        </w:rPr>
        <w:br w:type="page"/>
      </w:r>
    </w:p>
    <w:p w:rsidR="00F65C27" w:rsidRPr="00F65C27" w:rsidRDefault="00F65C27" w:rsidP="00902E81">
      <w:pPr>
        <w:pStyle w:val="TOC2"/>
      </w:pPr>
      <w:r w:rsidRPr="00F65C27">
        <w:lastRenderedPageBreak/>
        <w:t>Contents</w:t>
      </w:r>
      <w:r>
        <w:br/>
      </w:r>
    </w:p>
    <w:p w:rsidR="00957D70" w:rsidRDefault="00F74C62" w:rsidP="00902E81">
      <w:pPr>
        <w:pStyle w:val="TOC1"/>
        <w:ind w:left="567"/>
        <w:rPr>
          <w:rFonts w:asciiTheme="minorHAnsi" w:eastAsiaTheme="minorEastAsia" w:hAnsiTheme="minorHAnsi" w:cstheme="minorBidi"/>
          <w:b w:val="0"/>
          <w:noProof/>
          <w:sz w:val="22"/>
          <w:szCs w:val="22"/>
        </w:rPr>
      </w:pPr>
      <w:r>
        <w:rPr>
          <w:i/>
        </w:rPr>
        <w:fldChar w:fldCharType="begin"/>
      </w:r>
      <w:r>
        <w:instrText xml:space="preserve"> TOC \o "1-2" \h \z \u </w:instrText>
      </w:r>
      <w:r>
        <w:rPr>
          <w:i/>
        </w:rPr>
        <w:fldChar w:fldCharType="separate"/>
      </w:r>
      <w:hyperlink w:anchor="_Toc393697743" w:history="1">
        <w:r w:rsidR="00957D70" w:rsidRPr="002248DE">
          <w:rPr>
            <w:rStyle w:val="Hyperlink"/>
            <w:noProof/>
          </w:rPr>
          <w:t>Overview</w:t>
        </w:r>
        <w:r w:rsidR="00957D70">
          <w:rPr>
            <w:noProof/>
            <w:webHidden/>
          </w:rPr>
          <w:tab/>
        </w:r>
        <w:r w:rsidR="00957D70">
          <w:rPr>
            <w:noProof/>
            <w:webHidden/>
          </w:rPr>
          <w:fldChar w:fldCharType="begin"/>
        </w:r>
        <w:r w:rsidR="00957D70">
          <w:rPr>
            <w:noProof/>
            <w:webHidden/>
          </w:rPr>
          <w:instrText xml:space="preserve"> PAGEREF _Toc393697743 \h </w:instrText>
        </w:r>
        <w:r w:rsidR="00957D70">
          <w:rPr>
            <w:noProof/>
            <w:webHidden/>
          </w:rPr>
        </w:r>
        <w:r w:rsidR="00957D70">
          <w:rPr>
            <w:noProof/>
            <w:webHidden/>
          </w:rPr>
          <w:fldChar w:fldCharType="separate"/>
        </w:r>
        <w:r w:rsidR="00957D70">
          <w:rPr>
            <w:noProof/>
            <w:webHidden/>
          </w:rPr>
          <w:t>4</w:t>
        </w:r>
        <w:r w:rsidR="00957D70">
          <w:rPr>
            <w:noProof/>
            <w:webHidden/>
          </w:rPr>
          <w:fldChar w:fldCharType="end"/>
        </w:r>
      </w:hyperlink>
    </w:p>
    <w:p w:rsidR="00957D70" w:rsidRDefault="0051431E" w:rsidP="00902E81">
      <w:pPr>
        <w:pStyle w:val="TOC1"/>
        <w:ind w:left="567"/>
        <w:rPr>
          <w:rFonts w:asciiTheme="minorHAnsi" w:eastAsiaTheme="minorEastAsia" w:hAnsiTheme="minorHAnsi" w:cstheme="minorBidi"/>
          <w:b w:val="0"/>
          <w:noProof/>
          <w:sz w:val="22"/>
          <w:szCs w:val="22"/>
        </w:rPr>
      </w:pPr>
      <w:hyperlink w:anchor="_Toc393697744" w:history="1">
        <w:r w:rsidR="00957D70" w:rsidRPr="002248DE">
          <w:rPr>
            <w:rStyle w:val="Hyperlink"/>
            <w:noProof/>
          </w:rPr>
          <w:t>Methodology</w:t>
        </w:r>
        <w:r w:rsidR="00957D70">
          <w:rPr>
            <w:noProof/>
            <w:webHidden/>
          </w:rPr>
          <w:tab/>
        </w:r>
        <w:r w:rsidR="00957D70">
          <w:rPr>
            <w:noProof/>
            <w:webHidden/>
          </w:rPr>
          <w:fldChar w:fldCharType="begin"/>
        </w:r>
        <w:r w:rsidR="00957D70">
          <w:rPr>
            <w:noProof/>
            <w:webHidden/>
          </w:rPr>
          <w:instrText xml:space="preserve"> PAGEREF _Toc393697744 \h </w:instrText>
        </w:r>
        <w:r w:rsidR="00957D70">
          <w:rPr>
            <w:noProof/>
            <w:webHidden/>
          </w:rPr>
        </w:r>
        <w:r w:rsidR="00957D70">
          <w:rPr>
            <w:noProof/>
            <w:webHidden/>
          </w:rPr>
          <w:fldChar w:fldCharType="separate"/>
        </w:r>
        <w:r w:rsidR="00957D70">
          <w:rPr>
            <w:noProof/>
            <w:webHidden/>
          </w:rPr>
          <w:t>6</w:t>
        </w:r>
        <w:r w:rsidR="00957D70">
          <w:rPr>
            <w:noProof/>
            <w:webHidden/>
          </w:rPr>
          <w:fldChar w:fldCharType="end"/>
        </w:r>
      </w:hyperlink>
    </w:p>
    <w:p w:rsidR="00957D70" w:rsidRDefault="0051431E" w:rsidP="00902E81">
      <w:pPr>
        <w:pStyle w:val="TOC1"/>
        <w:ind w:left="567"/>
        <w:rPr>
          <w:rFonts w:asciiTheme="minorHAnsi" w:eastAsiaTheme="minorEastAsia" w:hAnsiTheme="minorHAnsi" w:cstheme="minorBidi"/>
          <w:b w:val="0"/>
          <w:noProof/>
          <w:sz w:val="22"/>
          <w:szCs w:val="22"/>
        </w:rPr>
      </w:pPr>
      <w:hyperlink w:anchor="_Toc393697749" w:history="1">
        <w:r w:rsidR="00957D70" w:rsidRPr="002248DE">
          <w:rPr>
            <w:rStyle w:val="Hyperlink"/>
            <w:noProof/>
          </w:rPr>
          <w:t>Results of the National Prevalence Survey</w:t>
        </w:r>
        <w:r w:rsidR="00957D70">
          <w:rPr>
            <w:noProof/>
            <w:webHidden/>
          </w:rPr>
          <w:tab/>
        </w:r>
        <w:r w:rsidR="00957D70">
          <w:rPr>
            <w:noProof/>
            <w:webHidden/>
          </w:rPr>
          <w:fldChar w:fldCharType="begin"/>
        </w:r>
        <w:r w:rsidR="00957D70">
          <w:rPr>
            <w:noProof/>
            <w:webHidden/>
          </w:rPr>
          <w:instrText xml:space="preserve"> PAGEREF _Toc393697749 \h </w:instrText>
        </w:r>
        <w:r w:rsidR="00957D70">
          <w:rPr>
            <w:noProof/>
            <w:webHidden/>
          </w:rPr>
        </w:r>
        <w:r w:rsidR="00957D70">
          <w:rPr>
            <w:noProof/>
            <w:webHidden/>
          </w:rPr>
          <w:fldChar w:fldCharType="separate"/>
        </w:r>
        <w:r w:rsidR="00957D70">
          <w:rPr>
            <w:noProof/>
            <w:webHidden/>
          </w:rPr>
          <w:t>8</w:t>
        </w:r>
        <w:r w:rsidR="00957D70">
          <w:rPr>
            <w:noProof/>
            <w:webHidden/>
          </w:rPr>
          <w:fldChar w:fldCharType="end"/>
        </w:r>
      </w:hyperlink>
    </w:p>
    <w:p w:rsidR="00902E81" w:rsidRDefault="00902E81" w:rsidP="00902E81">
      <w:pPr>
        <w:pStyle w:val="TOC2"/>
        <w:ind w:left="720"/>
        <w:rPr>
          <w:rStyle w:val="Hyperlink"/>
          <w:i/>
          <w:noProof/>
          <w:sz w:val="22"/>
          <w:szCs w:val="22"/>
        </w:rPr>
      </w:pPr>
    </w:p>
    <w:p w:rsidR="00957D70" w:rsidRPr="00902E81" w:rsidRDefault="0051431E" w:rsidP="00902E81">
      <w:pPr>
        <w:pStyle w:val="TOC2"/>
        <w:ind w:left="720"/>
        <w:rPr>
          <w:rFonts w:asciiTheme="minorHAnsi" w:eastAsiaTheme="minorEastAsia" w:hAnsiTheme="minorHAnsi" w:cstheme="minorBidi"/>
          <w:i/>
          <w:noProof/>
          <w:sz w:val="22"/>
          <w:szCs w:val="22"/>
          <w:lang w:val="en-AU"/>
        </w:rPr>
      </w:pPr>
      <w:hyperlink w:anchor="_Toc393697750" w:history="1">
        <w:r w:rsidR="00957D70" w:rsidRPr="00902E81">
          <w:rPr>
            <w:rStyle w:val="Hyperlink"/>
            <w:i/>
            <w:noProof/>
            <w:sz w:val="22"/>
            <w:szCs w:val="22"/>
          </w:rPr>
          <w:t>Key findings of the Mothers Survey</w:t>
        </w:r>
        <w:r w:rsidR="00957D70" w:rsidRPr="00902E81">
          <w:rPr>
            <w:i/>
            <w:noProof/>
            <w:webHidden/>
            <w:sz w:val="22"/>
            <w:szCs w:val="22"/>
          </w:rPr>
          <w:tab/>
        </w:r>
        <w:r w:rsidR="00957D70" w:rsidRPr="00902E81">
          <w:rPr>
            <w:i/>
            <w:noProof/>
            <w:webHidden/>
            <w:sz w:val="22"/>
            <w:szCs w:val="22"/>
          </w:rPr>
          <w:fldChar w:fldCharType="begin"/>
        </w:r>
        <w:r w:rsidR="00957D70" w:rsidRPr="00902E81">
          <w:rPr>
            <w:i/>
            <w:noProof/>
            <w:webHidden/>
            <w:sz w:val="22"/>
            <w:szCs w:val="22"/>
          </w:rPr>
          <w:instrText xml:space="preserve"> PAGEREF _Toc393697750 \h </w:instrText>
        </w:r>
        <w:r w:rsidR="00957D70" w:rsidRPr="00902E81">
          <w:rPr>
            <w:i/>
            <w:noProof/>
            <w:webHidden/>
            <w:sz w:val="22"/>
            <w:szCs w:val="22"/>
          </w:rPr>
        </w:r>
        <w:r w:rsidR="00957D70" w:rsidRPr="00902E81">
          <w:rPr>
            <w:i/>
            <w:noProof/>
            <w:webHidden/>
            <w:sz w:val="22"/>
            <w:szCs w:val="22"/>
          </w:rPr>
          <w:fldChar w:fldCharType="separate"/>
        </w:r>
        <w:r w:rsidR="00957D70" w:rsidRPr="00902E81">
          <w:rPr>
            <w:i/>
            <w:noProof/>
            <w:webHidden/>
            <w:sz w:val="22"/>
            <w:szCs w:val="22"/>
          </w:rPr>
          <w:t>8</w:t>
        </w:r>
        <w:r w:rsidR="00957D70" w:rsidRPr="00902E81">
          <w:rPr>
            <w:i/>
            <w:noProof/>
            <w:webHidden/>
            <w:sz w:val="22"/>
            <w:szCs w:val="22"/>
          </w:rPr>
          <w:fldChar w:fldCharType="end"/>
        </w:r>
      </w:hyperlink>
    </w:p>
    <w:p w:rsidR="00957D70" w:rsidRPr="00902E81" w:rsidRDefault="0051431E" w:rsidP="00902E81">
      <w:pPr>
        <w:pStyle w:val="TOC2"/>
        <w:ind w:left="720"/>
        <w:rPr>
          <w:rFonts w:asciiTheme="minorHAnsi" w:eastAsiaTheme="minorEastAsia" w:hAnsiTheme="minorHAnsi" w:cstheme="minorBidi"/>
          <w:i/>
          <w:noProof/>
          <w:sz w:val="22"/>
          <w:szCs w:val="22"/>
          <w:lang w:val="en-AU"/>
        </w:rPr>
      </w:pPr>
      <w:hyperlink w:anchor="_Toc393697751" w:history="1">
        <w:r w:rsidR="00957D70" w:rsidRPr="00902E81">
          <w:rPr>
            <w:rStyle w:val="Hyperlink"/>
            <w:i/>
            <w:noProof/>
            <w:sz w:val="22"/>
            <w:szCs w:val="22"/>
          </w:rPr>
          <w:t>Key findings of the Fathers and Partners Survey</w:t>
        </w:r>
        <w:r w:rsidR="00957D70" w:rsidRPr="00902E81">
          <w:rPr>
            <w:i/>
            <w:noProof/>
            <w:webHidden/>
            <w:sz w:val="22"/>
            <w:szCs w:val="22"/>
          </w:rPr>
          <w:tab/>
        </w:r>
        <w:r w:rsidR="00957D70" w:rsidRPr="00902E81">
          <w:rPr>
            <w:i/>
            <w:noProof/>
            <w:webHidden/>
            <w:sz w:val="22"/>
            <w:szCs w:val="22"/>
          </w:rPr>
          <w:fldChar w:fldCharType="begin"/>
        </w:r>
        <w:r w:rsidR="00957D70" w:rsidRPr="00902E81">
          <w:rPr>
            <w:i/>
            <w:noProof/>
            <w:webHidden/>
            <w:sz w:val="22"/>
            <w:szCs w:val="22"/>
          </w:rPr>
          <w:instrText xml:space="preserve"> PAGEREF _Toc393697751 \h </w:instrText>
        </w:r>
        <w:r w:rsidR="00957D70" w:rsidRPr="00902E81">
          <w:rPr>
            <w:i/>
            <w:noProof/>
            <w:webHidden/>
            <w:sz w:val="22"/>
            <w:szCs w:val="22"/>
          </w:rPr>
        </w:r>
        <w:r w:rsidR="00957D70" w:rsidRPr="00902E81">
          <w:rPr>
            <w:i/>
            <w:noProof/>
            <w:webHidden/>
            <w:sz w:val="22"/>
            <w:szCs w:val="22"/>
          </w:rPr>
          <w:fldChar w:fldCharType="separate"/>
        </w:r>
        <w:r w:rsidR="00957D70" w:rsidRPr="00902E81">
          <w:rPr>
            <w:i/>
            <w:noProof/>
            <w:webHidden/>
            <w:sz w:val="22"/>
            <w:szCs w:val="22"/>
          </w:rPr>
          <w:t>10</w:t>
        </w:r>
        <w:r w:rsidR="00957D70" w:rsidRPr="00902E81">
          <w:rPr>
            <w:i/>
            <w:noProof/>
            <w:webHidden/>
            <w:sz w:val="22"/>
            <w:szCs w:val="22"/>
          </w:rPr>
          <w:fldChar w:fldCharType="end"/>
        </w:r>
      </w:hyperlink>
    </w:p>
    <w:p w:rsidR="00957D70" w:rsidRDefault="0051431E" w:rsidP="00902E81">
      <w:pPr>
        <w:pStyle w:val="TOC1"/>
        <w:ind w:left="567"/>
        <w:rPr>
          <w:rFonts w:asciiTheme="minorHAnsi" w:eastAsiaTheme="minorEastAsia" w:hAnsiTheme="minorHAnsi" w:cstheme="minorBidi"/>
          <w:b w:val="0"/>
          <w:noProof/>
          <w:sz w:val="22"/>
          <w:szCs w:val="22"/>
        </w:rPr>
      </w:pPr>
      <w:hyperlink w:anchor="_Toc393697752" w:history="1">
        <w:r w:rsidR="00957D70" w:rsidRPr="002248DE">
          <w:rPr>
            <w:rStyle w:val="Hyperlink"/>
            <w:noProof/>
          </w:rPr>
          <w:t>Experiences of employees during pregnancy, parental leave and on return to work after parental leave</w:t>
        </w:r>
        <w:r w:rsidR="00957D70">
          <w:rPr>
            <w:noProof/>
            <w:webHidden/>
          </w:rPr>
          <w:tab/>
        </w:r>
        <w:r w:rsidR="00957D70">
          <w:rPr>
            <w:noProof/>
            <w:webHidden/>
          </w:rPr>
          <w:fldChar w:fldCharType="begin"/>
        </w:r>
        <w:r w:rsidR="00957D70">
          <w:rPr>
            <w:noProof/>
            <w:webHidden/>
          </w:rPr>
          <w:instrText xml:space="preserve"> PAGEREF _Toc393697752 \h </w:instrText>
        </w:r>
        <w:r w:rsidR="00957D70">
          <w:rPr>
            <w:noProof/>
            <w:webHidden/>
          </w:rPr>
        </w:r>
        <w:r w:rsidR="00957D70">
          <w:rPr>
            <w:noProof/>
            <w:webHidden/>
          </w:rPr>
          <w:fldChar w:fldCharType="separate"/>
        </w:r>
        <w:r w:rsidR="00957D70">
          <w:rPr>
            <w:noProof/>
            <w:webHidden/>
          </w:rPr>
          <w:t>11</w:t>
        </w:r>
        <w:r w:rsidR="00957D70">
          <w:rPr>
            <w:noProof/>
            <w:webHidden/>
          </w:rPr>
          <w:fldChar w:fldCharType="end"/>
        </w:r>
      </w:hyperlink>
    </w:p>
    <w:p w:rsidR="00957D70" w:rsidRDefault="0051431E" w:rsidP="00902E81">
      <w:pPr>
        <w:pStyle w:val="TOC1"/>
        <w:ind w:left="567"/>
        <w:rPr>
          <w:rFonts w:asciiTheme="minorHAnsi" w:eastAsiaTheme="minorEastAsia" w:hAnsiTheme="minorHAnsi" w:cstheme="minorBidi"/>
          <w:b w:val="0"/>
          <w:noProof/>
          <w:sz w:val="22"/>
          <w:szCs w:val="22"/>
        </w:rPr>
      </w:pPr>
      <w:hyperlink w:anchor="_Toc393697753" w:history="1">
        <w:r w:rsidR="00957D70" w:rsidRPr="002248DE">
          <w:rPr>
            <w:rStyle w:val="Hyperlink"/>
            <w:noProof/>
          </w:rPr>
          <w:t>Experiences of employers in managing pregnancy, parental leave and return to work after parental leave</w:t>
        </w:r>
        <w:r w:rsidR="00957D70">
          <w:rPr>
            <w:noProof/>
            <w:webHidden/>
          </w:rPr>
          <w:tab/>
        </w:r>
        <w:r w:rsidR="00957D70">
          <w:rPr>
            <w:noProof/>
            <w:webHidden/>
          </w:rPr>
          <w:fldChar w:fldCharType="begin"/>
        </w:r>
        <w:r w:rsidR="00957D70">
          <w:rPr>
            <w:noProof/>
            <w:webHidden/>
          </w:rPr>
          <w:instrText xml:space="preserve"> PAGEREF _Toc393697753 \h </w:instrText>
        </w:r>
        <w:r w:rsidR="00957D70">
          <w:rPr>
            <w:noProof/>
            <w:webHidden/>
          </w:rPr>
        </w:r>
        <w:r w:rsidR="00957D70">
          <w:rPr>
            <w:noProof/>
            <w:webHidden/>
          </w:rPr>
          <w:fldChar w:fldCharType="separate"/>
        </w:r>
        <w:r w:rsidR="00957D70">
          <w:rPr>
            <w:noProof/>
            <w:webHidden/>
          </w:rPr>
          <w:t>14</w:t>
        </w:r>
        <w:r w:rsidR="00957D70">
          <w:rPr>
            <w:noProof/>
            <w:webHidden/>
          </w:rPr>
          <w:fldChar w:fldCharType="end"/>
        </w:r>
      </w:hyperlink>
    </w:p>
    <w:p w:rsidR="00957D70" w:rsidRDefault="0051431E" w:rsidP="00902E81">
      <w:pPr>
        <w:pStyle w:val="TOC1"/>
        <w:ind w:left="567"/>
        <w:rPr>
          <w:rFonts w:asciiTheme="minorHAnsi" w:eastAsiaTheme="minorEastAsia" w:hAnsiTheme="minorHAnsi" w:cstheme="minorBidi"/>
          <w:b w:val="0"/>
          <w:noProof/>
          <w:sz w:val="22"/>
          <w:szCs w:val="22"/>
        </w:rPr>
      </w:pPr>
      <w:hyperlink w:anchor="_Toc393697754" w:history="1">
        <w:r w:rsidR="00957D70" w:rsidRPr="002248DE">
          <w:rPr>
            <w:rStyle w:val="Hyperlink"/>
            <w:noProof/>
          </w:rPr>
          <w:t>Recommendations</w:t>
        </w:r>
        <w:r w:rsidR="00957D70">
          <w:rPr>
            <w:noProof/>
            <w:webHidden/>
          </w:rPr>
          <w:tab/>
        </w:r>
        <w:r w:rsidR="00957D70">
          <w:rPr>
            <w:noProof/>
            <w:webHidden/>
          </w:rPr>
          <w:fldChar w:fldCharType="begin"/>
        </w:r>
        <w:r w:rsidR="00957D70">
          <w:rPr>
            <w:noProof/>
            <w:webHidden/>
          </w:rPr>
          <w:instrText xml:space="preserve"> PAGEREF _Toc393697754 \h </w:instrText>
        </w:r>
        <w:r w:rsidR="00957D70">
          <w:rPr>
            <w:noProof/>
            <w:webHidden/>
          </w:rPr>
        </w:r>
        <w:r w:rsidR="00957D70">
          <w:rPr>
            <w:noProof/>
            <w:webHidden/>
          </w:rPr>
          <w:fldChar w:fldCharType="separate"/>
        </w:r>
        <w:r w:rsidR="00957D70">
          <w:rPr>
            <w:noProof/>
            <w:webHidden/>
          </w:rPr>
          <w:t>19</w:t>
        </w:r>
        <w:r w:rsidR="00957D70">
          <w:rPr>
            <w:noProof/>
            <w:webHidden/>
          </w:rPr>
          <w:fldChar w:fldCharType="end"/>
        </w:r>
      </w:hyperlink>
    </w:p>
    <w:p w:rsidR="00957D70" w:rsidRDefault="0051431E" w:rsidP="00902E81">
      <w:pPr>
        <w:pStyle w:val="TOC1"/>
        <w:ind w:left="567"/>
        <w:rPr>
          <w:rFonts w:asciiTheme="minorHAnsi" w:eastAsiaTheme="minorEastAsia" w:hAnsiTheme="minorHAnsi" w:cstheme="minorBidi"/>
          <w:b w:val="0"/>
          <w:noProof/>
          <w:sz w:val="22"/>
          <w:szCs w:val="22"/>
        </w:rPr>
      </w:pPr>
      <w:hyperlink w:anchor="_Toc393697759" w:history="1">
        <w:r w:rsidR="00957D70" w:rsidRPr="002248DE">
          <w:rPr>
            <w:rStyle w:val="Hyperlink"/>
            <w:noProof/>
          </w:rPr>
          <w:t>Useful resources for further information</w:t>
        </w:r>
        <w:r w:rsidR="00957D70">
          <w:rPr>
            <w:noProof/>
            <w:webHidden/>
          </w:rPr>
          <w:tab/>
        </w:r>
        <w:r w:rsidR="00957D70">
          <w:rPr>
            <w:noProof/>
            <w:webHidden/>
          </w:rPr>
          <w:fldChar w:fldCharType="begin"/>
        </w:r>
        <w:r w:rsidR="00957D70">
          <w:rPr>
            <w:noProof/>
            <w:webHidden/>
          </w:rPr>
          <w:instrText xml:space="preserve"> PAGEREF _Toc393697759 \h </w:instrText>
        </w:r>
        <w:r w:rsidR="00957D70">
          <w:rPr>
            <w:noProof/>
            <w:webHidden/>
          </w:rPr>
        </w:r>
        <w:r w:rsidR="00957D70">
          <w:rPr>
            <w:noProof/>
            <w:webHidden/>
          </w:rPr>
          <w:fldChar w:fldCharType="separate"/>
        </w:r>
        <w:r w:rsidR="00957D70">
          <w:rPr>
            <w:noProof/>
            <w:webHidden/>
          </w:rPr>
          <w:t>24</w:t>
        </w:r>
        <w:r w:rsidR="00957D70">
          <w:rPr>
            <w:noProof/>
            <w:webHidden/>
          </w:rPr>
          <w:fldChar w:fldCharType="end"/>
        </w:r>
      </w:hyperlink>
    </w:p>
    <w:p w:rsidR="00F74C62" w:rsidRPr="00902E81" w:rsidRDefault="00F74C62" w:rsidP="00222031">
      <w:pPr>
        <w:rPr>
          <w:rFonts w:cs="Arial"/>
          <w:b/>
          <w:sz w:val="22"/>
          <w:szCs w:val="22"/>
          <w:lang w:val="en-US"/>
        </w:rPr>
      </w:pPr>
      <w:r>
        <w:rPr>
          <w:b/>
          <w:sz w:val="28"/>
          <w:lang w:val="en-US"/>
        </w:rPr>
        <w:fldChar w:fldCharType="end"/>
      </w:r>
      <w:r w:rsidR="00222031">
        <w:rPr>
          <w:b/>
          <w:sz w:val="28"/>
          <w:lang w:val="en-US"/>
        </w:rPr>
        <w:br/>
      </w:r>
      <w:r w:rsidRPr="00902E81">
        <w:rPr>
          <w:rFonts w:cs="Arial"/>
          <w:bCs/>
          <w:sz w:val="22"/>
          <w:szCs w:val="22"/>
        </w:rPr>
        <w:t>The Australian Human Rights Commission encourages the dissemination and exchange of information provided in this publication.</w:t>
      </w:r>
    </w:p>
    <w:p w:rsidR="00F74C62" w:rsidRPr="00902E81" w:rsidRDefault="00F74C62" w:rsidP="00F74C62">
      <w:pPr>
        <w:rPr>
          <w:rFonts w:cs="Arial"/>
          <w:sz w:val="22"/>
          <w:szCs w:val="22"/>
        </w:rPr>
      </w:pPr>
      <w:r w:rsidRPr="00902E81">
        <w:rPr>
          <w:rFonts w:cs="Arial"/>
          <w:sz w:val="22"/>
          <w:szCs w:val="22"/>
        </w:rPr>
        <w:t xml:space="preserve">All material presented in this publication is provided under a </w:t>
      </w:r>
      <w:hyperlink r:id="rId10" w:history="1">
        <w:r w:rsidRPr="00902E81">
          <w:rPr>
            <w:rStyle w:val="Hyperlink"/>
            <w:rFonts w:cs="Arial"/>
            <w:sz w:val="22"/>
            <w:szCs w:val="22"/>
          </w:rPr>
          <w:t>Creative Commons Attribution 3.0 Australia</w:t>
        </w:r>
      </w:hyperlink>
      <w:r w:rsidRPr="00902E81">
        <w:rPr>
          <w:rFonts w:cs="Arial"/>
          <w:sz w:val="22"/>
          <w:szCs w:val="22"/>
        </w:rPr>
        <w:t>, with the exception of:</w:t>
      </w:r>
    </w:p>
    <w:p w:rsidR="00F74C62" w:rsidRPr="00902E81" w:rsidRDefault="00F74C62" w:rsidP="00F74C62">
      <w:pPr>
        <w:pStyle w:val="ListParagraph"/>
        <w:numPr>
          <w:ilvl w:val="0"/>
          <w:numId w:val="43"/>
        </w:numPr>
        <w:spacing w:before="0" w:after="0"/>
        <w:contextualSpacing w:val="0"/>
        <w:rPr>
          <w:rFonts w:cs="Arial"/>
          <w:color w:val="000000"/>
          <w:sz w:val="22"/>
          <w:szCs w:val="22"/>
        </w:rPr>
      </w:pPr>
      <w:r w:rsidRPr="00902E81">
        <w:rPr>
          <w:rFonts w:cs="Arial"/>
          <w:color w:val="000000"/>
          <w:sz w:val="22"/>
          <w:szCs w:val="22"/>
        </w:rPr>
        <w:t xml:space="preserve">The Australian Human Rights Commission Logo </w:t>
      </w:r>
    </w:p>
    <w:p w:rsidR="00F74C62" w:rsidRPr="00902E81" w:rsidRDefault="00F74C62" w:rsidP="00F74C62">
      <w:pPr>
        <w:pStyle w:val="ListParagraph"/>
        <w:numPr>
          <w:ilvl w:val="0"/>
          <w:numId w:val="43"/>
        </w:numPr>
        <w:spacing w:before="0" w:after="0"/>
        <w:contextualSpacing w:val="0"/>
        <w:rPr>
          <w:rFonts w:cs="Arial"/>
          <w:color w:val="000000"/>
          <w:sz w:val="22"/>
          <w:szCs w:val="22"/>
        </w:rPr>
      </w:pPr>
      <w:r w:rsidRPr="00902E81">
        <w:rPr>
          <w:rFonts w:cs="Arial"/>
          <w:color w:val="000000"/>
          <w:sz w:val="22"/>
          <w:szCs w:val="22"/>
        </w:rPr>
        <w:t xml:space="preserve">Photographs and images  </w:t>
      </w:r>
    </w:p>
    <w:p w:rsidR="00F74C62" w:rsidRPr="00902E81" w:rsidRDefault="00F74C62" w:rsidP="00F74C62">
      <w:pPr>
        <w:pStyle w:val="ListParagraph"/>
        <w:numPr>
          <w:ilvl w:val="0"/>
          <w:numId w:val="43"/>
        </w:numPr>
        <w:spacing w:before="0"/>
        <w:contextualSpacing w:val="0"/>
        <w:rPr>
          <w:rFonts w:cs="Arial"/>
          <w:color w:val="000000"/>
          <w:sz w:val="22"/>
          <w:szCs w:val="22"/>
        </w:rPr>
      </w:pPr>
      <w:r w:rsidRPr="00902E81">
        <w:rPr>
          <w:rFonts w:cs="Arial"/>
          <w:color w:val="000000"/>
          <w:sz w:val="22"/>
          <w:szCs w:val="22"/>
        </w:rPr>
        <w:t>Any content or material provided by third parties</w:t>
      </w:r>
    </w:p>
    <w:p w:rsidR="00F74C62" w:rsidRPr="00902E81" w:rsidRDefault="00F74C62" w:rsidP="00F74C62">
      <w:pPr>
        <w:rPr>
          <w:rFonts w:cs="Arial"/>
          <w:sz w:val="22"/>
          <w:szCs w:val="22"/>
        </w:rPr>
      </w:pPr>
      <w:r w:rsidRPr="00902E81">
        <w:rPr>
          <w:rFonts w:cs="Arial"/>
          <w:sz w:val="22"/>
          <w:szCs w:val="22"/>
        </w:rPr>
        <w:t xml:space="preserve">The details of the relevant licence conditions are available on the </w:t>
      </w:r>
      <w:hyperlink r:id="rId11" w:history="1">
        <w:r w:rsidRPr="00902E81">
          <w:rPr>
            <w:rStyle w:val="Hyperlink"/>
            <w:rFonts w:cs="Arial"/>
            <w:sz w:val="22"/>
            <w:szCs w:val="22"/>
          </w:rPr>
          <w:t>Creative Commons</w:t>
        </w:r>
      </w:hyperlink>
      <w:r w:rsidRPr="00902E81">
        <w:rPr>
          <w:rFonts w:cs="Arial"/>
          <w:sz w:val="22"/>
          <w:szCs w:val="22"/>
        </w:rPr>
        <w:t xml:space="preserve"> website, as is the full legal code for the </w:t>
      </w:r>
      <w:hyperlink r:id="rId12" w:history="1">
        <w:r w:rsidRPr="00902E81">
          <w:rPr>
            <w:rStyle w:val="Hyperlink"/>
            <w:rFonts w:cs="Arial"/>
            <w:sz w:val="22"/>
            <w:szCs w:val="22"/>
          </w:rPr>
          <w:t>CC BY 3.0 AU licence</w:t>
        </w:r>
      </w:hyperlink>
      <w:r w:rsidRPr="00902E81">
        <w:rPr>
          <w:rFonts w:cs="Arial"/>
          <w:sz w:val="22"/>
          <w:szCs w:val="22"/>
        </w:rPr>
        <w:t>.</w:t>
      </w:r>
    </w:p>
    <w:p w:rsidR="00F74C62" w:rsidRPr="00902E81" w:rsidRDefault="00F74C62" w:rsidP="00F74C62">
      <w:pPr>
        <w:rPr>
          <w:rFonts w:cs="Arial"/>
          <w:sz w:val="22"/>
          <w:szCs w:val="22"/>
        </w:rPr>
      </w:pPr>
      <w:r w:rsidRPr="00902E81">
        <w:rPr>
          <w:rFonts w:cs="Arial"/>
          <w:noProof/>
          <w:sz w:val="22"/>
          <w:szCs w:val="22"/>
        </w:rPr>
        <w:drawing>
          <wp:inline distT="0" distB="0" distL="0" distR="0" wp14:anchorId="206F9AC1" wp14:editId="7490A31F">
            <wp:extent cx="836930" cy="293370"/>
            <wp:effectExtent l="0" t="0" r="1270" b="0"/>
            <wp:docPr id="1" name="Picture 1" descr="cid:image003.jpg@01CE1A65.17DB2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CE1A65.17DB25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6930" cy="293370"/>
                    </a:xfrm>
                    <a:prstGeom prst="rect">
                      <a:avLst/>
                    </a:prstGeom>
                    <a:noFill/>
                    <a:ln>
                      <a:noFill/>
                    </a:ln>
                  </pic:spPr>
                </pic:pic>
              </a:graphicData>
            </a:graphic>
          </wp:inline>
        </w:drawing>
      </w:r>
    </w:p>
    <w:p w:rsidR="00F74C62" w:rsidRPr="00902E81" w:rsidRDefault="00F74C62" w:rsidP="00F74C62">
      <w:pPr>
        <w:rPr>
          <w:rFonts w:cs="Arial"/>
          <w:b/>
          <w:bCs/>
          <w:sz w:val="22"/>
          <w:szCs w:val="22"/>
        </w:rPr>
      </w:pPr>
      <w:r w:rsidRPr="00902E81">
        <w:rPr>
          <w:rFonts w:cs="Arial"/>
          <w:b/>
          <w:bCs/>
          <w:sz w:val="22"/>
          <w:szCs w:val="22"/>
        </w:rPr>
        <w:t>Attribution</w:t>
      </w:r>
    </w:p>
    <w:p w:rsidR="00F74C62" w:rsidRPr="00902E81" w:rsidRDefault="00F74C62" w:rsidP="00F74C62">
      <w:pPr>
        <w:rPr>
          <w:rFonts w:cs="Arial"/>
          <w:sz w:val="22"/>
          <w:szCs w:val="22"/>
        </w:rPr>
      </w:pPr>
      <w:r w:rsidRPr="00902E81">
        <w:rPr>
          <w:rFonts w:cs="Arial"/>
          <w:sz w:val="22"/>
          <w:szCs w:val="22"/>
        </w:rPr>
        <w:t>Material obtained from this publication is to be attributed to the Commission with</w:t>
      </w:r>
      <w:r w:rsidRPr="00902E81">
        <w:rPr>
          <w:rFonts w:cs="Arial"/>
          <w:color w:val="1F497D"/>
          <w:sz w:val="22"/>
          <w:szCs w:val="22"/>
        </w:rPr>
        <w:t xml:space="preserve"> </w:t>
      </w:r>
      <w:r w:rsidRPr="00902E81">
        <w:rPr>
          <w:rFonts w:cs="Arial"/>
          <w:sz w:val="22"/>
          <w:szCs w:val="22"/>
        </w:rPr>
        <w:t>the</w:t>
      </w:r>
      <w:r w:rsidRPr="00902E81">
        <w:rPr>
          <w:rFonts w:cs="Arial"/>
          <w:color w:val="FF0000"/>
          <w:sz w:val="22"/>
          <w:szCs w:val="22"/>
        </w:rPr>
        <w:t xml:space="preserve"> </w:t>
      </w:r>
      <w:r w:rsidRPr="00902E81">
        <w:rPr>
          <w:rFonts w:cs="Arial"/>
          <w:color w:val="000000"/>
          <w:sz w:val="22"/>
          <w:szCs w:val="22"/>
        </w:rPr>
        <w:t>following copyright notice</w:t>
      </w:r>
      <w:proofErr w:type="gramStart"/>
      <w:r w:rsidRPr="00902E81">
        <w:rPr>
          <w:rFonts w:cs="Arial"/>
          <w:color w:val="000000"/>
          <w:sz w:val="22"/>
          <w:szCs w:val="22"/>
        </w:rPr>
        <w:t>:</w:t>
      </w:r>
      <w:proofErr w:type="gramEnd"/>
      <w:r w:rsidRPr="00902E81">
        <w:rPr>
          <w:rFonts w:cs="Arial"/>
          <w:color w:val="000000"/>
          <w:sz w:val="22"/>
          <w:szCs w:val="22"/>
        </w:rPr>
        <w:br/>
      </w:r>
      <w:r w:rsidRPr="00902E81">
        <w:rPr>
          <w:rFonts w:cs="Arial"/>
          <w:sz w:val="22"/>
          <w:szCs w:val="22"/>
        </w:rPr>
        <w:t>© Australian Human Rights Commission 2014.</w:t>
      </w:r>
    </w:p>
    <w:p w:rsidR="00F74C62" w:rsidRPr="00902E81" w:rsidRDefault="00F74C62" w:rsidP="00F74C62">
      <w:pPr>
        <w:rPr>
          <w:rFonts w:cs="Arial"/>
          <w:b/>
          <w:sz w:val="22"/>
          <w:szCs w:val="22"/>
        </w:rPr>
      </w:pPr>
      <w:r w:rsidRPr="00902E81">
        <w:rPr>
          <w:rFonts w:cs="Arial"/>
          <w:b/>
          <w:sz w:val="22"/>
          <w:szCs w:val="22"/>
        </w:rPr>
        <w:t>Supporting Working Parents: Pregnancy and Return to Work National Review – Report, 2014</w:t>
      </w:r>
    </w:p>
    <w:p w:rsidR="00F74C62" w:rsidRPr="0047655B" w:rsidRDefault="00F74C62" w:rsidP="00F74C62">
      <w:pPr>
        <w:rPr>
          <w:rFonts w:cs="Arial"/>
          <w:sz w:val="22"/>
          <w:szCs w:val="22"/>
        </w:rPr>
      </w:pPr>
      <w:r w:rsidRPr="0048537F">
        <w:rPr>
          <w:rFonts w:cs="Arial"/>
          <w:b/>
          <w:sz w:val="22"/>
          <w:szCs w:val="22"/>
        </w:rPr>
        <w:t xml:space="preserve">ISBN </w:t>
      </w:r>
      <w:r w:rsidR="0048537F" w:rsidRPr="0047655B">
        <w:rPr>
          <w:rFonts w:cs="Arial"/>
          <w:sz w:val="22"/>
          <w:szCs w:val="22"/>
        </w:rPr>
        <w:t>978-1-921449-55-0</w:t>
      </w:r>
    </w:p>
    <w:p w:rsidR="00F92390" w:rsidRPr="00902E81" w:rsidRDefault="00F92390" w:rsidP="00F92390">
      <w:pPr>
        <w:autoSpaceDE w:val="0"/>
        <w:autoSpaceDN w:val="0"/>
        <w:adjustRightInd w:val="0"/>
        <w:spacing w:before="0" w:after="0"/>
        <w:rPr>
          <w:rFonts w:cs="Arial"/>
          <w:b/>
          <w:bCs/>
          <w:sz w:val="22"/>
          <w:szCs w:val="22"/>
        </w:rPr>
      </w:pPr>
      <w:r w:rsidRPr="00902E81">
        <w:rPr>
          <w:rFonts w:cs="Arial"/>
          <w:b/>
          <w:bCs/>
          <w:sz w:val="22"/>
          <w:szCs w:val="22"/>
        </w:rPr>
        <w:t>Electronic format</w:t>
      </w:r>
    </w:p>
    <w:p w:rsidR="00F92390" w:rsidRPr="00902E81" w:rsidRDefault="00F92390" w:rsidP="00F92390">
      <w:pPr>
        <w:autoSpaceDE w:val="0"/>
        <w:autoSpaceDN w:val="0"/>
        <w:adjustRightInd w:val="0"/>
        <w:spacing w:before="0" w:after="0"/>
        <w:rPr>
          <w:rFonts w:cs="Arial"/>
          <w:sz w:val="22"/>
          <w:szCs w:val="22"/>
        </w:rPr>
      </w:pPr>
      <w:r w:rsidRPr="00902E81">
        <w:rPr>
          <w:rFonts w:cs="Arial"/>
          <w:sz w:val="22"/>
          <w:szCs w:val="22"/>
        </w:rPr>
        <w:t xml:space="preserve">This publication can be found in electronic format on the website of the Australian Human Rights Commission: </w:t>
      </w:r>
    </w:p>
    <w:p w:rsidR="00F92390" w:rsidRPr="00902E81" w:rsidRDefault="00F92390" w:rsidP="00F92390">
      <w:pPr>
        <w:autoSpaceDE w:val="0"/>
        <w:autoSpaceDN w:val="0"/>
        <w:adjustRightInd w:val="0"/>
        <w:spacing w:before="0" w:after="0"/>
        <w:rPr>
          <w:rFonts w:cs="Arial"/>
          <w:b/>
          <w:bCs/>
          <w:sz w:val="22"/>
          <w:szCs w:val="22"/>
        </w:rPr>
      </w:pPr>
      <w:r w:rsidRPr="00902E81">
        <w:rPr>
          <w:rFonts w:cs="Arial"/>
          <w:b/>
          <w:bCs/>
          <w:sz w:val="22"/>
          <w:szCs w:val="22"/>
        </w:rPr>
        <w:lastRenderedPageBreak/>
        <w:t>http://www.humanrights.gov.au/publications/sex-discrimination</w:t>
      </w:r>
    </w:p>
    <w:p w:rsidR="00F92390" w:rsidRPr="00902E81" w:rsidRDefault="00F92390" w:rsidP="00F92390">
      <w:pPr>
        <w:autoSpaceDE w:val="0"/>
        <w:autoSpaceDN w:val="0"/>
        <w:adjustRightInd w:val="0"/>
        <w:spacing w:before="0" w:after="0"/>
        <w:rPr>
          <w:rFonts w:cs="Arial"/>
          <w:b/>
          <w:bCs/>
          <w:sz w:val="22"/>
          <w:szCs w:val="22"/>
        </w:rPr>
      </w:pPr>
      <w:r w:rsidRPr="00902E81">
        <w:rPr>
          <w:rFonts w:cs="Arial"/>
          <w:b/>
          <w:bCs/>
          <w:sz w:val="22"/>
          <w:szCs w:val="22"/>
        </w:rPr>
        <w:t>Contact details</w:t>
      </w:r>
    </w:p>
    <w:p w:rsidR="00F92390" w:rsidRPr="00902E81" w:rsidRDefault="00F92390" w:rsidP="00F92390">
      <w:pPr>
        <w:autoSpaceDE w:val="0"/>
        <w:autoSpaceDN w:val="0"/>
        <w:adjustRightInd w:val="0"/>
        <w:spacing w:before="0" w:after="0"/>
        <w:rPr>
          <w:rFonts w:cs="Arial"/>
          <w:b/>
          <w:bCs/>
          <w:sz w:val="22"/>
          <w:szCs w:val="22"/>
        </w:rPr>
      </w:pPr>
    </w:p>
    <w:p w:rsidR="00F92390" w:rsidRPr="00902E81" w:rsidRDefault="00F92390" w:rsidP="00F92390">
      <w:pPr>
        <w:autoSpaceDE w:val="0"/>
        <w:autoSpaceDN w:val="0"/>
        <w:adjustRightInd w:val="0"/>
        <w:spacing w:before="0" w:after="0"/>
        <w:rPr>
          <w:rFonts w:cs="Arial"/>
          <w:sz w:val="22"/>
          <w:szCs w:val="22"/>
        </w:rPr>
      </w:pPr>
      <w:r w:rsidRPr="00902E81">
        <w:rPr>
          <w:rFonts w:cs="Arial"/>
          <w:sz w:val="22"/>
          <w:szCs w:val="22"/>
        </w:rPr>
        <w:t xml:space="preserve">For further information about the Australian Human Rights Commission, please visit </w:t>
      </w:r>
      <w:r w:rsidRPr="00902E81">
        <w:rPr>
          <w:rFonts w:cs="Arial"/>
          <w:b/>
          <w:bCs/>
          <w:sz w:val="22"/>
          <w:szCs w:val="22"/>
        </w:rPr>
        <w:t xml:space="preserve">www.humanrights.gov.au </w:t>
      </w:r>
      <w:r w:rsidRPr="00902E81">
        <w:rPr>
          <w:rFonts w:cs="Arial"/>
          <w:sz w:val="22"/>
          <w:szCs w:val="22"/>
        </w:rPr>
        <w:t>or email c</w:t>
      </w:r>
      <w:r w:rsidRPr="00902E81">
        <w:rPr>
          <w:rFonts w:cs="Arial"/>
          <w:b/>
          <w:bCs/>
          <w:sz w:val="22"/>
          <w:szCs w:val="22"/>
        </w:rPr>
        <w:t>ommunications@humanrights.gov.au</w:t>
      </w:r>
      <w:r w:rsidRPr="00902E81">
        <w:rPr>
          <w:rFonts w:cs="Arial"/>
          <w:sz w:val="22"/>
          <w:szCs w:val="22"/>
        </w:rPr>
        <w:t>.</w:t>
      </w:r>
    </w:p>
    <w:p w:rsidR="0035595D" w:rsidRDefault="00F92390" w:rsidP="00F92390">
      <w:r w:rsidRPr="00902E81">
        <w:rPr>
          <w:rFonts w:cs="Arial"/>
          <w:sz w:val="22"/>
          <w:szCs w:val="22"/>
        </w:rPr>
        <w:t xml:space="preserve">You can also write to: Communications Team, Australian Human Rights Commission, GPO Box 5218, </w:t>
      </w:r>
      <w:proofErr w:type="gramStart"/>
      <w:r w:rsidRPr="00902E81">
        <w:rPr>
          <w:rFonts w:cs="Arial"/>
          <w:sz w:val="22"/>
          <w:szCs w:val="22"/>
        </w:rPr>
        <w:t>Sydney</w:t>
      </w:r>
      <w:proofErr w:type="gramEnd"/>
      <w:r w:rsidRPr="00902E81">
        <w:rPr>
          <w:rFonts w:cs="Arial"/>
          <w:sz w:val="22"/>
          <w:szCs w:val="22"/>
        </w:rPr>
        <w:t xml:space="preserve"> NSW 2001</w:t>
      </w:r>
      <w:r w:rsidR="0035595D">
        <w:br w:type="page"/>
      </w:r>
    </w:p>
    <w:p w:rsidR="00416557" w:rsidRDefault="00416557" w:rsidP="00416557">
      <w:pPr>
        <w:pStyle w:val="Heading1"/>
        <w:numPr>
          <w:ilvl w:val="0"/>
          <w:numId w:val="0"/>
        </w:numPr>
        <w:ind w:left="851" w:hanging="851"/>
      </w:pPr>
      <w:bookmarkStart w:id="0" w:name="_Toc393697743"/>
      <w:r>
        <w:t>Overview</w:t>
      </w:r>
      <w:bookmarkEnd w:id="0"/>
    </w:p>
    <w:p w:rsidR="00BB1321" w:rsidRDefault="00BB1321" w:rsidP="00BB1321">
      <w:pPr>
        <w:spacing w:before="0" w:after="0"/>
      </w:pPr>
      <w:r>
        <w:t xml:space="preserve">In 2013, the Australian Government asked the Sex Discrimination Commissioner, on behalf of the Australian Human Rights Commission, to undertake a National Review into discrimination related to pregnancy, parental leave and return to work after parental leave. </w:t>
      </w:r>
    </w:p>
    <w:p w:rsidR="00BB1321" w:rsidRDefault="00BB1321" w:rsidP="00BB1321">
      <w:pPr>
        <w:spacing w:before="0" w:after="0"/>
      </w:pPr>
    </w:p>
    <w:p w:rsidR="00BB1321" w:rsidRDefault="00BB1321" w:rsidP="00BB1321">
      <w:pPr>
        <w:spacing w:before="0" w:after="0"/>
      </w:pPr>
      <w:r>
        <w:t xml:space="preserve">The aims of the National Review, entitled </w:t>
      </w:r>
      <w:r w:rsidRPr="00582D4C">
        <w:rPr>
          <w:b/>
          <w:i/>
          <w:lang w:val="en"/>
        </w:rPr>
        <w:t>Supporting Working Parents: Pregnancy and Return to Work National Review</w:t>
      </w:r>
      <w:r>
        <w:t xml:space="preserve"> have been to:</w:t>
      </w:r>
    </w:p>
    <w:p w:rsidR="00BB1321" w:rsidRPr="003F4F80" w:rsidRDefault="00BB1321" w:rsidP="00BB1321">
      <w:pPr>
        <w:pStyle w:val="ListParagraph"/>
        <w:numPr>
          <w:ilvl w:val="0"/>
          <w:numId w:val="22"/>
        </w:numPr>
        <w:spacing w:before="0" w:after="0"/>
        <w:ind w:left="720"/>
        <w:rPr>
          <w:rFonts w:cs="Arial"/>
        </w:rPr>
      </w:pPr>
      <w:r w:rsidRPr="003F4F80">
        <w:rPr>
          <w:rFonts w:cs="Arial"/>
        </w:rPr>
        <w:t>provide national benchmark data and analysis on the prevalence, nature and consequences of discrimination at work related to pregnancy, parental leave, or on return to work after parental leave</w:t>
      </w:r>
    </w:p>
    <w:p w:rsidR="00BB1321" w:rsidRPr="00E358A9" w:rsidRDefault="00BB1321" w:rsidP="00BB1321">
      <w:pPr>
        <w:numPr>
          <w:ilvl w:val="0"/>
          <w:numId w:val="21"/>
        </w:numPr>
        <w:spacing w:before="0" w:after="0"/>
        <w:ind w:left="720"/>
      </w:pPr>
      <w:r w:rsidRPr="001C10C5">
        <w:rPr>
          <w:rFonts w:cs="Arial"/>
        </w:rPr>
        <w:t xml:space="preserve">engage stakeholders </w:t>
      </w:r>
      <w:r>
        <w:rPr>
          <w:rFonts w:cs="Arial"/>
        </w:rPr>
        <w:t>(</w:t>
      </w:r>
      <w:r w:rsidRPr="001C10C5">
        <w:rPr>
          <w:rFonts w:cs="Arial"/>
        </w:rPr>
        <w:t>including government, industry and employer groups, unions and workers</w:t>
      </w:r>
      <w:r>
        <w:rPr>
          <w:rFonts w:cs="Arial"/>
        </w:rPr>
        <w:t>)</w:t>
      </w:r>
      <w:r w:rsidRPr="001C10C5">
        <w:rPr>
          <w:rFonts w:cs="Arial"/>
        </w:rPr>
        <w:t xml:space="preserve"> to understand</w:t>
      </w:r>
      <w:r>
        <w:t xml:space="preserve"> perspectives and experiences, and </w:t>
      </w:r>
      <w:r w:rsidRPr="00E358A9">
        <w:t>consider the preva</w:t>
      </w:r>
      <w:r>
        <w:t>lence data and its implications</w:t>
      </w:r>
    </w:p>
    <w:p w:rsidR="00BB1321" w:rsidRDefault="00BB1321" w:rsidP="00BB1321">
      <w:pPr>
        <w:numPr>
          <w:ilvl w:val="0"/>
          <w:numId w:val="21"/>
        </w:numPr>
        <w:spacing w:before="0" w:after="0"/>
        <w:ind w:left="720"/>
      </w:pPr>
      <w:r w:rsidRPr="00E358A9">
        <w:t xml:space="preserve">identify leading </w:t>
      </w:r>
      <w:r>
        <w:t xml:space="preserve">practices and </w:t>
      </w:r>
      <w:r w:rsidRPr="00E358A9">
        <w:t>strategies for employers supporting pregnant employees and men and women</w:t>
      </w:r>
      <w:r>
        <w:t xml:space="preserve"> returning from parental leave</w:t>
      </w:r>
    </w:p>
    <w:p w:rsidR="00BB1321" w:rsidRPr="0073298E" w:rsidRDefault="00BB1321" w:rsidP="00BB1321">
      <w:pPr>
        <w:numPr>
          <w:ilvl w:val="0"/>
          <w:numId w:val="21"/>
        </w:numPr>
        <w:spacing w:before="0" w:after="0"/>
        <w:ind w:left="720"/>
      </w:pPr>
      <w:proofErr w:type="gramStart"/>
      <w:r>
        <w:t>provide</w:t>
      </w:r>
      <w:proofErr w:type="gramEnd"/>
      <w:r>
        <w:t xml:space="preserve"> recommendations for future actions to address the forms of discrimination identified through the project. </w:t>
      </w:r>
    </w:p>
    <w:p w:rsidR="00BB1321" w:rsidRPr="0073298E" w:rsidRDefault="00BB1321" w:rsidP="00BB1321">
      <w:pPr>
        <w:rPr>
          <w:rFonts w:cs="Arial"/>
        </w:rPr>
      </w:pPr>
      <w:r w:rsidRPr="000C3244">
        <w:rPr>
          <w:rFonts w:cs="Arial"/>
        </w:rPr>
        <w:t>Australia has entered binding international human rights obligations to prohibit pregnancy/return to work discrimination.</w:t>
      </w:r>
      <w:r>
        <w:rPr>
          <w:rFonts w:cs="Arial"/>
          <w:i/>
        </w:rPr>
        <w:t xml:space="preserve"> </w:t>
      </w:r>
      <w:r w:rsidRPr="000C3244">
        <w:rPr>
          <w:rFonts w:cs="Arial"/>
        </w:rPr>
        <w:t xml:space="preserve">Australian laws, such as the </w:t>
      </w:r>
      <w:r w:rsidRPr="0073298E">
        <w:rPr>
          <w:rFonts w:cs="Arial"/>
          <w:i/>
        </w:rPr>
        <w:t>Sex Discrimination Act 1984</w:t>
      </w:r>
      <w:r>
        <w:rPr>
          <w:rFonts w:cs="Arial"/>
        </w:rPr>
        <w:t xml:space="preserve"> (</w:t>
      </w:r>
      <w:proofErr w:type="spellStart"/>
      <w:r>
        <w:rPr>
          <w:rFonts w:cs="Arial"/>
        </w:rPr>
        <w:t>Cth</w:t>
      </w:r>
      <w:proofErr w:type="spellEnd"/>
      <w:r>
        <w:rPr>
          <w:rFonts w:cs="Arial"/>
        </w:rPr>
        <w:t>)</w:t>
      </w:r>
      <w:r w:rsidRPr="000C3244">
        <w:rPr>
          <w:rFonts w:cs="Arial"/>
        </w:rPr>
        <w:t xml:space="preserve">, </w:t>
      </w:r>
      <w:r w:rsidRPr="00CF301E">
        <w:rPr>
          <w:rStyle w:val="contenttext1"/>
        </w:rPr>
        <w:t xml:space="preserve">implement </w:t>
      </w:r>
      <w:r>
        <w:rPr>
          <w:rStyle w:val="contenttext1"/>
        </w:rPr>
        <w:t>these obligations by</w:t>
      </w:r>
      <w:r w:rsidRPr="00CF301E">
        <w:rPr>
          <w:rStyle w:val="contenttext1"/>
        </w:rPr>
        <w:t xml:space="preserve"> prohibit</w:t>
      </w:r>
      <w:r>
        <w:rPr>
          <w:rStyle w:val="contenttext1"/>
        </w:rPr>
        <w:t>ing</w:t>
      </w:r>
      <w:r w:rsidRPr="00CF301E">
        <w:rPr>
          <w:rStyle w:val="contenttext1"/>
        </w:rPr>
        <w:t xml:space="preserve"> discrimination on the grounds of pre</w:t>
      </w:r>
      <w:r>
        <w:rPr>
          <w:rStyle w:val="contenttext1"/>
        </w:rPr>
        <w:t>g</w:t>
      </w:r>
      <w:r w:rsidRPr="00CF301E">
        <w:rPr>
          <w:rStyle w:val="contenttext1"/>
        </w:rPr>
        <w:t xml:space="preserve">nancy, potential pregnancy, breastfeeding and family </w:t>
      </w:r>
      <w:r w:rsidRPr="00F74C62">
        <w:rPr>
          <w:rStyle w:val="contenttext1"/>
        </w:rPr>
        <w:t>responsibilities</w:t>
      </w:r>
      <w:r w:rsidR="000E330F" w:rsidRPr="00F74C62">
        <w:rPr>
          <w:rStyle w:val="contenttext1"/>
          <w:i/>
        </w:rPr>
        <w:t xml:space="preserve"> </w:t>
      </w:r>
      <w:r w:rsidR="000E330F" w:rsidRPr="00F74C62">
        <w:rPr>
          <w:rStyle w:val="contenttext1"/>
        </w:rPr>
        <w:t>(</w:t>
      </w:r>
      <w:r w:rsidR="00490512" w:rsidRPr="00F74C62">
        <w:rPr>
          <w:rStyle w:val="contenttext1"/>
        </w:rPr>
        <w:t>from</w:t>
      </w:r>
      <w:r w:rsidR="00490512">
        <w:rPr>
          <w:rStyle w:val="contenttext1"/>
        </w:rPr>
        <w:t xml:space="preserve"> this point on </w:t>
      </w:r>
      <w:r w:rsidR="000E330F">
        <w:rPr>
          <w:rStyle w:val="contenttext1"/>
        </w:rPr>
        <w:t xml:space="preserve">referred to as </w:t>
      </w:r>
      <w:r>
        <w:t>‘pregnancy/return to work discrimination’</w:t>
      </w:r>
      <w:r w:rsidR="000E330F">
        <w:t>)</w:t>
      </w:r>
      <w:r>
        <w:t xml:space="preserve">. </w:t>
      </w:r>
      <w:r>
        <w:rPr>
          <w:rFonts w:cs="Arial"/>
        </w:rPr>
        <w:t xml:space="preserve">The key federal laws that protect pregnant women and new parents from workplace discrimination in Australia are: the </w:t>
      </w:r>
      <w:r w:rsidRPr="002416BF">
        <w:rPr>
          <w:rFonts w:cs="Arial"/>
          <w:i/>
        </w:rPr>
        <w:t>Sex Discrimination Act 1984</w:t>
      </w:r>
      <w:r>
        <w:rPr>
          <w:rFonts w:cs="Arial"/>
        </w:rPr>
        <w:t xml:space="preserve"> (</w:t>
      </w:r>
      <w:proofErr w:type="spellStart"/>
      <w:r>
        <w:rPr>
          <w:rFonts w:cs="Arial"/>
        </w:rPr>
        <w:t>Cth</w:t>
      </w:r>
      <w:proofErr w:type="spellEnd"/>
      <w:r>
        <w:rPr>
          <w:rFonts w:cs="Arial"/>
        </w:rPr>
        <w:t xml:space="preserve">), the </w:t>
      </w:r>
      <w:r w:rsidRPr="0073298E">
        <w:rPr>
          <w:rFonts w:cs="Arial"/>
          <w:i/>
        </w:rPr>
        <w:t>Fair Work Act 2009</w:t>
      </w:r>
      <w:r>
        <w:rPr>
          <w:rFonts w:cs="Arial"/>
        </w:rPr>
        <w:t xml:space="preserve"> (</w:t>
      </w:r>
      <w:proofErr w:type="spellStart"/>
      <w:r>
        <w:rPr>
          <w:rFonts w:cs="Arial"/>
        </w:rPr>
        <w:t>Cth</w:t>
      </w:r>
      <w:proofErr w:type="spellEnd"/>
      <w:r>
        <w:rPr>
          <w:rFonts w:cs="Arial"/>
        </w:rPr>
        <w:t>), and Work Health and Safety laws.</w:t>
      </w:r>
      <w:r>
        <w:rPr>
          <w:rStyle w:val="EndnoteReference"/>
          <w:rFonts w:cs="Arial"/>
        </w:rPr>
        <w:endnoteReference w:id="1"/>
      </w:r>
    </w:p>
    <w:p w:rsidR="00BB1321" w:rsidRDefault="00BB1321" w:rsidP="00BB1321">
      <w:r>
        <w:t xml:space="preserve">In conducting the National Review, the Commission collected quantitative data through a National Prevalence Survey. This survey provided the first representative data on the experiences of pregnancy/return to work discrimination by working mothers. It has also provided data on the experiences of discrimination of fathers and partners who have taken time off to care for their child. </w:t>
      </w:r>
    </w:p>
    <w:p w:rsidR="00BB1321" w:rsidRDefault="00BB1321" w:rsidP="00BB1321">
      <w:r>
        <w:t>In terms of qualitative data, the Commission undertook</w:t>
      </w:r>
      <w:r w:rsidRPr="00072386">
        <w:t xml:space="preserve"> a wide-ranging consultation and submission process</w:t>
      </w:r>
      <w:r w:rsidR="000E330F">
        <w:t xml:space="preserve"> </w:t>
      </w:r>
      <w:r w:rsidRPr="007F32D8">
        <w:t xml:space="preserve">with stakeholders </w:t>
      </w:r>
      <w:r>
        <w:t xml:space="preserve">(including individuals affected by discrimination, unions and community organisations, employers and business and industry peaks) </w:t>
      </w:r>
      <w:r w:rsidRPr="007F32D8">
        <w:t xml:space="preserve">in </w:t>
      </w:r>
      <w:r>
        <w:t>the capital cities of</w:t>
      </w:r>
      <w:r w:rsidRPr="007F32D8">
        <w:t xml:space="preserve"> every state and territory across Australia</w:t>
      </w:r>
      <w:r>
        <w:t>,</w:t>
      </w:r>
      <w:r w:rsidRPr="007F32D8">
        <w:t xml:space="preserve"> as well as</w:t>
      </w:r>
      <w:r>
        <w:t xml:space="preserve"> in</w:t>
      </w:r>
      <w:r w:rsidRPr="007F32D8">
        <w:t xml:space="preserve"> some regional </w:t>
      </w:r>
      <w:r>
        <w:t>areas</w:t>
      </w:r>
      <w:r w:rsidRPr="007F32D8">
        <w:t>.</w:t>
      </w:r>
      <w:r>
        <w:t xml:space="preserve"> </w:t>
      </w:r>
    </w:p>
    <w:p w:rsidR="00BB1321" w:rsidRPr="00E816A3" w:rsidRDefault="00BB1321" w:rsidP="00410195">
      <w:pPr>
        <w:spacing w:before="0" w:after="0"/>
      </w:pPr>
      <w:r>
        <w:t xml:space="preserve">Both the quantitative and qualitative data </w:t>
      </w:r>
      <w:r w:rsidR="00410195">
        <w:t xml:space="preserve">demonstrate that discrimination towards pregnant employees and working parents remains a widespread and systemic </w:t>
      </w:r>
      <w:r w:rsidR="00410195" w:rsidRPr="00E816A3">
        <w:t xml:space="preserve">issue which inhibits the full and equal participation of working parents, and in particular, women, in the labour force. </w:t>
      </w:r>
    </w:p>
    <w:p w:rsidR="00BB1321" w:rsidRPr="00E816A3" w:rsidRDefault="00212D07" w:rsidP="00BB1321">
      <w:r w:rsidRPr="00E816A3">
        <w:t>In addition to the negati</w:t>
      </w:r>
      <w:r w:rsidR="00941F35" w:rsidRPr="00E816A3">
        <w:t>ve impacts of discrimination</w:t>
      </w:r>
      <w:r w:rsidRPr="00E816A3">
        <w:t xml:space="preserve"> on individual women and men,</w:t>
      </w:r>
      <w:r w:rsidR="00BB1321" w:rsidRPr="00E816A3">
        <w:t xml:space="preserve"> the National Review found that discrimination has a tangible impact on women’s workforce participation. The National Prevalence Survey revealed 32% of all mothers who were discriminated against </w:t>
      </w:r>
      <w:r w:rsidR="00EA1B3C" w:rsidRPr="00E816A3">
        <w:t>during pregnancy, parental leave or on return to work</w:t>
      </w:r>
      <w:r w:rsidR="00BB1321" w:rsidRPr="00E816A3">
        <w:t xml:space="preserve"> went to look for another job or resigned</w:t>
      </w:r>
      <w:r w:rsidRPr="00E816A3">
        <w:t xml:space="preserve">. </w:t>
      </w:r>
      <w:r w:rsidR="00BB1321" w:rsidRPr="00E816A3">
        <w:t>Such discrimination, particularly where it results in job loss</w:t>
      </w:r>
      <w:r w:rsidR="00BB1321" w:rsidRPr="00E816A3" w:rsidDel="00564CA1">
        <w:t xml:space="preserve"> </w:t>
      </w:r>
      <w:r w:rsidR="00BB1321" w:rsidRPr="00E816A3">
        <w:t>or</w:t>
      </w:r>
      <w:r w:rsidR="00BB1321" w:rsidRPr="00E816A3" w:rsidDel="00564CA1">
        <w:t xml:space="preserve"> </w:t>
      </w:r>
      <w:r w:rsidR="00BB1321" w:rsidRPr="00E816A3">
        <w:t xml:space="preserve">the withdrawal from the workforce, can have significant long-term effects. </w:t>
      </w:r>
    </w:p>
    <w:p w:rsidR="00BB1321" w:rsidRPr="00E816A3" w:rsidRDefault="00BB1321" w:rsidP="00BB1321">
      <w:pPr>
        <w:rPr>
          <w:rFonts w:cs="Arial"/>
        </w:rPr>
      </w:pPr>
      <w:r w:rsidRPr="00E816A3">
        <w:rPr>
          <w:rFonts w:cs="Arial"/>
        </w:rPr>
        <w:t xml:space="preserve">Discrimination places an economic impost on employers, industries and individual organisations and on the Australian economy, particularly to the extent that it contributes to women’s under-participation or withdrawal from the workforce. </w:t>
      </w:r>
    </w:p>
    <w:p w:rsidR="00BB1321" w:rsidRPr="00E63AC7" w:rsidRDefault="00BB1321" w:rsidP="00BB1321">
      <w:pPr>
        <w:rPr>
          <w:rFonts w:cs="Arial"/>
        </w:rPr>
      </w:pPr>
      <w:r w:rsidRPr="00E816A3">
        <w:rPr>
          <w:rFonts w:cs="Arial"/>
        </w:rPr>
        <w:t>It has been estimated that increasing women’s workforce participation in Australia by 6% could increase the national GDP by $25 billion.</w:t>
      </w:r>
      <w:r w:rsidRPr="00E816A3">
        <w:rPr>
          <w:rStyle w:val="EndnoteReference"/>
          <w:rFonts w:cs="Arial"/>
        </w:rPr>
        <w:endnoteReference w:id="2"/>
      </w:r>
      <w:r w:rsidRPr="00E816A3">
        <w:rPr>
          <w:rFonts w:cs="Arial"/>
        </w:rPr>
        <w:t xml:space="preserve"> Increased </w:t>
      </w:r>
      <w:r w:rsidRPr="00FD7D11">
        <w:rPr>
          <w:rFonts w:cs="Arial"/>
        </w:rPr>
        <w:t>participation</w:t>
      </w:r>
      <w:r>
        <w:rPr>
          <w:rFonts w:cs="Arial"/>
        </w:rPr>
        <w:t xml:space="preserve"> of women and greater gender diversity at senior levels</w:t>
      </w:r>
      <w:r w:rsidRPr="00FD7D11">
        <w:rPr>
          <w:rFonts w:cs="Arial"/>
        </w:rPr>
        <w:t xml:space="preserve"> in </w:t>
      </w:r>
      <w:r>
        <w:rPr>
          <w:rFonts w:cs="Arial"/>
        </w:rPr>
        <w:t>an organisation</w:t>
      </w:r>
      <w:r w:rsidRPr="00FD7D11">
        <w:rPr>
          <w:rFonts w:cs="Arial"/>
        </w:rPr>
        <w:t xml:space="preserve"> </w:t>
      </w:r>
      <w:r>
        <w:rPr>
          <w:rFonts w:cs="Arial"/>
        </w:rPr>
        <w:t>has</w:t>
      </w:r>
      <w:r w:rsidRPr="00FD7D11">
        <w:rPr>
          <w:rFonts w:cs="Arial"/>
        </w:rPr>
        <w:t xml:space="preserve"> tangible benefits in terms of better efficiency, performance and innovation</w:t>
      </w:r>
      <w:r>
        <w:rPr>
          <w:rFonts w:cs="Arial"/>
        </w:rPr>
        <w:t>, as well as</w:t>
      </w:r>
      <w:r w:rsidRPr="00FD7D11">
        <w:rPr>
          <w:rFonts w:cs="Arial"/>
        </w:rPr>
        <w:t xml:space="preserve"> </w:t>
      </w:r>
      <w:r w:rsidRPr="00E63AC7">
        <w:rPr>
          <w:rFonts w:cs="Arial"/>
        </w:rPr>
        <w:t xml:space="preserve">increased access to the female talent pool and improvements to organisational reputation. </w:t>
      </w:r>
    </w:p>
    <w:p w:rsidR="00BB1321" w:rsidRPr="00E63AC7" w:rsidRDefault="00BB1321" w:rsidP="00BB1321">
      <w:r w:rsidRPr="00E63AC7">
        <w:t>The National Review also identified the structural barriers that women and men face. These include the limited availability, affordability and accessibility of early childhood education and care services, as well as the underlying stereotypes and assumptions about childbearing, parenting and the roles of women and men in the home and in the workplace.</w:t>
      </w:r>
    </w:p>
    <w:p w:rsidR="00BB1321" w:rsidRPr="00E63AC7" w:rsidRDefault="00BB1321" w:rsidP="00BB1321">
      <w:r w:rsidRPr="00E63AC7">
        <w:t xml:space="preserve">Workplace cultures that are informed by the existence of pervasive </w:t>
      </w:r>
      <w:r w:rsidR="00941F35" w:rsidRPr="00E63AC7">
        <w:t xml:space="preserve">harmful </w:t>
      </w:r>
      <w:r w:rsidRPr="00E63AC7">
        <w:t>stereotypes about ‘the pregnant employee’, ‘the employee with family or caring responsibilities’, ‘the flexible worker’ and stereotypes about the ‘ideal worker’ contribute to this discrimination.</w:t>
      </w:r>
    </w:p>
    <w:p w:rsidR="00BB1321" w:rsidRPr="00E63AC7" w:rsidRDefault="00BB1321" w:rsidP="00BB1321">
      <w:pPr>
        <w:rPr>
          <w:rFonts w:cs="Arial"/>
        </w:rPr>
      </w:pPr>
      <w:r w:rsidRPr="00E63AC7">
        <w:t xml:space="preserve">Many employers also shared the difficulty they encountered in understanding their legal obligations – from the multiplicity of legislation with which they must comply, through to challenges in implementing their obligations. This was particularly evident in relation to </w:t>
      </w:r>
      <w:r w:rsidRPr="00E63AC7">
        <w:rPr>
          <w:rFonts w:cs="Arial"/>
        </w:rPr>
        <w:t xml:space="preserve">accommodating the specific needs of pregnant employees, </w:t>
      </w:r>
      <w:r w:rsidRPr="00E63AC7">
        <w:t xml:space="preserve">managing return to work for parents after parental leave (such as managing flexible work), </w:t>
      </w:r>
      <w:r w:rsidRPr="00E63AC7">
        <w:rPr>
          <w:rFonts w:cs="Arial"/>
        </w:rPr>
        <w:t xml:space="preserve">and shifting ingrained stereotypes and attitudes that can impede the successful implementation of policy for, and management of, working parents. </w:t>
      </w:r>
    </w:p>
    <w:p w:rsidR="00E700B6" w:rsidRPr="00E63AC7" w:rsidRDefault="00BB1321" w:rsidP="00BB1321">
      <w:pPr>
        <w:autoSpaceDE w:val="0"/>
        <w:autoSpaceDN w:val="0"/>
        <w:adjustRightInd w:val="0"/>
      </w:pPr>
      <w:r w:rsidRPr="00E63AC7">
        <w:t xml:space="preserve">Although </w:t>
      </w:r>
      <w:r w:rsidRPr="00E63AC7">
        <w:rPr>
          <w:rFonts w:cs="Arial"/>
        </w:rPr>
        <w:t>the existing legal framework is reasonably comprehensive, better protection against discrimination could be provided by strengthening it in a number of areas</w:t>
      </w:r>
      <w:r w:rsidRPr="00E63AC7">
        <w:t xml:space="preserve">. However, </w:t>
      </w:r>
      <w:r w:rsidRPr="00E63AC7">
        <w:rPr>
          <w:rFonts w:cs="Arial"/>
        </w:rPr>
        <w:t>the strategy with the highest impact in reducing discrimination in this area is to address the gap that currently exists between the law and its proper implementation within organisations</w:t>
      </w:r>
      <w:r w:rsidRPr="00E63AC7">
        <w:t>.</w:t>
      </w:r>
    </w:p>
    <w:p w:rsidR="00BB1321" w:rsidRPr="00E63AC7" w:rsidRDefault="00BB1321" w:rsidP="00BB1321">
      <w:pPr>
        <w:autoSpaceDE w:val="0"/>
        <w:autoSpaceDN w:val="0"/>
        <w:adjustRightInd w:val="0"/>
        <w:rPr>
          <w:rFonts w:cs="Arial"/>
        </w:rPr>
      </w:pPr>
      <w:r w:rsidRPr="00E63AC7">
        <w:rPr>
          <w:rFonts w:cs="Arial"/>
        </w:rPr>
        <w:t>Several complementary strategies and actions are necessary to address this gap. These include ensuring employers and employees gain an increased understanding of the legislative framework, improving the clarity and dissemination of information</w:t>
      </w:r>
      <w:r w:rsidR="002C2F95" w:rsidRPr="00E63AC7">
        <w:rPr>
          <w:rFonts w:cs="Arial"/>
        </w:rPr>
        <w:t xml:space="preserve">, conducting effective </w:t>
      </w:r>
      <w:r w:rsidRPr="00E63AC7">
        <w:rPr>
          <w:rFonts w:cs="Arial"/>
        </w:rPr>
        <w:t xml:space="preserve">training, changing workplace cultures to remove </w:t>
      </w:r>
      <w:r w:rsidR="00941F35" w:rsidRPr="00E63AC7">
        <w:rPr>
          <w:rFonts w:cs="Arial"/>
        </w:rPr>
        <w:t>harmful</w:t>
      </w:r>
      <w:r w:rsidRPr="00E63AC7">
        <w:rPr>
          <w:rFonts w:cs="Arial"/>
        </w:rPr>
        <w:t xml:space="preserve"> stereotypes, practices and behaviours, and monitoring the implementation of policies. With strong leadership within organisations, reforms that shape more supportive and successful workplaces can occur</w:t>
      </w:r>
      <w:r w:rsidRPr="00E63AC7">
        <w:t xml:space="preserve">. </w:t>
      </w:r>
    </w:p>
    <w:p w:rsidR="00BB1321" w:rsidRPr="00E63AC7" w:rsidRDefault="00BB1321" w:rsidP="00BB1321">
      <w:pPr>
        <w:rPr>
          <w:rFonts w:cs="Arial"/>
        </w:rPr>
      </w:pPr>
      <w:r w:rsidRPr="00E63AC7">
        <w:rPr>
          <w:rFonts w:cs="Arial"/>
        </w:rPr>
        <w:t xml:space="preserve">Many workplaces in Australia recognise both the importance of supporting working parents and the cost of discrimination to their organisations. The National Review met with and heard from workplaces that were implementing leading practices and strategies. They agreed that removing discrimination is a business imperative.  </w:t>
      </w:r>
    </w:p>
    <w:p w:rsidR="00BB1321" w:rsidRPr="00E63AC7" w:rsidRDefault="00BB1321" w:rsidP="00BB1321">
      <w:pPr>
        <w:rPr>
          <w:rFonts w:cs="Arial"/>
        </w:rPr>
      </w:pPr>
      <w:r w:rsidRPr="00E63AC7">
        <w:rPr>
          <w:rFonts w:cs="Arial"/>
        </w:rPr>
        <w:t xml:space="preserve">The principal finding of the National Review is that pregnancy/return to work discrimination is pervasive and has a cost for everyone – the person affected, their family, </w:t>
      </w:r>
      <w:proofErr w:type="gramStart"/>
      <w:r w:rsidRPr="00E63AC7">
        <w:rPr>
          <w:rFonts w:cs="Arial"/>
        </w:rPr>
        <w:t>their</w:t>
      </w:r>
      <w:proofErr w:type="gramEnd"/>
      <w:r w:rsidRPr="00E63AC7">
        <w:rPr>
          <w:rFonts w:cs="Arial"/>
        </w:rPr>
        <w:t xml:space="preserve"> workplace, on employers and on the national economy.  Its existence is limiting the participation of women in paid work and the productivity of organisations and the national economy. Addressing workplace discrimination in this area is therefore not only a human rights imperative, but also a business priority. Managing pregnancy, parental leave and return to work in the workplace is not a discretionary option. It is absolutely critical to the growth of a strong economy and a cohesive society. </w:t>
      </w:r>
    </w:p>
    <w:p w:rsidR="00BB1321" w:rsidRPr="00E63AC7" w:rsidRDefault="00BB1321" w:rsidP="00BB1321">
      <w:pPr>
        <w:rPr>
          <w:rFonts w:cs="Arial"/>
        </w:rPr>
      </w:pPr>
      <w:r w:rsidRPr="00E63AC7">
        <w:rPr>
          <w:rFonts w:cs="Arial"/>
        </w:rPr>
        <w:t>It is up to all of us – government, employers, unions, peak bodies, community organisations and men and women in workplaces around Australia – to play a role in addressing such discrimination and preventing its continuation.</w:t>
      </w:r>
    </w:p>
    <w:p w:rsidR="004B5A63" w:rsidRPr="00E63AC7" w:rsidRDefault="004B5A63" w:rsidP="00416557">
      <w:pPr>
        <w:pStyle w:val="Heading1"/>
        <w:numPr>
          <w:ilvl w:val="0"/>
          <w:numId w:val="0"/>
        </w:numPr>
        <w:ind w:left="851" w:hanging="851"/>
      </w:pPr>
      <w:bookmarkStart w:id="1" w:name="_Toc393697744"/>
      <w:r w:rsidRPr="00E63AC7">
        <w:t>Methodology</w:t>
      </w:r>
      <w:bookmarkEnd w:id="1"/>
    </w:p>
    <w:p w:rsidR="00BD64FF" w:rsidRPr="00E63AC7" w:rsidRDefault="00BD64FF" w:rsidP="00BD64FF">
      <w:pPr>
        <w:rPr>
          <w:rFonts w:cs="Arial"/>
        </w:rPr>
      </w:pPr>
      <w:r w:rsidRPr="00E63AC7">
        <w:rPr>
          <w:rFonts w:cs="Arial"/>
        </w:rPr>
        <w:t xml:space="preserve">The findings and recommendations </w:t>
      </w:r>
      <w:r w:rsidR="00323510" w:rsidRPr="00E63AC7">
        <w:rPr>
          <w:rFonts w:cs="Arial"/>
        </w:rPr>
        <w:t>of the National Review</w:t>
      </w:r>
      <w:r w:rsidRPr="00E63AC7">
        <w:rPr>
          <w:rFonts w:cs="Arial"/>
        </w:rPr>
        <w:t xml:space="preserve"> are based on an independent assessment of the prevalence, nature and consequences of </w:t>
      </w:r>
      <w:r w:rsidR="00A57116" w:rsidRPr="00E63AC7">
        <w:rPr>
          <w:rFonts w:cs="Arial"/>
        </w:rPr>
        <w:t xml:space="preserve">pregnancy/return to work </w:t>
      </w:r>
      <w:r w:rsidRPr="00E63AC7">
        <w:rPr>
          <w:rFonts w:cs="Arial"/>
        </w:rPr>
        <w:t xml:space="preserve">discrimination. This assessment included a detailed examination and analysis of both qualitative and quantitative research, as required by the National Review Terms of Reference. </w:t>
      </w:r>
    </w:p>
    <w:p w:rsidR="00BD64FF" w:rsidRPr="00E63AC7" w:rsidRDefault="00465000" w:rsidP="00416557">
      <w:pPr>
        <w:pStyle w:val="Heading2"/>
        <w:numPr>
          <w:ilvl w:val="0"/>
          <w:numId w:val="0"/>
        </w:numPr>
        <w:ind w:left="851" w:hanging="851"/>
      </w:pPr>
      <w:bookmarkStart w:id="2" w:name="_Toc393660813"/>
      <w:bookmarkStart w:id="3" w:name="_Toc393697745"/>
      <w:r w:rsidRPr="00E63AC7">
        <w:t xml:space="preserve">National Review </w:t>
      </w:r>
      <w:r w:rsidR="00BD64FF" w:rsidRPr="00E63AC7">
        <w:t>Reference Group</w:t>
      </w:r>
      <w:bookmarkEnd w:id="2"/>
      <w:bookmarkEnd w:id="3"/>
    </w:p>
    <w:p w:rsidR="00BD64FF" w:rsidRPr="00E63AC7" w:rsidRDefault="00BD64FF" w:rsidP="00CA002D">
      <w:pPr>
        <w:autoSpaceDE w:val="0"/>
        <w:autoSpaceDN w:val="0"/>
        <w:adjustRightInd w:val="0"/>
        <w:spacing w:before="0" w:after="120"/>
        <w:rPr>
          <w:rFonts w:cs="Arial"/>
          <w:lang w:val="en"/>
        </w:rPr>
      </w:pPr>
      <w:r w:rsidRPr="00E63AC7">
        <w:t>The Commission established a Reference Group comprised of representatives from business</w:t>
      </w:r>
      <w:r w:rsidRPr="00E63AC7">
        <w:rPr>
          <w:lang w:val="en"/>
        </w:rPr>
        <w:t xml:space="preserve">, community groups, unions and academia. The Reference Group provided counsel on the research methodology, analysis of the findings and the final report including recommendations. </w:t>
      </w:r>
      <w:r w:rsidR="002A3673" w:rsidRPr="00E63AC7">
        <w:rPr>
          <w:lang w:val="en"/>
        </w:rPr>
        <w:t xml:space="preserve">Led by </w:t>
      </w:r>
      <w:r w:rsidR="008A3671" w:rsidRPr="00E63AC7">
        <w:rPr>
          <w:lang w:val="en"/>
        </w:rPr>
        <w:t xml:space="preserve">Elizabeth Broderick, </w:t>
      </w:r>
      <w:r w:rsidR="002A3673" w:rsidRPr="00E63AC7">
        <w:rPr>
          <w:lang w:val="en"/>
        </w:rPr>
        <w:t xml:space="preserve">the Sex Discrimination Commissioner, the </w:t>
      </w:r>
      <w:r w:rsidRPr="00E63AC7">
        <w:rPr>
          <w:lang w:val="en"/>
        </w:rPr>
        <w:t xml:space="preserve">Reference </w:t>
      </w:r>
      <w:r w:rsidRPr="00E63AC7">
        <w:rPr>
          <w:rFonts w:cs="Arial"/>
          <w:lang w:val="en"/>
        </w:rPr>
        <w:t xml:space="preserve">Group members included: </w:t>
      </w:r>
    </w:p>
    <w:p w:rsidR="00BD64FF" w:rsidRPr="00E63AC7" w:rsidRDefault="00BD64FF" w:rsidP="00CA002D">
      <w:pPr>
        <w:pStyle w:val="ListParagraph"/>
        <w:numPr>
          <w:ilvl w:val="0"/>
          <w:numId w:val="32"/>
        </w:numPr>
        <w:spacing w:before="120" w:after="0"/>
        <w:ind w:left="425" w:hanging="425"/>
        <w:contextualSpacing w:val="0"/>
        <w:rPr>
          <w:rFonts w:cs="Arial"/>
          <w:lang w:val="en-GB"/>
        </w:rPr>
      </w:pPr>
      <w:r w:rsidRPr="00E63AC7">
        <w:rPr>
          <w:rFonts w:cs="Arial"/>
          <w:lang w:val="en-GB"/>
        </w:rPr>
        <w:t xml:space="preserve">Innes </w:t>
      </w:r>
      <w:proofErr w:type="spellStart"/>
      <w:r w:rsidRPr="00E63AC7">
        <w:rPr>
          <w:rFonts w:cs="Arial"/>
          <w:lang w:val="en-GB"/>
        </w:rPr>
        <w:t>Willox</w:t>
      </w:r>
      <w:proofErr w:type="spellEnd"/>
      <w:r w:rsidRPr="00E63AC7">
        <w:rPr>
          <w:rFonts w:cs="Arial"/>
          <w:lang w:val="en-GB"/>
        </w:rPr>
        <w:t>, Chief Executive, Australian Industry Group</w:t>
      </w:r>
    </w:p>
    <w:p w:rsidR="00BD64FF" w:rsidRPr="00CA32AA" w:rsidRDefault="00BD64FF" w:rsidP="009E64BB">
      <w:pPr>
        <w:pStyle w:val="ListParagraph"/>
        <w:numPr>
          <w:ilvl w:val="0"/>
          <w:numId w:val="32"/>
        </w:numPr>
        <w:spacing w:before="0" w:after="0"/>
        <w:ind w:left="425" w:hanging="425"/>
        <w:contextualSpacing w:val="0"/>
        <w:rPr>
          <w:rFonts w:cs="Arial"/>
          <w:lang w:val="en-GB"/>
        </w:rPr>
      </w:pPr>
      <w:r w:rsidRPr="00E63AC7">
        <w:rPr>
          <w:rFonts w:cs="Arial"/>
          <w:lang w:val="en-GB"/>
        </w:rPr>
        <w:t xml:space="preserve">Kate Carnell, Chief Executive Officer, Australian Chamber of Commerce and Industry (ACCI) and Peter Anderson, former Chief Executive </w:t>
      </w:r>
      <w:r w:rsidRPr="00CA32AA">
        <w:rPr>
          <w:rFonts w:cs="Arial"/>
          <w:lang w:val="en-GB"/>
        </w:rPr>
        <w:t>Officer</w:t>
      </w:r>
      <w:r>
        <w:rPr>
          <w:rFonts w:cs="Arial"/>
          <w:lang w:val="en-GB"/>
        </w:rPr>
        <w:t xml:space="preserve">, </w:t>
      </w:r>
      <w:r w:rsidRPr="00CA32AA">
        <w:rPr>
          <w:rFonts w:cs="Arial"/>
          <w:lang w:val="en-GB"/>
        </w:rPr>
        <w:t>Australian Chamber of Commerce and Industry</w:t>
      </w:r>
      <w:r>
        <w:rPr>
          <w:rFonts w:cs="Arial"/>
          <w:lang w:val="en-GB"/>
        </w:rPr>
        <w:t xml:space="preserve"> (ACCI)</w:t>
      </w:r>
    </w:p>
    <w:p w:rsidR="00BD64FF" w:rsidRPr="00CA32AA" w:rsidRDefault="00BD64FF" w:rsidP="009E64BB">
      <w:pPr>
        <w:pStyle w:val="ListParagraph"/>
        <w:numPr>
          <w:ilvl w:val="0"/>
          <w:numId w:val="32"/>
        </w:numPr>
        <w:spacing w:before="0" w:after="0"/>
        <w:ind w:left="425" w:hanging="425"/>
        <w:contextualSpacing w:val="0"/>
        <w:rPr>
          <w:rFonts w:cs="Arial"/>
          <w:lang w:val="en-GB"/>
        </w:rPr>
      </w:pPr>
      <w:proofErr w:type="spellStart"/>
      <w:r w:rsidRPr="00CA32AA">
        <w:rPr>
          <w:rFonts w:cs="Arial"/>
          <w:lang w:val="en-GB"/>
        </w:rPr>
        <w:t>Ged</w:t>
      </w:r>
      <w:proofErr w:type="spellEnd"/>
      <w:r w:rsidRPr="00CA32AA">
        <w:rPr>
          <w:rFonts w:cs="Arial"/>
          <w:lang w:val="en-GB"/>
        </w:rPr>
        <w:t xml:space="preserve"> Kearney, </w:t>
      </w:r>
      <w:r w:rsidRPr="00CA32AA">
        <w:rPr>
          <w:rFonts w:cs="Arial"/>
        </w:rPr>
        <w:t xml:space="preserve">President, </w:t>
      </w:r>
      <w:r w:rsidRPr="00CA32AA">
        <w:rPr>
          <w:rFonts w:cs="Arial"/>
          <w:lang w:val="en-GB"/>
        </w:rPr>
        <w:t>Australian Council of Trade Unions</w:t>
      </w:r>
    </w:p>
    <w:p w:rsidR="00BD64FF" w:rsidRPr="00CA32AA" w:rsidRDefault="00EC7DC9" w:rsidP="009E64BB">
      <w:pPr>
        <w:pStyle w:val="ListParagraph"/>
        <w:numPr>
          <w:ilvl w:val="0"/>
          <w:numId w:val="32"/>
        </w:numPr>
        <w:spacing w:before="0" w:after="0"/>
        <w:ind w:left="425" w:hanging="425"/>
        <w:contextualSpacing w:val="0"/>
        <w:rPr>
          <w:rFonts w:cs="Arial"/>
          <w:lang w:val="en-GB"/>
        </w:rPr>
      </w:pPr>
      <w:proofErr w:type="spellStart"/>
      <w:r w:rsidRPr="00E63AC7">
        <w:rPr>
          <w:iCs/>
        </w:rPr>
        <w:t>Thérèse</w:t>
      </w:r>
      <w:proofErr w:type="spellEnd"/>
      <w:r w:rsidRPr="00E63AC7">
        <w:rPr>
          <w:iCs/>
        </w:rPr>
        <w:t xml:space="preserve"> </w:t>
      </w:r>
      <w:r w:rsidR="00BD64FF" w:rsidRPr="00E63AC7">
        <w:rPr>
          <w:rFonts w:cs="Arial"/>
          <w:lang w:val="en-GB"/>
        </w:rPr>
        <w:t xml:space="preserve">Bryant, National </w:t>
      </w:r>
      <w:r w:rsidR="00BD64FF" w:rsidRPr="00CA32AA">
        <w:rPr>
          <w:rFonts w:cs="Arial"/>
          <w:lang w:val="en-GB"/>
        </w:rPr>
        <w:t>Women’s Officer, Shop Distributive and Allied Employees Association</w:t>
      </w:r>
    </w:p>
    <w:p w:rsidR="00BD64FF" w:rsidRPr="00CA32AA" w:rsidRDefault="00BD64FF" w:rsidP="009E64BB">
      <w:pPr>
        <w:pStyle w:val="ListParagraph"/>
        <w:numPr>
          <w:ilvl w:val="0"/>
          <w:numId w:val="32"/>
        </w:numPr>
        <w:spacing w:before="0" w:after="0"/>
        <w:ind w:left="425" w:hanging="425"/>
        <w:contextualSpacing w:val="0"/>
        <w:rPr>
          <w:rFonts w:cs="Arial"/>
          <w:lang w:val="en-GB"/>
        </w:rPr>
      </w:pPr>
      <w:r w:rsidRPr="00CA32AA">
        <w:rPr>
          <w:rFonts w:cs="Arial"/>
          <w:lang w:val="en-GB"/>
        </w:rPr>
        <w:t xml:space="preserve">Marian Baird, Professor of </w:t>
      </w:r>
      <w:r>
        <w:rPr>
          <w:rFonts w:cs="Arial"/>
          <w:lang w:val="en-GB"/>
        </w:rPr>
        <w:t xml:space="preserve">Gender and </w:t>
      </w:r>
      <w:r w:rsidRPr="00CA32AA">
        <w:rPr>
          <w:rFonts w:cs="Arial"/>
          <w:lang w:val="en-GB"/>
        </w:rPr>
        <w:t>Employment Relations, University of Sydney</w:t>
      </w:r>
    </w:p>
    <w:p w:rsidR="00BD64FF" w:rsidRPr="00CA32AA" w:rsidRDefault="00BD64FF" w:rsidP="009E64BB">
      <w:pPr>
        <w:pStyle w:val="ListParagraph"/>
        <w:numPr>
          <w:ilvl w:val="0"/>
          <w:numId w:val="32"/>
        </w:numPr>
        <w:spacing w:before="0" w:after="0"/>
        <w:ind w:left="425" w:hanging="425"/>
        <w:contextualSpacing w:val="0"/>
        <w:rPr>
          <w:rFonts w:cs="Arial"/>
          <w:lang w:val="en-GB"/>
        </w:rPr>
      </w:pPr>
      <w:r w:rsidRPr="00CA32AA">
        <w:rPr>
          <w:rFonts w:cs="Arial"/>
          <w:lang w:val="en-GB"/>
        </w:rPr>
        <w:t>Anna Davis, Co-coordinator, Working Women’s Centre, Northern Territory</w:t>
      </w:r>
    </w:p>
    <w:p w:rsidR="00BD64FF" w:rsidRPr="00701439" w:rsidRDefault="00BD64FF" w:rsidP="00416557">
      <w:pPr>
        <w:pStyle w:val="Heading2"/>
        <w:numPr>
          <w:ilvl w:val="0"/>
          <w:numId w:val="0"/>
        </w:numPr>
        <w:ind w:left="851" w:hanging="851"/>
      </w:pPr>
      <w:bookmarkStart w:id="4" w:name="_Toc393660814"/>
      <w:bookmarkStart w:id="5" w:name="_Toc393697746"/>
      <w:r w:rsidRPr="00701439">
        <w:t>Quantitative Data</w:t>
      </w:r>
      <w:bookmarkEnd w:id="4"/>
      <w:bookmarkEnd w:id="5"/>
    </w:p>
    <w:p w:rsidR="00BD64FF" w:rsidRDefault="00BD64FF" w:rsidP="00BD64FF">
      <w:pPr>
        <w:autoSpaceDE w:val="0"/>
        <w:autoSpaceDN w:val="0"/>
        <w:adjustRightInd w:val="0"/>
      </w:pPr>
      <w:r>
        <w:t xml:space="preserve">The Commission contracted Roy Morgan Research to conduct a National Telephone Survey to measure the prevalence of </w:t>
      </w:r>
      <w:r w:rsidR="00A57116">
        <w:t>pregnancy/return to work discrimination</w:t>
      </w:r>
      <w:r>
        <w:t xml:space="preserve">. Two surveys were administered. </w:t>
      </w:r>
    </w:p>
    <w:p w:rsidR="00BD64FF" w:rsidRDefault="00BD64FF" w:rsidP="00CF5EF2">
      <w:pPr>
        <w:autoSpaceDE w:val="0"/>
        <w:autoSpaceDN w:val="0"/>
        <w:adjustRightInd w:val="0"/>
        <w:spacing w:after="120"/>
      </w:pPr>
      <w:r>
        <w:t>The Mothers Survey measured the experiences of 2000 mothers. It provides the first nationally representative data on women’s perceived experiences of discrimination in the workplace as a result of their:</w:t>
      </w:r>
    </w:p>
    <w:p w:rsidR="00BD64FF" w:rsidRDefault="00BD64FF" w:rsidP="00CF5EF2">
      <w:pPr>
        <w:pStyle w:val="ListParagraph"/>
        <w:numPr>
          <w:ilvl w:val="0"/>
          <w:numId w:val="30"/>
        </w:numPr>
        <w:autoSpaceDE w:val="0"/>
        <w:autoSpaceDN w:val="0"/>
        <w:adjustRightInd w:val="0"/>
        <w:spacing w:before="120"/>
      </w:pPr>
      <w:r>
        <w:t>Pregnancy</w:t>
      </w:r>
    </w:p>
    <w:p w:rsidR="00BD64FF" w:rsidRDefault="00BD64FF" w:rsidP="009E64BB">
      <w:pPr>
        <w:pStyle w:val="ListParagraph"/>
        <w:numPr>
          <w:ilvl w:val="0"/>
          <w:numId w:val="30"/>
        </w:numPr>
        <w:autoSpaceDE w:val="0"/>
        <w:autoSpaceDN w:val="0"/>
        <w:adjustRightInd w:val="0"/>
      </w:pPr>
      <w:r>
        <w:t>Request for or taking of parental leave</w:t>
      </w:r>
    </w:p>
    <w:p w:rsidR="00BD64FF" w:rsidRDefault="00BD64FF" w:rsidP="009E64BB">
      <w:pPr>
        <w:pStyle w:val="ListParagraph"/>
        <w:numPr>
          <w:ilvl w:val="0"/>
          <w:numId w:val="30"/>
        </w:numPr>
        <w:autoSpaceDE w:val="0"/>
        <w:autoSpaceDN w:val="0"/>
        <w:adjustRightInd w:val="0"/>
      </w:pPr>
      <w:r>
        <w:t>Return to work following parental leave.</w:t>
      </w:r>
    </w:p>
    <w:p w:rsidR="00BD64FF" w:rsidRDefault="00BD64FF" w:rsidP="00BD64FF">
      <w:pPr>
        <w:autoSpaceDE w:val="0"/>
        <w:autoSpaceDN w:val="0"/>
        <w:adjustRightInd w:val="0"/>
        <w:rPr>
          <w:rFonts w:cs="Arial"/>
        </w:rPr>
      </w:pPr>
      <w:r>
        <w:t>The Fathers and Partners Survey measured the experiences of 1000 fathers and partners who took two weeks of leave to care for their child under the Dad and Partner Pay (</w:t>
      </w:r>
      <w:proofErr w:type="spellStart"/>
      <w:r>
        <w:t>DaPP</w:t>
      </w:r>
      <w:proofErr w:type="spellEnd"/>
      <w:r>
        <w:t xml:space="preserve">) scheme available under the Australian Government’s parental leave entitlements. </w:t>
      </w:r>
      <w:r w:rsidRPr="004F2F2D">
        <w:rPr>
          <w:rFonts w:cs="Arial"/>
        </w:rPr>
        <w:t xml:space="preserve">As only a small proportion of new fathers and partners access the </w:t>
      </w:r>
      <w:proofErr w:type="spellStart"/>
      <w:r>
        <w:rPr>
          <w:rFonts w:cs="Arial"/>
        </w:rPr>
        <w:t>DaPP</w:t>
      </w:r>
      <w:proofErr w:type="spellEnd"/>
      <w:r w:rsidRPr="004F2F2D">
        <w:rPr>
          <w:rFonts w:cs="Arial"/>
        </w:rPr>
        <w:t xml:space="preserve"> scheme</w:t>
      </w:r>
      <w:r>
        <w:rPr>
          <w:rFonts w:cs="Arial"/>
        </w:rPr>
        <w:t>,</w:t>
      </w:r>
      <w:r w:rsidRPr="003A52C6">
        <w:rPr>
          <w:rStyle w:val="EndnoteReference"/>
          <w:rFonts w:cs="Arial"/>
        </w:rPr>
        <w:endnoteReference w:id="3"/>
      </w:r>
      <w:r w:rsidRPr="004F2F2D">
        <w:rPr>
          <w:rFonts w:cs="Arial"/>
        </w:rPr>
        <w:t xml:space="preserve"> it is not representative of all worki</w:t>
      </w:r>
      <w:r>
        <w:rPr>
          <w:rFonts w:cs="Arial"/>
        </w:rPr>
        <w:t>ng fathers who have had a child.</w:t>
      </w:r>
    </w:p>
    <w:p w:rsidR="00BD64FF" w:rsidRPr="00701439" w:rsidRDefault="00BD64FF" w:rsidP="00416557">
      <w:pPr>
        <w:pStyle w:val="Heading2"/>
        <w:numPr>
          <w:ilvl w:val="0"/>
          <w:numId w:val="0"/>
        </w:numPr>
        <w:ind w:left="851" w:hanging="851"/>
      </w:pPr>
      <w:bookmarkStart w:id="7" w:name="_Toc393660815"/>
      <w:bookmarkStart w:id="8" w:name="_Toc393697747"/>
      <w:r w:rsidRPr="00701439">
        <w:t>Qualitative Data</w:t>
      </w:r>
      <w:bookmarkEnd w:id="7"/>
      <w:bookmarkEnd w:id="8"/>
    </w:p>
    <w:p w:rsidR="00BD64FF" w:rsidRDefault="00BD64FF" w:rsidP="00BD64FF">
      <w:r>
        <w:t xml:space="preserve">From the outset, the National Review aimed to consult as widely as possible with all relevant stakeholders to ensure that the findings and recommendations of the National Review were informed by the experience of individuals and organisations working on and with these issues. </w:t>
      </w:r>
    </w:p>
    <w:p w:rsidR="00BD64FF" w:rsidRPr="00CF5EF2" w:rsidRDefault="00BD64FF" w:rsidP="00416557">
      <w:pPr>
        <w:pStyle w:val="Heading3"/>
        <w:numPr>
          <w:ilvl w:val="0"/>
          <w:numId w:val="0"/>
        </w:numPr>
        <w:ind w:left="851" w:hanging="851"/>
      </w:pPr>
      <w:r w:rsidRPr="00CF5EF2">
        <w:t>Group consultations</w:t>
      </w:r>
    </w:p>
    <w:p w:rsidR="00BD64FF" w:rsidRPr="00A02046" w:rsidRDefault="00BD64FF" w:rsidP="00BC7644">
      <w:pPr>
        <w:spacing w:after="120"/>
      </w:pPr>
      <w:r w:rsidRPr="00A02046">
        <w:t>Th</w:t>
      </w:r>
      <w:r w:rsidR="00225CA4">
        <w:t xml:space="preserve">rough </w:t>
      </w:r>
      <w:r w:rsidR="00CA5B6F">
        <w:t xml:space="preserve">over 50 </w:t>
      </w:r>
      <w:r w:rsidR="00225CA4">
        <w:t xml:space="preserve">face-to-face </w:t>
      </w:r>
      <w:r w:rsidR="00465000">
        <w:t xml:space="preserve">group </w:t>
      </w:r>
      <w:r w:rsidR="00225CA4">
        <w:t>consultations the</w:t>
      </w:r>
      <w:r w:rsidRPr="00A02046">
        <w:t xml:space="preserve"> National Review consulted with over</w:t>
      </w:r>
      <w:r w:rsidR="00E044F6">
        <w:t xml:space="preserve"> 430 individuals including</w:t>
      </w:r>
      <w:r w:rsidRPr="00A02046">
        <w:t xml:space="preserve">:  </w:t>
      </w:r>
    </w:p>
    <w:p w:rsidR="00BD64FF" w:rsidRPr="00A02046" w:rsidRDefault="00BD64FF" w:rsidP="00BC7644">
      <w:pPr>
        <w:pStyle w:val="ListParagraph"/>
        <w:numPr>
          <w:ilvl w:val="0"/>
          <w:numId w:val="29"/>
        </w:numPr>
        <w:spacing w:before="120"/>
        <w:rPr>
          <w:rFonts w:cs="Arial"/>
          <w:lang w:val="en-GB"/>
        </w:rPr>
      </w:pPr>
      <w:r>
        <w:rPr>
          <w:rFonts w:cs="Arial"/>
          <w:lang w:val="en-GB"/>
        </w:rPr>
        <w:t>85</w:t>
      </w:r>
      <w:r w:rsidRPr="00A02046">
        <w:rPr>
          <w:rFonts w:cs="Arial"/>
          <w:lang w:val="en-GB"/>
        </w:rPr>
        <w:t xml:space="preserve"> individuals affected by discrimination </w:t>
      </w:r>
    </w:p>
    <w:p w:rsidR="00BD64FF" w:rsidRPr="00A02046" w:rsidRDefault="00BD64FF" w:rsidP="009E64BB">
      <w:pPr>
        <w:pStyle w:val="ListParagraph"/>
        <w:numPr>
          <w:ilvl w:val="0"/>
          <w:numId w:val="29"/>
        </w:numPr>
        <w:rPr>
          <w:rFonts w:cs="Arial"/>
          <w:lang w:val="en-GB"/>
        </w:rPr>
      </w:pPr>
      <w:r>
        <w:rPr>
          <w:rFonts w:cs="Arial"/>
          <w:lang w:val="en-GB"/>
        </w:rPr>
        <w:t>180 representatives from more than 150</w:t>
      </w:r>
      <w:r w:rsidRPr="00A02046">
        <w:rPr>
          <w:rFonts w:cs="Arial"/>
          <w:lang w:val="en-GB"/>
        </w:rPr>
        <w:t xml:space="preserve"> community organisations, including community legal centres, working women’s centres, unions, health organisations and academics</w:t>
      </w:r>
      <w:r>
        <w:rPr>
          <w:rStyle w:val="EndnoteReference"/>
          <w:rFonts w:cs="Arial"/>
          <w:lang w:val="en-GB"/>
        </w:rPr>
        <w:endnoteReference w:id="4"/>
      </w:r>
      <w:r>
        <w:rPr>
          <w:rFonts w:cs="Arial"/>
          <w:lang w:val="en-GB"/>
        </w:rPr>
        <w:t xml:space="preserve"> </w:t>
      </w:r>
    </w:p>
    <w:p w:rsidR="00BD64FF" w:rsidRDefault="00BD64FF" w:rsidP="009E64BB">
      <w:pPr>
        <w:pStyle w:val="ListParagraph"/>
        <w:numPr>
          <w:ilvl w:val="0"/>
          <w:numId w:val="29"/>
        </w:numPr>
        <w:rPr>
          <w:rFonts w:cs="Arial"/>
          <w:lang w:val="en-GB"/>
        </w:rPr>
      </w:pPr>
      <w:r w:rsidRPr="00A02046">
        <w:rPr>
          <w:rFonts w:cs="Arial"/>
          <w:lang w:val="en-GB"/>
        </w:rPr>
        <w:t>1</w:t>
      </w:r>
      <w:r>
        <w:rPr>
          <w:rFonts w:cs="Arial"/>
          <w:lang w:val="en-GB"/>
        </w:rPr>
        <w:t>70</w:t>
      </w:r>
      <w:r w:rsidRPr="00A02046">
        <w:rPr>
          <w:rFonts w:cs="Arial"/>
          <w:lang w:val="en-GB"/>
        </w:rPr>
        <w:t xml:space="preserve"> employers and business and industry peak</w:t>
      </w:r>
      <w:r>
        <w:rPr>
          <w:rFonts w:cs="Arial"/>
          <w:lang w:val="en-GB"/>
        </w:rPr>
        <w:t xml:space="preserve"> bodie</w:t>
      </w:r>
      <w:r w:rsidRPr="00A02046">
        <w:rPr>
          <w:rFonts w:cs="Arial"/>
          <w:lang w:val="en-GB"/>
        </w:rPr>
        <w:t>s</w:t>
      </w:r>
      <w:r>
        <w:rPr>
          <w:rFonts w:cs="Arial"/>
          <w:lang w:val="en-GB"/>
        </w:rPr>
        <w:t>,</w:t>
      </w:r>
      <w:r w:rsidRPr="00A02046">
        <w:rPr>
          <w:rFonts w:cs="Arial"/>
          <w:lang w:val="en-GB"/>
        </w:rPr>
        <w:t xml:space="preserve"> including </w:t>
      </w:r>
      <w:r>
        <w:rPr>
          <w:rFonts w:cs="Arial"/>
          <w:lang w:val="en-GB"/>
        </w:rPr>
        <w:t xml:space="preserve">those </w:t>
      </w:r>
      <w:r w:rsidRPr="00A02046">
        <w:rPr>
          <w:rFonts w:cs="Arial"/>
          <w:lang w:val="en-GB"/>
        </w:rPr>
        <w:t xml:space="preserve">from a range of business sizes, sectors </w:t>
      </w:r>
      <w:r>
        <w:rPr>
          <w:rFonts w:cs="Arial"/>
          <w:lang w:val="en-GB"/>
        </w:rPr>
        <w:t xml:space="preserve">and industries. </w:t>
      </w:r>
    </w:p>
    <w:p w:rsidR="00BD64FF" w:rsidRPr="00F609EF" w:rsidRDefault="00BD64FF" w:rsidP="00BD64FF">
      <w:pPr>
        <w:rPr>
          <w:rFonts w:cs="Arial"/>
          <w:lang w:val="en-GB"/>
        </w:rPr>
      </w:pPr>
      <w:r w:rsidRPr="00F609EF">
        <w:rPr>
          <w:rFonts w:cs="Arial"/>
          <w:lang w:val="en-GB"/>
        </w:rPr>
        <w:t xml:space="preserve">The National Review team also had one-on-one </w:t>
      </w:r>
      <w:r>
        <w:rPr>
          <w:rFonts w:cs="Arial"/>
          <w:lang w:val="en-GB"/>
        </w:rPr>
        <w:t>interviews</w:t>
      </w:r>
      <w:r w:rsidRPr="00F609EF">
        <w:rPr>
          <w:rFonts w:cs="Arial"/>
          <w:lang w:val="en-GB"/>
        </w:rPr>
        <w:t xml:space="preserve"> with individuals who</w:t>
      </w:r>
      <w:r>
        <w:rPr>
          <w:rFonts w:cs="Arial"/>
          <w:lang w:val="en-GB"/>
        </w:rPr>
        <w:t xml:space="preserve"> were unable to participate in the group consultations</w:t>
      </w:r>
      <w:r w:rsidRPr="00F609EF">
        <w:rPr>
          <w:rFonts w:cs="Arial"/>
          <w:lang w:val="en-GB"/>
        </w:rPr>
        <w:t xml:space="preserve">.  </w:t>
      </w:r>
    </w:p>
    <w:p w:rsidR="00BD64FF" w:rsidRPr="00CF5EF2" w:rsidRDefault="00BD64FF" w:rsidP="00BD64FF">
      <w:pPr>
        <w:rPr>
          <w:i/>
        </w:rPr>
      </w:pPr>
      <w:r w:rsidRPr="00CF5EF2">
        <w:rPr>
          <w:i/>
        </w:rPr>
        <w:t>Submissions</w:t>
      </w:r>
    </w:p>
    <w:p w:rsidR="00BD64FF" w:rsidRDefault="00465000" w:rsidP="00BC7644">
      <w:pPr>
        <w:spacing w:after="120"/>
        <w:rPr>
          <w:rFonts w:cs="Arial"/>
          <w:lang w:val="en-GB"/>
        </w:rPr>
      </w:pPr>
      <w:r>
        <w:t>T</w:t>
      </w:r>
      <w:r w:rsidR="00BD64FF">
        <w:t>he National Review received a total of 447</w:t>
      </w:r>
      <w:r w:rsidR="00EA1B3C">
        <w:t xml:space="preserve"> </w:t>
      </w:r>
      <w:r>
        <w:t>online</w:t>
      </w:r>
      <w:r w:rsidR="00BD64FF">
        <w:t xml:space="preserve"> submissions including:</w:t>
      </w:r>
      <w:r w:rsidR="00BD64FF">
        <w:rPr>
          <w:rFonts w:cs="Arial"/>
          <w:lang w:val="en-GB"/>
        </w:rPr>
        <w:t xml:space="preserve"> </w:t>
      </w:r>
    </w:p>
    <w:p w:rsidR="00BD64FF" w:rsidRDefault="00BD64FF" w:rsidP="00BC7644">
      <w:pPr>
        <w:pStyle w:val="ListParagraph"/>
        <w:numPr>
          <w:ilvl w:val="0"/>
          <w:numId w:val="28"/>
        </w:numPr>
        <w:spacing w:before="120" w:after="120"/>
        <w:rPr>
          <w:rFonts w:cs="Arial"/>
          <w:lang w:val="en-GB"/>
        </w:rPr>
      </w:pPr>
      <w:r w:rsidRPr="00BF3518">
        <w:rPr>
          <w:rFonts w:cs="Arial"/>
          <w:lang w:val="en-GB"/>
        </w:rPr>
        <w:t>3</w:t>
      </w:r>
      <w:r>
        <w:rPr>
          <w:rFonts w:cs="Arial"/>
          <w:lang w:val="en-GB"/>
        </w:rPr>
        <w:t xml:space="preserve">33 </w:t>
      </w:r>
      <w:r w:rsidRPr="00BF3518">
        <w:rPr>
          <w:rFonts w:cs="Arial"/>
          <w:lang w:val="en-GB"/>
        </w:rPr>
        <w:t xml:space="preserve">submissions from individuals who had experienced discrimination </w:t>
      </w:r>
    </w:p>
    <w:p w:rsidR="00BD64FF" w:rsidRDefault="00BD64FF" w:rsidP="009E64BB">
      <w:pPr>
        <w:pStyle w:val="ListParagraph"/>
        <w:numPr>
          <w:ilvl w:val="0"/>
          <w:numId w:val="28"/>
        </w:numPr>
        <w:rPr>
          <w:rFonts w:cs="Arial"/>
          <w:lang w:val="en-GB"/>
        </w:rPr>
      </w:pPr>
      <w:r>
        <w:rPr>
          <w:rFonts w:cs="Arial"/>
          <w:lang w:val="en-GB"/>
        </w:rPr>
        <w:t xml:space="preserve">55 </w:t>
      </w:r>
      <w:r w:rsidRPr="00BF3518">
        <w:rPr>
          <w:rFonts w:cs="Arial"/>
          <w:lang w:val="en-GB"/>
        </w:rPr>
        <w:t>submissions from community organisations</w:t>
      </w:r>
    </w:p>
    <w:p w:rsidR="00BD64FF" w:rsidRDefault="00BD64FF" w:rsidP="009E64BB">
      <w:pPr>
        <w:pStyle w:val="ListParagraph"/>
        <w:numPr>
          <w:ilvl w:val="0"/>
          <w:numId w:val="28"/>
        </w:numPr>
        <w:rPr>
          <w:rFonts w:cs="Arial"/>
          <w:lang w:val="en-GB"/>
        </w:rPr>
      </w:pPr>
      <w:r>
        <w:rPr>
          <w:rFonts w:cs="Arial"/>
          <w:lang w:val="en-GB"/>
        </w:rPr>
        <w:t>59 submissions from employers and from business and industry associations.</w:t>
      </w:r>
    </w:p>
    <w:p w:rsidR="008663BE" w:rsidRDefault="00BD64FF" w:rsidP="00BD64FF">
      <w:pPr>
        <w:rPr>
          <w:rFonts w:cs="Arial"/>
          <w:lang w:val="en-GB"/>
        </w:rPr>
      </w:pPr>
      <w:r>
        <w:rPr>
          <w:rFonts w:cs="Arial"/>
          <w:lang w:val="en-GB"/>
        </w:rPr>
        <w:t xml:space="preserve">Many of the submissions from community organisations incorporated the experiences of individuals. Similarly, submissions from business and industry peaks and associations represented the experiences of hundreds of their members and included results from surveys conducted with members on the issue. </w:t>
      </w:r>
    </w:p>
    <w:p w:rsidR="00BD64FF" w:rsidRPr="00CF5EF2" w:rsidRDefault="00BD64FF" w:rsidP="00BD64FF">
      <w:pPr>
        <w:rPr>
          <w:rFonts w:cs="Arial"/>
          <w:i/>
          <w:lang w:val="en-GB"/>
        </w:rPr>
      </w:pPr>
      <w:r w:rsidRPr="00CF5EF2">
        <w:rPr>
          <w:rFonts w:cs="Arial"/>
          <w:i/>
          <w:lang w:val="en-GB"/>
        </w:rPr>
        <w:t xml:space="preserve">National </w:t>
      </w:r>
      <w:r w:rsidR="00AC2C92">
        <w:rPr>
          <w:rFonts w:cs="Arial"/>
          <w:i/>
          <w:lang w:val="en-GB"/>
        </w:rPr>
        <w:t>r</w:t>
      </w:r>
      <w:r w:rsidR="00AC2C92" w:rsidRPr="00CF5EF2">
        <w:rPr>
          <w:rFonts w:cs="Arial"/>
          <w:i/>
          <w:lang w:val="en-GB"/>
        </w:rPr>
        <w:t>oundtable</w:t>
      </w:r>
    </w:p>
    <w:p w:rsidR="00BD64FF" w:rsidRDefault="000B0D56" w:rsidP="00BD64FF">
      <w:pPr>
        <w:rPr>
          <w:rFonts w:cs="Arial"/>
          <w:lang w:val="en-GB"/>
        </w:rPr>
      </w:pPr>
      <w:r>
        <w:rPr>
          <w:rFonts w:cs="Arial"/>
          <w:lang w:val="en-GB"/>
        </w:rPr>
        <w:t xml:space="preserve">A </w:t>
      </w:r>
      <w:r w:rsidR="00BD64FF">
        <w:rPr>
          <w:rFonts w:cs="Arial"/>
          <w:lang w:val="en-GB"/>
        </w:rPr>
        <w:t>National Roundtable</w:t>
      </w:r>
      <w:r w:rsidR="00162554">
        <w:rPr>
          <w:rFonts w:cs="Arial"/>
          <w:lang w:val="en-GB"/>
        </w:rPr>
        <w:t xml:space="preserve"> was convened</w:t>
      </w:r>
      <w:r w:rsidR="00BD64FF">
        <w:rPr>
          <w:rFonts w:cs="Arial"/>
          <w:lang w:val="en-GB"/>
        </w:rPr>
        <w:t xml:space="preserve"> with representatives from business and industry groups, unions and community organisations, to consider the key findings of the data that had been collected and to discuss recommendations received from a range of stakeholders. </w:t>
      </w:r>
    </w:p>
    <w:p w:rsidR="00BD64FF" w:rsidRDefault="00BD64FF" w:rsidP="00416557">
      <w:pPr>
        <w:pStyle w:val="Heading2"/>
        <w:numPr>
          <w:ilvl w:val="0"/>
          <w:numId w:val="0"/>
        </w:numPr>
        <w:ind w:left="851" w:hanging="851"/>
      </w:pPr>
      <w:bookmarkStart w:id="9" w:name="_Toc393660816"/>
      <w:bookmarkStart w:id="10" w:name="_Toc393697748"/>
      <w:r>
        <w:t>Research</w:t>
      </w:r>
      <w:bookmarkEnd w:id="9"/>
      <w:bookmarkEnd w:id="10"/>
    </w:p>
    <w:p w:rsidR="00BD64FF" w:rsidRDefault="00BD64FF" w:rsidP="00BC7644">
      <w:pPr>
        <w:spacing w:after="120"/>
      </w:pPr>
      <w:r>
        <w:t xml:space="preserve">The National Review drew upon existing research and materials on the prevalence, nature and consequences of </w:t>
      </w:r>
      <w:r w:rsidR="006D38EA">
        <w:t>pregnancy/return to work discrimination</w:t>
      </w:r>
      <w:r>
        <w:t>, including:</w:t>
      </w:r>
    </w:p>
    <w:p w:rsidR="00BD64FF" w:rsidRPr="0048552A" w:rsidRDefault="00BD64FF" w:rsidP="00BC7644">
      <w:pPr>
        <w:pStyle w:val="ListParagraph"/>
        <w:numPr>
          <w:ilvl w:val="0"/>
          <w:numId w:val="33"/>
        </w:numPr>
        <w:spacing w:before="120"/>
      </w:pPr>
      <w:r>
        <w:t>research from Australian and international sources</w:t>
      </w:r>
    </w:p>
    <w:p w:rsidR="00BD64FF" w:rsidRDefault="00465000" w:rsidP="009E64BB">
      <w:pPr>
        <w:pStyle w:val="ListParagraph"/>
        <w:numPr>
          <w:ilvl w:val="0"/>
          <w:numId w:val="31"/>
        </w:numPr>
      </w:pPr>
      <w:r>
        <w:t>d</w:t>
      </w:r>
      <w:r w:rsidR="00BD64FF">
        <w:t>ata on enquiries and complaints received by the Australian Human Rights Commission</w:t>
      </w:r>
      <w:r>
        <w:t>, the Fair Work Ombudsman, and state and t</w:t>
      </w:r>
      <w:r w:rsidR="00BD64FF">
        <w:t>erritory anti-discrimination and equal opportunity authorities</w:t>
      </w:r>
    </w:p>
    <w:p w:rsidR="00BD64FF" w:rsidRDefault="00465000" w:rsidP="009E64BB">
      <w:pPr>
        <w:pStyle w:val="ListParagraph"/>
        <w:numPr>
          <w:ilvl w:val="0"/>
          <w:numId w:val="31"/>
        </w:numPr>
      </w:pPr>
      <w:proofErr w:type="gramStart"/>
      <w:r>
        <w:t>f</w:t>
      </w:r>
      <w:r w:rsidR="00BD64FF">
        <w:t>ederal</w:t>
      </w:r>
      <w:proofErr w:type="gramEnd"/>
      <w:r w:rsidR="00BD64FF">
        <w:t xml:space="preserve"> case</w:t>
      </w:r>
      <w:r w:rsidR="008663BE">
        <w:t xml:space="preserve"> </w:t>
      </w:r>
      <w:r w:rsidR="00BD64FF">
        <w:t>law.</w:t>
      </w:r>
    </w:p>
    <w:p w:rsidR="008663BE" w:rsidRDefault="00BD64FF" w:rsidP="00C806B5">
      <w:r>
        <w:t xml:space="preserve">This research supported the </w:t>
      </w:r>
      <w:r w:rsidR="009D131B">
        <w:t xml:space="preserve">National </w:t>
      </w:r>
      <w:r>
        <w:t>Review’s understanding of the issues, and helped the National Review to design its quantitative and qualitative research. The research also helped to inform the find</w:t>
      </w:r>
      <w:r w:rsidR="008663BE">
        <w:t>ings contained in th</w:t>
      </w:r>
      <w:r w:rsidR="00162554">
        <w:t>e</w:t>
      </w:r>
      <w:r w:rsidR="008663BE">
        <w:t xml:space="preserve"> Report. </w:t>
      </w:r>
    </w:p>
    <w:p w:rsidR="004B5A63" w:rsidRDefault="006F07B8" w:rsidP="00222031">
      <w:pPr>
        <w:pStyle w:val="Heading1"/>
        <w:numPr>
          <w:ilvl w:val="0"/>
          <w:numId w:val="0"/>
        </w:numPr>
        <w:ind w:left="851" w:hanging="851"/>
      </w:pPr>
      <w:bookmarkStart w:id="11" w:name="_Toc393697749"/>
      <w:r>
        <w:t xml:space="preserve">Results of the National </w:t>
      </w:r>
      <w:r w:rsidR="00400C04">
        <w:t xml:space="preserve">Prevalence </w:t>
      </w:r>
      <w:r>
        <w:t>Survey</w:t>
      </w:r>
      <w:bookmarkEnd w:id="11"/>
    </w:p>
    <w:p w:rsidR="00265132" w:rsidRDefault="00265132" w:rsidP="00C806B5">
      <w:pPr>
        <w:rPr>
          <w:rFonts w:cs="Arial"/>
          <w:i/>
        </w:rPr>
      </w:pPr>
      <w:r>
        <w:t xml:space="preserve">The National </w:t>
      </w:r>
      <w:r w:rsidR="00400C04">
        <w:t xml:space="preserve">Prevalence </w:t>
      </w:r>
      <w:r>
        <w:t xml:space="preserve">Survey provides baseline data on the extent, nature and consequences of </w:t>
      </w:r>
      <w:r w:rsidR="006D38EA">
        <w:t>pregnancy/return to work discrimination</w:t>
      </w:r>
      <w:r w:rsidR="00826033">
        <w:t xml:space="preserve">. </w:t>
      </w:r>
    </w:p>
    <w:p w:rsidR="004E492C" w:rsidRPr="00416557" w:rsidRDefault="00826033" w:rsidP="00416557">
      <w:pPr>
        <w:pStyle w:val="Heading2"/>
        <w:numPr>
          <w:ilvl w:val="0"/>
          <w:numId w:val="0"/>
        </w:numPr>
        <w:ind w:left="851" w:hanging="851"/>
      </w:pPr>
      <w:bookmarkStart w:id="12" w:name="_Toc393697750"/>
      <w:r w:rsidRPr="00416557">
        <w:t xml:space="preserve">Key findings of the </w:t>
      </w:r>
      <w:r w:rsidR="008663BE" w:rsidRPr="00416557">
        <w:t>Mothers</w:t>
      </w:r>
      <w:r w:rsidRPr="00416557">
        <w:t xml:space="preserve"> Survey</w:t>
      </w:r>
      <w:bookmarkEnd w:id="12"/>
    </w:p>
    <w:p w:rsidR="009067C5" w:rsidRDefault="009067C5" w:rsidP="00CF5EF2">
      <w:pPr>
        <w:pStyle w:val="Heading3"/>
        <w:numPr>
          <w:ilvl w:val="0"/>
          <w:numId w:val="0"/>
        </w:numPr>
        <w:ind w:left="851" w:hanging="851"/>
      </w:pPr>
      <w:r>
        <w:t>Prevalence of discrimination</w:t>
      </w:r>
    </w:p>
    <w:p w:rsidR="00BD64FF" w:rsidRDefault="00BD64FF" w:rsidP="004E492C">
      <w:pPr>
        <w:rPr>
          <w:rFonts w:cs="Arial"/>
        </w:rPr>
      </w:pPr>
      <w:r w:rsidRPr="004E492C">
        <w:rPr>
          <w:rFonts w:cs="Arial"/>
        </w:rPr>
        <w:t>Discrimination in the workplace again</w:t>
      </w:r>
      <w:r w:rsidR="006F07B8" w:rsidRPr="004E492C">
        <w:rPr>
          <w:rFonts w:cs="Arial"/>
        </w:rPr>
        <w:t xml:space="preserve">st mothers is pervasive. One in two (49%) </w:t>
      </w:r>
      <w:r w:rsidRPr="004E492C">
        <w:rPr>
          <w:rFonts w:cs="Arial"/>
        </w:rPr>
        <w:t>mothers reported experiencing discrimination at some point during pregnancy, parental leave or on return to work.</w:t>
      </w:r>
    </w:p>
    <w:p w:rsidR="004E492C" w:rsidRPr="004E492C" w:rsidRDefault="004E492C" w:rsidP="004E492C">
      <w:pPr>
        <w:pStyle w:val="ListParagraph"/>
        <w:spacing w:before="120" w:after="120"/>
        <w:ind w:left="0"/>
        <w:rPr>
          <w:rFonts w:cs="Arial"/>
          <w:b/>
        </w:rPr>
      </w:pPr>
      <w:r w:rsidRPr="004E492C">
        <w:rPr>
          <w:b/>
          <w:sz w:val="20"/>
        </w:rPr>
        <w:t xml:space="preserve">Figure </w:t>
      </w:r>
      <w:r w:rsidRPr="004E492C">
        <w:rPr>
          <w:rFonts w:cs="Arial"/>
          <w:b/>
          <w:sz w:val="20"/>
        </w:rPr>
        <w:fldChar w:fldCharType="begin"/>
      </w:r>
      <w:r w:rsidRPr="004E492C">
        <w:rPr>
          <w:rFonts w:cs="Arial"/>
          <w:b/>
          <w:sz w:val="20"/>
        </w:rPr>
        <w:instrText xml:space="preserve"> SEQ Figure \* ARABIC </w:instrText>
      </w:r>
      <w:r w:rsidRPr="004E492C">
        <w:rPr>
          <w:rFonts w:cs="Arial"/>
          <w:b/>
          <w:sz w:val="20"/>
        </w:rPr>
        <w:fldChar w:fldCharType="separate"/>
      </w:r>
      <w:r w:rsidR="002A3673">
        <w:rPr>
          <w:rFonts w:cs="Arial"/>
          <w:b/>
          <w:noProof/>
          <w:sz w:val="20"/>
        </w:rPr>
        <w:t>1</w:t>
      </w:r>
      <w:r w:rsidRPr="004E492C">
        <w:rPr>
          <w:rFonts w:cs="Arial"/>
          <w:b/>
          <w:sz w:val="20"/>
        </w:rPr>
        <w:fldChar w:fldCharType="end"/>
      </w:r>
      <w:r w:rsidRPr="004E492C">
        <w:rPr>
          <w:rFonts w:cs="Arial"/>
          <w:b/>
          <w:sz w:val="20"/>
        </w:rPr>
        <w:t xml:space="preserve"> </w:t>
      </w:r>
      <w:r w:rsidRPr="004E492C">
        <w:rPr>
          <w:b/>
          <w:sz w:val="20"/>
        </w:rPr>
        <w:t xml:space="preserve">- </w:t>
      </w:r>
      <w:r w:rsidRPr="004E492C">
        <w:rPr>
          <w:rFonts w:cs="Arial"/>
          <w:b/>
          <w:sz w:val="20"/>
        </w:rPr>
        <w:t>Prevalence of discrimination in the workplace during pregnancy/return to work</w:t>
      </w:r>
      <w:r w:rsidRPr="009B477D">
        <w:rPr>
          <w:rStyle w:val="EndnoteReference"/>
          <w:b/>
        </w:rPr>
        <w:endnoteReference w:id="5"/>
      </w:r>
    </w:p>
    <w:p w:rsidR="004E492C" w:rsidRPr="004E492C" w:rsidRDefault="004E492C" w:rsidP="004E492C">
      <w:pPr>
        <w:pStyle w:val="ListParagraph"/>
        <w:spacing w:before="120" w:after="120"/>
        <w:ind w:left="0"/>
        <w:rPr>
          <w:rFonts w:cs="Arial"/>
        </w:rPr>
      </w:pPr>
      <w:r>
        <w:rPr>
          <w:noProof/>
        </w:rPr>
        <w:drawing>
          <wp:inline distT="0" distB="0" distL="0" distR="0" wp14:anchorId="5F41AB63" wp14:editId="7558E295">
            <wp:extent cx="5346807" cy="2282562"/>
            <wp:effectExtent l="0" t="0" r="635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344991" cy="2281787"/>
                    </a:xfrm>
                    <a:prstGeom prst="rect">
                      <a:avLst/>
                    </a:prstGeom>
                  </pic:spPr>
                </pic:pic>
              </a:graphicData>
            </a:graphic>
          </wp:inline>
        </w:drawing>
      </w:r>
    </w:p>
    <w:p w:rsidR="009067C5" w:rsidRPr="00A57116" w:rsidRDefault="009067C5" w:rsidP="00CF5EF2">
      <w:pPr>
        <w:pStyle w:val="Heading3"/>
        <w:numPr>
          <w:ilvl w:val="0"/>
          <w:numId w:val="0"/>
        </w:numPr>
        <w:ind w:left="851" w:hanging="851"/>
      </w:pPr>
      <w:r>
        <w:t>Types of discrimination</w:t>
      </w:r>
    </w:p>
    <w:p w:rsidR="00F34B65" w:rsidRDefault="00BD64FF" w:rsidP="009067C5">
      <w:pPr>
        <w:rPr>
          <w:rFonts w:cs="Arial"/>
        </w:rPr>
      </w:pPr>
      <w:r w:rsidRPr="009067C5">
        <w:rPr>
          <w:rFonts w:cs="Arial"/>
        </w:rPr>
        <w:t xml:space="preserve">Discrimination is experienced in many different forms ranging from negative attitudes in the workplace through to job loss. </w:t>
      </w:r>
    </w:p>
    <w:p w:rsidR="009067C5" w:rsidRDefault="009067C5" w:rsidP="009067C5">
      <w:pPr>
        <w:rPr>
          <w:rFonts w:cs="Arial"/>
        </w:rPr>
      </w:pPr>
      <w:r w:rsidRPr="009067C5">
        <w:rPr>
          <w:rFonts w:cs="Arial"/>
        </w:rPr>
        <w:t xml:space="preserve">One in five (18%) mothers indicated that they were made redundant/restructured/dismissed or that their contract was not renewed </w:t>
      </w:r>
      <w:r w:rsidR="009F453B">
        <w:rPr>
          <w:rFonts w:cs="Arial"/>
        </w:rPr>
        <w:t xml:space="preserve">because of </w:t>
      </w:r>
      <w:r w:rsidRPr="009067C5">
        <w:rPr>
          <w:rFonts w:cs="Arial"/>
        </w:rPr>
        <w:t xml:space="preserve">their pregnancy, </w:t>
      </w:r>
      <w:r w:rsidR="009F453B">
        <w:rPr>
          <w:rFonts w:cs="Arial"/>
        </w:rPr>
        <w:t>their</w:t>
      </w:r>
      <w:r w:rsidRPr="009067C5">
        <w:rPr>
          <w:rFonts w:cs="Arial"/>
        </w:rPr>
        <w:t xml:space="preserve"> request</w:t>
      </w:r>
      <w:r w:rsidR="009F453B">
        <w:rPr>
          <w:rFonts w:cs="Arial"/>
        </w:rPr>
        <w:t xml:space="preserve"> for</w:t>
      </w:r>
      <w:r w:rsidRPr="009067C5">
        <w:rPr>
          <w:rFonts w:cs="Arial"/>
        </w:rPr>
        <w:t xml:space="preserve"> </w:t>
      </w:r>
      <w:r w:rsidR="00D125A6">
        <w:rPr>
          <w:rFonts w:cs="Arial"/>
        </w:rPr>
        <w:t xml:space="preserve">or taking of </w:t>
      </w:r>
      <w:r w:rsidRPr="009067C5">
        <w:rPr>
          <w:rFonts w:cs="Arial"/>
        </w:rPr>
        <w:t xml:space="preserve">parental leave or </w:t>
      </w:r>
      <w:r w:rsidR="00D125A6">
        <w:rPr>
          <w:rFonts w:cs="Arial"/>
        </w:rPr>
        <w:t>because of their family responsibilities, breastfeeding/expressing on return</w:t>
      </w:r>
      <w:r w:rsidRPr="009067C5">
        <w:rPr>
          <w:rFonts w:cs="Arial"/>
        </w:rPr>
        <w:t xml:space="preserve"> to work. </w:t>
      </w:r>
    </w:p>
    <w:p w:rsidR="009067C5" w:rsidRDefault="00201F73" w:rsidP="00CF5EF2">
      <w:pPr>
        <w:pStyle w:val="Heading3"/>
        <w:numPr>
          <w:ilvl w:val="0"/>
          <w:numId w:val="0"/>
        </w:numPr>
        <w:ind w:left="851" w:hanging="851"/>
      </w:pPr>
      <w:r>
        <w:t xml:space="preserve">Impact </w:t>
      </w:r>
      <w:r w:rsidR="00A13C36">
        <w:t>of</w:t>
      </w:r>
      <w:r>
        <w:t xml:space="preserve"> discrimination</w:t>
      </w:r>
    </w:p>
    <w:p w:rsidR="00A36BEC" w:rsidRPr="006C609A" w:rsidRDefault="00201F73" w:rsidP="006C609A">
      <w:pPr>
        <w:rPr>
          <w:rFonts w:cs="Arial"/>
        </w:rPr>
      </w:pPr>
      <w:r>
        <w:t xml:space="preserve">Discrimination has a significant negative impact on mothers’ health, finances, career and job opportunities and their family. </w:t>
      </w:r>
      <w:r w:rsidR="003A0CED">
        <w:rPr>
          <w:rFonts w:cs="Arial"/>
        </w:rPr>
        <w:t>84%</w:t>
      </w:r>
      <w:r w:rsidRPr="00201F73">
        <w:rPr>
          <w:rFonts w:cs="Arial"/>
        </w:rPr>
        <w:t xml:space="preserve"> of mothers who experienced discrimination reported a negative impact as a result of that discrimination. </w:t>
      </w:r>
      <w:r w:rsidR="00BA4905">
        <w:rPr>
          <w:bCs/>
        </w:rPr>
        <w:t xml:space="preserve">Two thirds (72%) reported that the discrimination impacted on their mental health. </w:t>
      </w:r>
      <w:r w:rsidR="00BA4905" w:rsidRPr="00BA4905">
        <w:rPr>
          <w:bCs/>
        </w:rPr>
        <w:t>Two in five (42%) reported that the discrimination</w:t>
      </w:r>
      <w:r w:rsidR="00BA4905">
        <w:rPr>
          <w:bCs/>
        </w:rPr>
        <w:t xml:space="preserve"> had a </w:t>
      </w:r>
      <w:r w:rsidR="00BA4905" w:rsidRPr="006C609A">
        <w:rPr>
          <w:bCs/>
        </w:rPr>
        <w:t>financial impact on them.</w:t>
      </w:r>
    </w:p>
    <w:p w:rsidR="00A13C36" w:rsidRPr="00A36BEC" w:rsidRDefault="00A13C36" w:rsidP="00A13C36">
      <w:pPr>
        <w:rPr>
          <w:rFonts w:cs="Arial"/>
        </w:rPr>
      </w:pPr>
      <w:r w:rsidRPr="006C609A">
        <w:rPr>
          <w:rFonts w:cs="Arial"/>
        </w:rPr>
        <w:t xml:space="preserve">Discrimination </w:t>
      </w:r>
      <w:r w:rsidR="00BA4905" w:rsidRPr="006C609A">
        <w:rPr>
          <w:rFonts w:cs="Arial"/>
        </w:rPr>
        <w:t xml:space="preserve">also </w:t>
      </w:r>
      <w:r w:rsidRPr="006C609A">
        <w:rPr>
          <w:rFonts w:cs="Arial"/>
        </w:rPr>
        <w:t xml:space="preserve">has a negative impact on women’s engagement in the workforce and their attachment to their workplace. </w:t>
      </w:r>
      <w:r w:rsidR="00A36BEC" w:rsidRPr="006C609A">
        <w:t>Nearly a third of mothers (32%) who experienced discrimination at some point went to look for another job</w:t>
      </w:r>
      <w:r w:rsidR="00A36BEC" w:rsidRPr="006C609A">
        <w:rPr>
          <w:rStyle w:val="EndnoteReference"/>
        </w:rPr>
        <w:endnoteReference w:id="6"/>
      </w:r>
      <w:r w:rsidR="00A36BEC" w:rsidRPr="006C609A">
        <w:t xml:space="preserve"> or resigned</w:t>
      </w:r>
      <w:r w:rsidR="00A36BEC" w:rsidRPr="006C609A">
        <w:rPr>
          <w:rStyle w:val="EndnoteReference"/>
        </w:rPr>
        <w:endnoteReference w:id="7"/>
      </w:r>
      <w:r w:rsidR="00A36BEC" w:rsidRPr="006C609A">
        <w:t xml:space="preserve">. </w:t>
      </w:r>
      <w:r w:rsidRPr="006C609A">
        <w:rPr>
          <w:rFonts w:cs="Arial"/>
        </w:rPr>
        <w:t xml:space="preserve">Mothers who experienced discrimination during pregnancy were </w:t>
      </w:r>
      <w:r w:rsidR="00BA4905" w:rsidRPr="006C609A">
        <w:rPr>
          <w:rFonts w:cs="Arial"/>
        </w:rPr>
        <w:t xml:space="preserve">also </w:t>
      </w:r>
      <w:r w:rsidRPr="006C609A">
        <w:rPr>
          <w:rFonts w:cs="Arial"/>
        </w:rPr>
        <w:t xml:space="preserve">less likely to return to their job or return to the workforce. </w:t>
      </w:r>
    </w:p>
    <w:p w:rsidR="00A13C36" w:rsidRPr="00201F73" w:rsidRDefault="00A13C36" w:rsidP="00CF5EF2">
      <w:pPr>
        <w:pStyle w:val="Heading3"/>
        <w:numPr>
          <w:ilvl w:val="0"/>
          <w:numId w:val="0"/>
        </w:numPr>
        <w:ind w:left="851" w:hanging="851"/>
      </w:pPr>
      <w:r>
        <w:t>Response to discrimination</w:t>
      </w:r>
    </w:p>
    <w:p w:rsidR="00F84EF4" w:rsidRDefault="007C753A" w:rsidP="00F84EF4">
      <w:pPr>
        <w:rPr>
          <w:rFonts w:cs="Arial"/>
        </w:rPr>
      </w:pPr>
      <w:r>
        <w:rPr>
          <w:rFonts w:cs="Arial"/>
        </w:rPr>
        <w:t>91%</w:t>
      </w:r>
      <w:r w:rsidR="00F84EF4">
        <w:rPr>
          <w:rFonts w:cs="Arial"/>
        </w:rPr>
        <w:t xml:space="preserve"> per cent </w:t>
      </w:r>
      <w:r w:rsidR="00BD64FF" w:rsidRPr="00F84EF4">
        <w:rPr>
          <w:rFonts w:cs="Arial"/>
        </w:rPr>
        <w:t xml:space="preserve">of mothers who experience discrimination do not make a formal complaint (either within their organisation or to a government agency). </w:t>
      </w:r>
      <w:r w:rsidR="0048526D">
        <w:rPr>
          <w:rFonts w:cs="Arial"/>
        </w:rPr>
        <w:t xml:space="preserve">There were a range of reasons for this, the most common being that they perceived that the discrimination was not serious enough, it was too hard, stressful or embarrassing to take action, or they felt that they would not be believed or nothing would change. </w:t>
      </w:r>
    </w:p>
    <w:p w:rsidR="00BD64FF" w:rsidRPr="00416557" w:rsidRDefault="00826033" w:rsidP="00416557">
      <w:pPr>
        <w:pStyle w:val="Heading2"/>
        <w:numPr>
          <w:ilvl w:val="0"/>
          <w:numId w:val="0"/>
        </w:numPr>
        <w:ind w:left="851" w:hanging="851"/>
      </w:pPr>
      <w:bookmarkStart w:id="13" w:name="_Toc393697751"/>
      <w:r w:rsidRPr="00416557">
        <w:t xml:space="preserve">Key findings of the </w:t>
      </w:r>
      <w:r w:rsidR="00BD64FF" w:rsidRPr="00416557">
        <w:t>Fathers and Partners Survey</w:t>
      </w:r>
      <w:bookmarkEnd w:id="13"/>
    </w:p>
    <w:p w:rsidR="0067111D" w:rsidRPr="0067111D" w:rsidRDefault="0013613A" w:rsidP="0067111D">
      <w:r>
        <w:t>Unlike</w:t>
      </w:r>
      <w:r w:rsidR="0067111D">
        <w:t xml:space="preserve"> the Mothers Survey, the </w:t>
      </w:r>
      <w:proofErr w:type="gramStart"/>
      <w:r w:rsidR="0067111D">
        <w:t xml:space="preserve">results of the Fathers and Partners </w:t>
      </w:r>
      <w:r w:rsidR="00694BCD">
        <w:t xml:space="preserve">Survey </w:t>
      </w:r>
      <w:r w:rsidR="0067111D">
        <w:t>do</w:t>
      </w:r>
      <w:r w:rsidR="00F34B65">
        <w:t>es</w:t>
      </w:r>
      <w:proofErr w:type="gramEnd"/>
      <w:r w:rsidR="0067111D">
        <w:t xml:space="preserve"> not establish national prevalence rates of discrimination for fathers and partners. The results do however provide an important insight into the experiences of fathers and partners who took some time off work to care for their child.</w:t>
      </w:r>
    </w:p>
    <w:p w:rsidR="005E5773" w:rsidRDefault="005E5773" w:rsidP="00CF5EF2">
      <w:pPr>
        <w:pStyle w:val="Heading3"/>
        <w:numPr>
          <w:ilvl w:val="0"/>
          <w:numId w:val="0"/>
        </w:numPr>
        <w:ind w:left="851" w:hanging="851"/>
      </w:pPr>
      <w:r>
        <w:t>Prevalence of discrimination</w:t>
      </w:r>
    </w:p>
    <w:p w:rsidR="00BD64FF" w:rsidRDefault="00BD64FF" w:rsidP="00A57116">
      <w:pPr>
        <w:rPr>
          <w:rFonts w:cs="Arial"/>
        </w:rPr>
      </w:pPr>
      <w:r w:rsidRPr="00A57116">
        <w:rPr>
          <w:rFonts w:cs="Arial"/>
        </w:rPr>
        <w:t>Despite taking very short periods of parental leave, fathers and partners</w:t>
      </w:r>
      <w:r w:rsidR="00D66A58">
        <w:rPr>
          <w:rStyle w:val="EndnoteReference"/>
          <w:rFonts w:cs="Arial"/>
        </w:rPr>
        <w:endnoteReference w:id="8"/>
      </w:r>
      <w:r w:rsidRPr="00A57116">
        <w:rPr>
          <w:rFonts w:cs="Arial"/>
        </w:rPr>
        <w:t xml:space="preserve"> face discrimination. Over a quarter (27%) of survey respondents reported experiencing discrimination when requesting or taking parental leave or when they returned to work. </w:t>
      </w:r>
    </w:p>
    <w:p w:rsidR="00A57116" w:rsidRPr="008A6A37" w:rsidRDefault="00A57116" w:rsidP="00A57116">
      <w:pPr>
        <w:spacing w:before="0" w:after="0"/>
        <w:rPr>
          <w:rFonts w:cs="Arial"/>
          <w:b/>
          <w:sz w:val="20"/>
        </w:rPr>
      </w:pPr>
      <w:r w:rsidRPr="008A6A37">
        <w:rPr>
          <w:b/>
          <w:sz w:val="20"/>
        </w:rPr>
        <w:t xml:space="preserve">Figure </w:t>
      </w:r>
      <w:r w:rsidR="00AE6B34">
        <w:rPr>
          <w:b/>
          <w:sz w:val="20"/>
        </w:rPr>
        <w:t>2</w:t>
      </w:r>
      <w:r w:rsidRPr="008A6A37">
        <w:rPr>
          <w:rFonts w:cs="Arial"/>
          <w:b/>
          <w:sz w:val="20"/>
        </w:rPr>
        <w:t xml:space="preserve"> </w:t>
      </w:r>
      <w:r w:rsidRPr="008A6A37">
        <w:rPr>
          <w:b/>
          <w:sz w:val="20"/>
        </w:rPr>
        <w:t xml:space="preserve">- </w:t>
      </w:r>
      <w:r w:rsidRPr="008A6A37">
        <w:rPr>
          <w:rFonts w:cs="Arial"/>
          <w:b/>
          <w:sz w:val="20"/>
        </w:rPr>
        <w:t xml:space="preserve">Prevalence of discrimination in the workplace </w:t>
      </w:r>
      <w:r>
        <w:rPr>
          <w:rFonts w:cs="Arial"/>
          <w:b/>
          <w:sz w:val="20"/>
        </w:rPr>
        <w:t xml:space="preserve">when requesting or </w:t>
      </w:r>
      <w:r w:rsidRPr="008A6A37">
        <w:rPr>
          <w:rFonts w:cs="Arial"/>
          <w:b/>
          <w:sz w:val="20"/>
        </w:rPr>
        <w:t>during parental leave and return to work</w:t>
      </w:r>
      <w:r w:rsidRPr="008A6A37">
        <w:rPr>
          <w:rStyle w:val="EndnoteReference"/>
          <w:b/>
        </w:rPr>
        <w:endnoteReference w:id="9"/>
      </w:r>
    </w:p>
    <w:p w:rsidR="00A57116" w:rsidRDefault="00A57116" w:rsidP="00A57116">
      <w:pPr>
        <w:spacing w:before="0" w:after="0"/>
        <w:rPr>
          <w:rFonts w:cs="Arial"/>
          <w:sz w:val="20"/>
        </w:rPr>
      </w:pPr>
    </w:p>
    <w:p w:rsidR="00A57116" w:rsidRDefault="00A57116" w:rsidP="00A57116">
      <w:pPr>
        <w:spacing w:before="0" w:after="0"/>
        <w:rPr>
          <w:rFonts w:cs="Arial"/>
          <w:sz w:val="20"/>
        </w:rPr>
      </w:pPr>
      <w:r>
        <w:rPr>
          <w:noProof/>
        </w:rPr>
        <w:drawing>
          <wp:inline distT="0" distB="0" distL="0" distR="0" wp14:anchorId="34DA450F" wp14:editId="3498214C">
            <wp:extent cx="5759450" cy="2622550"/>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759450" cy="2622550"/>
                    </a:xfrm>
                    <a:prstGeom prst="rect">
                      <a:avLst/>
                    </a:prstGeom>
                  </pic:spPr>
                </pic:pic>
              </a:graphicData>
            </a:graphic>
          </wp:inline>
        </w:drawing>
      </w:r>
    </w:p>
    <w:p w:rsidR="00A57116" w:rsidRPr="00CF5EF2" w:rsidRDefault="000E5F87" w:rsidP="00A57116">
      <w:pPr>
        <w:spacing w:before="0" w:after="0"/>
        <w:rPr>
          <w:rFonts w:cs="Arial"/>
          <w:i/>
          <w:color w:val="000000" w:themeColor="text1"/>
        </w:rPr>
      </w:pPr>
      <w:r w:rsidRPr="00CF5EF2">
        <w:rPr>
          <w:rFonts w:cs="Arial"/>
          <w:i/>
          <w:color w:val="000000" w:themeColor="text1"/>
        </w:rPr>
        <w:t>Types of discrimination, the impacts and the responses to discrimination</w:t>
      </w:r>
    </w:p>
    <w:p w:rsidR="00D51C88" w:rsidRPr="00CF5EF2" w:rsidRDefault="006C609A" w:rsidP="006C609A">
      <w:pPr>
        <w:pStyle w:val="Heading3"/>
        <w:numPr>
          <w:ilvl w:val="0"/>
          <w:numId w:val="0"/>
        </w:numPr>
        <w:rPr>
          <w:rFonts w:cs="Arial"/>
          <w:i w:val="0"/>
        </w:rPr>
      </w:pPr>
      <w:r w:rsidRPr="00CF5EF2">
        <w:rPr>
          <w:i w:val="0"/>
        </w:rPr>
        <w:t xml:space="preserve">Fathers and partners </w:t>
      </w:r>
      <w:r w:rsidR="00BD64FF" w:rsidRPr="00CF5EF2">
        <w:rPr>
          <w:rFonts w:cs="Arial"/>
          <w:i w:val="0"/>
        </w:rPr>
        <w:t>experience</w:t>
      </w:r>
      <w:r w:rsidRPr="00CF5EF2">
        <w:rPr>
          <w:rFonts w:cs="Arial"/>
          <w:i w:val="0"/>
        </w:rPr>
        <w:t>d</w:t>
      </w:r>
      <w:r w:rsidR="00BD64FF" w:rsidRPr="00CF5EF2">
        <w:rPr>
          <w:rFonts w:cs="Arial"/>
          <w:i w:val="0"/>
        </w:rPr>
        <w:t xml:space="preserve"> discrimination in many </w:t>
      </w:r>
      <w:r w:rsidR="008B5D20" w:rsidRPr="00CF5EF2">
        <w:rPr>
          <w:rFonts w:cs="Arial"/>
          <w:i w:val="0"/>
        </w:rPr>
        <w:t>different forms ranging from negative attitudes in the workplace through to dismissal. Many fathers and partners experience more than on</w:t>
      </w:r>
      <w:r w:rsidR="008B5D20" w:rsidRPr="00CF5EF2">
        <w:rPr>
          <w:rFonts w:cs="Arial"/>
          <w:bCs w:val="0"/>
          <w:i w:val="0"/>
          <w:szCs w:val="24"/>
        </w:rPr>
        <w:t xml:space="preserve">e form of discrimination when requesting or during parental leave and on return to work. </w:t>
      </w:r>
    </w:p>
    <w:p w:rsidR="008B5D20" w:rsidRPr="00D51C88" w:rsidRDefault="008B5D20" w:rsidP="006C609A">
      <w:pPr>
        <w:rPr>
          <w:rFonts w:cs="Arial"/>
          <w:bCs/>
          <w:szCs w:val="28"/>
        </w:rPr>
      </w:pPr>
      <w:r w:rsidRPr="00D51C88">
        <w:t>Discrimination has a significant negative impact on fathers and partners’ mental health, family, finances an</w:t>
      </w:r>
      <w:r w:rsidR="006C609A" w:rsidRPr="00D51C88">
        <w:t xml:space="preserve">d career and job opportunities. </w:t>
      </w:r>
      <w:r w:rsidR="003A0CED" w:rsidRPr="00D51C88">
        <w:t>Thr</w:t>
      </w:r>
      <w:r w:rsidR="00646AAB" w:rsidRPr="00D51C88">
        <w:t>ee quarters (76%)</w:t>
      </w:r>
      <w:r w:rsidRPr="00D51C88">
        <w:t xml:space="preserve"> of fathers and partners who experienced discrimination during parental leave or on return to work reported a negative impact as a result. </w:t>
      </w:r>
      <w:r w:rsidR="00C22AA2" w:rsidRPr="00D51C88">
        <w:t>61% of fathers and partners who experienced discrimination reported a negative impact on their mental health. Over a third (37%) said that this had a negative financial impact on them.</w:t>
      </w:r>
    </w:p>
    <w:p w:rsidR="002A4218" w:rsidRPr="006C609A" w:rsidRDefault="002A4218" w:rsidP="006C609A">
      <w:pPr>
        <w:rPr>
          <w:rFonts w:cs="Arial"/>
        </w:rPr>
      </w:pPr>
      <w:r w:rsidRPr="006C609A">
        <w:rPr>
          <w:rFonts w:cs="Arial"/>
        </w:rPr>
        <w:t xml:space="preserve">A substantial proportion </w:t>
      </w:r>
      <w:r w:rsidR="00C22AA2">
        <w:rPr>
          <w:rFonts w:cs="Arial"/>
        </w:rPr>
        <w:t xml:space="preserve">(33%) </w:t>
      </w:r>
      <w:r w:rsidRPr="006C609A">
        <w:rPr>
          <w:rFonts w:cs="Arial"/>
        </w:rPr>
        <w:t xml:space="preserve">of fathers and partners who reported experiencing discrimination went to look for another job or resigned. </w:t>
      </w:r>
    </w:p>
    <w:p w:rsidR="007C753A" w:rsidRDefault="007C753A" w:rsidP="007C753A">
      <w:pPr>
        <w:rPr>
          <w:rFonts w:cs="Arial"/>
        </w:rPr>
      </w:pPr>
      <w:r>
        <w:rPr>
          <w:rFonts w:cs="Arial"/>
        </w:rPr>
        <w:t xml:space="preserve">95% of fathers and partners </w:t>
      </w:r>
      <w:r w:rsidRPr="00F84EF4">
        <w:rPr>
          <w:rFonts w:cs="Arial"/>
        </w:rPr>
        <w:t xml:space="preserve">who experience discrimination do not make a formal complaint (either within their organisation or to a government agency). </w:t>
      </w:r>
    </w:p>
    <w:p w:rsidR="004B5A63" w:rsidRDefault="004B5A63" w:rsidP="00416557">
      <w:pPr>
        <w:pStyle w:val="Heading1"/>
        <w:numPr>
          <w:ilvl w:val="0"/>
          <w:numId w:val="0"/>
        </w:numPr>
      </w:pPr>
      <w:bookmarkStart w:id="14" w:name="_Toc393697752"/>
      <w:r w:rsidRPr="00BD64FF">
        <w:t>Experiences of</w:t>
      </w:r>
      <w:r w:rsidR="00BD64FF" w:rsidRPr="00BD64FF">
        <w:t xml:space="preserve"> employees</w:t>
      </w:r>
      <w:r w:rsidR="006823C7">
        <w:t xml:space="preserve"> during pregnancy</w:t>
      </w:r>
      <w:r w:rsidR="00A72FF2">
        <w:t>,</w:t>
      </w:r>
      <w:r w:rsidR="006823C7">
        <w:t xml:space="preserve"> parental leave and on return to work after parental leave</w:t>
      </w:r>
      <w:bookmarkEnd w:id="14"/>
    </w:p>
    <w:p w:rsidR="00A17988" w:rsidRDefault="00A17988" w:rsidP="00A17988">
      <w:pPr>
        <w:rPr>
          <w:rFonts w:cs="Arial"/>
        </w:rPr>
      </w:pPr>
      <w:r w:rsidRPr="00097244">
        <w:rPr>
          <w:rFonts w:cs="Arial"/>
        </w:rPr>
        <w:t xml:space="preserve">The types of </w:t>
      </w:r>
      <w:r w:rsidR="00E10545">
        <w:rPr>
          <w:rFonts w:cs="Arial"/>
        </w:rPr>
        <w:t xml:space="preserve">discrimination experienced by women at work during </w:t>
      </w:r>
      <w:r w:rsidR="007F7677">
        <w:rPr>
          <w:rFonts w:cs="Arial"/>
        </w:rPr>
        <w:t>pregnancy/</w:t>
      </w:r>
      <w:r w:rsidR="007F7677" w:rsidRPr="00097244">
        <w:rPr>
          <w:rFonts w:cs="Arial"/>
        </w:rPr>
        <w:t>return to work</w:t>
      </w:r>
      <w:r w:rsidR="007F7677">
        <w:rPr>
          <w:rFonts w:cs="Arial"/>
        </w:rPr>
        <w:t xml:space="preserve"> </w:t>
      </w:r>
      <w:r w:rsidR="00E10545">
        <w:rPr>
          <w:rFonts w:cs="Arial"/>
        </w:rPr>
        <w:t>and by men during parental leave/</w:t>
      </w:r>
      <w:r w:rsidR="00E10545" w:rsidRPr="00097244">
        <w:rPr>
          <w:rFonts w:cs="Arial"/>
        </w:rPr>
        <w:t xml:space="preserve">return to </w:t>
      </w:r>
      <w:proofErr w:type="gramStart"/>
      <w:r w:rsidR="00E10545" w:rsidRPr="00097244">
        <w:rPr>
          <w:rFonts w:cs="Arial"/>
        </w:rPr>
        <w:t>work</w:t>
      </w:r>
      <w:r w:rsidR="00E10545">
        <w:rPr>
          <w:rFonts w:cs="Arial"/>
        </w:rPr>
        <w:t>.</w:t>
      </w:r>
      <w:r w:rsidR="007044B3">
        <w:rPr>
          <w:rFonts w:cs="Arial"/>
        </w:rPr>
        <w:t>:</w:t>
      </w:r>
      <w:proofErr w:type="gramEnd"/>
    </w:p>
    <w:p w:rsidR="00A17988" w:rsidRDefault="00A17988" w:rsidP="00CF5EF2">
      <w:pPr>
        <w:pStyle w:val="ListParagraph"/>
        <w:numPr>
          <w:ilvl w:val="0"/>
          <w:numId w:val="36"/>
        </w:numPr>
        <w:spacing w:after="120"/>
        <w:rPr>
          <w:rFonts w:cs="Arial"/>
        </w:rPr>
      </w:pPr>
      <w:r w:rsidRPr="001462B7">
        <w:rPr>
          <w:rFonts w:cs="Arial"/>
        </w:rPr>
        <w:t xml:space="preserve">negative attitudes </w:t>
      </w:r>
      <w:r w:rsidR="00694BCD">
        <w:rPr>
          <w:rFonts w:cs="Arial"/>
        </w:rPr>
        <w:t>towards</w:t>
      </w:r>
      <w:r w:rsidR="00694BCD" w:rsidRPr="001462B7">
        <w:rPr>
          <w:rFonts w:cs="Arial"/>
        </w:rPr>
        <w:t xml:space="preserve"> </w:t>
      </w:r>
      <w:r w:rsidRPr="001462B7">
        <w:rPr>
          <w:rFonts w:cs="Arial"/>
        </w:rPr>
        <w:t>pregnant women and mother</w:t>
      </w:r>
      <w:r w:rsidR="00C91050">
        <w:rPr>
          <w:rFonts w:cs="Arial"/>
        </w:rPr>
        <w:t>s</w:t>
      </w:r>
      <w:r w:rsidRPr="001462B7">
        <w:rPr>
          <w:rFonts w:cs="Arial"/>
        </w:rPr>
        <w:t xml:space="preserve"> and </w:t>
      </w:r>
      <w:r w:rsidR="000077E0">
        <w:rPr>
          <w:rFonts w:cs="Arial"/>
        </w:rPr>
        <w:t>fathers</w:t>
      </w:r>
    </w:p>
    <w:p w:rsidR="00E927CF" w:rsidRDefault="00E927CF" w:rsidP="0025436D">
      <w:pPr>
        <w:pStyle w:val="ListParagraph"/>
        <w:ind w:left="1080"/>
        <w:rPr>
          <w:rFonts w:cs="Arial"/>
        </w:rPr>
      </w:pPr>
    </w:p>
    <w:p w:rsidR="0025436D" w:rsidRPr="0025436D" w:rsidRDefault="0025436D" w:rsidP="00CF5EF2">
      <w:pPr>
        <w:pStyle w:val="ListParagraph"/>
        <w:spacing w:before="120"/>
        <w:ind w:left="1080"/>
        <w:rPr>
          <w:rFonts w:cs="Arial"/>
        </w:rPr>
      </w:pPr>
      <w:r w:rsidRPr="0025436D">
        <w:rPr>
          <w:rFonts w:cs="Arial"/>
        </w:rPr>
        <w:t>I was told I was both a bad mother and a bad employee for working while having a young family.</w:t>
      </w:r>
      <w:r w:rsidRPr="001C4366">
        <w:rPr>
          <w:rStyle w:val="EndnoteReference"/>
          <w:rFonts w:cs="Arial"/>
        </w:rPr>
        <w:endnoteReference w:id="10"/>
      </w:r>
    </w:p>
    <w:p w:rsidR="0025436D" w:rsidRDefault="0025436D" w:rsidP="0025436D">
      <w:pPr>
        <w:pStyle w:val="ListParagraph"/>
        <w:ind w:left="1080"/>
        <w:rPr>
          <w:rFonts w:cs="Arial"/>
        </w:rPr>
      </w:pPr>
    </w:p>
    <w:p w:rsidR="0025436D" w:rsidRPr="0025436D" w:rsidRDefault="0025436D" w:rsidP="0025436D">
      <w:pPr>
        <w:pStyle w:val="ListParagraph"/>
        <w:ind w:left="1080"/>
        <w:rPr>
          <w:rFonts w:cs="Arial"/>
        </w:rPr>
      </w:pPr>
      <w:r w:rsidRPr="0025436D">
        <w:rPr>
          <w:rFonts w:cs="Arial"/>
        </w:rPr>
        <w:t xml:space="preserve">One of the other men in the office had started calling me </w:t>
      </w:r>
      <w:r w:rsidR="006F3BCB">
        <w:rPr>
          <w:rFonts w:cs="Arial"/>
        </w:rPr>
        <w:t>‘</w:t>
      </w:r>
      <w:r w:rsidRPr="0025436D">
        <w:rPr>
          <w:rFonts w:cs="Arial"/>
        </w:rPr>
        <w:t>placenta brain</w:t>
      </w:r>
      <w:r w:rsidR="006F3BCB">
        <w:rPr>
          <w:rFonts w:cs="Arial"/>
        </w:rPr>
        <w:t>’</w:t>
      </w:r>
      <w:r w:rsidR="006F3BCB" w:rsidRPr="0025436D">
        <w:rPr>
          <w:rFonts w:cs="Arial"/>
        </w:rPr>
        <w:t xml:space="preserve"> </w:t>
      </w:r>
      <w:r w:rsidRPr="0025436D">
        <w:rPr>
          <w:rFonts w:cs="Arial"/>
        </w:rPr>
        <w:t>when I was pregnant.</w:t>
      </w:r>
      <w:r w:rsidRPr="001C4366">
        <w:rPr>
          <w:rStyle w:val="EndnoteReference"/>
          <w:rFonts w:cs="Arial"/>
        </w:rPr>
        <w:endnoteReference w:id="11"/>
      </w:r>
    </w:p>
    <w:p w:rsidR="0025436D" w:rsidRDefault="0025436D" w:rsidP="00E927CF">
      <w:pPr>
        <w:pStyle w:val="ListParagraph"/>
        <w:ind w:left="360"/>
        <w:rPr>
          <w:rFonts w:cs="Arial"/>
        </w:rPr>
      </w:pPr>
    </w:p>
    <w:p w:rsidR="00A17988" w:rsidRDefault="00A17988" w:rsidP="009E64BB">
      <w:pPr>
        <w:pStyle w:val="ListParagraph"/>
        <w:numPr>
          <w:ilvl w:val="0"/>
          <w:numId w:val="36"/>
        </w:numPr>
        <w:rPr>
          <w:rFonts w:cs="Arial"/>
        </w:rPr>
      </w:pPr>
      <w:r w:rsidRPr="001462B7">
        <w:rPr>
          <w:rFonts w:cs="Arial"/>
        </w:rPr>
        <w:t>health and sa</w:t>
      </w:r>
      <w:r w:rsidR="000077E0">
        <w:rPr>
          <w:rFonts w:cs="Arial"/>
        </w:rPr>
        <w:t>fety issues for pregnant women</w:t>
      </w:r>
    </w:p>
    <w:p w:rsidR="00E927CF" w:rsidRDefault="00E927CF" w:rsidP="0025436D">
      <w:pPr>
        <w:pStyle w:val="ListParagraph"/>
        <w:autoSpaceDE w:val="0"/>
        <w:autoSpaceDN w:val="0"/>
        <w:adjustRightInd w:val="0"/>
        <w:spacing w:before="0" w:after="0"/>
        <w:ind w:left="1080"/>
        <w:rPr>
          <w:rFonts w:cs="Arial"/>
        </w:rPr>
      </w:pPr>
    </w:p>
    <w:p w:rsidR="0025436D" w:rsidRPr="0025436D" w:rsidRDefault="0025436D" w:rsidP="0025436D">
      <w:pPr>
        <w:pStyle w:val="ListParagraph"/>
        <w:autoSpaceDE w:val="0"/>
        <w:autoSpaceDN w:val="0"/>
        <w:adjustRightInd w:val="0"/>
        <w:spacing w:before="0" w:after="0"/>
        <w:ind w:left="1080"/>
        <w:rPr>
          <w:rFonts w:cs="Arial"/>
        </w:rPr>
      </w:pPr>
      <w:r w:rsidRPr="0025436D">
        <w:rPr>
          <w:rFonts w:cs="Arial"/>
        </w:rPr>
        <w:t>Even though he knew I had morning sickness, he’d text me while I was vomiting and tell me to get back onto the floor immediately. I had bad back and leg pain, but I wasn’t allowed to sit down. If I did, he’d click his fingers at me like I was a dog and tell me to stand up.</w:t>
      </w:r>
      <w:r w:rsidRPr="001C4366">
        <w:rPr>
          <w:rStyle w:val="EndnoteReference"/>
          <w:rFonts w:cs="Arial"/>
          <w:sz w:val="24"/>
        </w:rPr>
        <w:endnoteReference w:id="12"/>
      </w:r>
    </w:p>
    <w:p w:rsidR="00E927CF" w:rsidRDefault="00E927CF" w:rsidP="00E927CF">
      <w:pPr>
        <w:pStyle w:val="ListParagraph"/>
        <w:ind w:left="360"/>
        <w:rPr>
          <w:rFonts w:cs="Arial"/>
        </w:rPr>
      </w:pPr>
    </w:p>
    <w:p w:rsidR="00A17988" w:rsidRDefault="00A17988" w:rsidP="009E64BB">
      <w:pPr>
        <w:pStyle w:val="ListParagraph"/>
        <w:numPr>
          <w:ilvl w:val="0"/>
          <w:numId w:val="36"/>
        </w:numPr>
        <w:rPr>
          <w:rFonts w:cs="Arial"/>
        </w:rPr>
      </w:pPr>
      <w:r w:rsidRPr="001462B7">
        <w:rPr>
          <w:rFonts w:cs="Arial"/>
        </w:rPr>
        <w:t>recruitmen</w:t>
      </w:r>
      <w:r w:rsidR="000077E0">
        <w:rPr>
          <w:rFonts w:cs="Arial"/>
        </w:rPr>
        <w:t>t bias against working parents</w:t>
      </w:r>
    </w:p>
    <w:p w:rsidR="00E927CF" w:rsidRDefault="00E927CF" w:rsidP="00E927CF">
      <w:pPr>
        <w:pStyle w:val="ListParagraph"/>
        <w:ind w:left="1080"/>
        <w:rPr>
          <w:rFonts w:cs="Arial"/>
        </w:rPr>
      </w:pPr>
    </w:p>
    <w:p w:rsidR="00E927CF" w:rsidRDefault="00067CA9" w:rsidP="00E927CF">
      <w:pPr>
        <w:pStyle w:val="ListParagraph"/>
        <w:ind w:left="1080"/>
        <w:rPr>
          <w:rFonts w:cs="Arial"/>
        </w:rPr>
      </w:pPr>
      <w:r>
        <w:rPr>
          <w:rFonts w:cs="Arial"/>
        </w:rPr>
        <w:t>[The person in charge of recruiting]</w:t>
      </w:r>
      <w:r w:rsidRPr="001C4366">
        <w:rPr>
          <w:rFonts w:cs="Arial"/>
        </w:rPr>
        <w:t xml:space="preserve"> withdrew the job offer explaining that the job was complicated and by the time I was confident in the role I would be preparing to leave to have my baby.</w:t>
      </w:r>
      <w:r w:rsidRPr="001C4366">
        <w:rPr>
          <w:rStyle w:val="EndnoteReference"/>
          <w:rFonts w:cs="Arial"/>
        </w:rPr>
        <w:endnoteReference w:id="13"/>
      </w:r>
    </w:p>
    <w:p w:rsidR="00E927CF" w:rsidRPr="00E927CF" w:rsidRDefault="00E927CF" w:rsidP="00E927CF">
      <w:pPr>
        <w:pStyle w:val="ListParagraph"/>
        <w:ind w:left="1080"/>
        <w:rPr>
          <w:rFonts w:cs="Arial"/>
        </w:rPr>
      </w:pPr>
    </w:p>
    <w:p w:rsidR="00A17988" w:rsidRDefault="00A17988" w:rsidP="009E64BB">
      <w:pPr>
        <w:pStyle w:val="ListParagraph"/>
        <w:numPr>
          <w:ilvl w:val="0"/>
          <w:numId w:val="36"/>
        </w:numPr>
        <w:rPr>
          <w:rFonts w:cs="Arial"/>
        </w:rPr>
      </w:pPr>
      <w:r w:rsidRPr="001462B7">
        <w:rPr>
          <w:rFonts w:cs="Arial"/>
        </w:rPr>
        <w:t>unexpected changes to salary, conditions and duties upon announcing pregnancy, while on paren</w:t>
      </w:r>
      <w:r w:rsidR="000077E0">
        <w:rPr>
          <w:rFonts w:cs="Arial"/>
        </w:rPr>
        <w:t>tal leave and on return to work</w:t>
      </w:r>
      <w:r w:rsidRPr="001462B7">
        <w:rPr>
          <w:rFonts w:cs="Arial"/>
        </w:rPr>
        <w:t xml:space="preserve"> </w:t>
      </w:r>
    </w:p>
    <w:p w:rsidR="00E927CF" w:rsidRDefault="00E927CF" w:rsidP="00067CA9">
      <w:pPr>
        <w:pStyle w:val="ListParagraph"/>
        <w:ind w:left="1080"/>
        <w:rPr>
          <w:rFonts w:cs="Arial"/>
          <w:color w:val="000000"/>
        </w:rPr>
      </w:pPr>
    </w:p>
    <w:p w:rsidR="00485D01" w:rsidRDefault="00485D01" w:rsidP="00485D01">
      <w:pPr>
        <w:pStyle w:val="ListParagraph"/>
        <w:ind w:left="1080"/>
        <w:rPr>
          <w:rFonts w:cs="Arial"/>
          <w:color w:val="000000"/>
        </w:rPr>
      </w:pPr>
      <w:r w:rsidRPr="001C4366">
        <w:rPr>
          <w:rFonts w:cs="Arial"/>
          <w:color w:val="000000"/>
        </w:rPr>
        <w:t xml:space="preserve">From that moment [when I announced my pregnancy] I was uninvited to meetings, my opinion was </w:t>
      </w:r>
      <w:proofErr w:type="gramStart"/>
      <w:r w:rsidRPr="001C4366">
        <w:rPr>
          <w:rFonts w:cs="Arial"/>
          <w:color w:val="000000"/>
        </w:rPr>
        <w:t>disregarded,</w:t>
      </w:r>
      <w:proofErr w:type="gramEnd"/>
      <w:r w:rsidRPr="001C4366">
        <w:rPr>
          <w:rFonts w:cs="Arial"/>
          <w:color w:val="000000"/>
        </w:rPr>
        <w:t xml:space="preserve"> I was stone walled by my boss on any decisions.</w:t>
      </w:r>
      <w:r w:rsidRPr="001C4366">
        <w:rPr>
          <w:rStyle w:val="EndnoteReference"/>
          <w:rFonts w:cs="Arial"/>
          <w:color w:val="000000"/>
        </w:rPr>
        <w:endnoteReference w:id="14"/>
      </w:r>
    </w:p>
    <w:p w:rsidR="00E927CF" w:rsidRPr="00485D01" w:rsidRDefault="00485D01" w:rsidP="00485D01">
      <w:pPr>
        <w:ind w:left="1134"/>
        <w:rPr>
          <w:rFonts w:cs="Arial"/>
        </w:rPr>
      </w:pPr>
      <w:r w:rsidRPr="00097244">
        <w:rPr>
          <w:rFonts w:cs="Arial"/>
        </w:rPr>
        <w:t xml:space="preserve">While I was on maternity leave…[my boss] told me that there had been a business decision that I was no longer suitable for the role I was in previously (they had offered it </w:t>
      </w:r>
      <w:r>
        <w:rPr>
          <w:rFonts w:cs="Arial"/>
        </w:rPr>
        <w:t>full-time</w:t>
      </w:r>
      <w:r w:rsidRPr="00097244">
        <w:rPr>
          <w:rFonts w:cs="Arial"/>
        </w:rPr>
        <w:t xml:space="preserve"> to my maternity leave person). She said, don’t worry I have managed to secure you a position in another department but it was a $20,000 pay difference.</w:t>
      </w:r>
      <w:r w:rsidRPr="00097244">
        <w:rPr>
          <w:rStyle w:val="EndnoteReference"/>
          <w:rFonts w:cs="Arial"/>
        </w:rPr>
        <w:endnoteReference w:id="15"/>
      </w:r>
    </w:p>
    <w:p w:rsidR="000077E0" w:rsidRDefault="00A17988" w:rsidP="009E64BB">
      <w:pPr>
        <w:pStyle w:val="ListParagraph"/>
        <w:numPr>
          <w:ilvl w:val="0"/>
          <w:numId w:val="36"/>
        </w:numPr>
        <w:rPr>
          <w:rFonts w:cs="Arial"/>
        </w:rPr>
      </w:pPr>
      <w:r w:rsidRPr="001462B7">
        <w:rPr>
          <w:rFonts w:cs="Arial"/>
        </w:rPr>
        <w:t>being refused leave for the pur</w:t>
      </w:r>
      <w:r w:rsidR="000077E0">
        <w:rPr>
          <w:rFonts w:cs="Arial"/>
        </w:rPr>
        <w:t>pose of caring responsibilities</w:t>
      </w:r>
    </w:p>
    <w:p w:rsidR="00A17988" w:rsidRDefault="00A17988" w:rsidP="000077E0">
      <w:pPr>
        <w:pStyle w:val="ListParagraph"/>
        <w:ind w:left="360"/>
        <w:rPr>
          <w:rFonts w:cs="Arial"/>
        </w:rPr>
      </w:pPr>
      <w:r w:rsidRPr="001462B7">
        <w:rPr>
          <w:rFonts w:cs="Arial"/>
        </w:rPr>
        <w:t xml:space="preserve"> </w:t>
      </w:r>
    </w:p>
    <w:p w:rsidR="008A5A47" w:rsidRPr="000077E0" w:rsidRDefault="008A5A47" w:rsidP="000077E0">
      <w:pPr>
        <w:pStyle w:val="ListParagraph"/>
        <w:ind w:left="1134"/>
        <w:rPr>
          <w:rFonts w:cs="Arial"/>
        </w:rPr>
      </w:pPr>
      <w:r w:rsidRPr="008A5A47">
        <w:rPr>
          <w:rFonts w:cs="Arial"/>
        </w:rPr>
        <w:t>So I went back to my employer and [said]</w:t>
      </w:r>
      <w:proofErr w:type="gramStart"/>
      <w:r w:rsidRPr="008A5A47">
        <w:rPr>
          <w:rFonts w:cs="Arial"/>
        </w:rPr>
        <w:t>,</w:t>
      </w:r>
      <w:proofErr w:type="gramEnd"/>
      <w:r w:rsidRPr="008A5A47">
        <w:rPr>
          <w:rFonts w:cs="Arial"/>
        </w:rPr>
        <w:t xml:space="preserve"> I want to take paternity leave. And h</w:t>
      </w:r>
      <w:r w:rsidR="00485D01">
        <w:rPr>
          <w:rFonts w:cs="Arial"/>
        </w:rPr>
        <w:t>e laughed! That’s for the mum</w:t>
      </w:r>
      <w:proofErr w:type="gramStart"/>
      <w:r w:rsidR="00485D01">
        <w:rPr>
          <w:rFonts w:cs="Arial"/>
        </w:rPr>
        <w:t>!…</w:t>
      </w:r>
      <w:proofErr w:type="gramEnd"/>
      <w:r w:rsidRPr="008A5A47">
        <w:rPr>
          <w:rFonts w:cs="Arial"/>
        </w:rPr>
        <w:t>They don’t want to make it easy for male employees to access it because it costs them money.</w:t>
      </w:r>
      <w:r w:rsidRPr="00627512">
        <w:rPr>
          <w:rStyle w:val="EndnoteReference"/>
          <w:rFonts w:cs="Arial"/>
        </w:rPr>
        <w:endnoteReference w:id="16"/>
      </w:r>
    </w:p>
    <w:p w:rsidR="00485D01" w:rsidRDefault="00485D01" w:rsidP="00485D01">
      <w:pPr>
        <w:pStyle w:val="ListParagraph"/>
        <w:ind w:left="1134"/>
        <w:rPr>
          <w:rFonts w:cs="Arial"/>
        </w:rPr>
      </w:pPr>
    </w:p>
    <w:p w:rsidR="00A17988" w:rsidRDefault="00A17988" w:rsidP="009E64BB">
      <w:pPr>
        <w:pStyle w:val="ListParagraph"/>
        <w:numPr>
          <w:ilvl w:val="0"/>
          <w:numId w:val="36"/>
        </w:numPr>
        <w:rPr>
          <w:rFonts w:cs="Arial"/>
        </w:rPr>
      </w:pPr>
      <w:r w:rsidRPr="001462B7">
        <w:rPr>
          <w:rFonts w:cs="Arial"/>
        </w:rPr>
        <w:t>lack of communication wi</w:t>
      </w:r>
      <w:r w:rsidR="000077E0">
        <w:rPr>
          <w:rFonts w:cs="Arial"/>
        </w:rPr>
        <w:t>th employees on parental leave</w:t>
      </w:r>
    </w:p>
    <w:p w:rsidR="00E927CF" w:rsidRDefault="00E927CF" w:rsidP="00067CA9">
      <w:pPr>
        <w:pStyle w:val="ListParagraph"/>
        <w:ind w:left="1080"/>
        <w:rPr>
          <w:szCs w:val="22"/>
        </w:rPr>
      </w:pPr>
    </w:p>
    <w:p w:rsidR="00067CA9" w:rsidRDefault="00067CA9" w:rsidP="00067CA9">
      <w:pPr>
        <w:pStyle w:val="ListParagraph"/>
        <w:ind w:left="1080"/>
        <w:rPr>
          <w:szCs w:val="22"/>
        </w:rPr>
      </w:pPr>
      <w:r w:rsidRPr="00067CA9">
        <w:rPr>
          <w:szCs w:val="22"/>
        </w:rPr>
        <w:t>I’ve been off now for eight months and not one phone call, nothing. I’ve since heard from other staff members that my job has been made redundant, but no one’s told me, no management has told me.</w:t>
      </w:r>
      <w:r w:rsidRPr="00627512">
        <w:rPr>
          <w:rStyle w:val="EndnoteReference"/>
          <w:szCs w:val="22"/>
        </w:rPr>
        <w:endnoteReference w:id="17"/>
      </w:r>
    </w:p>
    <w:p w:rsidR="00E927CF" w:rsidRPr="00067CA9" w:rsidRDefault="00E927CF" w:rsidP="00067CA9">
      <w:pPr>
        <w:pStyle w:val="ListParagraph"/>
        <w:ind w:left="1080"/>
        <w:rPr>
          <w:szCs w:val="22"/>
        </w:rPr>
      </w:pPr>
    </w:p>
    <w:p w:rsidR="00A17988" w:rsidRDefault="00A17988" w:rsidP="009E64BB">
      <w:pPr>
        <w:pStyle w:val="ListParagraph"/>
        <w:numPr>
          <w:ilvl w:val="0"/>
          <w:numId w:val="36"/>
        </w:numPr>
        <w:rPr>
          <w:rFonts w:cs="Arial"/>
        </w:rPr>
      </w:pPr>
      <w:r w:rsidRPr="001462B7">
        <w:rPr>
          <w:rFonts w:cs="Arial"/>
        </w:rPr>
        <w:t>missing out on c</w:t>
      </w:r>
      <w:r w:rsidR="000077E0">
        <w:rPr>
          <w:rFonts w:cs="Arial"/>
        </w:rPr>
        <w:t>areer advancement opportunities</w:t>
      </w:r>
      <w:r w:rsidRPr="001462B7">
        <w:rPr>
          <w:rFonts w:cs="Arial"/>
        </w:rPr>
        <w:t xml:space="preserve"> </w:t>
      </w:r>
    </w:p>
    <w:p w:rsidR="00E927CF" w:rsidRDefault="00E927CF" w:rsidP="00067CA9">
      <w:pPr>
        <w:pStyle w:val="ListParagraph"/>
        <w:ind w:left="1080"/>
        <w:rPr>
          <w:rFonts w:cs="Arial"/>
          <w:color w:val="000000"/>
        </w:rPr>
      </w:pPr>
    </w:p>
    <w:p w:rsidR="00067CA9" w:rsidRDefault="00067CA9" w:rsidP="00067CA9">
      <w:pPr>
        <w:pStyle w:val="ListParagraph"/>
        <w:ind w:left="1080"/>
        <w:rPr>
          <w:rFonts w:cs="Arial"/>
          <w:color w:val="000000"/>
        </w:rPr>
      </w:pPr>
      <w:r w:rsidRPr="00067CA9">
        <w:rPr>
          <w:rFonts w:cs="Arial"/>
          <w:color w:val="000000"/>
        </w:rPr>
        <w:t>When I applied for a permanent position at the Senior Executive level, while my baby was less than one year old, I was unsuccessful…I was told by the recruitment panel that ‘it was essential to be visible to get promoted to that level, and it would be difficult if I returned part-time’.</w:t>
      </w:r>
      <w:r>
        <w:rPr>
          <w:rStyle w:val="EndnoteReference"/>
          <w:rFonts w:cs="Arial"/>
          <w:color w:val="000000"/>
        </w:rPr>
        <w:endnoteReference w:id="18"/>
      </w:r>
    </w:p>
    <w:p w:rsidR="00E927CF" w:rsidRPr="00067CA9" w:rsidRDefault="00E927CF" w:rsidP="00067CA9">
      <w:pPr>
        <w:pStyle w:val="ListParagraph"/>
        <w:ind w:left="1080"/>
        <w:rPr>
          <w:rFonts w:cs="Arial"/>
          <w:color w:val="000000"/>
        </w:rPr>
      </w:pPr>
    </w:p>
    <w:p w:rsidR="00A17988" w:rsidRDefault="00A17988" w:rsidP="009E64BB">
      <w:pPr>
        <w:pStyle w:val="ListParagraph"/>
        <w:numPr>
          <w:ilvl w:val="0"/>
          <w:numId w:val="36"/>
        </w:numPr>
        <w:rPr>
          <w:rFonts w:cs="Arial"/>
        </w:rPr>
      </w:pPr>
      <w:r w:rsidRPr="001462B7">
        <w:rPr>
          <w:rFonts w:cs="Arial"/>
        </w:rPr>
        <w:t>being denied flexible arrangements on return to</w:t>
      </w:r>
      <w:r w:rsidR="000077E0">
        <w:rPr>
          <w:rFonts w:cs="Arial"/>
        </w:rPr>
        <w:t xml:space="preserve"> work following parental leave</w:t>
      </w:r>
    </w:p>
    <w:p w:rsidR="000077E0" w:rsidRDefault="000077E0" w:rsidP="00E927CF">
      <w:pPr>
        <w:pStyle w:val="ListParagraph"/>
        <w:ind w:left="1080"/>
        <w:rPr>
          <w:rFonts w:cs="Arial"/>
          <w:color w:val="000000"/>
        </w:rPr>
      </w:pPr>
    </w:p>
    <w:p w:rsidR="00204BA7" w:rsidRPr="000C4E60" w:rsidRDefault="00204BA7" w:rsidP="00CF5EF2">
      <w:pPr>
        <w:pStyle w:val="ListParagraph"/>
        <w:ind w:left="1134"/>
        <w:rPr>
          <w:rFonts w:cs="Arial"/>
        </w:rPr>
      </w:pPr>
      <w:r w:rsidRPr="00097244">
        <w:rPr>
          <w:rFonts w:cs="Arial"/>
        </w:rPr>
        <w:t>I was given all sorts of excuses about why this [</w:t>
      </w:r>
      <w:r>
        <w:rPr>
          <w:rFonts w:cs="Arial"/>
        </w:rPr>
        <w:t>part-time</w:t>
      </w:r>
      <w:r w:rsidRPr="00097244">
        <w:rPr>
          <w:rFonts w:cs="Arial"/>
        </w:rPr>
        <w:t xml:space="preserve"> role] couldn't happen - he didn't </w:t>
      </w:r>
      <w:r w:rsidRPr="000C4E60">
        <w:rPr>
          <w:rFonts w:cs="Arial"/>
        </w:rPr>
        <w:t>want to set a precedent for other women - there were simply too many in the school on maternity leave; the students couldn't cope with more than one teacher; job sharing doesn't work - they tried it once and it was a disaster.</w:t>
      </w:r>
      <w:r w:rsidRPr="000C4E60">
        <w:rPr>
          <w:rStyle w:val="EndnoteReference"/>
          <w:rFonts w:cs="Arial"/>
        </w:rPr>
        <w:endnoteReference w:id="19"/>
      </w:r>
    </w:p>
    <w:p w:rsidR="00E927CF" w:rsidRPr="00E927CF" w:rsidRDefault="00E927CF" w:rsidP="00E927CF">
      <w:pPr>
        <w:pStyle w:val="ListParagraph"/>
        <w:ind w:left="1080"/>
        <w:rPr>
          <w:szCs w:val="22"/>
        </w:rPr>
      </w:pPr>
    </w:p>
    <w:p w:rsidR="00067CA9" w:rsidRDefault="00067CA9" w:rsidP="007F7677">
      <w:pPr>
        <w:pStyle w:val="ListParagraph"/>
        <w:numPr>
          <w:ilvl w:val="0"/>
          <w:numId w:val="36"/>
        </w:numPr>
        <w:rPr>
          <w:rFonts w:cs="Arial"/>
        </w:rPr>
      </w:pPr>
      <w:r w:rsidRPr="00067CA9">
        <w:rPr>
          <w:rFonts w:cs="Arial"/>
        </w:rPr>
        <w:t>inadequate support in workp</w:t>
      </w:r>
      <w:r w:rsidR="000077E0">
        <w:rPr>
          <w:rFonts w:cs="Arial"/>
        </w:rPr>
        <w:t>laces for breastfeeding mothers</w:t>
      </w:r>
      <w:r w:rsidRPr="00067CA9">
        <w:rPr>
          <w:rFonts w:cs="Arial"/>
        </w:rPr>
        <w:t xml:space="preserve"> </w:t>
      </w:r>
    </w:p>
    <w:p w:rsidR="00E927CF" w:rsidRDefault="00E927CF" w:rsidP="00E927CF">
      <w:pPr>
        <w:pStyle w:val="ListParagraph"/>
        <w:ind w:left="1080"/>
        <w:rPr>
          <w:rFonts w:cs="Arial"/>
        </w:rPr>
      </w:pPr>
    </w:p>
    <w:p w:rsidR="00E927CF" w:rsidRPr="00101A40" w:rsidRDefault="00E927CF" w:rsidP="00E927CF">
      <w:pPr>
        <w:pStyle w:val="ListParagraph"/>
        <w:ind w:left="1080"/>
        <w:rPr>
          <w:rFonts w:cs="Arial"/>
        </w:rPr>
      </w:pPr>
      <w:r w:rsidRPr="00097244">
        <w:rPr>
          <w:rFonts w:cs="Arial"/>
        </w:rPr>
        <w:t>I had to express milk in my car</w:t>
      </w:r>
      <w:r>
        <w:rPr>
          <w:rFonts w:cs="Arial"/>
        </w:rPr>
        <w:t>…</w:t>
      </w:r>
      <w:r w:rsidRPr="00097244">
        <w:rPr>
          <w:rFonts w:cs="Arial"/>
        </w:rPr>
        <w:t>I had my own office but it was all windows and I was not comfortable expressing there</w:t>
      </w:r>
      <w:r w:rsidR="00DB4089">
        <w:rPr>
          <w:rFonts w:cs="Arial"/>
        </w:rPr>
        <w:t>…</w:t>
      </w:r>
      <w:r w:rsidRPr="00097244">
        <w:rPr>
          <w:rFonts w:cs="Arial"/>
        </w:rPr>
        <w:t>They did not offer me any room in the building to express or feed, although there were places available.</w:t>
      </w:r>
      <w:r w:rsidRPr="00097244">
        <w:rPr>
          <w:rStyle w:val="EndnoteReference"/>
          <w:rFonts w:cs="Arial"/>
          <w:sz w:val="24"/>
        </w:rPr>
        <w:endnoteReference w:id="20"/>
      </w:r>
    </w:p>
    <w:p w:rsidR="00E927CF" w:rsidRDefault="00E927CF" w:rsidP="00E927CF">
      <w:pPr>
        <w:pStyle w:val="ListParagraph"/>
        <w:ind w:left="360"/>
        <w:rPr>
          <w:rFonts w:cs="Arial"/>
        </w:rPr>
      </w:pPr>
    </w:p>
    <w:p w:rsidR="00D51C88" w:rsidRPr="007F7677" w:rsidRDefault="000077E0" w:rsidP="00CF5EF2">
      <w:pPr>
        <w:pStyle w:val="ListParagraph"/>
        <w:numPr>
          <w:ilvl w:val="0"/>
          <w:numId w:val="36"/>
        </w:numPr>
        <w:tabs>
          <w:tab w:val="left" w:pos="426"/>
        </w:tabs>
        <w:ind w:left="0" w:firstLine="0"/>
        <w:rPr>
          <w:rFonts w:cs="Arial"/>
        </w:rPr>
      </w:pPr>
      <w:r>
        <w:rPr>
          <w:rFonts w:cs="Arial"/>
        </w:rPr>
        <w:t>job loss</w:t>
      </w:r>
      <w:r w:rsidR="00A17988" w:rsidRPr="001462B7">
        <w:rPr>
          <w:rFonts w:cs="Arial"/>
        </w:rPr>
        <w:t xml:space="preserve"> </w:t>
      </w:r>
    </w:p>
    <w:p w:rsidR="0011413C" w:rsidRPr="0025436D" w:rsidRDefault="0025436D" w:rsidP="00D51C88">
      <w:pPr>
        <w:spacing w:before="0" w:after="0"/>
        <w:ind w:left="1134"/>
        <w:rPr>
          <w:szCs w:val="22"/>
        </w:rPr>
      </w:pPr>
      <w:r w:rsidRPr="001C4366">
        <w:rPr>
          <w:szCs w:val="22"/>
        </w:rPr>
        <w:t xml:space="preserve">I have been made redundant twice - both times it was at different organisations when I was on leave to have a child.  I was told there was a restructure both </w:t>
      </w:r>
      <w:proofErr w:type="gramStart"/>
      <w:r w:rsidRPr="001C4366">
        <w:rPr>
          <w:szCs w:val="22"/>
        </w:rPr>
        <w:t>times,</w:t>
      </w:r>
      <w:proofErr w:type="gramEnd"/>
      <w:r w:rsidRPr="001C4366">
        <w:rPr>
          <w:szCs w:val="22"/>
        </w:rPr>
        <w:t xml:space="preserve"> however it was only ever my role that was being restructured.</w:t>
      </w:r>
      <w:r w:rsidRPr="001C4366">
        <w:rPr>
          <w:rStyle w:val="EndnoteReference"/>
          <w:szCs w:val="22"/>
        </w:rPr>
        <w:endnoteReference w:id="21"/>
      </w:r>
    </w:p>
    <w:p w:rsidR="00C91050" w:rsidRDefault="00216105" w:rsidP="00C91050">
      <w:r w:rsidRPr="00097244">
        <w:t xml:space="preserve">Discrimination can have a wide range of </w:t>
      </w:r>
      <w:r w:rsidR="00A17988">
        <w:t xml:space="preserve">negative </w:t>
      </w:r>
      <w:r>
        <w:t xml:space="preserve">short and long term </w:t>
      </w:r>
      <w:r w:rsidRPr="00097244">
        <w:t>consequences for affected individuals, their families, and workplaces.</w:t>
      </w:r>
      <w:r>
        <w:t xml:space="preserve"> </w:t>
      </w:r>
      <w:r w:rsidR="00A17988">
        <w:t xml:space="preserve">These include </w:t>
      </w:r>
      <w:r w:rsidR="00C91050" w:rsidRPr="00097244">
        <w:t>mental and physical health impacts</w:t>
      </w:r>
      <w:r w:rsidR="00C91050">
        <w:t>,</w:t>
      </w:r>
      <w:r w:rsidR="00C91050" w:rsidRPr="00097244">
        <w:t xml:space="preserve"> including </w:t>
      </w:r>
      <w:r w:rsidR="00C91050">
        <w:t xml:space="preserve">on the successful continuation of </w:t>
      </w:r>
      <w:r w:rsidR="00C91050" w:rsidRPr="00097244">
        <w:t xml:space="preserve">breastfeeding, financial impacts, impacts on career progression, impacts on family, and systemic impacts on workplaces and the Australian workforce.  </w:t>
      </w:r>
    </w:p>
    <w:p w:rsidR="009E71EC" w:rsidRDefault="009E71EC" w:rsidP="009E71EC">
      <w:pPr>
        <w:ind w:left="720"/>
        <w:rPr>
          <w:rFonts w:cs="Arial"/>
        </w:rPr>
      </w:pPr>
      <w:r w:rsidRPr="000C4E60">
        <w:rPr>
          <w:rFonts w:cs="Arial"/>
        </w:rPr>
        <w:t>I feel so disempowered as an employee and as a pregnant woman to have gone from this very high intensity, action packed work role that was so crazy and stressful and wonderful, to be put in this office doing the most mindlessly repetitive task for the next five months until my maternity leave.</w:t>
      </w:r>
      <w:r w:rsidRPr="000C4E60">
        <w:rPr>
          <w:rStyle w:val="EndnoteReference"/>
          <w:rFonts w:cs="Arial"/>
        </w:rPr>
        <w:endnoteReference w:id="22"/>
      </w:r>
    </w:p>
    <w:p w:rsidR="008C467B" w:rsidRDefault="008C467B" w:rsidP="008C467B">
      <w:pPr>
        <w:pStyle w:val="PlainText"/>
        <w:spacing w:before="0" w:after="0"/>
        <w:ind w:left="720"/>
        <w:rPr>
          <w:rFonts w:ascii="Arial" w:hAnsi="Arial" w:cs="Arial"/>
          <w:sz w:val="24"/>
          <w:szCs w:val="24"/>
        </w:rPr>
      </w:pPr>
      <w:r w:rsidRPr="001C4366">
        <w:rPr>
          <w:rFonts w:ascii="Arial" w:hAnsi="Arial" w:cs="Arial"/>
          <w:sz w:val="24"/>
          <w:szCs w:val="24"/>
        </w:rPr>
        <w:t>It was too difficult to continue breastfeeding after I went back to work so I stopped.</w:t>
      </w:r>
      <w:r w:rsidRPr="001C4366">
        <w:rPr>
          <w:rStyle w:val="EndnoteReference"/>
          <w:rFonts w:cs="Arial"/>
          <w:szCs w:val="24"/>
        </w:rPr>
        <w:endnoteReference w:id="23"/>
      </w:r>
    </w:p>
    <w:p w:rsidR="009E71EC" w:rsidRDefault="009E71EC" w:rsidP="007D0877">
      <w:pPr>
        <w:pStyle w:val="ListParagraph"/>
        <w:rPr>
          <w:rFonts w:cs="Arial"/>
          <w:color w:val="000000"/>
        </w:rPr>
      </w:pPr>
      <w:r w:rsidRPr="001C4366">
        <w:rPr>
          <w:rFonts w:cs="Arial"/>
          <w:color w:val="000000"/>
        </w:rPr>
        <w:t>My workplace rejected my application to work [un</w:t>
      </w:r>
      <w:r>
        <w:rPr>
          <w:rFonts w:cs="Arial"/>
          <w:color w:val="000000"/>
        </w:rPr>
        <w:t>der] flexible work arrangements [and]</w:t>
      </w:r>
      <w:r w:rsidRPr="001C4366">
        <w:rPr>
          <w:rFonts w:cs="Arial"/>
          <w:color w:val="000000"/>
        </w:rPr>
        <w:t xml:space="preserve"> rejected my application to continue in a part time manner</w:t>
      </w:r>
      <w:r>
        <w:rPr>
          <w:rFonts w:cs="Arial"/>
          <w:color w:val="000000"/>
        </w:rPr>
        <w:t>…</w:t>
      </w:r>
      <w:r w:rsidRPr="001C4366">
        <w:rPr>
          <w:rFonts w:cs="Arial"/>
          <w:color w:val="000000"/>
        </w:rPr>
        <w:t>In anticipation of not having work my partner and I have just sold our house as we could not afford the mortgage with one income.</w:t>
      </w:r>
      <w:r w:rsidRPr="001C4366">
        <w:rPr>
          <w:rStyle w:val="EndnoteReference"/>
          <w:rFonts w:cs="Arial"/>
          <w:color w:val="000000"/>
        </w:rPr>
        <w:endnoteReference w:id="24"/>
      </w:r>
    </w:p>
    <w:p w:rsidR="009E71EC" w:rsidRDefault="009E71EC" w:rsidP="007D0877">
      <w:pPr>
        <w:pStyle w:val="ListParagraph"/>
      </w:pPr>
    </w:p>
    <w:p w:rsidR="00F76591" w:rsidRPr="00F76591" w:rsidRDefault="00F76591" w:rsidP="00F76591">
      <w:pPr>
        <w:pStyle w:val="ListParagraph"/>
        <w:spacing w:before="0" w:after="0"/>
        <w:rPr>
          <w:rFonts w:cs="Arial"/>
          <w:color w:val="000000"/>
        </w:rPr>
      </w:pPr>
      <w:r w:rsidRPr="000C4E60">
        <w:rPr>
          <w:rFonts w:cs="Arial"/>
          <w:color w:val="000000"/>
        </w:rPr>
        <w:t>At the end of it all I was left with no job, on the brink of losing my home, dealing with a miscarriage, lost all my friends at work, and was left just utterly broken.</w:t>
      </w:r>
      <w:r w:rsidRPr="000C4E60">
        <w:rPr>
          <w:rStyle w:val="EndnoteReference"/>
          <w:rFonts w:cs="Arial"/>
          <w:color w:val="000000"/>
        </w:rPr>
        <w:endnoteReference w:id="25"/>
      </w:r>
      <w:r w:rsidRPr="000C4E60">
        <w:rPr>
          <w:rFonts w:cs="Arial"/>
          <w:color w:val="000000"/>
        </w:rPr>
        <w:t xml:space="preserve"> </w:t>
      </w:r>
      <w:r>
        <w:rPr>
          <w:rFonts w:cs="Arial"/>
          <w:color w:val="000000"/>
        </w:rPr>
        <w:br/>
      </w:r>
    </w:p>
    <w:p w:rsidR="007D0877" w:rsidRPr="001C4366" w:rsidRDefault="007D0877" w:rsidP="007D0877">
      <w:pPr>
        <w:pStyle w:val="ListParagraph"/>
      </w:pPr>
      <w:r w:rsidRPr="001C4366">
        <w:t>I strongly believe that my decision to have a child was a career killer…I am reminded every day of the limitations of working part time…I have not been given challenging work, well below my skills and qualifications reporting to graduates even though I had been working in the company for more than 7 years before going on maternity leave. My career has not progressed since I got pregnant.</w:t>
      </w:r>
      <w:r w:rsidRPr="001C4366">
        <w:rPr>
          <w:rStyle w:val="EndnoteReference"/>
        </w:rPr>
        <w:endnoteReference w:id="26"/>
      </w:r>
      <w:r w:rsidRPr="001C4366">
        <w:t xml:space="preserve"> </w:t>
      </w:r>
    </w:p>
    <w:p w:rsidR="00216105" w:rsidRDefault="00216105" w:rsidP="00BE60E5">
      <w:r w:rsidRPr="00097244">
        <w:t xml:space="preserve">The nature and consequences of discrimination experienced by women and men can be shaped by other factors including their cultural background, disability, sexual orientation, marital status, age, and employment status.  </w:t>
      </w:r>
    </w:p>
    <w:p w:rsidR="00521D61" w:rsidRPr="00097244" w:rsidRDefault="00BE60E5" w:rsidP="00BE60E5">
      <w:r>
        <w:t>W</w:t>
      </w:r>
      <w:r w:rsidR="00521D61" w:rsidRPr="00097244">
        <w:t xml:space="preserve">orking parents </w:t>
      </w:r>
      <w:r w:rsidR="00261261">
        <w:t xml:space="preserve">also </w:t>
      </w:r>
      <w:r w:rsidR="00521D61" w:rsidRPr="00097244">
        <w:t xml:space="preserve">faced other </w:t>
      </w:r>
      <w:r w:rsidR="00521D61">
        <w:t>obstacles and structural constraints</w:t>
      </w:r>
      <w:r w:rsidR="00521D61" w:rsidRPr="00097244">
        <w:t xml:space="preserve"> which either led to discrimination or negatively impacted on their experiences within workplaces while pregnant, on parental leave and </w:t>
      </w:r>
      <w:r w:rsidR="00521D61">
        <w:t xml:space="preserve">on </w:t>
      </w:r>
      <w:r w:rsidR="007F7677">
        <w:t>return to work. Such s</w:t>
      </w:r>
      <w:r w:rsidR="00521D61">
        <w:t>tructural barriers</w:t>
      </w:r>
      <w:r w:rsidR="00521D61" w:rsidRPr="00097244">
        <w:t xml:space="preserve"> and other causal and contributing factors include </w:t>
      </w:r>
      <w:r w:rsidRPr="00097244">
        <w:t xml:space="preserve">limited availability, affordability and accessibility of quality </w:t>
      </w:r>
      <w:r w:rsidR="00DB4089">
        <w:t>early childhood education and care services</w:t>
      </w:r>
      <w:r>
        <w:t xml:space="preserve">, underlying stereotypes and assumptions about childbearing, parenting and the roles of women and men in the home and in the workplace, </w:t>
      </w:r>
      <w:r w:rsidR="00521D61" w:rsidRPr="00097244">
        <w:t>lack of awareness and understanding of rights and entitlements</w:t>
      </w:r>
      <w:r>
        <w:t>, and</w:t>
      </w:r>
      <w:r w:rsidR="00521D61" w:rsidRPr="00097244">
        <w:t xml:space="preserve"> gaps </w:t>
      </w:r>
      <w:r w:rsidR="00521D61">
        <w:t>between</w:t>
      </w:r>
      <w:r w:rsidR="00521D61" w:rsidRPr="00097244">
        <w:t xml:space="preserve"> workplace policies and practice</w:t>
      </w:r>
      <w:r>
        <w:t xml:space="preserve">. </w:t>
      </w:r>
      <w:r w:rsidR="00521D61" w:rsidRPr="00097244">
        <w:t xml:space="preserve"> </w:t>
      </w:r>
    </w:p>
    <w:p w:rsidR="00634205" w:rsidRDefault="00634205" w:rsidP="007D0877">
      <w:pPr>
        <w:ind w:left="720"/>
      </w:pPr>
      <w:r>
        <w:t>W</w:t>
      </w:r>
      <w:r w:rsidRPr="00097244">
        <w:t>orking full-time would not be worth it when I factor in childcare costs</w:t>
      </w:r>
      <w:r>
        <w:t>.</w:t>
      </w:r>
      <w:r>
        <w:rPr>
          <w:rStyle w:val="EndnoteReference"/>
        </w:rPr>
        <w:endnoteReference w:id="27"/>
      </w:r>
    </w:p>
    <w:p w:rsidR="007D0877" w:rsidRPr="001C4366" w:rsidRDefault="007D0877" w:rsidP="007D0877">
      <w:pPr>
        <w:ind w:left="720"/>
        <w:rPr>
          <w:rFonts w:cs="Arial"/>
          <w:color w:val="000000"/>
        </w:rPr>
      </w:pPr>
      <w:r w:rsidRPr="001C4366">
        <w:rPr>
          <w:rFonts w:cs="Arial"/>
          <w:color w:val="000000"/>
        </w:rPr>
        <w:t>My husband spoke with his bosses about our plans to have a family and he was told that there is no such thing as a part time business development manager. Their attitude to men taking time off for children is 'men work, women stay at home'.</w:t>
      </w:r>
      <w:r w:rsidRPr="001C4366">
        <w:rPr>
          <w:rStyle w:val="EndnoteReference"/>
          <w:rFonts w:cs="Arial"/>
          <w:color w:val="000000"/>
        </w:rPr>
        <w:endnoteReference w:id="28"/>
      </w:r>
    </w:p>
    <w:p w:rsidR="00194142" w:rsidRPr="00097244" w:rsidRDefault="00194142" w:rsidP="00194142">
      <w:pPr>
        <w:ind w:left="720"/>
      </w:pPr>
      <w:r w:rsidRPr="00097244">
        <w:t>During my pregnancy, I never received any support or documentation about my rights…My employer never asked about my safety during my pregnancy or cautioned co-workers to assist me in loading sometimes heavy medical equipment into the car.</w:t>
      </w:r>
      <w:r w:rsidRPr="00097244">
        <w:rPr>
          <w:rStyle w:val="EndnoteReference"/>
        </w:rPr>
        <w:endnoteReference w:id="29"/>
      </w:r>
    </w:p>
    <w:p w:rsidR="00E871AC" w:rsidRPr="001C4366" w:rsidRDefault="00E871AC" w:rsidP="00E871AC">
      <w:pPr>
        <w:pStyle w:val="ListParagraph"/>
        <w:rPr>
          <w:sz w:val="22"/>
          <w:szCs w:val="22"/>
          <w:lang w:val="en"/>
        </w:rPr>
      </w:pPr>
      <w:r w:rsidRPr="001C4366">
        <w:rPr>
          <w:rFonts w:cs="Arial"/>
          <w:lang w:val="en"/>
        </w:rPr>
        <w:t>The part-time nature of mothers returning to the workforce was openly encouraged in policy but realistically frowned upon. The internal culture was quite different to the policy</w:t>
      </w:r>
      <w:r w:rsidRPr="001C4366">
        <w:rPr>
          <w:sz w:val="22"/>
          <w:szCs w:val="22"/>
          <w:lang w:val="en"/>
        </w:rPr>
        <w:t>.</w:t>
      </w:r>
      <w:r w:rsidRPr="001C4366">
        <w:rPr>
          <w:rStyle w:val="EndnoteReference"/>
          <w:szCs w:val="22"/>
          <w:lang w:val="en"/>
        </w:rPr>
        <w:endnoteReference w:id="30"/>
      </w:r>
    </w:p>
    <w:p w:rsidR="004B5A63" w:rsidRPr="00BD64FF" w:rsidRDefault="004B5A63" w:rsidP="00416557">
      <w:pPr>
        <w:pStyle w:val="Heading1"/>
        <w:numPr>
          <w:ilvl w:val="0"/>
          <w:numId w:val="0"/>
        </w:numPr>
      </w:pPr>
      <w:bookmarkStart w:id="15" w:name="_Toc393697753"/>
      <w:r w:rsidRPr="00BD64FF">
        <w:t>Experiences of employers</w:t>
      </w:r>
      <w:r w:rsidR="006823C7">
        <w:t xml:space="preserve"> </w:t>
      </w:r>
      <w:r w:rsidR="00634205">
        <w:t>in managing pregnancy, parental leave and return to work</w:t>
      </w:r>
      <w:r w:rsidR="002F4304">
        <w:t xml:space="preserve"> </w:t>
      </w:r>
      <w:r w:rsidR="007E75B9">
        <w:t>after parental leave</w:t>
      </w:r>
      <w:bookmarkEnd w:id="15"/>
    </w:p>
    <w:p w:rsidR="00216105" w:rsidRPr="00911748" w:rsidRDefault="00273D87" w:rsidP="00216105">
      <w:pPr>
        <w:rPr>
          <w:rFonts w:cs="Arial"/>
        </w:rPr>
      </w:pPr>
      <w:r>
        <w:rPr>
          <w:rFonts w:cs="Arial"/>
        </w:rPr>
        <w:t>Through the consultations and online written submissions e</w:t>
      </w:r>
      <w:r w:rsidR="00216105" w:rsidRPr="00911748">
        <w:rPr>
          <w:rFonts w:cs="Arial"/>
        </w:rPr>
        <w:t>mployers</w:t>
      </w:r>
      <w:r w:rsidR="00216105">
        <w:rPr>
          <w:rFonts w:cs="Arial"/>
        </w:rPr>
        <w:t xml:space="preserve"> identified</w:t>
      </w:r>
      <w:r w:rsidR="00216105" w:rsidRPr="00911748">
        <w:rPr>
          <w:rFonts w:cs="Arial"/>
        </w:rPr>
        <w:t xml:space="preserve"> several </w:t>
      </w:r>
      <w:r w:rsidR="00216105">
        <w:rPr>
          <w:rFonts w:cs="Arial"/>
        </w:rPr>
        <w:t>challenges</w:t>
      </w:r>
      <w:r w:rsidR="00216105" w:rsidRPr="00911748">
        <w:rPr>
          <w:rFonts w:cs="Arial"/>
        </w:rPr>
        <w:t xml:space="preserve"> </w:t>
      </w:r>
      <w:r w:rsidR="00216105">
        <w:rPr>
          <w:rFonts w:cs="Arial"/>
        </w:rPr>
        <w:t>in managing pregnancy</w:t>
      </w:r>
      <w:r>
        <w:rPr>
          <w:rFonts w:cs="Arial"/>
        </w:rPr>
        <w:t>/</w:t>
      </w:r>
      <w:r w:rsidR="00216105">
        <w:rPr>
          <w:rFonts w:cs="Arial"/>
        </w:rPr>
        <w:t>return to work issues, including:</w:t>
      </w:r>
      <w:r w:rsidR="00216105" w:rsidRPr="00911748">
        <w:rPr>
          <w:rFonts w:cs="Arial"/>
        </w:rPr>
        <w:t xml:space="preserve"> </w:t>
      </w:r>
    </w:p>
    <w:p w:rsidR="00216105" w:rsidRPr="005D0941" w:rsidRDefault="006F3BCB" w:rsidP="009E64BB">
      <w:pPr>
        <w:pStyle w:val="ListParagraph"/>
        <w:numPr>
          <w:ilvl w:val="0"/>
          <w:numId w:val="34"/>
        </w:numPr>
        <w:spacing w:before="0" w:after="0"/>
        <w:rPr>
          <w:rFonts w:cs="Arial"/>
        </w:rPr>
      </w:pPr>
      <w:r>
        <w:rPr>
          <w:rFonts w:cs="Arial"/>
        </w:rPr>
        <w:t xml:space="preserve">confusion </w:t>
      </w:r>
      <w:r w:rsidR="00216105">
        <w:rPr>
          <w:rFonts w:cs="Arial"/>
        </w:rPr>
        <w:t>and uncertainty about their</w:t>
      </w:r>
      <w:r w:rsidR="00216105" w:rsidRPr="00911748">
        <w:rPr>
          <w:rFonts w:cs="Arial"/>
        </w:rPr>
        <w:t xml:space="preserve"> legal obligations</w:t>
      </w:r>
      <w:r w:rsidR="00216105">
        <w:rPr>
          <w:rFonts w:cs="Arial"/>
        </w:rPr>
        <w:t>,</w:t>
      </w:r>
      <w:r w:rsidR="00216105" w:rsidRPr="00911748">
        <w:rPr>
          <w:rFonts w:cs="Arial"/>
        </w:rPr>
        <w:t xml:space="preserve"> </w:t>
      </w:r>
      <w:r w:rsidR="00216105">
        <w:rPr>
          <w:rFonts w:cs="Arial"/>
        </w:rPr>
        <w:t xml:space="preserve">and about </w:t>
      </w:r>
      <w:r w:rsidR="00216105" w:rsidRPr="0073020D">
        <w:rPr>
          <w:rFonts w:cs="Arial"/>
        </w:rPr>
        <w:t xml:space="preserve">employee rights </w:t>
      </w:r>
    </w:p>
    <w:p w:rsidR="00C2284A" w:rsidRPr="00C2284A" w:rsidRDefault="006F3BCB" w:rsidP="00C2284A">
      <w:pPr>
        <w:pStyle w:val="ListParagraph"/>
        <w:numPr>
          <w:ilvl w:val="0"/>
          <w:numId w:val="34"/>
        </w:numPr>
        <w:spacing w:before="0" w:after="0"/>
        <w:rPr>
          <w:rFonts w:cs="Arial"/>
          <w:i/>
        </w:rPr>
      </w:pPr>
      <w:r>
        <w:rPr>
          <w:rFonts w:cs="Arial"/>
        </w:rPr>
        <w:t>managing</w:t>
      </w:r>
      <w:r w:rsidRPr="00911748">
        <w:rPr>
          <w:rFonts w:cs="Arial"/>
        </w:rPr>
        <w:t xml:space="preserve"> </w:t>
      </w:r>
      <w:r w:rsidR="00216105" w:rsidRPr="00911748">
        <w:rPr>
          <w:rFonts w:cs="Arial"/>
        </w:rPr>
        <w:t xml:space="preserve">the uncertainty that </w:t>
      </w:r>
      <w:r w:rsidR="00216105">
        <w:rPr>
          <w:rFonts w:cs="Arial"/>
        </w:rPr>
        <w:t>can surround pregnancy, parental leave and return to work issues</w:t>
      </w:r>
      <w:r w:rsidR="00216105" w:rsidRPr="00911748">
        <w:rPr>
          <w:rFonts w:cs="Arial"/>
        </w:rPr>
        <w:t xml:space="preserve">, especially </w:t>
      </w:r>
      <w:r w:rsidR="00216105">
        <w:rPr>
          <w:rFonts w:cs="Arial"/>
        </w:rPr>
        <w:t xml:space="preserve">regarding </w:t>
      </w:r>
      <w:r w:rsidR="00216105" w:rsidRPr="00911748">
        <w:rPr>
          <w:rFonts w:cs="Arial"/>
        </w:rPr>
        <w:t>timeframes</w:t>
      </w:r>
      <w:r w:rsidR="00216105">
        <w:rPr>
          <w:rFonts w:cs="Arial"/>
        </w:rPr>
        <w:t>, employees’ return to work and employees’ requests to work flexibly or part</w:t>
      </w:r>
      <w:r w:rsidR="008E3782">
        <w:rPr>
          <w:rFonts w:cs="Arial"/>
        </w:rPr>
        <w:t>-</w:t>
      </w:r>
      <w:r w:rsidR="00216105">
        <w:rPr>
          <w:rFonts w:cs="Arial"/>
        </w:rPr>
        <w:t>time</w:t>
      </w:r>
      <w:r w:rsidR="00C2284A" w:rsidRPr="00C2284A">
        <w:rPr>
          <w:rFonts w:cs="Arial"/>
        </w:rPr>
        <w:t xml:space="preserve"> </w:t>
      </w:r>
      <w:r w:rsidR="00C2284A">
        <w:rPr>
          <w:rFonts w:cs="Arial"/>
        </w:rPr>
        <w:t xml:space="preserve"> </w:t>
      </w:r>
    </w:p>
    <w:p w:rsidR="00C2284A" w:rsidRPr="00C23712" w:rsidRDefault="006F3BCB" w:rsidP="00C2284A">
      <w:pPr>
        <w:pStyle w:val="ListParagraph"/>
        <w:numPr>
          <w:ilvl w:val="0"/>
          <w:numId w:val="34"/>
        </w:numPr>
        <w:spacing w:before="0" w:after="0"/>
        <w:rPr>
          <w:rFonts w:cs="Arial"/>
          <w:i/>
        </w:rPr>
      </w:pPr>
      <w:r>
        <w:rPr>
          <w:rFonts w:cs="Arial"/>
        </w:rPr>
        <w:t xml:space="preserve">limiting </w:t>
      </w:r>
      <w:r w:rsidR="00C2284A">
        <w:rPr>
          <w:rFonts w:cs="Arial"/>
        </w:rPr>
        <w:t>the direct costs associated with training a temporary replacement employee</w:t>
      </w:r>
    </w:p>
    <w:p w:rsidR="00C2284A" w:rsidRPr="00C2284A" w:rsidRDefault="006F3BCB" w:rsidP="009E64BB">
      <w:pPr>
        <w:pStyle w:val="ListParagraph"/>
        <w:numPr>
          <w:ilvl w:val="0"/>
          <w:numId w:val="34"/>
        </w:numPr>
        <w:spacing w:before="0" w:after="0"/>
        <w:rPr>
          <w:rFonts w:cs="Arial"/>
          <w:i/>
        </w:rPr>
      </w:pPr>
      <w:r>
        <w:rPr>
          <w:rFonts w:cs="Arial"/>
        </w:rPr>
        <w:t xml:space="preserve">managing </w:t>
      </w:r>
      <w:r w:rsidR="00C2284A">
        <w:rPr>
          <w:rFonts w:cs="Arial"/>
        </w:rPr>
        <w:t xml:space="preserve">flexible work arrangements effectively, especially on return to work after parental leave </w:t>
      </w:r>
    </w:p>
    <w:p w:rsidR="00216105" w:rsidRPr="00B73994" w:rsidRDefault="006F3BCB" w:rsidP="009E64BB">
      <w:pPr>
        <w:pStyle w:val="ListParagraph"/>
        <w:numPr>
          <w:ilvl w:val="0"/>
          <w:numId w:val="34"/>
        </w:numPr>
        <w:spacing w:before="0" w:after="0"/>
        <w:rPr>
          <w:rFonts w:cs="Arial"/>
          <w:i/>
        </w:rPr>
      </w:pPr>
      <w:r>
        <w:rPr>
          <w:rFonts w:cs="Arial"/>
        </w:rPr>
        <w:t xml:space="preserve">accommodating </w:t>
      </w:r>
      <w:r w:rsidR="00216105">
        <w:rPr>
          <w:rFonts w:cs="Arial"/>
        </w:rPr>
        <w:t>the specific needs of pregnant employees and employees returning from parental leave and ensuring a safe working environment</w:t>
      </w:r>
      <w:r>
        <w:rPr>
          <w:rFonts w:cs="Arial"/>
        </w:rPr>
        <w:t xml:space="preserve"> (</w:t>
      </w:r>
      <w:r w:rsidR="00216105">
        <w:rPr>
          <w:rFonts w:cs="Arial"/>
        </w:rPr>
        <w:t>particularly an issue in highly physical industries or roles</w:t>
      </w:r>
      <w:r>
        <w:rPr>
          <w:rFonts w:cs="Arial"/>
        </w:rPr>
        <w:t>)</w:t>
      </w:r>
    </w:p>
    <w:p w:rsidR="00216105" w:rsidRPr="00AB5C02" w:rsidRDefault="006F3BCB" w:rsidP="009E64BB">
      <w:pPr>
        <w:pStyle w:val="ListParagraph"/>
        <w:numPr>
          <w:ilvl w:val="0"/>
          <w:numId w:val="34"/>
        </w:numPr>
        <w:spacing w:before="0" w:after="0"/>
        <w:rPr>
          <w:rFonts w:cs="Arial"/>
          <w:i/>
        </w:rPr>
      </w:pPr>
      <w:r>
        <w:rPr>
          <w:rFonts w:cs="Arial"/>
        </w:rPr>
        <w:t>identifying</w:t>
      </w:r>
      <w:r w:rsidR="007F7677">
        <w:rPr>
          <w:rFonts w:cs="Arial"/>
        </w:rPr>
        <w:t>, challenging and removing d</w:t>
      </w:r>
      <w:r w:rsidR="00216105">
        <w:rPr>
          <w:rFonts w:cs="Arial"/>
        </w:rPr>
        <w:t xml:space="preserve">eeply held </w:t>
      </w:r>
      <w:r w:rsidR="007F7677">
        <w:rPr>
          <w:rFonts w:cs="Arial"/>
        </w:rPr>
        <w:t>harmful</w:t>
      </w:r>
      <w:r w:rsidR="00216105" w:rsidRPr="0073020D">
        <w:rPr>
          <w:rFonts w:cs="Arial"/>
        </w:rPr>
        <w:t xml:space="preserve"> stereotypes</w:t>
      </w:r>
      <w:r w:rsidR="00216105">
        <w:rPr>
          <w:rFonts w:cs="Arial"/>
        </w:rPr>
        <w:t xml:space="preserve">, </w:t>
      </w:r>
      <w:r w:rsidR="007F7677">
        <w:rPr>
          <w:rFonts w:cs="Arial"/>
        </w:rPr>
        <w:t xml:space="preserve">negative </w:t>
      </w:r>
      <w:r w:rsidR="00216105">
        <w:rPr>
          <w:rFonts w:cs="Arial"/>
        </w:rPr>
        <w:t xml:space="preserve">attitudes and behaviours among managers, line managers and other staff about pregnant employees, parents returning to work after parental leave and flexible work. </w:t>
      </w:r>
    </w:p>
    <w:p w:rsidR="00252618" w:rsidRPr="00252618" w:rsidRDefault="00252618" w:rsidP="00CF5EF2">
      <w:pPr>
        <w:ind w:left="720"/>
        <w:rPr>
          <w:rFonts w:cs="Arial"/>
        </w:rPr>
      </w:pPr>
      <w:r>
        <w:rPr>
          <w:rFonts w:cs="Arial"/>
        </w:rPr>
        <w:t>The first thing is that you try to be very excited on behalf of the person who’s telling you [that they are pregnant]. S</w:t>
      </w:r>
      <w:r w:rsidRPr="005B5CE8">
        <w:rPr>
          <w:rFonts w:cs="Arial"/>
        </w:rPr>
        <w:t xml:space="preserve">ecretly what you’re </w:t>
      </w:r>
      <w:r>
        <w:rPr>
          <w:rFonts w:cs="Arial"/>
        </w:rPr>
        <w:t>[thinking]</w:t>
      </w:r>
      <w:r w:rsidRPr="005B5CE8">
        <w:rPr>
          <w:rFonts w:cs="Arial"/>
        </w:rPr>
        <w:t xml:space="preserve"> is how the hell am I going to replace this person for the next year?</w:t>
      </w:r>
      <w:r>
        <w:rPr>
          <w:rFonts w:cs="Arial"/>
        </w:rPr>
        <w:t xml:space="preserve"> </w:t>
      </w:r>
      <w:r w:rsidRPr="00BA7AC3">
        <w:rPr>
          <w:rFonts w:cs="Arial"/>
        </w:rPr>
        <w:t>With the best intentions in the world not to discriminate in any way, how can you avoid being concerned: How am I going to run this company and meet my objectives in the next year or two?</w:t>
      </w:r>
      <w:r>
        <w:rPr>
          <w:rStyle w:val="EndnoteReference"/>
          <w:rFonts w:cs="Arial"/>
        </w:rPr>
        <w:endnoteReference w:id="31"/>
      </w:r>
      <w:r w:rsidRPr="000A7965">
        <w:rPr>
          <w:rFonts w:cs="Arial"/>
        </w:rPr>
        <w:t xml:space="preserve"> </w:t>
      </w:r>
    </w:p>
    <w:p w:rsidR="003C7611" w:rsidRPr="00CF5EF2" w:rsidRDefault="006810F3" w:rsidP="00CF5EF2">
      <w:pPr>
        <w:pStyle w:val="CommentText"/>
        <w:ind w:left="709"/>
        <w:rPr>
          <w:sz w:val="24"/>
          <w:szCs w:val="24"/>
        </w:rPr>
      </w:pPr>
      <w:r w:rsidRPr="00CF5EF2">
        <w:rPr>
          <w:rFonts w:cs="Arial"/>
          <w:sz w:val="24"/>
          <w:szCs w:val="24"/>
        </w:rPr>
        <w:t>The biggest difficulties are in recruiting suitable staff especially for professional roles with specific requirements and the uncertainty of</w:t>
      </w:r>
      <w:r>
        <w:rPr>
          <w:rFonts w:cs="Arial"/>
          <w:sz w:val="24"/>
          <w:szCs w:val="24"/>
        </w:rPr>
        <w:t xml:space="preserve"> </w:t>
      </w:r>
      <w:r w:rsidR="003C7611" w:rsidRPr="00CF5EF2">
        <w:rPr>
          <w:sz w:val="24"/>
          <w:szCs w:val="24"/>
        </w:rPr>
        <w:t>when or if the person on parental leave will return.</w:t>
      </w:r>
      <w:r w:rsidR="00E63AC7">
        <w:rPr>
          <w:rStyle w:val="EndnoteReference"/>
          <w:szCs w:val="24"/>
        </w:rPr>
        <w:endnoteReference w:id="32"/>
      </w:r>
    </w:p>
    <w:p w:rsidR="00646AAB" w:rsidRDefault="00646AAB" w:rsidP="00252618">
      <w:pPr>
        <w:ind w:left="720"/>
        <w:rPr>
          <w:rFonts w:cs="Arial"/>
        </w:rPr>
      </w:pPr>
      <w:r w:rsidRPr="008E6FE0">
        <w:rPr>
          <w:rFonts w:cs="Arial"/>
        </w:rPr>
        <w:t>We are a small business and the burden on other workers</w:t>
      </w:r>
      <w:r>
        <w:rPr>
          <w:rFonts w:cs="Arial"/>
        </w:rPr>
        <w:t>,</w:t>
      </w:r>
      <w:r w:rsidRPr="008E6FE0">
        <w:rPr>
          <w:rFonts w:cs="Arial"/>
        </w:rPr>
        <w:t xml:space="preserve"> especially if they do not have the skills of the worker on </w:t>
      </w:r>
      <w:r>
        <w:rPr>
          <w:rFonts w:cs="Arial"/>
        </w:rPr>
        <w:t xml:space="preserve">[parental] </w:t>
      </w:r>
      <w:r w:rsidRPr="008E6FE0">
        <w:rPr>
          <w:rFonts w:cs="Arial"/>
        </w:rPr>
        <w:t>leave</w:t>
      </w:r>
      <w:r>
        <w:rPr>
          <w:rFonts w:cs="Arial"/>
        </w:rPr>
        <w:t>,</w:t>
      </w:r>
      <w:r w:rsidRPr="008E6FE0">
        <w:rPr>
          <w:rFonts w:cs="Arial"/>
        </w:rPr>
        <w:t xml:space="preserve"> is stressful</w:t>
      </w:r>
      <w:r>
        <w:rPr>
          <w:rFonts w:cs="Arial"/>
        </w:rPr>
        <w:t>.</w:t>
      </w:r>
      <w:r>
        <w:rPr>
          <w:rStyle w:val="EndnoteReference"/>
          <w:rFonts w:cs="Arial"/>
        </w:rPr>
        <w:endnoteReference w:id="33"/>
      </w:r>
    </w:p>
    <w:p w:rsidR="00F046E3" w:rsidRPr="00BA7AC3" w:rsidRDefault="00F046E3" w:rsidP="00F046E3">
      <w:pPr>
        <w:ind w:left="720"/>
        <w:rPr>
          <w:rFonts w:cs="Arial"/>
          <w:i/>
        </w:rPr>
      </w:pPr>
      <w:r>
        <w:rPr>
          <w:rFonts w:cs="Arial"/>
        </w:rPr>
        <w:t>[A]</w:t>
      </w:r>
      <w:r w:rsidRPr="00AF2F7F">
        <w:rPr>
          <w:rFonts w:cs="Arial"/>
        </w:rPr>
        <w:t xml:space="preserve"> </w:t>
      </w:r>
      <w:proofErr w:type="gramStart"/>
      <w:r w:rsidRPr="00AF2F7F">
        <w:rPr>
          <w:rFonts w:cs="Arial"/>
        </w:rPr>
        <w:t>major</w:t>
      </w:r>
      <w:proofErr w:type="gramEnd"/>
      <w:r w:rsidRPr="00AF2F7F">
        <w:rPr>
          <w:rFonts w:cs="Arial"/>
        </w:rPr>
        <w:t xml:space="preserve"> challenge faced by electrical</w:t>
      </w:r>
      <w:r>
        <w:rPr>
          <w:rFonts w:cs="Arial"/>
        </w:rPr>
        <w:t xml:space="preserve"> </w:t>
      </w:r>
      <w:r w:rsidRPr="00AF2F7F">
        <w:rPr>
          <w:rFonts w:cs="Arial"/>
        </w:rPr>
        <w:t>contracting businesses is the limited safe work options available</w:t>
      </w:r>
      <w:r>
        <w:rPr>
          <w:rFonts w:cs="Arial"/>
        </w:rPr>
        <w:t xml:space="preserve"> </w:t>
      </w:r>
      <w:r w:rsidRPr="00AF2F7F">
        <w:rPr>
          <w:rFonts w:cs="Arial"/>
        </w:rPr>
        <w:t>for pregnant female electricians. This is particularly</w:t>
      </w:r>
      <w:r>
        <w:rPr>
          <w:rFonts w:cs="Arial"/>
        </w:rPr>
        <w:t xml:space="preserve"> </w:t>
      </w:r>
      <w:r w:rsidRPr="00AF2F7F">
        <w:rPr>
          <w:rFonts w:cs="Arial"/>
        </w:rPr>
        <w:t>problematic for micro businesses that may only employ one or two</w:t>
      </w:r>
      <w:r>
        <w:rPr>
          <w:rFonts w:cs="Arial"/>
        </w:rPr>
        <w:t xml:space="preserve"> </w:t>
      </w:r>
      <w:r w:rsidRPr="00AF2F7F">
        <w:rPr>
          <w:rFonts w:cs="Arial"/>
        </w:rPr>
        <w:t>electricians and perform the administrative side of the business</w:t>
      </w:r>
      <w:r>
        <w:rPr>
          <w:rFonts w:cs="Arial"/>
        </w:rPr>
        <w:t xml:space="preserve"> </w:t>
      </w:r>
      <w:r w:rsidRPr="00AF2F7F">
        <w:rPr>
          <w:rFonts w:cs="Arial"/>
        </w:rPr>
        <w:t>themselves or engage a family member.</w:t>
      </w:r>
      <w:r>
        <w:rPr>
          <w:rStyle w:val="EndnoteReference"/>
          <w:rFonts w:cs="Arial"/>
        </w:rPr>
        <w:endnoteReference w:id="34"/>
      </w:r>
    </w:p>
    <w:p w:rsidR="00F046E3" w:rsidRPr="00FE73C4" w:rsidRDefault="00742B35" w:rsidP="00F046E3">
      <w:pPr>
        <w:ind w:left="720"/>
        <w:rPr>
          <w:rFonts w:cs="Arial"/>
        </w:rPr>
      </w:pPr>
      <w:r>
        <w:rPr>
          <w:rFonts w:cs="Arial"/>
        </w:rPr>
        <w:t xml:space="preserve">Some managers </w:t>
      </w:r>
      <w:r w:rsidR="00F046E3">
        <w:rPr>
          <w:rFonts w:cs="Arial"/>
        </w:rPr>
        <w:t xml:space="preserve">can manage </w:t>
      </w:r>
      <w:r>
        <w:rPr>
          <w:rFonts w:cs="Arial"/>
        </w:rPr>
        <w:t>[</w:t>
      </w:r>
      <w:r w:rsidR="00F046E3">
        <w:rPr>
          <w:rFonts w:cs="Arial"/>
        </w:rPr>
        <w:t>pregnancy, parental leave and return to work] well, some don’t.</w:t>
      </w:r>
      <w:r w:rsidR="00F046E3">
        <w:rPr>
          <w:rStyle w:val="EndnoteReference"/>
          <w:rFonts w:cs="Arial"/>
        </w:rPr>
        <w:endnoteReference w:id="35"/>
      </w:r>
    </w:p>
    <w:p w:rsidR="00976A71" w:rsidRDefault="00742B35" w:rsidP="003D2A1C">
      <w:pPr>
        <w:rPr>
          <w:rFonts w:cs="Arial"/>
        </w:rPr>
      </w:pPr>
      <w:r>
        <w:rPr>
          <w:rFonts w:cs="Arial"/>
        </w:rPr>
        <w:t>However,</w:t>
      </w:r>
      <w:r w:rsidR="003D2A1C">
        <w:rPr>
          <w:rFonts w:cs="Arial"/>
        </w:rPr>
        <w:t xml:space="preserve"> many employers,</w:t>
      </w:r>
      <w:r w:rsidR="00216105" w:rsidRPr="002F36EB">
        <w:rPr>
          <w:rFonts w:cs="Arial"/>
        </w:rPr>
        <w:t xml:space="preserve"> small and large, are implementing leading practices to support and retain pregnant employees and working parents.</w:t>
      </w:r>
      <w:r w:rsidR="00921ABB">
        <w:rPr>
          <w:rFonts w:cs="Arial"/>
        </w:rPr>
        <w:t xml:space="preserve"> </w:t>
      </w:r>
    </w:p>
    <w:p w:rsidR="00976A71" w:rsidRPr="00976A71" w:rsidRDefault="00976A71" w:rsidP="00976A71">
      <w:pPr>
        <w:spacing w:before="0" w:after="0"/>
        <w:rPr>
          <w:rFonts w:cs="Arial"/>
        </w:rPr>
      </w:pPr>
      <w:r w:rsidRPr="00976A71">
        <w:rPr>
          <w:rFonts w:cs="Arial"/>
        </w:rPr>
        <w:t>Critical to the success of these practices and strateg</w:t>
      </w:r>
      <w:r>
        <w:rPr>
          <w:rFonts w:cs="Arial"/>
        </w:rPr>
        <w:t>ies is establishing the</w:t>
      </w:r>
      <w:r w:rsidRPr="00976A71">
        <w:rPr>
          <w:rFonts w:cs="Arial"/>
        </w:rPr>
        <w:t xml:space="preserve"> foundations for success, including</w:t>
      </w:r>
      <w:r>
        <w:rPr>
          <w:rFonts w:cs="Arial"/>
        </w:rPr>
        <w:t xml:space="preserve">, making sure </w:t>
      </w:r>
      <w:r w:rsidRPr="00976A71">
        <w:rPr>
          <w:rFonts w:cs="Arial"/>
        </w:rPr>
        <w:t>the right policies and practices are in place</w:t>
      </w:r>
      <w:r>
        <w:rPr>
          <w:rFonts w:cs="Arial"/>
        </w:rPr>
        <w:t xml:space="preserve"> and they are effectively communicated throughout the organisation. It requires </w:t>
      </w:r>
      <w:r w:rsidRPr="002F36EB">
        <w:rPr>
          <w:rFonts w:cs="Arial"/>
        </w:rPr>
        <w:t xml:space="preserve">leaders within the organisation </w:t>
      </w:r>
      <w:r>
        <w:rPr>
          <w:rFonts w:cs="Arial"/>
        </w:rPr>
        <w:t>to be</w:t>
      </w:r>
      <w:r w:rsidRPr="002F36EB">
        <w:rPr>
          <w:rFonts w:cs="Arial"/>
        </w:rPr>
        <w:t xml:space="preserve"> vocal and committed to supporting pregnant employees and working p</w:t>
      </w:r>
      <w:r>
        <w:rPr>
          <w:rFonts w:cs="Arial"/>
        </w:rPr>
        <w:t>arents within the organisation.</w:t>
      </w:r>
      <w:r w:rsidR="00FC42BC">
        <w:rPr>
          <w:rFonts w:cs="Arial"/>
        </w:rPr>
        <w:t xml:space="preserve"> Table 1</w:t>
      </w:r>
      <w:r w:rsidR="00262001">
        <w:rPr>
          <w:rFonts w:cs="Arial"/>
        </w:rPr>
        <w:t xml:space="preserve"> outlines the steps necessary for laying a successful foundation and includes examples of leading strategies</w:t>
      </w:r>
      <w:r w:rsidR="00FC42BC">
        <w:rPr>
          <w:rFonts w:cs="Arial"/>
        </w:rPr>
        <w:t>.</w:t>
      </w:r>
    </w:p>
    <w:p w:rsidR="00976A71" w:rsidRDefault="00976A71" w:rsidP="00976A71">
      <w:pPr>
        <w:rPr>
          <w:rFonts w:cs="Arial"/>
        </w:rPr>
      </w:pPr>
      <w:r>
        <w:rPr>
          <w:rFonts w:cs="Arial"/>
        </w:rPr>
        <w:t xml:space="preserve">Success </w:t>
      </w:r>
      <w:r w:rsidR="00345734">
        <w:rPr>
          <w:rFonts w:cs="Arial"/>
        </w:rPr>
        <w:t xml:space="preserve">also </w:t>
      </w:r>
      <w:r>
        <w:rPr>
          <w:rFonts w:cs="Arial"/>
        </w:rPr>
        <w:t xml:space="preserve">requires effectively implementing the strategies and practices. This requires managing pregnancy/return to work related issues in a holistic manner </w:t>
      </w:r>
      <w:r w:rsidR="000541CB">
        <w:rPr>
          <w:rFonts w:cs="Arial"/>
        </w:rPr>
        <w:t>including</w:t>
      </w:r>
      <w:r>
        <w:rPr>
          <w:rFonts w:cs="Arial"/>
        </w:rPr>
        <w:t xml:space="preserve">: developing a plan </w:t>
      </w:r>
      <w:r w:rsidRPr="002F36EB">
        <w:rPr>
          <w:rFonts w:cs="Arial"/>
        </w:rPr>
        <w:t>from the time an employee announces her pregnancy; through to preparing for an employee’s parental leave; staying connected during parental leave; reintegrat</w:t>
      </w:r>
      <w:r>
        <w:rPr>
          <w:rFonts w:cs="Arial"/>
        </w:rPr>
        <w:t>ing after</w:t>
      </w:r>
      <w:r w:rsidRPr="002F36EB">
        <w:rPr>
          <w:rFonts w:cs="Arial"/>
        </w:rPr>
        <w:t xml:space="preserve"> parental leave; and career acceleration upon </w:t>
      </w:r>
      <w:r>
        <w:rPr>
          <w:rFonts w:cs="Arial"/>
        </w:rPr>
        <w:t xml:space="preserve">their </w:t>
      </w:r>
      <w:r w:rsidRPr="002F36EB">
        <w:rPr>
          <w:rFonts w:cs="Arial"/>
        </w:rPr>
        <w:t>return.</w:t>
      </w:r>
      <w:r w:rsidR="006D396B">
        <w:rPr>
          <w:rFonts w:cs="Arial"/>
        </w:rPr>
        <w:t xml:space="preserve"> Table 2 below outlines the practical steps for </w:t>
      </w:r>
      <w:r w:rsidR="000A1E4A">
        <w:rPr>
          <w:rFonts w:cs="Arial"/>
        </w:rPr>
        <w:t xml:space="preserve">effective </w:t>
      </w:r>
      <w:r w:rsidR="006D396B">
        <w:rPr>
          <w:rFonts w:cs="Arial"/>
        </w:rPr>
        <w:t xml:space="preserve">implementation. </w:t>
      </w:r>
    </w:p>
    <w:p w:rsidR="00670892" w:rsidRPr="00670892" w:rsidRDefault="00FC42BC" w:rsidP="00670892">
      <w:pPr>
        <w:rPr>
          <w:rFonts w:cs="Arial"/>
          <w:b/>
          <w:szCs w:val="28"/>
        </w:rPr>
      </w:pPr>
      <w:r>
        <w:rPr>
          <w:rFonts w:cs="Arial"/>
          <w:b/>
          <w:szCs w:val="28"/>
        </w:rPr>
        <w:t xml:space="preserve">Table 1: </w:t>
      </w:r>
      <w:r w:rsidR="00670892" w:rsidRPr="00670892">
        <w:rPr>
          <w:rFonts w:cs="Arial"/>
          <w:b/>
          <w:szCs w:val="28"/>
        </w:rPr>
        <w:t>Establishing the foundations for success: Getting your policies and systems in place</w:t>
      </w:r>
    </w:p>
    <w:tbl>
      <w:tblPr>
        <w:tblStyle w:val="TableGrid"/>
        <w:tblW w:w="0" w:type="auto"/>
        <w:tblInd w:w="-176" w:type="dxa"/>
        <w:tblLook w:val="04A0" w:firstRow="1" w:lastRow="0" w:firstColumn="1" w:lastColumn="0" w:noHBand="0" w:noVBand="1"/>
      </w:tblPr>
      <w:tblGrid>
        <w:gridCol w:w="1985"/>
        <w:gridCol w:w="3119"/>
        <w:gridCol w:w="3402"/>
      </w:tblGrid>
      <w:tr w:rsidR="0014696C" w:rsidRPr="00C679A4" w:rsidTr="00FB7833">
        <w:trPr>
          <w:tblHeader/>
        </w:trPr>
        <w:tc>
          <w:tcPr>
            <w:tcW w:w="1985" w:type="dxa"/>
          </w:tcPr>
          <w:p w:rsidR="0014696C" w:rsidRPr="00C679A4" w:rsidRDefault="0014696C" w:rsidP="00252618">
            <w:pPr>
              <w:rPr>
                <w:rFonts w:cs="Arial"/>
                <w:b/>
              </w:rPr>
            </w:pPr>
            <w:r w:rsidRPr="00C679A4">
              <w:rPr>
                <w:rFonts w:cs="Arial"/>
                <w:b/>
              </w:rPr>
              <w:t>What</w:t>
            </w:r>
          </w:p>
        </w:tc>
        <w:tc>
          <w:tcPr>
            <w:tcW w:w="3119" w:type="dxa"/>
          </w:tcPr>
          <w:p w:rsidR="0014696C" w:rsidRPr="00C679A4" w:rsidRDefault="0014696C" w:rsidP="00252618">
            <w:pPr>
              <w:rPr>
                <w:rFonts w:cs="Arial"/>
                <w:b/>
              </w:rPr>
            </w:pPr>
            <w:r w:rsidRPr="00C679A4">
              <w:rPr>
                <w:rFonts w:cs="Arial"/>
                <w:b/>
              </w:rPr>
              <w:t>How</w:t>
            </w:r>
          </w:p>
        </w:tc>
        <w:tc>
          <w:tcPr>
            <w:tcW w:w="3402" w:type="dxa"/>
          </w:tcPr>
          <w:p w:rsidR="0014696C" w:rsidRPr="00C679A4" w:rsidRDefault="0014696C" w:rsidP="00252618">
            <w:pPr>
              <w:rPr>
                <w:rFonts w:cs="Arial"/>
                <w:b/>
              </w:rPr>
            </w:pPr>
            <w:r w:rsidRPr="00C679A4">
              <w:rPr>
                <w:rFonts w:cs="Arial"/>
                <w:b/>
              </w:rPr>
              <w:t>Examples</w:t>
            </w:r>
          </w:p>
        </w:tc>
      </w:tr>
      <w:tr w:rsidR="0014696C" w:rsidRPr="00C679A4" w:rsidTr="00FB7833">
        <w:tc>
          <w:tcPr>
            <w:tcW w:w="1985" w:type="dxa"/>
          </w:tcPr>
          <w:p w:rsidR="0014696C" w:rsidRPr="00C679A4" w:rsidRDefault="0014696C" w:rsidP="00252618">
            <w:pPr>
              <w:rPr>
                <w:rFonts w:cs="Arial"/>
                <w:b/>
              </w:rPr>
            </w:pPr>
            <w:r w:rsidRPr="00C679A4">
              <w:rPr>
                <w:rFonts w:cs="Arial"/>
              </w:rPr>
              <w:t>Think big picture: understanding ‘what’ and ‘why’</w:t>
            </w:r>
          </w:p>
        </w:tc>
        <w:tc>
          <w:tcPr>
            <w:tcW w:w="3119" w:type="dxa"/>
          </w:tcPr>
          <w:p w:rsidR="0014696C" w:rsidRPr="00C679A4" w:rsidRDefault="0014696C" w:rsidP="00252618">
            <w:pPr>
              <w:rPr>
                <w:rFonts w:cs="Arial"/>
                <w:i/>
              </w:rPr>
            </w:pPr>
            <w:r w:rsidRPr="00C679A4">
              <w:rPr>
                <w:rFonts w:cs="Arial"/>
              </w:rPr>
              <w:t xml:space="preserve">Know your legal responsibilities as a business; </w:t>
            </w:r>
            <w:r>
              <w:rPr>
                <w:rFonts w:cs="Arial"/>
              </w:rPr>
              <w:t>u</w:t>
            </w:r>
            <w:r w:rsidRPr="00C679A4">
              <w:rPr>
                <w:rFonts w:cs="Arial"/>
              </w:rPr>
              <w:t xml:space="preserve">nderstand and communicate the reasons; </w:t>
            </w:r>
            <w:r>
              <w:rPr>
                <w:rFonts w:cs="Arial"/>
              </w:rPr>
              <w:t>a</w:t>
            </w:r>
            <w:r w:rsidRPr="00C679A4">
              <w:rPr>
                <w:rFonts w:cs="Arial"/>
              </w:rPr>
              <w:t xml:space="preserve">pproach the </w:t>
            </w:r>
            <w:r>
              <w:rPr>
                <w:rFonts w:cs="Arial"/>
              </w:rPr>
              <w:t xml:space="preserve">pregnancy and </w:t>
            </w:r>
            <w:r w:rsidRPr="00C679A4">
              <w:rPr>
                <w:rFonts w:cs="Arial"/>
              </w:rPr>
              <w:t>parental leave process as a continuum</w:t>
            </w:r>
          </w:p>
          <w:p w:rsidR="0014696C" w:rsidRPr="00C679A4" w:rsidRDefault="0014696C" w:rsidP="00252618">
            <w:pPr>
              <w:rPr>
                <w:rFonts w:cs="Arial"/>
              </w:rPr>
            </w:pPr>
          </w:p>
        </w:tc>
        <w:tc>
          <w:tcPr>
            <w:tcW w:w="3402" w:type="dxa"/>
          </w:tcPr>
          <w:p w:rsidR="0014696C" w:rsidRPr="00C679A4" w:rsidRDefault="0014696C" w:rsidP="00252618">
            <w:pPr>
              <w:rPr>
                <w:rFonts w:cs="Arial"/>
              </w:rPr>
            </w:pPr>
            <w:r w:rsidRPr="00C679A4">
              <w:rPr>
                <w:rFonts w:cs="Arial"/>
              </w:rPr>
              <w:t>Utilise existing resources and advice from gover</w:t>
            </w:r>
            <w:r>
              <w:rPr>
                <w:rFonts w:cs="Arial"/>
              </w:rPr>
              <w:t>nment and industry peak bodies; c</w:t>
            </w:r>
            <w:r w:rsidRPr="00C679A4">
              <w:rPr>
                <w:rFonts w:cs="Arial"/>
              </w:rPr>
              <w:t xml:space="preserve">ommunicate policy and procedures; </w:t>
            </w:r>
            <w:r>
              <w:rPr>
                <w:rFonts w:cs="Arial"/>
              </w:rPr>
              <w:t>p</w:t>
            </w:r>
            <w:r w:rsidRPr="00C679A4">
              <w:rPr>
                <w:rFonts w:cs="Arial"/>
              </w:rPr>
              <w:t>romote awareness and understanding</w:t>
            </w:r>
            <w:r>
              <w:rPr>
                <w:rFonts w:cs="Arial"/>
              </w:rPr>
              <w:t>.</w:t>
            </w:r>
          </w:p>
        </w:tc>
      </w:tr>
      <w:tr w:rsidR="0014696C" w:rsidRPr="00C679A4" w:rsidTr="00FB7833">
        <w:tc>
          <w:tcPr>
            <w:tcW w:w="1985" w:type="dxa"/>
          </w:tcPr>
          <w:p w:rsidR="0014696C" w:rsidRPr="00C679A4" w:rsidRDefault="0014696C" w:rsidP="00252618">
            <w:pPr>
              <w:rPr>
                <w:rFonts w:cs="Arial"/>
                <w:b/>
              </w:rPr>
            </w:pPr>
            <w:r w:rsidRPr="00C679A4">
              <w:rPr>
                <w:rFonts w:cs="Arial"/>
              </w:rPr>
              <w:t>Lead the way: Role modelling behaviour</w:t>
            </w:r>
          </w:p>
        </w:tc>
        <w:tc>
          <w:tcPr>
            <w:tcW w:w="3119" w:type="dxa"/>
          </w:tcPr>
          <w:p w:rsidR="0014696C" w:rsidRPr="00C679A4" w:rsidRDefault="0014696C" w:rsidP="00252618">
            <w:pPr>
              <w:rPr>
                <w:rFonts w:cs="Arial"/>
              </w:rPr>
            </w:pPr>
            <w:r w:rsidRPr="00C679A4">
              <w:rPr>
                <w:rFonts w:cs="Arial"/>
              </w:rPr>
              <w:t xml:space="preserve">Ensure that senior leaders in the organisation are vocal and </w:t>
            </w:r>
            <w:r>
              <w:rPr>
                <w:rFonts w:cs="Arial"/>
              </w:rPr>
              <w:t xml:space="preserve">visibly </w:t>
            </w:r>
            <w:r w:rsidRPr="00C679A4">
              <w:rPr>
                <w:rFonts w:cs="Arial"/>
              </w:rPr>
              <w:t xml:space="preserve">committed </w:t>
            </w:r>
          </w:p>
          <w:p w:rsidR="0014696C" w:rsidRPr="00C679A4" w:rsidRDefault="0014696C" w:rsidP="00252618">
            <w:pPr>
              <w:rPr>
                <w:rFonts w:cs="Arial"/>
              </w:rPr>
            </w:pPr>
          </w:p>
        </w:tc>
        <w:tc>
          <w:tcPr>
            <w:tcW w:w="3402" w:type="dxa"/>
          </w:tcPr>
          <w:p w:rsidR="0014696C" w:rsidRPr="00C679A4" w:rsidRDefault="0014696C" w:rsidP="00252618">
            <w:pPr>
              <w:rPr>
                <w:rFonts w:cs="Arial"/>
              </w:rPr>
            </w:pPr>
            <w:r w:rsidRPr="00C679A4">
              <w:rPr>
                <w:rFonts w:cs="Arial"/>
              </w:rPr>
              <w:t xml:space="preserve">Senior leaders vocally </w:t>
            </w:r>
            <w:r>
              <w:rPr>
                <w:rFonts w:cs="Arial"/>
              </w:rPr>
              <w:t xml:space="preserve">champion </w:t>
            </w:r>
            <w:r w:rsidRPr="00C679A4">
              <w:rPr>
                <w:rFonts w:cs="Arial"/>
              </w:rPr>
              <w:t>the value of pregnant employees and employees on return</w:t>
            </w:r>
            <w:r>
              <w:rPr>
                <w:rFonts w:cs="Arial"/>
              </w:rPr>
              <w:t xml:space="preserve"> to work; s</w:t>
            </w:r>
            <w:r w:rsidRPr="00C679A4">
              <w:rPr>
                <w:rFonts w:cs="Arial"/>
              </w:rPr>
              <w:t xml:space="preserve">enior leaders vocally </w:t>
            </w:r>
            <w:r>
              <w:rPr>
                <w:rFonts w:cs="Arial"/>
              </w:rPr>
              <w:t>support</w:t>
            </w:r>
            <w:r w:rsidRPr="00C679A4">
              <w:rPr>
                <w:rFonts w:cs="Arial"/>
              </w:rPr>
              <w:t xml:space="preserve"> and </w:t>
            </w:r>
            <w:r>
              <w:rPr>
                <w:rFonts w:cs="Arial"/>
              </w:rPr>
              <w:t>model</w:t>
            </w:r>
            <w:r w:rsidRPr="00C679A4">
              <w:rPr>
                <w:rFonts w:cs="Arial"/>
              </w:rPr>
              <w:t xml:space="preserve"> flexible work arrangements</w:t>
            </w:r>
            <w:r>
              <w:rPr>
                <w:rFonts w:cs="Arial"/>
              </w:rPr>
              <w:t>.</w:t>
            </w:r>
            <w:r w:rsidRPr="00C679A4">
              <w:rPr>
                <w:rFonts w:cs="Arial"/>
              </w:rPr>
              <w:t xml:space="preserve"> </w:t>
            </w:r>
          </w:p>
        </w:tc>
      </w:tr>
      <w:tr w:rsidR="0014696C" w:rsidRPr="00C679A4" w:rsidTr="00FB7833">
        <w:tc>
          <w:tcPr>
            <w:tcW w:w="1985" w:type="dxa"/>
          </w:tcPr>
          <w:p w:rsidR="0014696C" w:rsidRPr="00C679A4" w:rsidRDefault="0014696C" w:rsidP="00252618">
            <w:pPr>
              <w:rPr>
                <w:rFonts w:cs="Arial"/>
                <w:b/>
              </w:rPr>
            </w:pPr>
            <w:r w:rsidRPr="00C679A4">
              <w:rPr>
                <w:rFonts w:cs="Arial"/>
              </w:rPr>
              <w:t>Get the right policies in place: Establishing effective programs</w:t>
            </w:r>
          </w:p>
        </w:tc>
        <w:tc>
          <w:tcPr>
            <w:tcW w:w="3119" w:type="dxa"/>
          </w:tcPr>
          <w:p w:rsidR="0014696C" w:rsidRPr="00C679A4" w:rsidRDefault="0014696C" w:rsidP="00252618">
            <w:pPr>
              <w:rPr>
                <w:rFonts w:cs="Arial"/>
              </w:rPr>
            </w:pPr>
            <w:r w:rsidRPr="00C679A4">
              <w:rPr>
                <w:rFonts w:cs="Arial"/>
              </w:rPr>
              <w:t>Ensure tha</w:t>
            </w:r>
            <w:r>
              <w:rPr>
                <w:rFonts w:cs="Arial"/>
              </w:rPr>
              <w:t>t policies regarding pregnancy,</w:t>
            </w:r>
            <w:r w:rsidRPr="00C679A4">
              <w:rPr>
                <w:rFonts w:cs="Arial"/>
              </w:rPr>
              <w:t xml:space="preserve"> parental leave</w:t>
            </w:r>
            <w:r>
              <w:rPr>
                <w:rFonts w:cs="Arial"/>
              </w:rPr>
              <w:t xml:space="preserve"> and return to work,</w:t>
            </w:r>
            <w:r w:rsidRPr="00C679A4">
              <w:rPr>
                <w:rFonts w:cs="Arial"/>
              </w:rPr>
              <w:t xml:space="preserve"> are comprehensive, effective and in line with your legal responsibilities</w:t>
            </w:r>
          </w:p>
          <w:p w:rsidR="0014696C" w:rsidRPr="00C679A4" w:rsidRDefault="0014696C" w:rsidP="00252618">
            <w:pPr>
              <w:rPr>
                <w:rFonts w:cs="Arial"/>
              </w:rPr>
            </w:pPr>
          </w:p>
        </w:tc>
        <w:tc>
          <w:tcPr>
            <w:tcW w:w="3402" w:type="dxa"/>
          </w:tcPr>
          <w:p w:rsidR="0014696C" w:rsidRPr="00C679A4" w:rsidRDefault="0014696C" w:rsidP="00252618">
            <w:pPr>
              <w:rPr>
                <w:rFonts w:cs="Arial"/>
              </w:rPr>
            </w:pPr>
            <w:r w:rsidRPr="00C679A4">
              <w:rPr>
                <w:rFonts w:cs="Arial"/>
              </w:rPr>
              <w:t xml:space="preserve">Education and coaching for managers and employees; </w:t>
            </w:r>
            <w:r>
              <w:rPr>
                <w:rFonts w:cs="Arial"/>
              </w:rPr>
              <w:t>r</w:t>
            </w:r>
            <w:r w:rsidRPr="00C679A4">
              <w:rPr>
                <w:rFonts w:cs="Arial"/>
              </w:rPr>
              <w:t xml:space="preserve">eview of all decisions on dismissal or redundancy while an employee is </w:t>
            </w:r>
            <w:r>
              <w:rPr>
                <w:rFonts w:cs="Arial"/>
              </w:rPr>
              <w:t xml:space="preserve">pregnant, </w:t>
            </w:r>
            <w:r w:rsidRPr="00C679A4">
              <w:rPr>
                <w:rFonts w:cs="Arial"/>
              </w:rPr>
              <w:t>on parental leave</w:t>
            </w:r>
            <w:r>
              <w:rPr>
                <w:rFonts w:cs="Arial"/>
              </w:rPr>
              <w:t xml:space="preserve"> or on return to work</w:t>
            </w:r>
            <w:r w:rsidRPr="00C679A4">
              <w:rPr>
                <w:rFonts w:cs="Arial"/>
              </w:rPr>
              <w:t xml:space="preserve">; </w:t>
            </w:r>
            <w:r>
              <w:rPr>
                <w:rFonts w:cs="Arial"/>
              </w:rPr>
              <w:t>f</w:t>
            </w:r>
            <w:r w:rsidRPr="00C679A4">
              <w:rPr>
                <w:rFonts w:cs="Arial"/>
              </w:rPr>
              <w:t xml:space="preserve">lexible work policies; </w:t>
            </w:r>
            <w:r>
              <w:rPr>
                <w:rFonts w:cs="Arial"/>
              </w:rPr>
              <w:t>e</w:t>
            </w:r>
            <w:r w:rsidRPr="00C679A4">
              <w:rPr>
                <w:rFonts w:cs="Arial"/>
              </w:rPr>
              <w:t xml:space="preserve">mployer funded parental leave (for primary and secondary carers); </w:t>
            </w:r>
            <w:r>
              <w:rPr>
                <w:rFonts w:cs="Arial"/>
              </w:rPr>
              <w:t>e</w:t>
            </w:r>
            <w:r w:rsidRPr="00C679A4">
              <w:rPr>
                <w:rFonts w:cs="Arial"/>
              </w:rPr>
              <w:t xml:space="preserve">mployer funded </w:t>
            </w:r>
            <w:r>
              <w:rPr>
                <w:rFonts w:cs="Arial"/>
              </w:rPr>
              <w:t xml:space="preserve">early childhood education and care </w:t>
            </w:r>
            <w:r w:rsidRPr="00C679A4">
              <w:rPr>
                <w:rFonts w:cs="Arial"/>
              </w:rPr>
              <w:t xml:space="preserve">options; </w:t>
            </w:r>
            <w:r>
              <w:rPr>
                <w:rFonts w:cs="Arial"/>
              </w:rPr>
              <w:t>s</w:t>
            </w:r>
            <w:r w:rsidRPr="00C679A4">
              <w:rPr>
                <w:rFonts w:cs="Arial"/>
              </w:rPr>
              <w:t>pecial measures to accelerate change.</w:t>
            </w:r>
          </w:p>
        </w:tc>
      </w:tr>
      <w:tr w:rsidR="0014696C" w:rsidRPr="00C679A4" w:rsidTr="00FB7833">
        <w:tc>
          <w:tcPr>
            <w:tcW w:w="1985" w:type="dxa"/>
          </w:tcPr>
          <w:p w:rsidR="0014696C" w:rsidRPr="00C679A4" w:rsidRDefault="0014696C" w:rsidP="00252618">
            <w:pPr>
              <w:rPr>
                <w:rFonts w:cs="Arial"/>
                <w:b/>
              </w:rPr>
            </w:pPr>
            <w:r w:rsidRPr="00C679A4">
              <w:rPr>
                <w:rFonts w:cs="Arial"/>
              </w:rPr>
              <w:t>Track success: Monitoring and Evaluating policies and practices</w:t>
            </w:r>
          </w:p>
        </w:tc>
        <w:tc>
          <w:tcPr>
            <w:tcW w:w="3119" w:type="dxa"/>
          </w:tcPr>
          <w:p w:rsidR="0014696C" w:rsidRPr="00C679A4" w:rsidRDefault="0014696C" w:rsidP="00252618">
            <w:pPr>
              <w:rPr>
                <w:rFonts w:cs="Arial"/>
              </w:rPr>
            </w:pPr>
            <w:r w:rsidRPr="00C679A4">
              <w:rPr>
                <w:rFonts w:cs="Arial"/>
              </w:rPr>
              <w:t>Gain</w:t>
            </w:r>
            <w:r w:rsidRPr="00C679A4">
              <w:t xml:space="preserve"> a clear understanding of the state of implementation of </w:t>
            </w:r>
            <w:r>
              <w:t>policies in your organis</w:t>
            </w:r>
            <w:r w:rsidRPr="00C679A4">
              <w:t xml:space="preserve">ation; </w:t>
            </w:r>
            <w:r>
              <w:t>a</w:t>
            </w:r>
            <w:r w:rsidRPr="00C679A4">
              <w:t>ssess and review existing programs and practices at regular intervals to identify where improvements or changes need to be made</w:t>
            </w:r>
          </w:p>
        </w:tc>
        <w:tc>
          <w:tcPr>
            <w:tcW w:w="3402" w:type="dxa"/>
          </w:tcPr>
          <w:p w:rsidR="0014696C" w:rsidRPr="00C679A4" w:rsidRDefault="0014696C" w:rsidP="00252618">
            <w:pPr>
              <w:rPr>
                <w:rFonts w:cs="Arial"/>
              </w:rPr>
            </w:pPr>
            <w:r w:rsidRPr="00C679A4">
              <w:rPr>
                <w:rFonts w:cs="Arial"/>
              </w:rPr>
              <w:t xml:space="preserve">Regular audits of retention rates; </w:t>
            </w:r>
            <w:r>
              <w:rPr>
                <w:rFonts w:cs="Arial"/>
              </w:rPr>
              <w:t>r</w:t>
            </w:r>
            <w:r w:rsidRPr="00C679A4">
              <w:rPr>
                <w:rFonts w:cs="Arial"/>
              </w:rPr>
              <w:t>egular surveys and consultations with staff who intend to use/have recently used parental leave</w:t>
            </w:r>
            <w:r>
              <w:rPr>
                <w:rFonts w:cs="Arial"/>
              </w:rPr>
              <w:t xml:space="preserve"> or have returned to work; actively track</w:t>
            </w:r>
            <w:r w:rsidRPr="00C679A4">
              <w:rPr>
                <w:rFonts w:cs="Arial"/>
              </w:rPr>
              <w:t xml:space="preserve"> career progression post-parental leave; </w:t>
            </w:r>
            <w:r>
              <w:rPr>
                <w:rFonts w:cs="Arial"/>
              </w:rPr>
              <w:t>r</w:t>
            </w:r>
            <w:r w:rsidRPr="00C679A4">
              <w:rPr>
                <w:rFonts w:cs="Arial"/>
              </w:rPr>
              <w:t>egular implementation of relevant feedback into policies and practices</w:t>
            </w:r>
          </w:p>
        </w:tc>
      </w:tr>
      <w:tr w:rsidR="0014696C" w:rsidRPr="00C679A4" w:rsidTr="00FB7833">
        <w:tc>
          <w:tcPr>
            <w:tcW w:w="1985" w:type="dxa"/>
          </w:tcPr>
          <w:p w:rsidR="0014696C" w:rsidRPr="00C679A4" w:rsidRDefault="0014696C" w:rsidP="00252618">
            <w:pPr>
              <w:rPr>
                <w:rFonts w:cs="Arial"/>
                <w:b/>
              </w:rPr>
            </w:pPr>
            <w:r w:rsidRPr="00C679A4">
              <w:rPr>
                <w:rFonts w:cs="Arial"/>
              </w:rPr>
              <w:t>Enable informed and open decisions: Providing the information</w:t>
            </w:r>
          </w:p>
        </w:tc>
        <w:tc>
          <w:tcPr>
            <w:tcW w:w="3119" w:type="dxa"/>
          </w:tcPr>
          <w:p w:rsidR="0014696C" w:rsidRPr="00C679A4" w:rsidRDefault="0014696C" w:rsidP="00252618">
            <w:pPr>
              <w:rPr>
                <w:rFonts w:cs="Arial"/>
              </w:rPr>
            </w:pPr>
            <w:r w:rsidRPr="00C679A4">
              <w:rPr>
                <w:rFonts w:cs="Arial"/>
              </w:rPr>
              <w:t xml:space="preserve">Use a guide/toolkit; </w:t>
            </w:r>
            <w:r>
              <w:rPr>
                <w:rFonts w:cs="Arial"/>
              </w:rPr>
              <w:t>m</w:t>
            </w:r>
            <w:r w:rsidRPr="00C679A4">
              <w:rPr>
                <w:rFonts w:cs="Arial"/>
              </w:rPr>
              <w:t>ake the information accessible</w:t>
            </w:r>
          </w:p>
          <w:p w:rsidR="0014696C" w:rsidRPr="00C679A4" w:rsidRDefault="0014696C" w:rsidP="00252618">
            <w:pPr>
              <w:rPr>
                <w:rFonts w:cs="Arial"/>
              </w:rPr>
            </w:pPr>
          </w:p>
        </w:tc>
        <w:tc>
          <w:tcPr>
            <w:tcW w:w="3402" w:type="dxa"/>
          </w:tcPr>
          <w:p w:rsidR="0014696C" w:rsidRPr="00C679A4" w:rsidRDefault="0014696C" w:rsidP="00252618">
            <w:pPr>
              <w:rPr>
                <w:rFonts w:cs="Arial"/>
              </w:rPr>
            </w:pPr>
            <w:r w:rsidRPr="00C679A4">
              <w:rPr>
                <w:rFonts w:cs="Arial"/>
              </w:rPr>
              <w:t xml:space="preserve">Hardcopy guides/toolkits/brochures for soon-to-be/recent parents and line  managers; </w:t>
            </w:r>
            <w:r>
              <w:rPr>
                <w:rFonts w:cs="Arial"/>
              </w:rPr>
              <w:t>m</w:t>
            </w:r>
            <w:r w:rsidRPr="00C679A4">
              <w:rPr>
                <w:rFonts w:cs="Arial"/>
              </w:rPr>
              <w:t xml:space="preserve">ake information available for download from intranet and internet; </w:t>
            </w:r>
            <w:r>
              <w:rPr>
                <w:rFonts w:cs="Arial"/>
              </w:rPr>
              <w:t>a</w:t>
            </w:r>
            <w:r w:rsidRPr="00C679A4">
              <w:rPr>
                <w:rFonts w:cs="Arial"/>
              </w:rPr>
              <w:t>llocation of staff positions responsible for ensuring information accessibility of information</w:t>
            </w:r>
          </w:p>
        </w:tc>
      </w:tr>
      <w:tr w:rsidR="0014696C" w:rsidRPr="00C679A4" w:rsidTr="00FB7833">
        <w:tc>
          <w:tcPr>
            <w:tcW w:w="1985" w:type="dxa"/>
          </w:tcPr>
          <w:p w:rsidR="0014696C" w:rsidRPr="00C679A4" w:rsidRDefault="0014696C" w:rsidP="00252618">
            <w:pPr>
              <w:rPr>
                <w:rFonts w:cs="Arial"/>
                <w:b/>
              </w:rPr>
            </w:pPr>
            <w:r w:rsidRPr="00C679A4">
              <w:rPr>
                <w:rFonts w:cs="Arial"/>
              </w:rPr>
              <w:t>Empower managers: Providing support for management</w:t>
            </w:r>
          </w:p>
        </w:tc>
        <w:tc>
          <w:tcPr>
            <w:tcW w:w="3119" w:type="dxa"/>
          </w:tcPr>
          <w:p w:rsidR="0014696C" w:rsidRPr="00C679A4" w:rsidRDefault="0014696C" w:rsidP="00252618">
            <w:pPr>
              <w:rPr>
                <w:rFonts w:cs="Arial"/>
              </w:rPr>
            </w:pPr>
            <w:r w:rsidRPr="00C679A4">
              <w:rPr>
                <w:rFonts w:cs="Arial"/>
              </w:rPr>
              <w:t xml:space="preserve">Ensure that all managers are aware and informed of policies; </w:t>
            </w:r>
            <w:r>
              <w:rPr>
                <w:rFonts w:cs="Arial"/>
              </w:rPr>
              <w:t>s</w:t>
            </w:r>
            <w:r w:rsidRPr="00C679A4">
              <w:rPr>
                <w:rFonts w:cs="Arial"/>
              </w:rPr>
              <w:t xml:space="preserve">upport managers with coaching and resources; </w:t>
            </w:r>
            <w:r>
              <w:rPr>
                <w:rFonts w:cs="Arial"/>
              </w:rPr>
              <w:t>e</w:t>
            </w:r>
            <w:r w:rsidRPr="00C679A4">
              <w:rPr>
                <w:rFonts w:cs="Arial"/>
              </w:rPr>
              <w:t>nsure that the organisation’s structures encourage managers to support pregnant women and working parents</w:t>
            </w:r>
          </w:p>
          <w:p w:rsidR="0014696C" w:rsidRPr="00C679A4" w:rsidRDefault="0014696C" w:rsidP="00252618">
            <w:pPr>
              <w:rPr>
                <w:rFonts w:cs="Arial"/>
              </w:rPr>
            </w:pPr>
          </w:p>
        </w:tc>
        <w:tc>
          <w:tcPr>
            <w:tcW w:w="3402" w:type="dxa"/>
          </w:tcPr>
          <w:p w:rsidR="0014696C" w:rsidRPr="00C679A4" w:rsidRDefault="0014696C" w:rsidP="00252618">
            <w:pPr>
              <w:rPr>
                <w:rFonts w:cs="Arial"/>
              </w:rPr>
            </w:pPr>
            <w:r w:rsidRPr="00C679A4">
              <w:rPr>
                <w:rFonts w:cs="Arial"/>
              </w:rPr>
              <w:t xml:space="preserve">Formal training and coaching for all managers; </w:t>
            </w:r>
            <w:r>
              <w:rPr>
                <w:rFonts w:cs="Arial"/>
              </w:rPr>
              <w:t>c</w:t>
            </w:r>
            <w:r w:rsidRPr="00C679A4">
              <w:rPr>
                <w:rFonts w:cs="Arial"/>
              </w:rPr>
              <w:t xml:space="preserve">hecklists for managers to assist in implementation of a formal frameworks and procedures; </w:t>
            </w:r>
            <w:r>
              <w:rPr>
                <w:rFonts w:cs="Arial"/>
              </w:rPr>
              <w:t>m</w:t>
            </w:r>
            <w:r w:rsidRPr="00C679A4">
              <w:rPr>
                <w:rFonts w:cs="Arial"/>
              </w:rPr>
              <w:t xml:space="preserve">onitor and reward managers, </w:t>
            </w:r>
            <w:proofErr w:type="spellStart"/>
            <w:r>
              <w:rPr>
                <w:rFonts w:cs="Arial"/>
              </w:rPr>
              <w:t>eg</w:t>
            </w:r>
            <w:proofErr w:type="spellEnd"/>
            <w:r w:rsidRPr="00C679A4">
              <w:rPr>
                <w:rFonts w:cs="Arial"/>
              </w:rPr>
              <w:t xml:space="preserve"> performance criteria and repercussions for manag</w:t>
            </w:r>
            <w:r>
              <w:rPr>
                <w:rFonts w:cs="Arial"/>
              </w:rPr>
              <w:t>ers who discriminate; conduct</w:t>
            </w:r>
            <w:r w:rsidRPr="00C679A4">
              <w:rPr>
                <w:rFonts w:cs="Arial"/>
              </w:rPr>
              <w:t xml:space="preserve"> surveys to assist in performance feedback</w:t>
            </w:r>
          </w:p>
        </w:tc>
      </w:tr>
      <w:tr w:rsidR="0014696C" w:rsidRPr="00C679A4" w:rsidTr="00FB7833">
        <w:tc>
          <w:tcPr>
            <w:tcW w:w="1985" w:type="dxa"/>
          </w:tcPr>
          <w:p w:rsidR="0014696C" w:rsidRPr="00C679A4" w:rsidRDefault="0014696C" w:rsidP="00252618">
            <w:pPr>
              <w:rPr>
                <w:rFonts w:cs="Arial"/>
                <w:b/>
              </w:rPr>
            </w:pPr>
            <w:r w:rsidRPr="00C679A4">
              <w:rPr>
                <w:rFonts w:cs="Arial"/>
              </w:rPr>
              <w:t>Empower individuals: Providing support for employees</w:t>
            </w:r>
          </w:p>
        </w:tc>
        <w:tc>
          <w:tcPr>
            <w:tcW w:w="3119" w:type="dxa"/>
          </w:tcPr>
          <w:p w:rsidR="0014696C" w:rsidRPr="00C679A4" w:rsidRDefault="0014696C" w:rsidP="00252618">
            <w:pPr>
              <w:rPr>
                <w:rFonts w:cs="Arial"/>
              </w:rPr>
            </w:pPr>
            <w:r w:rsidRPr="00C679A4">
              <w:rPr>
                <w:rFonts w:cs="Arial"/>
              </w:rPr>
              <w:t xml:space="preserve">Offer internal and/or external coaching and/or training; </w:t>
            </w:r>
            <w:r>
              <w:rPr>
                <w:rFonts w:cs="Arial"/>
              </w:rPr>
              <w:t>c</w:t>
            </w:r>
            <w:r w:rsidRPr="00C679A4">
              <w:rPr>
                <w:rFonts w:cs="Arial"/>
              </w:rPr>
              <w:t xml:space="preserve">reate internal networks of support; </w:t>
            </w:r>
            <w:r>
              <w:rPr>
                <w:rFonts w:cs="Arial"/>
              </w:rPr>
              <w:t>e</w:t>
            </w:r>
            <w:r w:rsidRPr="00C679A4">
              <w:rPr>
                <w:rFonts w:cs="Arial"/>
              </w:rPr>
              <w:t xml:space="preserve">stablish a robust return to work support infrastructure; </w:t>
            </w:r>
            <w:r>
              <w:rPr>
                <w:rFonts w:cs="Arial"/>
              </w:rPr>
              <w:t>p</w:t>
            </w:r>
            <w:r w:rsidRPr="00C679A4">
              <w:rPr>
                <w:rFonts w:cs="Arial"/>
              </w:rPr>
              <w:t>rovide anti-discrimination and unconscious bias education</w:t>
            </w:r>
          </w:p>
        </w:tc>
        <w:tc>
          <w:tcPr>
            <w:tcW w:w="3402" w:type="dxa"/>
          </w:tcPr>
          <w:p w:rsidR="0014696C" w:rsidRPr="00C679A4" w:rsidRDefault="0014696C" w:rsidP="00252618">
            <w:pPr>
              <w:rPr>
                <w:rFonts w:cs="Arial"/>
              </w:rPr>
            </w:pPr>
            <w:r w:rsidRPr="00C679A4">
              <w:rPr>
                <w:rFonts w:cs="Arial"/>
              </w:rPr>
              <w:t xml:space="preserve">Education and training; </w:t>
            </w:r>
            <w:r>
              <w:rPr>
                <w:rFonts w:cs="Arial"/>
              </w:rPr>
              <w:t>w</w:t>
            </w:r>
            <w:r w:rsidRPr="00C679A4">
              <w:rPr>
                <w:rFonts w:cs="Arial"/>
              </w:rPr>
              <w:t xml:space="preserve">orkshops; </w:t>
            </w:r>
            <w:r>
              <w:rPr>
                <w:rFonts w:cs="Arial"/>
              </w:rPr>
              <w:t>m</w:t>
            </w:r>
            <w:r w:rsidRPr="00C679A4">
              <w:rPr>
                <w:rFonts w:cs="Arial"/>
              </w:rPr>
              <w:t>entoring, coaching</w:t>
            </w:r>
            <w:r>
              <w:rPr>
                <w:rFonts w:cs="Arial"/>
              </w:rPr>
              <w:t xml:space="preserve"> and buddy systems; establish</w:t>
            </w:r>
            <w:r w:rsidRPr="00C679A4">
              <w:rPr>
                <w:rFonts w:cs="Arial"/>
              </w:rPr>
              <w:t xml:space="preserve"> online networks as a conduit for advi</w:t>
            </w:r>
            <w:r>
              <w:rPr>
                <w:rFonts w:cs="Arial"/>
              </w:rPr>
              <w:t>ce and guidance; establish</w:t>
            </w:r>
            <w:r w:rsidRPr="00C679A4">
              <w:rPr>
                <w:rFonts w:cs="Arial"/>
              </w:rPr>
              <w:t xml:space="preserve"> support groups and programs </w:t>
            </w:r>
          </w:p>
        </w:tc>
      </w:tr>
      <w:tr w:rsidR="0014696C" w:rsidRPr="00C679A4" w:rsidTr="00FB7833">
        <w:tc>
          <w:tcPr>
            <w:tcW w:w="1985" w:type="dxa"/>
          </w:tcPr>
          <w:p w:rsidR="0014696C" w:rsidRPr="00C679A4" w:rsidRDefault="0014696C" w:rsidP="00252618">
            <w:pPr>
              <w:rPr>
                <w:rFonts w:cs="Arial"/>
                <w:b/>
              </w:rPr>
            </w:pPr>
            <w:r w:rsidRPr="00C679A4">
              <w:rPr>
                <w:rFonts w:cs="Arial"/>
              </w:rPr>
              <w:t>Facilitate return to work: Establishing flexible work arrangements</w:t>
            </w:r>
          </w:p>
        </w:tc>
        <w:tc>
          <w:tcPr>
            <w:tcW w:w="3119" w:type="dxa"/>
          </w:tcPr>
          <w:p w:rsidR="0014696C" w:rsidRPr="00C679A4" w:rsidRDefault="0014696C" w:rsidP="00252618">
            <w:pPr>
              <w:rPr>
                <w:rFonts w:cs="Arial"/>
              </w:rPr>
            </w:pPr>
            <w:r w:rsidRPr="00C679A4">
              <w:rPr>
                <w:rFonts w:cs="Arial"/>
              </w:rPr>
              <w:t xml:space="preserve">Design flexible jobs and flexible careers; </w:t>
            </w:r>
            <w:r>
              <w:rPr>
                <w:rFonts w:cs="Arial"/>
              </w:rPr>
              <w:t>p</w:t>
            </w:r>
            <w:r w:rsidRPr="00C679A4">
              <w:rPr>
                <w:rFonts w:cs="Arial"/>
              </w:rPr>
              <w:t>romote flexible work and embed flexibility into the organisation’s culture</w:t>
            </w:r>
          </w:p>
        </w:tc>
        <w:tc>
          <w:tcPr>
            <w:tcW w:w="3402" w:type="dxa"/>
          </w:tcPr>
          <w:p w:rsidR="0014696C" w:rsidRPr="00C679A4" w:rsidRDefault="0014696C" w:rsidP="00252618">
            <w:pPr>
              <w:rPr>
                <w:rFonts w:cs="Arial"/>
              </w:rPr>
            </w:pPr>
            <w:r w:rsidRPr="00C679A4">
              <w:rPr>
                <w:rFonts w:cs="Arial"/>
              </w:rPr>
              <w:t xml:space="preserve">Establish a ‘results focused’ culture; Increased schedule control for employees; </w:t>
            </w:r>
            <w:r>
              <w:rPr>
                <w:rFonts w:cs="Arial"/>
              </w:rPr>
              <w:t>c</w:t>
            </w:r>
            <w:r w:rsidRPr="00C679A4">
              <w:rPr>
                <w:rFonts w:cs="Arial"/>
              </w:rPr>
              <w:t xml:space="preserve">reate </w:t>
            </w:r>
            <w:proofErr w:type="spellStart"/>
            <w:r w:rsidRPr="00C679A4">
              <w:rPr>
                <w:rFonts w:cs="Arial"/>
              </w:rPr>
              <w:t>jobshare</w:t>
            </w:r>
            <w:proofErr w:type="spellEnd"/>
            <w:r w:rsidRPr="00C679A4">
              <w:rPr>
                <w:rFonts w:cs="Arial"/>
              </w:rPr>
              <w:t xml:space="preserve"> registers; IT equipment purchases to enable remote work</w:t>
            </w:r>
          </w:p>
        </w:tc>
      </w:tr>
    </w:tbl>
    <w:p w:rsidR="00216105" w:rsidRPr="002F36EB" w:rsidRDefault="00216105" w:rsidP="00216105">
      <w:pPr>
        <w:rPr>
          <w:rFonts w:cs="Arial"/>
          <w:b/>
        </w:rPr>
      </w:pPr>
    </w:p>
    <w:p w:rsidR="00216105" w:rsidRPr="002A2263" w:rsidRDefault="00216105" w:rsidP="00216105">
      <w:pPr>
        <w:rPr>
          <w:rFonts w:cs="Arial"/>
          <w:b/>
          <w:sz w:val="28"/>
          <w:szCs w:val="28"/>
        </w:rPr>
        <w:sectPr w:rsidR="00216105" w:rsidRPr="002A2263" w:rsidSect="00216105">
          <w:footerReference w:type="default" r:id="rId16"/>
          <w:endnotePr>
            <w:numFmt w:val="decimal"/>
          </w:endnotePr>
          <w:pgSz w:w="11900" w:h="16840"/>
          <w:pgMar w:top="1440" w:right="1797" w:bottom="1440" w:left="1797" w:header="709" w:footer="709" w:gutter="0"/>
          <w:cols w:space="708"/>
          <w:docGrid w:linePitch="360"/>
        </w:sectPr>
      </w:pPr>
    </w:p>
    <w:p w:rsidR="00216105" w:rsidRPr="002F36EB" w:rsidRDefault="00F84951" w:rsidP="00216105">
      <w:pPr>
        <w:rPr>
          <w:rFonts w:cs="Arial"/>
        </w:rPr>
      </w:pPr>
      <w:r>
        <w:rPr>
          <w:rFonts w:cs="Arial"/>
          <w:b/>
        </w:rPr>
        <w:t xml:space="preserve">Table 2: </w:t>
      </w:r>
      <w:r w:rsidR="009D131B">
        <w:rPr>
          <w:rFonts w:cs="Arial"/>
          <w:b/>
        </w:rPr>
        <w:t>I</w:t>
      </w:r>
      <w:r w:rsidR="00216105" w:rsidRPr="00A815EA">
        <w:rPr>
          <w:rFonts w:cs="Arial"/>
          <w:b/>
        </w:rPr>
        <w:t>mplementing policies and managing the process comprehensively and efficiently</w:t>
      </w:r>
      <w:r w:rsidR="00216105" w:rsidRPr="002A2263">
        <w:rPr>
          <w:rStyle w:val="EndnoteReference"/>
          <w:rFonts w:cs="Arial"/>
          <w:b/>
          <w:sz w:val="28"/>
          <w:szCs w:val="28"/>
        </w:rPr>
        <w:t xml:space="preserve"> </w:t>
      </w:r>
      <w:r w:rsidR="00216105" w:rsidRPr="00A815EA">
        <w:rPr>
          <w:rStyle w:val="EndnoteReference"/>
          <w:rFonts w:cs="Arial"/>
          <w:b/>
          <w:sz w:val="24"/>
        </w:rPr>
        <w:endnoteReference w:id="36"/>
      </w:r>
    </w:p>
    <w:tbl>
      <w:tblPr>
        <w:tblStyle w:val="TableGrid"/>
        <w:tblW w:w="15310" w:type="dxa"/>
        <w:tblInd w:w="-176" w:type="dxa"/>
        <w:tblLook w:val="04A0" w:firstRow="1" w:lastRow="0" w:firstColumn="1" w:lastColumn="0" w:noHBand="0" w:noVBand="1"/>
      </w:tblPr>
      <w:tblGrid>
        <w:gridCol w:w="1581"/>
        <w:gridCol w:w="2531"/>
        <w:gridCol w:w="2693"/>
        <w:gridCol w:w="2551"/>
        <w:gridCol w:w="3261"/>
        <w:gridCol w:w="2693"/>
      </w:tblGrid>
      <w:tr w:rsidR="00664149" w:rsidRPr="0014696C" w:rsidTr="00CF5EF2">
        <w:trPr>
          <w:tblHeader/>
        </w:trPr>
        <w:tc>
          <w:tcPr>
            <w:tcW w:w="1581" w:type="dxa"/>
            <w:vMerge w:val="restart"/>
            <w:tcBorders>
              <w:top w:val="single" w:sz="4" w:space="0" w:color="auto"/>
              <w:left w:val="single" w:sz="4" w:space="0" w:color="auto"/>
              <w:bottom w:val="single" w:sz="4" w:space="0" w:color="auto"/>
              <w:right w:val="single" w:sz="4" w:space="0" w:color="auto"/>
            </w:tcBorders>
            <w:hideMark/>
          </w:tcPr>
          <w:p w:rsidR="00664149" w:rsidRPr="00252618" w:rsidRDefault="00664149" w:rsidP="00252618">
            <w:pPr>
              <w:pStyle w:val="StyleEXHIBITtextnobullets-smallBold"/>
              <w:rPr>
                <w:rFonts w:ascii="Arial" w:hAnsi="Arial" w:cs="Arial"/>
                <w:sz w:val="22"/>
                <w:szCs w:val="22"/>
              </w:rPr>
            </w:pPr>
            <w:r w:rsidRPr="00252618">
              <w:rPr>
                <w:rFonts w:ascii="Arial" w:hAnsi="Arial" w:cs="Arial"/>
                <w:sz w:val="22"/>
                <w:szCs w:val="22"/>
              </w:rPr>
              <w:br w:type="page"/>
              <w:t xml:space="preserve">Phase </w:t>
            </w:r>
          </w:p>
        </w:tc>
        <w:tc>
          <w:tcPr>
            <w:tcW w:w="2531" w:type="dxa"/>
            <w:tcBorders>
              <w:top w:val="single" w:sz="4" w:space="0" w:color="auto"/>
              <w:left w:val="single" w:sz="4" w:space="0" w:color="auto"/>
              <w:bottom w:val="single" w:sz="4" w:space="0" w:color="auto"/>
              <w:right w:val="single" w:sz="4" w:space="0" w:color="auto"/>
            </w:tcBorders>
          </w:tcPr>
          <w:p w:rsidR="00664149" w:rsidRPr="003C7E82" w:rsidRDefault="0051431E" w:rsidP="00664149">
            <w:pPr>
              <w:pStyle w:val="StyleEXHIBITtextnobullets-smallBold"/>
              <w:jc w:val="center"/>
              <w:rPr>
                <w:rFonts w:ascii="Arial" w:hAnsi="Arial" w:cs="Arial"/>
                <w:sz w:val="22"/>
                <w:szCs w:val="22"/>
              </w:rPr>
            </w:pPr>
            <w:r>
              <w:rPr>
                <w:noProof/>
              </w:rPr>
              <w:pict w14:anchorId="4C89D6DA">
                <v:shapetype id="_x0000_t32" coordsize="21600,21600" o:spt="32" o:oned="t" path="m,l21600,21600e" filled="f">
                  <v:path arrowok="t" fillok="f" o:connecttype="none"/>
                  <o:lock v:ext="edit" shapetype="t"/>
                </v:shapetype>
                <v:shape id="Straight Arrow Connector 8" o:spid="_x0000_s1029" type="#_x0000_t32" style="position:absolute;left:0;text-align:left;margin-left:110.1pt;margin-top:7.8pt;width:27.6pt;height:.55pt;z-index:251661312;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" strokeweight="2pt">
                  <v:stroke endarrow="open"/>
                  <v:shadow on="t" color="black" opacity="24903f" origin=",.5" offset="0,.55556mm"/>
                </v:shape>
              </w:pict>
            </w:r>
            <w:r w:rsidR="00664149" w:rsidRPr="003C7E82">
              <w:rPr>
                <w:rFonts w:ascii="Arial" w:hAnsi="Arial" w:cs="Arial"/>
                <w:sz w:val="22"/>
                <w:szCs w:val="22"/>
              </w:rPr>
              <w:t>1</w:t>
            </w:r>
          </w:p>
        </w:tc>
        <w:tc>
          <w:tcPr>
            <w:tcW w:w="2693" w:type="dxa"/>
            <w:tcBorders>
              <w:top w:val="single" w:sz="4" w:space="0" w:color="auto"/>
              <w:left w:val="single" w:sz="4" w:space="0" w:color="auto"/>
              <w:bottom w:val="single" w:sz="4" w:space="0" w:color="auto"/>
              <w:right w:val="single" w:sz="4" w:space="0" w:color="auto"/>
            </w:tcBorders>
            <w:hideMark/>
          </w:tcPr>
          <w:p w:rsidR="00664149" w:rsidRPr="003C7E82" w:rsidRDefault="0051431E" w:rsidP="00664149">
            <w:pPr>
              <w:pStyle w:val="StyleEXHIBITtextnobullets-smallBold"/>
              <w:jc w:val="center"/>
              <w:rPr>
                <w:rFonts w:ascii="Arial" w:hAnsi="Arial" w:cs="Arial"/>
                <w:sz w:val="22"/>
                <w:szCs w:val="22"/>
              </w:rPr>
            </w:pPr>
            <w:r>
              <w:rPr>
                <w:noProof/>
              </w:rPr>
              <w:pict w14:anchorId="5F043D90">
                <v:shape id="Straight Arrow Connector 5" o:spid="_x0000_s1026" type="#_x0000_t32" style="position:absolute;left:0;text-align:left;margin-left:119.4pt;margin-top:9.05pt;width:27.6pt;height:.55pt;z-index:251662336;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" strokeweight="2pt">
                  <v:stroke endarrow="open"/>
                  <v:shadow on="t" color="black" opacity="24903f" origin=",.5" offset="0,.55556mm"/>
                </v:shape>
              </w:pict>
            </w:r>
            <w:r w:rsidR="00664149" w:rsidRPr="003C7E82">
              <w:rPr>
                <w:rFonts w:ascii="Arial" w:hAnsi="Arial" w:cs="Arial"/>
                <w:sz w:val="22"/>
                <w:szCs w:val="22"/>
              </w:rPr>
              <w:t>2</w:t>
            </w:r>
          </w:p>
        </w:tc>
        <w:tc>
          <w:tcPr>
            <w:tcW w:w="2551" w:type="dxa"/>
            <w:tcBorders>
              <w:top w:val="single" w:sz="4" w:space="0" w:color="auto"/>
              <w:left w:val="single" w:sz="4" w:space="0" w:color="auto"/>
              <w:bottom w:val="single" w:sz="4" w:space="0" w:color="auto"/>
              <w:right w:val="single" w:sz="4" w:space="0" w:color="auto"/>
            </w:tcBorders>
            <w:hideMark/>
          </w:tcPr>
          <w:p w:rsidR="00664149" w:rsidRPr="003C7E82" w:rsidRDefault="0051431E" w:rsidP="00664149">
            <w:pPr>
              <w:pStyle w:val="StyleEXHIBITtextnobullets-smallBold"/>
              <w:jc w:val="center"/>
              <w:rPr>
                <w:rFonts w:ascii="Arial" w:hAnsi="Arial" w:cs="Arial"/>
                <w:sz w:val="22"/>
                <w:szCs w:val="22"/>
              </w:rPr>
            </w:pPr>
            <w:r>
              <w:rPr>
                <w:noProof/>
              </w:rPr>
              <w:pict w14:anchorId="40BAAB62">
                <v:shape id="Straight Arrow Connector 6" o:spid="_x0000_s1027" type="#_x0000_t32" style="position:absolute;left:0;text-align:left;margin-left:112.85pt;margin-top:9.05pt;width:27.6pt;height:.55pt;z-index:251663360;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" strokeweight="2pt">
                  <v:stroke endarrow="open"/>
                  <v:shadow on="t" color="black" opacity="24903f" origin=",.5" offset="0,.55556mm"/>
                </v:shape>
              </w:pict>
            </w:r>
            <w:r w:rsidR="00664149" w:rsidRPr="003C7E82">
              <w:rPr>
                <w:rFonts w:ascii="Arial" w:hAnsi="Arial" w:cs="Arial"/>
                <w:sz w:val="22"/>
                <w:szCs w:val="22"/>
              </w:rPr>
              <w:t>3</w:t>
            </w:r>
          </w:p>
        </w:tc>
        <w:tc>
          <w:tcPr>
            <w:tcW w:w="3261" w:type="dxa"/>
            <w:tcBorders>
              <w:top w:val="single" w:sz="4" w:space="0" w:color="auto"/>
              <w:left w:val="single" w:sz="4" w:space="0" w:color="auto"/>
              <w:bottom w:val="single" w:sz="4" w:space="0" w:color="auto"/>
              <w:right w:val="single" w:sz="4" w:space="0" w:color="auto"/>
            </w:tcBorders>
            <w:hideMark/>
          </w:tcPr>
          <w:p w:rsidR="00664149" w:rsidRPr="003C7E82" w:rsidRDefault="0051431E" w:rsidP="00664149">
            <w:pPr>
              <w:pStyle w:val="StyleEXHIBITtextnobullets-smallBold"/>
              <w:jc w:val="center"/>
              <w:rPr>
                <w:rFonts w:ascii="Arial" w:hAnsi="Arial" w:cs="Arial"/>
                <w:sz w:val="22"/>
                <w:szCs w:val="22"/>
              </w:rPr>
            </w:pPr>
            <w:r>
              <w:rPr>
                <w:noProof/>
              </w:rPr>
              <w:pict w14:anchorId="544DA1EC">
                <v:shape id="Straight Arrow Connector 7" o:spid="_x0000_s1028" type="#_x0000_t32" style="position:absolute;left:0;text-align:left;margin-left:142.55pt;margin-top:7.8pt;width:27.6pt;height:.55pt;z-index:251664384;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" strokeweight="2pt">
                  <v:stroke endarrow="open"/>
                  <v:shadow on="t" color="black" opacity="24903f" origin=",.5" offset="0,.55556mm"/>
                </v:shape>
              </w:pict>
            </w:r>
            <w:r w:rsidR="00664149" w:rsidRPr="003C7E82">
              <w:rPr>
                <w:rFonts w:ascii="Arial" w:hAnsi="Arial" w:cs="Arial"/>
                <w:sz w:val="22"/>
                <w:szCs w:val="22"/>
              </w:rPr>
              <w:t>4</w:t>
            </w:r>
          </w:p>
        </w:tc>
        <w:tc>
          <w:tcPr>
            <w:tcW w:w="2693" w:type="dxa"/>
            <w:tcBorders>
              <w:top w:val="single" w:sz="4" w:space="0" w:color="auto"/>
              <w:left w:val="single" w:sz="4" w:space="0" w:color="auto"/>
              <w:bottom w:val="single" w:sz="4" w:space="0" w:color="auto"/>
              <w:right w:val="single" w:sz="4" w:space="0" w:color="auto"/>
            </w:tcBorders>
            <w:hideMark/>
          </w:tcPr>
          <w:p w:rsidR="00664149" w:rsidRPr="003C7E82" w:rsidRDefault="00664149" w:rsidP="00664149">
            <w:pPr>
              <w:pStyle w:val="StyleEXHIBITtextnobullets-smallBold"/>
              <w:jc w:val="center"/>
              <w:rPr>
                <w:rFonts w:ascii="Arial" w:hAnsi="Arial" w:cs="Arial"/>
                <w:sz w:val="22"/>
                <w:szCs w:val="22"/>
              </w:rPr>
            </w:pPr>
            <w:r w:rsidRPr="003C7E82">
              <w:rPr>
                <w:rFonts w:ascii="Arial" w:hAnsi="Arial" w:cs="Arial"/>
                <w:sz w:val="22"/>
                <w:szCs w:val="22"/>
              </w:rPr>
              <w:t>5</w:t>
            </w:r>
          </w:p>
        </w:tc>
      </w:tr>
      <w:tr w:rsidR="0014696C" w:rsidRPr="0014696C" w:rsidTr="00CF5EF2">
        <w:trPr>
          <w:tblHeader/>
        </w:trPr>
        <w:tc>
          <w:tcPr>
            <w:tcW w:w="1581" w:type="dxa"/>
            <w:vMerge/>
            <w:tcBorders>
              <w:top w:val="single" w:sz="4" w:space="0" w:color="auto"/>
              <w:left w:val="single" w:sz="4" w:space="0" w:color="auto"/>
              <w:bottom w:val="single" w:sz="4" w:space="0" w:color="auto"/>
              <w:right w:val="single" w:sz="4" w:space="0" w:color="auto"/>
            </w:tcBorders>
            <w:vAlign w:val="center"/>
            <w:hideMark/>
          </w:tcPr>
          <w:p w:rsidR="0014696C" w:rsidRPr="0014696C" w:rsidRDefault="0014696C" w:rsidP="00252618">
            <w:pPr>
              <w:rPr>
                <w:rFonts w:eastAsiaTheme="minorHAnsi" w:cs="Arial"/>
                <w:b/>
                <w:bCs/>
                <w:sz w:val="22"/>
                <w:szCs w:val="22"/>
              </w:rPr>
            </w:pPr>
          </w:p>
        </w:tc>
        <w:tc>
          <w:tcPr>
            <w:tcW w:w="2531" w:type="dxa"/>
            <w:tcBorders>
              <w:top w:val="single" w:sz="4" w:space="0" w:color="auto"/>
              <w:left w:val="single" w:sz="4" w:space="0" w:color="auto"/>
              <w:bottom w:val="single" w:sz="4" w:space="0" w:color="auto"/>
              <w:right w:val="single" w:sz="4" w:space="0" w:color="auto"/>
            </w:tcBorders>
          </w:tcPr>
          <w:p w:rsidR="0014696C" w:rsidRPr="0014696C" w:rsidRDefault="0014696C" w:rsidP="00CF5EF2">
            <w:pPr>
              <w:pStyle w:val="StyleEXHIBITtextnobullets-smallBold"/>
              <w:ind w:left="58"/>
              <w:rPr>
                <w:rFonts w:ascii="Arial" w:hAnsi="Arial" w:cs="Arial"/>
                <w:sz w:val="22"/>
                <w:szCs w:val="22"/>
              </w:rPr>
            </w:pPr>
            <w:r w:rsidRPr="00CF5EF2">
              <w:rPr>
                <w:rFonts w:ascii="Arial" w:hAnsi="Arial" w:cs="Arial"/>
                <w:sz w:val="22"/>
                <w:szCs w:val="22"/>
              </w:rPr>
              <w:t>Starting off right</w:t>
            </w:r>
          </w:p>
          <w:p w:rsidR="0014696C" w:rsidRPr="0014696C" w:rsidRDefault="0014696C" w:rsidP="00CF5EF2">
            <w:pPr>
              <w:pStyle w:val="StyleEXHIBITtextnobullets-smallBold"/>
              <w:rPr>
                <w:rFonts w:ascii="Arial" w:hAnsi="Arial" w:cs="Arial"/>
                <w:sz w:val="22"/>
                <w:szCs w:val="22"/>
              </w:rPr>
            </w:pPr>
          </w:p>
        </w:tc>
        <w:tc>
          <w:tcPr>
            <w:tcW w:w="2693" w:type="dxa"/>
            <w:tcBorders>
              <w:top w:val="single" w:sz="4" w:space="0" w:color="auto"/>
              <w:left w:val="single" w:sz="4" w:space="0" w:color="auto"/>
              <w:bottom w:val="single" w:sz="4" w:space="0" w:color="auto"/>
              <w:right w:val="single" w:sz="4" w:space="0" w:color="auto"/>
            </w:tcBorders>
            <w:hideMark/>
          </w:tcPr>
          <w:p w:rsidR="0014696C" w:rsidRPr="0014696C" w:rsidRDefault="0014696C" w:rsidP="00CF5EF2">
            <w:pPr>
              <w:pStyle w:val="StyleEXHIBITtextnobullets-smallBold"/>
              <w:ind w:left="58"/>
              <w:rPr>
                <w:rFonts w:ascii="Arial" w:hAnsi="Arial" w:cs="Arial"/>
                <w:sz w:val="22"/>
                <w:szCs w:val="22"/>
              </w:rPr>
            </w:pPr>
            <w:r w:rsidRPr="00CF5EF2">
              <w:rPr>
                <w:rFonts w:ascii="Arial" w:hAnsi="Arial" w:cs="Arial"/>
                <w:sz w:val="22"/>
                <w:szCs w:val="22"/>
              </w:rPr>
              <w:t xml:space="preserve">Preparing for leave </w:t>
            </w:r>
          </w:p>
        </w:tc>
        <w:tc>
          <w:tcPr>
            <w:tcW w:w="2551" w:type="dxa"/>
            <w:tcBorders>
              <w:top w:val="single" w:sz="4" w:space="0" w:color="auto"/>
              <w:left w:val="single" w:sz="4" w:space="0" w:color="auto"/>
              <w:bottom w:val="single" w:sz="4" w:space="0" w:color="auto"/>
              <w:right w:val="single" w:sz="4" w:space="0" w:color="auto"/>
            </w:tcBorders>
            <w:hideMark/>
          </w:tcPr>
          <w:p w:rsidR="0014696C" w:rsidRPr="0014696C" w:rsidRDefault="0014696C" w:rsidP="00CF5EF2">
            <w:pPr>
              <w:pStyle w:val="StyleEXHIBITtextnobullets-smallBold"/>
              <w:ind w:left="58"/>
              <w:rPr>
                <w:rFonts w:ascii="Arial" w:hAnsi="Arial" w:cs="Arial"/>
                <w:sz w:val="22"/>
                <w:szCs w:val="22"/>
              </w:rPr>
            </w:pPr>
            <w:r w:rsidRPr="00CF5EF2">
              <w:rPr>
                <w:rFonts w:ascii="Arial" w:hAnsi="Arial" w:cs="Arial"/>
                <w:sz w:val="22"/>
                <w:szCs w:val="22"/>
              </w:rPr>
              <w:t>Staying connected</w:t>
            </w:r>
          </w:p>
        </w:tc>
        <w:tc>
          <w:tcPr>
            <w:tcW w:w="3261" w:type="dxa"/>
            <w:tcBorders>
              <w:top w:val="single" w:sz="4" w:space="0" w:color="auto"/>
              <w:left w:val="single" w:sz="4" w:space="0" w:color="auto"/>
              <w:bottom w:val="single" w:sz="4" w:space="0" w:color="auto"/>
              <w:right w:val="single" w:sz="4" w:space="0" w:color="auto"/>
            </w:tcBorders>
            <w:hideMark/>
          </w:tcPr>
          <w:p w:rsidR="0014696C" w:rsidRPr="0014696C" w:rsidRDefault="0014696C" w:rsidP="00CF5EF2">
            <w:pPr>
              <w:pStyle w:val="StyleEXHIBITtextnobullets-smallBold"/>
              <w:ind w:left="58"/>
              <w:rPr>
                <w:rFonts w:ascii="Arial" w:hAnsi="Arial" w:cs="Arial"/>
                <w:sz w:val="22"/>
                <w:szCs w:val="22"/>
              </w:rPr>
            </w:pPr>
            <w:r w:rsidRPr="00CF5EF2">
              <w:rPr>
                <w:rFonts w:ascii="Arial" w:hAnsi="Arial" w:cs="Arial"/>
                <w:sz w:val="22"/>
                <w:szCs w:val="22"/>
              </w:rPr>
              <w:t>Reintegration</w:t>
            </w:r>
          </w:p>
        </w:tc>
        <w:tc>
          <w:tcPr>
            <w:tcW w:w="2693" w:type="dxa"/>
            <w:tcBorders>
              <w:top w:val="single" w:sz="4" w:space="0" w:color="auto"/>
              <w:left w:val="single" w:sz="4" w:space="0" w:color="auto"/>
              <w:bottom w:val="single" w:sz="4" w:space="0" w:color="auto"/>
              <w:right w:val="single" w:sz="4" w:space="0" w:color="auto"/>
            </w:tcBorders>
            <w:hideMark/>
          </w:tcPr>
          <w:p w:rsidR="0014696C" w:rsidRPr="0014696C" w:rsidRDefault="0014696C" w:rsidP="00CF5EF2">
            <w:pPr>
              <w:pStyle w:val="StyleEXHIBITtextnobullets-smallBold"/>
              <w:ind w:left="58"/>
              <w:rPr>
                <w:rFonts w:ascii="Arial" w:hAnsi="Arial" w:cs="Arial"/>
                <w:sz w:val="22"/>
                <w:szCs w:val="22"/>
              </w:rPr>
            </w:pPr>
            <w:r w:rsidRPr="00CF5EF2">
              <w:rPr>
                <w:rFonts w:ascii="Arial" w:hAnsi="Arial" w:cs="Arial"/>
                <w:sz w:val="22"/>
                <w:szCs w:val="22"/>
              </w:rPr>
              <w:t>Career acceleration</w:t>
            </w:r>
          </w:p>
        </w:tc>
      </w:tr>
      <w:tr w:rsidR="0014696C" w:rsidRPr="0014696C" w:rsidTr="00CF5EF2">
        <w:tc>
          <w:tcPr>
            <w:tcW w:w="1581" w:type="dxa"/>
            <w:tcBorders>
              <w:top w:val="single" w:sz="4" w:space="0" w:color="auto"/>
              <w:left w:val="single" w:sz="4" w:space="0" w:color="auto"/>
              <w:bottom w:val="single" w:sz="4" w:space="0" w:color="auto"/>
              <w:right w:val="single" w:sz="4" w:space="0" w:color="auto"/>
            </w:tcBorders>
            <w:hideMark/>
          </w:tcPr>
          <w:p w:rsidR="0014696C" w:rsidRPr="00252618" w:rsidRDefault="0014696C" w:rsidP="00252618">
            <w:pPr>
              <w:pStyle w:val="StyleEXHIBITtextnobullets-smallBold"/>
              <w:rPr>
                <w:rFonts w:ascii="Arial" w:hAnsi="Arial" w:cs="Arial"/>
                <w:sz w:val="22"/>
                <w:szCs w:val="22"/>
              </w:rPr>
            </w:pPr>
            <w:r w:rsidRPr="00252618">
              <w:rPr>
                <w:rFonts w:ascii="Arial" w:hAnsi="Arial" w:cs="Arial"/>
                <w:sz w:val="22"/>
                <w:szCs w:val="22"/>
              </w:rPr>
              <w:t>Standard expectation</w:t>
            </w:r>
          </w:p>
        </w:tc>
        <w:tc>
          <w:tcPr>
            <w:tcW w:w="2531" w:type="dxa"/>
            <w:tcBorders>
              <w:top w:val="single" w:sz="4" w:space="0" w:color="auto"/>
              <w:left w:val="single" w:sz="4" w:space="0" w:color="auto"/>
              <w:bottom w:val="single" w:sz="4" w:space="0" w:color="auto"/>
              <w:right w:val="single" w:sz="4" w:space="0" w:color="auto"/>
            </w:tcBorders>
          </w:tcPr>
          <w:p w:rsidR="0014696C" w:rsidRPr="00646AAB" w:rsidRDefault="0014696C" w:rsidP="00252618">
            <w:pPr>
              <w:pStyle w:val="EXHIBITtextnobullets-small"/>
              <w:rPr>
                <w:rFonts w:ascii="Arial" w:hAnsi="Arial" w:cs="Arial"/>
                <w:sz w:val="22"/>
                <w:szCs w:val="22"/>
              </w:rPr>
            </w:pPr>
            <w:r w:rsidRPr="00252618">
              <w:rPr>
                <w:rFonts w:ascii="Arial" w:hAnsi="Arial" w:cs="Arial"/>
                <w:sz w:val="22"/>
                <w:szCs w:val="22"/>
              </w:rPr>
              <w:t xml:space="preserve">Pregnant employees should be able to continue working ‘business as usual’, while having </w:t>
            </w:r>
            <w:r w:rsidRPr="00646AAB">
              <w:rPr>
                <w:rFonts w:ascii="Arial" w:hAnsi="Arial" w:cs="Arial"/>
                <w:sz w:val="22"/>
                <w:szCs w:val="22"/>
              </w:rPr>
              <w:t xml:space="preserve">specific needs accommodated  </w:t>
            </w:r>
          </w:p>
          <w:p w:rsidR="0014696C" w:rsidRPr="00646AAB" w:rsidRDefault="0014696C" w:rsidP="00252618">
            <w:pPr>
              <w:pStyle w:val="EXHIBITtextnobullets-small"/>
              <w:rPr>
                <w:rFonts w:ascii="Arial" w:hAnsi="Arial" w:cs="Arial"/>
                <w:sz w:val="22"/>
                <w:szCs w:val="22"/>
              </w:rPr>
            </w:pPr>
          </w:p>
        </w:tc>
        <w:tc>
          <w:tcPr>
            <w:tcW w:w="2693" w:type="dxa"/>
            <w:tcBorders>
              <w:top w:val="single" w:sz="4" w:space="0" w:color="auto"/>
              <w:left w:val="single" w:sz="4" w:space="0" w:color="auto"/>
              <w:bottom w:val="single" w:sz="4" w:space="0" w:color="auto"/>
              <w:right w:val="single" w:sz="4" w:space="0" w:color="auto"/>
            </w:tcBorders>
          </w:tcPr>
          <w:p w:rsidR="0014696C" w:rsidRPr="00646AAB" w:rsidRDefault="0014696C" w:rsidP="00252618">
            <w:pPr>
              <w:pStyle w:val="EXHIBITtextnobullets-small"/>
              <w:rPr>
                <w:rFonts w:ascii="Arial" w:hAnsi="Arial" w:cs="Arial"/>
                <w:sz w:val="22"/>
                <w:szCs w:val="22"/>
              </w:rPr>
            </w:pPr>
            <w:r w:rsidRPr="00646AAB">
              <w:rPr>
                <w:rFonts w:ascii="Arial" w:hAnsi="Arial" w:cs="Arial"/>
                <w:sz w:val="22"/>
                <w:szCs w:val="22"/>
              </w:rPr>
              <w:t>Leave and return should be clearly planned, appropriately setting expectations for both employees and managers</w:t>
            </w:r>
          </w:p>
          <w:p w:rsidR="0014696C" w:rsidRPr="00646AAB" w:rsidRDefault="0014696C" w:rsidP="00252618">
            <w:pPr>
              <w:pStyle w:val="EXHIBITtextnobullets-small"/>
              <w:rPr>
                <w:rFonts w:ascii="Arial" w:hAnsi="Arial" w:cs="Arial"/>
                <w:sz w:val="22"/>
                <w:szCs w:val="22"/>
              </w:rPr>
            </w:pPr>
          </w:p>
        </w:tc>
        <w:tc>
          <w:tcPr>
            <w:tcW w:w="2551" w:type="dxa"/>
            <w:tcBorders>
              <w:top w:val="single" w:sz="4" w:space="0" w:color="auto"/>
              <w:left w:val="single" w:sz="4" w:space="0" w:color="auto"/>
              <w:bottom w:val="single" w:sz="4" w:space="0" w:color="auto"/>
              <w:right w:val="single" w:sz="4" w:space="0" w:color="auto"/>
            </w:tcBorders>
          </w:tcPr>
          <w:p w:rsidR="0014696C" w:rsidRPr="003A0CED" w:rsidRDefault="0014696C" w:rsidP="00252618">
            <w:pPr>
              <w:pStyle w:val="EXHIBITtextnobullets-small"/>
              <w:rPr>
                <w:rFonts w:ascii="Arial" w:hAnsi="Arial" w:cs="Arial"/>
                <w:sz w:val="22"/>
                <w:szCs w:val="22"/>
              </w:rPr>
            </w:pPr>
            <w:r w:rsidRPr="00646AAB">
              <w:rPr>
                <w:rFonts w:ascii="Arial" w:hAnsi="Arial" w:cs="Arial"/>
                <w:sz w:val="22"/>
                <w:szCs w:val="22"/>
              </w:rPr>
              <w:t>Parents should feel connected to the organisation dur</w:t>
            </w:r>
            <w:r w:rsidRPr="003A0CED">
              <w:rPr>
                <w:rFonts w:ascii="Arial" w:hAnsi="Arial" w:cs="Arial"/>
                <w:sz w:val="22"/>
                <w:szCs w:val="22"/>
              </w:rPr>
              <w:t>ing leave and the encouragement to return should be clear</w:t>
            </w:r>
          </w:p>
          <w:p w:rsidR="0014696C" w:rsidRPr="003A0CED" w:rsidRDefault="0014696C" w:rsidP="00252618">
            <w:pPr>
              <w:pStyle w:val="EXHIBITtextnobullets-small"/>
              <w:rPr>
                <w:rFonts w:ascii="Arial" w:hAnsi="Arial" w:cs="Arial"/>
                <w:sz w:val="22"/>
                <w:szCs w:val="22"/>
              </w:rPr>
            </w:pPr>
          </w:p>
          <w:p w:rsidR="0014696C" w:rsidRPr="003A0CED" w:rsidRDefault="0014696C" w:rsidP="00252618">
            <w:pPr>
              <w:pStyle w:val="EXHIBITtextnobullets-small"/>
              <w:rPr>
                <w:rFonts w:ascii="Arial" w:hAnsi="Arial" w:cs="Arial"/>
                <w:sz w:val="22"/>
                <w:szCs w:val="22"/>
              </w:rPr>
            </w:pPr>
          </w:p>
        </w:tc>
        <w:tc>
          <w:tcPr>
            <w:tcW w:w="3261" w:type="dxa"/>
            <w:tcBorders>
              <w:top w:val="single" w:sz="4" w:space="0" w:color="auto"/>
              <w:left w:val="single" w:sz="4" w:space="0" w:color="auto"/>
              <w:bottom w:val="single" w:sz="4" w:space="0" w:color="auto"/>
              <w:right w:val="single" w:sz="4" w:space="0" w:color="auto"/>
            </w:tcBorders>
          </w:tcPr>
          <w:p w:rsidR="0014696C" w:rsidRPr="003A0CED" w:rsidRDefault="0014696C" w:rsidP="00252618">
            <w:pPr>
              <w:pStyle w:val="EXHIBITtextnobullets-small"/>
              <w:rPr>
                <w:rFonts w:ascii="Arial" w:hAnsi="Arial" w:cs="Arial"/>
                <w:sz w:val="22"/>
                <w:szCs w:val="22"/>
              </w:rPr>
            </w:pPr>
            <w:r w:rsidRPr="003A0CED">
              <w:rPr>
                <w:rFonts w:ascii="Arial" w:hAnsi="Arial" w:cs="Arial"/>
                <w:sz w:val="22"/>
                <w:szCs w:val="22"/>
              </w:rPr>
              <w:t>Parents should be able to pick up where they left off, while being able to balance work and family commitments</w:t>
            </w:r>
          </w:p>
        </w:tc>
        <w:tc>
          <w:tcPr>
            <w:tcW w:w="2693" w:type="dxa"/>
            <w:tcBorders>
              <w:top w:val="single" w:sz="4" w:space="0" w:color="auto"/>
              <w:left w:val="single" w:sz="4" w:space="0" w:color="auto"/>
              <w:bottom w:val="single" w:sz="4" w:space="0" w:color="auto"/>
              <w:right w:val="single" w:sz="4" w:space="0" w:color="auto"/>
            </w:tcBorders>
            <w:hideMark/>
          </w:tcPr>
          <w:p w:rsidR="0014696C" w:rsidRPr="006B302C" w:rsidRDefault="0014696C" w:rsidP="00252618">
            <w:pPr>
              <w:pStyle w:val="EXHIBITtextnobullets-small"/>
              <w:rPr>
                <w:rFonts w:ascii="Arial" w:hAnsi="Arial" w:cs="Arial"/>
                <w:sz w:val="22"/>
                <w:szCs w:val="22"/>
              </w:rPr>
            </w:pPr>
            <w:r w:rsidRPr="003A0CED">
              <w:rPr>
                <w:rFonts w:ascii="Arial" w:hAnsi="Arial" w:cs="Arial"/>
                <w:sz w:val="22"/>
                <w:szCs w:val="22"/>
              </w:rPr>
              <w:t>Career planning and development opportunities made available – placing returning pare</w:t>
            </w:r>
            <w:r w:rsidRPr="006B302C">
              <w:rPr>
                <w:rFonts w:ascii="Arial" w:hAnsi="Arial" w:cs="Arial"/>
                <w:sz w:val="22"/>
                <w:szCs w:val="22"/>
              </w:rPr>
              <w:t xml:space="preserve">nts on same successful career trajectory as all other employees </w:t>
            </w:r>
          </w:p>
        </w:tc>
      </w:tr>
      <w:tr w:rsidR="0014696C" w:rsidRPr="0014696C" w:rsidTr="00CF5EF2">
        <w:tc>
          <w:tcPr>
            <w:tcW w:w="1581" w:type="dxa"/>
            <w:tcBorders>
              <w:top w:val="single" w:sz="4" w:space="0" w:color="auto"/>
              <w:left w:val="single" w:sz="4" w:space="0" w:color="auto"/>
              <w:bottom w:val="single" w:sz="4" w:space="0" w:color="auto"/>
              <w:right w:val="single" w:sz="4" w:space="0" w:color="auto"/>
            </w:tcBorders>
            <w:hideMark/>
          </w:tcPr>
          <w:p w:rsidR="0014696C" w:rsidRPr="00252618" w:rsidRDefault="0014696C" w:rsidP="00252618">
            <w:pPr>
              <w:pStyle w:val="StyleEXHIBITtextnobullets-smallBold"/>
              <w:rPr>
                <w:rFonts w:ascii="Arial" w:hAnsi="Arial" w:cs="Arial"/>
                <w:sz w:val="22"/>
                <w:szCs w:val="22"/>
              </w:rPr>
            </w:pPr>
            <w:r w:rsidRPr="00252618">
              <w:rPr>
                <w:rFonts w:ascii="Arial" w:hAnsi="Arial" w:cs="Arial"/>
                <w:sz w:val="22"/>
                <w:szCs w:val="22"/>
              </w:rPr>
              <w:t>Mechanism to support</w:t>
            </w:r>
          </w:p>
        </w:tc>
        <w:tc>
          <w:tcPr>
            <w:tcW w:w="2531" w:type="dxa"/>
            <w:tcBorders>
              <w:top w:val="single" w:sz="4" w:space="0" w:color="auto"/>
              <w:left w:val="single" w:sz="4" w:space="0" w:color="auto"/>
              <w:bottom w:val="single" w:sz="4" w:space="0" w:color="auto"/>
              <w:right w:val="single" w:sz="4" w:space="0" w:color="auto"/>
            </w:tcBorders>
          </w:tcPr>
          <w:p w:rsidR="0014696C" w:rsidRPr="00646AAB" w:rsidRDefault="0014696C" w:rsidP="00252618">
            <w:pPr>
              <w:pStyle w:val="EXHIBITtextnobullets-small"/>
              <w:rPr>
                <w:rFonts w:ascii="Arial" w:hAnsi="Arial" w:cs="Arial"/>
                <w:sz w:val="22"/>
                <w:szCs w:val="22"/>
              </w:rPr>
            </w:pPr>
            <w:r w:rsidRPr="00252618">
              <w:rPr>
                <w:rFonts w:ascii="Arial" w:hAnsi="Arial" w:cs="Arial"/>
                <w:sz w:val="22"/>
                <w:szCs w:val="22"/>
              </w:rPr>
              <w:t xml:space="preserve">Manager and employee checklists to facilitate a </w:t>
            </w:r>
            <w:r w:rsidRPr="00646AAB">
              <w:rPr>
                <w:rFonts w:ascii="Arial" w:hAnsi="Arial" w:cs="Arial"/>
                <w:sz w:val="22"/>
                <w:szCs w:val="22"/>
              </w:rPr>
              <w:t>positive and productive conversation about working during pregnancy; work health and safety checklist</w:t>
            </w:r>
          </w:p>
        </w:tc>
        <w:tc>
          <w:tcPr>
            <w:tcW w:w="2693" w:type="dxa"/>
            <w:tcBorders>
              <w:top w:val="single" w:sz="4" w:space="0" w:color="auto"/>
              <w:left w:val="single" w:sz="4" w:space="0" w:color="auto"/>
              <w:bottom w:val="single" w:sz="4" w:space="0" w:color="auto"/>
              <w:right w:val="single" w:sz="4" w:space="0" w:color="auto"/>
            </w:tcBorders>
            <w:hideMark/>
          </w:tcPr>
          <w:p w:rsidR="0014696C" w:rsidRPr="00646AAB" w:rsidRDefault="0014696C" w:rsidP="00252618">
            <w:pPr>
              <w:pStyle w:val="EXHIBITtextnobullets-small"/>
              <w:rPr>
                <w:rFonts w:ascii="Arial" w:hAnsi="Arial" w:cs="Arial"/>
                <w:sz w:val="22"/>
                <w:szCs w:val="22"/>
              </w:rPr>
            </w:pPr>
            <w:r w:rsidRPr="00646AAB">
              <w:rPr>
                <w:rFonts w:ascii="Arial" w:hAnsi="Arial" w:cs="Arial"/>
                <w:sz w:val="22"/>
                <w:szCs w:val="22"/>
              </w:rPr>
              <w:t>Manager and employee checklists; discuss ‘staying in touch’ expectations; plan expected return dates; ensure a quick turn around on paper work and consistent follow up</w:t>
            </w:r>
          </w:p>
          <w:p w:rsidR="0014696C" w:rsidRPr="00646AAB" w:rsidRDefault="0014696C" w:rsidP="00252618">
            <w:pPr>
              <w:pStyle w:val="EXHIBITtextnobullets-small"/>
              <w:rPr>
                <w:rFonts w:ascii="Arial" w:hAnsi="Arial" w:cs="Arial"/>
                <w:sz w:val="22"/>
                <w:szCs w:val="22"/>
              </w:rPr>
            </w:pPr>
          </w:p>
        </w:tc>
        <w:tc>
          <w:tcPr>
            <w:tcW w:w="2551" w:type="dxa"/>
            <w:tcBorders>
              <w:top w:val="single" w:sz="4" w:space="0" w:color="auto"/>
              <w:left w:val="single" w:sz="4" w:space="0" w:color="auto"/>
              <w:bottom w:val="single" w:sz="4" w:space="0" w:color="auto"/>
              <w:right w:val="single" w:sz="4" w:space="0" w:color="auto"/>
            </w:tcBorders>
            <w:hideMark/>
          </w:tcPr>
          <w:p w:rsidR="0014696C" w:rsidRPr="003A0CED" w:rsidRDefault="0014696C" w:rsidP="00252618">
            <w:pPr>
              <w:pStyle w:val="EXHIBITtextnobullets-small"/>
              <w:rPr>
                <w:rFonts w:ascii="Arial" w:hAnsi="Arial" w:cs="Arial"/>
                <w:sz w:val="22"/>
                <w:szCs w:val="22"/>
              </w:rPr>
            </w:pPr>
            <w:r w:rsidRPr="00646AAB">
              <w:rPr>
                <w:rFonts w:ascii="Arial" w:hAnsi="Arial" w:cs="Arial"/>
                <w:sz w:val="22"/>
                <w:szCs w:val="22"/>
              </w:rPr>
              <w:t>Formal catch-up dates that are not cancelled; access to laptop and mobile; inclusion in development review</w:t>
            </w:r>
            <w:r w:rsidRPr="003A0CED">
              <w:rPr>
                <w:rFonts w:ascii="Arial" w:hAnsi="Arial" w:cs="Arial"/>
                <w:sz w:val="22"/>
                <w:szCs w:val="22"/>
              </w:rPr>
              <w:t>s; business update newsletters</w:t>
            </w:r>
          </w:p>
        </w:tc>
        <w:tc>
          <w:tcPr>
            <w:tcW w:w="3261" w:type="dxa"/>
            <w:tcBorders>
              <w:top w:val="single" w:sz="4" w:space="0" w:color="auto"/>
              <w:left w:val="single" w:sz="4" w:space="0" w:color="auto"/>
              <w:bottom w:val="single" w:sz="4" w:space="0" w:color="auto"/>
              <w:right w:val="single" w:sz="4" w:space="0" w:color="auto"/>
            </w:tcBorders>
            <w:hideMark/>
          </w:tcPr>
          <w:p w:rsidR="0014696C" w:rsidRPr="003A0CED" w:rsidRDefault="0014696C" w:rsidP="00252618">
            <w:pPr>
              <w:pStyle w:val="EXHIBITtextnobullets-small"/>
              <w:rPr>
                <w:rFonts w:ascii="Arial" w:hAnsi="Arial" w:cs="Arial"/>
                <w:sz w:val="22"/>
                <w:szCs w:val="22"/>
              </w:rPr>
            </w:pPr>
            <w:r w:rsidRPr="003A0CED">
              <w:rPr>
                <w:rFonts w:ascii="Arial" w:hAnsi="Arial" w:cs="Arial"/>
                <w:sz w:val="22"/>
                <w:szCs w:val="22"/>
              </w:rPr>
              <w:t xml:space="preserve">Highlight flexible return options and  establish a formal process for requesting and granting flexible work requests;  support managers to manage flexible workers; return to work workshops and seminars; early childhood education and care services </w:t>
            </w:r>
            <w:proofErr w:type="spellStart"/>
            <w:r w:rsidRPr="003A0CED">
              <w:rPr>
                <w:rFonts w:ascii="Arial" w:hAnsi="Arial" w:cs="Arial"/>
                <w:sz w:val="22"/>
                <w:szCs w:val="22"/>
              </w:rPr>
              <w:t>services</w:t>
            </w:r>
            <w:proofErr w:type="spellEnd"/>
            <w:r w:rsidRPr="003A0CED">
              <w:rPr>
                <w:rFonts w:ascii="Arial" w:hAnsi="Arial" w:cs="Arial"/>
                <w:sz w:val="22"/>
                <w:szCs w:val="22"/>
              </w:rPr>
              <w:t>; accommodate specific needs around breastfeeding/ expressing milk</w:t>
            </w:r>
          </w:p>
        </w:tc>
        <w:tc>
          <w:tcPr>
            <w:tcW w:w="2693" w:type="dxa"/>
            <w:tcBorders>
              <w:top w:val="single" w:sz="4" w:space="0" w:color="auto"/>
              <w:left w:val="single" w:sz="4" w:space="0" w:color="auto"/>
              <w:bottom w:val="single" w:sz="4" w:space="0" w:color="auto"/>
              <w:right w:val="single" w:sz="4" w:space="0" w:color="auto"/>
            </w:tcBorders>
            <w:hideMark/>
          </w:tcPr>
          <w:p w:rsidR="0014696C" w:rsidRPr="003A0CED" w:rsidRDefault="0014696C" w:rsidP="00252618">
            <w:pPr>
              <w:pStyle w:val="EXHIBITtextnobullets-small"/>
              <w:rPr>
                <w:rFonts w:ascii="Arial" w:hAnsi="Arial" w:cs="Arial"/>
                <w:sz w:val="22"/>
                <w:szCs w:val="22"/>
              </w:rPr>
            </w:pPr>
            <w:r w:rsidRPr="003A0CED">
              <w:rPr>
                <w:rFonts w:ascii="Arial" w:hAnsi="Arial" w:cs="Arial"/>
                <w:sz w:val="22"/>
                <w:szCs w:val="22"/>
              </w:rPr>
              <w:t>Career planning; sustainable flexible program; removal of any unconscious or systemic bias</w:t>
            </w:r>
          </w:p>
        </w:tc>
      </w:tr>
      <w:tr w:rsidR="0014696C" w:rsidRPr="0014696C" w:rsidTr="00CF5EF2">
        <w:tc>
          <w:tcPr>
            <w:tcW w:w="1581" w:type="dxa"/>
            <w:tcBorders>
              <w:top w:val="single" w:sz="4" w:space="0" w:color="auto"/>
              <w:left w:val="single" w:sz="4" w:space="0" w:color="auto"/>
              <w:bottom w:val="single" w:sz="4" w:space="0" w:color="auto"/>
              <w:right w:val="single" w:sz="4" w:space="0" w:color="auto"/>
            </w:tcBorders>
            <w:hideMark/>
          </w:tcPr>
          <w:p w:rsidR="0014696C" w:rsidRPr="00252618" w:rsidRDefault="0014696C" w:rsidP="00252618">
            <w:pPr>
              <w:pStyle w:val="StyleEXHIBITtextnobullets-smallBold"/>
              <w:rPr>
                <w:rFonts w:ascii="Arial" w:hAnsi="Arial" w:cs="Arial"/>
                <w:sz w:val="22"/>
                <w:szCs w:val="22"/>
              </w:rPr>
            </w:pPr>
            <w:r w:rsidRPr="00252618">
              <w:rPr>
                <w:rFonts w:ascii="Arial" w:hAnsi="Arial" w:cs="Arial"/>
                <w:sz w:val="22"/>
                <w:szCs w:val="22"/>
              </w:rPr>
              <w:t>Mindsets that need challenging</w:t>
            </w:r>
          </w:p>
        </w:tc>
        <w:tc>
          <w:tcPr>
            <w:tcW w:w="2531" w:type="dxa"/>
            <w:tcBorders>
              <w:top w:val="single" w:sz="4" w:space="0" w:color="auto"/>
              <w:left w:val="single" w:sz="4" w:space="0" w:color="auto"/>
              <w:bottom w:val="single" w:sz="4" w:space="0" w:color="auto"/>
              <w:right w:val="single" w:sz="4" w:space="0" w:color="auto"/>
            </w:tcBorders>
          </w:tcPr>
          <w:p w:rsidR="0014696C" w:rsidRPr="00646AAB" w:rsidRDefault="0014696C" w:rsidP="00252618">
            <w:pPr>
              <w:pStyle w:val="EXHIBITtextnobullets-small"/>
              <w:rPr>
                <w:rFonts w:ascii="Arial" w:hAnsi="Arial" w:cs="Arial"/>
                <w:sz w:val="22"/>
                <w:szCs w:val="22"/>
              </w:rPr>
            </w:pPr>
            <w:r w:rsidRPr="00252618">
              <w:rPr>
                <w:rFonts w:ascii="Arial" w:hAnsi="Arial" w:cs="Arial"/>
                <w:sz w:val="22"/>
                <w:szCs w:val="22"/>
              </w:rPr>
              <w:t xml:space="preserve">‘She’s got </w:t>
            </w:r>
            <w:proofErr w:type="spellStart"/>
            <w:r w:rsidRPr="00252618">
              <w:rPr>
                <w:rFonts w:ascii="Arial" w:hAnsi="Arial" w:cs="Arial"/>
                <w:sz w:val="22"/>
                <w:szCs w:val="22"/>
              </w:rPr>
              <w:t>babybrain</w:t>
            </w:r>
            <w:proofErr w:type="spellEnd"/>
            <w:r w:rsidRPr="00252618">
              <w:rPr>
                <w:rFonts w:ascii="Arial" w:hAnsi="Arial" w:cs="Arial"/>
                <w:sz w:val="22"/>
                <w:szCs w:val="22"/>
              </w:rPr>
              <w:t xml:space="preserve">’ </w:t>
            </w:r>
          </w:p>
        </w:tc>
        <w:tc>
          <w:tcPr>
            <w:tcW w:w="2693" w:type="dxa"/>
            <w:tcBorders>
              <w:top w:val="single" w:sz="4" w:space="0" w:color="auto"/>
              <w:left w:val="single" w:sz="4" w:space="0" w:color="auto"/>
              <w:bottom w:val="single" w:sz="4" w:space="0" w:color="auto"/>
              <w:right w:val="single" w:sz="4" w:space="0" w:color="auto"/>
            </w:tcBorders>
            <w:hideMark/>
          </w:tcPr>
          <w:p w:rsidR="0014696C" w:rsidRPr="00646AAB" w:rsidRDefault="0014696C" w:rsidP="00252618">
            <w:pPr>
              <w:pStyle w:val="EXHIBITtextnobullets-small"/>
              <w:rPr>
                <w:rFonts w:ascii="Arial" w:hAnsi="Arial" w:cs="Arial"/>
                <w:sz w:val="22"/>
                <w:szCs w:val="22"/>
              </w:rPr>
            </w:pPr>
            <w:r w:rsidRPr="00646AAB">
              <w:rPr>
                <w:rFonts w:ascii="Arial" w:hAnsi="Arial" w:cs="Arial"/>
                <w:sz w:val="22"/>
                <w:szCs w:val="22"/>
              </w:rPr>
              <w:t>‘Oh, you’re pregnant! You must be stepping back from your career for a while’</w:t>
            </w:r>
          </w:p>
        </w:tc>
        <w:tc>
          <w:tcPr>
            <w:tcW w:w="2551" w:type="dxa"/>
            <w:tcBorders>
              <w:top w:val="single" w:sz="4" w:space="0" w:color="auto"/>
              <w:left w:val="single" w:sz="4" w:space="0" w:color="auto"/>
              <w:bottom w:val="single" w:sz="4" w:space="0" w:color="auto"/>
              <w:right w:val="single" w:sz="4" w:space="0" w:color="auto"/>
            </w:tcBorders>
            <w:hideMark/>
          </w:tcPr>
          <w:p w:rsidR="0014696C" w:rsidRPr="00646AAB" w:rsidRDefault="0014696C" w:rsidP="00252618">
            <w:pPr>
              <w:pStyle w:val="EXHIBITtextnobullets-small"/>
              <w:rPr>
                <w:rFonts w:ascii="Arial" w:hAnsi="Arial" w:cs="Arial"/>
                <w:sz w:val="22"/>
                <w:szCs w:val="22"/>
              </w:rPr>
            </w:pPr>
            <w:r w:rsidRPr="00646AAB">
              <w:rPr>
                <w:rFonts w:ascii="Arial" w:hAnsi="Arial" w:cs="Arial"/>
                <w:sz w:val="22"/>
                <w:szCs w:val="22"/>
              </w:rPr>
              <w:t>‘She won’t want to be bothered with what’s happening in the business during leave’</w:t>
            </w:r>
          </w:p>
        </w:tc>
        <w:tc>
          <w:tcPr>
            <w:tcW w:w="3261" w:type="dxa"/>
            <w:tcBorders>
              <w:top w:val="single" w:sz="4" w:space="0" w:color="auto"/>
              <w:left w:val="single" w:sz="4" w:space="0" w:color="auto"/>
              <w:bottom w:val="single" w:sz="4" w:space="0" w:color="auto"/>
              <w:right w:val="single" w:sz="4" w:space="0" w:color="auto"/>
            </w:tcBorders>
            <w:hideMark/>
          </w:tcPr>
          <w:p w:rsidR="0014696C" w:rsidRPr="00646AAB" w:rsidRDefault="0014696C" w:rsidP="00252618">
            <w:pPr>
              <w:pStyle w:val="EXHIBITtextnobullets-small"/>
              <w:rPr>
                <w:rFonts w:ascii="Arial" w:hAnsi="Arial" w:cs="Arial"/>
                <w:sz w:val="22"/>
                <w:szCs w:val="22"/>
              </w:rPr>
            </w:pPr>
            <w:r w:rsidRPr="00646AAB">
              <w:rPr>
                <w:rFonts w:ascii="Arial" w:hAnsi="Arial" w:cs="Arial"/>
                <w:sz w:val="22"/>
                <w:szCs w:val="22"/>
              </w:rPr>
              <w:t>‘Have you had a good holiday?’</w:t>
            </w:r>
          </w:p>
        </w:tc>
        <w:tc>
          <w:tcPr>
            <w:tcW w:w="2693" w:type="dxa"/>
            <w:tcBorders>
              <w:top w:val="single" w:sz="4" w:space="0" w:color="auto"/>
              <w:left w:val="single" w:sz="4" w:space="0" w:color="auto"/>
              <w:bottom w:val="single" w:sz="4" w:space="0" w:color="auto"/>
              <w:right w:val="single" w:sz="4" w:space="0" w:color="auto"/>
            </w:tcBorders>
            <w:hideMark/>
          </w:tcPr>
          <w:p w:rsidR="0014696C" w:rsidRPr="00252618" w:rsidRDefault="0014696C" w:rsidP="00252618">
            <w:pPr>
              <w:pStyle w:val="EXHIBITtextnobullets-small"/>
              <w:rPr>
                <w:rFonts w:ascii="Arial" w:hAnsi="Arial" w:cs="Arial"/>
                <w:sz w:val="22"/>
                <w:szCs w:val="22"/>
              </w:rPr>
            </w:pPr>
            <w:r w:rsidRPr="003A0CED">
              <w:rPr>
                <w:rFonts w:ascii="Arial" w:hAnsi="Arial" w:cs="Arial"/>
                <w:sz w:val="22"/>
                <w:szCs w:val="22"/>
              </w:rPr>
              <w:t>‘She won’t want that opportunity, and I don’t want to load more work on her when she already has a family to balance’</w:t>
            </w:r>
          </w:p>
        </w:tc>
      </w:tr>
    </w:tbl>
    <w:p w:rsidR="00216105" w:rsidRDefault="00216105" w:rsidP="00DB3453">
      <w:pPr>
        <w:rPr>
          <w:b/>
          <w:sz w:val="28"/>
          <w:szCs w:val="28"/>
        </w:rPr>
        <w:sectPr w:rsidR="00216105" w:rsidSect="00216105">
          <w:footerReference w:type="default" r:id="rId17"/>
          <w:endnotePr>
            <w:numFmt w:val="decimal"/>
          </w:endnotePr>
          <w:pgSz w:w="16838" w:h="11906" w:orient="landscape" w:code="9"/>
          <w:pgMar w:top="1418" w:right="1134" w:bottom="1418" w:left="1134" w:header="709" w:footer="709" w:gutter="0"/>
          <w:cols w:space="708"/>
          <w:docGrid w:linePitch="360"/>
        </w:sectPr>
      </w:pPr>
    </w:p>
    <w:p w:rsidR="00DB3453" w:rsidRPr="004B5A63" w:rsidRDefault="00DB3453" w:rsidP="00416557">
      <w:pPr>
        <w:pStyle w:val="Heading1"/>
        <w:numPr>
          <w:ilvl w:val="0"/>
          <w:numId w:val="0"/>
        </w:numPr>
        <w:ind w:left="851" w:hanging="851"/>
      </w:pPr>
      <w:bookmarkStart w:id="16" w:name="_Toc393697754"/>
      <w:r w:rsidRPr="004B5A63">
        <w:t>Recommendations</w:t>
      </w:r>
      <w:bookmarkEnd w:id="16"/>
      <w:r w:rsidR="00FE5B1C">
        <w:t xml:space="preserve"> </w:t>
      </w:r>
    </w:p>
    <w:p w:rsidR="00742B35" w:rsidRDefault="00742B35" w:rsidP="00742B35">
      <w:pPr>
        <w:spacing w:before="0" w:after="0"/>
        <w:rPr>
          <w:rFonts w:cs="Arial"/>
        </w:rPr>
      </w:pPr>
      <w:r w:rsidRPr="007500C8">
        <w:rPr>
          <w:rFonts w:cs="Arial"/>
        </w:rPr>
        <w:t xml:space="preserve">The </w:t>
      </w:r>
      <w:r>
        <w:rPr>
          <w:rFonts w:cs="Arial"/>
        </w:rPr>
        <w:t xml:space="preserve">National Review’s </w:t>
      </w:r>
      <w:r w:rsidRPr="007500C8">
        <w:rPr>
          <w:rFonts w:cs="Arial"/>
        </w:rPr>
        <w:t>recommendations identify key strategies and actions for</w:t>
      </w:r>
      <w:r>
        <w:rPr>
          <w:rFonts w:cs="Arial"/>
        </w:rPr>
        <w:t>:</w:t>
      </w:r>
      <w:r w:rsidRPr="007500C8">
        <w:rPr>
          <w:rFonts w:cs="Arial"/>
        </w:rPr>
        <w:t xml:space="preserve"> </w:t>
      </w:r>
    </w:p>
    <w:p w:rsidR="00742B35" w:rsidRDefault="00742B35" w:rsidP="00742B35">
      <w:pPr>
        <w:pStyle w:val="ListParagraph"/>
        <w:numPr>
          <w:ilvl w:val="0"/>
          <w:numId w:val="37"/>
        </w:numPr>
        <w:spacing w:before="0" w:after="0"/>
        <w:rPr>
          <w:rFonts w:cs="Arial"/>
        </w:rPr>
      </w:pPr>
      <w:r w:rsidRPr="005C1980">
        <w:rPr>
          <w:rFonts w:cs="Arial"/>
        </w:rPr>
        <w:t xml:space="preserve">addressing the high prevalence of discrimination </w:t>
      </w:r>
    </w:p>
    <w:p w:rsidR="00742B35" w:rsidRDefault="00742B35" w:rsidP="00742B35">
      <w:pPr>
        <w:pStyle w:val="ListParagraph"/>
        <w:numPr>
          <w:ilvl w:val="0"/>
          <w:numId w:val="37"/>
        </w:numPr>
        <w:spacing w:before="0" w:after="0"/>
        <w:rPr>
          <w:rFonts w:cs="Arial"/>
        </w:rPr>
      </w:pPr>
      <w:r w:rsidRPr="005C1980">
        <w:rPr>
          <w:rFonts w:cs="Arial"/>
        </w:rPr>
        <w:t>strengthening the adequacy of existing laws, policies</w:t>
      </w:r>
      <w:r>
        <w:rPr>
          <w:rFonts w:cs="Arial"/>
        </w:rPr>
        <w:t>,</w:t>
      </w:r>
      <w:r w:rsidRPr="005C1980">
        <w:rPr>
          <w:rFonts w:cs="Arial"/>
        </w:rPr>
        <w:t xml:space="preserve"> procedures and practices </w:t>
      </w:r>
    </w:p>
    <w:p w:rsidR="00742B35" w:rsidRDefault="00742B35" w:rsidP="00742B35">
      <w:pPr>
        <w:pStyle w:val="ListParagraph"/>
        <w:numPr>
          <w:ilvl w:val="0"/>
          <w:numId w:val="37"/>
        </w:numPr>
        <w:spacing w:before="0" w:after="0"/>
        <w:rPr>
          <w:rFonts w:cs="Arial"/>
        </w:rPr>
      </w:pPr>
      <w:r w:rsidRPr="005C1980">
        <w:rPr>
          <w:rFonts w:cs="Arial"/>
        </w:rPr>
        <w:t xml:space="preserve">promoting leading </w:t>
      </w:r>
      <w:r>
        <w:rPr>
          <w:rFonts w:cs="Arial"/>
        </w:rPr>
        <w:t>approaches</w:t>
      </w:r>
      <w:r w:rsidRPr="005C1980">
        <w:rPr>
          <w:rFonts w:cs="Arial"/>
        </w:rPr>
        <w:t xml:space="preserve"> </w:t>
      </w:r>
    </w:p>
    <w:p w:rsidR="00742B35" w:rsidRPr="005C1980" w:rsidRDefault="00742B35" w:rsidP="00742B35">
      <w:pPr>
        <w:pStyle w:val="ListParagraph"/>
        <w:numPr>
          <w:ilvl w:val="0"/>
          <w:numId w:val="37"/>
        </w:numPr>
        <w:spacing w:before="0" w:after="0"/>
        <w:rPr>
          <w:rFonts w:cs="Arial"/>
        </w:rPr>
      </w:pPr>
      <w:proofErr w:type="gramStart"/>
      <w:r w:rsidRPr="005C1980">
        <w:rPr>
          <w:rFonts w:cs="Arial"/>
        </w:rPr>
        <w:t>identifying</w:t>
      </w:r>
      <w:proofErr w:type="gramEnd"/>
      <w:r w:rsidRPr="005C1980">
        <w:rPr>
          <w:rFonts w:cs="Arial"/>
        </w:rPr>
        <w:t xml:space="preserve"> focus areas for further monitoring, evaluation and research. </w:t>
      </w:r>
    </w:p>
    <w:p w:rsidR="00742B35" w:rsidRDefault="00742B35" w:rsidP="00742B35">
      <w:r w:rsidRPr="007500C8">
        <w:t xml:space="preserve">The recommendations are directed towards government, </w:t>
      </w:r>
      <w:r>
        <w:t>workplaces</w:t>
      </w:r>
      <w:r w:rsidRPr="007500C8">
        <w:t xml:space="preserve"> and the </w:t>
      </w:r>
      <w:r>
        <w:t xml:space="preserve">wider </w:t>
      </w:r>
      <w:r w:rsidRPr="007500C8">
        <w:t>Australian community</w:t>
      </w:r>
      <w:r>
        <w:t>, all of whom have an interest in increasing women’s participation in the workforce and in shaping family supportive workplaces</w:t>
      </w:r>
      <w:r w:rsidRPr="007500C8">
        <w:t>.</w:t>
      </w:r>
      <w:r>
        <w:t xml:space="preserve"> </w:t>
      </w:r>
    </w:p>
    <w:p w:rsidR="00742B35" w:rsidRPr="009445C7" w:rsidRDefault="00742B35" w:rsidP="00742B35">
      <w:r>
        <w:t>In addition to these recommendations, based on the findings, the National Review identified a number of areas requiring further consideration.</w:t>
      </w:r>
    </w:p>
    <w:p w:rsidR="00742B35" w:rsidRPr="007500C8" w:rsidRDefault="00742B35" w:rsidP="00742B35">
      <w:r>
        <w:t>Four</w:t>
      </w:r>
      <w:r w:rsidRPr="007500C8">
        <w:t xml:space="preserve"> overarching principles</w:t>
      </w:r>
      <w:r>
        <w:t xml:space="preserve"> frame the recommendations and</w:t>
      </w:r>
      <w:r w:rsidRPr="007500C8">
        <w:t xml:space="preserve"> prov</w:t>
      </w:r>
      <w:r>
        <w:t>ide the foundation for reform. These principles</w:t>
      </w:r>
      <w:r w:rsidRPr="007500C8">
        <w:t xml:space="preserve"> centre on strengthening</w:t>
      </w:r>
      <w:r>
        <w:t xml:space="preserve"> the</w:t>
      </w:r>
      <w:r w:rsidRPr="007500C8">
        <w:t xml:space="preserve"> implementation</w:t>
      </w:r>
      <w:r>
        <w:t xml:space="preserve"> of legal obligations through </w:t>
      </w:r>
      <w:r w:rsidRPr="007500C8">
        <w:t>the development of resources and accessible information</w:t>
      </w:r>
      <w:r>
        <w:t>, as well as through strategies designed to he</w:t>
      </w:r>
      <w:r w:rsidRPr="007500C8">
        <w:t xml:space="preserve">lp dismantle stereotypes and drive cultural change within workplaces. </w:t>
      </w:r>
    </w:p>
    <w:p w:rsidR="00742B35" w:rsidRDefault="00742B35" w:rsidP="00416557">
      <w:pPr>
        <w:pStyle w:val="Heading2"/>
        <w:numPr>
          <w:ilvl w:val="0"/>
          <w:numId w:val="0"/>
        </w:numPr>
      </w:pPr>
      <w:bookmarkStart w:id="17" w:name="_Toc393660823"/>
      <w:bookmarkStart w:id="18" w:name="_Toc393697755"/>
      <w:r>
        <w:t>Principle 1: Understanding rights and obligations is the starting point</w:t>
      </w:r>
      <w:bookmarkEnd w:id="17"/>
      <w:bookmarkEnd w:id="18"/>
      <w:r>
        <w:t xml:space="preserve"> </w:t>
      </w:r>
    </w:p>
    <w:p w:rsidR="00742B35" w:rsidRDefault="00742B35" w:rsidP="00742B35">
      <w:r>
        <w:t xml:space="preserve">Employers and employees need clear, comprehensive and consistent information that will assist them to increase and enhance their understanding of their obligations and their rights and how they should be applied in the workplace. </w:t>
      </w:r>
    </w:p>
    <w:p w:rsidR="00742B35" w:rsidRDefault="00742B35" w:rsidP="00742B35">
      <w:r>
        <w:t xml:space="preserve">This information needs to cover all relevant jurisdictions and explain the interaction of obligations under different laws. It should be disseminated to all pregnant women, and mothers and fathers returning to work.  It should also be disseminated to employers and line managers – to people who have day-to-day interaction with, and make decisions about, the continuing role of pregnant employees and parents returning to work after parental leave. </w:t>
      </w:r>
    </w:p>
    <w:p w:rsidR="00742B35" w:rsidRDefault="00742B35" w:rsidP="00742B35">
      <w:pPr>
        <w:spacing w:after="120"/>
      </w:pPr>
      <w:r>
        <w:t xml:space="preserve">The following government and statutory agencies should collaborate to produce this information and guidance material, and disseminate it through their agencies: </w:t>
      </w:r>
    </w:p>
    <w:p w:rsidR="00742B35" w:rsidRDefault="00742B35" w:rsidP="00742B35">
      <w:pPr>
        <w:pStyle w:val="ListParagraph"/>
        <w:numPr>
          <w:ilvl w:val="0"/>
          <w:numId w:val="38"/>
        </w:numPr>
        <w:spacing w:before="120"/>
      </w:pPr>
      <w:r>
        <w:t xml:space="preserve">Department of Social Services </w:t>
      </w:r>
    </w:p>
    <w:p w:rsidR="00742B35" w:rsidRDefault="00742B35" w:rsidP="00742B35">
      <w:pPr>
        <w:pStyle w:val="ListParagraph"/>
        <w:numPr>
          <w:ilvl w:val="0"/>
          <w:numId w:val="38"/>
        </w:numPr>
      </w:pPr>
      <w:r>
        <w:t xml:space="preserve">Australian Human Rights Commission </w:t>
      </w:r>
    </w:p>
    <w:p w:rsidR="00742B35" w:rsidRDefault="00742B35" w:rsidP="00742B35">
      <w:pPr>
        <w:pStyle w:val="ListParagraph"/>
        <w:numPr>
          <w:ilvl w:val="0"/>
          <w:numId w:val="38"/>
        </w:numPr>
      </w:pPr>
      <w:r>
        <w:t xml:space="preserve">Fair Work Ombudsman </w:t>
      </w:r>
    </w:p>
    <w:p w:rsidR="00742B35" w:rsidRDefault="00742B35" w:rsidP="00742B35">
      <w:pPr>
        <w:pStyle w:val="ListParagraph"/>
        <w:numPr>
          <w:ilvl w:val="0"/>
          <w:numId w:val="38"/>
        </w:numPr>
      </w:pPr>
      <w:r>
        <w:t xml:space="preserve">Fair Work Commission </w:t>
      </w:r>
    </w:p>
    <w:p w:rsidR="00742B35" w:rsidRDefault="00742B35" w:rsidP="00742B35">
      <w:pPr>
        <w:pStyle w:val="ListParagraph"/>
        <w:numPr>
          <w:ilvl w:val="0"/>
          <w:numId w:val="38"/>
        </w:numPr>
      </w:pPr>
      <w:r>
        <w:t xml:space="preserve">Safe Work Australia and relevant state and territory regulators </w:t>
      </w:r>
    </w:p>
    <w:p w:rsidR="00742B35" w:rsidRDefault="00742B35" w:rsidP="00742B35">
      <w:pPr>
        <w:pStyle w:val="ListParagraph"/>
        <w:numPr>
          <w:ilvl w:val="0"/>
          <w:numId w:val="38"/>
        </w:numPr>
      </w:pPr>
      <w:proofErr w:type="gramStart"/>
      <w:r>
        <w:t>state</w:t>
      </w:r>
      <w:proofErr w:type="gramEnd"/>
      <w:r>
        <w:t xml:space="preserve"> and territory anti-discrimination and equal opportunity authorities. </w:t>
      </w:r>
    </w:p>
    <w:p w:rsidR="00742B35" w:rsidRDefault="00742B35" w:rsidP="00742B35">
      <w:r>
        <w:t>These agencies should work with peak bodies from business, community, unions and community organisations to develop these materials and assist with their dissemination.</w:t>
      </w:r>
    </w:p>
    <w:p w:rsidR="00742B35" w:rsidRDefault="00742B35" w:rsidP="00742B35">
      <w:r>
        <w:t>For the first time in Australia, the national Paid Parental Leave scheme has created a mechanism through which information can be automatically disseminated to working mothers, fathers and employers. This should be better utilised, as should other existing mechanisms through peak employer bodies, unions, community legal organisations, working women’s centres, employee advice organisations and anti-discrimination and equal opportunity authorities.</w:t>
      </w:r>
    </w:p>
    <w:p w:rsidR="00742B35" w:rsidRDefault="00742B35" w:rsidP="00742B35">
      <w:pPr>
        <w:spacing w:after="120"/>
      </w:pPr>
      <w:r>
        <w:rPr>
          <w:rFonts w:cs="Arial"/>
        </w:rPr>
        <w:t xml:space="preserve">Innovative practices and strategies for preventing and addressing these forms of discrimination in the workplace can accelerate change and provide productive benefits to organisations, including reducing the loss of working parents from the workforce. </w:t>
      </w:r>
      <w:r w:rsidRPr="00C930D0">
        <w:t xml:space="preserve">Special measures are a useful tool for </w:t>
      </w:r>
      <w:r>
        <w:t>reducing existing</w:t>
      </w:r>
      <w:r w:rsidRPr="00C930D0">
        <w:t xml:space="preserve"> </w:t>
      </w:r>
      <w:r>
        <w:t>inequality</w:t>
      </w:r>
      <w:r w:rsidRPr="00C930D0">
        <w:t xml:space="preserve"> and </w:t>
      </w:r>
      <w:r>
        <w:t xml:space="preserve">for </w:t>
      </w:r>
      <w:r w:rsidRPr="00C930D0">
        <w:t>helping to drive cultural change</w:t>
      </w:r>
      <w:r>
        <w:t>. Other measures can include:</w:t>
      </w:r>
    </w:p>
    <w:p w:rsidR="00742B35" w:rsidRDefault="00742B35" w:rsidP="00742B35">
      <w:pPr>
        <w:pStyle w:val="ListParagraph"/>
        <w:numPr>
          <w:ilvl w:val="0"/>
          <w:numId w:val="20"/>
        </w:numPr>
        <w:spacing w:before="120"/>
      </w:pPr>
      <w:r>
        <w:t xml:space="preserve">developing and implementing policies and programs to support pregnant employees and working parents </w:t>
      </w:r>
    </w:p>
    <w:p w:rsidR="00742B35" w:rsidRDefault="00742B35" w:rsidP="00742B35">
      <w:pPr>
        <w:pStyle w:val="ListParagraph"/>
        <w:numPr>
          <w:ilvl w:val="0"/>
          <w:numId w:val="20"/>
        </w:numPr>
      </w:pPr>
      <w:r>
        <w:t>ensuring good communication and information sharing between management and employees throughout the continuum of pregnancy, parental leave and on return from parental leave</w:t>
      </w:r>
    </w:p>
    <w:p w:rsidR="00742B35" w:rsidRDefault="00742B35" w:rsidP="00742B35">
      <w:pPr>
        <w:pStyle w:val="ListParagraph"/>
        <w:numPr>
          <w:ilvl w:val="0"/>
          <w:numId w:val="20"/>
        </w:numPr>
      </w:pPr>
      <w:r>
        <w:t>promoting flexible work opportunities, and</w:t>
      </w:r>
      <w:r w:rsidRPr="008A6B2D">
        <w:t xml:space="preserve"> </w:t>
      </w:r>
    </w:p>
    <w:p w:rsidR="00742B35" w:rsidRDefault="00742B35" w:rsidP="00742B35">
      <w:pPr>
        <w:pStyle w:val="ListParagraph"/>
        <w:numPr>
          <w:ilvl w:val="0"/>
          <w:numId w:val="20"/>
        </w:numPr>
      </w:pPr>
      <w:proofErr w:type="gramStart"/>
      <w:r>
        <w:t>identifying</w:t>
      </w:r>
      <w:proofErr w:type="gramEnd"/>
      <w:r>
        <w:t xml:space="preserve"> and measuring key metrics, such as return to work rates and promotion rates for flexible workers.</w:t>
      </w:r>
    </w:p>
    <w:p w:rsidR="00742B35" w:rsidRPr="00CC3C9A" w:rsidRDefault="00742B35" w:rsidP="00742B35">
      <w:r w:rsidRPr="003F334D">
        <w:t xml:space="preserve">Organisations and government </w:t>
      </w:r>
      <w:r>
        <w:t xml:space="preserve">should </w:t>
      </w:r>
      <w:r w:rsidRPr="003F334D">
        <w:t xml:space="preserve">share information about leading practices and strategies that will help drive change and build productive workplaces.  </w:t>
      </w:r>
    </w:p>
    <w:tbl>
      <w:tblPr>
        <w:tblStyle w:val="TableGrid"/>
        <w:tblW w:w="0" w:type="auto"/>
        <w:shd w:val="clear" w:color="auto" w:fill="D9D9D9" w:themeFill="background1" w:themeFillShade="D9"/>
        <w:tblLook w:val="04A0" w:firstRow="1" w:lastRow="0" w:firstColumn="1" w:lastColumn="0" w:noHBand="0" w:noVBand="1"/>
      </w:tblPr>
      <w:tblGrid>
        <w:gridCol w:w="9286"/>
      </w:tblGrid>
      <w:tr w:rsidR="00742B35" w:rsidTr="00742B35">
        <w:tc>
          <w:tcPr>
            <w:tcW w:w="9286" w:type="dxa"/>
            <w:shd w:val="clear" w:color="auto" w:fill="D9D9D9" w:themeFill="background1" w:themeFillShade="D9"/>
          </w:tcPr>
          <w:p w:rsidR="00742B35" w:rsidRDefault="00742B35" w:rsidP="00742B35">
            <w:pPr>
              <w:rPr>
                <w:b/>
              </w:rPr>
            </w:pPr>
            <w:r w:rsidRPr="009C72E7">
              <w:rPr>
                <w:b/>
              </w:rPr>
              <w:t xml:space="preserve">Recommendation </w:t>
            </w:r>
            <w:r>
              <w:rPr>
                <w:b/>
              </w:rPr>
              <w:t>1</w:t>
            </w:r>
            <w:r w:rsidRPr="009C72E7">
              <w:rPr>
                <w:b/>
              </w:rPr>
              <w:t xml:space="preserve">: </w:t>
            </w:r>
          </w:p>
          <w:p w:rsidR="00742B35" w:rsidRPr="00923232" w:rsidRDefault="00742B35" w:rsidP="00742B35">
            <w:pPr>
              <w:rPr>
                <w:b/>
                <w:i/>
              </w:rPr>
            </w:pPr>
            <w:r>
              <w:rPr>
                <w:b/>
                <w:i/>
              </w:rPr>
              <w:t>For government:</w:t>
            </w:r>
          </w:p>
          <w:p w:rsidR="00742B35" w:rsidRPr="003F334D" w:rsidRDefault="00742B35" w:rsidP="00742B35">
            <w:pPr>
              <w:pStyle w:val="ListParagraph"/>
              <w:numPr>
                <w:ilvl w:val="0"/>
                <w:numId w:val="18"/>
              </w:numPr>
              <w:rPr>
                <w:b/>
              </w:rPr>
            </w:pPr>
            <w:r>
              <w:rPr>
                <w:b/>
              </w:rPr>
              <w:t xml:space="preserve">Coordinate across all </w:t>
            </w:r>
            <w:r w:rsidRPr="007B35A3">
              <w:rPr>
                <w:b/>
              </w:rPr>
              <w:t xml:space="preserve">relevant government </w:t>
            </w:r>
            <w:r>
              <w:rPr>
                <w:b/>
              </w:rPr>
              <w:t xml:space="preserve">and statutory </w:t>
            </w:r>
            <w:r w:rsidRPr="007B35A3">
              <w:rPr>
                <w:b/>
              </w:rPr>
              <w:t>agencies t</w:t>
            </w:r>
            <w:r>
              <w:rPr>
                <w:b/>
              </w:rPr>
              <w:t>he production and dissemination of</w:t>
            </w:r>
            <w:r w:rsidRPr="007B35A3">
              <w:rPr>
                <w:b/>
              </w:rPr>
              <w:t xml:space="preserve"> clear, comprehensive and consistent information about employer obligations</w:t>
            </w:r>
            <w:r>
              <w:rPr>
                <w:b/>
              </w:rPr>
              <w:t>,</w:t>
            </w:r>
            <w:r w:rsidRPr="007B35A3">
              <w:rPr>
                <w:b/>
              </w:rPr>
              <w:t xml:space="preserve"> employee rights</w:t>
            </w:r>
            <w:r>
              <w:rPr>
                <w:b/>
              </w:rPr>
              <w:t xml:space="preserve"> and leading practices and strategies.  </w:t>
            </w:r>
          </w:p>
          <w:p w:rsidR="00742B35" w:rsidRDefault="00742B35" w:rsidP="00742B35">
            <w:pPr>
              <w:pStyle w:val="ListParagraph"/>
              <w:rPr>
                <w:b/>
              </w:rPr>
            </w:pPr>
          </w:p>
          <w:p w:rsidR="00742B35" w:rsidRDefault="00742B35" w:rsidP="00742B35">
            <w:pPr>
              <w:pStyle w:val="ListParagraph"/>
              <w:numPr>
                <w:ilvl w:val="0"/>
                <w:numId w:val="17"/>
              </w:numPr>
              <w:rPr>
                <w:b/>
              </w:rPr>
            </w:pPr>
            <w:r>
              <w:rPr>
                <w:b/>
              </w:rPr>
              <w:t>Collaborate with peak bodies from the business community, unions and community organisations, to develop these materials and assist with their dissemination.</w:t>
            </w:r>
          </w:p>
          <w:p w:rsidR="00742B35" w:rsidRDefault="00742B35" w:rsidP="00742B35">
            <w:pPr>
              <w:pStyle w:val="ListParagraph"/>
              <w:rPr>
                <w:b/>
              </w:rPr>
            </w:pPr>
          </w:p>
          <w:p w:rsidR="00742B35" w:rsidRDefault="00742B35" w:rsidP="00742B35">
            <w:pPr>
              <w:pStyle w:val="ListParagraph"/>
              <w:numPr>
                <w:ilvl w:val="0"/>
                <w:numId w:val="17"/>
              </w:numPr>
              <w:rPr>
                <w:b/>
              </w:rPr>
            </w:pPr>
            <w:r>
              <w:rPr>
                <w:b/>
              </w:rPr>
              <w:t xml:space="preserve">Automate the delivery of guidance material to employees and employers through the national Paid Parental Leave scheme and other existing mechanisms. </w:t>
            </w:r>
          </w:p>
          <w:p w:rsidR="00742B35" w:rsidRPr="00306372" w:rsidRDefault="00742B35" w:rsidP="00742B35">
            <w:pPr>
              <w:pStyle w:val="ListParagraph"/>
              <w:rPr>
                <w:b/>
              </w:rPr>
            </w:pPr>
          </w:p>
          <w:p w:rsidR="00742B35" w:rsidRDefault="00742B35" w:rsidP="00742B35">
            <w:pPr>
              <w:pStyle w:val="ListParagraph"/>
              <w:numPr>
                <w:ilvl w:val="0"/>
                <w:numId w:val="17"/>
              </w:numPr>
              <w:rPr>
                <w:b/>
              </w:rPr>
            </w:pPr>
            <w:r>
              <w:rPr>
                <w:b/>
              </w:rPr>
              <w:t xml:space="preserve">Allocate funding to conduct a national education campaign on employer obligations and employee rights and highlight the benefits to the workplace and the Australian economy. </w:t>
            </w:r>
          </w:p>
          <w:p w:rsidR="00742B35" w:rsidRPr="00923232" w:rsidRDefault="00742B35" w:rsidP="00742B35">
            <w:pPr>
              <w:rPr>
                <w:b/>
                <w:i/>
              </w:rPr>
            </w:pPr>
            <w:r w:rsidRPr="00923232">
              <w:rPr>
                <w:b/>
                <w:i/>
              </w:rPr>
              <w:t xml:space="preserve">For </w:t>
            </w:r>
            <w:r>
              <w:rPr>
                <w:b/>
                <w:i/>
              </w:rPr>
              <w:t>employers</w:t>
            </w:r>
            <w:r w:rsidRPr="00923232">
              <w:rPr>
                <w:b/>
                <w:i/>
              </w:rPr>
              <w:t>:</w:t>
            </w:r>
          </w:p>
          <w:p w:rsidR="00742B35" w:rsidRPr="00DD5CED" w:rsidRDefault="00742B35" w:rsidP="00742B35">
            <w:pPr>
              <w:pStyle w:val="ListParagraph"/>
              <w:numPr>
                <w:ilvl w:val="0"/>
                <w:numId w:val="17"/>
              </w:numPr>
              <w:rPr>
                <w:b/>
              </w:rPr>
            </w:pPr>
            <w:r>
              <w:rPr>
                <w:b/>
              </w:rPr>
              <w:t xml:space="preserve">Ensure the effective delivery and communication of guidance material and leading practices and strategies throughout the organisation, particularly to line managers who have responsibility for managing pregnant employees, employees on parental leave and those returning from parental leave. </w:t>
            </w:r>
          </w:p>
        </w:tc>
      </w:tr>
    </w:tbl>
    <w:p w:rsidR="00742B35" w:rsidRDefault="00416557" w:rsidP="00416557">
      <w:pPr>
        <w:pStyle w:val="Heading2"/>
        <w:numPr>
          <w:ilvl w:val="0"/>
          <w:numId w:val="0"/>
        </w:numPr>
      </w:pPr>
      <w:bookmarkStart w:id="19" w:name="_Toc393660824"/>
      <w:bookmarkStart w:id="20" w:name="_Toc393697756"/>
      <w:r>
        <w:t>Principle</w:t>
      </w:r>
      <w:r w:rsidR="00742B35">
        <w:t xml:space="preserve"> 2: Dismantling harmful stereotypes, practices and behaviours about pregnant women and working parents is critical to eliminating discrimination related to pregnancy, parental leave and return to work</w:t>
      </w:r>
      <w:bookmarkEnd w:id="19"/>
      <w:bookmarkEnd w:id="20"/>
      <w:r w:rsidR="00742B35">
        <w:t xml:space="preserve"> </w:t>
      </w:r>
    </w:p>
    <w:p w:rsidR="00742B35" w:rsidRDefault="00742B35" w:rsidP="00742B35">
      <w:r>
        <w:t xml:space="preserve">The National Review found that harmful stereotypes and attitudes in the workplace about ‘the pregnant employee’ and ‘the employee with family or caring responsibilities’, ‘the flexible worker’, as well as stereotypes about ‘the ideal worker’, are pervasive in Australian workplaces.  </w:t>
      </w:r>
    </w:p>
    <w:p w:rsidR="00742B35" w:rsidRDefault="00742B35" w:rsidP="00742B35">
      <w:r>
        <w:t xml:space="preserve">The stereotype of an ‘ideal worker’ as someone who is male, has no caring responsibilities and is available to work 24 hours seven days a week is commonly found to operate in workplaces. Such stereotypes create unsupportive workplace cultures that are detrimental. Dismantling these stereotypes requires challenging organisational norms and culture. </w:t>
      </w:r>
    </w:p>
    <w:p w:rsidR="00742B35" w:rsidRDefault="00742B35" w:rsidP="00742B35">
      <w:r>
        <w:t>Identifying and ‘calling-out’ the harmful stereotypes in operation within a workplace is the first step to dismantling them. This will bring visibility to how these stereotypes are impeding the capacity of the workplace and workforce. Leaders within an organisation play an important role in naming the harmful stereotypes that exist and taking steps to remove them from the workplace.</w:t>
      </w:r>
    </w:p>
    <w:p w:rsidR="00742B35" w:rsidRDefault="00742B35" w:rsidP="00742B35">
      <w:r>
        <w:t xml:space="preserve">The second critical step is to challenge those stereotypes within the workplace, including through exposing and removing the stereotypes and unconscious bias underlying the organisation’s policies and practices for leave, flexible work, and promotion and performance indicators.  </w:t>
      </w:r>
    </w:p>
    <w:p w:rsidR="00742B35" w:rsidRDefault="00742B35" w:rsidP="00742B35">
      <w:r>
        <w:t>Educating and training managers and employees on stereotyping and unconscious bias is, therefore, critical to changing workplace culture. This can prevent harmful stereotypes from being perpetuated in the practical implementation of policies and programs.</w:t>
      </w:r>
      <w:r w:rsidRPr="00A44F20">
        <w:t xml:space="preserve"> </w:t>
      </w:r>
    </w:p>
    <w:p w:rsidR="00742B35" w:rsidRDefault="00742B35" w:rsidP="00742B35">
      <w:r>
        <w:t xml:space="preserve">Finally organisations should monitor and evaluate the implementation of legal obligations for supporting pregnant employees and working parents.  </w:t>
      </w:r>
    </w:p>
    <w:tbl>
      <w:tblPr>
        <w:tblStyle w:val="TableGrid"/>
        <w:tblW w:w="0" w:type="auto"/>
        <w:shd w:val="clear" w:color="auto" w:fill="D9D9D9" w:themeFill="background1" w:themeFillShade="D9"/>
        <w:tblLook w:val="04A0" w:firstRow="1" w:lastRow="0" w:firstColumn="1" w:lastColumn="0" w:noHBand="0" w:noVBand="1"/>
      </w:tblPr>
      <w:tblGrid>
        <w:gridCol w:w="9286"/>
      </w:tblGrid>
      <w:tr w:rsidR="00742B35" w:rsidTr="00742B35">
        <w:tc>
          <w:tcPr>
            <w:tcW w:w="9286" w:type="dxa"/>
            <w:shd w:val="clear" w:color="auto" w:fill="D9D9D9" w:themeFill="background1" w:themeFillShade="D9"/>
          </w:tcPr>
          <w:p w:rsidR="00742B35" w:rsidRDefault="00742B35" w:rsidP="00742B35">
            <w:pPr>
              <w:rPr>
                <w:b/>
              </w:rPr>
            </w:pPr>
            <w:r w:rsidRPr="00E03AF5">
              <w:rPr>
                <w:b/>
              </w:rPr>
              <w:t xml:space="preserve">Recommendation </w:t>
            </w:r>
            <w:r>
              <w:rPr>
                <w:b/>
              </w:rPr>
              <w:t>2</w:t>
            </w:r>
            <w:r w:rsidRPr="00E03AF5">
              <w:rPr>
                <w:b/>
              </w:rPr>
              <w:t xml:space="preserve">: </w:t>
            </w:r>
          </w:p>
          <w:p w:rsidR="00742B35" w:rsidRPr="00A44F20" w:rsidRDefault="00742B35" w:rsidP="00742B35">
            <w:pPr>
              <w:rPr>
                <w:b/>
                <w:i/>
              </w:rPr>
            </w:pPr>
            <w:r w:rsidRPr="00A44F20">
              <w:rPr>
                <w:b/>
                <w:i/>
              </w:rPr>
              <w:t>For employers</w:t>
            </w:r>
          </w:p>
          <w:p w:rsidR="00742B35" w:rsidRPr="000B7890" w:rsidRDefault="00742B35" w:rsidP="00742B35">
            <w:pPr>
              <w:pStyle w:val="ListParagraph"/>
              <w:numPr>
                <w:ilvl w:val="0"/>
                <w:numId w:val="17"/>
              </w:numPr>
              <w:rPr>
                <w:b/>
              </w:rPr>
            </w:pPr>
            <w:r w:rsidRPr="000B7890">
              <w:rPr>
                <w:b/>
              </w:rPr>
              <w:t>Leaders within organisations should make strong statements identifying the harmful stereotypes and take steps to remove practices and behaviours that perpetuate harmful stereotypes</w:t>
            </w:r>
            <w:r>
              <w:rPr>
                <w:b/>
              </w:rPr>
              <w:t>.</w:t>
            </w:r>
            <w:r w:rsidRPr="000B7890">
              <w:rPr>
                <w:b/>
              </w:rPr>
              <w:t xml:space="preserve"> </w:t>
            </w:r>
          </w:p>
          <w:p w:rsidR="00742B35" w:rsidRPr="004934C3" w:rsidRDefault="00742B35" w:rsidP="00742B35">
            <w:pPr>
              <w:pStyle w:val="ListParagraph"/>
              <w:rPr>
                <w:b/>
              </w:rPr>
            </w:pPr>
          </w:p>
          <w:p w:rsidR="00742B35" w:rsidRPr="004934C3" w:rsidRDefault="00742B35" w:rsidP="00742B35">
            <w:pPr>
              <w:pStyle w:val="ListParagraph"/>
              <w:numPr>
                <w:ilvl w:val="0"/>
                <w:numId w:val="23"/>
              </w:numPr>
              <w:spacing w:after="120"/>
              <w:rPr>
                <w:b/>
              </w:rPr>
            </w:pPr>
            <w:r w:rsidRPr="004934C3">
              <w:rPr>
                <w:b/>
              </w:rPr>
              <w:t>Organisations</w:t>
            </w:r>
            <w:r>
              <w:rPr>
                <w:b/>
              </w:rPr>
              <w:t xml:space="preserve"> should</w:t>
            </w:r>
            <w:r w:rsidRPr="004934C3">
              <w:rPr>
                <w:b/>
              </w:rPr>
              <w:t xml:space="preserve"> identify and remove </w:t>
            </w:r>
            <w:r>
              <w:rPr>
                <w:b/>
              </w:rPr>
              <w:t>harmful</w:t>
            </w:r>
            <w:r w:rsidRPr="004934C3">
              <w:rPr>
                <w:b/>
              </w:rPr>
              <w:t xml:space="preserve"> stereotypes</w:t>
            </w:r>
            <w:r>
              <w:rPr>
                <w:b/>
              </w:rPr>
              <w:t xml:space="preserve"> and eliminate </w:t>
            </w:r>
            <w:r w:rsidRPr="004934C3">
              <w:rPr>
                <w:b/>
              </w:rPr>
              <w:t>practices and behaviours</w:t>
            </w:r>
            <w:r>
              <w:rPr>
                <w:b/>
              </w:rPr>
              <w:t xml:space="preserve"> that perpetuate harmful stereotypes</w:t>
            </w:r>
            <w:r w:rsidRPr="004934C3">
              <w:rPr>
                <w:b/>
              </w:rPr>
              <w:t xml:space="preserve"> </w:t>
            </w:r>
            <w:r>
              <w:rPr>
                <w:b/>
              </w:rPr>
              <w:t xml:space="preserve">including </w:t>
            </w:r>
            <w:r w:rsidRPr="004934C3">
              <w:rPr>
                <w:b/>
              </w:rPr>
              <w:t>through:</w:t>
            </w:r>
          </w:p>
          <w:p w:rsidR="00742B35" w:rsidRPr="00DE3BCE" w:rsidRDefault="00742B35" w:rsidP="00742B35">
            <w:pPr>
              <w:pStyle w:val="CommentText"/>
              <w:numPr>
                <w:ilvl w:val="1"/>
                <w:numId w:val="24"/>
              </w:numPr>
              <w:spacing w:before="120" w:after="120"/>
              <w:rPr>
                <w:b/>
                <w:sz w:val="24"/>
                <w:szCs w:val="24"/>
              </w:rPr>
            </w:pPr>
            <w:r>
              <w:rPr>
                <w:b/>
                <w:sz w:val="24"/>
                <w:szCs w:val="24"/>
              </w:rPr>
              <w:t>r</w:t>
            </w:r>
            <w:r w:rsidRPr="00DE3BCE">
              <w:rPr>
                <w:b/>
                <w:sz w:val="24"/>
                <w:szCs w:val="24"/>
              </w:rPr>
              <w:t>eview</w:t>
            </w:r>
            <w:r>
              <w:rPr>
                <w:b/>
                <w:sz w:val="24"/>
                <w:szCs w:val="24"/>
              </w:rPr>
              <w:t>ing</w:t>
            </w:r>
            <w:r w:rsidRPr="00DE3BCE">
              <w:rPr>
                <w:b/>
                <w:sz w:val="24"/>
                <w:szCs w:val="24"/>
              </w:rPr>
              <w:t>/audit</w:t>
            </w:r>
            <w:r>
              <w:rPr>
                <w:b/>
                <w:sz w:val="24"/>
                <w:szCs w:val="24"/>
              </w:rPr>
              <w:t>ing</w:t>
            </w:r>
            <w:r w:rsidRPr="00DE3BCE">
              <w:rPr>
                <w:b/>
                <w:sz w:val="24"/>
                <w:szCs w:val="24"/>
              </w:rPr>
              <w:t xml:space="preserve"> existing policies</w:t>
            </w:r>
          </w:p>
          <w:p w:rsidR="00742B35" w:rsidRPr="00DE3BCE" w:rsidRDefault="00742B35" w:rsidP="00742B35">
            <w:pPr>
              <w:pStyle w:val="CommentText"/>
              <w:numPr>
                <w:ilvl w:val="1"/>
                <w:numId w:val="24"/>
              </w:numPr>
              <w:spacing w:before="120" w:after="120"/>
              <w:rPr>
                <w:b/>
                <w:sz w:val="24"/>
                <w:szCs w:val="24"/>
              </w:rPr>
            </w:pPr>
            <w:r>
              <w:rPr>
                <w:b/>
                <w:sz w:val="24"/>
                <w:szCs w:val="24"/>
              </w:rPr>
              <w:t>r</w:t>
            </w:r>
            <w:r w:rsidRPr="00DE3BCE">
              <w:rPr>
                <w:b/>
                <w:sz w:val="24"/>
                <w:szCs w:val="24"/>
              </w:rPr>
              <w:t>evis</w:t>
            </w:r>
            <w:r>
              <w:rPr>
                <w:b/>
                <w:sz w:val="24"/>
                <w:szCs w:val="24"/>
              </w:rPr>
              <w:t>ing</w:t>
            </w:r>
            <w:r w:rsidRPr="00DE3BCE">
              <w:rPr>
                <w:b/>
                <w:sz w:val="24"/>
                <w:szCs w:val="24"/>
              </w:rPr>
              <w:t xml:space="preserve"> policies and practices</w:t>
            </w:r>
          </w:p>
          <w:p w:rsidR="00742B35" w:rsidRPr="00DE3BCE" w:rsidRDefault="00742B35" w:rsidP="00742B35">
            <w:pPr>
              <w:pStyle w:val="CommentText"/>
              <w:numPr>
                <w:ilvl w:val="1"/>
                <w:numId w:val="24"/>
              </w:numPr>
              <w:spacing w:before="120" w:after="120"/>
              <w:rPr>
                <w:b/>
                <w:sz w:val="24"/>
                <w:szCs w:val="24"/>
              </w:rPr>
            </w:pPr>
            <w:r>
              <w:rPr>
                <w:b/>
                <w:sz w:val="24"/>
                <w:szCs w:val="24"/>
              </w:rPr>
              <w:t>r</w:t>
            </w:r>
            <w:r w:rsidRPr="00DE3BCE">
              <w:rPr>
                <w:b/>
                <w:sz w:val="24"/>
                <w:szCs w:val="24"/>
              </w:rPr>
              <w:t>eview</w:t>
            </w:r>
            <w:r>
              <w:rPr>
                <w:b/>
                <w:sz w:val="24"/>
                <w:szCs w:val="24"/>
              </w:rPr>
              <w:t>ing</w:t>
            </w:r>
            <w:r w:rsidRPr="00DE3BCE">
              <w:rPr>
                <w:b/>
                <w:sz w:val="24"/>
                <w:szCs w:val="24"/>
              </w:rPr>
              <w:t xml:space="preserve"> how information is provided to managers and employees</w:t>
            </w:r>
          </w:p>
          <w:p w:rsidR="00742B35" w:rsidRPr="00DE3BCE" w:rsidRDefault="00742B35" w:rsidP="00742B35">
            <w:pPr>
              <w:pStyle w:val="CommentText"/>
              <w:numPr>
                <w:ilvl w:val="1"/>
                <w:numId w:val="24"/>
              </w:numPr>
              <w:spacing w:before="120" w:after="120"/>
              <w:rPr>
                <w:sz w:val="24"/>
                <w:szCs w:val="24"/>
              </w:rPr>
            </w:pPr>
            <w:r>
              <w:rPr>
                <w:b/>
                <w:sz w:val="24"/>
                <w:szCs w:val="24"/>
              </w:rPr>
              <w:t>t</w:t>
            </w:r>
            <w:r w:rsidRPr="00DE3BCE">
              <w:rPr>
                <w:b/>
                <w:sz w:val="24"/>
                <w:szCs w:val="24"/>
              </w:rPr>
              <w:t>rain</w:t>
            </w:r>
            <w:r>
              <w:rPr>
                <w:b/>
                <w:sz w:val="24"/>
                <w:szCs w:val="24"/>
              </w:rPr>
              <w:t>ing</w:t>
            </w:r>
            <w:r w:rsidRPr="00DE3BCE">
              <w:rPr>
                <w:b/>
                <w:sz w:val="24"/>
                <w:szCs w:val="24"/>
              </w:rPr>
              <w:t xml:space="preserve"> </w:t>
            </w:r>
            <w:r>
              <w:rPr>
                <w:b/>
                <w:sz w:val="24"/>
                <w:szCs w:val="24"/>
              </w:rPr>
              <w:t xml:space="preserve">all employees, including line </w:t>
            </w:r>
            <w:r w:rsidRPr="00DE3BCE">
              <w:rPr>
                <w:b/>
                <w:sz w:val="24"/>
                <w:szCs w:val="24"/>
              </w:rPr>
              <w:t>managers</w:t>
            </w:r>
          </w:p>
          <w:p w:rsidR="00742B35" w:rsidRPr="00DE3BCE" w:rsidRDefault="00742B35" w:rsidP="00742B35">
            <w:pPr>
              <w:pStyle w:val="CommentText"/>
              <w:numPr>
                <w:ilvl w:val="1"/>
                <w:numId w:val="24"/>
              </w:numPr>
              <w:spacing w:before="120" w:after="120"/>
              <w:rPr>
                <w:sz w:val="24"/>
                <w:szCs w:val="24"/>
              </w:rPr>
            </w:pPr>
            <w:proofErr w:type="gramStart"/>
            <w:r>
              <w:rPr>
                <w:b/>
                <w:sz w:val="24"/>
                <w:szCs w:val="24"/>
              </w:rPr>
              <w:t>m</w:t>
            </w:r>
            <w:r w:rsidRPr="00DE3BCE">
              <w:rPr>
                <w:b/>
                <w:sz w:val="24"/>
                <w:szCs w:val="24"/>
              </w:rPr>
              <w:t>onitor</w:t>
            </w:r>
            <w:r>
              <w:rPr>
                <w:b/>
                <w:sz w:val="24"/>
                <w:szCs w:val="24"/>
              </w:rPr>
              <w:t>ing</w:t>
            </w:r>
            <w:proofErr w:type="gramEnd"/>
            <w:r w:rsidRPr="00DE3BCE">
              <w:rPr>
                <w:b/>
                <w:sz w:val="24"/>
                <w:szCs w:val="24"/>
              </w:rPr>
              <w:t xml:space="preserve"> and evaluat</w:t>
            </w:r>
            <w:r>
              <w:rPr>
                <w:b/>
                <w:sz w:val="24"/>
                <w:szCs w:val="24"/>
              </w:rPr>
              <w:t>ing</w:t>
            </w:r>
            <w:r w:rsidRPr="00DE3BCE">
              <w:rPr>
                <w:b/>
                <w:sz w:val="24"/>
                <w:szCs w:val="24"/>
              </w:rPr>
              <w:t xml:space="preserve"> the implementation </w:t>
            </w:r>
            <w:r>
              <w:rPr>
                <w:b/>
                <w:sz w:val="24"/>
                <w:szCs w:val="24"/>
              </w:rPr>
              <w:t xml:space="preserve">of </w:t>
            </w:r>
            <w:r w:rsidRPr="00DE3BCE">
              <w:rPr>
                <w:b/>
                <w:sz w:val="24"/>
                <w:szCs w:val="24"/>
              </w:rPr>
              <w:t xml:space="preserve">policies </w:t>
            </w:r>
            <w:r>
              <w:rPr>
                <w:b/>
                <w:sz w:val="24"/>
                <w:szCs w:val="24"/>
              </w:rPr>
              <w:t>and practices which</w:t>
            </w:r>
            <w:r w:rsidRPr="00DE3BCE">
              <w:rPr>
                <w:b/>
                <w:sz w:val="24"/>
                <w:szCs w:val="24"/>
              </w:rPr>
              <w:t xml:space="preserve"> support pregnant employees and working parents.</w:t>
            </w:r>
          </w:p>
        </w:tc>
      </w:tr>
    </w:tbl>
    <w:p w:rsidR="00742B35" w:rsidRDefault="00742B35" w:rsidP="00416557">
      <w:pPr>
        <w:pStyle w:val="Heading2"/>
        <w:numPr>
          <w:ilvl w:val="0"/>
          <w:numId w:val="0"/>
        </w:numPr>
      </w:pPr>
      <w:bookmarkStart w:id="21" w:name="_Toc393660825"/>
      <w:bookmarkStart w:id="22" w:name="_Toc393697757"/>
      <w:r>
        <w:t>Principle 3: Strong standards and improved implementation drives change and helps to create productive workplaces</w:t>
      </w:r>
      <w:bookmarkEnd w:id="21"/>
      <w:bookmarkEnd w:id="22"/>
    </w:p>
    <w:p w:rsidR="00742B35" w:rsidRDefault="00742B35" w:rsidP="00742B35">
      <w:r>
        <w:t xml:space="preserve">For both employees and employers, effective legal standards are critical to providing clarity about rights and obligations in the workplace. They also help to drive the development of social norms and to provide a framework from which to build and sustain healthy and harmonious workplaces. </w:t>
      </w:r>
    </w:p>
    <w:p w:rsidR="00742B35" w:rsidRDefault="00742B35" w:rsidP="00742B35">
      <w:r>
        <w:t>While the</w:t>
      </w:r>
      <w:r w:rsidRPr="005B4CA3">
        <w:rPr>
          <w:rFonts w:cs="Arial"/>
        </w:rPr>
        <w:t xml:space="preserve"> legal framework</w:t>
      </w:r>
      <w:r>
        <w:rPr>
          <w:rFonts w:cs="Arial"/>
        </w:rPr>
        <w:t xml:space="preserve"> in Australia</w:t>
      </w:r>
      <w:r w:rsidRPr="005B4CA3">
        <w:rPr>
          <w:rFonts w:cs="Arial"/>
        </w:rPr>
        <w:t xml:space="preserve"> is </w:t>
      </w:r>
      <w:r>
        <w:rPr>
          <w:rFonts w:cs="Arial"/>
        </w:rPr>
        <w:t>extensive</w:t>
      </w:r>
      <w:r w:rsidRPr="005B4CA3">
        <w:rPr>
          <w:rFonts w:cs="Arial"/>
        </w:rPr>
        <w:t xml:space="preserve">, </w:t>
      </w:r>
      <w:r>
        <w:rPr>
          <w:rFonts w:cs="Arial"/>
        </w:rPr>
        <w:t>some</w:t>
      </w:r>
      <w:r w:rsidRPr="005B4CA3">
        <w:rPr>
          <w:rFonts w:cs="Arial"/>
        </w:rPr>
        <w:t xml:space="preserve"> key reforms would assist in strengthening protection against discrimination </w:t>
      </w:r>
      <w:r>
        <w:rPr>
          <w:rFonts w:cs="Arial"/>
        </w:rPr>
        <w:t xml:space="preserve">in the workplace </w:t>
      </w:r>
      <w:r w:rsidRPr="005B4CA3">
        <w:rPr>
          <w:rFonts w:cs="Arial"/>
        </w:rPr>
        <w:t xml:space="preserve">and </w:t>
      </w:r>
      <w:r>
        <w:rPr>
          <w:rFonts w:cs="Arial"/>
        </w:rPr>
        <w:t>providing greater</w:t>
      </w:r>
      <w:r w:rsidRPr="005B4CA3">
        <w:rPr>
          <w:rFonts w:cs="Arial"/>
        </w:rPr>
        <w:t xml:space="preserve"> clarity for employers </w:t>
      </w:r>
      <w:r>
        <w:rPr>
          <w:rFonts w:cs="Arial"/>
        </w:rPr>
        <w:t>on</w:t>
      </w:r>
      <w:r w:rsidRPr="005B4CA3">
        <w:rPr>
          <w:rFonts w:cs="Arial"/>
        </w:rPr>
        <w:t xml:space="preserve"> their obligations.</w:t>
      </w:r>
    </w:p>
    <w:p w:rsidR="00742B35" w:rsidRDefault="00742B35" w:rsidP="00742B35">
      <w:pPr>
        <w:autoSpaceDE w:val="0"/>
        <w:autoSpaceDN w:val="0"/>
        <w:adjustRightInd w:val="0"/>
        <w:rPr>
          <w:rFonts w:cs="Arial"/>
        </w:rPr>
      </w:pPr>
      <w:r>
        <w:rPr>
          <w:rFonts w:cs="Arial"/>
        </w:rPr>
        <w:t xml:space="preserve">The continuing prevalence of pregnancy/return to work discrimination illustrates that there is a </w:t>
      </w:r>
      <w:r w:rsidRPr="005277D4">
        <w:rPr>
          <w:rFonts w:cs="Arial"/>
        </w:rPr>
        <w:t xml:space="preserve">significant gap between </w:t>
      </w:r>
      <w:r>
        <w:rPr>
          <w:rFonts w:cs="Arial"/>
        </w:rPr>
        <w:t>the legal framework</w:t>
      </w:r>
      <w:r w:rsidRPr="005277D4">
        <w:rPr>
          <w:rFonts w:cs="Arial"/>
        </w:rPr>
        <w:t xml:space="preserve"> and </w:t>
      </w:r>
      <w:r>
        <w:rPr>
          <w:rFonts w:cs="Arial"/>
        </w:rPr>
        <w:t xml:space="preserve">the </w:t>
      </w:r>
      <w:r w:rsidRPr="005277D4">
        <w:rPr>
          <w:rFonts w:cs="Arial"/>
        </w:rPr>
        <w:t xml:space="preserve">implementation of </w:t>
      </w:r>
      <w:r>
        <w:rPr>
          <w:rFonts w:cs="Arial"/>
        </w:rPr>
        <w:t>the law. There is therefore a need to focus on strategies which bridge the gap between law and practice. The starting point is having strong standards and these standards need to be effectively implemented in the workplace.</w:t>
      </w:r>
    </w:p>
    <w:tbl>
      <w:tblPr>
        <w:tblStyle w:val="TableGrid"/>
        <w:tblW w:w="0" w:type="auto"/>
        <w:shd w:val="clear" w:color="auto" w:fill="D9D9D9" w:themeFill="background1" w:themeFillShade="D9"/>
        <w:tblLook w:val="04A0" w:firstRow="1" w:lastRow="0" w:firstColumn="1" w:lastColumn="0" w:noHBand="0" w:noVBand="1"/>
      </w:tblPr>
      <w:tblGrid>
        <w:gridCol w:w="9286"/>
      </w:tblGrid>
      <w:tr w:rsidR="00742B35" w:rsidTr="00742B35">
        <w:tc>
          <w:tcPr>
            <w:tcW w:w="9286" w:type="dxa"/>
            <w:shd w:val="clear" w:color="auto" w:fill="D9D9D9" w:themeFill="background1" w:themeFillShade="D9"/>
          </w:tcPr>
          <w:p w:rsidR="00742B35" w:rsidRDefault="00742B35" w:rsidP="00742B35">
            <w:pPr>
              <w:autoSpaceDE w:val="0"/>
              <w:autoSpaceDN w:val="0"/>
              <w:adjustRightInd w:val="0"/>
              <w:rPr>
                <w:rFonts w:cs="Arial"/>
                <w:b/>
              </w:rPr>
            </w:pPr>
            <w:r>
              <w:rPr>
                <w:rFonts w:cs="Arial"/>
                <w:b/>
              </w:rPr>
              <w:t>Recommendation 3:</w:t>
            </w:r>
          </w:p>
          <w:p w:rsidR="00742B35" w:rsidRPr="00731CBB" w:rsidRDefault="00742B35" w:rsidP="00742B35">
            <w:pPr>
              <w:autoSpaceDE w:val="0"/>
              <w:autoSpaceDN w:val="0"/>
              <w:adjustRightInd w:val="0"/>
              <w:rPr>
                <w:rFonts w:cs="Arial"/>
                <w:b/>
                <w:i/>
              </w:rPr>
            </w:pPr>
            <w:r w:rsidRPr="00731CBB">
              <w:rPr>
                <w:rFonts w:cs="Arial"/>
                <w:b/>
                <w:i/>
              </w:rPr>
              <w:t>For government</w:t>
            </w:r>
            <w:r>
              <w:rPr>
                <w:rFonts w:cs="Arial"/>
                <w:b/>
                <w:i/>
              </w:rPr>
              <w:t>:</w:t>
            </w:r>
          </w:p>
          <w:p w:rsidR="00742B35" w:rsidRPr="002416BF" w:rsidRDefault="00742B35" w:rsidP="00742B35">
            <w:pPr>
              <w:autoSpaceDE w:val="0"/>
              <w:autoSpaceDN w:val="0"/>
              <w:adjustRightInd w:val="0"/>
              <w:rPr>
                <w:rFonts w:cs="Arial"/>
                <w:b/>
              </w:rPr>
            </w:pPr>
            <w:r w:rsidRPr="002416BF">
              <w:rPr>
                <w:rFonts w:cs="Arial"/>
                <w:b/>
              </w:rPr>
              <w:t>Address gaps in the protection of rights within the current legislative and policy framework. This includes:</w:t>
            </w:r>
          </w:p>
          <w:p w:rsidR="00742B35" w:rsidRPr="002416BF" w:rsidRDefault="00742B35" w:rsidP="00742B35">
            <w:pPr>
              <w:pStyle w:val="ListParagraph"/>
              <w:numPr>
                <w:ilvl w:val="1"/>
                <w:numId w:val="16"/>
              </w:numPr>
              <w:autoSpaceDE w:val="0"/>
              <w:autoSpaceDN w:val="0"/>
              <w:adjustRightInd w:val="0"/>
              <w:rPr>
                <w:rFonts w:cs="Arial"/>
                <w:b/>
              </w:rPr>
            </w:pPr>
            <w:r w:rsidRPr="002416BF">
              <w:rPr>
                <w:rFonts w:cs="Arial"/>
                <w:b/>
              </w:rPr>
              <w:t>amending the S</w:t>
            </w:r>
            <w:r w:rsidRPr="002416BF">
              <w:rPr>
                <w:rFonts w:cs="Arial"/>
                <w:b/>
                <w:i/>
              </w:rPr>
              <w:t xml:space="preserve">ex Discrimination Act 1984 </w:t>
            </w:r>
            <w:r w:rsidRPr="002416BF">
              <w:rPr>
                <w:rFonts w:cs="Arial"/>
                <w:b/>
              </w:rPr>
              <w:t>(</w:t>
            </w:r>
            <w:proofErr w:type="spellStart"/>
            <w:r w:rsidRPr="002416BF">
              <w:rPr>
                <w:rFonts w:cs="Arial"/>
                <w:b/>
              </w:rPr>
              <w:t>Cth</w:t>
            </w:r>
            <w:proofErr w:type="spellEnd"/>
            <w:r w:rsidRPr="002416BF">
              <w:rPr>
                <w:rFonts w:cs="Arial"/>
                <w:b/>
              </w:rPr>
              <w:t>) (SDA) to:</w:t>
            </w:r>
          </w:p>
          <w:p w:rsidR="00742B35" w:rsidRPr="00833231" w:rsidRDefault="00742B35" w:rsidP="00742B35">
            <w:pPr>
              <w:pStyle w:val="ListParagraph"/>
              <w:numPr>
                <w:ilvl w:val="0"/>
                <w:numId w:val="26"/>
              </w:numPr>
              <w:autoSpaceDE w:val="0"/>
              <w:autoSpaceDN w:val="0"/>
              <w:adjustRightInd w:val="0"/>
              <w:rPr>
                <w:rFonts w:cs="Arial"/>
                <w:b/>
              </w:rPr>
            </w:pPr>
            <w:r w:rsidRPr="002416BF">
              <w:rPr>
                <w:rFonts w:cs="Arial"/>
                <w:b/>
              </w:rPr>
              <w:t>extend the discrimination ground of ‘family responsibilities’ under the SDA to include indirect discrimination, and</w:t>
            </w:r>
          </w:p>
          <w:p w:rsidR="00742B35" w:rsidRPr="00833231" w:rsidRDefault="00742B35" w:rsidP="00742B35">
            <w:pPr>
              <w:pStyle w:val="ListParagraph"/>
              <w:numPr>
                <w:ilvl w:val="0"/>
                <w:numId w:val="26"/>
              </w:numPr>
              <w:autoSpaceDE w:val="0"/>
              <w:autoSpaceDN w:val="0"/>
              <w:adjustRightInd w:val="0"/>
              <w:rPr>
                <w:rFonts w:cs="Arial"/>
                <w:b/>
              </w:rPr>
            </w:pPr>
            <w:proofErr w:type="gramStart"/>
            <w:r w:rsidRPr="002416BF">
              <w:rPr>
                <w:rFonts w:cs="Arial"/>
                <w:b/>
              </w:rPr>
              <w:t>include</w:t>
            </w:r>
            <w:proofErr w:type="gramEnd"/>
            <w:r w:rsidRPr="002416BF">
              <w:rPr>
                <w:rFonts w:cs="Arial"/>
                <w:b/>
              </w:rPr>
              <w:t xml:space="preserve"> a positive duty on employers to reasonably accommodate  the needs of workers who are pregnant and/or have family responsibilities.</w:t>
            </w:r>
            <w:r w:rsidRPr="002416BF">
              <w:rPr>
                <w:rFonts w:cs="Arial"/>
                <w:b/>
              </w:rPr>
              <w:br/>
            </w:r>
          </w:p>
          <w:p w:rsidR="00742B35" w:rsidRPr="002416BF" w:rsidRDefault="00742B35" w:rsidP="00742B35">
            <w:pPr>
              <w:pStyle w:val="ListParagraph"/>
              <w:numPr>
                <w:ilvl w:val="1"/>
                <w:numId w:val="16"/>
              </w:numPr>
              <w:autoSpaceDE w:val="0"/>
              <w:autoSpaceDN w:val="0"/>
              <w:adjustRightInd w:val="0"/>
              <w:rPr>
                <w:rFonts w:cs="Arial"/>
                <w:b/>
              </w:rPr>
            </w:pPr>
            <w:r w:rsidRPr="002416BF">
              <w:rPr>
                <w:b/>
              </w:rPr>
              <w:t xml:space="preserve">strengthening the ‘right to request’ provisions under s 65 of the </w:t>
            </w:r>
            <w:r w:rsidRPr="002416BF">
              <w:rPr>
                <w:b/>
                <w:i/>
              </w:rPr>
              <w:t>Fair Work Act 2009</w:t>
            </w:r>
            <w:r w:rsidRPr="002416BF">
              <w:rPr>
                <w:b/>
              </w:rPr>
              <w:t xml:space="preserve"> (</w:t>
            </w:r>
            <w:proofErr w:type="spellStart"/>
            <w:r w:rsidRPr="002416BF">
              <w:rPr>
                <w:b/>
              </w:rPr>
              <w:t>Cth</w:t>
            </w:r>
            <w:proofErr w:type="spellEnd"/>
            <w:r w:rsidRPr="002416BF">
              <w:rPr>
                <w:b/>
              </w:rPr>
              <w:t>) (FWA) by:</w:t>
            </w:r>
          </w:p>
          <w:p w:rsidR="00742B35" w:rsidRPr="002416BF" w:rsidRDefault="00742B35" w:rsidP="00742B35">
            <w:pPr>
              <w:pStyle w:val="ListParagraph"/>
              <w:numPr>
                <w:ilvl w:val="0"/>
                <w:numId w:val="25"/>
              </w:numPr>
              <w:autoSpaceDE w:val="0"/>
              <w:autoSpaceDN w:val="0"/>
              <w:adjustRightInd w:val="0"/>
              <w:rPr>
                <w:rFonts w:cs="Arial"/>
                <w:b/>
              </w:rPr>
            </w:pPr>
            <w:r w:rsidRPr="002416BF">
              <w:rPr>
                <w:b/>
              </w:rPr>
              <w:t>removing the qualification requirements in section 65(2)(a) of the FWA (</w:t>
            </w:r>
            <w:proofErr w:type="spellStart"/>
            <w:r w:rsidRPr="002416BF">
              <w:rPr>
                <w:b/>
              </w:rPr>
              <w:t>ie</w:t>
            </w:r>
            <w:proofErr w:type="spellEnd"/>
            <w:r w:rsidRPr="002416BF">
              <w:rPr>
                <w:b/>
              </w:rPr>
              <w:t xml:space="preserve"> the requirements for 12 months continuous service)</w:t>
            </w:r>
          </w:p>
          <w:p w:rsidR="00742B35" w:rsidRPr="002416BF" w:rsidRDefault="00742B35" w:rsidP="00742B35">
            <w:pPr>
              <w:pStyle w:val="ListParagraph"/>
              <w:numPr>
                <w:ilvl w:val="0"/>
                <w:numId w:val="25"/>
              </w:numPr>
              <w:autoSpaceDE w:val="0"/>
              <w:autoSpaceDN w:val="0"/>
              <w:adjustRightInd w:val="0"/>
              <w:rPr>
                <w:rFonts w:cs="Arial"/>
                <w:b/>
              </w:rPr>
            </w:pPr>
            <w:r w:rsidRPr="002416BF">
              <w:rPr>
                <w:b/>
              </w:rPr>
              <w:t>introducing a positive duty on employers to reasonably accommodate a request for flexible working arrangements</w:t>
            </w:r>
          </w:p>
          <w:p w:rsidR="00742B35" w:rsidRPr="002416BF" w:rsidRDefault="00742B35" w:rsidP="00742B35">
            <w:pPr>
              <w:pStyle w:val="ListParagraph"/>
              <w:numPr>
                <w:ilvl w:val="0"/>
                <w:numId w:val="25"/>
              </w:numPr>
              <w:autoSpaceDE w:val="0"/>
              <w:autoSpaceDN w:val="0"/>
              <w:adjustRightInd w:val="0"/>
              <w:rPr>
                <w:rFonts w:cs="Arial"/>
                <w:b/>
                <w:color w:val="000000" w:themeColor="text1"/>
              </w:rPr>
            </w:pPr>
            <w:r w:rsidRPr="002416BF">
              <w:rPr>
                <w:b/>
                <w:color w:val="000000" w:themeColor="text1"/>
              </w:rPr>
              <w:t>establishing a procedural appeals process through the Fair Work Commission for decisions related to the right to request flexible working arrangements to ensure processes set out in the FWA have been complied with.</w:t>
            </w:r>
            <w:r w:rsidRPr="002416BF">
              <w:rPr>
                <w:rFonts w:cs="Arial"/>
                <w:b/>
                <w:color w:val="000000" w:themeColor="text1"/>
              </w:rPr>
              <w:t xml:space="preserve"> </w:t>
            </w:r>
          </w:p>
          <w:p w:rsidR="00742B35" w:rsidRPr="002416BF" w:rsidRDefault="00742B35" w:rsidP="00742B35">
            <w:pPr>
              <w:pStyle w:val="ListParagraph"/>
              <w:autoSpaceDE w:val="0"/>
              <w:autoSpaceDN w:val="0"/>
              <w:adjustRightInd w:val="0"/>
              <w:ind w:left="1080"/>
              <w:rPr>
                <w:rFonts w:cs="Arial"/>
                <w:b/>
              </w:rPr>
            </w:pPr>
          </w:p>
          <w:p w:rsidR="00742B35" w:rsidRPr="002416BF" w:rsidRDefault="00742B35" w:rsidP="00742B35">
            <w:pPr>
              <w:pStyle w:val="ListParagraph"/>
              <w:numPr>
                <w:ilvl w:val="0"/>
                <w:numId w:val="27"/>
              </w:numPr>
              <w:autoSpaceDE w:val="0"/>
              <w:autoSpaceDN w:val="0"/>
              <w:adjustRightInd w:val="0"/>
              <w:rPr>
                <w:rFonts w:cs="Arial"/>
                <w:b/>
              </w:rPr>
            </w:pPr>
            <w:r w:rsidRPr="002416BF">
              <w:rPr>
                <w:rFonts w:cs="Arial"/>
                <w:b/>
              </w:rPr>
              <w:t>clarifying the provisions under the National Employment Standards of FWA to:</w:t>
            </w:r>
          </w:p>
          <w:p w:rsidR="00742B35" w:rsidRPr="00833231" w:rsidRDefault="00742B35" w:rsidP="00742B35">
            <w:pPr>
              <w:pStyle w:val="ListParagraph"/>
              <w:numPr>
                <w:ilvl w:val="0"/>
                <w:numId w:val="26"/>
              </w:numPr>
              <w:autoSpaceDE w:val="0"/>
              <w:autoSpaceDN w:val="0"/>
              <w:adjustRightInd w:val="0"/>
              <w:rPr>
                <w:rFonts w:cs="Arial"/>
                <w:b/>
              </w:rPr>
            </w:pPr>
            <w:r w:rsidRPr="002416BF">
              <w:rPr>
                <w:rFonts w:cs="Arial"/>
                <w:b/>
              </w:rPr>
              <w:t xml:space="preserve">allow employees to use existing personal/carer leave entitlements under s97 of the FWA to attend prenatal appointments (including IVF) </w:t>
            </w:r>
          </w:p>
          <w:p w:rsidR="00742B35" w:rsidRPr="00833231" w:rsidRDefault="00742B35" w:rsidP="00742B35">
            <w:pPr>
              <w:pStyle w:val="ListParagraph"/>
              <w:numPr>
                <w:ilvl w:val="0"/>
                <w:numId w:val="26"/>
              </w:numPr>
              <w:autoSpaceDE w:val="0"/>
              <w:autoSpaceDN w:val="0"/>
              <w:adjustRightInd w:val="0"/>
              <w:rPr>
                <w:rFonts w:cs="Arial"/>
                <w:b/>
              </w:rPr>
            </w:pPr>
            <w:proofErr w:type="gramStart"/>
            <w:r w:rsidRPr="002416BF">
              <w:rPr>
                <w:rFonts w:cs="Arial"/>
                <w:b/>
              </w:rPr>
              <w:t>allow</w:t>
            </w:r>
            <w:proofErr w:type="gramEnd"/>
            <w:r w:rsidRPr="002416BF">
              <w:rPr>
                <w:rFonts w:cs="Arial"/>
                <w:b/>
              </w:rPr>
              <w:t xml:space="preserve"> employee breaks from work for the purposes of breastfeeding or expressing.</w:t>
            </w:r>
          </w:p>
          <w:p w:rsidR="00742B35" w:rsidRPr="00D974CC" w:rsidRDefault="00742B35" w:rsidP="00742B35">
            <w:pPr>
              <w:autoSpaceDE w:val="0"/>
              <w:autoSpaceDN w:val="0"/>
              <w:adjustRightInd w:val="0"/>
              <w:rPr>
                <w:rFonts w:cs="Arial"/>
                <w:b/>
              </w:rPr>
            </w:pPr>
            <w:r w:rsidRPr="00D974CC">
              <w:rPr>
                <w:rFonts w:cs="Arial"/>
                <w:b/>
              </w:rPr>
              <w:t xml:space="preserve">Increase understanding of legal requirements to not discriminate on the basis of pregnancy and return to work including by: </w:t>
            </w:r>
          </w:p>
          <w:p w:rsidR="00742B35" w:rsidRPr="009153E1" w:rsidRDefault="00742B35" w:rsidP="00742B35">
            <w:pPr>
              <w:pStyle w:val="ListParagraph"/>
              <w:numPr>
                <w:ilvl w:val="1"/>
                <w:numId w:val="16"/>
              </w:numPr>
              <w:autoSpaceDE w:val="0"/>
              <w:autoSpaceDN w:val="0"/>
              <w:adjustRightInd w:val="0"/>
              <w:rPr>
                <w:rFonts w:cs="Arial"/>
              </w:rPr>
            </w:pPr>
            <w:proofErr w:type="gramStart"/>
            <w:r w:rsidRPr="002416BF">
              <w:rPr>
                <w:b/>
              </w:rPr>
              <w:t>developing</w:t>
            </w:r>
            <w:proofErr w:type="gramEnd"/>
            <w:r w:rsidRPr="002416BF">
              <w:rPr>
                <w:b/>
              </w:rPr>
              <w:t xml:space="preserve"> guidance material for employers in relation to their legal obligations and in relation to the work, health and safety needs or requirements of pregnant employees, employees undergoing IVF and employees returning to work after miscarriage or childbirth (including employees who are breastfeeding). This guidance material should be developed with a view to introducing a ‘code of practice’ to have effect under </w:t>
            </w:r>
            <w:r>
              <w:rPr>
                <w:b/>
              </w:rPr>
              <w:t>W</w:t>
            </w:r>
            <w:r w:rsidRPr="002416BF">
              <w:rPr>
                <w:b/>
              </w:rPr>
              <w:t xml:space="preserve">ork </w:t>
            </w:r>
            <w:r>
              <w:rPr>
                <w:b/>
              </w:rPr>
              <w:t>H</w:t>
            </w:r>
            <w:r w:rsidRPr="002416BF">
              <w:rPr>
                <w:b/>
              </w:rPr>
              <w:t xml:space="preserve">ealth and </w:t>
            </w:r>
            <w:r>
              <w:rPr>
                <w:b/>
              </w:rPr>
              <w:t>S</w:t>
            </w:r>
            <w:r w:rsidRPr="002416BF">
              <w:rPr>
                <w:b/>
              </w:rPr>
              <w:t>afety l</w:t>
            </w:r>
            <w:r>
              <w:rPr>
                <w:b/>
              </w:rPr>
              <w:t>aws</w:t>
            </w:r>
            <w:r w:rsidRPr="002416BF">
              <w:rPr>
                <w:b/>
              </w:rPr>
              <w:t xml:space="preserve"> in every jurisdiction.</w:t>
            </w:r>
          </w:p>
        </w:tc>
      </w:tr>
    </w:tbl>
    <w:p w:rsidR="00742B35" w:rsidRDefault="00742B35" w:rsidP="00416557">
      <w:pPr>
        <w:pStyle w:val="Heading2"/>
        <w:numPr>
          <w:ilvl w:val="0"/>
          <w:numId w:val="0"/>
        </w:numPr>
      </w:pPr>
      <w:bookmarkStart w:id="23" w:name="_Toc393660826"/>
      <w:bookmarkStart w:id="24" w:name="_Toc393697758"/>
      <w:r>
        <w:t>Principle 4: Ongoing monitoring, evaluation and research will help to shape effective action</w:t>
      </w:r>
      <w:bookmarkEnd w:id="23"/>
      <w:bookmarkEnd w:id="24"/>
    </w:p>
    <w:p w:rsidR="00742B35" w:rsidRDefault="00742B35" w:rsidP="00742B35">
      <w:r>
        <w:t xml:space="preserve">At </w:t>
      </w:r>
      <w:r w:rsidRPr="00CC3C9A">
        <w:t>both the organisational and national level</w:t>
      </w:r>
      <w:r>
        <w:t xml:space="preserve">s, ongoing monitoring, </w:t>
      </w:r>
      <w:r w:rsidRPr="00CC3C9A">
        <w:t xml:space="preserve">evaluation and research are vital tools </w:t>
      </w:r>
      <w:r>
        <w:t>for</w:t>
      </w:r>
      <w:r w:rsidRPr="00CC3C9A">
        <w:t xml:space="preserve"> </w:t>
      </w:r>
      <w:r>
        <w:t>assessing</w:t>
      </w:r>
      <w:r w:rsidRPr="00CC3C9A">
        <w:t xml:space="preserve"> progress in </w:t>
      </w:r>
      <w:r>
        <w:t>reducing</w:t>
      </w:r>
      <w:r w:rsidRPr="00CC3C9A">
        <w:t xml:space="preserve"> discrimination.</w:t>
      </w:r>
    </w:p>
    <w:p w:rsidR="00742B35" w:rsidRDefault="00742B35" w:rsidP="00742B35">
      <w:r>
        <w:t>At the national level, p</w:t>
      </w:r>
      <w:r w:rsidRPr="00CC3C9A">
        <w:t xml:space="preserve">revalence surveys should be carried out </w:t>
      </w:r>
      <w:r>
        <w:t xml:space="preserve">at regular intervals </w:t>
      </w:r>
      <w:r w:rsidRPr="00CC3C9A">
        <w:t xml:space="preserve">to map </w:t>
      </w:r>
      <w:r>
        <w:t xml:space="preserve">our nation’s </w:t>
      </w:r>
      <w:r w:rsidRPr="00CC3C9A">
        <w:t xml:space="preserve">progress in </w:t>
      </w:r>
      <w:r>
        <w:t>reducing pregnancy/return to work</w:t>
      </w:r>
      <w:r w:rsidRPr="00CC3C9A">
        <w:t xml:space="preserve"> discrimination</w:t>
      </w:r>
      <w:r>
        <w:t>. This will also assist in identifying the ongoing nature and impacts of discrimination. We must also identify the benefits to workplaces of attracting and retaining pregnant women and working parents.</w:t>
      </w:r>
    </w:p>
    <w:p w:rsidR="00742B35" w:rsidRDefault="00742B35" w:rsidP="00742B35">
      <w:r>
        <w:t>The c</w:t>
      </w:r>
      <w:r w:rsidRPr="00FA7AE2">
        <w:t xml:space="preserve">ollection of national data on dismissal, redundancy and </w:t>
      </w:r>
      <w:r w:rsidRPr="006E31BD">
        <w:t xml:space="preserve">retention of pregnant employees and working parents </w:t>
      </w:r>
      <w:r>
        <w:t xml:space="preserve">is vital to monitoring the extent to which discrimination may be contributing to the low level of women’s workforce participation, particularly through the child bearing years. Such data can be collected through the existing gender equality reporting framework overseen by the Workplace Gender Equality Agency. </w:t>
      </w:r>
    </w:p>
    <w:p w:rsidR="00742B35" w:rsidRDefault="00742B35" w:rsidP="00742B35">
      <w:r>
        <w:t xml:space="preserve">The National Review found that there is a need for further research including, on the costs of pregnancy/return to work discrimination, to business and other workplaces and the national economy. As a priority, further research is needed to identify the most effective mechanism for reducing the level of vulnerability to redundancy and job loss of pregnant women, employees on parental leave and working parents. </w:t>
      </w:r>
    </w:p>
    <w:tbl>
      <w:tblPr>
        <w:tblStyle w:val="TableGrid"/>
        <w:tblW w:w="0" w:type="auto"/>
        <w:shd w:val="clear" w:color="auto" w:fill="D9D9D9" w:themeFill="background1" w:themeFillShade="D9"/>
        <w:tblLook w:val="04A0" w:firstRow="1" w:lastRow="0" w:firstColumn="1" w:lastColumn="0" w:noHBand="0" w:noVBand="1"/>
      </w:tblPr>
      <w:tblGrid>
        <w:gridCol w:w="9286"/>
      </w:tblGrid>
      <w:tr w:rsidR="00742B35" w:rsidTr="00742B35">
        <w:tc>
          <w:tcPr>
            <w:tcW w:w="9286" w:type="dxa"/>
            <w:shd w:val="clear" w:color="auto" w:fill="D9D9D9" w:themeFill="background1" w:themeFillShade="D9"/>
          </w:tcPr>
          <w:p w:rsidR="00742B35" w:rsidRPr="00E32FBD" w:rsidRDefault="00742B35" w:rsidP="00742B35">
            <w:pPr>
              <w:rPr>
                <w:b/>
              </w:rPr>
            </w:pPr>
            <w:r>
              <w:rPr>
                <w:b/>
              </w:rPr>
              <w:t>Recommendation 4</w:t>
            </w:r>
            <w:r w:rsidRPr="00E32FBD">
              <w:rPr>
                <w:b/>
              </w:rPr>
              <w:t xml:space="preserve">: </w:t>
            </w:r>
          </w:p>
          <w:p w:rsidR="00742B35" w:rsidRPr="00090E93" w:rsidRDefault="00742B35" w:rsidP="00742B35">
            <w:pPr>
              <w:rPr>
                <w:b/>
                <w:i/>
              </w:rPr>
            </w:pPr>
            <w:r w:rsidRPr="00090E93">
              <w:rPr>
                <w:b/>
                <w:i/>
              </w:rPr>
              <w:t>For government</w:t>
            </w:r>
          </w:p>
          <w:p w:rsidR="00742B35" w:rsidRDefault="00742B35" w:rsidP="00742B35">
            <w:pPr>
              <w:pStyle w:val="ListParagraph"/>
              <w:numPr>
                <w:ilvl w:val="0"/>
                <w:numId w:val="19"/>
              </w:numPr>
              <w:rPr>
                <w:b/>
              </w:rPr>
            </w:pPr>
            <w:r>
              <w:rPr>
                <w:b/>
              </w:rPr>
              <w:t>Allocate funding to conduct a regular national prevalence survey on discrimination related to pregnancy, parental leave and return to work after parental leave (every four years)</w:t>
            </w:r>
          </w:p>
          <w:p w:rsidR="00742B35" w:rsidRPr="006E31BD" w:rsidRDefault="00742B35" w:rsidP="00742B35">
            <w:pPr>
              <w:pStyle w:val="ListParagraph"/>
              <w:rPr>
                <w:b/>
              </w:rPr>
            </w:pPr>
          </w:p>
          <w:p w:rsidR="00742B35" w:rsidRPr="00407B57" w:rsidRDefault="00742B35" w:rsidP="00742B35">
            <w:pPr>
              <w:pStyle w:val="ListParagraph"/>
              <w:numPr>
                <w:ilvl w:val="0"/>
                <w:numId w:val="19"/>
              </w:numPr>
              <w:rPr>
                <w:b/>
              </w:rPr>
            </w:pPr>
            <w:r>
              <w:rPr>
                <w:b/>
              </w:rPr>
              <w:t>Conduct further research into identified gaps, such as the most effective mechanisms for reducing the vulnerability of pregnant women, employees on parental leave and working parents to redundancy and job loss.</w:t>
            </w:r>
          </w:p>
        </w:tc>
      </w:tr>
    </w:tbl>
    <w:p w:rsidR="002F1FCA" w:rsidRDefault="002F1FCA" w:rsidP="00416557">
      <w:pPr>
        <w:pStyle w:val="Heading1"/>
        <w:numPr>
          <w:ilvl w:val="0"/>
          <w:numId w:val="0"/>
        </w:numPr>
        <w:ind w:left="851" w:hanging="851"/>
      </w:pPr>
      <w:bookmarkStart w:id="25" w:name="_Toc393697759"/>
      <w:r>
        <w:t>Useful resources for further information</w:t>
      </w:r>
      <w:bookmarkEnd w:id="25"/>
    </w:p>
    <w:p w:rsidR="002F1FCA" w:rsidRPr="002F36EB" w:rsidRDefault="002F1FCA" w:rsidP="009E64BB">
      <w:pPr>
        <w:pStyle w:val="ListParagraph"/>
        <w:numPr>
          <w:ilvl w:val="0"/>
          <w:numId w:val="35"/>
        </w:numPr>
        <w:spacing w:before="0" w:after="0"/>
        <w:rPr>
          <w:rFonts w:cs="Arial"/>
        </w:rPr>
      </w:pPr>
      <w:r w:rsidRPr="008B3694">
        <w:rPr>
          <w:rFonts w:cs="Arial"/>
        </w:rPr>
        <w:t xml:space="preserve">Australian Human Rights Commission: </w:t>
      </w:r>
      <w:hyperlink r:id="rId18" w:history="1">
        <w:r w:rsidRPr="002F36EB">
          <w:rPr>
            <w:rStyle w:val="Hyperlink"/>
            <w:rFonts w:cs="Arial"/>
          </w:rPr>
          <w:t>https://www.humanrights.gov.au/publications/pregnancy-guidelines-2001</w:t>
        </w:r>
      </w:hyperlink>
    </w:p>
    <w:p w:rsidR="00C3369C" w:rsidRDefault="00C3369C" w:rsidP="00C3369C">
      <w:pPr>
        <w:pStyle w:val="ListParagraph"/>
        <w:spacing w:before="0" w:after="0"/>
        <w:rPr>
          <w:rFonts w:cs="Arial"/>
        </w:rPr>
      </w:pPr>
    </w:p>
    <w:p w:rsidR="002F1FCA" w:rsidRPr="002F36EB" w:rsidRDefault="002F1FCA" w:rsidP="009E64BB">
      <w:pPr>
        <w:pStyle w:val="ListParagraph"/>
        <w:numPr>
          <w:ilvl w:val="0"/>
          <w:numId w:val="35"/>
        </w:numPr>
        <w:spacing w:before="0" w:after="0"/>
        <w:rPr>
          <w:rFonts w:cs="Arial"/>
        </w:rPr>
      </w:pPr>
      <w:r w:rsidRPr="002F36EB">
        <w:rPr>
          <w:rFonts w:cs="Arial"/>
        </w:rPr>
        <w:t xml:space="preserve">Fair Work Ombudsman: </w:t>
      </w:r>
      <w:hyperlink r:id="rId19" w:history="1">
        <w:r w:rsidRPr="002F36EB">
          <w:rPr>
            <w:rStyle w:val="Hyperlink"/>
            <w:rFonts w:cs="Arial"/>
          </w:rPr>
          <w:t>http://www.fairwork.gov.au/leave/parental-leave/Pages/default.aspx</w:t>
        </w:r>
      </w:hyperlink>
      <w:r w:rsidRPr="002F36EB">
        <w:rPr>
          <w:rFonts w:cs="Arial"/>
        </w:rPr>
        <w:t xml:space="preserve"> </w:t>
      </w:r>
    </w:p>
    <w:p w:rsidR="00C3369C" w:rsidRDefault="00C3369C" w:rsidP="00C3369C">
      <w:pPr>
        <w:pStyle w:val="ListParagraph"/>
        <w:spacing w:before="0" w:after="0"/>
        <w:rPr>
          <w:rFonts w:cs="Arial"/>
        </w:rPr>
      </w:pPr>
    </w:p>
    <w:p w:rsidR="002F1FCA" w:rsidRDefault="002F1FCA" w:rsidP="009E64BB">
      <w:pPr>
        <w:pStyle w:val="ListParagraph"/>
        <w:numPr>
          <w:ilvl w:val="0"/>
          <w:numId w:val="35"/>
        </w:numPr>
        <w:spacing w:before="0" w:after="0"/>
        <w:rPr>
          <w:rFonts w:cs="Arial"/>
        </w:rPr>
      </w:pPr>
      <w:r w:rsidRPr="008B3694">
        <w:rPr>
          <w:rFonts w:cs="Arial"/>
        </w:rPr>
        <w:t xml:space="preserve">Workplace Gender Equality Agency: </w:t>
      </w:r>
      <w:hyperlink r:id="rId20" w:history="1">
        <w:r w:rsidRPr="002F36EB">
          <w:rPr>
            <w:rStyle w:val="Hyperlink"/>
            <w:rFonts w:cs="Arial"/>
          </w:rPr>
          <w:t>https://www.wgea.gov.au/sites/default/files/2013-05-10_branded_ppl.pdf</w:t>
        </w:r>
      </w:hyperlink>
      <w:r w:rsidRPr="002F36EB">
        <w:rPr>
          <w:rFonts w:cs="Arial"/>
        </w:rPr>
        <w:t xml:space="preserve"> </w:t>
      </w:r>
    </w:p>
    <w:p w:rsidR="00D542EF" w:rsidRPr="00D542EF" w:rsidRDefault="00D542EF" w:rsidP="00D542EF">
      <w:pPr>
        <w:pStyle w:val="ListParagraph"/>
        <w:rPr>
          <w:rFonts w:cs="Arial"/>
        </w:rPr>
      </w:pPr>
    </w:p>
    <w:p w:rsidR="00D542EF" w:rsidRPr="00D542EF" w:rsidRDefault="00D542EF" w:rsidP="009E64BB">
      <w:pPr>
        <w:pStyle w:val="ListParagraph"/>
        <w:numPr>
          <w:ilvl w:val="0"/>
          <w:numId w:val="35"/>
        </w:numPr>
        <w:spacing w:before="0" w:after="0"/>
        <w:rPr>
          <w:rStyle w:val="Hyperlink"/>
          <w:rFonts w:cs="Arial"/>
          <w:color w:val="auto"/>
          <w:u w:val="none"/>
        </w:rPr>
      </w:pPr>
      <w:r w:rsidRPr="002F36EB">
        <w:rPr>
          <w:rFonts w:cs="Arial"/>
        </w:rPr>
        <w:t>ASX Corporate Governance Council:</w:t>
      </w:r>
      <w:r w:rsidRPr="0080331C">
        <w:t xml:space="preserve"> </w:t>
      </w:r>
      <w:hyperlink r:id="rId21" w:history="1">
        <w:r w:rsidRPr="002F36EB">
          <w:rPr>
            <w:rStyle w:val="Hyperlink"/>
            <w:rFonts w:cs="Arial"/>
          </w:rPr>
          <w:t>http://www.asx.com.au/regulation/corporate-governance-council.htm</w:t>
        </w:r>
      </w:hyperlink>
    </w:p>
    <w:p w:rsidR="00D542EF" w:rsidRPr="00D542EF" w:rsidRDefault="00D542EF" w:rsidP="00D542EF">
      <w:pPr>
        <w:pStyle w:val="ListParagraph"/>
        <w:rPr>
          <w:rFonts w:cs="Arial"/>
        </w:rPr>
      </w:pPr>
    </w:p>
    <w:p w:rsidR="00D542EF" w:rsidRPr="0080331C" w:rsidRDefault="00D542EF" w:rsidP="009E64BB">
      <w:pPr>
        <w:pStyle w:val="ListParagraph"/>
        <w:numPr>
          <w:ilvl w:val="0"/>
          <w:numId w:val="35"/>
        </w:numPr>
        <w:spacing w:before="0" w:after="0"/>
        <w:rPr>
          <w:rFonts w:cs="Arial"/>
        </w:rPr>
      </w:pPr>
      <w:r w:rsidRPr="002F36EB">
        <w:rPr>
          <w:rFonts w:cs="Arial"/>
        </w:rPr>
        <w:t xml:space="preserve">Australian Industry Group </w:t>
      </w:r>
      <w:proofErr w:type="spellStart"/>
      <w:r w:rsidRPr="002F36EB">
        <w:rPr>
          <w:rFonts w:cs="Arial"/>
        </w:rPr>
        <w:t>Bizassist</w:t>
      </w:r>
      <w:proofErr w:type="spellEnd"/>
      <w:r>
        <w:rPr>
          <w:rFonts w:cs="Arial"/>
        </w:rPr>
        <w:t xml:space="preserve"> </w:t>
      </w:r>
      <w:proofErr w:type="spellStart"/>
      <w:r w:rsidRPr="002F36EB">
        <w:rPr>
          <w:rFonts w:cs="Arial"/>
        </w:rPr>
        <w:t>Infoline</w:t>
      </w:r>
      <w:proofErr w:type="spellEnd"/>
      <w:r w:rsidRPr="002F36EB">
        <w:rPr>
          <w:rFonts w:cs="Arial"/>
        </w:rPr>
        <w:t>: 1300 78 38 44</w:t>
      </w:r>
    </w:p>
    <w:p w:rsidR="00D542EF" w:rsidRDefault="00D542EF" w:rsidP="00D542EF">
      <w:pPr>
        <w:pStyle w:val="ListParagraph"/>
        <w:spacing w:before="0" w:after="0"/>
        <w:rPr>
          <w:rFonts w:cs="Arial"/>
        </w:rPr>
      </w:pPr>
    </w:p>
    <w:p w:rsidR="00D542EF" w:rsidRPr="00D542EF" w:rsidRDefault="00D542EF" w:rsidP="009E64BB">
      <w:pPr>
        <w:pStyle w:val="ListParagraph"/>
        <w:numPr>
          <w:ilvl w:val="0"/>
          <w:numId w:val="35"/>
        </w:numPr>
        <w:spacing w:before="0" w:after="0"/>
        <w:rPr>
          <w:rStyle w:val="Hyperlink"/>
          <w:rFonts w:cs="Arial"/>
          <w:color w:val="auto"/>
          <w:u w:val="none"/>
        </w:rPr>
      </w:pPr>
      <w:r>
        <w:rPr>
          <w:rFonts w:cs="Arial"/>
        </w:rPr>
        <w:t>Australian Chamber of Commerce</w:t>
      </w:r>
      <w:r w:rsidR="00742B35">
        <w:rPr>
          <w:rFonts w:cs="Arial"/>
        </w:rPr>
        <w:t xml:space="preserve"> and Industry</w:t>
      </w:r>
      <w:r>
        <w:rPr>
          <w:rFonts w:cs="Arial"/>
        </w:rPr>
        <w:t xml:space="preserve"> (and state and territory Chambers of Commerce): </w:t>
      </w:r>
      <w:hyperlink r:id="rId22" w:history="1">
        <w:r w:rsidRPr="000577E7">
          <w:rPr>
            <w:rStyle w:val="Hyperlink"/>
            <w:rFonts w:cs="Arial"/>
          </w:rPr>
          <w:t>http://www.acci.asn.au/</w:t>
        </w:r>
      </w:hyperlink>
    </w:p>
    <w:p w:rsidR="00D542EF" w:rsidRPr="00D542EF" w:rsidRDefault="00D542EF" w:rsidP="00D542EF">
      <w:pPr>
        <w:pStyle w:val="ListParagraph"/>
        <w:rPr>
          <w:rFonts w:cs="Arial"/>
        </w:rPr>
      </w:pPr>
    </w:p>
    <w:p w:rsidR="00D542EF" w:rsidRDefault="00D542EF" w:rsidP="009E64BB">
      <w:pPr>
        <w:pStyle w:val="ListParagraph"/>
        <w:numPr>
          <w:ilvl w:val="0"/>
          <w:numId w:val="35"/>
        </w:numPr>
        <w:spacing w:before="0" w:after="0"/>
        <w:rPr>
          <w:rFonts w:cs="Arial"/>
        </w:rPr>
      </w:pPr>
      <w:r>
        <w:rPr>
          <w:rFonts w:cs="Arial"/>
        </w:rPr>
        <w:t xml:space="preserve">Australian Council of Trade Unions: </w:t>
      </w:r>
      <w:hyperlink r:id="rId23" w:history="1">
        <w:r w:rsidRPr="008855D8">
          <w:rPr>
            <w:rStyle w:val="Hyperlink"/>
            <w:rFonts w:cs="Arial"/>
          </w:rPr>
          <w:t>http://www.actu.org.au/HelpDesk/default.aspx</w:t>
        </w:r>
      </w:hyperlink>
      <w:r>
        <w:rPr>
          <w:rFonts w:cs="Arial"/>
        </w:rPr>
        <w:t xml:space="preserve"> </w:t>
      </w:r>
    </w:p>
    <w:p w:rsidR="00A9331C" w:rsidRPr="00A9331C" w:rsidRDefault="00A9331C" w:rsidP="00A9331C">
      <w:pPr>
        <w:pStyle w:val="ListParagraph"/>
        <w:rPr>
          <w:rFonts w:cs="Arial"/>
        </w:rPr>
      </w:pPr>
    </w:p>
    <w:p w:rsidR="00A9331C" w:rsidRDefault="00A9331C" w:rsidP="009E64BB">
      <w:pPr>
        <w:pStyle w:val="ListParagraph"/>
        <w:numPr>
          <w:ilvl w:val="0"/>
          <w:numId w:val="35"/>
        </w:numPr>
        <w:spacing w:before="0" w:after="0"/>
        <w:rPr>
          <w:rFonts w:cs="Arial"/>
        </w:rPr>
      </w:pPr>
      <w:r>
        <w:rPr>
          <w:rFonts w:cs="Arial"/>
        </w:rPr>
        <w:t xml:space="preserve">Working Women’s Centres: </w:t>
      </w:r>
      <w:hyperlink r:id="rId24" w:history="1">
        <w:r w:rsidRPr="008855D8">
          <w:rPr>
            <w:rStyle w:val="Hyperlink"/>
            <w:rFonts w:cs="Arial"/>
          </w:rPr>
          <w:t>http://www.wwc.org.au//</w:t>
        </w:r>
      </w:hyperlink>
      <w:r>
        <w:rPr>
          <w:rFonts w:cs="Arial"/>
        </w:rPr>
        <w:t xml:space="preserve"> </w:t>
      </w:r>
    </w:p>
    <w:p w:rsidR="00A9331C" w:rsidRPr="00A9331C" w:rsidRDefault="00A9331C" w:rsidP="00A9331C">
      <w:pPr>
        <w:pStyle w:val="ListParagraph"/>
        <w:rPr>
          <w:rFonts w:cs="Arial"/>
        </w:rPr>
      </w:pPr>
    </w:p>
    <w:p w:rsidR="00A9331C" w:rsidRPr="002F36EB" w:rsidRDefault="00A9331C" w:rsidP="00A9331C">
      <w:pPr>
        <w:pStyle w:val="ListParagraph"/>
        <w:spacing w:before="0" w:after="0"/>
        <w:rPr>
          <w:rFonts w:cs="Arial"/>
        </w:rPr>
      </w:pPr>
    </w:p>
    <w:sectPr w:rsidR="00A9331C" w:rsidRPr="002F36EB" w:rsidSect="00216105">
      <w:endnotePr>
        <w:numFmt w:val="decimal"/>
      </w:endnotePr>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31E" w:rsidRDefault="0045331E" w:rsidP="00F14C6D">
      <w:r>
        <w:separator/>
      </w:r>
    </w:p>
  </w:endnote>
  <w:endnote w:type="continuationSeparator" w:id="0">
    <w:p w:rsidR="0045331E" w:rsidRDefault="0045331E" w:rsidP="00F14C6D">
      <w:r>
        <w:continuationSeparator/>
      </w:r>
    </w:p>
  </w:endnote>
  <w:endnote w:id="1">
    <w:p w:rsidR="0045331E" w:rsidRPr="002D6896" w:rsidRDefault="0045331E" w:rsidP="00BB1321">
      <w:pPr>
        <w:spacing w:before="0" w:after="0"/>
        <w:rPr>
          <w:rFonts w:cs="Arial"/>
          <w:sz w:val="20"/>
          <w:szCs w:val="20"/>
        </w:rPr>
      </w:pPr>
      <w:r w:rsidRPr="002D6896">
        <w:rPr>
          <w:rStyle w:val="EndnoteReference"/>
          <w:szCs w:val="20"/>
        </w:rPr>
        <w:endnoteRef/>
      </w:r>
      <w:r w:rsidRPr="002D6896">
        <w:rPr>
          <w:sz w:val="20"/>
          <w:szCs w:val="20"/>
        </w:rPr>
        <w:t xml:space="preserve"> </w:t>
      </w:r>
      <w:r w:rsidRPr="0013609D">
        <w:rPr>
          <w:rFonts w:cs="Arial"/>
          <w:sz w:val="20"/>
          <w:szCs w:val="20"/>
        </w:rPr>
        <w:t xml:space="preserve">The </w:t>
      </w:r>
      <w:hyperlink r:id="rId1" w:history="1">
        <w:r w:rsidRPr="009F24E4">
          <w:rPr>
            <w:rFonts w:cs="Arial"/>
            <w:sz w:val="20"/>
            <w:szCs w:val="20"/>
          </w:rPr>
          <w:t>Model Work Health and Safety (WHS) Act</w:t>
        </w:r>
      </w:hyperlink>
      <w:r w:rsidRPr="0013609D">
        <w:rPr>
          <w:rFonts w:cs="Arial"/>
          <w:sz w:val="20"/>
          <w:szCs w:val="20"/>
        </w:rPr>
        <w:t xml:space="preserve"> forms the basis of the WHS </w:t>
      </w:r>
      <w:r w:rsidRPr="009F24E4">
        <w:rPr>
          <w:rFonts w:cs="Arial"/>
          <w:sz w:val="20"/>
          <w:szCs w:val="20"/>
        </w:rPr>
        <w:t>laws</w:t>
      </w:r>
      <w:r w:rsidRPr="00F56086">
        <w:rPr>
          <w:rFonts w:cs="Arial"/>
          <w:sz w:val="20"/>
          <w:szCs w:val="20"/>
        </w:rPr>
        <w:t xml:space="preserve"> </w:t>
      </w:r>
      <w:r w:rsidRPr="0013609D">
        <w:rPr>
          <w:rFonts w:cs="Arial"/>
          <w:sz w:val="20"/>
          <w:szCs w:val="20"/>
        </w:rPr>
        <w:t>being enacted across Australia to harmonise work health and safety law</w:t>
      </w:r>
      <w:r>
        <w:rPr>
          <w:rFonts w:cs="Arial"/>
          <w:sz w:val="20"/>
          <w:szCs w:val="20"/>
        </w:rPr>
        <w:t>s</w:t>
      </w:r>
      <w:r w:rsidRPr="0013609D">
        <w:rPr>
          <w:rFonts w:cs="Arial"/>
          <w:sz w:val="20"/>
          <w:szCs w:val="20"/>
        </w:rPr>
        <w:t>.</w:t>
      </w:r>
    </w:p>
  </w:endnote>
  <w:endnote w:id="2">
    <w:p w:rsidR="0045331E" w:rsidRDefault="0045331E" w:rsidP="00BB1321">
      <w:pPr>
        <w:pStyle w:val="EndnoteText"/>
      </w:pPr>
      <w:r>
        <w:rPr>
          <w:rStyle w:val="EndnoteReference"/>
        </w:rPr>
        <w:endnoteRef/>
      </w:r>
      <w:r>
        <w:t xml:space="preserve"> </w:t>
      </w:r>
      <w:r w:rsidRPr="009915F1">
        <w:rPr>
          <w:rFonts w:cs="Arial"/>
          <w:color w:val="000000" w:themeColor="text1"/>
        </w:rPr>
        <w:t xml:space="preserve">Grattan Institute, </w:t>
      </w:r>
      <w:r w:rsidRPr="00705BE0">
        <w:rPr>
          <w:rFonts w:cs="Arial"/>
          <w:i/>
          <w:iCs/>
          <w:color w:val="000000" w:themeColor="text1"/>
        </w:rPr>
        <w:t>Game-changers: Economic reform priorities for Australia</w:t>
      </w:r>
      <w:r w:rsidRPr="00705BE0">
        <w:rPr>
          <w:rFonts w:cs="Arial"/>
          <w:color w:val="000000" w:themeColor="text1"/>
        </w:rPr>
        <w:t xml:space="preserve"> (2012), p</w:t>
      </w:r>
      <w:r>
        <w:rPr>
          <w:rFonts w:cs="Arial"/>
          <w:color w:val="000000" w:themeColor="text1"/>
        </w:rPr>
        <w:t xml:space="preserve"> </w:t>
      </w:r>
      <w:r w:rsidRPr="00705BE0">
        <w:rPr>
          <w:rFonts w:cs="Arial"/>
          <w:color w:val="000000" w:themeColor="text1"/>
        </w:rPr>
        <w:t>39</w:t>
      </w:r>
    </w:p>
  </w:endnote>
  <w:endnote w:id="3">
    <w:p w:rsidR="0045331E" w:rsidRPr="0051431E" w:rsidRDefault="0045331E" w:rsidP="00BD64FF">
      <w:pPr>
        <w:pStyle w:val="Pa56"/>
        <w:spacing w:line="240" w:lineRule="auto"/>
        <w:rPr>
          <w:rFonts w:ascii="Arial" w:hAnsi="Arial" w:cs="Arial"/>
          <w:sz w:val="20"/>
          <w:szCs w:val="20"/>
        </w:rPr>
      </w:pPr>
      <w:r w:rsidRPr="00744F9A">
        <w:rPr>
          <w:rStyle w:val="EndnoteReference"/>
          <w:rFonts w:cs="Arial"/>
          <w:szCs w:val="20"/>
        </w:rPr>
        <w:endnoteRef/>
      </w:r>
      <w:r w:rsidRPr="00744F9A">
        <w:rPr>
          <w:rFonts w:ascii="Arial" w:hAnsi="Arial" w:cs="Arial"/>
          <w:sz w:val="20"/>
          <w:szCs w:val="20"/>
        </w:rPr>
        <w:t xml:space="preserve"> In the 6 month period following the introduction of the ‘Dad and Partner Pay’ scheme (January – June 2013), 26,212 fathers and partners accessed the scheme. </w:t>
      </w:r>
      <w:r w:rsidRPr="00744F9A">
        <w:rPr>
          <w:rFonts w:ascii="Arial" w:hAnsi="Arial" w:cs="Arial"/>
          <w:sz w:val="20"/>
          <w:szCs w:val="20"/>
          <w:lang w:val="en-US"/>
        </w:rPr>
        <w:t>The Department of Families, Housing, Community Services and Indigenous Affairs (</w:t>
      </w:r>
      <w:proofErr w:type="spellStart"/>
      <w:r w:rsidRPr="00744F9A">
        <w:rPr>
          <w:rFonts w:ascii="Arial" w:hAnsi="Arial" w:cs="Arial"/>
          <w:sz w:val="20"/>
          <w:szCs w:val="20"/>
          <w:lang w:val="en-US"/>
        </w:rPr>
        <w:t>FaHCSIA</w:t>
      </w:r>
      <w:proofErr w:type="spellEnd"/>
      <w:r w:rsidRPr="00744F9A">
        <w:rPr>
          <w:rFonts w:ascii="Arial" w:hAnsi="Arial" w:cs="Arial"/>
          <w:sz w:val="20"/>
          <w:szCs w:val="20"/>
          <w:lang w:val="en-US"/>
        </w:rPr>
        <w:t xml:space="preserve">), </w:t>
      </w:r>
      <w:r w:rsidRPr="00E0760D">
        <w:rPr>
          <w:rFonts w:ascii="Arial" w:hAnsi="Arial" w:cs="Arial"/>
          <w:i/>
          <w:sz w:val="20"/>
          <w:szCs w:val="20"/>
        </w:rPr>
        <w:t>Annual Report 2012-2013</w:t>
      </w:r>
      <w:r w:rsidRPr="00744F9A">
        <w:rPr>
          <w:rFonts w:ascii="Arial" w:hAnsi="Arial" w:cs="Arial"/>
          <w:sz w:val="20"/>
          <w:szCs w:val="20"/>
        </w:rPr>
        <w:t xml:space="preserve">, p 40. At </w:t>
      </w:r>
      <w:bookmarkStart w:id="6" w:name="_GoBack"/>
      <w:r w:rsidR="0051431E" w:rsidRPr="0051431E">
        <w:rPr>
          <w:rFonts w:ascii="Arial" w:hAnsi="Arial" w:cs="Arial"/>
          <w:sz w:val="20"/>
          <w:szCs w:val="20"/>
        </w:rPr>
        <w:fldChar w:fldCharType="begin"/>
      </w:r>
      <w:r w:rsidR="0051431E" w:rsidRPr="0051431E">
        <w:rPr>
          <w:rFonts w:ascii="Arial" w:hAnsi="Arial" w:cs="Arial"/>
          <w:sz w:val="20"/>
          <w:szCs w:val="20"/>
        </w:rPr>
        <w:instrText xml:space="preserve"> HYPERLINK "http://www.dss.gov.au/about-the-department/publications-articles/corporate-publications/annual-reports/fahcsia-annual-report-2012-2013" </w:instrText>
      </w:r>
      <w:r w:rsidR="0051431E" w:rsidRPr="0051431E">
        <w:rPr>
          <w:rFonts w:ascii="Arial" w:hAnsi="Arial" w:cs="Arial"/>
          <w:sz w:val="20"/>
          <w:szCs w:val="20"/>
        </w:rPr>
        <w:fldChar w:fldCharType="separate"/>
      </w:r>
      <w:r w:rsidR="0051431E" w:rsidRPr="0051431E">
        <w:rPr>
          <w:rStyle w:val="Hyperlink"/>
          <w:rFonts w:ascii="Arial" w:hAnsi="Arial" w:cs="Arial"/>
          <w:sz w:val="20"/>
          <w:szCs w:val="20"/>
        </w:rPr>
        <w:t>http://www.dss.gov.au/about-the-department/publications-articles/corporate-publications/annual-reports/fahcsia-annual-report-2012-2013</w:t>
      </w:r>
      <w:r w:rsidR="0051431E" w:rsidRPr="0051431E">
        <w:rPr>
          <w:rFonts w:ascii="Arial" w:hAnsi="Arial" w:cs="Arial"/>
          <w:sz w:val="20"/>
          <w:szCs w:val="20"/>
        </w:rPr>
        <w:fldChar w:fldCharType="end"/>
      </w:r>
      <w:r w:rsidR="0051431E" w:rsidRPr="0051431E">
        <w:rPr>
          <w:rFonts w:ascii="Arial" w:hAnsi="Arial" w:cs="Arial"/>
          <w:sz w:val="20"/>
          <w:szCs w:val="20"/>
        </w:rPr>
        <w:t xml:space="preserve"> </w:t>
      </w:r>
      <w:r w:rsidRPr="0051431E">
        <w:rPr>
          <w:rFonts w:ascii="Arial" w:hAnsi="Arial" w:cs="Arial"/>
          <w:sz w:val="20"/>
          <w:szCs w:val="20"/>
        </w:rPr>
        <w:t xml:space="preserve"> (viewed 1 April 2014).</w:t>
      </w:r>
    </w:p>
  </w:endnote>
  <w:endnote w:id="4">
    <w:p w:rsidR="0045331E" w:rsidRPr="004368B7" w:rsidRDefault="0045331E" w:rsidP="004368B7">
      <w:pPr>
        <w:pStyle w:val="EndnoteText"/>
      </w:pPr>
      <w:r w:rsidRPr="0051431E">
        <w:rPr>
          <w:rStyle w:val="EndnoteReference"/>
          <w:rFonts w:cs="Arial"/>
        </w:rPr>
        <w:endnoteRef/>
      </w:r>
      <w:r w:rsidRPr="0051431E">
        <w:rPr>
          <w:rFonts w:cs="Arial"/>
        </w:rPr>
        <w:t xml:space="preserve"> Also included under community organisations are </w:t>
      </w:r>
      <w:r w:rsidRPr="0051431E">
        <w:rPr>
          <w:rFonts w:cs="Arial"/>
          <w:lang w:val="en-GB"/>
        </w:rPr>
        <w:t>state and territory anti-dis</w:t>
      </w:r>
      <w:r w:rsidRPr="007351B1">
        <w:rPr>
          <w:rFonts w:cs="Arial"/>
          <w:lang w:val="en-GB"/>
        </w:rPr>
        <w:t xml:space="preserve">crimination and equal opportunity </w:t>
      </w:r>
      <w:r w:rsidRPr="004368B7">
        <w:rPr>
          <w:rFonts w:cs="Arial"/>
          <w:lang w:val="en-GB"/>
        </w:rPr>
        <w:t>authorities.</w:t>
      </w:r>
    </w:p>
  </w:endnote>
  <w:endnote w:id="5">
    <w:p w:rsidR="0045331E" w:rsidRPr="00252618" w:rsidRDefault="0045331E" w:rsidP="00CF5EF2">
      <w:pPr>
        <w:pStyle w:val="ListParagraph"/>
        <w:spacing w:before="0" w:after="0"/>
        <w:ind w:left="0"/>
        <w:rPr>
          <w:rFonts w:cs="Arial"/>
          <w:sz w:val="20"/>
          <w:szCs w:val="20"/>
        </w:rPr>
      </w:pPr>
      <w:r w:rsidRPr="004368B7">
        <w:rPr>
          <w:rStyle w:val="EndnoteReference"/>
          <w:rFonts w:cs="Arial"/>
          <w:szCs w:val="20"/>
        </w:rPr>
        <w:endnoteRef/>
      </w:r>
      <w:r w:rsidRPr="00CF5EF2">
        <w:rPr>
          <w:rFonts w:cs="Arial"/>
          <w:sz w:val="20"/>
          <w:szCs w:val="20"/>
        </w:rPr>
        <w:t xml:space="preserve"> Survey questions: Q8, Q10/a/b, Q20</w:t>
      </w:r>
      <w:proofErr w:type="gramStart"/>
      <w:r w:rsidRPr="00CF5EF2">
        <w:rPr>
          <w:rFonts w:cs="Arial"/>
          <w:sz w:val="20"/>
          <w:szCs w:val="20"/>
        </w:rPr>
        <w:t>,Q22</w:t>
      </w:r>
      <w:proofErr w:type="gramEnd"/>
      <w:r w:rsidRPr="00CF5EF2">
        <w:rPr>
          <w:rFonts w:cs="Arial"/>
          <w:sz w:val="20"/>
          <w:szCs w:val="20"/>
        </w:rPr>
        <w:t xml:space="preserve">/a/b, Q47, Q49, Q50/a/b. </w:t>
      </w:r>
      <w:r w:rsidRPr="00252618">
        <w:rPr>
          <w:rFonts w:cs="Arial"/>
          <w:sz w:val="20"/>
          <w:szCs w:val="20"/>
        </w:rPr>
        <w:t>Base: Total respondents: (n=2002); During pregnancy: mothers (n= 2001); when requested or took parental leave: mothers who took leave or would have liked to take leave (n=1902); mothers who returned to work as an employee (n=1576).</w:t>
      </w:r>
    </w:p>
  </w:endnote>
  <w:endnote w:id="6">
    <w:p w:rsidR="0045331E" w:rsidRPr="00646AAB" w:rsidRDefault="0045331E" w:rsidP="00252618">
      <w:pPr>
        <w:pStyle w:val="EndnoteText"/>
      </w:pPr>
      <w:r w:rsidRPr="00252618">
        <w:rPr>
          <w:rStyle w:val="EndnoteReference"/>
        </w:rPr>
        <w:endnoteRef/>
      </w:r>
      <w:r w:rsidRPr="00252618">
        <w:t xml:space="preserve"> </w:t>
      </w:r>
      <w:r w:rsidRPr="00252618">
        <w:rPr>
          <w:rFonts w:cs="Arial"/>
        </w:rPr>
        <w:t xml:space="preserve">13% of mothers who were discriminated against at some point </w:t>
      </w:r>
      <w:r w:rsidRPr="00646AAB">
        <w:rPr>
          <w:rFonts w:cs="Arial"/>
        </w:rPr>
        <w:t>went to look for another job.</w:t>
      </w:r>
    </w:p>
  </w:endnote>
  <w:endnote w:id="7">
    <w:p w:rsidR="0045331E" w:rsidRDefault="0045331E" w:rsidP="00A36BEC">
      <w:pPr>
        <w:pStyle w:val="EndnoteText"/>
      </w:pPr>
      <w:r w:rsidRPr="00252618">
        <w:rPr>
          <w:rStyle w:val="EndnoteReference"/>
        </w:rPr>
        <w:endnoteRef/>
      </w:r>
      <w:r w:rsidRPr="00252618">
        <w:t xml:space="preserve"> </w:t>
      </w:r>
      <w:r w:rsidRPr="00252618">
        <w:rPr>
          <w:rFonts w:cs="Arial"/>
        </w:rPr>
        <w:t>19% of mothers who were discriminated against at some</w:t>
      </w:r>
      <w:r w:rsidRPr="00C11C0B">
        <w:rPr>
          <w:rFonts w:cs="Arial"/>
        </w:rPr>
        <w:t xml:space="preserve"> point resigned</w:t>
      </w:r>
      <w:r>
        <w:rPr>
          <w:rFonts w:cs="Arial"/>
        </w:rPr>
        <w:t>.</w:t>
      </w:r>
    </w:p>
  </w:endnote>
  <w:endnote w:id="8">
    <w:p w:rsidR="0045331E" w:rsidRDefault="0045331E">
      <w:pPr>
        <w:pStyle w:val="EndnoteText"/>
      </w:pPr>
      <w:r>
        <w:rPr>
          <w:rStyle w:val="EndnoteReference"/>
        </w:rPr>
        <w:endnoteRef/>
      </w:r>
      <w:r>
        <w:t xml:space="preserve"> The survey provides the results of the experiences of discrimination of fathers and partners who took the legislative entitlement to two weeks of pay (at the minimum wage) under the ‘Dad and Partner Pay’ (</w:t>
      </w:r>
      <w:proofErr w:type="spellStart"/>
      <w:r>
        <w:t>DaPP</w:t>
      </w:r>
      <w:proofErr w:type="spellEnd"/>
      <w:r>
        <w:t xml:space="preserve">) scheme for leave take to care for their child. As noted above, while the results of the survey are representative of the experiences of fathers and partners who take </w:t>
      </w:r>
      <w:proofErr w:type="spellStart"/>
      <w:r>
        <w:t>DaPP</w:t>
      </w:r>
      <w:proofErr w:type="spellEnd"/>
      <w:r>
        <w:t xml:space="preserve">, they are not representative of the experiences of all fathers and partners in Australia. Thus, unlike the Mothers Survey, the results of the Fathers and Partners do not establish national prevalence rates of discrimination for fathers and partners. The results do however provide an important insight into the experiences of fathers and partners who took some time off work to care for their child. </w:t>
      </w:r>
    </w:p>
  </w:endnote>
  <w:endnote w:id="9">
    <w:p w:rsidR="0045331E" w:rsidRPr="00C50FC2" w:rsidRDefault="0045331E" w:rsidP="0013613A">
      <w:pPr>
        <w:spacing w:before="0" w:after="0"/>
        <w:rPr>
          <w:rFonts w:cs="Arial"/>
          <w:color w:val="FF0000"/>
          <w:sz w:val="20"/>
          <w:szCs w:val="20"/>
        </w:rPr>
      </w:pPr>
      <w:r w:rsidRPr="00744F9A">
        <w:rPr>
          <w:rStyle w:val="EndnoteReference"/>
          <w:rFonts w:cs="Arial"/>
        </w:rPr>
        <w:endnoteRef/>
      </w:r>
      <w:r w:rsidRPr="00744F9A">
        <w:rPr>
          <w:rFonts w:cs="Arial"/>
        </w:rPr>
        <w:t xml:space="preserve"> </w:t>
      </w:r>
      <w:r w:rsidRPr="00C50FC2">
        <w:rPr>
          <w:rFonts w:cs="Arial"/>
          <w:sz w:val="20"/>
          <w:szCs w:val="20"/>
        </w:rPr>
        <w:t>Survey questions: Q13, Q14, Q15, Q40, Q41, Q42. Base: During parental leave: all respondents (n=1001); family responsibilities: returned to work as an employee (n=977)</w:t>
      </w:r>
      <w:r>
        <w:rPr>
          <w:rFonts w:cs="Arial"/>
          <w:sz w:val="20"/>
          <w:szCs w:val="20"/>
        </w:rPr>
        <w:t>.</w:t>
      </w:r>
    </w:p>
  </w:endnote>
  <w:endnote w:id="10">
    <w:p w:rsidR="0045331E" w:rsidRPr="00C50FC2" w:rsidRDefault="0045331E" w:rsidP="0025436D">
      <w:pPr>
        <w:pStyle w:val="EndnoteText"/>
      </w:pPr>
      <w:r w:rsidRPr="00C50FC2">
        <w:rPr>
          <w:rStyle w:val="EndnoteReference"/>
        </w:rPr>
        <w:endnoteRef/>
      </w:r>
      <w:r w:rsidRPr="00C50FC2">
        <w:t xml:space="preserve"> </w:t>
      </w:r>
      <w:proofErr w:type="gramStart"/>
      <w:r w:rsidRPr="00C50FC2">
        <w:rPr>
          <w:rFonts w:cs="Arial"/>
        </w:rPr>
        <w:t>Individual submission no. 114</w:t>
      </w:r>
      <w:r>
        <w:rPr>
          <w:rFonts w:cs="Arial"/>
        </w:rPr>
        <w:t>.</w:t>
      </w:r>
      <w:proofErr w:type="gramEnd"/>
    </w:p>
  </w:endnote>
  <w:endnote w:id="11">
    <w:p w:rsidR="0045331E" w:rsidRPr="00C50FC2" w:rsidRDefault="0045331E" w:rsidP="0025436D">
      <w:pPr>
        <w:pStyle w:val="EndnoteText"/>
      </w:pPr>
      <w:r w:rsidRPr="00C50FC2">
        <w:rPr>
          <w:rStyle w:val="EndnoteReference"/>
        </w:rPr>
        <w:endnoteRef/>
      </w:r>
      <w:r w:rsidRPr="00C50FC2">
        <w:t xml:space="preserve"> </w:t>
      </w:r>
      <w:proofErr w:type="gramStart"/>
      <w:r w:rsidRPr="00C50FC2">
        <w:t>Individual submission no. 133</w:t>
      </w:r>
      <w:r>
        <w:t>.</w:t>
      </w:r>
      <w:proofErr w:type="gramEnd"/>
    </w:p>
  </w:endnote>
  <w:endnote w:id="12">
    <w:p w:rsidR="0045331E" w:rsidRPr="00C50FC2" w:rsidRDefault="0045331E" w:rsidP="0025436D">
      <w:pPr>
        <w:pStyle w:val="EndnoteText"/>
      </w:pPr>
      <w:r w:rsidRPr="00C50FC2">
        <w:rPr>
          <w:rStyle w:val="EndnoteReference"/>
        </w:rPr>
        <w:endnoteRef/>
      </w:r>
      <w:r w:rsidRPr="00C50FC2">
        <w:t xml:space="preserve"> </w:t>
      </w:r>
      <w:proofErr w:type="gramStart"/>
      <w:r w:rsidRPr="00C50FC2">
        <w:t>Community organisation submission no. 14 (Victoria Legal Aid)</w:t>
      </w:r>
      <w:r>
        <w:t>.</w:t>
      </w:r>
      <w:proofErr w:type="gramEnd"/>
    </w:p>
  </w:endnote>
  <w:endnote w:id="13">
    <w:p w:rsidR="0045331E" w:rsidRPr="00C50FC2" w:rsidRDefault="0045331E" w:rsidP="00067CA9">
      <w:pPr>
        <w:pStyle w:val="EndnoteText"/>
      </w:pPr>
      <w:r w:rsidRPr="00C50FC2">
        <w:rPr>
          <w:rStyle w:val="EndnoteReference"/>
        </w:rPr>
        <w:endnoteRef/>
      </w:r>
      <w:r w:rsidRPr="00C50FC2">
        <w:t xml:space="preserve"> </w:t>
      </w:r>
      <w:proofErr w:type="gramStart"/>
      <w:r w:rsidRPr="00C50FC2">
        <w:t>Individual submission no. 176</w:t>
      </w:r>
      <w:r>
        <w:t>.</w:t>
      </w:r>
      <w:proofErr w:type="gramEnd"/>
    </w:p>
  </w:endnote>
  <w:endnote w:id="14">
    <w:p w:rsidR="0045331E" w:rsidRPr="00C50FC2" w:rsidRDefault="0045331E" w:rsidP="00485D01">
      <w:pPr>
        <w:pStyle w:val="EndnoteText"/>
      </w:pPr>
      <w:r w:rsidRPr="00C50FC2">
        <w:rPr>
          <w:rStyle w:val="EndnoteReference"/>
        </w:rPr>
        <w:endnoteRef/>
      </w:r>
      <w:r w:rsidRPr="00C50FC2">
        <w:t xml:space="preserve"> </w:t>
      </w:r>
      <w:proofErr w:type="gramStart"/>
      <w:r w:rsidRPr="00C50FC2">
        <w:t>Individual submission no. 38</w:t>
      </w:r>
      <w:r>
        <w:t>.</w:t>
      </w:r>
      <w:proofErr w:type="gramEnd"/>
    </w:p>
  </w:endnote>
  <w:endnote w:id="15">
    <w:p w:rsidR="0045331E" w:rsidRPr="00C50FC2" w:rsidRDefault="0045331E" w:rsidP="00485D01">
      <w:pPr>
        <w:pStyle w:val="EndnoteText"/>
        <w:rPr>
          <w:rFonts w:cs="Arial"/>
        </w:rPr>
      </w:pPr>
      <w:r w:rsidRPr="00C50FC2">
        <w:rPr>
          <w:rStyle w:val="EndnoteReference"/>
          <w:rFonts w:cs="Arial"/>
        </w:rPr>
        <w:endnoteRef/>
      </w:r>
      <w:r w:rsidRPr="00C50FC2">
        <w:rPr>
          <w:rFonts w:cs="Arial"/>
        </w:rPr>
        <w:t xml:space="preserve"> </w:t>
      </w:r>
      <w:proofErr w:type="gramStart"/>
      <w:r w:rsidRPr="00C50FC2">
        <w:rPr>
          <w:rFonts w:cs="Arial"/>
        </w:rPr>
        <w:t>Individual submission no. 30.</w:t>
      </w:r>
      <w:proofErr w:type="gramEnd"/>
    </w:p>
  </w:endnote>
  <w:endnote w:id="16">
    <w:p w:rsidR="0045331E" w:rsidRPr="00C50FC2" w:rsidRDefault="0045331E" w:rsidP="008A5A47">
      <w:pPr>
        <w:pStyle w:val="EndnoteText"/>
        <w:rPr>
          <w:rFonts w:cs="Arial"/>
        </w:rPr>
      </w:pPr>
      <w:r w:rsidRPr="00C50FC2">
        <w:rPr>
          <w:rStyle w:val="EndnoteReference"/>
          <w:rFonts w:cs="Arial"/>
        </w:rPr>
        <w:endnoteRef/>
      </w:r>
      <w:r w:rsidRPr="00C50FC2">
        <w:rPr>
          <w:rFonts w:cs="Arial"/>
        </w:rPr>
        <w:t xml:space="preserve"> </w:t>
      </w:r>
      <w:proofErr w:type="gramStart"/>
      <w:r w:rsidRPr="00C50FC2">
        <w:rPr>
          <w:rFonts w:cs="Arial"/>
        </w:rPr>
        <w:t>Consultation 4A (Affected women and men).</w:t>
      </w:r>
      <w:proofErr w:type="gramEnd"/>
    </w:p>
  </w:endnote>
  <w:endnote w:id="17">
    <w:p w:rsidR="0045331E" w:rsidRPr="00C50FC2" w:rsidRDefault="0045331E" w:rsidP="00067CA9">
      <w:pPr>
        <w:pStyle w:val="EndnoteText"/>
        <w:rPr>
          <w:rFonts w:cs="Arial"/>
        </w:rPr>
      </w:pPr>
      <w:r w:rsidRPr="00C50FC2">
        <w:rPr>
          <w:rStyle w:val="EndnoteReference"/>
          <w:rFonts w:cs="Arial"/>
        </w:rPr>
        <w:endnoteRef/>
      </w:r>
      <w:r w:rsidRPr="00C50FC2">
        <w:rPr>
          <w:rFonts w:cs="Arial"/>
        </w:rPr>
        <w:t xml:space="preserve"> </w:t>
      </w:r>
      <w:proofErr w:type="gramStart"/>
      <w:r w:rsidRPr="00C50FC2">
        <w:rPr>
          <w:rFonts w:cs="Arial"/>
        </w:rPr>
        <w:t>Consultation 2B (Affected women).</w:t>
      </w:r>
      <w:proofErr w:type="gramEnd"/>
    </w:p>
  </w:endnote>
  <w:endnote w:id="18">
    <w:p w:rsidR="0045331E" w:rsidRPr="00C50FC2" w:rsidRDefault="0045331E" w:rsidP="00067CA9">
      <w:pPr>
        <w:pStyle w:val="EndnoteText"/>
      </w:pPr>
      <w:r w:rsidRPr="00C50FC2">
        <w:rPr>
          <w:rStyle w:val="EndnoteReference"/>
        </w:rPr>
        <w:endnoteRef/>
      </w:r>
      <w:r w:rsidRPr="00C50FC2">
        <w:t xml:space="preserve"> </w:t>
      </w:r>
      <w:proofErr w:type="gramStart"/>
      <w:r w:rsidRPr="00C50FC2">
        <w:t>Individual submission no. 316</w:t>
      </w:r>
      <w:r>
        <w:t>.</w:t>
      </w:r>
      <w:proofErr w:type="gramEnd"/>
    </w:p>
  </w:endnote>
  <w:endnote w:id="19">
    <w:p w:rsidR="0045331E" w:rsidRPr="00CC3DF2" w:rsidRDefault="0045331E" w:rsidP="00204BA7">
      <w:pPr>
        <w:pStyle w:val="EndnoteText"/>
        <w:rPr>
          <w:rFonts w:cs="Arial"/>
        </w:rPr>
      </w:pPr>
      <w:r w:rsidRPr="00CC3DF2">
        <w:rPr>
          <w:rStyle w:val="EndnoteReference"/>
          <w:rFonts w:cs="Arial"/>
        </w:rPr>
        <w:endnoteRef/>
      </w:r>
      <w:r w:rsidRPr="008D091F">
        <w:rPr>
          <w:rFonts w:cs="Arial"/>
        </w:rPr>
        <w:t xml:space="preserve"> </w:t>
      </w:r>
      <w:proofErr w:type="gramStart"/>
      <w:r w:rsidRPr="008D091F">
        <w:rPr>
          <w:rFonts w:cs="Arial"/>
        </w:rPr>
        <w:t>Individual submission no. 142.</w:t>
      </w:r>
      <w:proofErr w:type="gramEnd"/>
    </w:p>
  </w:endnote>
  <w:endnote w:id="20">
    <w:p w:rsidR="0045331E" w:rsidRPr="00C50FC2" w:rsidRDefault="0045331E" w:rsidP="00E927CF">
      <w:pPr>
        <w:pStyle w:val="EndnoteText"/>
        <w:rPr>
          <w:rFonts w:cs="Arial"/>
        </w:rPr>
      </w:pPr>
      <w:r w:rsidRPr="00C50FC2">
        <w:rPr>
          <w:rStyle w:val="EndnoteReference"/>
          <w:rFonts w:cs="Arial"/>
        </w:rPr>
        <w:endnoteRef/>
      </w:r>
      <w:r w:rsidRPr="00C50FC2">
        <w:rPr>
          <w:rFonts w:cs="Arial"/>
        </w:rPr>
        <w:t xml:space="preserve"> </w:t>
      </w:r>
      <w:proofErr w:type="gramStart"/>
      <w:r w:rsidRPr="00C50FC2">
        <w:rPr>
          <w:rFonts w:cs="Arial"/>
        </w:rPr>
        <w:t>Individual submission no. 264.</w:t>
      </w:r>
      <w:proofErr w:type="gramEnd"/>
    </w:p>
  </w:endnote>
  <w:endnote w:id="21">
    <w:p w:rsidR="0045331E" w:rsidRPr="00C50FC2" w:rsidRDefault="0045331E" w:rsidP="0025436D">
      <w:pPr>
        <w:pStyle w:val="EndnoteText"/>
      </w:pPr>
      <w:r w:rsidRPr="00C50FC2">
        <w:rPr>
          <w:rStyle w:val="EndnoteReference"/>
        </w:rPr>
        <w:endnoteRef/>
      </w:r>
      <w:r w:rsidRPr="00C50FC2">
        <w:t xml:space="preserve"> </w:t>
      </w:r>
      <w:proofErr w:type="gramStart"/>
      <w:r w:rsidRPr="00C50FC2">
        <w:t>Individual submission no. 181</w:t>
      </w:r>
      <w:r>
        <w:t>.</w:t>
      </w:r>
      <w:proofErr w:type="gramEnd"/>
    </w:p>
  </w:endnote>
  <w:endnote w:id="22">
    <w:p w:rsidR="0045331E" w:rsidRPr="00C50FC2" w:rsidRDefault="0045331E" w:rsidP="009E71EC">
      <w:pPr>
        <w:pStyle w:val="EndnoteText"/>
        <w:rPr>
          <w:rFonts w:cs="Arial"/>
        </w:rPr>
      </w:pPr>
      <w:r w:rsidRPr="00C50FC2">
        <w:rPr>
          <w:rStyle w:val="EndnoteReference"/>
          <w:rFonts w:cs="Arial"/>
        </w:rPr>
        <w:endnoteRef/>
      </w:r>
      <w:r w:rsidRPr="00C50FC2">
        <w:rPr>
          <w:rFonts w:cs="Arial"/>
        </w:rPr>
        <w:t xml:space="preserve"> </w:t>
      </w:r>
      <w:proofErr w:type="gramStart"/>
      <w:r w:rsidRPr="00C50FC2">
        <w:rPr>
          <w:rFonts w:cs="Arial"/>
        </w:rPr>
        <w:t>Consultation 4A (Affected women and men).</w:t>
      </w:r>
      <w:proofErr w:type="gramEnd"/>
    </w:p>
  </w:endnote>
  <w:endnote w:id="23">
    <w:p w:rsidR="0045331E" w:rsidRPr="00C50FC2" w:rsidRDefault="0045331E" w:rsidP="008C467B">
      <w:pPr>
        <w:pStyle w:val="EndnoteText"/>
      </w:pPr>
      <w:r w:rsidRPr="00C50FC2">
        <w:rPr>
          <w:rStyle w:val="EndnoteReference"/>
        </w:rPr>
        <w:endnoteRef/>
      </w:r>
      <w:r w:rsidRPr="00C50FC2">
        <w:t xml:space="preserve"> </w:t>
      </w:r>
      <w:proofErr w:type="gramStart"/>
      <w:r w:rsidRPr="00C50FC2">
        <w:t>Individual submission no. 265</w:t>
      </w:r>
      <w:r>
        <w:t>.</w:t>
      </w:r>
      <w:proofErr w:type="gramEnd"/>
    </w:p>
  </w:endnote>
  <w:endnote w:id="24">
    <w:p w:rsidR="0045331E" w:rsidRPr="00C50FC2" w:rsidRDefault="0045331E" w:rsidP="009E71EC">
      <w:pPr>
        <w:pStyle w:val="EndnoteText"/>
      </w:pPr>
      <w:r w:rsidRPr="00C50FC2">
        <w:rPr>
          <w:rStyle w:val="EndnoteReference"/>
        </w:rPr>
        <w:endnoteRef/>
      </w:r>
      <w:r w:rsidRPr="00C50FC2">
        <w:t xml:space="preserve"> </w:t>
      </w:r>
      <w:proofErr w:type="gramStart"/>
      <w:r w:rsidRPr="00C50FC2">
        <w:t>Individual submission no. 42</w:t>
      </w:r>
      <w:r>
        <w:t>.</w:t>
      </w:r>
      <w:proofErr w:type="gramEnd"/>
    </w:p>
  </w:endnote>
  <w:endnote w:id="25">
    <w:p w:rsidR="0045331E" w:rsidRPr="00C50FC2" w:rsidRDefault="0045331E" w:rsidP="00F76591">
      <w:pPr>
        <w:pStyle w:val="EndnoteText"/>
        <w:rPr>
          <w:rFonts w:cs="Arial"/>
        </w:rPr>
      </w:pPr>
      <w:r w:rsidRPr="00C50FC2">
        <w:rPr>
          <w:rStyle w:val="EndnoteReference"/>
          <w:rFonts w:cs="Arial"/>
        </w:rPr>
        <w:endnoteRef/>
      </w:r>
      <w:r w:rsidRPr="00C50FC2">
        <w:rPr>
          <w:rFonts w:cs="Arial"/>
        </w:rPr>
        <w:t xml:space="preserve"> </w:t>
      </w:r>
      <w:proofErr w:type="gramStart"/>
      <w:r w:rsidRPr="00C50FC2">
        <w:rPr>
          <w:rFonts w:cs="Arial"/>
          <w:color w:val="000000"/>
        </w:rPr>
        <w:t>Individual submission no. 299.</w:t>
      </w:r>
      <w:proofErr w:type="gramEnd"/>
    </w:p>
  </w:endnote>
  <w:endnote w:id="26">
    <w:p w:rsidR="0045331E" w:rsidRPr="00C50FC2" w:rsidRDefault="0045331E" w:rsidP="007D0877">
      <w:pPr>
        <w:pStyle w:val="EndnoteText"/>
      </w:pPr>
      <w:r w:rsidRPr="00C50FC2">
        <w:rPr>
          <w:rStyle w:val="EndnoteReference"/>
        </w:rPr>
        <w:endnoteRef/>
      </w:r>
      <w:r w:rsidRPr="00C50FC2">
        <w:t xml:space="preserve"> </w:t>
      </w:r>
      <w:proofErr w:type="gramStart"/>
      <w:r w:rsidRPr="00C50FC2">
        <w:t>Individual submission no. 294</w:t>
      </w:r>
      <w:r>
        <w:t>.</w:t>
      </w:r>
      <w:proofErr w:type="gramEnd"/>
    </w:p>
  </w:endnote>
  <w:endnote w:id="27">
    <w:p w:rsidR="0045331E" w:rsidRPr="00C50FC2" w:rsidRDefault="0045331E" w:rsidP="00634205">
      <w:pPr>
        <w:pStyle w:val="EndnoteText"/>
      </w:pPr>
      <w:r w:rsidRPr="00C50FC2">
        <w:rPr>
          <w:rStyle w:val="EndnoteReference"/>
        </w:rPr>
        <w:endnoteRef/>
      </w:r>
      <w:r w:rsidRPr="00C50FC2">
        <w:t xml:space="preserve"> </w:t>
      </w:r>
      <w:proofErr w:type="gramStart"/>
      <w:r w:rsidRPr="00C50FC2">
        <w:t>Individual submission no. 254</w:t>
      </w:r>
      <w:r>
        <w:t>.</w:t>
      </w:r>
      <w:proofErr w:type="gramEnd"/>
    </w:p>
  </w:endnote>
  <w:endnote w:id="28">
    <w:p w:rsidR="0045331E" w:rsidRPr="00C50FC2" w:rsidRDefault="0045331E" w:rsidP="007D0877">
      <w:pPr>
        <w:pStyle w:val="EndnoteText"/>
      </w:pPr>
      <w:r w:rsidRPr="00C50FC2">
        <w:rPr>
          <w:rStyle w:val="EndnoteReference"/>
        </w:rPr>
        <w:endnoteRef/>
      </w:r>
      <w:r w:rsidRPr="00C50FC2">
        <w:t xml:space="preserve"> </w:t>
      </w:r>
      <w:proofErr w:type="gramStart"/>
      <w:r w:rsidRPr="00C50FC2">
        <w:t>Individual submission no. 281</w:t>
      </w:r>
      <w:r>
        <w:t>.</w:t>
      </w:r>
      <w:proofErr w:type="gramEnd"/>
    </w:p>
  </w:endnote>
  <w:endnote w:id="29">
    <w:p w:rsidR="0045331E" w:rsidRPr="00CC3DF2" w:rsidRDefault="0045331E" w:rsidP="00194142">
      <w:pPr>
        <w:pStyle w:val="EndnoteText"/>
        <w:rPr>
          <w:rFonts w:cs="Arial"/>
        </w:rPr>
      </w:pPr>
      <w:r w:rsidRPr="00CC3DF2">
        <w:rPr>
          <w:rStyle w:val="EndnoteReference"/>
          <w:rFonts w:cs="Arial"/>
        </w:rPr>
        <w:endnoteRef/>
      </w:r>
      <w:r w:rsidRPr="008D091F">
        <w:rPr>
          <w:rFonts w:cs="Arial"/>
        </w:rPr>
        <w:t xml:space="preserve"> </w:t>
      </w:r>
      <w:proofErr w:type="gramStart"/>
      <w:r w:rsidRPr="008D091F">
        <w:rPr>
          <w:rFonts w:cs="Arial"/>
        </w:rPr>
        <w:t>Individual submission no. 79.</w:t>
      </w:r>
      <w:proofErr w:type="gramEnd"/>
    </w:p>
  </w:endnote>
  <w:endnote w:id="30">
    <w:p w:rsidR="0045331E" w:rsidRPr="00C50FC2" w:rsidRDefault="0045331E" w:rsidP="00E871AC">
      <w:pPr>
        <w:pStyle w:val="EndnoteText"/>
      </w:pPr>
      <w:r w:rsidRPr="00C50FC2">
        <w:rPr>
          <w:rStyle w:val="EndnoteReference"/>
        </w:rPr>
        <w:endnoteRef/>
      </w:r>
      <w:r w:rsidRPr="00C50FC2">
        <w:t xml:space="preserve"> </w:t>
      </w:r>
      <w:proofErr w:type="gramStart"/>
      <w:r w:rsidRPr="00C50FC2">
        <w:rPr>
          <w:rFonts w:cs="Arial"/>
          <w:lang w:val="en"/>
        </w:rPr>
        <w:t>Individual submission no. 73</w:t>
      </w:r>
      <w:r>
        <w:rPr>
          <w:rFonts w:cs="Arial"/>
          <w:lang w:val="en"/>
        </w:rPr>
        <w:t>.</w:t>
      </w:r>
      <w:proofErr w:type="gramEnd"/>
    </w:p>
  </w:endnote>
  <w:endnote w:id="31">
    <w:p w:rsidR="0045331E" w:rsidRDefault="0045331E">
      <w:pPr>
        <w:pStyle w:val="EndnoteText"/>
      </w:pPr>
      <w:r>
        <w:rPr>
          <w:rStyle w:val="EndnoteReference"/>
        </w:rPr>
        <w:endnoteRef/>
      </w:r>
      <w:r>
        <w:t xml:space="preserve"> </w:t>
      </w:r>
      <w:proofErr w:type="gramStart"/>
      <w:r w:rsidRPr="00CD2F51">
        <w:rPr>
          <w:rFonts w:cs="Arial"/>
        </w:rPr>
        <w:t>Consultation 8E (Employers)</w:t>
      </w:r>
      <w:r>
        <w:rPr>
          <w:rFonts w:cs="Arial"/>
        </w:rPr>
        <w:t>.</w:t>
      </w:r>
      <w:proofErr w:type="gramEnd"/>
    </w:p>
  </w:endnote>
  <w:endnote w:id="32">
    <w:p w:rsidR="0045331E" w:rsidRDefault="0045331E">
      <w:pPr>
        <w:pStyle w:val="EndnoteText"/>
      </w:pPr>
      <w:r>
        <w:rPr>
          <w:rStyle w:val="EndnoteReference"/>
        </w:rPr>
        <w:endnoteRef/>
      </w:r>
      <w:r>
        <w:t xml:space="preserve"> </w:t>
      </w:r>
      <w:proofErr w:type="gramStart"/>
      <w:r w:rsidRPr="00CD2F51">
        <w:rPr>
          <w:rFonts w:cs="Arial"/>
        </w:rPr>
        <w:t>Employer questionnaire no. 30</w:t>
      </w:r>
      <w:r>
        <w:rPr>
          <w:rFonts w:cs="Arial"/>
        </w:rPr>
        <w:t>.</w:t>
      </w:r>
      <w:proofErr w:type="gramEnd"/>
    </w:p>
  </w:endnote>
  <w:endnote w:id="33">
    <w:p w:rsidR="0045331E" w:rsidRDefault="0045331E">
      <w:pPr>
        <w:pStyle w:val="EndnoteText"/>
      </w:pPr>
      <w:r>
        <w:rPr>
          <w:rStyle w:val="EndnoteReference"/>
        </w:rPr>
        <w:endnoteRef/>
      </w:r>
      <w:r>
        <w:t xml:space="preserve"> </w:t>
      </w:r>
      <w:proofErr w:type="gramStart"/>
      <w:r w:rsidRPr="00CD2F51">
        <w:rPr>
          <w:rFonts w:cs="Arial"/>
        </w:rPr>
        <w:t>Employer questionnaire no. 20</w:t>
      </w:r>
      <w:r>
        <w:rPr>
          <w:rFonts w:cs="Arial"/>
        </w:rPr>
        <w:t>.</w:t>
      </w:r>
      <w:proofErr w:type="gramEnd"/>
    </w:p>
  </w:endnote>
  <w:endnote w:id="34">
    <w:p w:rsidR="0045331E" w:rsidRPr="00C50FC2" w:rsidRDefault="0045331E" w:rsidP="00F046E3">
      <w:pPr>
        <w:pStyle w:val="EndnoteText"/>
        <w:rPr>
          <w:rFonts w:cs="Arial"/>
        </w:rPr>
      </w:pPr>
      <w:r w:rsidRPr="00C50FC2">
        <w:rPr>
          <w:rStyle w:val="EndnoteReference"/>
          <w:rFonts w:cs="Arial"/>
        </w:rPr>
        <w:endnoteRef/>
      </w:r>
      <w:r w:rsidRPr="00C50FC2">
        <w:rPr>
          <w:rFonts w:cs="Arial"/>
        </w:rPr>
        <w:t xml:space="preserve"> </w:t>
      </w:r>
      <w:proofErr w:type="gramStart"/>
      <w:r w:rsidRPr="00C50FC2">
        <w:rPr>
          <w:rFonts w:cs="Arial"/>
        </w:rPr>
        <w:t>Employer submission no. 1 (Master Electricians Australia).</w:t>
      </w:r>
      <w:proofErr w:type="gramEnd"/>
    </w:p>
  </w:endnote>
  <w:endnote w:id="35">
    <w:p w:rsidR="0045331E" w:rsidRPr="00C50FC2" w:rsidRDefault="0045331E" w:rsidP="00F046E3">
      <w:pPr>
        <w:pStyle w:val="EndnoteText"/>
        <w:rPr>
          <w:rFonts w:cs="Arial"/>
        </w:rPr>
      </w:pPr>
      <w:r w:rsidRPr="00C50FC2">
        <w:rPr>
          <w:rStyle w:val="EndnoteReference"/>
          <w:rFonts w:cs="Arial"/>
        </w:rPr>
        <w:endnoteRef/>
      </w:r>
      <w:r w:rsidRPr="00C50FC2">
        <w:rPr>
          <w:rFonts w:cs="Arial"/>
        </w:rPr>
        <w:t xml:space="preserve"> </w:t>
      </w:r>
      <w:proofErr w:type="gramStart"/>
      <w:r w:rsidRPr="00C50FC2">
        <w:rPr>
          <w:rFonts w:cs="Arial"/>
        </w:rPr>
        <w:t>Consultation 5B (Employers).</w:t>
      </w:r>
      <w:proofErr w:type="gramEnd"/>
    </w:p>
  </w:endnote>
  <w:endnote w:id="36">
    <w:p w:rsidR="0045331E" w:rsidRPr="00C50FC2" w:rsidRDefault="0045331E" w:rsidP="00216105">
      <w:pPr>
        <w:pStyle w:val="EndnoteText"/>
        <w:rPr>
          <w:rFonts w:cs="Arial"/>
        </w:rPr>
      </w:pPr>
      <w:r w:rsidRPr="00C50FC2">
        <w:rPr>
          <w:rStyle w:val="EndnoteReference"/>
        </w:rPr>
        <w:endnoteRef/>
      </w:r>
      <w:r w:rsidRPr="00C50FC2">
        <w:t xml:space="preserve"> </w:t>
      </w:r>
      <w:r w:rsidRPr="00C50FC2">
        <w:rPr>
          <w:rFonts w:cs="Arial"/>
        </w:rPr>
        <w:t xml:space="preserve">This chart has been drawn and adapted from Male Champions of Change, </w:t>
      </w:r>
      <w:r w:rsidRPr="00C50FC2">
        <w:rPr>
          <w:rFonts w:cs="Arial"/>
          <w:i/>
          <w:lang w:val="en"/>
        </w:rPr>
        <w:t>Accelerating the advancement of women in leadership: Listening, Learning, Leading</w:t>
      </w:r>
      <w:r w:rsidRPr="00C50FC2">
        <w:rPr>
          <w:rFonts w:cs="Arial"/>
          <w:lang w:val="en"/>
        </w:rPr>
        <w:t xml:space="preserve"> (2013), p</w:t>
      </w:r>
      <w:r w:rsidR="0051431E">
        <w:rPr>
          <w:rFonts w:cs="Arial"/>
          <w:lang w:val="en"/>
        </w:rPr>
        <w:t xml:space="preserve"> </w:t>
      </w:r>
      <w:r w:rsidRPr="00C50FC2">
        <w:rPr>
          <w:rFonts w:cs="Arial"/>
          <w:lang w:val="en"/>
        </w:rPr>
        <w:t xml:space="preserve">35. At </w:t>
      </w:r>
      <w:hyperlink r:id="rId2" w:history="1">
        <w:r w:rsidRPr="00C50FC2">
          <w:rPr>
            <w:rStyle w:val="Hyperlink"/>
            <w:rFonts w:cs="Arial"/>
            <w:lang w:val="en"/>
          </w:rPr>
          <w:t>https://www.humanrights.gov.au/publications/accelerating-advancement-women-leadership-listening-learning-leading</w:t>
        </w:r>
      </w:hyperlink>
      <w:r w:rsidRPr="00C50FC2">
        <w:rPr>
          <w:rFonts w:cs="Arial"/>
          <w:lang w:val="en"/>
        </w:rPr>
        <w:t xml:space="preserve"> (viewed 14 June 2014).</w:t>
      </w:r>
    </w:p>
    <w:p w:rsidR="0045331E" w:rsidRPr="00EF7891" w:rsidRDefault="0045331E" w:rsidP="00216105">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useo Sans 300">
    <w:altName w:val="Museo Sans 300"/>
    <w:panose1 w:val="00000000000000000000"/>
    <w:charset w:val="00"/>
    <w:family w:val="swiss"/>
    <w:notTrueType/>
    <w:pitch w:val="default"/>
    <w:sig w:usb0="00000003" w:usb1="00000000" w:usb2="00000000" w:usb3="00000000" w:csb0="00000001" w:csb1="00000000"/>
  </w:font>
  <w:font w:name="TradeGothicLTSt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8805412"/>
      <w:docPartObj>
        <w:docPartGallery w:val="Page Numbers (Bottom of Page)"/>
        <w:docPartUnique/>
      </w:docPartObj>
    </w:sdtPr>
    <w:sdtEndPr>
      <w:rPr>
        <w:noProof/>
      </w:rPr>
    </w:sdtEndPr>
    <w:sdtContent>
      <w:p w:rsidR="0045331E" w:rsidRDefault="0045331E">
        <w:pPr>
          <w:pStyle w:val="Footer"/>
        </w:pPr>
        <w:r>
          <w:fldChar w:fldCharType="begin"/>
        </w:r>
        <w:r>
          <w:instrText xml:space="preserve"> PAGE   \* MERGEFORMAT </w:instrText>
        </w:r>
        <w:r>
          <w:fldChar w:fldCharType="separate"/>
        </w:r>
        <w:r w:rsidR="0051431E">
          <w:rPr>
            <w:noProof/>
          </w:rPr>
          <w:t>17</w:t>
        </w:r>
        <w:r>
          <w:rPr>
            <w:noProof/>
          </w:rPr>
          <w:fldChar w:fldCharType="end"/>
        </w:r>
      </w:p>
    </w:sdtContent>
  </w:sdt>
  <w:p w:rsidR="0045331E" w:rsidRDefault="004533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31E" w:rsidRDefault="0045331E" w:rsidP="00CE7182">
    <w:pPr>
      <w:pStyle w:val="Footer"/>
      <w:spacing w:before="0"/>
    </w:pPr>
    <w:r w:rsidRPr="0090165F">
      <w:fldChar w:fldCharType="begin"/>
    </w:r>
    <w:r w:rsidRPr="0090165F">
      <w:instrText xml:space="preserve"> PAGE   \* MERGEFORMAT </w:instrText>
    </w:r>
    <w:r w:rsidRPr="0090165F">
      <w:fldChar w:fldCharType="separate"/>
    </w:r>
    <w:r w:rsidR="0051431E">
      <w:rPr>
        <w:noProof/>
      </w:rPr>
      <w:t>25</w:t>
    </w:r>
    <w:r w:rsidRPr="0090165F">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31E" w:rsidRDefault="0045331E" w:rsidP="00F14C6D">
      <w:r>
        <w:separator/>
      </w:r>
    </w:p>
  </w:footnote>
  <w:footnote w:type="continuationSeparator" w:id="0">
    <w:p w:rsidR="0045331E" w:rsidRDefault="0045331E" w:rsidP="00F14C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3">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4">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F3FEF416"/>
    <w:lvl w:ilvl="0">
      <w:start w:val="1"/>
      <w:numFmt w:val="decimal"/>
      <w:pStyle w:val="ListNumber"/>
      <w:lvlText w:val="%1."/>
      <w:lvlJc w:val="left"/>
      <w:pPr>
        <w:tabs>
          <w:tab w:val="num" w:pos="360"/>
        </w:tabs>
        <w:ind w:left="360" w:hanging="360"/>
      </w:pPr>
    </w:lvl>
  </w:abstractNum>
  <w:abstractNum w:abstractNumId="9">
    <w:nsid w:val="FFFFFF89"/>
    <w:multiLevelType w:val="singleLevel"/>
    <w:tmpl w:val="548259C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DC26F3"/>
    <w:multiLevelType w:val="hybridMultilevel"/>
    <w:tmpl w:val="FE20B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C863101"/>
    <w:multiLevelType w:val="hybridMultilevel"/>
    <w:tmpl w:val="837A4D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0D801420"/>
    <w:multiLevelType w:val="hybridMultilevel"/>
    <w:tmpl w:val="445618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1DE28F1"/>
    <w:multiLevelType w:val="hybridMultilevel"/>
    <w:tmpl w:val="99E6AB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3C8038B"/>
    <w:multiLevelType w:val="hybridMultilevel"/>
    <w:tmpl w:val="508465D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nsid w:val="142A3AA3"/>
    <w:multiLevelType w:val="hybridMultilevel"/>
    <w:tmpl w:val="75001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153B37E5"/>
    <w:multiLevelType w:val="hybridMultilevel"/>
    <w:tmpl w:val="000ADBC2"/>
    <w:lvl w:ilvl="0" w:tplc="0C090005">
      <w:start w:val="1"/>
      <w:numFmt w:val="bullet"/>
      <w:lvlText w:val=""/>
      <w:lvlJc w:val="left"/>
      <w:pPr>
        <w:ind w:left="1800" w:hanging="360"/>
      </w:pPr>
      <w:rPr>
        <w:rFonts w:ascii="Wingdings" w:hAnsi="Wingding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7">
    <w:nsid w:val="1AF27E1E"/>
    <w:multiLevelType w:val="hybridMultilevel"/>
    <w:tmpl w:val="30F80C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nsid w:val="1BB80647"/>
    <w:multiLevelType w:val="hybridMultilevel"/>
    <w:tmpl w:val="158CE90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1C812749"/>
    <w:multiLevelType w:val="hybridMultilevel"/>
    <w:tmpl w:val="A24A77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1DB031B2"/>
    <w:multiLevelType w:val="hybridMultilevel"/>
    <w:tmpl w:val="729C4B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nsid w:val="22711456"/>
    <w:multiLevelType w:val="hybridMultilevel"/>
    <w:tmpl w:val="CEB22A58"/>
    <w:lvl w:ilvl="0" w:tplc="0C090001">
      <w:start w:val="1"/>
      <w:numFmt w:val="bullet"/>
      <w:lvlText w:val=""/>
      <w:lvlJc w:val="left"/>
      <w:pPr>
        <w:ind w:left="-351" w:hanging="360"/>
      </w:pPr>
      <w:rPr>
        <w:rFonts w:ascii="Symbol" w:hAnsi="Symbol" w:hint="default"/>
      </w:rPr>
    </w:lvl>
    <w:lvl w:ilvl="1" w:tplc="0C090003" w:tentative="1">
      <w:start w:val="1"/>
      <w:numFmt w:val="bullet"/>
      <w:lvlText w:val="o"/>
      <w:lvlJc w:val="left"/>
      <w:pPr>
        <w:ind w:left="369" w:hanging="360"/>
      </w:pPr>
      <w:rPr>
        <w:rFonts w:ascii="Courier New" w:hAnsi="Courier New" w:cs="Courier New" w:hint="default"/>
      </w:rPr>
    </w:lvl>
    <w:lvl w:ilvl="2" w:tplc="0C090005" w:tentative="1">
      <w:start w:val="1"/>
      <w:numFmt w:val="bullet"/>
      <w:lvlText w:val=""/>
      <w:lvlJc w:val="left"/>
      <w:pPr>
        <w:ind w:left="1089" w:hanging="360"/>
      </w:pPr>
      <w:rPr>
        <w:rFonts w:ascii="Wingdings" w:hAnsi="Wingdings" w:hint="default"/>
      </w:rPr>
    </w:lvl>
    <w:lvl w:ilvl="3" w:tplc="0C090001" w:tentative="1">
      <w:start w:val="1"/>
      <w:numFmt w:val="bullet"/>
      <w:lvlText w:val=""/>
      <w:lvlJc w:val="left"/>
      <w:pPr>
        <w:ind w:left="1809" w:hanging="360"/>
      </w:pPr>
      <w:rPr>
        <w:rFonts w:ascii="Symbol" w:hAnsi="Symbol" w:hint="default"/>
      </w:rPr>
    </w:lvl>
    <w:lvl w:ilvl="4" w:tplc="0C090003" w:tentative="1">
      <w:start w:val="1"/>
      <w:numFmt w:val="bullet"/>
      <w:lvlText w:val="o"/>
      <w:lvlJc w:val="left"/>
      <w:pPr>
        <w:ind w:left="2529" w:hanging="360"/>
      </w:pPr>
      <w:rPr>
        <w:rFonts w:ascii="Courier New" w:hAnsi="Courier New" w:cs="Courier New" w:hint="default"/>
      </w:rPr>
    </w:lvl>
    <w:lvl w:ilvl="5" w:tplc="0C090005" w:tentative="1">
      <w:start w:val="1"/>
      <w:numFmt w:val="bullet"/>
      <w:lvlText w:val=""/>
      <w:lvlJc w:val="left"/>
      <w:pPr>
        <w:ind w:left="3249" w:hanging="360"/>
      </w:pPr>
      <w:rPr>
        <w:rFonts w:ascii="Wingdings" w:hAnsi="Wingdings" w:hint="default"/>
      </w:rPr>
    </w:lvl>
    <w:lvl w:ilvl="6" w:tplc="0C090001" w:tentative="1">
      <w:start w:val="1"/>
      <w:numFmt w:val="bullet"/>
      <w:lvlText w:val=""/>
      <w:lvlJc w:val="left"/>
      <w:pPr>
        <w:ind w:left="3969" w:hanging="360"/>
      </w:pPr>
      <w:rPr>
        <w:rFonts w:ascii="Symbol" w:hAnsi="Symbol" w:hint="default"/>
      </w:rPr>
    </w:lvl>
    <w:lvl w:ilvl="7" w:tplc="0C090003" w:tentative="1">
      <w:start w:val="1"/>
      <w:numFmt w:val="bullet"/>
      <w:lvlText w:val="o"/>
      <w:lvlJc w:val="left"/>
      <w:pPr>
        <w:ind w:left="4689" w:hanging="360"/>
      </w:pPr>
      <w:rPr>
        <w:rFonts w:ascii="Courier New" w:hAnsi="Courier New" w:cs="Courier New" w:hint="default"/>
      </w:rPr>
    </w:lvl>
    <w:lvl w:ilvl="8" w:tplc="0C090005" w:tentative="1">
      <w:start w:val="1"/>
      <w:numFmt w:val="bullet"/>
      <w:lvlText w:val=""/>
      <w:lvlJc w:val="left"/>
      <w:pPr>
        <w:ind w:left="5409" w:hanging="360"/>
      </w:pPr>
      <w:rPr>
        <w:rFonts w:ascii="Wingdings" w:hAnsi="Wingdings" w:hint="default"/>
      </w:rPr>
    </w:lvl>
  </w:abstractNum>
  <w:abstractNum w:abstractNumId="23">
    <w:nsid w:val="297817C3"/>
    <w:multiLevelType w:val="multilevel"/>
    <w:tmpl w:val="20A0E41A"/>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lowerLetter"/>
      <w:pStyle w:val="Heading3"/>
      <w:lvlText w:val="(%3)"/>
      <w:lvlJc w:val="left"/>
      <w:pPr>
        <w:tabs>
          <w:tab w:val="num" w:pos="851"/>
        </w:tabs>
        <w:ind w:left="851" w:hanging="851"/>
      </w:pPr>
      <w:rPr>
        <w:rFonts w:ascii="Arial" w:hAnsi="Arial" w:hint="default"/>
        <w:b w:val="0"/>
        <w:i/>
        <w:sz w:val="24"/>
      </w:rPr>
    </w:lvl>
    <w:lvl w:ilvl="3">
      <w:start w:val="1"/>
      <w:numFmt w:val="lowerRoman"/>
      <w:pStyle w:val="Heading4"/>
      <w:lvlText w:val="(%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2AB77719"/>
    <w:multiLevelType w:val="hybridMultilevel"/>
    <w:tmpl w:val="4FF8710C"/>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nsid w:val="2CD40B1F"/>
    <w:multiLevelType w:val="hybridMultilevel"/>
    <w:tmpl w:val="86DC092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2FC01EE1"/>
    <w:multiLevelType w:val="hybridMultilevel"/>
    <w:tmpl w:val="A91C03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3A1B4CA4"/>
    <w:multiLevelType w:val="hybridMultilevel"/>
    <w:tmpl w:val="F4863D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3E4C2BD5"/>
    <w:multiLevelType w:val="hybridMultilevel"/>
    <w:tmpl w:val="AFFCD4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4192510F"/>
    <w:multiLevelType w:val="hybridMultilevel"/>
    <w:tmpl w:val="C24EA54E"/>
    <w:lvl w:ilvl="0" w:tplc="0C090001">
      <w:start w:val="1"/>
      <w:numFmt w:val="bullet"/>
      <w:lvlText w:val=""/>
      <w:lvlJc w:val="left"/>
      <w:pPr>
        <w:ind w:left="720" w:hanging="360"/>
      </w:pPr>
      <w:rPr>
        <w:rFonts w:ascii="Symbol" w:hAnsi="Symbol" w:hint="default"/>
      </w:rPr>
    </w:lvl>
    <w:lvl w:ilvl="1" w:tplc="7C16CE68">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4496022F"/>
    <w:multiLevelType w:val="hybridMultilevel"/>
    <w:tmpl w:val="F35232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4ABD0B46"/>
    <w:multiLevelType w:val="multilevel"/>
    <w:tmpl w:val="8676E80A"/>
    <w:styleLink w:val="StyleNumbered"/>
    <w:lvl w:ilvl="0">
      <w:start w:val="1"/>
      <w:numFmt w:val="decimal"/>
      <w:lvlText w:val="%1."/>
      <w:lvlJc w:val="left"/>
      <w:pPr>
        <w:tabs>
          <w:tab w:val="num" w:pos="720"/>
        </w:tabs>
        <w:ind w:left="720" w:hanging="360"/>
      </w:pPr>
      <w:rPr>
        <w:rFonts w:ascii="Arial" w:hAnsi="Arial"/>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4D075993"/>
    <w:multiLevelType w:val="hybridMultilevel"/>
    <w:tmpl w:val="2CA03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5">
    <w:nsid w:val="52A00EDA"/>
    <w:multiLevelType w:val="hybridMultilevel"/>
    <w:tmpl w:val="0524AE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53C97D68"/>
    <w:multiLevelType w:val="hybridMultilevel"/>
    <w:tmpl w:val="C9D6CF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55893F5F"/>
    <w:multiLevelType w:val="hybridMultilevel"/>
    <w:tmpl w:val="CF1CF4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57F80A6F"/>
    <w:multiLevelType w:val="hybridMultilevel"/>
    <w:tmpl w:val="DB00100E"/>
    <w:lvl w:ilvl="0" w:tplc="0C090005">
      <w:start w:val="1"/>
      <w:numFmt w:val="bullet"/>
      <w:lvlText w:val=""/>
      <w:lvlJc w:val="left"/>
      <w:pPr>
        <w:ind w:left="1800" w:hanging="360"/>
      </w:pPr>
      <w:rPr>
        <w:rFonts w:ascii="Wingdings" w:hAnsi="Wingding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9">
    <w:nsid w:val="5B7F51C2"/>
    <w:multiLevelType w:val="hybridMultilevel"/>
    <w:tmpl w:val="ACEA137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0">
    <w:nsid w:val="6058687B"/>
    <w:multiLevelType w:val="hybridMultilevel"/>
    <w:tmpl w:val="1C984C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8FB7501"/>
    <w:multiLevelType w:val="hybridMultilevel"/>
    <w:tmpl w:val="279031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nsid w:val="7B9F5A3C"/>
    <w:multiLevelType w:val="hybridMultilevel"/>
    <w:tmpl w:val="D2C2EC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1"/>
  </w:num>
  <w:num w:numId="8">
    <w:abstractNumId w:val="0"/>
  </w:num>
  <w:num w:numId="9">
    <w:abstractNumId w:val="3"/>
  </w:num>
  <w:num w:numId="10">
    <w:abstractNumId w:val="2"/>
  </w:num>
  <w:num w:numId="11">
    <w:abstractNumId w:val="34"/>
  </w:num>
  <w:num w:numId="12">
    <w:abstractNumId w:val="29"/>
  </w:num>
  <w:num w:numId="13">
    <w:abstractNumId w:val="21"/>
  </w:num>
  <w:num w:numId="14">
    <w:abstractNumId w:val="32"/>
  </w:num>
  <w:num w:numId="15">
    <w:abstractNumId w:val="23"/>
  </w:num>
  <w:num w:numId="16">
    <w:abstractNumId w:val="24"/>
  </w:num>
  <w:num w:numId="17">
    <w:abstractNumId w:val="33"/>
  </w:num>
  <w:num w:numId="18">
    <w:abstractNumId w:val="13"/>
  </w:num>
  <w:num w:numId="19">
    <w:abstractNumId w:val="27"/>
  </w:num>
  <w:num w:numId="20">
    <w:abstractNumId w:val="35"/>
  </w:num>
  <w:num w:numId="21">
    <w:abstractNumId w:val="14"/>
  </w:num>
  <w:num w:numId="22">
    <w:abstractNumId w:val="41"/>
  </w:num>
  <w:num w:numId="23">
    <w:abstractNumId w:val="30"/>
  </w:num>
  <w:num w:numId="24">
    <w:abstractNumId w:val="26"/>
  </w:num>
  <w:num w:numId="25">
    <w:abstractNumId w:val="38"/>
  </w:num>
  <w:num w:numId="26">
    <w:abstractNumId w:val="16"/>
  </w:num>
  <w:num w:numId="27">
    <w:abstractNumId w:val="39"/>
  </w:num>
  <w:num w:numId="28">
    <w:abstractNumId w:val="36"/>
  </w:num>
  <w:num w:numId="29">
    <w:abstractNumId w:val="28"/>
  </w:num>
  <w:num w:numId="30">
    <w:abstractNumId w:val="31"/>
  </w:num>
  <w:num w:numId="31">
    <w:abstractNumId w:val="20"/>
  </w:num>
  <w:num w:numId="32">
    <w:abstractNumId w:val="22"/>
  </w:num>
  <w:num w:numId="33">
    <w:abstractNumId w:val="15"/>
  </w:num>
  <w:num w:numId="34">
    <w:abstractNumId w:val="40"/>
  </w:num>
  <w:num w:numId="35">
    <w:abstractNumId w:val="10"/>
  </w:num>
  <w:num w:numId="36">
    <w:abstractNumId w:val="18"/>
  </w:num>
  <w:num w:numId="37">
    <w:abstractNumId w:val="11"/>
  </w:num>
  <w:num w:numId="38">
    <w:abstractNumId w:val="19"/>
  </w:num>
  <w:num w:numId="39">
    <w:abstractNumId w:val="12"/>
  </w:num>
  <w:num w:numId="40">
    <w:abstractNumId w:val="37"/>
  </w:num>
  <w:num w:numId="41">
    <w:abstractNumId w:val="42"/>
  </w:num>
  <w:num w:numId="42">
    <w:abstractNumId w:val="25"/>
  </w:num>
  <w:num w:numId="43">
    <w:abstractNumId w:val="1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characterSpacingControl w:val="doNotCompress"/>
  <w:hdrShapeDefaults>
    <o:shapedefaults v:ext="edit" spidmax="6348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0C8"/>
    <w:rsid w:val="00003323"/>
    <w:rsid w:val="00004429"/>
    <w:rsid w:val="00006313"/>
    <w:rsid w:val="000077E0"/>
    <w:rsid w:val="00007BE0"/>
    <w:rsid w:val="0001254B"/>
    <w:rsid w:val="00013272"/>
    <w:rsid w:val="00014551"/>
    <w:rsid w:val="00016C02"/>
    <w:rsid w:val="0002054E"/>
    <w:rsid w:val="00020C55"/>
    <w:rsid w:val="00020ED9"/>
    <w:rsid w:val="00021134"/>
    <w:rsid w:val="00022F2B"/>
    <w:rsid w:val="00026799"/>
    <w:rsid w:val="00027A34"/>
    <w:rsid w:val="00033085"/>
    <w:rsid w:val="00033DCA"/>
    <w:rsid w:val="00034159"/>
    <w:rsid w:val="000348DC"/>
    <w:rsid w:val="00036B62"/>
    <w:rsid w:val="0004163C"/>
    <w:rsid w:val="00042A46"/>
    <w:rsid w:val="000434E6"/>
    <w:rsid w:val="0004370F"/>
    <w:rsid w:val="00047368"/>
    <w:rsid w:val="0005023A"/>
    <w:rsid w:val="000513CD"/>
    <w:rsid w:val="00052DBB"/>
    <w:rsid w:val="000540A0"/>
    <w:rsid w:val="000541CB"/>
    <w:rsid w:val="00054C6F"/>
    <w:rsid w:val="0005694C"/>
    <w:rsid w:val="000579B1"/>
    <w:rsid w:val="000615C4"/>
    <w:rsid w:val="00063C89"/>
    <w:rsid w:val="00064772"/>
    <w:rsid w:val="00067CA9"/>
    <w:rsid w:val="00072386"/>
    <w:rsid w:val="00074750"/>
    <w:rsid w:val="00074CD6"/>
    <w:rsid w:val="00075F30"/>
    <w:rsid w:val="00077EF0"/>
    <w:rsid w:val="000813C8"/>
    <w:rsid w:val="00081417"/>
    <w:rsid w:val="00082157"/>
    <w:rsid w:val="00083D53"/>
    <w:rsid w:val="00083E7F"/>
    <w:rsid w:val="00087DC0"/>
    <w:rsid w:val="00090E93"/>
    <w:rsid w:val="000914F4"/>
    <w:rsid w:val="00092092"/>
    <w:rsid w:val="00093B78"/>
    <w:rsid w:val="0009774B"/>
    <w:rsid w:val="000A13FA"/>
    <w:rsid w:val="000A1E4A"/>
    <w:rsid w:val="000A1EEE"/>
    <w:rsid w:val="000A1EFF"/>
    <w:rsid w:val="000A554F"/>
    <w:rsid w:val="000A7054"/>
    <w:rsid w:val="000A73FF"/>
    <w:rsid w:val="000B0A5D"/>
    <w:rsid w:val="000B0D56"/>
    <w:rsid w:val="000B40C8"/>
    <w:rsid w:val="000B5A07"/>
    <w:rsid w:val="000B7D56"/>
    <w:rsid w:val="000C106B"/>
    <w:rsid w:val="000C255D"/>
    <w:rsid w:val="000C26A5"/>
    <w:rsid w:val="000C4D9C"/>
    <w:rsid w:val="000C681D"/>
    <w:rsid w:val="000D0C41"/>
    <w:rsid w:val="000D12C8"/>
    <w:rsid w:val="000D3ED1"/>
    <w:rsid w:val="000D413F"/>
    <w:rsid w:val="000D41B8"/>
    <w:rsid w:val="000D6350"/>
    <w:rsid w:val="000E2731"/>
    <w:rsid w:val="000E30D4"/>
    <w:rsid w:val="000E330F"/>
    <w:rsid w:val="000E3795"/>
    <w:rsid w:val="000E3BF1"/>
    <w:rsid w:val="000E5F87"/>
    <w:rsid w:val="000E6326"/>
    <w:rsid w:val="000E6555"/>
    <w:rsid w:val="000E6E69"/>
    <w:rsid w:val="000E7B33"/>
    <w:rsid w:val="000F0127"/>
    <w:rsid w:val="000F1077"/>
    <w:rsid w:val="000F1598"/>
    <w:rsid w:val="000F4123"/>
    <w:rsid w:val="0010043C"/>
    <w:rsid w:val="001011C8"/>
    <w:rsid w:val="001015A5"/>
    <w:rsid w:val="0010217B"/>
    <w:rsid w:val="001027A4"/>
    <w:rsid w:val="00103CBF"/>
    <w:rsid w:val="001109B0"/>
    <w:rsid w:val="00111C2C"/>
    <w:rsid w:val="00112521"/>
    <w:rsid w:val="0011413C"/>
    <w:rsid w:val="00116780"/>
    <w:rsid w:val="00116D2A"/>
    <w:rsid w:val="001175C3"/>
    <w:rsid w:val="001208B2"/>
    <w:rsid w:val="00124C39"/>
    <w:rsid w:val="0012587B"/>
    <w:rsid w:val="00130CAA"/>
    <w:rsid w:val="00132462"/>
    <w:rsid w:val="00134092"/>
    <w:rsid w:val="00134DBA"/>
    <w:rsid w:val="00134E37"/>
    <w:rsid w:val="001354C4"/>
    <w:rsid w:val="00135E4E"/>
    <w:rsid w:val="0013613A"/>
    <w:rsid w:val="00140077"/>
    <w:rsid w:val="00142CF5"/>
    <w:rsid w:val="00144890"/>
    <w:rsid w:val="00144AA2"/>
    <w:rsid w:val="0014696C"/>
    <w:rsid w:val="001473AF"/>
    <w:rsid w:val="00150618"/>
    <w:rsid w:val="001521E4"/>
    <w:rsid w:val="001523D8"/>
    <w:rsid w:val="00152DB5"/>
    <w:rsid w:val="001531BA"/>
    <w:rsid w:val="001534D6"/>
    <w:rsid w:val="0015365C"/>
    <w:rsid w:val="00153C09"/>
    <w:rsid w:val="001544FF"/>
    <w:rsid w:val="00154712"/>
    <w:rsid w:val="001565E3"/>
    <w:rsid w:val="001566D4"/>
    <w:rsid w:val="00157BFA"/>
    <w:rsid w:val="001602FA"/>
    <w:rsid w:val="00162554"/>
    <w:rsid w:val="00162A8D"/>
    <w:rsid w:val="0016316D"/>
    <w:rsid w:val="001641EA"/>
    <w:rsid w:val="00165487"/>
    <w:rsid w:val="001668F9"/>
    <w:rsid w:val="00167E6D"/>
    <w:rsid w:val="001710CC"/>
    <w:rsid w:val="00171989"/>
    <w:rsid w:val="00172324"/>
    <w:rsid w:val="001730C1"/>
    <w:rsid w:val="0017336C"/>
    <w:rsid w:val="0017454B"/>
    <w:rsid w:val="0017538B"/>
    <w:rsid w:val="00184098"/>
    <w:rsid w:val="00184314"/>
    <w:rsid w:val="00184755"/>
    <w:rsid w:val="001867A2"/>
    <w:rsid w:val="001869ED"/>
    <w:rsid w:val="001911BC"/>
    <w:rsid w:val="0019249E"/>
    <w:rsid w:val="00194142"/>
    <w:rsid w:val="001963BD"/>
    <w:rsid w:val="001A2853"/>
    <w:rsid w:val="001A4B3D"/>
    <w:rsid w:val="001A58B5"/>
    <w:rsid w:val="001A5D46"/>
    <w:rsid w:val="001A6347"/>
    <w:rsid w:val="001B0353"/>
    <w:rsid w:val="001B04A2"/>
    <w:rsid w:val="001B1E1B"/>
    <w:rsid w:val="001B2B51"/>
    <w:rsid w:val="001C139C"/>
    <w:rsid w:val="001C3A53"/>
    <w:rsid w:val="001C4030"/>
    <w:rsid w:val="001C451B"/>
    <w:rsid w:val="001D0A57"/>
    <w:rsid w:val="001D0F85"/>
    <w:rsid w:val="001D2C87"/>
    <w:rsid w:val="001D495D"/>
    <w:rsid w:val="001D4FE2"/>
    <w:rsid w:val="001D69C6"/>
    <w:rsid w:val="001D69F6"/>
    <w:rsid w:val="001E12E9"/>
    <w:rsid w:val="001E220E"/>
    <w:rsid w:val="001E2557"/>
    <w:rsid w:val="001E3C67"/>
    <w:rsid w:val="001E4FC3"/>
    <w:rsid w:val="001E599A"/>
    <w:rsid w:val="001E70F2"/>
    <w:rsid w:val="001E76DB"/>
    <w:rsid w:val="001F254A"/>
    <w:rsid w:val="001F2BBB"/>
    <w:rsid w:val="001F3213"/>
    <w:rsid w:val="001F335F"/>
    <w:rsid w:val="001F4F39"/>
    <w:rsid w:val="001F4FF2"/>
    <w:rsid w:val="001F5124"/>
    <w:rsid w:val="00201F73"/>
    <w:rsid w:val="00202045"/>
    <w:rsid w:val="00202DBF"/>
    <w:rsid w:val="00204BA7"/>
    <w:rsid w:val="0020759B"/>
    <w:rsid w:val="0020759E"/>
    <w:rsid w:val="00207DB9"/>
    <w:rsid w:val="00211756"/>
    <w:rsid w:val="00212D07"/>
    <w:rsid w:val="00214651"/>
    <w:rsid w:val="00216105"/>
    <w:rsid w:val="002175C2"/>
    <w:rsid w:val="00220127"/>
    <w:rsid w:val="00222031"/>
    <w:rsid w:val="002227AD"/>
    <w:rsid w:val="00225CA4"/>
    <w:rsid w:val="00230AA8"/>
    <w:rsid w:val="002311E0"/>
    <w:rsid w:val="00231ED1"/>
    <w:rsid w:val="0023303F"/>
    <w:rsid w:val="002359E5"/>
    <w:rsid w:val="00235AE7"/>
    <w:rsid w:val="00235CB3"/>
    <w:rsid w:val="002363DF"/>
    <w:rsid w:val="0024300C"/>
    <w:rsid w:val="0024557E"/>
    <w:rsid w:val="00250240"/>
    <w:rsid w:val="002506DF"/>
    <w:rsid w:val="00252618"/>
    <w:rsid w:val="00252D96"/>
    <w:rsid w:val="0025374F"/>
    <w:rsid w:val="0025436D"/>
    <w:rsid w:val="002547A9"/>
    <w:rsid w:val="00256199"/>
    <w:rsid w:val="00261261"/>
    <w:rsid w:val="00262001"/>
    <w:rsid w:val="00263B5A"/>
    <w:rsid w:val="00265132"/>
    <w:rsid w:val="0026528C"/>
    <w:rsid w:val="002702D9"/>
    <w:rsid w:val="00271E08"/>
    <w:rsid w:val="0027368C"/>
    <w:rsid w:val="00273D87"/>
    <w:rsid w:val="00274E5C"/>
    <w:rsid w:val="0028169A"/>
    <w:rsid w:val="00282F4C"/>
    <w:rsid w:val="002830F8"/>
    <w:rsid w:val="00285621"/>
    <w:rsid w:val="002866E7"/>
    <w:rsid w:val="002873E5"/>
    <w:rsid w:val="002902B7"/>
    <w:rsid w:val="002917F5"/>
    <w:rsid w:val="00291D35"/>
    <w:rsid w:val="0029258D"/>
    <w:rsid w:val="0029355A"/>
    <w:rsid w:val="002976BD"/>
    <w:rsid w:val="002A0BC4"/>
    <w:rsid w:val="002A3673"/>
    <w:rsid w:val="002A4218"/>
    <w:rsid w:val="002A58C2"/>
    <w:rsid w:val="002A7E1B"/>
    <w:rsid w:val="002B01D4"/>
    <w:rsid w:val="002B0D33"/>
    <w:rsid w:val="002B250C"/>
    <w:rsid w:val="002B2ED3"/>
    <w:rsid w:val="002B3135"/>
    <w:rsid w:val="002B4706"/>
    <w:rsid w:val="002B6D74"/>
    <w:rsid w:val="002B7144"/>
    <w:rsid w:val="002C03CD"/>
    <w:rsid w:val="002C22D7"/>
    <w:rsid w:val="002C2F95"/>
    <w:rsid w:val="002C3B17"/>
    <w:rsid w:val="002C62FD"/>
    <w:rsid w:val="002D002D"/>
    <w:rsid w:val="002D2CB4"/>
    <w:rsid w:val="002D4B6D"/>
    <w:rsid w:val="002D6F41"/>
    <w:rsid w:val="002E0761"/>
    <w:rsid w:val="002E15C7"/>
    <w:rsid w:val="002E37F8"/>
    <w:rsid w:val="002E645C"/>
    <w:rsid w:val="002F1FCA"/>
    <w:rsid w:val="002F4304"/>
    <w:rsid w:val="00300185"/>
    <w:rsid w:val="003040CA"/>
    <w:rsid w:val="00306372"/>
    <w:rsid w:val="0030658D"/>
    <w:rsid w:val="0030760B"/>
    <w:rsid w:val="00310ED4"/>
    <w:rsid w:val="0031151E"/>
    <w:rsid w:val="00312BB7"/>
    <w:rsid w:val="0031330F"/>
    <w:rsid w:val="00313A3D"/>
    <w:rsid w:val="0031492A"/>
    <w:rsid w:val="0031494B"/>
    <w:rsid w:val="0031506C"/>
    <w:rsid w:val="00316504"/>
    <w:rsid w:val="00316A77"/>
    <w:rsid w:val="00316C1A"/>
    <w:rsid w:val="00316F79"/>
    <w:rsid w:val="00317561"/>
    <w:rsid w:val="00320B66"/>
    <w:rsid w:val="00320EDE"/>
    <w:rsid w:val="00321AF0"/>
    <w:rsid w:val="003230A9"/>
    <w:rsid w:val="00323510"/>
    <w:rsid w:val="0032447B"/>
    <w:rsid w:val="00324B22"/>
    <w:rsid w:val="00330CF2"/>
    <w:rsid w:val="00334D4F"/>
    <w:rsid w:val="00340BBF"/>
    <w:rsid w:val="00340BCD"/>
    <w:rsid w:val="0034457C"/>
    <w:rsid w:val="003450B2"/>
    <w:rsid w:val="003452E7"/>
    <w:rsid w:val="00345734"/>
    <w:rsid w:val="00350F24"/>
    <w:rsid w:val="00353D10"/>
    <w:rsid w:val="0035595D"/>
    <w:rsid w:val="003608BB"/>
    <w:rsid w:val="00363B1A"/>
    <w:rsid w:val="00364574"/>
    <w:rsid w:val="0036677C"/>
    <w:rsid w:val="003706F9"/>
    <w:rsid w:val="003713F2"/>
    <w:rsid w:val="00372373"/>
    <w:rsid w:val="00372B02"/>
    <w:rsid w:val="00372B97"/>
    <w:rsid w:val="00374E4D"/>
    <w:rsid w:val="0037574A"/>
    <w:rsid w:val="00377008"/>
    <w:rsid w:val="00377C8F"/>
    <w:rsid w:val="003818B2"/>
    <w:rsid w:val="0038273C"/>
    <w:rsid w:val="00384462"/>
    <w:rsid w:val="003854BE"/>
    <w:rsid w:val="003931C7"/>
    <w:rsid w:val="003955AE"/>
    <w:rsid w:val="00395B25"/>
    <w:rsid w:val="003A0CED"/>
    <w:rsid w:val="003A4C9B"/>
    <w:rsid w:val="003A533F"/>
    <w:rsid w:val="003A7D4A"/>
    <w:rsid w:val="003B18A7"/>
    <w:rsid w:val="003B1A79"/>
    <w:rsid w:val="003B1BE4"/>
    <w:rsid w:val="003B2C12"/>
    <w:rsid w:val="003B3FA9"/>
    <w:rsid w:val="003B6AE2"/>
    <w:rsid w:val="003C079A"/>
    <w:rsid w:val="003C2CB9"/>
    <w:rsid w:val="003C3114"/>
    <w:rsid w:val="003C54CE"/>
    <w:rsid w:val="003C6D01"/>
    <w:rsid w:val="003C7611"/>
    <w:rsid w:val="003C7D64"/>
    <w:rsid w:val="003D2A1C"/>
    <w:rsid w:val="003D2CB4"/>
    <w:rsid w:val="003D35F0"/>
    <w:rsid w:val="003D48C4"/>
    <w:rsid w:val="003D5726"/>
    <w:rsid w:val="003D5E1D"/>
    <w:rsid w:val="003E24CF"/>
    <w:rsid w:val="003E4FC1"/>
    <w:rsid w:val="003E62EC"/>
    <w:rsid w:val="003E7EE2"/>
    <w:rsid w:val="003F0CEE"/>
    <w:rsid w:val="003F11FE"/>
    <w:rsid w:val="003F334D"/>
    <w:rsid w:val="003F35CB"/>
    <w:rsid w:val="003F38A3"/>
    <w:rsid w:val="003F3B3A"/>
    <w:rsid w:val="003F4F80"/>
    <w:rsid w:val="00400981"/>
    <w:rsid w:val="00400C04"/>
    <w:rsid w:val="00403F09"/>
    <w:rsid w:val="00404B8F"/>
    <w:rsid w:val="00407B57"/>
    <w:rsid w:val="00407F94"/>
    <w:rsid w:val="00410195"/>
    <w:rsid w:val="00412931"/>
    <w:rsid w:val="0041444C"/>
    <w:rsid w:val="00416557"/>
    <w:rsid w:val="00420FD0"/>
    <w:rsid w:val="004215B3"/>
    <w:rsid w:val="00422D00"/>
    <w:rsid w:val="004233E8"/>
    <w:rsid w:val="004309B5"/>
    <w:rsid w:val="004328BA"/>
    <w:rsid w:val="00434B3B"/>
    <w:rsid w:val="004368B7"/>
    <w:rsid w:val="00441CE8"/>
    <w:rsid w:val="00441FBC"/>
    <w:rsid w:val="004424C3"/>
    <w:rsid w:val="0044281A"/>
    <w:rsid w:val="00444303"/>
    <w:rsid w:val="004502EE"/>
    <w:rsid w:val="0045331E"/>
    <w:rsid w:val="0045381E"/>
    <w:rsid w:val="00454C6B"/>
    <w:rsid w:val="00455638"/>
    <w:rsid w:val="004561BE"/>
    <w:rsid w:val="00456433"/>
    <w:rsid w:val="00456A5C"/>
    <w:rsid w:val="00457158"/>
    <w:rsid w:val="00462032"/>
    <w:rsid w:val="00462D4C"/>
    <w:rsid w:val="00465000"/>
    <w:rsid w:val="00465599"/>
    <w:rsid w:val="004676AE"/>
    <w:rsid w:val="00467852"/>
    <w:rsid w:val="00467DC9"/>
    <w:rsid w:val="004715BA"/>
    <w:rsid w:val="00473DB9"/>
    <w:rsid w:val="00474063"/>
    <w:rsid w:val="00474198"/>
    <w:rsid w:val="004744B8"/>
    <w:rsid w:val="00474D8D"/>
    <w:rsid w:val="00475633"/>
    <w:rsid w:val="004756C2"/>
    <w:rsid w:val="0047655B"/>
    <w:rsid w:val="00476EEA"/>
    <w:rsid w:val="0048116F"/>
    <w:rsid w:val="004844B1"/>
    <w:rsid w:val="00484A0F"/>
    <w:rsid w:val="0048526D"/>
    <w:rsid w:val="0048537F"/>
    <w:rsid w:val="00485D01"/>
    <w:rsid w:val="004874A0"/>
    <w:rsid w:val="00490512"/>
    <w:rsid w:val="00490C44"/>
    <w:rsid w:val="004934C3"/>
    <w:rsid w:val="00494D4B"/>
    <w:rsid w:val="00495D4C"/>
    <w:rsid w:val="0049634C"/>
    <w:rsid w:val="004A048D"/>
    <w:rsid w:val="004A1140"/>
    <w:rsid w:val="004A1CBC"/>
    <w:rsid w:val="004A32EC"/>
    <w:rsid w:val="004A3C8B"/>
    <w:rsid w:val="004A5FFE"/>
    <w:rsid w:val="004A722D"/>
    <w:rsid w:val="004A72D2"/>
    <w:rsid w:val="004B13F6"/>
    <w:rsid w:val="004B2BBB"/>
    <w:rsid w:val="004B5A63"/>
    <w:rsid w:val="004C1EC5"/>
    <w:rsid w:val="004C3EA9"/>
    <w:rsid w:val="004C43C5"/>
    <w:rsid w:val="004C6E4E"/>
    <w:rsid w:val="004D0EE4"/>
    <w:rsid w:val="004D1415"/>
    <w:rsid w:val="004D1511"/>
    <w:rsid w:val="004E1236"/>
    <w:rsid w:val="004E28EA"/>
    <w:rsid w:val="004E492C"/>
    <w:rsid w:val="004E599E"/>
    <w:rsid w:val="004F4193"/>
    <w:rsid w:val="004F48B6"/>
    <w:rsid w:val="004F53EF"/>
    <w:rsid w:val="004F75E6"/>
    <w:rsid w:val="004F794D"/>
    <w:rsid w:val="00500BCD"/>
    <w:rsid w:val="00500CC6"/>
    <w:rsid w:val="0050156C"/>
    <w:rsid w:val="005023C4"/>
    <w:rsid w:val="0050326C"/>
    <w:rsid w:val="00503E04"/>
    <w:rsid w:val="00504B28"/>
    <w:rsid w:val="00512DF4"/>
    <w:rsid w:val="00513477"/>
    <w:rsid w:val="00513540"/>
    <w:rsid w:val="005142FA"/>
    <w:rsid w:val="0051431E"/>
    <w:rsid w:val="00515B45"/>
    <w:rsid w:val="0052043F"/>
    <w:rsid w:val="00521851"/>
    <w:rsid w:val="00521D61"/>
    <w:rsid w:val="005227D4"/>
    <w:rsid w:val="005228B8"/>
    <w:rsid w:val="00522CED"/>
    <w:rsid w:val="00524FF8"/>
    <w:rsid w:val="00533579"/>
    <w:rsid w:val="0053436B"/>
    <w:rsid w:val="005368E3"/>
    <w:rsid w:val="005371C9"/>
    <w:rsid w:val="00537B3B"/>
    <w:rsid w:val="00541931"/>
    <w:rsid w:val="00545617"/>
    <w:rsid w:val="005457DA"/>
    <w:rsid w:val="005460FF"/>
    <w:rsid w:val="00547831"/>
    <w:rsid w:val="00550AE1"/>
    <w:rsid w:val="00554014"/>
    <w:rsid w:val="00554096"/>
    <w:rsid w:val="00554C04"/>
    <w:rsid w:val="00557EE5"/>
    <w:rsid w:val="00560F0A"/>
    <w:rsid w:val="00562F78"/>
    <w:rsid w:val="0056473B"/>
    <w:rsid w:val="00564831"/>
    <w:rsid w:val="005662C5"/>
    <w:rsid w:val="00566412"/>
    <w:rsid w:val="00566768"/>
    <w:rsid w:val="005677FB"/>
    <w:rsid w:val="005735E3"/>
    <w:rsid w:val="0057364A"/>
    <w:rsid w:val="00573B75"/>
    <w:rsid w:val="00575718"/>
    <w:rsid w:val="00575864"/>
    <w:rsid w:val="00582D4C"/>
    <w:rsid w:val="005839B7"/>
    <w:rsid w:val="005925C5"/>
    <w:rsid w:val="00593564"/>
    <w:rsid w:val="00596084"/>
    <w:rsid w:val="00597887"/>
    <w:rsid w:val="005A1F30"/>
    <w:rsid w:val="005A44F3"/>
    <w:rsid w:val="005B23F4"/>
    <w:rsid w:val="005B322B"/>
    <w:rsid w:val="005B3245"/>
    <w:rsid w:val="005B3D9E"/>
    <w:rsid w:val="005B5092"/>
    <w:rsid w:val="005B5CEC"/>
    <w:rsid w:val="005B6EFC"/>
    <w:rsid w:val="005B7515"/>
    <w:rsid w:val="005C0982"/>
    <w:rsid w:val="005C1654"/>
    <w:rsid w:val="005C2D5E"/>
    <w:rsid w:val="005C356D"/>
    <w:rsid w:val="005C4262"/>
    <w:rsid w:val="005C4624"/>
    <w:rsid w:val="005C78C5"/>
    <w:rsid w:val="005D04F4"/>
    <w:rsid w:val="005D067F"/>
    <w:rsid w:val="005D074D"/>
    <w:rsid w:val="005D1F34"/>
    <w:rsid w:val="005D2C38"/>
    <w:rsid w:val="005D5EE1"/>
    <w:rsid w:val="005D6260"/>
    <w:rsid w:val="005E1195"/>
    <w:rsid w:val="005E302D"/>
    <w:rsid w:val="005E49F2"/>
    <w:rsid w:val="005E5414"/>
    <w:rsid w:val="005E5773"/>
    <w:rsid w:val="005F5A07"/>
    <w:rsid w:val="005F5B26"/>
    <w:rsid w:val="005F5F45"/>
    <w:rsid w:val="005F7708"/>
    <w:rsid w:val="0060173F"/>
    <w:rsid w:val="00602AE1"/>
    <w:rsid w:val="006077E7"/>
    <w:rsid w:val="00610093"/>
    <w:rsid w:val="00611007"/>
    <w:rsid w:val="0061169C"/>
    <w:rsid w:val="006117BC"/>
    <w:rsid w:val="00612BFD"/>
    <w:rsid w:val="006141E3"/>
    <w:rsid w:val="00614EBA"/>
    <w:rsid w:val="006154A2"/>
    <w:rsid w:val="00617833"/>
    <w:rsid w:val="00624E60"/>
    <w:rsid w:val="0062502D"/>
    <w:rsid w:val="0062791C"/>
    <w:rsid w:val="0063000F"/>
    <w:rsid w:val="0063041F"/>
    <w:rsid w:val="00630485"/>
    <w:rsid w:val="00630ED9"/>
    <w:rsid w:val="00634205"/>
    <w:rsid w:val="006342C7"/>
    <w:rsid w:val="006344BC"/>
    <w:rsid w:val="006363BD"/>
    <w:rsid w:val="00636492"/>
    <w:rsid w:val="00636A8D"/>
    <w:rsid w:val="00644667"/>
    <w:rsid w:val="00644A53"/>
    <w:rsid w:val="00644B12"/>
    <w:rsid w:val="00646AAB"/>
    <w:rsid w:val="0065228B"/>
    <w:rsid w:val="00656699"/>
    <w:rsid w:val="006604FC"/>
    <w:rsid w:val="00661463"/>
    <w:rsid w:val="00661850"/>
    <w:rsid w:val="00662C5F"/>
    <w:rsid w:val="00664149"/>
    <w:rsid w:val="006656ED"/>
    <w:rsid w:val="00666C94"/>
    <w:rsid w:val="00670892"/>
    <w:rsid w:val="0067111D"/>
    <w:rsid w:val="00673316"/>
    <w:rsid w:val="00673777"/>
    <w:rsid w:val="00673846"/>
    <w:rsid w:val="0067401C"/>
    <w:rsid w:val="006753A2"/>
    <w:rsid w:val="00675671"/>
    <w:rsid w:val="006810F3"/>
    <w:rsid w:val="006823C7"/>
    <w:rsid w:val="0068241F"/>
    <w:rsid w:val="00684A60"/>
    <w:rsid w:val="00690313"/>
    <w:rsid w:val="006908D8"/>
    <w:rsid w:val="00691E7E"/>
    <w:rsid w:val="00693911"/>
    <w:rsid w:val="006941FF"/>
    <w:rsid w:val="00694BCD"/>
    <w:rsid w:val="00694DAD"/>
    <w:rsid w:val="00695765"/>
    <w:rsid w:val="00696390"/>
    <w:rsid w:val="00697A4E"/>
    <w:rsid w:val="006A094B"/>
    <w:rsid w:val="006A3E78"/>
    <w:rsid w:val="006A5A14"/>
    <w:rsid w:val="006A6BB3"/>
    <w:rsid w:val="006B1E1D"/>
    <w:rsid w:val="006B2640"/>
    <w:rsid w:val="006B302C"/>
    <w:rsid w:val="006B3680"/>
    <w:rsid w:val="006B4B15"/>
    <w:rsid w:val="006B5291"/>
    <w:rsid w:val="006C070D"/>
    <w:rsid w:val="006C483A"/>
    <w:rsid w:val="006C4AE8"/>
    <w:rsid w:val="006C4F97"/>
    <w:rsid w:val="006C5F85"/>
    <w:rsid w:val="006C609A"/>
    <w:rsid w:val="006C6FEB"/>
    <w:rsid w:val="006D069F"/>
    <w:rsid w:val="006D127A"/>
    <w:rsid w:val="006D307D"/>
    <w:rsid w:val="006D38EA"/>
    <w:rsid w:val="006D396B"/>
    <w:rsid w:val="006D5EE5"/>
    <w:rsid w:val="006E06ED"/>
    <w:rsid w:val="006E06F5"/>
    <w:rsid w:val="006E31BD"/>
    <w:rsid w:val="006E36A6"/>
    <w:rsid w:val="006E4055"/>
    <w:rsid w:val="006E405D"/>
    <w:rsid w:val="006E5293"/>
    <w:rsid w:val="006E5E86"/>
    <w:rsid w:val="006E6B13"/>
    <w:rsid w:val="006E6B23"/>
    <w:rsid w:val="006E6D5A"/>
    <w:rsid w:val="006E7471"/>
    <w:rsid w:val="006F07B8"/>
    <w:rsid w:val="006F0D84"/>
    <w:rsid w:val="006F2B15"/>
    <w:rsid w:val="006F3BCB"/>
    <w:rsid w:val="006F68D7"/>
    <w:rsid w:val="006F7310"/>
    <w:rsid w:val="007039FC"/>
    <w:rsid w:val="007044B3"/>
    <w:rsid w:val="00706FAB"/>
    <w:rsid w:val="00707793"/>
    <w:rsid w:val="007146A3"/>
    <w:rsid w:val="007147B0"/>
    <w:rsid w:val="00716637"/>
    <w:rsid w:val="007169BB"/>
    <w:rsid w:val="00717BBF"/>
    <w:rsid w:val="00720A06"/>
    <w:rsid w:val="00723E9C"/>
    <w:rsid w:val="00723FFF"/>
    <w:rsid w:val="00725D5E"/>
    <w:rsid w:val="00726035"/>
    <w:rsid w:val="00730895"/>
    <w:rsid w:val="00731CBB"/>
    <w:rsid w:val="00732676"/>
    <w:rsid w:val="00735D9F"/>
    <w:rsid w:val="00742B35"/>
    <w:rsid w:val="00742BDA"/>
    <w:rsid w:val="00742C2D"/>
    <w:rsid w:val="00742CBA"/>
    <w:rsid w:val="00743BDC"/>
    <w:rsid w:val="007445AF"/>
    <w:rsid w:val="00747A73"/>
    <w:rsid w:val="007500C8"/>
    <w:rsid w:val="0075013D"/>
    <w:rsid w:val="0075057B"/>
    <w:rsid w:val="00751A5A"/>
    <w:rsid w:val="0075314A"/>
    <w:rsid w:val="007548CA"/>
    <w:rsid w:val="00754D2B"/>
    <w:rsid w:val="00757060"/>
    <w:rsid w:val="00761387"/>
    <w:rsid w:val="007639F7"/>
    <w:rsid w:val="00764606"/>
    <w:rsid w:val="00770DCB"/>
    <w:rsid w:val="00771BB9"/>
    <w:rsid w:val="007729B5"/>
    <w:rsid w:val="00772C7A"/>
    <w:rsid w:val="00774FEB"/>
    <w:rsid w:val="00775485"/>
    <w:rsid w:val="007812FE"/>
    <w:rsid w:val="007817AB"/>
    <w:rsid w:val="0078236B"/>
    <w:rsid w:val="007826E5"/>
    <w:rsid w:val="007841E1"/>
    <w:rsid w:val="00791055"/>
    <w:rsid w:val="00796401"/>
    <w:rsid w:val="00796D7D"/>
    <w:rsid w:val="007978CE"/>
    <w:rsid w:val="007A1790"/>
    <w:rsid w:val="007A1D4F"/>
    <w:rsid w:val="007A24A4"/>
    <w:rsid w:val="007A293C"/>
    <w:rsid w:val="007A352C"/>
    <w:rsid w:val="007A699A"/>
    <w:rsid w:val="007A7660"/>
    <w:rsid w:val="007B35A3"/>
    <w:rsid w:val="007B3BAE"/>
    <w:rsid w:val="007B556C"/>
    <w:rsid w:val="007C3125"/>
    <w:rsid w:val="007C34B4"/>
    <w:rsid w:val="007C595F"/>
    <w:rsid w:val="007C745C"/>
    <w:rsid w:val="007C753A"/>
    <w:rsid w:val="007D0877"/>
    <w:rsid w:val="007D2796"/>
    <w:rsid w:val="007D40BD"/>
    <w:rsid w:val="007D567A"/>
    <w:rsid w:val="007E1866"/>
    <w:rsid w:val="007E633A"/>
    <w:rsid w:val="007E6434"/>
    <w:rsid w:val="007E75B9"/>
    <w:rsid w:val="007F0516"/>
    <w:rsid w:val="007F1930"/>
    <w:rsid w:val="007F2521"/>
    <w:rsid w:val="007F7677"/>
    <w:rsid w:val="007F79DE"/>
    <w:rsid w:val="007F7CFE"/>
    <w:rsid w:val="00800BA6"/>
    <w:rsid w:val="00802046"/>
    <w:rsid w:val="0080384E"/>
    <w:rsid w:val="008049CD"/>
    <w:rsid w:val="008061CA"/>
    <w:rsid w:val="00806DD0"/>
    <w:rsid w:val="00810ABF"/>
    <w:rsid w:val="00811B45"/>
    <w:rsid w:val="008125EE"/>
    <w:rsid w:val="0082016D"/>
    <w:rsid w:val="00820C5A"/>
    <w:rsid w:val="0082368E"/>
    <w:rsid w:val="008253CC"/>
    <w:rsid w:val="00826033"/>
    <w:rsid w:val="0083209A"/>
    <w:rsid w:val="0083309B"/>
    <w:rsid w:val="0083798D"/>
    <w:rsid w:val="00840777"/>
    <w:rsid w:val="00840CA0"/>
    <w:rsid w:val="00841C76"/>
    <w:rsid w:val="008454B4"/>
    <w:rsid w:val="00846808"/>
    <w:rsid w:val="00851CAF"/>
    <w:rsid w:val="0085206B"/>
    <w:rsid w:val="00853786"/>
    <w:rsid w:val="00854CA2"/>
    <w:rsid w:val="00861192"/>
    <w:rsid w:val="00862A71"/>
    <w:rsid w:val="008646D6"/>
    <w:rsid w:val="008653DB"/>
    <w:rsid w:val="00866235"/>
    <w:rsid w:val="008663BE"/>
    <w:rsid w:val="008724DE"/>
    <w:rsid w:val="00873B60"/>
    <w:rsid w:val="008756B3"/>
    <w:rsid w:val="0087739E"/>
    <w:rsid w:val="00877552"/>
    <w:rsid w:val="008861DF"/>
    <w:rsid w:val="008874B9"/>
    <w:rsid w:val="00894967"/>
    <w:rsid w:val="00895582"/>
    <w:rsid w:val="00895C4B"/>
    <w:rsid w:val="008A003F"/>
    <w:rsid w:val="008A126B"/>
    <w:rsid w:val="008A2AF7"/>
    <w:rsid w:val="008A3671"/>
    <w:rsid w:val="008A3D57"/>
    <w:rsid w:val="008A5A47"/>
    <w:rsid w:val="008A648B"/>
    <w:rsid w:val="008A6B2D"/>
    <w:rsid w:val="008A6BA0"/>
    <w:rsid w:val="008A6E3B"/>
    <w:rsid w:val="008A7F64"/>
    <w:rsid w:val="008B0921"/>
    <w:rsid w:val="008B1159"/>
    <w:rsid w:val="008B4E2A"/>
    <w:rsid w:val="008B56C5"/>
    <w:rsid w:val="008B575C"/>
    <w:rsid w:val="008B5D20"/>
    <w:rsid w:val="008B6AAB"/>
    <w:rsid w:val="008B7AB1"/>
    <w:rsid w:val="008C109C"/>
    <w:rsid w:val="008C21B9"/>
    <w:rsid w:val="008C467B"/>
    <w:rsid w:val="008C6747"/>
    <w:rsid w:val="008C6A1A"/>
    <w:rsid w:val="008D338A"/>
    <w:rsid w:val="008D6AFB"/>
    <w:rsid w:val="008D7FC8"/>
    <w:rsid w:val="008E346C"/>
    <w:rsid w:val="008E3782"/>
    <w:rsid w:val="008E3D60"/>
    <w:rsid w:val="008E70A4"/>
    <w:rsid w:val="008E728A"/>
    <w:rsid w:val="008F0D8D"/>
    <w:rsid w:val="008F1E1E"/>
    <w:rsid w:val="008F1E34"/>
    <w:rsid w:val="008F3A10"/>
    <w:rsid w:val="008F68C0"/>
    <w:rsid w:val="00900B5A"/>
    <w:rsid w:val="0090165F"/>
    <w:rsid w:val="00902E81"/>
    <w:rsid w:val="00904E31"/>
    <w:rsid w:val="009067C5"/>
    <w:rsid w:val="00910194"/>
    <w:rsid w:val="009108F9"/>
    <w:rsid w:val="00916106"/>
    <w:rsid w:val="00921239"/>
    <w:rsid w:val="00921ABB"/>
    <w:rsid w:val="00921CB7"/>
    <w:rsid w:val="00921CCC"/>
    <w:rsid w:val="00923232"/>
    <w:rsid w:val="00923C4F"/>
    <w:rsid w:val="0092618D"/>
    <w:rsid w:val="009270DC"/>
    <w:rsid w:val="00932E9B"/>
    <w:rsid w:val="0093423A"/>
    <w:rsid w:val="00934323"/>
    <w:rsid w:val="009348D8"/>
    <w:rsid w:val="00941F35"/>
    <w:rsid w:val="00942107"/>
    <w:rsid w:val="00943F8B"/>
    <w:rsid w:val="009445C7"/>
    <w:rsid w:val="00944C1B"/>
    <w:rsid w:val="009472C4"/>
    <w:rsid w:val="00950E88"/>
    <w:rsid w:val="009564AB"/>
    <w:rsid w:val="00957D70"/>
    <w:rsid w:val="00957FCE"/>
    <w:rsid w:val="00960D1B"/>
    <w:rsid w:val="00965AB5"/>
    <w:rsid w:val="00966805"/>
    <w:rsid w:val="00966C2F"/>
    <w:rsid w:val="009702FC"/>
    <w:rsid w:val="00971374"/>
    <w:rsid w:val="00972D61"/>
    <w:rsid w:val="00973173"/>
    <w:rsid w:val="009748A2"/>
    <w:rsid w:val="00974B45"/>
    <w:rsid w:val="00974B50"/>
    <w:rsid w:val="00976A71"/>
    <w:rsid w:val="009802F3"/>
    <w:rsid w:val="00982BB3"/>
    <w:rsid w:val="00985B63"/>
    <w:rsid w:val="00990C36"/>
    <w:rsid w:val="00995AE4"/>
    <w:rsid w:val="009977E9"/>
    <w:rsid w:val="009A1470"/>
    <w:rsid w:val="009A19B0"/>
    <w:rsid w:val="009A493F"/>
    <w:rsid w:val="009A5753"/>
    <w:rsid w:val="009A70AF"/>
    <w:rsid w:val="009A731D"/>
    <w:rsid w:val="009A75BC"/>
    <w:rsid w:val="009A7FD7"/>
    <w:rsid w:val="009B1402"/>
    <w:rsid w:val="009B316B"/>
    <w:rsid w:val="009C0709"/>
    <w:rsid w:val="009C2CEF"/>
    <w:rsid w:val="009C45C2"/>
    <w:rsid w:val="009C55E5"/>
    <w:rsid w:val="009C5FB8"/>
    <w:rsid w:val="009C72E7"/>
    <w:rsid w:val="009C7DC1"/>
    <w:rsid w:val="009D0616"/>
    <w:rsid w:val="009D131B"/>
    <w:rsid w:val="009D1752"/>
    <w:rsid w:val="009D2501"/>
    <w:rsid w:val="009D4DDE"/>
    <w:rsid w:val="009D4F22"/>
    <w:rsid w:val="009E1484"/>
    <w:rsid w:val="009E14CB"/>
    <w:rsid w:val="009E4CD2"/>
    <w:rsid w:val="009E64BB"/>
    <w:rsid w:val="009E6749"/>
    <w:rsid w:val="009E71EC"/>
    <w:rsid w:val="009E7FC4"/>
    <w:rsid w:val="009F453B"/>
    <w:rsid w:val="009F51D9"/>
    <w:rsid w:val="009F66C6"/>
    <w:rsid w:val="009F6EEB"/>
    <w:rsid w:val="009F79D5"/>
    <w:rsid w:val="009F7AAC"/>
    <w:rsid w:val="00A02F56"/>
    <w:rsid w:val="00A0406E"/>
    <w:rsid w:val="00A04B46"/>
    <w:rsid w:val="00A06D11"/>
    <w:rsid w:val="00A12167"/>
    <w:rsid w:val="00A121E0"/>
    <w:rsid w:val="00A13C36"/>
    <w:rsid w:val="00A142F0"/>
    <w:rsid w:val="00A14FDA"/>
    <w:rsid w:val="00A162D6"/>
    <w:rsid w:val="00A17988"/>
    <w:rsid w:val="00A22420"/>
    <w:rsid w:val="00A22856"/>
    <w:rsid w:val="00A239E9"/>
    <w:rsid w:val="00A23A87"/>
    <w:rsid w:val="00A24091"/>
    <w:rsid w:val="00A3073B"/>
    <w:rsid w:val="00A32977"/>
    <w:rsid w:val="00A346F5"/>
    <w:rsid w:val="00A36BEC"/>
    <w:rsid w:val="00A37DE2"/>
    <w:rsid w:val="00A41124"/>
    <w:rsid w:val="00A41355"/>
    <w:rsid w:val="00A41FB6"/>
    <w:rsid w:val="00A423F7"/>
    <w:rsid w:val="00A43B92"/>
    <w:rsid w:val="00A43C9F"/>
    <w:rsid w:val="00A44381"/>
    <w:rsid w:val="00A44720"/>
    <w:rsid w:val="00A44F20"/>
    <w:rsid w:val="00A45DBB"/>
    <w:rsid w:val="00A46472"/>
    <w:rsid w:val="00A50A81"/>
    <w:rsid w:val="00A51760"/>
    <w:rsid w:val="00A51780"/>
    <w:rsid w:val="00A5655F"/>
    <w:rsid w:val="00A57116"/>
    <w:rsid w:val="00A5714E"/>
    <w:rsid w:val="00A573F4"/>
    <w:rsid w:val="00A6179E"/>
    <w:rsid w:val="00A62022"/>
    <w:rsid w:val="00A64D54"/>
    <w:rsid w:val="00A66F67"/>
    <w:rsid w:val="00A6765A"/>
    <w:rsid w:val="00A72FF2"/>
    <w:rsid w:val="00A76245"/>
    <w:rsid w:val="00A76392"/>
    <w:rsid w:val="00A77973"/>
    <w:rsid w:val="00A815EA"/>
    <w:rsid w:val="00A8192E"/>
    <w:rsid w:val="00A81B4C"/>
    <w:rsid w:val="00A81B6B"/>
    <w:rsid w:val="00A81F51"/>
    <w:rsid w:val="00A82B9D"/>
    <w:rsid w:val="00A8418B"/>
    <w:rsid w:val="00A84C16"/>
    <w:rsid w:val="00A8642C"/>
    <w:rsid w:val="00A9028E"/>
    <w:rsid w:val="00A9248A"/>
    <w:rsid w:val="00A9331C"/>
    <w:rsid w:val="00A93F45"/>
    <w:rsid w:val="00AA14E4"/>
    <w:rsid w:val="00AA1DCB"/>
    <w:rsid w:val="00AA5C28"/>
    <w:rsid w:val="00AB541D"/>
    <w:rsid w:val="00AB59E4"/>
    <w:rsid w:val="00AB5C02"/>
    <w:rsid w:val="00AC0C7C"/>
    <w:rsid w:val="00AC27AB"/>
    <w:rsid w:val="00AC2C92"/>
    <w:rsid w:val="00AC67FA"/>
    <w:rsid w:val="00AC6A34"/>
    <w:rsid w:val="00AC6EE7"/>
    <w:rsid w:val="00AC73FE"/>
    <w:rsid w:val="00AD2821"/>
    <w:rsid w:val="00AD365B"/>
    <w:rsid w:val="00AD3E38"/>
    <w:rsid w:val="00AD3E4C"/>
    <w:rsid w:val="00AD428A"/>
    <w:rsid w:val="00AD57CE"/>
    <w:rsid w:val="00AD6B36"/>
    <w:rsid w:val="00AE0863"/>
    <w:rsid w:val="00AE14FB"/>
    <w:rsid w:val="00AE4B43"/>
    <w:rsid w:val="00AE51AE"/>
    <w:rsid w:val="00AE595D"/>
    <w:rsid w:val="00AE5DDC"/>
    <w:rsid w:val="00AE6B34"/>
    <w:rsid w:val="00AE76EB"/>
    <w:rsid w:val="00AE7FEE"/>
    <w:rsid w:val="00AF1508"/>
    <w:rsid w:val="00AF2F04"/>
    <w:rsid w:val="00B00789"/>
    <w:rsid w:val="00B00EC3"/>
    <w:rsid w:val="00B055CA"/>
    <w:rsid w:val="00B05C6E"/>
    <w:rsid w:val="00B11336"/>
    <w:rsid w:val="00B11D24"/>
    <w:rsid w:val="00B11D9F"/>
    <w:rsid w:val="00B14040"/>
    <w:rsid w:val="00B152B1"/>
    <w:rsid w:val="00B16BE1"/>
    <w:rsid w:val="00B22697"/>
    <w:rsid w:val="00B22D1B"/>
    <w:rsid w:val="00B240E2"/>
    <w:rsid w:val="00B2731E"/>
    <w:rsid w:val="00B277E0"/>
    <w:rsid w:val="00B27958"/>
    <w:rsid w:val="00B300D3"/>
    <w:rsid w:val="00B3113F"/>
    <w:rsid w:val="00B32BFD"/>
    <w:rsid w:val="00B33B2D"/>
    <w:rsid w:val="00B34848"/>
    <w:rsid w:val="00B37A40"/>
    <w:rsid w:val="00B44B3E"/>
    <w:rsid w:val="00B45692"/>
    <w:rsid w:val="00B471EB"/>
    <w:rsid w:val="00B52E2D"/>
    <w:rsid w:val="00B540E7"/>
    <w:rsid w:val="00B54602"/>
    <w:rsid w:val="00B54C71"/>
    <w:rsid w:val="00B555DB"/>
    <w:rsid w:val="00B5795C"/>
    <w:rsid w:val="00B60938"/>
    <w:rsid w:val="00B61B46"/>
    <w:rsid w:val="00B62671"/>
    <w:rsid w:val="00B63E51"/>
    <w:rsid w:val="00B640A0"/>
    <w:rsid w:val="00B66351"/>
    <w:rsid w:val="00B671FE"/>
    <w:rsid w:val="00B71A02"/>
    <w:rsid w:val="00B75943"/>
    <w:rsid w:val="00B76653"/>
    <w:rsid w:val="00B772FD"/>
    <w:rsid w:val="00B80242"/>
    <w:rsid w:val="00B80A2F"/>
    <w:rsid w:val="00B8261F"/>
    <w:rsid w:val="00B83E40"/>
    <w:rsid w:val="00B85F6F"/>
    <w:rsid w:val="00B86E07"/>
    <w:rsid w:val="00B87B80"/>
    <w:rsid w:val="00B928E3"/>
    <w:rsid w:val="00B95B7A"/>
    <w:rsid w:val="00BA0D8E"/>
    <w:rsid w:val="00BA262D"/>
    <w:rsid w:val="00BA4905"/>
    <w:rsid w:val="00BA4A4C"/>
    <w:rsid w:val="00BA70F7"/>
    <w:rsid w:val="00BB1321"/>
    <w:rsid w:val="00BB2A44"/>
    <w:rsid w:val="00BB2DAD"/>
    <w:rsid w:val="00BC2FB1"/>
    <w:rsid w:val="00BC343F"/>
    <w:rsid w:val="00BC6747"/>
    <w:rsid w:val="00BC6E87"/>
    <w:rsid w:val="00BC702A"/>
    <w:rsid w:val="00BC7644"/>
    <w:rsid w:val="00BC79EB"/>
    <w:rsid w:val="00BD066D"/>
    <w:rsid w:val="00BD2208"/>
    <w:rsid w:val="00BD5AE6"/>
    <w:rsid w:val="00BD64FF"/>
    <w:rsid w:val="00BD7D3F"/>
    <w:rsid w:val="00BE2D8F"/>
    <w:rsid w:val="00BE5827"/>
    <w:rsid w:val="00BE60E5"/>
    <w:rsid w:val="00BF0BF1"/>
    <w:rsid w:val="00BF185D"/>
    <w:rsid w:val="00BF45E6"/>
    <w:rsid w:val="00BF6CC0"/>
    <w:rsid w:val="00BF7C32"/>
    <w:rsid w:val="00BF7EF2"/>
    <w:rsid w:val="00C033D5"/>
    <w:rsid w:val="00C05893"/>
    <w:rsid w:val="00C05FC0"/>
    <w:rsid w:val="00C076F2"/>
    <w:rsid w:val="00C147B3"/>
    <w:rsid w:val="00C14F89"/>
    <w:rsid w:val="00C17836"/>
    <w:rsid w:val="00C17941"/>
    <w:rsid w:val="00C2012F"/>
    <w:rsid w:val="00C20EAF"/>
    <w:rsid w:val="00C2145F"/>
    <w:rsid w:val="00C2284A"/>
    <w:rsid w:val="00C22AA2"/>
    <w:rsid w:val="00C247EB"/>
    <w:rsid w:val="00C25626"/>
    <w:rsid w:val="00C25BDA"/>
    <w:rsid w:val="00C26BBE"/>
    <w:rsid w:val="00C27DBC"/>
    <w:rsid w:val="00C30EB9"/>
    <w:rsid w:val="00C320E1"/>
    <w:rsid w:val="00C3369C"/>
    <w:rsid w:val="00C34541"/>
    <w:rsid w:val="00C34F2A"/>
    <w:rsid w:val="00C35EBF"/>
    <w:rsid w:val="00C35F12"/>
    <w:rsid w:val="00C36B85"/>
    <w:rsid w:val="00C41BF4"/>
    <w:rsid w:val="00C431C9"/>
    <w:rsid w:val="00C452E0"/>
    <w:rsid w:val="00C46731"/>
    <w:rsid w:val="00C46D08"/>
    <w:rsid w:val="00C50FC2"/>
    <w:rsid w:val="00C51925"/>
    <w:rsid w:val="00C53971"/>
    <w:rsid w:val="00C539D8"/>
    <w:rsid w:val="00C54A0C"/>
    <w:rsid w:val="00C54FB1"/>
    <w:rsid w:val="00C57BCC"/>
    <w:rsid w:val="00C60245"/>
    <w:rsid w:val="00C61455"/>
    <w:rsid w:val="00C66023"/>
    <w:rsid w:val="00C669A2"/>
    <w:rsid w:val="00C66DCF"/>
    <w:rsid w:val="00C72714"/>
    <w:rsid w:val="00C7763B"/>
    <w:rsid w:val="00C77841"/>
    <w:rsid w:val="00C806B5"/>
    <w:rsid w:val="00C80F9F"/>
    <w:rsid w:val="00C81E47"/>
    <w:rsid w:val="00C821EC"/>
    <w:rsid w:val="00C82F46"/>
    <w:rsid w:val="00C835C0"/>
    <w:rsid w:val="00C83E97"/>
    <w:rsid w:val="00C859E8"/>
    <w:rsid w:val="00C87652"/>
    <w:rsid w:val="00C91050"/>
    <w:rsid w:val="00C92C56"/>
    <w:rsid w:val="00C930D0"/>
    <w:rsid w:val="00C959F6"/>
    <w:rsid w:val="00C96F7E"/>
    <w:rsid w:val="00C97CDA"/>
    <w:rsid w:val="00CA002D"/>
    <w:rsid w:val="00CA0781"/>
    <w:rsid w:val="00CA0D78"/>
    <w:rsid w:val="00CA1986"/>
    <w:rsid w:val="00CA4A54"/>
    <w:rsid w:val="00CA4ED5"/>
    <w:rsid w:val="00CA50D1"/>
    <w:rsid w:val="00CA5B6F"/>
    <w:rsid w:val="00CA713D"/>
    <w:rsid w:val="00CA77F1"/>
    <w:rsid w:val="00CB1E9E"/>
    <w:rsid w:val="00CB27A8"/>
    <w:rsid w:val="00CB36F2"/>
    <w:rsid w:val="00CB4ADD"/>
    <w:rsid w:val="00CB6327"/>
    <w:rsid w:val="00CC0F63"/>
    <w:rsid w:val="00CC1526"/>
    <w:rsid w:val="00CC3C9A"/>
    <w:rsid w:val="00CC3EB1"/>
    <w:rsid w:val="00CD398F"/>
    <w:rsid w:val="00CD7EEC"/>
    <w:rsid w:val="00CE320C"/>
    <w:rsid w:val="00CE3FC6"/>
    <w:rsid w:val="00CE7182"/>
    <w:rsid w:val="00CF1423"/>
    <w:rsid w:val="00CF27A2"/>
    <w:rsid w:val="00CF3B39"/>
    <w:rsid w:val="00CF52E7"/>
    <w:rsid w:val="00CF5A8C"/>
    <w:rsid w:val="00CF5EF2"/>
    <w:rsid w:val="00D00F78"/>
    <w:rsid w:val="00D02BE4"/>
    <w:rsid w:val="00D05C7C"/>
    <w:rsid w:val="00D07B87"/>
    <w:rsid w:val="00D10980"/>
    <w:rsid w:val="00D12324"/>
    <w:rsid w:val="00D125A6"/>
    <w:rsid w:val="00D13819"/>
    <w:rsid w:val="00D168F9"/>
    <w:rsid w:val="00D22AEF"/>
    <w:rsid w:val="00D2709C"/>
    <w:rsid w:val="00D27D39"/>
    <w:rsid w:val="00D27EAE"/>
    <w:rsid w:val="00D31764"/>
    <w:rsid w:val="00D3354F"/>
    <w:rsid w:val="00D341B9"/>
    <w:rsid w:val="00D36D90"/>
    <w:rsid w:val="00D37E49"/>
    <w:rsid w:val="00D447F2"/>
    <w:rsid w:val="00D47B29"/>
    <w:rsid w:val="00D51C88"/>
    <w:rsid w:val="00D5259C"/>
    <w:rsid w:val="00D542EF"/>
    <w:rsid w:val="00D602B4"/>
    <w:rsid w:val="00D605D4"/>
    <w:rsid w:val="00D61AE2"/>
    <w:rsid w:val="00D62E27"/>
    <w:rsid w:val="00D64503"/>
    <w:rsid w:val="00D65C76"/>
    <w:rsid w:val="00D66A58"/>
    <w:rsid w:val="00D70B65"/>
    <w:rsid w:val="00D71A30"/>
    <w:rsid w:val="00D7276F"/>
    <w:rsid w:val="00D74F35"/>
    <w:rsid w:val="00D74F87"/>
    <w:rsid w:val="00D77533"/>
    <w:rsid w:val="00D8047F"/>
    <w:rsid w:val="00D8211E"/>
    <w:rsid w:val="00D82314"/>
    <w:rsid w:val="00D87628"/>
    <w:rsid w:val="00D916FE"/>
    <w:rsid w:val="00D92D14"/>
    <w:rsid w:val="00D94E7E"/>
    <w:rsid w:val="00D9575B"/>
    <w:rsid w:val="00DA0D28"/>
    <w:rsid w:val="00DA15A3"/>
    <w:rsid w:val="00DA2F73"/>
    <w:rsid w:val="00DA3F4F"/>
    <w:rsid w:val="00DA42E8"/>
    <w:rsid w:val="00DA4913"/>
    <w:rsid w:val="00DA5951"/>
    <w:rsid w:val="00DA6A7B"/>
    <w:rsid w:val="00DB3453"/>
    <w:rsid w:val="00DB4089"/>
    <w:rsid w:val="00DB46EA"/>
    <w:rsid w:val="00DB4C0E"/>
    <w:rsid w:val="00DB6B4E"/>
    <w:rsid w:val="00DB6C2B"/>
    <w:rsid w:val="00DB6CFA"/>
    <w:rsid w:val="00DC193F"/>
    <w:rsid w:val="00DC365F"/>
    <w:rsid w:val="00DC3C4F"/>
    <w:rsid w:val="00DC3DA0"/>
    <w:rsid w:val="00DC462F"/>
    <w:rsid w:val="00DC51DA"/>
    <w:rsid w:val="00DC68C8"/>
    <w:rsid w:val="00DD36F3"/>
    <w:rsid w:val="00DD6594"/>
    <w:rsid w:val="00DD765B"/>
    <w:rsid w:val="00DE3BCE"/>
    <w:rsid w:val="00DE6165"/>
    <w:rsid w:val="00DE7B1F"/>
    <w:rsid w:val="00DF18A4"/>
    <w:rsid w:val="00DF1CBF"/>
    <w:rsid w:val="00DF39BD"/>
    <w:rsid w:val="00DF4473"/>
    <w:rsid w:val="00DF6042"/>
    <w:rsid w:val="00DF6A99"/>
    <w:rsid w:val="00DF6CA1"/>
    <w:rsid w:val="00E03AF5"/>
    <w:rsid w:val="00E03F9B"/>
    <w:rsid w:val="00E044F6"/>
    <w:rsid w:val="00E05680"/>
    <w:rsid w:val="00E06053"/>
    <w:rsid w:val="00E07D23"/>
    <w:rsid w:val="00E10153"/>
    <w:rsid w:val="00E103BF"/>
    <w:rsid w:val="00E10545"/>
    <w:rsid w:val="00E111F4"/>
    <w:rsid w:val="00E118E2"/>
    <w:rsid w:val="00E139F3"/>
    <w:rsid w:val="00E14A2D"/>
    <w:rsid w:val="00E151E5"/>
    <w:rsid w:val="00E15D52"/>
    <w:rsid w:val="00E16267"/>
    <w:rsid w:val="00E22238"/>
    <w:rsid w:val="00E232BC"/>
    <w:rsid w:val="00E2468D"/>
    <w:rsid w:val="00E24FA3"/>
    <w:rsid w:val="00E255F2"/>
    <w:rsid w:val="00E32310"/>
    <w:rsid w:val="00E328CD"/>
    <w:rsid w:val="00E32FBD"/>
    <w:rsid w:val="00E34376"/>
    <w:rsid w:val="00E354BF"/>
    <w:rsid w:val="00E45954"/>
    <w:rsid w:val="00E46570"/>
    <w:rsid w:val="00E604FA"/>
    <w:rsid w:val="00E60806"/>
    <w:rsid w:val="00E60B93"/>
    <w:rsid w:val="00E61BA5"/>
    <w:rsid w:val="00E61EFD"/>
    <w:rsid w:val="00E63AC7"/>
    <w:rsid w:val="00E700B6"/>
    <w:rsid w:val="00E75891"/>
    <w:rsid w:val="00E75D90"/>
    <w:rsid w:val="00E77A82"/>
    <w:rsid w:val="00E77EDA"/>
    <w:rsid w:val="00E816A3"/>
    <w:rsid w:val="00E82C04"/>
    <w:rsid w:val="00E82E54"/>
    <w:rsid w:val="00E8359C"/>
    <w:rsid w:val="00E835AF"/>
    <w:rsid w:val="00E83C43"/>
    <w:rsid w:val="00E84B23"/>
    <w:rsid w:val="00E85F6F"/>
    <w:rsid w:val="00E871AC"/>
    <w:rsid w:val="00E91303"/>
    <w:rsid w:val="00E9220A"/>
    <w:rsid w:val="00E927CF"/>
    <w:rsid w:val="00E95D64"/>
    <w:rsid w:val="00E97EF8"/>
    <w:rsid w:val="00EA0E9A"/>
    <w:rsid w:val="00EA1B3C"/>
    <w:rsid w:val="00EA5925"/>
    <w:rsid w:val="00EA617E"/>
    <w:rsid w:val="00EA7DD8"/>
    <w:rsid w:val="00EB0AB8"/>
    <w:rsid w:val="00EB29EB"/>
    <w:rsid w:val="00EB59A6"/>
    <w:rsid w:val="00EB6871"/>
    <w:rsid w:val="00EB760A"/>
    <w:rsid w:val="00EC090C"/>
    <w:rsid w:val="00EC176C"/>
    <w:rsid w:val="00EC7DC9"/>
    <w:rsid w:val="00ED0A89"/>
    <w:rsid w:val="00ED2AC2"/>
    <w:rsid w:val="00ED4DAA"/>
    <w:rsid w:val="00EE0742"/>
    <w:rsid w:val="00EE1217"/>
    <w:rsid w:val="00EE125B"/>
    <w:rsid w:val="00EE19F6"/>
    <w:rsid w:val="00EE44D7"/>
    <w:rsid w:val="00EF0131"/>
    <w:rsid w:val="00EF3DDC"/>
    <w:rsid w:val="00EF3E5D"/>
    <w:rsid w:val="00EF70E2"/>
    <w:rsid w:val="00F046E3"/>
    <w:rsid w:val="00F04C41"/>
    <w:rsid w:val="00F04E2F"/>
    <w:rsid w:val="00F077A4"/>
    <w:rsid w:val="00F10E95"/>
    <w:rsid w:val="00F125F0"/>
    <w:rsid w:val="00F14C6D"/>
    <w:rsid w:val="00F178EF"/>
    <w:rsid w:val="00F23438"/>
    <w:rsid w:val="00F244A8"/>
    <w:rsid w:val="00F26E35"/>
    <w:rsid w:val="00F272B0"/>
    <w:rsid w:val="00F30669"/>
    <w:rsid w:val="00F3100E"/>
    <w:rsid w:val="00F33707"/>
    <w:rsid w:val="00F3459E"/>
    <w:rsid w:val="00F34A38"/>
    <w:rsid w:val="00F34B65"/>
    <w:rsid w:val="00F34BAD"/>
    <w:rsid w:val="00F36F66"/>
    <w:rsid w:val="00F418BF"/>
    <w:rsid w:val="00F4251A"/>
    <w:rsid w:val="00F440C4"/>
    <w:rsid w:val="00F44BC4"/>
    <w:rsid w:val="00F44F0E"/>
    <w:rsid w:val="00F52886"/>
    <w:rsid w:val="00F5329C"/>
    <w:rsid w:val="00F55638"/>
    <w:rsid w:val="00F56CE3"/>
    <w:rsid w:val="00F624BA"/>
    <w:rsid w:val="00F628CE"/>
    <w:rsid w:val="00F63975"/>
    <w:rsid w:val="00F646E5"/>
    <w:rsid w:val="00F65C27"/>
    <w:rsid w:val="00F673B0"/>
    <w:rsid w:val="00F674F9"/>
    <w:rsid w:val="00F71A6E"/>
    <w:rsid w:val="00F71CC9"/>
    <w:rsid w:val="00F71EA8"/>
    <w:rsid w:val="00F74C62"/>
    <w:rsid w:val="00F75260"/>
    <w:rsid w:val="00F76591"/>
    <w:rsid w:val="00F80581"/>
    <w:rsid w:val="00F80B9A"/>
    <w:rsid w:val="00F81ACE"/>
    <w:rsid w:val="00F84951"/>
    <w:rsid w:val="00F84EF4"/>
    <w:rsid w:val="00F9078E"/>
    <w:rsid w:val="00F91304"/>
    <w:rsid w:val="00F92390"/>
    <w:rsid w:val="00F95982"/>
    <w:rsid w:val="00F966EC"/>
    <w:rsid w:val="00F9743E"/>
    <w:rsid w:val="00F97D24"/>
    <w:rsid w:val="00FA2B01"/>
    <w:rsid w:val="00FA3230"/>
    <w:rsid w:val="00FA5A79"/>
    <w:rsid w:val="00FA5BDD"/>
    <w:rsid w:val="00FA7AE2"/>
    <w:rsid w:val="00FB2450"/>
    <w:rsid w:val="00FB5378"/>
    <w:rsid w:val="00FB7833"/>
    <w:rsid w:val="00FC0143"/>
    <w:rsid w:val="00FC02AE"/>
    <w:rsid w:val="00FC27C4"/>
    <w:rsid w:val="00FC2ACF"/>
    <w:rsid w:val="00FC3C16"/>
    <w:rsid w:val="00FC42BC"/>
    <w:rsid w:val="00FC52DB"/>
    <w:rsid w:val="00FC582E"/>
    <w:rsid w:val="00FD2008"/>
    <w:rsid w:val="00FD4571"/>
    <w:rsid w:val="00FD6CAC"/>
    <w:rsid w:val="00FD754C"/>
    <w:rsid w:val="00FE5B1C"/>
    <w:rsid w:val="00FE5FD7"/>
    <w:rsid w:val="00FE77CA"/>
    <w:rsid w:val="00FE7D9A"/>
    <w:rsid w:val="00FE7EB0"/>
    <w:rsid w:val="00FF0337"/>
    <w:rsid w:val="00FF2F41"/>
    <w:rsid w:val="00FF53B0"/>
    <w:rsid w:val="00FF563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o:shapelayout v:ext="edit">
      <o:idmap v:ext="edit" data="1"/>
      <o:rules v:ext="edit">
        <o:r id="V:Rule5" type="connector" idref="#Straight Arrow Connector 5"/>
        <o:r id="V:Rule6" type="connector" idref="#Straight Arrow Connector 7"/>
        <o:r id="V:Rule7" type="connector" idref="#Straight Arrow Connector 6"/>
        <o:r id="V:Rule8" type="connector" idref="#Straight Arrow Connector 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lsdException w:name="toc 5" w:locked="1"/>
    <w:lsdException w:name="toc 6" w:locked="1"/>
    <w:lsdException w:name="toc 7" w:locked="1"/>
    <w:lsdException w:name="toc 8" w:locked="1"/>
    <w:lsdException w:name="toc 9" w:locked="1"/>
    <w:lsdException w:name="Normal Indent" w:locked="1"/>
    <w:lsdException w:name="annotation text" w:locked="1"/>
    <w:lsdException w:name="header" w:uiPriority="99"/>
    <w:lsdException w:name="footer"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annotation reference" w:locked="1"/>
    <w:lsdException w:name="line number" w:locked="1"/>
    <w:lsdException w:name="page number" w:locked="1"/>
    <w:lsdException w:name="endnote reference" w:uiPriority="99"/>
    <w:lsdException w:name="endnote text" w:qFormat="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lsdException w:name="FollowedHyperlink" w:locked="1"/>
    <w:lsdException w:name="Strong" w:uiPriority="22" w:qFormat="1"/>
    <w:lsdException w:name="Emphasis" w:locked="1" w:qFormat="1"/>
    <w:lsdException w:name="Document Map" w:locked="1"/>
    <w:lsdException w:name="Plain Text" w:locked="1" w:uiPriority="99"/>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0B40C8"/>
    <w:pPr>
      <w:spacing w:before="240" w:after="240"/>
    </w:pPr>
    <w:rPr>
      <w:rFonts w:ascii="Arial" w:hAnsi="Arial"/>
      <w:sz w:val="24"/>
      <w:szCs w:val="24"/>
    </w:rPr>
  </w:style>
  <w:style w:type="paragraph" w:styleId="Heading1">
    <w:name w:val="heading 1"/>
    <w:basedOn w:val="Normal"/>
    <w:next w:val="Normal"/>
    <w:link w:val="Heading1Char"/>
    <w:qFormat/>
    <w:rsid w:val="00AC27AB"/>
    <w:pPr>
      <w:keepNext/>
      <w:keepLines/>
      <w:numPr>
        <w:numId w:val="15"/>
      </w:numPr>
      <w:spacing w:before="360"/>
      <w:outlineLvl w:val="0"/>
    </w:pPr>
    <w:rPr>
      <w:b/>
      <w:bCs/>
      <w:sz w:val="28"/>
      <w:szCs w:val="28"/>
    </w:rPr>
  </w:style>
  <w:style w:type="paragraph" w:styleId="Heading2">
    <w:name w:val="heading 2"/>
    <w:basedOn w:val="Heading1"/>
    <w:next w:val="Normal"/>
    <w:link w:val="Heading2Char"/>
    <w:qFormat/>
    <w:rsid w:val="00AC27AB"/>
    <w:pPr>
      <w:numPr>
        <w:ilvl w:val="1"/>
      </w:numPr>
      <w:outlineLvl w:val="1"/>
    </w:pPr>
    <w:rPr>
      <w:bCs w:val="0"/>
      <w:i/>
      <w:color w:val="000000"/>
      <w:szCs w:val="26"/>
    </w:rPr>
  </w:style>
  <w:style w:type="paragraph" w:styleId="Heading3">
    <w:name w:val="heading 3"/>
    <w:basedOn w:val="Heading2"/>
    <w:next w:val="Normal"/>
    <w:link w:val="Heading3Char"/>
    <w:qFormat/>
    <w:rsid w:val="00AC27AB"/>
    <w:pPr>
      <w:numPr>
        <w:ilvl w:val="2"/>
      </w:numPr>
      <w:outlineLvl w:val="2"/>
    </w:pPr>
    <w:rPr>
      <w:b w:val="0"/>
      <w:bCs/>
      <w:color w:val="auto"/>
      <w:sz w:val="24"/>
    </w:rPr>
  </w:style>
  <w:style w:type="paragraph" w:styleId="Heading4">
    <w:name w:val="heading 4"/>
    <w:basedOn w:val="Heading3"/>
    <w:next w:val="Normal"/>
    <w:link w:val="Heading4Char"/>
    <w:qFormat/>
    <w:rsid w:val="00AC27AB"/>
    <w:pPr>
      <w:numPr>
        <w:ilvl w:val="3"/>
      </w:numPr>
      <w:outlineLvl w:val="3"/>
    </w:pPr>
    <w:rPr>
      <w:bCs w:val="0"/>
      <w:i w:val="0"/>
      <w:iCs/>
    </w:rPr>
  </w:style>
  <w:style w:type="paragraph" w:styleId="Heading5">
    <w:name w:val="heading 5"/>
    <w:basedOn w:val="Normal"/>
    <w:next w:val="Normal"/>
    <w:link w:val="Heading5Char"/>
    <w:qFormat/>
    <w:locked/>
    <w:rsid w:val="00F14C6D"/>
    <w:pPr>
      <w:keepNext/>
      <w:keepLines/>
      <w:spacing w:before="200"/>
      <w:outlineLvl w:val="4"/>
    </w:pPr>
    <w:rPr>
      <w:rFonts w:ascii="Cambria" w:hAnsi="Cambria"/>
      <w:color w:val="243F60"/>
    </w:rPr>
  </w:style>
  <w:style w:type="paragraph" w:styleId="Heading6">
    <w:name w:val="heading 6"/>
    <w:basedOn w:val="Normal"/>
    <w:next w:val="Normal"/>
    <w:link w:val="Heading6Char"/>
    <w:qFormat/>
    <w:locked/>
    <w:rsid w:val="00F14C6D"/>
    <w:pPr>
      <w:keepNext/>
      <w:keepLines/>
      <w:spacing w:before="200"/>
      <w:outlineLvl w:val="5"/>
    </w:pPr>
    <w:rPr>
      <w:rFonts w:ascii="Cambria" w:hAnsi="Cambria"/>
      <w:i/>
      <w:iCs/>
      <w:color w:val="243F60"/>
    </w:rPr>
  </w:style>
  <w:style w:type="paragraph" w:styleId="Heading7">
    <w:name w:val="heading 7"/>
    <w:basedOn w:val="Normal"/>
    <w:next w:val="Normal"/>
    <w:link w:val="Heading7Char"/>
    <w:qFormat/>
    <w:locked/>
    <w:rsid w:val="00F14C6D"/>
    <w:pPr>
      <w:keepNext/>
      <w:keepLines/>
      <w:spacing w:before="200"/>
      <w:outlineLvl w:val="6"/>
    </w:pPr>
    <w:rPr>
      <w:rFonts w:ascii="Cambria" w:hAnsi="Cambria"/>
      <w:i/>
      <w:iCs/>
      <w:color w:val="404040"/>
    </w:rPr>
  </w:style>
  <w:style w:type="paragraph" w:styleId="Heading8">
    <w:name w:val="heading 8"/>
    <w:basedOn w:val="Normal"/>
    <w:next w:val="Normal"/>
    <w:link w:val="Heading8Char"/>
    <w:qFormat/>
    <w:locked/>
    <w:rsid w:val="00F14C6D"/>
    <w:pPr>
      <w:keepNext/>
      <w:keepLines/>
      <w:spacing w:before="200"/>
      <w:outlineLvl w:val="7"/>
    </w:pPr>
    <w:rPr>
      <w:rFonts w:ascii="Cambria" w:hAnsi="Cambria"/>
      <w:color w:val="404040"/>
      <w:sz w:val="20"/>
      <w:szCs w:val="20"/>
    </w:rPr>
  </w:style>
  <w:style w:type="paragraph" w:styleId="Heading9">
    <w:name w:val="heading 9"/>
    <w:basedOn w:val="Normal"/>
    <w:next w:val="Normal"/>
    <w:link w:val="Heading9Char"/>
    <w:qFormat/>
    <w:locked/>
    <w:rsid w:val="00F14C6D"/>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27AB"/>
    <w:rPr>
      <w:rFonts w:ascii="Arial" w:hAnsi="Arial"/>
      <w:b/>
      <w:bCs/>
      <w:sz w:val="28"/>
      <w:szCs w:val="28"/>
    </w:rPr>
  </w:style>
  <w:style w:type="character" w:customStyle="1" w:styleId="Heading2Char">
    <w:name w:val="Heading 2 Char"/>
    <w:basedOn w:val="DefaultParagraphFont"/>
    <w:link w:val="Heading2"/>
    <w:rsid w:val="00AC27AB"/>
    <w:rPr>
      <w:rFonts w:ascii="Arial" w:hAnsi="Arial"/>
      <w:b/>
      <w:i/>
      <w:color w:val="000000"/>
      <w:sz w:val="28"/>
      <w:szCs w:val="26"/>
    </w:rPr>
  </w:style>
  <w:style w:type="character" w:customStyle="1" w:styleId="Heading3Char">
    <w:name w:val="Heading 3 Char"/>
    <w:basedOn w:val="DefaultParagraphFont"/>
    <w:link w:val="Heading3"/>
    <w:rsid w:val="00AC27AB"/>
    <w:rPr>
      <w:rFonts w:ascii="Arial" w:hAnsi="Arial"/>
      <w:bCs/>
      <w:i/>
      <w:sz w:val="24"/>
      <w:szCs w:val="26"/>
    </w:rPr>
  </w:style>
  <w:style w:type="character" w:customStyle="1" w:styleId="Heading4Char">
    <w:name w:val="Heading 4 Char"/>
    <w:basedOn w:val="DefaultParagraphFont"/>
    <w:link w:val="Heading4"/>
    <w:rsid w:val="00AC27AB"/>
    <w:rPr>
      <w:rFonts w:ascii="Arial" w:hAnsi="Arial"/>
      <w:iCs/>
      <w:sz w:val="24"/>
      <w:szCs w:val="26"/>
    </w:rPr>
  </w:style>
  <w:style w:type="character" w:styleId="Strong">
    <w:name w:val="Strong"/>
    <w:basedOn w:val="DefaultParagraphFont"/>
    <w:uiPriority w:val="22"/>
    <w:qFormat/>
    <w:locked/>
    <w:rsid w:val="000B0A5D"/>
    <w:rPr>
      <w:b/>
      <w:bCs/>
    </w:rPr>
  </w:style>
  <w:style w:type="character" w:customStyle="1" w:styleId="Heading5Char">
    <w:name w:val="Heading 5 Char"/>
    <w:basedOn w:val="DefaultParagraphFont"/>
    <w:link w:val="Heading5"/>
    <w:semiHidden/>
    <w:rsid w:val="00F14C6D"/>
    <w:rPr>
      <w:rFonts w:ascii="Cambria" w:hAnsi="Cambria"/>
      <w:color w:val="243F60"/>
      <w:sz w:val="24"/>
      <w:szCs w:val="24"/>
      <w:lang w:val="en-AU" w:eastAsia="en-AU" w:bidi="ar-SA"/>
    </w:rPr>
  </w:style>
  <w:style w:type="character" w:customStyle="1" w:styleId="Heading6Char">
    <w:name w:val="Heading 6 Char"/>
    <w:basedOn w:val="DefaultParagraphFont"/>
    <w:link w:val="Heading6"/>
    <w:semiHidden/>
    <w:rsid w:val="00F14C6D"/>
    <w:rPr>
      <w:rFonts w:ascii="Cambria" w:hAnsi="Cambria"/>
      <w:i/>
      <w:iCs/>
      <w:color w:val="243F60"/>
      <w:sz w:val="24"/>
      <w:szCs w:val="24"/>
      <w:lang w:val="en-AU" w:eastAsia="en-AU" w:bidi="ar-SA"/>
    </w:rPr>
  </w:style>
  <w:style w:type="character" w:customStyle="1" w:styleId="Heading7Char">
    <w:name w:val="Heading 7 Char"/>
    <w:basedOn w:val="DefaultParagraphFont"/>
    <w:link w:val="Heading7"/>
    <w:semiHidden/>
    <w:rsid w:val="00F14C6D"/>
    <w:rPr>
      <w:rFonts w:ascii="Cambria" w:hAnsi="Cambria"/>
      <w:i/>
      <w:iCs/>
      <w:color w:val="404040"/>
      <w:sz w:val="24"/>
      <w:szCs w:val="24"/>
      <w:lang w:val="en-AU" w:eastAsia="en-AU" w:bidi="ar-SA"/>
    </w:rPr>
  </w:style>
  <w:style w:type="character" w:customStyle="1" w:styleId="Heading8Char">
    <w:name w:val="Heading 8 Char"/>
    <w:basedOn w:val="DefaultParagraphFont"/>
    <w:link w:val="Heading8"/>
    <w:semiHidden/>
    <w:rsid w:val="00F14C6D"/>
    <w:rPr>
      <w:rFonts w:ascii="Cambria" w:hAnsi="Cambria"/>
      <w:color w:val="404040"/>
      <w:lang w:val="en-AU" w:eastAsia="en-AU" w:bidi="ar-SA"/>
    </w:rPr>
  </w:style>
  <w:style w:type="character" w:customStyle="1" w:styleId="Heading9Char">
    <w:name w:val="Heading 9 Char"/>
    <w:basedOn w:val="DefaultParagraphFont"/>
    <w:link w:val="Heading9"/>
    <w:semiHidden/>
    <w:rsid w:val="00F14C6D"/>
    <w:rPr>
      <w:rFonts w:ascii="Cambria" w:hAnsi="Cambria"/>
      <w:i/>
      <w:iCs/>
      <w:color w:val="404040"/>
      <w:lang w:val="en-AU" w:eastAsia="en-AU" w:bidi="ar-SA"/>
    </w:rPr>
  </w:style>
  <w:style w:type="paragraph" w:styleId="Header">
    <w:name w:val="header"/>
    <w:basedOn w:val="Normal"/>
    <w:link w:val="HeaderChar"/>
    <w:uiPriority w:val="99"/>
    <w:rsid w:val="00E75D90"/>
    <w:pPr>
      <w:tabs>
        <w:tab w:val="center" w:pos="4513"/>
        <w:tab w:val="right" w:pos="9026"/>
      </w:tabs>
      <w:spacing w:before="0" w:after="0"/>
      <w:jc w:val="right"/>
    </w:pPr>
    <w:rPr>
      <w:sz w:val="22"/>
    </w:rPr>
  </w:style>
  <w:style w:type="character" w:customStyle="1" w:styleId="HeaderChar">
    <w:name w:val="Header Char"/>
    <w:basedOn w:val="DefaultParagraphFont"/>
    <w:link w:val="Header"/>
    <w:uiPriority w:val="99"/>
    <w:rsid w:val="00E75D90"/>
    <w:rPr>
      <w:rFonts w:ascii="Arial" w:hAnsi="Arial"/>
      <w:sz w:val="22"/>
      <w:szCs w:val="24"/>
    </w:rPr>
  </w:style>
  <w:style w:type="paragraph" w:styleId="Footer">
    <w:name w:val="footer"/>
    <w:basedOn w:val="Normal"/>
    <w:link w:val="FooterChar"/>
    <w:uiPriority w:val="99"/>
    <w:rsid w:val="00E75D90"/>
    <w:pPr>
      <w:tabs>
        <w:tab w:val="center" w:pos="4513"/>
        <w:tab w:val="right" w:pos="9026"/>
      </w:tabs>
      <w:spacing w:after="0"/>
      <w:jc w:val="right"/>
    </w:pPr>
    <w:rPr>
      <w:sz w:val="22"/>
    </w:rPr>
  </w:style>
  <w:style w:type="character" w:customStyle="1" w:styleId="FooterChar">
    <w:name w:val="Footer Char"/>
    <w:basedOn w:val="DefaultParagraphFont"/>
    <w:link w:val="Footer"/>
    <w:uiPriority w:val="99"/>
    <w:rsid w:val="00E75D90"/>
    <w:rPr>
      <w:rFonts w:ascii="Arial" w:hAnsi="Arial"/>
      <w:sz w:val="22"/>
      <w:szCs w:val="24"/>
    </w:rPr>
  </w:style>
  <w:style w:type="paragraph" w:styleId="TOC3">
    <w:name w:val="toc 3"/>
    <w:basedOn w:val="Normal"/>
    <w:next w:val="Normal"/>
    <w:autoRedefine/>
    <w:uiPriority w:val="39"/>
    <w:semiHidden/>
    <w:qFormat/>
    <w:locked/>
    <w:rsid w:val="002702D9"/>
    <w:pPr>
      <w:spacing w:before="0" w:after="0"/>
      <w:ind w:left="1202" w:hanging="720"/>
    </w:pPr>
    <w:rPr>
      <w:rFonts w:eastAsia="MS Mincho" w:cs="Arial"/>
      <w:i/>
      <w:noProof/>
    </w:rPr>
  </w:style>
  <w:style w:type="character" w:styleId="PlaceholderText">
    <w:name w:val="Placeholder Text"/>
    <w:basedOn w:val="DefaultParagraphFont"/>
    <w:uiPriority w:val="99"/>
    <w:semiHidden/>
    <w:locked/>
    <w:rsid w:val="005D1F34"/>
    <w:rPr>
      <w:color w:val="808080"/>
    </w:rPr>
  </w:style>
  <w:style w:type="paragraph" w:styleId="ListContinue4">
    <w:name w:val="List Continue 4"/>
    <w:basedOn w:val="Normal"/>
    <w:semiHidden/>
    <w:locked/>
    <w:rsid w:val="0090165F"/>
    <w:pPr>
      <w:spacing w:after="120"/>
      <w:ind w:left="1132"/>
    </w:pPr>
  </w:style>
  <w:style w:type="numbering" w:styleId="111111">
    <w:name w:val="Outline List 2"/>
    <w:basedOn w:val="NoList"/>
    <w:semiHidden/>
    <w:locked/>
    <w:rsid w:val="00E45954"/>
    <w:pPr>
      <w:numPr>
        <w:numId w:val="11"/>
      </w:numPr>
    </w:pPr>
  </w:style>
  <w:style w:type="paragraph" w:styleId="TOC1">
    <w:name w:val="toc 1"/>
    <w:basedOn w:val="Normal"/>
    <w:next w:val="Normal"/>
    <w:autoRedefine/>
    <w:uiPriority w:val="39"/>
    <w:qFormat/>
    <w:locked/>
    <w:rsid w:val="00222031"/>
    <w:pPr>
      <w:tabs>
        <w:tab w:val="right" w:leader="dot" w:pos="9060"/>
      </w:tabs>
      <w:spacing w:after="0"/>
    </w:pPr>
    <w:rPr>
      <w:b/>
    </w:rPr>
  </w:style>
  <w:style w:type="paragraph" w:styleId="TOC2">
    <w:name w:val="toc 2"/>
    <w:basedOn w:val="Normal"/>
    <w:next w:val="Normal"/>
    <w:autoRedefine/>
    <w:uiPriority w:val="39"/>
    <w:qFormat/>
    <w:locked/>
    <w:rsid w:val="00902E81"/>
    <w:pPr>
      <w:tabs>
        <w:tab w:val="right" w:leader="dot" w:pos="9072"/>
      </w:tabs>
      <w:spacing w:before="0" w:after="0"/>
    </w:pPr>
    <w:rPr>
      <w:b/>
      <w:sz w:val="28"/>
      <w:lang w:val="en-US"/>
    </w:rPr>
  </w:style>
  <w:style w:type="paragraph" w:styleId="TOC4">
    <w:name w:val="toc 4"/>
    <w:basedOn w:val="Normal"/>
    <w:next w:val="Normal"/>
    <w:autoRedefine/>
    <w:uiPriority w:val="39"/>
    <w:semiHidden/>
    <w:locked/>
    <w:rsid w:val="008A2AF7"/>
    <w:pPr>
      <w:tabs>
        <w:tab w:val="left" w:pos="1440"/>
        <w:tab w:val="right" w:leader="dot" w:pos="9060"/>
      </w:tabs>
      <w:spacing w:before="0" w:after="0"/>
      <w:ind w:left="1440" w:hanging="720"/>
    </w:pPr>
    <w:rPr>
      <w:noProof/>
    </w:rPr>
  </w:style>
  <w:style w:type="character" w:styleId="Hyperlink">
    <w:name w:val="Hyperlink"/>
    <w:basedOn w:val="DefaultParagraphFont"/>
    <w:uiPriority w:val="99"/>
    <w:unhideWhenUsed/>
    <w:locked/>
    <w:rsid w:val="0024557E"/>
    <w:rPr>
      <w:color w:val="0000FF"/>
      <w:u w:val="single"/>
    </w:rPr>
  </w:style>
  <w:style w:type="paragraph" w:styleId="TOCHeading">
    <w:name w:val="TOC Heading"/>
    <w:basedOn w:val="Normal"/>
    <w:next w:val="Normal"/>
    <w:uiPriority w:val="39"/>
    <w:qFormat/>
    <w:locked/>
    <w:rsid w:val="00725D5E"/>
    <w:pPr>
      <w:spacing w:before="0"/>
    </w:pPr>
    <w:rPr>
      <w:b/>
      <w:sz w:val="28"/>
      <w:lang w:val="en-US" w:eastAsia="en-US"/>
    </w:rPr>
  </w:style>
  <w:style w:type="paragraph" w:styleId="EndnoteText">
    <w:name w:val="endnote text"/>
    <w:basedOn w:val="Normal"/>
    <w:link w:val="EndnoteTextChar"/>
    <w:qFormat/>
    <w:rsid w:val="00706FAB"/>
    <w:pPr>
      <w:spacing w:before="0" w:after="0"/>
    </w:pPr>
    <w:rPr>
      <w:sz w:val="20"/>
      <w:szCs w:val="20"/>
    </w:rPr>
  </w:style>
  <w:style w:type="character" w:customStyle="1" w:styleId="EndnoteTextChar">
    <w:name w:val="Endnote Text Char"/>
    <w:basedOn w:val="DefaultParagraphFont"/>
    <w:link w:val="EndnoteText"/>
    <w:rsid w:val="00706FAB"/>
    <w:rPr>
      <w:rFonts w:ascii="Arial" w:hAnsi="Arial"/>
      <w:lang w:val="en-AU" w:eastAsia="en-AU" w:bidi="ar-SA"/>
    </w:rPr>
  </w:style>
  <w:style w:type="character" w:styleId="EndnoteReference">
    <w:name w:val="endnote reference"/>
    <w:basedOn w:val="DefaultParagraphFont"/>
    <w:uiPriority w:val="99"/>
    <w:rsid w:val="00074CD6"/>
    <w:rPr>
      <w:rFonts w:ascii="Arial" w:hAnsi="Arial"/>
      <w:sz w:val="20"/>
      <w:vertAlign w:val="superscript"/>
    </w:rPr>
  </w:style>
  <w:style w:type="numbering" w:styleId="1ai">
    <w:name w:val="Outline List 1"/>
    <w:basedOn w:val="NoList"/>
    <w:semiHidden/>
    <w:locked/>
    <w:rsid w:val="00E45954"/>
    <w:pPr>
      <w:numPr>
        <w:numId w:val="12"/>
      </w:numPr>
    </w:pPr>
  </w:style>
  <w:style w:type="numbering" w:styleId="ArticleSection">
    <w:name w:val="Outline List 3"/>
    <w:basedOn w:val="NoList"/>
    <w:semiHidden/>
    <w:locked/>
    <w:rsid w:val="00E45954"/>
    <w:pPr>
      <w:numPr>
        <w:numId w:val="13"/>
      </w:numPr>
    </w:pPr>
  </w:style>
  <w:style w:type="paragraph" w:styleId="BlockText">
    <w:name w:val="Block Text"/>
    <w:basedOn w:val="Normal"/>
    <w:semiHidden/>
    <w:locked/>
    <w:rsid w:val="00E45954"/>
    <w:pPr>
      <w:spacing w:after="120"/>
      <w:ind w:left="1440" w:right="1440"/>
    </w:pPr>
  </w:style>
  <w:style w:type="paragraph" w:styleId="BodyText">
    <w:name w:val="Body Text"/>
    <w:basedOn w:val="Normal"/>
    <w:semiHidden/>
    <w:locked/>
    <w:rsid w:val="00E45954"/>
    <w:pPr>
      <w:spacing w:after="120"/>
    </w:pPr>
  </w:style>
  <w:style w:type="paragraph" w:styleId="BodyText2">
    <w:name w:val="Body Text 2"/>
    <w:basedOn w:val="Normal"/>
    <w:semiHidden/>
    <w:locked/>
    <w:rsid w:val="00E45954"/>
    <w:pPr>
      <w:spacing w:after="120" w:line="480" w:lineRule="auto"/>
    </w:pPr>
  </w:style>
  <w:style w:type="paragraph" w:styleId="BodyText3">
    <w:name w:val="Body Text 3"/>
    <w:basedOn w:val="Normal"/>
    <w:semiHidden/>
    <w:locked/>
    <w:rsid w:val="00E45954"/>
    <w:pPr>
      <w:spacing w:after="120"/>
    </w:pPr>
    <w:rPr>
      <w:sz w:val="16"/>
      <w:szCs w:val="16"/>
    </w:rPr>
  </w:style>
  <w:style w:type="paragraph" w:styleId="BodyTextFirstIndent">
    <w:name w:val="Body Text First Indent"/>
    <w:basedOn w:val="BodyText"/>
    <w:semiHidden/>
    <w:locked/>
    <w:rsid w:val="00E45954"/>
    <w:pPr>
      <w:ind w:firstLine="210"/>
    </w:pPr>
  </w:style>
  <w:style w:type="paragraph" w:styleId="BodyTextIndent">
    <w:name w:val="Body Text Indent"/>
    <w:basedOn w:val="Normal"/>
    <w:semiHidden/>
    <w:locked/>
    <w:rsid w:val="00E45954"/>
    <w:pPr>
      <w:spacing w:after="120"/>
      <w:ind w:left="283"/>
    </w:pPr>
  </w:style>
  <w:style w:type="paragraph" w:styleId="BodyTextFirstIndent2">
    <w:name w:val="Body Text First Indent 2"/>
    <w:basedOn w:val="BodyTextIndent"/>
    <w:semiHidden/>
    <w:locked/>
    <w:rsid w:val="00E45954"/>
    <w:pPr>
      <w:ind w:firstLine="210"/>
    </w:pPr>
  </w:style>
  <w:style w:type="paragraph" w:styleId="BodyTextIndent2">
    <w:name w:val="Body Text Indent 2"/>
    <w:basedOn w:val="Normal"/>
    <w:semiHidden/>
    <w:locked/>
    <w:rsid w:val="00E45954"/>
    <w:pPr>
      <w:spacing w:after="120" w:line="480" w:lineRule="auto"/>
      <w:ind w:left="283"/>
    </w:pPr>
  </w:style>
  <w:style w:type="paragraph" w:styleId="BodyTextIndent3">
    <w:name w:val="Body Text Indent 3"/>
    <w:basedOn w:val="Normal"/>
    <w:semiHidden/>
    <w:locked/>
    <w:rsid w:val="00E45954"/>
    <w:pPr>
      <w:spacing w:after="120"/>
      <w:ind w:left="283"/>
    </w:pPr>
    <w:rPr>
      <w:sz w:val="16"/>
      <w:szCs w:val="16"/>
    </w:rPr>
  </w:style>
  <w:style w:type="paragraph" w:styleId="Closing">
    <w:name w:val="Closing"/>
    <w:basedOn w:val="Normal"/>
    <w:semiHidden/>
    <w:locked/>
    <w:rsid w:val="00E45954"/>
    <w:pPr>
      <w:ind w:left="4252"/>
    </w:pPr>
  </w:style>
  <w:style w:type="paragraph" w:styleId="Date">
    <w:name w:val="Date"/>
    <w:basedOn w:val="Normal"/>
    <w:next w:val="Normal"/>
    <w:semiHidden/>
    <w:locked/>
    <w:rsid w:val="00E45954"/>
  </w:style>
  <w:style w:type="paragraph" w:styleId="E-mailSignature">
    <w:name w:val="E-mail Signature"/>
    <w:basedOn w:val="Normal"/>
    <w:semiHidden/>
    <w:locked/>
    <w:rsid w:val="00E45954"/>
  </w:style>
  <w:style w:type="character" w:styleId="Emphasis">
    <w:name w:val="Emphasis"/>
    <w:basedOn w:val="DefaultParagraphFont"/>
    <w:qFormat/>
    <w:locked/>
    <w:rsid w:val="00E45954"/>
    <w:rPr>
      <w:i/>
      <w:iCs/>
    </w:rPr>
  </w:style>
  <w:style w:type="paragraph" w:styleId="EnvelopeAddress">
    <w:name w:val="envelope address"/>
    <w:basedOn w:val="Normal"/>
    <w:semiHidden/>
    <w:locked/>
    <w:rsid w:val="001C139C"/>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locked/>
    <w:rsid w:val="00E45954"/>
    <w:rPr>
      <w:rFonts w:cs="Arial"/>
      <w:sz w:val="20"/>
      <w:szCs w:val="20"/>
    </w:rPr>
  </w:style>
  <w:style w:type="character" w:styleId="FootnoteReference">
    <w:name w:val="footnote reference"/>
    <w:basedOn w:val="DefaultParagraphFont"/>
    <w:semiHidden/>
    <w:rsid w:val="00074CD6"/>
    <w:rPr>
      <w:rFonts w:ascii="Arial" w:hAnsi="Arial"/>
      <w:sz w:val="20"/>
      <w:vertAlign w:val="superscript"/>
    </w:rPr>
  </w:style>
  <w:style w:type="paragraph" w:styleId="FootnoteText">
    <w:name w:val="footnote text"/>
    <w:basedOn w:val="Normal"/>
    <w:link w:val="FootnoteTextChar"/>
    <w:semiHidden/>
    <w:rsid w:val="00706FAB"/>
    <w:pPr>
      <w:spacing w:before="0" w:after="0"/>
    </w:pPr>
    <w:rPr>
      <w:sz w:val="20"/>
      <w:szCs w:val="20"/>
    </w:rPr>
  </w:style>
  <w:style w:type="character" w:styleId="HTMLAcronym">
    <w:name w:val="HTML Acronym"/>
    <w:basedOn w:val="DefaultParagraphFont"/>
    <w:semiHidden/>
    <w:locked/>
    <w:rsid w:val="00E45954"/>
  </w:style>
  <w:style w:type="paragraph" w:styleId="HTMLAddress">
    <w:name w:val="HTML Address"/>
    <w:basedOn w:val="Normal"/>
    <w:semiHidden/>
    <w:locked/>
    <w:rsid w:val="00E45954"/>
    <w:rPr>
      <w:i/>
      <w:iCs/>
    </w:rPr>
  </w:style>
  <w:style w:type="character" w:styleId="HTMLCite">
    <w:name w:val="HTML Cite"/>
    <w:basedOn w:val="DefaultParagraphFont"/>
    <w:semiHidden/>
    <w:locked/>
    <w:rsid w:val="00E45954"/>
    <w:rPr>
      <w:i/>
      <w:iCs/>
    </w:rPr>
  </w:style>
  <w:style w:type="character" w:styleId="HTMLCode">
    <w:name w:val="HTML Code"/>
    <w:basedOn w:val="DefaultParagraphFont"/>
    <w:semiHidden/>
    <w:locked/>
    <w:rsid w:val="00E45954"/>
    <w:rPr>
      <w:rFonts w:ascii="Courier New" w:hAnsi="Courier New" w:cs="Courier New"/>
      <w:sz w:val="20"/>
      <w:szCs w:val="20"/>
    </w:rPr>
  </w:style>
  <w:style w:type="character" w:styleId="HTMLDefinition">
    <w:name w:val="HTML Definition"/>
    <w:basedOn w:val="DefaultParagraphFont"/>
    <w:semiHidden/>
    <w:locked/>
    <w:rsid w:val="00E45954"/>
    <w:rPr>
      <w:i/>
      <w:iCs/>
    </w:rPr>
  </w:style>
  <w:style w:type="character" w:styleId="HTMLKeyboard">
    <w:name w:val="HTML Keyboard"/>
    <w:basedOn w:val="DefaultParagraphFont"/>
    <w:semiHidden/>
    <w:locked/>
    <w:rsid w:val="00E45954"/>
    <w:rPr>
      <w:rFonts w:ascii="Courier New" w:hAnsi="Courier New" w:cs="Courier New"/>
      <w:sz w:val="20"/>
      <w:szCs w:val="20"/>
    </w:rPr>
  </w:style>
  <w:style w:type="paragraph" w:styleId="HTMLPreformatted">
    <w:name w:val="HTML Preformatted"/>
    <w:basedOn w:val="Normal"/>
    <w:semiHidden/>
    <w:locked/>
    <w:rsid w:val="00E45954"/>
    <w:rPr>
      <w:rFonts w:ascii="Courier New" w:hAnsi="Courier New" w:cs="Courier New"/>
      <w:sz w:val="20"/>
      <w:szCs w:val="20"/>
    </w:rPr>
  </w:style>
  <w:style w:type="character" w:styleId="HTMLSample">
    <w:name w:val="HTML Sample"/>
    <w:basedOn w:val="DefaultParagraphFont"/>
    <w:semiHidden/>
    <w:locked/>
    <w:rsid w:val="00E45954"/>
    <w:rPr>
      <w:rFonts w:ascii="Courier New" w:hAnsi="Courier New" w:cs="Courier New"/>
    </w:rPr>
  </w:style>
  <w:style w:type="character" w:styleId="HTMLTypewriter">
    <w:name w:val="HTML Typewriter"/>
    <w:basedOn w:val="DefaultParagraphFont"/>
    <w:semiHidden/>
    <w:locked/>
    <w:rsid w:val="00E45954"/>
    <w:rPr>
      <w:rFonts w:ascii="Courier New" w:hAnsi="Courier New" w:cs="Courier New"/>
      <w:sz w:val="20"/>
      <w:szCs w:val="20"/>
    </w:rPr>
  </w:style>
  <w:style w:type="character" w:styleId="HTMLVariable">
    <w:name w:val="HTML Variable"/>
    <w:basedOn w:val="DefaultParagraphFont"/>
    <w:semiHidden/>
    <w:locked/>
    <w:rsid w:val="00E45954"/>
    <w:rPr>
      <w:i/>
      <w:iCs/>
    </w:rPr>
  </w:style>
  <w:style w:type="character" w:styleId="LineNumber">
    <w:name w:val="line number"/>
    <w:basedOn w:val="DefaultParagraphFont"/>
    <w:semiHidden/>
    <w:locked/>
    <w:rsid w:val="00E45954"/>
  </w:style>
  <w:style w:type="paragraph" w:styleId="List">
    <w:name w:val="List"/>
    <w:basedOn w:val="Normal"/>
    <w:semiHidden/>
    <w:locked/>
    <w:rsid w:val="00E45954"/>
    <w:pPr>
      <w:ind w:left="283" w:hanging="283"/>
    </w:pPr>
  </w:style>
  <w:style w:type="paragraph" w:styleId="List2">
    <w:name w:val="List 2"/>
    <w:basedOn w:val="Normal"/>
    <w:semiHidden/>
    <w:locked/>
    <w:rsid w:val="00E45954"/>
    <w:pPr>
      <w:ind w:left="566" w:hanging="283"/>
    </w:pPr>
  </w:style>
  <w:style w:type="paragraph" w:styleId="List3">
    <w:name w:val="List 3"/>
    <w:basedOn w:val="Normal"/>
    <w:semiHidden/>
    <w:locked/>
    <w:rsid w:val="00E45954"/>
    <w:pPr>
      <w:ind w:left="849" w:hanging="283"/>
    </w:pPr>
  </w:style>
  <w:style w:type="paragraph" w:styleId="List4">
    <w:name w:val="List 4"/>
    <w:basedOn w:val="Normal"/>
    <w:semiHidden/>
    <w:locked/>
    <w:rsid w:val="00E45954"/>
    <w:pPr>
      <w:ind w:left="1132" w:hanging="283"/>
    </w:pPr>
  </w:style>
  <w:style w:type="paragraph" w:styleId="List5">
    <w:name w:val="List 5"/>
    <w:basedOn w:val="Normal"/>
    <w:semiHidden/>
    <w:locked/>
    <w:rsid w:val="00E45954"/>
    <w:pPr>
      <w:ind w:left="1415" w:hanging="283"/>
    </w:pPr>
  </w:style>
  <w:style w:type="numbering" w:customStyle="1" w:styleId="StyleNumbered">
    <w:name w:val="Style Numbered"/>
    <w:basedOn w:val="NoList"/>
    <w:semiHidden/>
    <w:rsid w:val="00074CD6"/>
    <w:pPr>
      <w:numPr>
        <w:numId w:val="14"/>
      </w:numPr>
    </w:pPr>
  </w:style>
  <w:style w:type="paragraph" w:styleId="ListBullet2">
    <w:name w:val="List Bullet 2"/>
    <w:basedOn w:val="Normal"/>
    <w:semiHidden/>
    <w:locked/>
    <w:rsid w:val="00E45954"/>
    <w:pPr>
      <w:numPr>
        <w:numId w:val="2"/>
      </w:numPr>
    </w:pPr>
  </w:style>
  <w:style w:type="paragraph" w:styleId="ListBullet3">
    <w:name w:val="List Bullet 3"/>
    <w:basedOn w:val="Normal"/>
    <w:semiHidden/>
    <w:locked/>
    <w:rsid w:val="00E45954"/>
    <w:pPr>
      <w:numPr>
        <w:numId w:val="3"/>
      </w:numPr>
    </w:pPr>
  </w:style>
  <w:style w:type="paragraph" w:styleId="ListBullet4">
    <w:name w:val="List Bullet 4"/>
    <w:basedOn w:val="Normal"/>
    <w:semiHidden/>
    <w:locked/>
    <w:rsid w:val="00E45954"/>
    <w:pPr>
      <w:numPr>
        <w:numId w:val="4"/>
      </w:numPr>
    </w:pPr>
  </w:style>
  <w:style w:type="paragraph" w:styleId="ListBullet5">
    <w:name w:val="List Bullet 5"/>
    <w:basedOn w:val="Normal"/>
    <w:semiHidden/>
    <w:locked/>
    <w:rsid w:val="00E45954"/>
    <w:pPr>
      <w:numPr>
        <w:numId w:val="5"/>
      </w:numPr>
    </w:pPr>
  </w:style>
  <w:style w:type="paragraph" w:styleId="ListContinue">
    <w:name w:val="List Continue"/>
    <w:basedOn w:val="Normal"/>
    <w:semiHidden/>
    <w:locked/>
    <w:rsid w:val="00E45954"/>
    <w:pPr>
      <w:spacing w:after="120"/>
      <w:ind w:left="283"/>
    </w:pPr>
  </w:style>
  <w:style w:type="paragraph" w:styleId="ListContinue2">
    <w:name w:val="List Continue 2"/>
    <w:basedOn w:val="Normal"/>
    <w:semiHidden/>
    <w:locked/>
    <w:rsid w:val="00E45954"/>
    <w:pPr>
      <w:spacing w:after="120"/>
      <w:ind w:left="566"/>
    </w:pPr>
  </w:style>
  <w:style w:type="paragraph" w:styleId="ListContinue3">
    <w:name w:val="List Continue 3"/>
    <w:basedOn w:val="Normal"/>
    <w:semiHidden/>
    <w:locked/>
    <w:rsid w:val="00E45954"/>
    <w:pPr>
      <w:spacing w:after="120"/>
      <w:ind w:left="849"/>
    </w:pPr>
  </w:style>
  <w:style w:type="paragraph" w:styleId="ListContinue5">
    <w:name w:val="List Continue 5"/>
    <w:basedOn w:val="Normal"/>
    <w:semiHidden/>
    <w:locked/>
    <w:rsid w:val="00E45954"/>
    <w:pPr>
      <w:spacing w:after="120"/>
      <w:ind w:left="1415"/>
    </w:pPr>
  </w:style>
  <w:style w:type="paragraph" w:styleId="ListNumber">
    <w:name w:val="List Number"/>
    <w:basedOn w:val="Normal"/>
    <w:semiHidden/>
    <w:locked/>
    <w:rsid w:val="00E45954"/>
    <w:pPr>
      <w:numPr>
        <w:numId w:val="6"/>
      </w:numPr>
    </w:pPr>
  </w:style>
  <w:style w:type="paragraph" w:styleId="ListNumber2">
    <w:name w:val="List Number 2"/>
    <w:basedOn w:val="Normal"/>
    <w:semiHidden/>
    <w:locked/>
    <w:rsid w:val="00E45954"/>
    <w:pPr>
      <w:numPr>
        <w:numId w:val="9"/>
      </w:numPr>
    </w:pPr>
  </w:style>
  <w:style w:type="paragraph" w:styleId="ListNumber3">
    <w:name w:val="List Number 3"/>
    <w:basedOn w:val="Normal"/>
    <w:semiHidden/>
    <w:locked/>
    <w:rsid w:val="00E45954"/>
    <w:pPr>
      <w:numPr>
        <w:numId w:val="10"/>
      </w:numPr>
    </w:pPr>
  </w:style>
  <w:style w:type="paragraph" w:styleId="ListNumber4">
    <w:name w:val="List Number 4"/>
    <w:basedOn w:val="Normal"/>
    <w:semiHidden/>
    <w:locked/>
    <w:rsid w:val="00E45954"/>
    <w:pPr>
      <w:numPr>
        <w:numId w:val="7"/>
      </w:numPr>
    </w:pPr>
  </w:style>
  <w:style w:type="paragraph" w:styleId="ListNumber5">
    <w:name w:val="List Number 5"/>
    <w:basedOn w:val="Normal"/>
    <w:semiHidden/>
    <w:locked/>
    <w:rsid w:val="00E45954"/>
    <w:pPr>
      <w:numPr>
        <w:numId w:val="8"/>
      </w:numPr>
    </w:pPr>
  </w:style>
  <w:style w:type="paragraph" w:styleId="MessageHeader">
    <w:name w:val="Message Header"/>
    <w:basedOn w:val="Normal"/>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locked/>
    <w:rsid w:val="00E45954"/>
    <w:rPr>
      <w:rFonts w:ascii="Times New Roman" w:hAnsi="Times New Roman"/>
    </w:rPr>
  </w:style>
  <w:style w:type="paragraph" w:styleId="NormalIndent">
    <w:name w:val="Normal Indent"/>
    <w:basedOn w:val="Normal"/>
    <w:semiHidden/>
    <w:locked/>
    <w:rsid w:val="00E45954"/>
    <w:pPr>
      <w:ind w:left="720"/>
    </w:pPr>
  </w:style>
  <w:style w:type="paragraph" w:styleId="NoteHeading">
    <w:name w:val="Note Heading"/>
    <w:basedOn w:val="Normal"/>
    <w:next w:val="Normal"/>
    <w:semiHidden/>
    <w:locked/>
    <w:rsid w:val="00E45954"/>
  </w:style>
  <w:style w:type="character" w:styleId="PageNumber">
    <w:name w:val="page number"/>
    <w:basedOn w:val="DefaultParagraphFont"/>
    <w:semiHidden/>
    <w:locked/>
    <w:rsid w:val="00E45954"/>
  </w:style>
  <w:style w:type="paragraph" w:styleId="PlainText">
    <w:name w:val="Plain Text"/>
    <w:basedOn w:val="Normal"/>
    <w:link w:val="PlainTextChar"/>
    <w:uiPriority w:val="99"/>
    <w:semiHidden/>
    <w:locked/>
    <w:rsid w:val="00E45954"/>
    <w:rPr>
      <w:rFonts w:ascii="Courier New" w:hAnsi="Courier New" w:cs="Courier New"/>
      <w:sz w:val="20"/>
      <w:szCs w:val="20"/>
    </w:rPr>
  </w:style>
  <w:style w:type="paragraph" w:styleId="Salutation">
    <w:name w:val="Salutation"/>
    <w:basedOn w:val="Normal"/>
    <w:next w:val="Normal"/>
    <w:semiHidden/>
    <w:locked/>
    <w:rsid w:val="00E45954"/>
  </w:style>
  <w:style w:type="paragraph" w:styleId="Signature">
    <w:name w:val="Signature"/>
    <w:basedOn w:val="Normal"/>
    <w:semiHidden/>
    <w:locked/>
    <w:rsid w:val="00E45954"/>
    <w:pPr>
      <w:ind w:left="4252"/>
    </w:pPr>
  </w:style>
  <w:style w:type="paragraph" w:styleId="Subtitle">
    <w:name w:val="Subtitle"/>
    <w:basedOn w:val="Normal"/>
    <w:qFormat/>
    <w:locked/>
    <w:rsid w:val="00E45954"/>
    <w:pPr>
      <w:spacing w:after="60"/>
      <w:jc w:val="center"/>
      <w:outlineLvl w:val="1"/>
    </w:pPr>
    <w:rPr>
      <w:rFonts w:cs="Arial"/>
    </w:rPr>
  </w:style>
  <w:style w:type="table" w:styleId="Table3Deffects1">
    <w:name w:val="Table 3D effects 1"/>
    <w:basedOn w:val="TableNormal"/>
    <w:semiHidden/>
    <w:locked/>
    <w:rsid w:val="00E45954"/>
    <w:pPr>
      <w:spacing w:after="24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rsid w:val="00E45954"/>
    <w:pPr>
      <w:spacing w:after="24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locked/>
    <w:rsid w:val="00E45954"/>
    <w:pPr>
      <w:spacing w:after="60"/>
      <w:jc w:val="center"/>
      <w:outlineLvl w:val="0"/>
    </w:pPr>
    <w:rPr>
      <w:rFonts w:cs="Arial"/>
      <w:b/>
      <w:bCs/>
      <w:kern w:val="28"/>
      <w:sz w:val="32"/>
      <w:szCs w:val="32"/>
    </w:rPr>
  </w:style>
  <w:style w:type="character" w:styleId="FollowedHyperlink">
    <w:name w:val="FollowedHyperlink"/>
    <w:basedOn w:val="DefaultParagraphFont"/>
    <w:semiHidden/>
    <w:locked/>
    <w:rsid w:val="00E45954"/>
    <w:rPr>
      <w:color w:val="800080"/>
      <w:u w:val="single"/>
    </w:rPr>
  </w:style>
  <w:style w:type="paragraph" w:styleId="ListBullet">
    <w:name w:val="List Bullet"/>
    <w:basedOn w:val="Normal"/>
    <w:semiHidden/>
    <w:locked/>
    <w:rsid w:val="00950E88"/>
    <w:pPr>
      <w:numPr>
        <w:numId w:val="1"/>
      </w:numPr>
    </w:pPr>
  </w:style>
  <w:style w:type="paragraph" w:customStyle="1" w:styleId="Contactdetails">
    <w:name w:val="Contact details"/>
    <w:basedOn w:val="Normal"/>
    <w:semiHidden/>
    <w:rsid w:val="002702D9"/>
    <w:pPr>
      <w:keepNext/>
      <w:keepLines/>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10" w:lineRule="exact"/>
    </w:pPr>
    <w:rPr>
      <w:rFonts w:ascii="ArialMT" w:hAnsi="ArialMT" w:cs="ArialMT"/>
      <w:sz w:val="20"/>
      <w:lang w:val="en-US" w:bidi="en-US"/>
    </w:rPr>
  </w:style>
  <w:style w:type="character" w:customStyle="1" w:styleId="CharChar9">
    <w:name w:val="Char Char9"/>
    <w:basedOn w:val="DefaultParagraphFont"/>
    <w:semiHidden/>
    <w:locked/>
    <w:rsid w:val="001C451B"/>
    <w:rPr>
      <w:rFonts w:ascii="Arial" w:hAnsi="Arial"/>
      <w:bCs/>
      <w:i/>
      <w:sz w:val="24"/>
      <w:szCs w:val="26"/>
      <w:lang w:val="en-AU" w:eastAsia="en-AU" w:bidi="ar-SA"/>
    </w:rPr>
  </w:style>
  <w:style w:type="character" w:customStyle="1" w:styleId="CharChar8">
    <w:name w:val="Char Char8"/>
    <w:basedOn w:val="DefaultParagraphFont"/>
    <w:semiHidden/>
    <w:locked/>
    <w:rsid w:val="001C451B"/>
    <w:rPr>
      <w:rFonts w:ascii="Arial" w:hAnsi="Arial"/>
      <w:iCs/>
      <w:sz w:val="24"/>
      <w:szCs w:val="26"/>
      <w:lang w:val="en-AU" w:eastAsia="en-AU" w:bidi="ar-SA"/>
    </w:rPr>
  </w:style>
  <w:style w:type="character" w:customStyle="1" w:styleId="CharChar">
    <w:name w:val="Char Char"/>
    <w:basedOn w:val="DefaultParagraphFont"/>
    <w:semiHidden/>
    <w:locked/>
    <w:rsid w:val="001C451B"/>
    <w:rPr>
      <w:rFonts w:ascii="Arial" w:hAnsi="Arial" w:cs="Arial"/>
      <w:lang w:val="en-AU" w:eastAsia="en-AU" w:bidi="ar-SA"/>
    </w:rPr>
  </w:style>
  <w:style w:type="character" w:customStyle="1" w:styleId="FootnoteTextChar">
    <w:name w:val="Footnote Text Char"/>
    <w:basedOn w:val="DefaultParagraphFont"/>
    <w:link w:val="FootnoteText"/>
    <w:semiHidden/>
    <w:locked/>
    <w:rsid w:val="00706FAB"/>
    <w:rPr>
      <w:rFonts w:ascii="Arial" w:hAnsi="Arial"/>
      <w:lang w:val="en-AU" w:eastAsia="en-AU" w:bidi="ar-SA"/>
    </w:rPr>
  </w:style>
  <w:style w:type="paragraph" w:styleId="BalloonText">
    <w:name w:val="Balloon Text"/>
    <w:basedOn w:val="Normal"/>
    <w:link w:val="BalloonTextChar"/>
    <w:locked/>
    <w:rsid w:val="000B40C8"/>
    <w:pPr>
      <w:spacing w:before="0" w:after="0"/>
    </w:pPr>
    <w:rPr>
      <w:rFonts w:ascii="Tahoma" w:hAnsi="Tahoma" w:cs="Tahoma"/>
      <w:sz w:val="16"/>
      <w:szCs w:val="16"/>
    </w:rPr>
  </w:style>
  <w:style w:type="character" w:customStyle="1" w:styleId="BalloonTextChar">
    <w:name w:val="Balloon Text Char"/>
    <w:basedOn w:val="DefaultParagraphFont"/>
    <w:link w:val="BalloonText"/>
    <w:rsid w:val="000B40C8"/>
    <w:rPr>
      <w:rFonts w:ascii="Tahoma" w:hAnsi="Tahoma" w:cs="Tahoma"/>
      <w:sz w:val="16"/>
      <w:szCs w:val="16"/>
    </w:rPr>
  </w:style>
  <w:style w:type="paragraph" w:styleId="ListParagraph">
    <w:name w:val="List Paragraph"/>
    <w:basedOn w:val="Normal"/>
    <w:link w:val="ListParagraphChar"/>
    <w:uiPriority w:val="34"/>
    <w:qFormat/>
    <w:rsid w:val="00916106"/>
    <w:pPr>
      <w:ind w:left="720"/>
      <w:contextualSpacing/>
    </w:pPr>
  </w:style>
  <w:style w:type="character" w:customStyle="1" w:styleId="ListParagraphChar">
    <w:name w:val="List Paragraph Char"/>
    <w:link w:val="ListParagraph"/>
    <w:uiPriority w:val="34"/>
    <w:rsid w:val="00916106"/>
    <w:rPr>
      <w:rFonts w:ascii="Arial" w:hAnsi="Arial"/>
      <w:sz w:val="24"/>
      <w:szCs w:val="24"/>
    </w:rPr>
  </w:style>
  <w:style w:type="character" w:styleId="CommentReference">
    <w:name w:val="annotation reference"/>
    <w:basedOn w:val="DefaultParagraphFont"/>
    <w:locked/>
    <w:rsid w:val="00CA77F1"/>
    <w:rPr>
      <w:sz w:val="16"/>
      <w:szCs w:val="16"/>
    </w:rPr>
  </w:style>
  <w:style w:type="paragraph" w:styleId="CommentText">
    <w:name w:val="annotation text"/>
    <w:basedOn w:val="Normal"/>
    <w:link w:val="CommentTextChar"/>
    <w:locked/>
    <w:rsid w:val="000C255D"/>
    <w:rPr>
      <w:sz w:val="20"/>
      <w:szCs w:val="20"/>
    </w:rPr>
  </w:style>
  <w:style w:type="character" w:customStyle="1" w:styleId="CommentTextChar">
    <w:name w:val="Comment Text Char"/>
    <w:basedOn w:val="DefaultParagraphFont"/>
    <w:link w:val="CommentText"/>
    <w:rsid w:val="000C255D"/>
    <w:rPr>
      <w:rFonts w:ascii="Arial" w:hAnsi="Arial"/>
    </w:rPr>
  </w:style>
  <w:style w:type="paragraph" w:styleId="CommentSubject">
    <w:name w:val="annotation subject"/>
    <w:basedOn w:val="CommentText"/>
    <w:next w:val="CommentText"/>
    <w:link w:val="CommentSubjectChar"/>
    <w:uiPriority w:val="99"/>
    <w:locked/>
    <w:rsid w:val="000C255D"/>
    <w:rPr>
      <w:b/>
      <w:bCs/>
    </w:rPr>
  </w:style>
  <w:style w:type="character" w:customStyle="1" w:styleId="CommentSubjectChar">
    <w:name w:val="Comment Subject Char"/>
    <w:basedOn w:val="CommentTextChar"/>
    <w:link w:val="CommentSubject"/>
    <w:uiPriority w:val="99"/>
    <w:rsid w:val="000C255D"/>
    <w:rPr>
      <w:rFonts w:ascii="Arial" w:hAnsi="Arial"/>
      <w:b/>
      <w:bCs/>
    </w:rPr>
  </w:style>
  <w:style w:type="paragraph" w:customStyle="1" w:styleId="Default">
    <w:name w:val="Default"/>
    <w:rsid w:val="001D4FE2"/>
    <w:pPr>
      <w:autoSpaceDE w:val="0"/>
      <w:autoSpaceDN w:val="0"/>
      <w:adjustRightInd w:val="0"/>
    </w:pPr>
    <w:rPr>
      <w:rFonts w:ascii="Arial" w:hAnsi="Arial" w:cs="Arial"/>
      <w:color w:val="000000"/>
      <w:sz w:val="24"/>
      <w:szCs w:val="24"/>
    </w:rPr>
  </w:style>
  <w:style w:type="paragraph" w:styleId="NoSpacing">
    <w:name w:val="No Spacing"/>
    <w:uiPriority w:val="1"/>
    <w:qFormat/>
    <w:rsid w:val="005B322B"/>
    <w:rPr>
      <w:rFonts w:ascii="Arial" w:hAnsi="Arial"/>
      <w:sz w:val="24"/>
      <w:szCs w:val="24"/>
    </w:rPr>
  </w:style>
  <w:style w:type="paragraph" w:styleId="Revision">
    <w:name w:val="Revision"/>
    <w:hidden/>
    <w:uiPriority w:val="99"/>
    <w:semiHidden/>
    <w:rsid w:val="002902B7"/>
    <w:rPr>
      <w:rFonts w:ascii="Arial" w:hAnsi="Arial"/>
      <w:sz w:val="24"/>
      <w:szCs w:val="24"/>
    </w:rPr>
  </w:style>
  <w:style w:type="character" w:customStyle="1" w:styleId="ParaChar">
    <w:name w:val="Para Char"/>
    <w:basedOn w:val="DefaultParagraphFont"/>
    <w:link w:val="Para"/>
    <w:uiPriority w:val="99"/>
    <w:rsid w:val="002902B7"/>
  </w:style>
  <w:style w:type="paragraph" w:customStyle="1" w:styleId="Para">
    <w:name w:val="Para"/>
    <w:basedOn w:val="Normal"/>
    <w:link w:val="ParaChar"/>
    <w:uiPriority w:val="99"/>
    <w:rsid w:val="002902B7"/>
    <w:pPr>
      <w:spacing w:before="0" w:after="0" w:line="340" w:lineRule="exact"/>
      <w:jc w:val="both"/>
    </w:pPr>
    <w:rPr>
      <w:rFonts w:ascii="Times New Roman" w:hAnsi="Times New Roman"/>
      <w:sz w:val="20"/>
      <w:szCs w:val="20"/>
    </w:rPr>
  </w:style>
  <w:style w:type="character" w:customStyle="1" w:styleId="contenttext1">
    <w:name w:val="contenttext1"/>
    <w:basedOn w:val="DefaultParagraphFont"/>
    <w:rsid w:val="00AE0863"/>
    <w:rPr>
      <w:rFonts w:ascii="Arial" w:hAnsi="Arial" w:cs="Arial" w:hint="default"/>
      <w:sz w:val="24"/>
      <w:szCs w:val="24"/>
    </w:rPr>
  </w:style>
  <w:style w:type="paragraph" w:customStyle="1" w:styleId="Pa56">
    <w:name w:val="Pa56"/>
    <w:basedOn w:val="Normal"/>
    <w:next w:val="Normal"/>
    <w:uiPriority w:val="99"/>
    <w:rsid w:val="00BD64FF"/>
    <w:pPr>
      <w:autoSpaceDE w:val="0"/>
      <w:autoSpaceDN w:val="0"/>
      <w:adjustRightInd w:val="0"/>
      <w:spacing w:before="0" w:after="0" w:line="141" w:lineRule="atLeast"/>
    </w:pPr>
    <w:rPr>
      <w:rFonts w:ascii="Museo Sans 300" w:hAnsi="Museo Sans 300"/>
    </w:rPr>
  </w:style>
  <w:style w:type="paragraph" w:customStyle="1" w:styleId="EXHIBITtextnobullets-small">
    <w:name w:val="EXHIBIT text no bullets - small"/>
    <w:basedOn w:val="Normal"/>
    <w:qFormat/>
    <w:rsid w:val="00216105"/>
    <w:pPr>
      <w:spacing w:before="60" w:after="0"/>
      <w:ind w:right="142"/>
    </w:pPr>
    <w:rPr>
      <w:rFonts w:ascii="TradeGothicLTStd" w:eastAsiaTheme="minorHAnsi" w:hAnsi="TradeGothicLTStd" w:cs="TradeGothicLTStd"/>
      <w:sz w:val="18"/>
      <w:szCs w:val="20"/>
      <w:lang w:eastAsia="en-US"/>
    </w:rPr>
  </w:style>
  <w:style w:type="paragraph" w:customStyle="1" w:styleId="StyleEXHIBITtextnobullets-smallBold">
    <w:name w:val="Style EXHIBIT text no bullets - small + Bold"/>
    <w:basedOn w:val="EXHIBITtextnobullets-small"/>
    <w:rsid w:val="00216105"/>
    <w:rPr>
      <w:b/>
      <w:bCs/>
    </w:rPr>
  </w:style>
  <w:style w:type="character" w:customStyle="1" w:styleId="PlainTextChar">
    <w:name w:val="Plain Text Char"/>
    <w:basedOn w:val="DefaultParagraphFont"/>
    <w:link w:val="PlainText"/>
    <w:uiPriority w:val="99"/>
    <w:semiHidden/>
    <w:rsid w:val="007C745C"/>
    <w:rPr>
      <w:rFonts w:ascii="Courier New" w:hAnsi="Courier New" w:cs="Courier New"/>
    </w:rPr>
  </w:style>
  <w:style w:type="paragraph" w:customStyle="1" w:styleId="MainTitle">
    <w:name w:val="Main Title"/>
    <w:semiHidden/>
    <w:qFormat/>
    <w:rsid w:val="00F74C62"/>
    <w:pPr>
      <w:spacing w:line="740" w:lineRule="exact"/>
      <w:contextualSpacing/>
      <w:jc w:val="right"/>
    </w:pPr>
    <w:rPr>
      <w:rFonts w:ascii="Arial" w:hAnsi="Arial"/>
      <w:bCs/>
      <w:color w:val="237BBC"/>
      <w:kern w:val="32"/>
      <w:sz w:val="56"/>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lsdException w:name="toc 5" w:locked="1"/>
    <w:lsdException w:name="toc 6" w:locked="1"/>
    <w:lsdException w:name="toc 7" w:locked="1"/>
    <w:lsdException w:name="toc 8" w:locked="1"/>
    <w:lsdException w:name="toc 9" w:locked="1"/>
    <w:lsdException w:name="Normal Indent" w:locked="1"/>
    <w:lsdException w:name="annotation text" w:locked="1"/>
    <w:lsdException w:name="header" w:uiPriority="99"/>
    <w:lsdException w:name="footer"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annotation reference" w:locked="1"/>
    <w:lsdException w:name="line number" w:locked="1"/>
    <w:lsdException w:name="page number" w:locked="1"/>
    <w:lsdException w:name="endnote reference" w:uiPriority="99"/>
    <w:lsdException w:name="endnote text" w:qFormat="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lsdException w:name="FollowedHyperlink" w:locked="1"/>
    <w:lsdException w:name="Strong" w:uiPriority="22" w:qFormat="1"/>
    <w:lsdException w:name="Emphasis" w:locked="1" w:qFormat="1"/>
    <w:lsdException w:name="Document Map" w:locked="1"/>
    <w:lsdException w:name="Plain Text" w:locked="1" w:uiPriority="99"/>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0B40C8"/>
    <w:pPr>
      <w:spacing w:before="240" w:after="240"/>
    </w:pPr>
    <w:rPr>
      <w:rFonts w:ascii="Arial" w:hAnsi="Arial"/>
      <w:sz w:val="24"/>
      <w:szCs w:val="24"/>
    </w:rPr>
  </w:style>
  <w:style w:type="paragraph" w:styleId="Heading1">
    <w:name w:val="heading 1"/>
    <w:basedOn w:val="Normal"/>
    <w:next w:val="Normal"/>
    <w:link w:val="Heading1Char"/>
    <w:qFormat/>
    <w:rsid w:val="00AC27AB"/>
    <w:pPr>
      <w:keepNext/>
      <w:keepLines/>
      <w:numPr>
        <w:numId w:val="15"/>
      </w:numPr>
      <w:spacing w:before="360"/>
      <w:outlineLvl w:val="0"/>
    </w:pPr>
    <w:rPr>
      <w:b/>
      <w:bCs/>
      <w:sz w:val="28"/>
      <w:szCs w:val="28"/>
    </w:rPr>
  </w:style>
  <w:style w:type="paragraph" w:styleId="Heading2">
    <w:name w:val="heading 2"/>
    <w:basedOn w:val="Heading1"/>
    <w:next w:val="Normal"/>
    <w:link w:val="Heading2Char"/>
    <w:qFormat/>
    <w:rsid w:val="00AC27AB"/>
    <w:pPr>
      <w:numPr>
        <w:ilvl w:val="1"/>
      </w:numPr>
      <w:outlineLvl w:val="1"/>
    </w:pPr>
    <w:rPr>
      <w:bCs w:val="0"/>
      <w:i/>
      <w:color w:val="000000"/>
      <w:szCs w:val="26"/>
    </w:rPr>
  </w:style>
  <w:style w:type="paragraph" w:styleId="Heading3">
    <w:name w:val="heading 3"/>
    <w:basedOn w:val="Heading2"/>
    <w:next w:val="Normal"/>
    <w:link w:val="Heading3Char"/>
    <w:qFormat/>
    <w:rsid w:val="00AC27AB"/>
    <w:pPr>
      <w:numPr>
        <w:ilvl w:val="2"/>
      </w:numPr>
      <w:outlineLvl w:val="2"/>
    </w:pPr>
    <w:rPr>
      <w:b w:val="0"/>
      <w:bCs/>
      <w:color w:val="auto"/>
      <w:sz w:val="24"/>
    </w:rPr>
  </w:style>
  <w:style w:type="paragraph" w:styleId="Heading4">
    <w:name w:val="heading 4"/>
    <w:basedOn w:val="Heading3"/>
    <w:next w:val="Normal"/>
    <w:link w:val="Heading4Char"/>
    <w:qFormat/>
    <w:rsid w:val="00AC27AB"/>
    <w:pPr>
      <w:numPr>
        <w:ilvl w:val="3"/>
      </w:numPr>
      <w:outlineLvl w:val="3"/>
    </w:pPr>
    <w:rPr>
      <w:bCs w:val="0"/>
      <w:i w:val="0"/>
      <w:iCs/>
    </w:rPr>
  </w:style>
  <w:style w:type="paragraph" w:styleId="Heading5">
    <w:name w:val="heading 5"/>
    <w:basedOn w:val="Normal"/>
    <w:next w:val="Normal"/>
    <w:link w:val="Heading5Char"/>
    <w:qFormat/>
    <w:locked/>
    <w:rsid w:val="00F14C6D"/>
    <w:pPr>
      <w:keepNext/>
      <w:keepLines/>
      <w:spacing w:before="200"/>
      <w:outlineLvl w:val="4"/>
    </w:pPr>
    <w:rPr>
      <w:rFonts w:ascii="Cambria" w:hAnsi="Cambria"/>
      <w:color w:val="243F60"/>
    </w:rPr>
  </w:style>
  <w:style w:type="paragraph" w:styleId="Heading6">
    <w:name w:val="heading 6"/>
    <w:basedOn w:val="Normal"/>
    <w:next w:val="Normal"/>
    <w:link w:val="Heading6Char"/>
    <w:qFormat/>
    <w:locked/>
    <w:rsid w:val="00F14C6D"/>
    <w:pPr>
      <w:keepNext/>
      <w:keepLines/>
      <w:spacing w:before="200"/>
      <w:outlineLvl w:val="5"/>
    </w:pPr>
    <w:rPr>
      <w:rFonts w:ascii="Cambria" w:hAnsi="Cambria"/>
      <w:i/>
      <w:iCs/>
      <w:color w:val="243F60"/>
    </w:rPr>
  </w:style>
  <w:style w:type="paragraph" w:styleId="Heading7">
    <w:name w:val="heading 7"/>
    <w:basedOn w:val="Normal"/>
    <w:next w:val="Normal"/>
    <w:link w:val="Heading7Char"/>
    <w:qFormat/>
    <w:locked/>
    <w:rsid w:val="00F14C6D"/>
    <w:pPr>
      <w:keepNext/>
      <w:keepLines/>
      <w:spacing w:before="200"/>
      <w:outlineLvl w:val="6"/>
    </w:pPr>
    <w:rPr>
      <w:rFonts w:ascii="Cambria" w:hAnsi="Cambria"/>
      <w:i/>
      <w:iCs/>
      <w:color w:val="404040"/>
    </w:rPr>
  </w:style>
  <w:style w:type="paragraph" w:styleId="Heading8">
    <w:name w:val="heading 8"/>
    <w:basedOn w:val="Normal"/>
    <w:next w:val="Normal"/>
    <w:link w:val="Heading8Char"/>
    <w:qFormat/>
    <w:locked/>
    <w:rsid w:val="00F14C6D"/>
    <w:pPr>
      <w:keepNext/>
      <w:keepLines/>
      <w:spacing w:before="200"/>
      <w:outlineLvl w:val="7"/>
    </w:pPr>
    <w:rPr>
      <w:rFonts w:ascii="Cambria" w:hAnsi="Cambria"/>
      <w:color w:val="404040"/>
      <w:sz w:val="20"/>
      <w:szCs w:val="20"/>
    </w:rPr>
  </w:style>
  <w:style w:type="paragraph" w:styleId="Heading9">
    <w:name w:val="heading 9"/>
    <w:basedOn w:val="Normal"/>
    <w:next w:val="Normal"/>
    <w:link w:val="Heading9Char"/>
    <w:qFormat/>
    <w:locked/>
    <w:rsid w:val="00F14C6D"/>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27AB"/>
    <w:rPr>
      <w:rFonts w:ascii="Arial" w:hAnsi="Arial"/>
      <w:b/>
      <w:bCs/>
      <w:sz w:val="28"/>
      <w:szCs w:val="28"/>
    </w:rPr>
  </w:style>
  <w:style w:type="character" w:customStyle="1" w:styleId="Heading2Char">
    <w:name w:val="Heading 2 Char"/>
    <w:basedOn w:val="DefaultParagraphFont"/>
    <w:link w:val="Heading2"/>
    <w:rsid w:val="00AC27AB"/>
    <w:rPr>
      <w:rFonts w:ascii="Arial" w:hAnsi="Arial"/>
      <w:b/>
      <w:i/>
      <w:color w:val="000000"/>
      <w:sz w:val="28"/>
      <w:szCs w:val="26"/>
    </w:rPr>
  </w:style>
  <w:style w:type="character" w:customStyle="1" w:styleId="Heading3Char">
    <w:name w:val="Heading 3 Char"/>
    <w:basedOn w:val="DefaultParagraphFont"/>
    <w:link w:val="Heading3"/>
    <w:rsid w:val="00AC27AB"/>
    <w:rPr>
      <w:rFonts w:ascii="Arial" w:hAnsi="Arial"/>
      <w:bCs/>
      <w:i/>
      <w:sz w:val="24"/>
      <w:szCs w:val="26"/>
    </w:rPr>
  </w:style>
  <w:style w:type="character" w:customStyle="1" w:styleId="Heading4Char">
    <w:name w:val="Heading 4 Char"/>
    <w:basedOn w:val="DefaultParagraphFont"/>
    <w:link w:val="Heading4"/>
    <w:rsid w:val="00AC27AB"/>
    <w:rPr>
      <w:rFonts w:ascii="Arial" w:hAnsi="Arial"/>
      <w:iCs/>
      <w:sz w:val="24"/>
      <w:szCs w:val="26"/>
    </w:rPr>
  </w:style>
  <w:style w:type="character" w:styleId="Strong">
    <w:name w:val="Strong"/>
    <w:basedOn w:val="DefaultParagraphFont"/>
    <w:uiPriority w:val="22"/>
    <w:qFormat/>
    <w:locked/>
    <w:rsid w:val="000B0A5D"/>
    <w:rPr>
      <w:b/>
      <w:bCs/>
    </w:rPr>
  </w:style>
  <w:style w:type="character" w:customStyle="1" w:styleId="Heading5Char">
    <w:name w:val="Heading 5 Char"/>
    <w:basedOn w:val="DefaultParagraphFont"/>
    <w:link w:val="Heading5"/>
    <w:semiHidden/>
    <w:rsid w:val="00F14C6D"/>
    <w:rPr>
      <w:rFonts w:ascii="Cambria" w:hAnsi="Cambria"/>
      <w:color w:val="243F60"/>
      <w:sz w:val="24"/>
      <w:szCs w:val="24"/>
      <w:lang w:val="en-AU" w:eastAsia="en-AU" w:bidi="ar-SA"/>
    </w:rPr>
  </w:style>
  <w:style w:type="character" w:customStyle="1" w:styleId="Heading6Char">
    <w:name w:val="Heading 6 Char"/>
    <w:basedOn w:val="DefaultParagraphFont"/>
    <w:link w:val="Heading6"/>
    <w:semiHidden/>
    <w:rsid w:val="00F14C6D"/>
    <w:rPr>
      <w:rFonts w:ascii="Cambria" w:hAnsi="Cambria"/>
      <w:i/>
      <w:iCs/>
      <w:color w:val="243F60"/>
      <w:sz w:val="24"/>
      <w:szCs w:val="24"/>
      <w:lang w:val="en-AU" w:eastAsia="en-AU" w:bidi="ar-SA"/>
    </w:rPr>
  </w:style>
  <w:style w:type="character" w:customStyle="1" w:styleId="Heading7Char">
    <w:name w:val="Heading 7 Char"/>
    <w:basedOn w:val="DefaultParagraphFont"/>
    <w:link w:val="Heading7"/>
    <w:semiHidden/>
    <w:rsid w:val="00F14C6D"/>
    <w:rPr>
      <w:rFonts w:ascii="Cambria" w:hAnsi="Cambria"/>
      <w:i/>
      <w:iCs/>
      <w:color w:val="404040"/>
      <w:sz w:val="24"/>
      <w:szCs w:val="24"/>
      <w:lang w:val="en-AU" w:eastAsia="en-AU" w:bidi="ar-SA"/>
    </w:rPr>
  </w:style>
  <w:style w:type="character" w:customStyle="1" w:styleId="Heading8Char">
    <w:name w:val="Heading 8 Char"/>
    <w:basedOn w:val="DefaultParagraphFont"/>
    <w:link w:val="Heading8"/>
    <w:semiHidden/>
    <w:rsid w:val="00F14C6D"/>
    <w:rPr>
      <w:rFonts w:ascii="Cambria" w:hAnsi="Cambria"/>
      <w:color w:val="404040"/>
      <w:lang w:val="en-AU" w:eastAsia="en-AU" w:bidi="ar-SA"/>
    </w:rPr>
  </w:style>
  <w:style w:type="character" w:customStyle="1" w:styleId="Heading9Char">
    <w:name w:val="Heading 9 Char"/>
    <w:basedOn w:val="DefaultParagraphFont"/>
    <w:link w:val="Heading9"/>
    <w:semiHidden/>
    <w:rsid w:val="00F14C6D"/>
    <w:rPr>
      <w:rFonts w:ascii="Cambria" w:hAnsi="Cambria"/>
      <w:i/>
      <w:iCs/>
      <w:color w:val="404040"/>
      <w:lang w:val="en-AU" w:eastAsia="en-AU" w:bidi="ar-SA"/>
    </w:rPr>
  </w:style>
  <w:style w:type="paragraph" w:styleId="Header">
    <w:name w:val="header"/>
    <w:basedOn w:val="Normal"/>
    <w:link w:val="HeaderChar"/>
    <w:uiPriority w:val="99"/>
    <w:rsid w:val="00E75D90"/>
    <w:pPr>
      <w:tabs>
        <w:tab w:val="center" w:pos="4513"/>
        <w:tab w:val="right" w:pos="9026"/>
      </w:tabs>
      <w:spacing w:before="0" w:after="0"/>
      <w:jc w:val="right"/>
    </w:pPr>
    <w:rPr>
      <w:sz w:val="22"/>
    </w:rPr>
  </w:style>
  <w:style w:type="character" w:customStyle="1" w:styleId="HeaderChar">
    <w:name w:val="Header Char"/>
    <w:basedOn w:val="DefaultParagraphFont"/>
    <w:link w:val="Header"/>
    <w:uiPriority w:val="99"/>
    <w:rsid w:val="00E75D90"/>
    <w:rPr>
      <w:rFonts w:ascii="Arial" w:hAnsi="Arial"/>
      <w:sz w:val="22"/>
      <w:szCs w:val="24"/>
    </w:rPr>
  </w:style>
  <w:style w:type="paragraph" w:styleId="Footer">
    <w:name w:val="footer"/>
    <w:basedOn w:val="Normal"/>
    <w:link w:val="FooterChar"/>
    <w:uiPriority w:val="99"/>
    <w:rsid w:val="00E75D90"/>
    <w:pPr>
      <w:tabs>
        <w:tab w:val="center" w:pos="4513"/>
        <w:tab w:val="right" w:pos="9026"/>
      </w:tabs>
      <w:spacing w:after="0"/>
      <w:jc w:val="right"/>
    </w:pPr>
    <w:rPr>
      <w:sz w:val="22"/>
    </w:rPr>
  </w:style>
  <w:style w:type="character" w:customStyle="1" w:styleId="FooterChar">
    <w:name w:val="Footer Char"/>
    <w:basedOn w:val="DefaultParagraphFont"/>
    <w:link w:val="Footer"/>
    <w:uiPriority w:val="99"/>
    <w:rsid w:val="00E75D90"/>
    <w:rPr>
      <w:rFonts w:ascii="Arial" w:hAnsi="Arial"/>
      <w:sz w:val="22"/>
      <w:szCs w:val="24"/>
    </w:rPr>
  </w:style>
  <w:style w:type="paragraph" w:styleId="TOC3">
    <w:name w:val="toc 3"/>
    <w:basedOn w:val="Normal"/>
    <w:next w:val="Normal"/>
    <w:autoRedefine/>
    <w:uiPriority w:val="39"/>
    <w:semiHidden/>
    <w:qFormat/>
    <w:locked/>
    <w:rsid w:val="002702D9"/>
    <w:pPr>
      <w:spacing w:before="0" w:after="0"/>
      <w:ind w:left="1202" w:hanging="720"/>
    </w:pPr>
    <w:rPr>
      <w:rFonts w:eastAsia="MS Mincho" w:cs="Arial"/>
      <w:i/>
      <w:noProof/>
    </w:rPr>
  </w:style>
  <w:style w:type="character" w:styleId="PlaceholderText">
    <w:name w:val="Placeholder Text"/>
    <w:basedOn w:val="DefaultParagraphFont"/>
    <w:uiPriority w:val="99"/>
    <w:semiHidden/>
    <w:locked/>
    <w:rsid w:val="005D1F34"/>
    <w:rPr>
      <w:color w:val="808080"/>
    </w:rPr>
  </w:style>
  <w:style w:type="paragraph" w:styleId="ListContinue4">
    <w:name w:val="List Continue 4"/>
    <w:basedOn w:val="Normal"/>
    <w:semiHidden/>
    <w:locked/>
    <w:rsid w:val="0090165F"/>
    <w:pPr>
      <w:spacing w:after="120"/>
      <w:ind w:left="1132"/>
    </w:pPr>
  </w:style>
  <w:style w:type="numbering" w:styleId="111111">
    <w:name w:val="Outline List 2"/>
    <w:basedOn w:val="NoList"/>
    <w:semiHidden/>
    <w:locked/>
    <w:rsid w:val="00E45954"/>
    <w:pPr>
      <w:numPr>
        <w:numId w:val="11"/>
      </w:numPr>
    </w:pPr>
  </w:style>
  <w:style w:type="paragraph" w:styleId="TOC1">
    <w:name w:val="toc 1"/>
    <w:basedOn w:val="Normal"/>
    <w:next w:val="Normal"/>
    <w:autoRedefine/>
    <w:uiPriority w:val="39"/>
    <w:qFormat/>
    <w:locked/>
    <w:rsid w:val="00222031"/>
    <w:pPr>
      <w:tabs>
        <w:tab w:val="right" w:leader="dot" w:pos="9060"/>
      </w:tabs>
      <w:spacing w:after="0"/>
    </w:pPr>
    <w:rPr>
      <w:b/>
    </w:rPr>
  </w:style>
  <w:style w:type="paragraph" w:styleId="TOC2">
    <w:name w:val="toc 2"/>
    <w:basedOn w:val="Normal"/>
    <w:next w:val="Normal"/>
    <w:autoRedefine/>
    <w:uiPriority w:val="39"/>
    <w:qFormat/>
    <w:locked/>
    <w:rsid w:val="00902E81"/>
    <w:pPr>
      <w:tabs>
        <w:tab w:val="right" w:leader="dot" w:pos="9072"/>
      </w:tabs>
      <w:spacing w:before="0" w:after="0"/>
    </w:pPr>
    <w:rPr>
      <w:b/>
      <w:sz w:val="28"/>
      <w:lang w:val="en-US"/>
    </w:rPr>
  </w:style>
  <w:style w:type="paragraph" w:styleId="TOC4">
    <w:name w:val="toc 4"/>
    <w:basedOn w:val="Normal"/>
    <w:next w:val="Normal"/>
    <w:autoRedefine/>
    <w:uiPriority w:val="39"/>
    <w:semiHidden/>
    <w:locked/>
    <w:rsid w:val="008A2AF7"/>
    <w:pPr>
      <w:tabs>
        <w:tab w:val="left" w:pos="1440"/>
        <w:tab w:val="right" w:leader="dot" w:pos="9060"/>
      </w:tabs>
      <w:spacing w:before="0" w:after="0"/>
      <w:ind w:left="1440" w:hanging="720"/>
    </w:pPr>
    <w:rPr>
      <w:noProof/>
    </w:rPr>
  </w:style>
  <w:style w:type="character" w:styleId="Hyperlink">
    <w:name w:val="Hyperlink"/>
    <w:basedOn w:val="DefaultParagraphFont"/>
    <w:uiPriority w:val="99"/>
    <w:unhideWhenUsed/>
    <w:locked/>
    <w:rsid w:val="0024557E"/>
    <w:rPr>
      <w:color w:val="0000FF"/>
      <w:u w:val="single"/>
    </w:rPr>
  </w:style>
  <w:style w:type="paragraph" w:styleId="TOCHeading">
    <w:name w:val="TOC Heading"/>
    <w:basedOn w:val="Normal"/>
    <w:next w:val="Normal"/>
    <w:uiPriority w:val="39"/>
    <w:qFormat/>
    <w:locked/>
    <w:rsid w:val="00725D5E"/>
    <w:pPr>
      <w:spacing w:before="0"/>
    </w:pPr>
    <w:rPr>
      <w:b/>
      <w:sz w:val="28"/>
      <w:lang w:val="en-US" w:eastAsia="en-US"/>
    </w:rPr>
  </w:style>
  <w:style w:type="paragraph" w:styleId="EndnoteText">
    <w:name w:val="endnote text"/>
    <w:basedOn w:val="Normal"/>
    <w:link w:val="EndnoteTextChar"/>
    <w:qFormat/>
    <w:rsid w:val="00706FAB"/>
    <w:pPr>
      <w:spacing w:before="0" w:after="0"/>
    </w:pPr>
    <w:rPr>
      <w:sz w:val="20"/>
      <w:szCs w:val="20"/>
    </w:rPr>
  </w:style>
  <w:style w:type="character" w:customStyle="1" w:styleId="EndnoteTextChar">
    <w:name w:val="Endnote Text Char"/>
    <w:basedOn w:val="DefaultParagraphFont"/>
    <w:link w:val="EndnoteText"/>
    <w:rsid w:val="00706FAB"/>
    <w:rPr>
      <w:rFonts w:ascii="Arial" w:hAnsi="Arial"/>
      <w:lang w:val="en-AU" w:eastAsia="en-AU" w:bidi="ar-SA"/>
    </w:rPr>
  </w:style>
  <w:style w:type="character" w:styleId="EndnoteReference">
    <w:name w:val="endnote reference"/>
    <w:basedOn w:val="DefaultParagraphFont"/>
    <w:uiPriority w:val="99"/>
    <w:rsid w:val="00074CD6"/>
    <w:rPr>
      <w:rFonts w:ascii="Arial" w:hAnsi="Arial"/>
      <w:sz w:val="20"/>
      <w:vertAlign w:val="superscript"/>
    </w:rPr>
  </w:style>
  <w:style w:type="numbering" w:styleId="1ai">
    <w:name w:val="Outline List 1"/>
    <w:basedOn w:val="NoList"/>
    <w:semiHidden/>
    <w:locked/>
    <w:rsid w:val="00E45954"/>
    <w:pPr>
      <w:numPr>
        <w:numId w:val="12"/>
      </w:numPr>
    </w:pPr>
  </w:style>
  <w:style w:type="numbering" w:styleId="ArticleSection">
    <w:name w:val="Outline List 3"/>
    <w:basedOn w:val="NoList"/>
    <w:semiHidden/>
    <w:locked/>
    <w:rsid w:val="00E45954"/>
    <w:pPr>
      <w:numPr>
        <w:numId w:val="13"/>
      </w:numPr>
    </w:pPr>
  </w:style>
  <w:style w:type="paragraph" w:styleId="BlockText">
    <w:name w:val="Block Text"/>
    <w:basedOn w:val="Normal"/>
    <w:semiHidden/>
    <w:locked/>
    <w:rsid w:val="00E45954"/>
    <w:pPr>
      <w:spacing w:after="120"/>
      <w:ind w:left="1440" w:right="1440"/>
    </w:pPr>
  </w:style>
  <w:style w:type="paragraph" w:styleId="BodyText">
    <w:name w:val="Body Text"/>
    <w:basedOn w:val="Normal"/>
    <w:semiHidden/>
    <w:locked/>
    <w:rsid w:val="00E45954"/>
    <w:pPr>
      <w:spacing w:after="120"/>
    </w:pPr>
  </w:style>
  <w:style w:type="paragraph" w:styleId="BodyText2">
    <w:name w:val="Body Text 2"/>
    <w:basedOn w:val="Normal"/>
    <w:semiHidden/>
    <w:locked/>
    <w:rsid w:val="00E45954"/>
    <w:pPr>
      <w:spacing w:after="120" w:line="480" w:lineRule="auto"/>
    </w:pPr>
  </w:style>
  <w:style w:type="paragraph" w:styleId="BodyText3">
    <w:name w:val="Body Text 3"/>
    <w:basedOn w:val="Normal"/>
    <w:semiHidden/>
    <w:locked/>
    <w:rsid w:val="00E45954"/>
    <w:pPr>
      <w:spacing w:after="120"/>
    </w:pPr>
    <w:rPr>
      <w:sz w:val="16"/>
      <w:szCs w:val="16"/>
    </w:rPr>
  </w:style>
  <w:style w:type="paragraph" w:styleId="BodyTextFirstIndent">
    <w:name w:val="Body Text First Indent"/>
    <w:basedOn w:val="BodyText"/>
    <w:semiHidden/>
    <w:locked/>
    <w:rsid w:val="00E45954"/>
    <w:pPr>
      <w:ind w:firstLine="210"/>
    </w:pPr>
  </w:style>
  <w:style w:type="paragraph" w:styleId="BodyTextIndent">
    <w:name w:val="Body Text Indent"/>
    <w:basedOn w:val="Normal"/>
    <w:semiHidden/>
    <w:locked/>
    <w:rsid w:val="00E45954"/>
    <w:pPr>
      <w:spacing w:after="120"/>
      <w:ind w:left="283"/>
    </w:pPr>
  </w:style>
  <w:style w:type="paragraph" w:styleId="BodyTextFirstIndent2">
    <w:name w:val="Body Text First Indent 2"/>
    <w:basedOn w:val="BodyTextIndent"/>
    <w:semiHidden/>
    <w:locked/>
    <w:rsid w:val="00E45954"/>
    <w:pPr>
      <w:ind w:firstLine="210"/>
    </w:pPr>
  </w:style>
  <w:style w:type="paragraph" w:styleId="BodyTextIndent2">
    <w:name w:val="Body Text Indent 2"/>
    <w:basedOn w:val="Normal"/>
    <w:semiHidden/>
    <w:locked/>
    <w:rsid w:val="00E45954"/>
    <w:pPr>
      <w:spacing w:after="120" w:line="480" w:lineRule="auto"/>
      <w:ind w:left="283"/>
    </w:pPr>
  </w:style>
  <w:style w:type="paragraph" w:styleId="BodyTextIndent3">
    <w:name w:val="Body Text Indent 3"/>
    <w:basedOn w:val="Normal"/>
    <w:semiHidden/>
    <w:locked/>
    <w:rsid w:val="00E45954"/>
    <w:pPr>
      <w:spacing w:after="120"/>
      <w:ind w:left="283"/>
    </w:pPr>
    <w:rPr>
      <w:sz w:val="16"/>
      <w:szCs w:val="16"/>
    </w:rPr>
  </w:style>
  <w:style w:type="paragraph" w:styleId="Closing">
    <w:name w:val="Closing"/>
    <w:basedOn w:val="Normal"/>
    <w:semiHidden/>
    <w:locked/>
    <w:rsid w:val="00E45954"/>
    <w:pPr>
      <w:ind w:left="4252"/>
    </w:pPr>
  </w:style>
  <w:style w:type="paragraph" w:styleId="Date">
    <w:name w:val="Date"/>
    <w:basedOn w:val="Normal"/>
    <w:next w:val="Normal"/>
    <w:semiHidden/>
    <w:locked/>
    <w:rsid w:val="00E45954"/>
  </w:style>
  <w:style w:type="paragraph" w:styleId="E-mailSignature">
    <w:name w:val="E-mail Signature"/>
    <w:basedOn w:val="Normal"/>
    <w:semiHidden/>
    <w:locked/>
    <w:rsid w:val="00E45954"/>
  </w:style>
  <w:style w:type="character" w:styleId="Emphasis">
    <w:name w:val="Emphasis"/>
    <w:basedOn w:val="DefaultParagraphFont"/>
    <w:qFormat/>
    <w:locked/>
    <w:rsid w:val="00E45954"/>
    <w:rPr>
      <w:i/>
      <w:iCs/>
    </w:rPr>
  </w:style>
  <w:style w:type="paragraph" w:styleId="EnvelopeAddress">
    <w:name w:val="envelope address"/>
    <w:basedOn w:val="Normal"/>
    <w:semiHidden/>
    <w:locked/>
    <w:rsid w:val="001C139C"/>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locked/>
    <w:rsid w:val="00E45954"/>
    <w:rPr>
      <w:rFonts w:cs="Arial"/>
      <w:sz w:val="20"/>
      <w:szCs w:val="20"/>
    </w:rPr>
  </w:style>
  <w:style w:type="character" w:styleId="FootnoteReference">
    <w:name w:val="footnote reference"/>
    <w:basedOn w:val="DefaultParagraphFont"/>
    <w:semiHidden/>
    <w:rsid w:val="00074CD6"/>
    <w:rPr>
      <w:rFonts w:ascii="Arial" w:hAnsi="Arial"/>
      <w:sz w:val="20"/>
      <w:vertAlign w:val="superscript"/>
    </w:rPr>
  </w:style>
  <w:style w:type="paragraph" w:styleId="FootnoteText">
    <w:name w:val="footnote text"/>
    <w:basedOn w:val="Normal"/>
    <w:link w:val="FootnoteTextChar"/>
    <w:semiHidden/>
    <w:rsid w:val="00706FAB"/>
    <w:pPr>
      <w:spacing w:before="0" w:after="0"/>
    </w:pPr>
    <w:rPr>
      <w:sz w:val="20"/>
      <w:szCs w:val="20"/>
    </w:rPr>
  </w:style>
  <w:style w:type="character" w:styleId="HTMLAcronym">
    <w:name w:val="HTML Acronym"/>
    <w:basedOn w:val="DefaultParagraphFont"/>
    <w:semiHidden/>
    <w:locked/>
    <w:rsid w:val="00E45954"/>
  </w:style>
  <w:style w:type="paragraph" w:styleId="HTMLAddress">
    <w:name w:val="HTML Address"/>
    <w:basedOn w:val="Normal"/>
    <w:semiHidden/>
    <w:locked/>
    <w:rsid w:val="00E45954"/>
    <w:rPr>
      <w:i/>
      <w:iCs/>
    </w:rPr>
  </w:style>
  <w:style w:type="character" w:styleId="HTMLCite">
    <w:name w:val="HTML Cite"/>
    <w:basedOn w:val="DefaultParagraphFont"/>
    <w:semiHidden/>
    <w:locked/>
    <w:rsid w:val="00E45954"/>
    <w:rPr>
      <w:i/>
      <w:iCs/>
    </w:rPr>
  </w:style>
  <w:style w:type="character" w:styleId="HTMLCode">
    <w:name w:val="HTML Code"/>
    <w:basedOn w:val="DefaultParagraphFont"/>
    <w:semiHidden/>
    <w:locked/>
    <w:rsid w:val="00E45954"/>
    <w:rPr>
      <w:rFonts w:ascii="Courier New" w:hAnsi="Courier New" w:cs="Courier New"/>
      <w:sz w:val="20"/>
      <w:szCs w:val="20"/>
    </w:rPr>
  </w:style>
  <w:style w:type="character" w:styleId="HTMLDefinition">
    <w:name w:val="HTML Definition"/>
    <w:basedOn w:val="DefaultParagraphFont"/>
    <w:semiHidden/>
    <w:locked/>
    <w:rsid w:val="00E45954"/>
    <w:rPr>
      <w:i/>
      <w:iCs/>
    </w:rPr>
  </w:style>
  <w:style w:type="character" w:styleId="HTMLKeyboard">
    <w:name w:val="HTML Keyboard"/>
    <w:basedOn w:val="DefaultParagraphFont"/>
    <w:semiHidden/>
    <w:locked/>
    <w:rsid w:val="00E45954"/>
    <w:rPr>
      <w:rFonts w:ascii="Courier New" w:hAnsi="Courier New" w:cs="Courier New"/>
      <w:sz w:val="20"/>
      <w:szCs w:val="20"/>
    </w:rPr>
  </w:style>
  <w:style w:type="paragraph" w:styleId="HTMLPreformatted">
    <w:name w:val="HTML Preformatted"/>
    <w:basedOn w:val="Normal"/>
    <w:semiHidden/>
    <w:locked/>
    <w:rsid w:val="00E45954"/>
    <w:rPr>
      <w:rFonts w:ascii="Courier New" w:hAnsi="Courier New" w:cs="Courier New"/>
      <w:sz w:val="20"/>
      <w:szCs w:val="20"/>
    </w:rPr>
  </w:style>
  <w:style w:type="character" w:styleId="HTMLSample">
    <w:name w:val="HTML Sample"/>
    <w:basedOn w:val="DefaultParagraphFont"/>
    <w:semiHidden/>
    <w:locked/>
    <w:rsid w:val="00E45954"/>
    <w:rPr>
      <w:rFonts w:ascii="Courier New" w:hAnsi="Courier New" w:cs="Courier New"/>
    </w:rPr>
  </w:style>
  <w:style w:type="character" w:styleId="HTMLTypewriter">
    <w:name w:val="HTML Typewriter"/>
    <w:basedOn w:val="DefaultParagraphFont"/>
    <w:semiHidden/>
    <w:locked/>
    <w:rsid w:val="00E45954"/>
    <w:rPr>
      <w:rFonts w:ascii="Courier New" w:hAnsi="Courier New" w:cs="Courier New"/>
      <w:sz w:val="20"/>
      <w:szCs w:val="20"/>
    </w:rPr>
  </w:style>
  <w:style w:type="character" w:styleId="HTMLVariable">
    <w:name w:val="HTML Variable"/>
    <w:basedOn w:val="DefaultParagraphFont"/>
    <w:semiHidden/>
    <w:locked/>
    <w:rsid w:val="00E45954"/>
    <w:rPr>
      <w:i/>
      <w:iCs/>
    </w:rPr>
  </w:style>
  <w:style w:type="character" w:styleId="LineNumber">
    <w:name w:val="line number"/>
    <w:basedOn w:val="DefaultParagraphFont"/>
    <w:semiHidden/>
    <w:locked/>
    <w:rsid w:val="00E45954"/>
  </w:style>
  <w:style w:type="paragraph" w:styleId="List">
    <w:name w:val="List"/>
    <w:basedOn w:val="Normal"/>
    <w:semiHidden/>
    <w:locked/>
    <w:rsid w:val="00E45954"/>
    <w:pPr>
      <w:ind w:left="283" w:hanging="283"/>
    </w:pPr>
  </w:style>
  <w:style w:type="paragraph" w:styleId="List2">
    <w:name w:val="List 2"/>
    <w:basedOn w:val="Normal"/>
    <w:semiHidden/>
    <w:locked/>
    <w:rsid w:val="00E45954"/>
    <w:pPr>
      <w:ind w:left="566" w:hanging="283"/>
    </w:pPr>
  </w:style>
  <w:style w:type="paragraph" w:styleId="List3">
    <w:name w:val="List 3"/>
    <w:basedOn w:val="Normal"/>
    <w:semiHidden/>
    <w:locked/>
    <w:rsid w:val="00E45954"/>
    <w:pPr>
      <w:ind w:left="849" w:hanging="283"/>
    </w:pPr>
  </w:style>
  <w:style w:type="paragraph" w:styleId="List4">
    <w:name w:val="List 4"/>
    <w:basedOn w:val="Normal"/>
    <w:semiHidden/>
    <w:locked/>
    <w:rsid w:val="00E45954"/>
    <w:pPr>
      <w:ind w:left="1132" w:hanging="283"/>
    </w:pPr>
  </w:style>
  <w:style w:type="paragraph" w:styleId="List5">
    <w:name w:val="List 5"/>
    <w:basedOn w:val="Normal"/>
    <w:semiHidden/>
    <w:locked/>
    <w:rsid w:val="00E45954"/>
    <w:pPr>
      <w:ind w:left="1415" w:hanging="283"/>
    </w:pPr>
  </w:style>
  <w:style w:type="numbering" w:customStyle="1" w:styleId="StyleNumbered">
    <w:name w:val="Style Numbered"/>
    <w:basedOn w:val="NoList"/>
    <w:semiHidden/>
    <w:rsid w:val="00074CD6"/>
    <w:pPr>
      <w:numPr>
        <w:numId w:val="14"/>
      </w:numPr>
    </w:pPr>
  </w:style>
  <w:style w:type="paragraph" w:styleId="ListBullet2">
    <w:name w:val="List Bullet 2"/>
    <w:basedOn w:val="Normal"/>
    <w:semiHidden/>
    <w:locked/>
    <w:rsid w:val="00E45954"/>
    <w:pPr>
      <w:numPr>
        <w:numId w:val="2"/>
      </w:numPr>
    </w:pPr>
  </w:style>
  <w:style w:type="paragraph" w:styleId="ListBullet3">
    <w:name w:val="List Bullet 3"/>
    <w:basedOn w:val="Normal"/>
    <w:semiHidden/>
    <w:locked/>
    <w:rsid w:val="00E45954"/>
    <w:pPr>
      <w:numPr>
        <w:numId w:val="3"/>
      </w:numPr>
    </w:pPr>
  </w:style>
  <w:style w:type="paragraph" w:styleId="ListBullet4">
    <w:name w:val="List Bullet 4"/>
    <w:basedOn w:val="Normal"/>
    <w:semiHidden/>
    <w:locked/>
    <w:rsid w:val="00E45954"/>
    <w:pPr>
      <w:numPr>
        <w:numId w:val="4"/>
      </w:numPr>
    </w:pPr>
  </w:style>
  <w:style w:type="paragraph" w:styleId="ListBullet5">
    <w:name w:val="List Bullet 5"/>
    <w:basedOn w:val="Normal"/>
    <w:semiHidden/>
    <w:locked/>
    <w:rsid w:val="00E45954"/>
    <w:pPr>
      <w:numPr>
        <w:numId w:val="5"/>
      </w:numPr>
    </w:pPr>
  </w:style>
  <w:style w:type="paragraph" w:styleId="ListContinue">
    <w:name w:val="List Continue"/>
    <w:basedOn w:val="Normal"/>
    <w:semiHidden/>
    <w:locked/>
    <w:rsid w:val="00E45954"/>
    <w:pPr>
      <w:spacing w:after="120"/>
      <w:ind w:left="283"/>
    </w:pPr>
  </w:style>
  <w:style w:type="paragraph" w:styleId="ListContinue2">
    <w:name w:val="List Continue 2"/>
    <w:basedOn w:val="Normal"/>
    <w:semiHidden/>
    <w:locked/>
    <w:rsid w:val="00E45954"/>
    <w:pPr>
      <w:spacing w:after="120"/>
      <w:ind w:left="566"/>
    </w:pPr>
  </w:style>
  <w:style w:type="paragraph" w:styleId="ListContinue3">
    <w:name w:val="List Continue 3"/>
    <w:basedOn w:val="Normal"/>
    <w:semiHidden/>
    <w:locked/>
    <w:rsid w:val="00E45954"/>
    <w:pPr>
      <w:spacing w:after="120"/>
      <w:ind w:left="849"/>
    </w:pPr>
  </w:style>
  <w:style w:type="paragraph" w:styleId="ListContinue5">
    <w:name w:val="List Continue 5"/>
    <w:basedOn w:val="Normal"/>
    <w:semiHidden/>
    <w:locked/>
    <w:rsid w:val="00E45954"/>
    <w:pPr>
      <w:spacing w:after="120"/>
      <w:ind w:left="1415"/>
    </w:pPr>
  </w:style>
  <w:style w:type="paragraph" w:styleId="ListNumber">
    <w:name w:val="List Number"/>
    <w:basedOn w:val="Normal"/>
    <w:semiHidden/>
    <w:locked/>
    <w:rsid w:val="00E45954"/>
    <w:pPr>
      <w:numPr>
        <w:numId w:val="6"/>
      </w:numPr>
    </w:pPr>
  </w:style>
  <w:style w:type="paragraph" w:styleId="ListNumber2">
    <w:name w:val="List Number 2"/>
    <w:basedOn w:val="Normal"/>
    <w:semiHidden/>
    <w:locked/>
    <w:rsid w:val="00E45954"/>
    <w:pPr>
      <w:numPr>
        <w:numId w:val="9"/>
      </w:numPr>
    </w:pPr>
  </w:style>
  <w:style w:type="paragraph" w:styleId="ListNumber3">
    <w:name w:val="List Number 3"/>
    <w:basedOn w:val="Normal"/>
    <w:semiHidden/>
    <w:locked/>
    <w:rsid w:val="00E45954"/>
    <w:pPr>
      <w:numPr>
        <w:numId w:val="10"/>
      </w:numPr>
    </w:pPr>
  </w:style>
  <w:style w:type="paragraph" w:styleId="ListNumber4">
    <w:name w:val="List Number 4"/>
    <w:basedOn w:val="Normal"/>
    <w:semiHidden/>
    <w:locked/>
    <w:rsid w:val="00E45954"/>
    <w:pPr>
      <w:numPr>
        <w:numId w:val="7"/>
      </w:numPr>
    </w:pPr>
  </w:style>
  <w:style w:type="paragraph" w:styleId="ListNumber5">
    <w:name w:val="List Number 5"/>
    <w:basedOn w:val="Normal"/>
    <w:semiHidden/>
    <w:locked/>
    <w:rsid w:val="00E45954"/>
    <w:pPr>
      <w:numPr>
        <w:numId w:val="8"/>
      </w:numPr>
    </w:pPr>
  </w:style>
  <w:style w:type="paragraph" w:styleId="MessageHeader">
    <w:name w:val="Message Header"/>
    <w:basedOn w:val="Normal"/>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locked/>
    <w:rsid w:val="00E45954"/>
    <w:rPr>
      <w:rFonts w:ascii="Times New Roman" w:hAnsi="Times New Roman"/>
    </w:rPr>
  </w:style>
  <w:style w:type="paragraph" w:styleId="NormalIndent">
    <w:name w:val="Normal Indent"/>
    <w:basedOn w:val="Normal"/>
    <w:semiHidden/>
    <w:locked/>
    <w:rsid w:val="00E45954"/>
    <w:pPr>
      <w:ind w:left="720"/>
    </w:pPr>
  </w:style>
  <w:style w:type="paragraph" w:styleId="NoteHeading">
    <w:name w:val="Note Heading"/>
    <w:basedOn w:val="Normal"/>
    <w:next w:val="Normal"/>
    <w:semiHidden/>
    <w:locked/>
    <w:rsid w:val="00E45954"/>
  </w:style>
  <w:style w:type="character" w:styleId="PageNumber">
    <w:name w:val="page number"/>
    <w:basedOn w:val="DefaultParagraphFont"/>
    <w:semiHidden/>
    <w:locked/>
    <w:rsid w:val="00E45954"/>
  </w:style>
  <w:style w:type="paragraph" w:styleId="PlainText">
    <w:name w:val="Plain Text"/>
    <w:basedOn w:val="Normal"/>
    <w:link w:val="PlainTextChar"/>
    <w:uiPriority w:val="99"/>
    <w:semiHidden/>
    <w:locked/>
    <w:rsid w:val="00E45954"/>
    <w:rPr>
      <w:rFonts w:ascii="Courier New" w:hAnsi="Courier New" w:cs="Courier New"/>
      <w:sz w:val="20"/>
      <w:szCs w:val="20"/>
    </w:rPr>
  </w:style>
  <w:style w:type="paragraph" w:styleId="Salutation">
    <w:name w:val="Salutation"/>
    <w:basedOn w:val="Normal"/>
    <w:next w:val="Normal"/>
    <w:semiHidden/>
    <w:locked/>
    <w:rsid w:val="00E45954"/>
  </w:style>
  <w:style w:type="paragraph" w:styleId="Signature">
    <w:name w:val="Signature"/>
    <w:basedOn w:val="Normal"/>
    <w:semiHidden/>
    <w:locked/>
    <w:rsid w:val="00E45954"/>
    <w:pPr>
      <w:ind w:left="4252"/>
    </w:pPr>
  </w:style>
  <w:style w:type="paragraph" w:styleId="Subtitle">
    <w:name w:val="Subtitle"/>
    <w:basedOn w:val="Normal"/>
    <w:qFormat/>
    <w:locked/>
    <w:rsid w:val="00E45954"/>
    <w:pPr>
      <w:spacing w:after="60"/>
      <w:jc w:val="center"/>
      <w:outlineLvl w:val="1"/>
    </w:pPr>
    <w:rPr>
      <w:rFonts w:cs="Arial"/>
    </w:rPr>
  </w:style>
  <w:style w:type="table" w:styleId="Table3Deffects1">
    <w:name w:val="Table 3D effects 1"/>
    <w:basedOn w:val="TableNormal"/>
    <w:semiHidden/>
    <w:locked/>
    <w:rsid w:val="00E45954"/>
    <w:pPr>
      <w:spacing w:after="24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rsid w:val="00E45954"/>
    <w:pPr>
      <w:spacing w:after="24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locked/>
    <w:rsid w:val="00E45954"/>
    <w:pPr>
      <w:spacing w:after="60"/>
      <w:jc w:val="center"/>
      <w:outlineLvl w:val="0"/>
    </w:pPr>
    <w:rPr>
      <w:rFonts w:cs="Arial"/>
      <w:b/>
      <w:bCs/>
      <w:kern w:val="28"/>
      <w:sz w:val="32"/>
      <w:szCs w:val="32"/>
    </w:rPr>
  </w:style>
  <w:style w:type="character" w:styleId="FollowedHyperlink">
    <w:name w:val="FollowedHyperlink"/>
    <w:basedOn w:val="DefaultParagraphFont"/>
    <w:semiHidden/>
    <w:locked/>
    <w:rsid w:val="00E45954"/>
    <w:rPr>
      <w:color w:val="800080"/>
      <w:u w:val="single"/>
    </w:rPr>
  </w:style>
  <w:style w:type="paragraph" w:styleId="ListBullet">
    <w:name w:val="List Bullet"/>
    <w:basedOn w:val="Normal"/>
    <w:semiHidden/>
    <w:locked/>
    <w:rsid w:val="00950E88"/>
    <w:pPr>
      <w:numPr>
        <w:numId w:val="1"/>
      </w:numPr>
    </w:pPr>
  </w:style>
  <w:style w:type="paragraph" w:customStyle="1" w:styleId="Contactdetails">
    <w:name w:val="Contact details"/>
    <w:basedOn w:val="Normal"/>
    <w:semiHidden/>
    <w:rsid w:val="002702D9"/>
    <w:pPr>
      <w:keepNext/>
      <w:keepLines/>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10" w:lineRule="exact"/>
    </w:pPr>
    <w:rPr>
      <w:rFonts w:ascii="ArialMT" w:hAnsi="ArialMT" w:cs="ArialMT"/>
      <w:sz w:val="20"/>
      <w:lang w:val="en-US" w:bidi="en-US"/>
    </w:rPr>
  </w:style>
  <w:style w:type="character" w:customStyle="1" w:styleId="CharChar9">
    <w:name w:val="Char Char9"/>
    <w:basedOn w:val="DefaultParagraphFont"/>
    <w:semiHidden/>
    <w:locked/>
    <w:rsid w:val="001C451B"/>
    <w:rPr>
      <w:rFonts w:ascii="Arial" w:hAnsi="Arial"/>
      <w:bCs/>
      <w:i/>
      <w:sz w:val="24"/>
      <w:szCs w:val="26"/>
      <w:lang w:val="en-AU" w:eastAsia="en-AU" w:bidi="ar-SA"/>
    </w:rPr>
  </w:style>
  <w:style w:type="character" w:customStyle="1" w:styleId="CharChar8">
    <w:name w:val="Char Char8"/>
    <w:basedOn w:val="DefaultParagraphFont"/>
    <w:semiHidden/>
    <w:locked/>
    <w:rsid w:val="001C451B"/>
    <w:rPr>
      <w:rFonts w:ascii="Arial" w:hAnsi="Arial"/>
      <w:iCs/>
      <w:sz w:val="24"/>
      <w:szCs w:val="26"/>
      <w:lang w:val="en-AU" w:eastAsia="en-AU" w:bidi="ar-SA"/>
    </w:rPr>
  </w:style>
  <w:style w:type="character" w:customStyle="1" w:styleId="CharChar">
    <w:name w:val="Char Char"/>
    <w:basedOn w:val="DefaultParagraphFont"/>
    <w:semiHidden/>
    <w:locked/>
    <w:rsid w:val="001C451B"/>
    <w:rPr>
      <w:rFonts w:ascii="Arial" w:hAnsi="Arial" w:cs="Arial"/>
      <w:lang w:val="en-AU" w:eastAsia="en-AU" w:bidi="ar-SA"/>
    </w:rPr>
  </w:style>
  <w:style w:type="character" w:customStyle="1" w:styleId="FootnoteTextChar">
    <w:name w:val="Footnote Text Char"/>
    <w:basedOn w:val="DefaultParagraphFont"/>
    <w:link w:val="FootnoteText"/>
    <w:semiHidden/>
    <w:locked/>
    <w:rsid w:val="00706FAB"/>
    <w:rPr>
      <w:rFonts w:ascii="Arial" w:hAnsi="Arial"/>
      <w:lang w:val="en-AU" w:eastAsia="en-AU" w:bidi="ar-SA"/>
    </w:rPr>
  </w:style>
  <w:style w:type="paragraph" w:styleId="BalloonText">
    <w:name w:val="Balloon Text"/>
    <w:basedOn w:val="Normal"/>
    <w:link w:val="BalloonTextChar"/>
    <w:locked/>
    <w:rsid w:val="000B40C8"/>
    <w:pPr>
      <w:spacing w:before="0" w:after="0"/>
    </w:pPr>
    <w:rPr>
      <w:rFonts w:ascii="Tahoma" w:hAnsi="Tahoma" w:cs="Tahoma"/>
      <w:sz w:val="16"/>
      <w:szCs w:val="16"/>
    </w:rPr>
  </w:style>
  <w:style w:type="character" w:customStyle="1" w:styleId="BalloonTextChar">
    <w:name w:val="Balloon Text Char"/>
    <w:basedOn w:val="DefaultParagraphFont"/>
    <w:link w:val="BalloonText"/>
    <w:rsid w:val="000B40C8"/>
    <w:rPr>
      <w:rFonts w:ascii="Tahoma" w:hAnsi="Tahoma" w:cs="Tahoma"/>
      <w:sz w:val="16"/>
      <w:szCs w:val="16"/>
    </w:rPr>
  </w:style>
  <w:style w:type="paragraph" w:styleId="ListParagraph">
    <w:name w:val="List Paragraph"/>
    <w:basedOn w:val="Normal"/>
    <w:link w:val="ListParagraphChar"/>
    <w:uiPriority w:val="34"/>
    <w:qFormat/>
    <w:rsid w:val="00916106"/>
    <w:pPr>
      <w:ind w:left="720"/>
      <w:contextualSpacing/>
    </w:pPr>
  </w:style>
  <w:style w:type="character" w:customStyle="1" w:styleId="ListParagraphChar">
    <w:name w:val="List Paragraph Char"/>
    <w:link w:val="ListParagraph"/>
    <w:uiPriority w:val="34"/>
    <w:rsid w:val="00916106"/>
    <w:rPr>
      <w:rFonts w:ascii="Arial" w:hAnsi="Arial"/>
      <w:sz w:val="24"/>
      <w:szCs w:val="24"/>
    </w:rPr>
  </w:style>
  <w:style w:type="character" w:styleId="CommentReference">
    <w:name w:val="annotation reference"/>
    <w:basedOn w:val="DefaultParagraphFont"/>
    <w:locked/>
    <w:rsid w:val="00CA77F1"/>
    <w:rPr>
      <w:sz w:val="16"/>
      <w:szCs w:val="16"/>
    </w:rPr>
  </w:style>
  <w:style w:type="paragraph" w:styleId="CommentText">
    <w:name w:val="annotation text"/>
    <w:basedOn w:val="Normal"/>
    <w:link w:val="CommentTextChar"/>
    <w:locked/>
    <w:rsid w:val="000C255D"/>
    <w:rPr>
      <w:sz w:val="20"/>
      <w:szCs w:val="20"/>
    </w:rPr>
  </w:style>
  <w:style w:type="character" w:customStyle="1" w:styleId="CommentTextChar">
    <w:name w:val="Comment Text Char"/>
    <w:basedOn w:val="DefaultParagraphFont"/>
    <w:link w:val="CommentText"/>
    <w:rsid w:val="000C255D"/>
    <w:rPr>
      <w:rFonts w:ascii="Arial" w:hAnsi="Arial"/>
    </w:rPr>
  </w:style>
  <w:style w:type="paragraph" w:styleId="CommentSubject">
    <w:name w:val="annotation subject"/>
    <w:basedOn w:val="CommentText"/>
    <w:next w:val="CommentText"/>
    <w:link w:val="CommentSubjectChar"/>
    <w:uiPriority w:val="99"/>
    <w:locked/>
    <w:rsid w:val="000C255D"/>
    <w:rPr>
      <w:b/>
      <w:bCs/>
    </w:rPr>
  </w:style>
  <w:style w:type="character" w:customStyle="1" w:styleId="CommentSubjectChar">
    <w:name w:val="Comment Subject Char"/>
    <w:basedOn w:val="CommentTextChar"/>
    <w:link w:val="CommentSubject"/>
    <w:uiPriority w:val="99"/>
    <w:rsid w:val="000C255D"/>
    <w:rPr>
      <w:rFonts w:ascii="Arial" w:hAnsi="Arial"/>
      <w:b/>
      <w:bCs/>
    </w:rPr>
  </w:style>
  <w:style w:type="paragraph" w:customStyle="1" w:styleId="Default">
    <w:name w:val="Default"/>
    <w:rsid w:val="001D4FE2"/>
    <w:pPr>
      <w:autoSpaceDE w:val="0"/>
      <w:autoSpaceDN w:val="0"/>
      <w:adjustRightInd w:val="0"/>
    </w:pPr>
    <w:rPr>
      <w:rFonts w:ascii="Arial" w:hAnsi="Arial" w:cs="Arial"/>
      <w:color w:val="000000"/>
      <w:sz w:val="24"/>
      <w:szCs w:val="24"/>
    </w:rPr>
  </w:style>
  <w:style w:type="paragraph" w:styleId="NoSpacing">
    <w:name w:val="No Spacing"/>
    <w:uiPriority w:val="1"/>
    <w:qFormat/>
    <w:rsid w:val="005B322B"/>
    <w:rPr>
      <w:rFonts w:ascii="Arial" w:hAnsi="Arial"/>
      <w:sz w:val="24"/>
      <w:szCs w:val="24"/>
    </w:rPr>
  </w:style>
  <w:style w:type="paragraph" w:styleId="Revision">
    <w:name w:val="Revision"/>
    <w:hidden/>
    <w:uiPriority w:val="99"/>
    <w:semiHidden/>
    <w:rsid w:val="002902B7"/>
    <w:rPr>
      <w:rFonts w:ascii="Arial" w:hAnsi="Arial"/>
      <w:sz w:val="24"/>
      <w:szCs w:val="24"/>
    </w:rPr>
  </w:style>
  <w:style w:type="character" w:customStyle="1" w:styleId="ParaChar">
    <w:name w:val="Para Char"/>
    <w:basedOn w:val="DefaultParagraphFont"/>
    <w:link w:val="Para"/>
    <w:uiPriority w:val="99"/>
    <w:rsid w:val="002902B7"/>
  </w:style>
  <w:style w:type="paragraph" w:customStyle="1" w:styleId="Para">
    <w:name w:val="Para"/>
    <w:basedOn w:val="Normal"/>
    <w:link w:val="ParaChar"/>
    <w:uiPriority w:val="99"/>
    <w:rsid w:val="002902B7"/>
    <w:pPr>
      <w:spacing w:before="0" w:after="0" w:line="340" w:lineRule="exact"/>
      <w:jc w:val="both"/>
    </w:pPr>
    <w:rPr>
      <w:rFonts w:ascii="Times New Roman" w:hAnsi="Times New Roman"/>
      <w:sz w:val="20"/>
      <w:szCs w:val="20"/>
    </w:rPr>
  </w:style>
  <w:style w:type="character" w:customStyle="1" w:styleId="contenttext1">
    <w:name w:val="contenttext1"/>
    <w:basedOn w:val="DefaultParagraphFont"/>
    <w:rsid w:val="00AE0863"/>
    <w:rPr>
      <w:rFonts w:ascii="Arial" w:hAnsi="Arial" w:cs="Arial" w:hint="default"/>
      <w:sz w:val="24"/>
      <w:szCs w:val="24"/>
    </w:rPr>
  </w:style>
  <w:style w:type="paragraph" w:customStyle="1" w:styleId="Pa56">
    <w:name w:val="Pa56"/>
    <w:basedOn w:val="Normal"/>
    <w:next w:val="Normal"/>
    <w:uiPriority w:val="99"/>
    <w:rsid w:val="00BD64FF"/>
    <w:pPr>
      <w:autoSpaceDE w:val="0"/>
      <w:autoSpaceDN w:val="0"/>
      <w:adjustRightInd w:val="0"/>
      <w:spacing w:before="0" w:after="0" w:line="141" w:lineRule="atLeast"/>
    </w:pPr>
    <w:rPr>
      <w:rFonts w:ascii="Museo Sans 300" w:hAnsi="Museo Sans 300"/>
    </w:rPr>
  </w:style>
  <w:style w:type="paragraph" w:customStyle="1" w:styleId="EXHIBITtextnobullets-small">
    <w:name w:val="EXHIBIT text no bullets - small"/>
    <w:basedOn w:val="Normal"/>
    <w:qFormat/>
    <w:rsid w:val="00216105"/>
    <w:pPr>
      <w:spacing w:before="60" w:after="0"/>
      <w:ind w:right="142"/>
    </w:pPr>
    <w:rPr>
      <w:rFonts w:ascii="TradeGothicLTStd" w:eastAsiaTheme="minorHAnsi" w:hAnsi="TradeGothicLTStd" w:cs="TradeGothicLTStd"/>
      <w:sz w:val="18"/>
      <w:szCs w:val="20"/>
      <w:lang w:eastAsia="en-US"/>
    </w:rPr>
  </w:style>
  <w:style w:type="paragraph" w:customStyle="1" w:styleId="StyleEXHIBITtextnobullets-smallBold">
    <w:name w:val="Style EXHIBIT text no bullets - small + Bold"/>
    <w:basedOn w:val="EXHIBITtextnobullets-small"/>
    <w:rsid w:val="00216105"/>
    <w:rPr>
      <w:b/>
      <w:bCs/>
    </w:rPr>
  </w:style>
  <w:style w:type="character" w:customStyle="1" w:styleId="PlainTextChar">
    <w:name w:val="Plain Text Char"/>
    <w:basedOn w:val="DefaultParagraphFont"/>
    <w:link w:val="PlainText"/>
    <w:uiPriority w:val="99"/>
    <w:semiHidden/>
    <w:rsid w:val="007C745C"/>
    <w:rPr>
      <w:rFonts w:ascii="Courier New" w:hAnsi="Courier New" w:cs="Courier New"/>
    </w:rPr>
  </w:style>
  <w:style w:type="paragraph" w:customStyle="1" w:styleId="MainTitle">
    <w:name w:val="Main Title"/>
    <w:semiHidden/>
    <w:qFormat/>
    <w:rsid w:val="00F74C62"/>
    <w:pPr>
      <w:spacing w:line="740" w:lineRule="exact"/>
      <w:contextualSpacing/>
      <w:jc w:val="right"/>
    </w:pPr>
    <w:rPr>
      <w:rFonts w:ascii="Arial" w:hAnsi="Arial"/>
      <w:bCs/>
      <w:color w:val="237BBC"/>
      <w:kern w:val="32"/>
      <w:sz w:val="5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94313">
      <w:bodyDiv w:val="1"/>
      <w:marLeft w:val="0"/>
      <w:marRight w:val="0"/>
      <w:marTop w:val="0"/>
      <w:marBottom w:val="0"/>
      <w:divBdr>
        <w:top w:val="none" w:sz="0" w:space="0" w:color="auto"/>
        <w:left w:val="none" w:sz="0" w:space="0" w:color="auto"/>
        <w:bottom w:val="none" w:sz="0" w:space="0" w:color="auto"/>
        <w:right w:val="none" w:sz="0" w:space="0" w:color="auto"/>
      </w:divBdr>
    </w:div>
    <w:div w:id="111361654">
      <w:bodyDiv w:val="1"/>
      <w:marLeft w:val="0"/>
      <w:marRight w:val="0"/>
      <w:marTop w:val="0"/>
      <w:marBottom w:val="0"/>
      <w:divBdr>
        <w:top w:val="none" w:sz="0" w:space="0" w:color="auto"/>
        <w:left w:val="none" w:sz="0" w:space="0" w:color="auto"/>
        <w:bottom w:val="none" w:sz="0" w:space="0" w:color="auto"/>
        <w:right w:val="none" w:sz="0" w:space="0" w:color="auto"/>
      </w:divBdr>
      <w:divsChild>
        <w:div w:id="976183927">
          <w:marLeft w:val="0"/>
          <w:marRight w:val="0"/>
          <w:marTop w:val="0"/>
          <w:marBottom w:val="0"/>
          <w:divBdr>
            <w:top w:val="none" w:sz="0" w:space="0" w:color="auto"/>
            <w:left w:val="none" w:sz="0" w:space="0" w:color="auto"/>
            <w:bottom w:val="none" w:sz="0" w:space="0" w:color="auto"/>
            <w:right w:val="none" w:sz="0" w:space="0" w:color="auto"/>
          </w:divBdr>
          <w:divsChild>
            <w:div w:id="1686443725">
              <w:marLeft w:val="0"/>
              <w:marRight w:val="0"/>
              <w:marTop w:val="0"/>
              <w:marBottom w:val="450"/>
              <w:divBdr>
                <w:top w:val="none" w:sz="0" w:space="0" w:color="auto"/>
                <w:left w:val="single" w:sz="6" w:space="0" w:color="BCBEC0"/>
                <w:bottom w:val="single" w:sz="6" w:space="0" w:color="BCBEC0"/>
                <w:right w:val="single" w:sz="6" w:space="0" w:color="BCBEC0"/>
              </w:divBdr>
              <w:divsChild>
                <w:div w:id="930551765">
                  <w:marLeft w:val="0"/>
                  <w:marRight w:val="0"/>
                  <w:marTop w:val="0"/>
                  <w:marBottom w:val="0"/>
                  <w:divBdr>
                    <w:top w:val="none" w:sz="0" w:space="0" w:color="auto"/>
                    <w:left w:val="none" w:sz="0" w:space="0" w:color="auto"/>
                    <w:bottom w:val="none" w:sz="0" w:space="0" w:color="auto"/>
                    <w:right w:val="none" w:sz="0" w:space="0" w:color="auto"/>
                  </w:divBdr>
                  <w:divsChild>
                    <w:div w:id="238636502">
                      <w:marLeft w:val="0"/>
                      <w:marRight w:val="0"/>
                      <w:marTop w:val="0"/>
                      <w:marBottom w:val="0"/>
                      <w:divBdr>
                        <w:top w:val="none" w:sz="0" w:space="0" w:color="auto"/>
                        <w:left w:val="none" w:sz="0" w:space="0" w:color="auto"/>
                        <w:bottom w:val="none" w:sz="0" w:space="0" w:color="auto"/>
                        <w:right w:val="none" w:sz="0" w:space="0" w:color="auto"/>
                      </w:divBdr>
                      <w:divsChild>
                        <w:div w:id="1122921917">
                          <w:marLeft w:val="0"/>
                          <w:marRight w:val="0"/>
                          <w:marTop w:val="0"/>
                          <w:marBottom w:val="0"/>
                          <w:divBdr>
                            <w:top w:val="none" w:sz="0" w:space="0" w:color="auto"/>
                            <w:left w:val="none" w:sz="0" w:space="0" w:color="auto"/>
                            <w:bottom w:val="none" w:sz="0" w:space="0" w:color="auto"/>
                            <w:right w:val="none" w:sz="0" w:space="0" w:color="auto"/>
                          </w:divBdr>
                          <w:divsChild>
                            <w:div w:id="273362986">
                              <w:marLeft w:val="0"/>
                              <w:marRight w:val="0"/>
                              <w:marTop w:val="0"/>
                              <w:marBottom w:val="0"/>
                              <w:divBdr>
                                <w:top w:val="none" w:sz="0" w:space="0" w:color="auto"/>
                                <w:left w:val="none" w:sz="0" w:space="0" w:color="auto"/>
                                <w:bottom w:val="none" w:sz="0" w:space="0" w:color="auto"/>
                                <w:right w:val="none" w:sz="0" w:space="0" w:color="auto"/>
                              </w:divBdr>
                              <w:divsChild>
                                <w:div w:id="131209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675814">
      <w:bodyDiv w:val="1"/>
      <w:marLeft w:val="0"/>
      <w:marRight w:val="0"/>
      <w:marTop w:val="0"/>
      <w:marBottom w:val="0"/>
      <w:divBdr>
        <w:top w:val="none" w:sz="0" w:space="0" w:color="auto"/>
        <w:left w:val="none" w:sz="0" w:space="0" w:color="auto"/>
        <w:bottom w:val="none" w:sz="0" w:space="0" w:color="auto"/>
        <w:right w:val="none" w:sz="0" w:space="0" w:color="auto"/>
      </w:divBdr>
    </w:div>
    <w:div w:id="579095071">
      <w:bodyDiv w:val="1"/>
      <w:marLeft w:val="0"/>
      <w:marRight w:val="0"/>
      <w:marTop w:val="0"/>
      <w:marBottom w:val="0"/>
      <w:divBdr>
        <w:top w:val="none" w:sz="0" w:space="0" w:color="auto"/>
        <w:left w:val="none" w:sz="0" w:space="0" w:color="auto"/>
        <w:bottom w:val="none" w:sz="0" w:space="0" w:color="auto"/>
        <w:right w:val="none" w:sz="0" w:space="0" w:color="auto"/>
      </w:divBdr>
    </w:div>
    <w:div w:id="761681325">
      <w:bodyDiv w:val="1"/>
      <w:marLeft w:val="0"/>
      <w:marRight w:val="0"/>
      <w:marTop w:val="0"/>
      <w:marBottom w:val="0"/>
      <w:divBdr>
        <w:top w:val="none" w:sz="0" w:space="0" w:color="auto"/>
        <w:left w:val="none" w:sz="0" w:space="0" w:color="auto"/>
        <w:bottom w:val="none" w:sz="0" w:space="0" w:color="auto"/>
        <w:right w:val="none" w:sz="0" w:space="0" w:color="auto"/>
      </w:divBdr>
    </w:div>
    <w:div w:id="864250037">
      <w:bodyDiv w:val="1"/>
      <w:marLeft w:val="0"/>
      <w:marRight w:val="0"/>
      <w:marTop w:val="0"/>
      <w:marBottom w:val="0"/>
      <w:divBdr>
        <w:top w:val="none" w:sz="0" w:space="0" w:color="auto"/>
        <w:left w:val="none" w:sz="0" w:space="0" w:color="auto"/>
        <w:bottom w:val="none" w:sz="0" w:space="0" w:color="auto"/>
        <w:right w:val="none" w:sz="0" w:space="0" w:color="auto"/>
      </w:divBdr>
    </w:div>
    <w:div w:id="993947347">
      <w:bodyDiv w:val="1"/>
      <w:marLeft w:val="0"/>
      <w:marRight w:val="0"/>
      <w:marTop w:val="0"/>
      <w:marBottom w:val="0"/>
      <w:divBdr>
        <w:top w:val="none" w:sz="0" w:space="0" w:color="auto"/>
        <w:left w:val="none" w:sz="0" w:space="0" w:color="auto"/>
        <w:bottom w:val="none" w:sz="0" w:space="0" w:color="auto"/>
        <w:right w:val="none" w:sz="0" w:space="0" w:color="auto"/>
      </w:divBdr>
    </w:div>
    <w:div w:id="1061245936">
      <w:bodyDiv w:val="1"/>
      <w:marLeft w:val="0"/>
      <w:marRight w:val="0"/>
      <w:marTop w:val="0"/>
      <w:marBottom w:val="0"/>
      <w:divBdr>
        <w:top w:val="none" w:sz="0" w:space="0" w:color="auto"/>
        <w:left w:val="none" w:sz="0" w:space="0" w:color="auto"/>
        <w:bottom w:val="none" w:sz="0" w:space="0" w:color="auto"/>
        <w:right w:val="none" w:sz="0" w:space="0" w:color="auto"/>
      </w:divBdr>
    </w:div>
    <w:div w:id="1536312969">
      <w:bodyDiv w:val="1"/>
      <w:marLeft w:val="0"/>
      <w:marRight w:val="0"/>
      <w:marTop w:val="0"/>
      <w:marBottom w:val="0"/>
      <w:divBdr>
        <w:top w:val="none" w:sz="0" w:space="0" w:color="auto"/>
        <w:left w:val="none" w:sz="0" w:space="0" w:color="auto"/>
        <w:bottom w:val="none" w:sz="0" w:space="0" w:color="auto"/>
        <w:right w:val="none" w:sz="0" w:space="0" w:color="auto"/>
      </w:divBdr>
    </w:div>
    <w:div w:id="1844323189">
      <w:bodyDiv w:val="1"/>
      <w:marLeft w:val="0"/>
      <w:marRight w:val="0"/>
      <w:marTop w:val="0"/>
      <w:marBottom w:val="0"/>
      <w:divBdr>
        <w:top w:val="none" w:sz="0" w:space="0" w:color="auto"/>
        <w:left w:val="none" w:sz="0" w:space="0" w:color="auto"/>
        <w:bottom w:val="none" w:sz="0" w:space="0" w:color="auto"/>
        <w:right w:val="none" w:sz="0" w:space="0" w:color="auto"/>
      </w:divBdr>
    </w:div>
    <w:div w:id="1991982776">
      <w:bodyDiv w:val="1"/>
      <w:marLeft w:val="0"/>
      <w:marRight w:val="0"/>
      <w:marTop w:val="0"/>
      <w:marBottom w:val="0"/>
      <w:divBdr>
        <w:top w:val="none" w:sz="0" w:space="0" w:color="auto"/>
        <w:left w:val="none" w:sz="0" w:space="0" w:color="auto"/>
        <w:bottom w:val="none" w:sz="0" w:space="0" w:color="auto"/>
        <w:right w:val="none" w:sz="0" w:space="0" w:color="auto"/>
      </w:divBdr>
    </w:div>
    <w:div w:id="214377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yperlink" Target="https://www.humanrights.gov.au/publications/pregnancy-guidelines-200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asx.com.au/regulation/corporate-governance-council.htm" TargetMode="External"/><Relationship Id="rId7" Type="http://schemas.openxmlformats.org/officeDocument/2006/relationships/footnotes" Target="footnotes.xml"/><Relationship Id="rId12" Type="http://schemas.openxmlformats.org/officeDocument/2006/relationships/hyperlink" Target="http://creativecommons.org/licenses/by/3.0/legalcode"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www.wgea.gov.au/sites/default/files/2013-05-10_branded_ppl.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eativecommons.org/licenses/by/3.0/legalcode" TargetMode="External"/><Relationship Id="rId24" Type="http://schemas.openxmlformats.org/officeDocument/2006/relationships/hyperlink" Target="http://www.wwc.org.au//" TargetMode="Externa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www.actu.org.au/HelpDesk/default.aspx" TargetMode="External"/><Relationship Id="rId10" Type="http://schemas.openxmlformats.org/officeDocument/2006/relationships/hyperlink" Target="http://creativecommons.org/licenses/by/3.0/au/deed.en" TargetMode="External"/><Relationship Id="rId19" Type="http://schemas.openxmlformats.org/officeDocument/2006/relationships/hyperlink" Target="http://www.fairwork.gov.au/leave/parental-leave/Pages/default.asp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hyperlink" Target="http://www.acci.asn.au/" TargetMode="External"/></Relationships>
</file>

<file path=word/_rels/endnotes.xml.rels><?xml version="1.0" encoding="UTF-8" standalone="yes"?>
<Relationships xmlns="http://schemas.openxmlformats.org/package/2006/relationships"><Relationship Id="rId2" Type="http://schemas.openxmlformats.org/officeDocument/2006/relationships/hyperlink" Target="https://www.humanrights.gov.au/publications/accelerating-advancement-women-leadership-listening-learning-leading" TargetMode="External"/><Relationship Id="rId1" Type="http://schemas.openxmlformats.org/officeDocument/2006/relationships/hyperlink" Target="http://www.safeworkaustralia.gov.au/sites/swa/about/publications/pages/model-work-health-safety-act-23-june-2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761E1-9D75-4056-B041-6EF4EA5C3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6711</Words>
  <Characters>41148</Characters>
  <Application>Microsoft Office Word</Application>
  <DocSecurity>0</DocSecurity>
  <Lines>342</Lines>
  <Paragraphs>95</Paragraphs>
  <ScaleCrop>false</ScaleCrop>
  <HeadingPairs>
    <vt:vector size="2" baseType="variant">
      <vt:variant>
        <vt:lpstr>Title</vt:lpstr>
      </vt:variant>
      <vt:variant>
        <vt:i4>1</vt:i4>
      </vt:variant>
    </vt:vector>
  </HeadingPairs>
  <TitlesOfParts>
    <vt:vector size="1" baseType="lpstr">
      <vt:lpstr>1</vt:lpstr>
    </vt:vector>
  </TitlesOfParts>
  <Company>Australian Human Rights Commission</Company>
  <LinksUpToDate>false</LinksUpToDate>
  <CharactersWithSpaces>47764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Lisa Pusey</dc:creator>
  <cp:lastModifiedBy>Alison Aggarwal</cp:lastModifiedBy>
  <cp:revision>4</cp:revision>
  <cp:lastPrinted>2014-07-16T06:59:00Z</cp:lastPrinted>
  <dcterms:created xsi:type="dcterms:W3CDTF">2014-07-21T08:33:00Z</dcterms:created>
  <dcterms:modified xsi:type="dcterms:W3CDTF">2014-07-21T22:21:00Z</dcterms:modified>
</cp:coreProperties>
</file>