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5BEC" w:rsidRDefault="008E5BEC" w:rsidP="008E5BEC">
      <w:pPr>
        <w:pStyle w:val="NormalWeb"/>
        <w:spacing w:line="300" w:lineRule="atLeast"/>
        <w:rPr>
          <w:rFonts w:ascii="Calibri" w:hAnsi="Calibri"/>
          <w:sz w:val="22"/>
          <w:szCs w:val="22"/>
          <w:lang w:val="en-GB"/>
        </w:rPr>
      </w:pPr>
    </w:p>
    <w:p w:rsidR="008E5BEC" w:rsidRDefault="008E5BEC" w:rsidP="008E5BEC">
      <w:pPr>
        <w:pStyle w:val="NormalWeb"/>
        <w:spacing w:line="300" w:lineRule="atLeast"/>
        <w:rPr>
          <w:rFonts w:ascii="Calibri" w:hAnsi="Calibri"/>
          <w:sz w:val="22"/>
          <w:szCs w:val="22"/>
          <w:lang w:val="en-GB"/>
        </w:rPr>
      </w:pPr>
      <w:r>
        <w:rPr>
          <w:rFonts w:ascii="Calibri" w:hAnsi="Calibri"/>
          <w:sz w:val="22"/>
          <w:szCs w:val="22"/>
          <w:lang w:val="en-GB"/>
        </w:rPr>
        <w:t xml:space="preserve">An Australian Disability Enterprise (ADE) is a not-for-profit organisation, with charitable status, which provides meaningful employment for people with significant disability who would otherwise not be able to work. It is a business that makes products, or provides services.  The ADE operated by </w:t>
      </w:r>
      <w:proofErr w:type="spellStart"/>
      <w:r>
        <w:rPr>
          <w:rFonts w:ascii="Calibri" w:hAnsi="Calibri"/>
          <w:sz w:val="22"/>
          <w:szCs w:val="22"/>
          <w:lang w:val="en-GB"/>
        </w:rPr>
        <w:t>Sunnyfield</w:t>
      </w:r>
      <w:proofErr w:type="spellEnd"/>
      <w:r>
        <w:rPr>
          <w:rFonts w:ascii="Calibri" w:hAnsi="Calibri"/>
          <w:sz w:val="22"/>
          <w:szCs w:val="22"/>
          <w:lang w:val="en-GB"/>
        </w:rPr>
        <w:t xml:space="preserve"> (Enterprises) incurred nearly $500m operating loss last year and we expect to break even this year.  We do this by finding a range of work that people with disability, primarily intellectual disability, can participate in including TGA Primary and TGA secondary as well as general packaging that is financially viable and sustaining.  If we are good at what we do we get more orders and therefore more work means we can make a small margin which we put back into the business.</w:t>
      </w:r>
    </w:p>
    <w:p w:rsidR="008E5BEC" w:rsidRDefault="008E5BEC" w:rsidP="008E5BEC">
      <w:pPr>
        <w:pStyle w:val="NormalWeb"/>
        <w:spacing w:line="300" w:lineRule="atLeast"/>
        <w:rPr>
          <w:rFonts w:ascii="Calibri" w:hAnsi="Calibri"/>
          <w:sz w:val="22"/>
          <w:szCs w:val="22"/>
          <w:lang w:val="en-GB"/>
        </w:rPr>
      </w:pPr>
    </w:p>
    <w:p w:rsidR="008E5BEC" w:rsidRDefault="008E5BEC" w:rsidP="008E5BEC">
      <w:pPr>
        <w:pStyle w:val="NormalWeb"/>
        <w:spacing w:line="300" w:lineRule="atLeast"/>
        <w:rPr>
          <w:rFonts w:ascii="Calibri" w:hAnsi="Calibri"/>
          <w:sz w:val="22"/>
          <w:szCs w:val="22"/>
          <w:lang w:val="en-GB"/>
        </w:rPr>
      </w:pPr>
      <w:r>
        <w:rPr>
          <w:rFonts w:ascii="Calibri" w:hAnsi="Calibri"/>
          <w:sz w:val="22"/>
          <w:szCs w:val="22"/>
          <w:lang w:val="en-GB"/>
        </w:rPr>
        <w:t xml:space="preserve">The claim that we are exploiting people with disability to make profit is utter nonsense and a completely false representation of what we do and who we are as an organisation.  If this were the case our Board would have shut this operation down many years ago.  We do this because it is core part of </w:t>
      </w:r>
      <w:proofErr w:type="spellStart"/>
      <w:r>
        <w:rPr>
          <w:rFonts w:ascii="Calibri" w:hAnsi="Calibri"/>
          <w:sz w:val="22"/>
          <w:szCs w:val="22"/>
          <w:lang w:val="en-GB"/>
        </w:rPr>
        <w:t>Sunnyfield’s</w:t>
      </w:r>
      <w:proofErr w:type="spellEnd"/>
      <w:r>
        <w:rPr>
          <w:rFonts w:ascii="Calibri" w:hAnsi="Calibri"/>
          <w:sz w:val="22"/>
          <w:szCs w:val="22"/>
          <w:lang w:val="en-GB"/>
        </w:rPr>
        <w:t xml:space="preserve"> heritage and person centred philosophy.  For </w:t>
      </w:r>
      <w:proofErr w:type="spellStart"/>
      <w:r>
        <w:rPr>
          <w:rFonts w:ascii="Calibri" w:hAnsi="Calibri"/>
          <w:sz w:val="22"/>
          <w:szCs w:val="22"/>
          <w:lang w:val="en-GB"/>
        </w:rPr>
        <w:t>Sunnyfield</w:t>
      </w:r>
      <w:proofErr w:type="spellEnd"/>
      <w:r>
        <w:rPr>
          <w:rFonts w:ascii="Calibri" w:hAnsi="Calibri"/>
          <w:sz w:val="22"/>
          <w:szCs w:val="22"/>
          <w:lang w:val="en-GB"/>
        </w:rPr>
        <w:t>, our ADE is a key part of our service footprint to people with an intellectual disability. We employ approximately 300 people with disability and under the current wage assessment tool our supported employees are paid in line with their capacity to fulfil the requirements of the work.  If they are able to produce 100% of what is required then they will be paid the full wage.  If they can only produce 50% then they receive 50% of the wage etc.  We have some supported employees on nearly full wages but the vast majority of our supported employees are on far less because of their productive capacity.  If I could only work 10% of what is required in my role why would I expect my employer to pay me 100% of my salary?</w:t>
      </w:r>
    </w:p>
    <w:p w:rsidR="008E5BEC" w:rsidRDefault="008E5BEC" w:rsidP="008E5BEC">
      <w:pPr>
        <w:pStyle w:val="NormalWeb"/>
        <w:spacing w:line="300" w:lineRule="atLeast"/>
        <w:rPr>
          <w:rFonts w:ascii="Calibri" w:hAnsi="Calibri"/>
          <w:sz w:val="22"/>
          <w:szCs w:val="22"/>
          <w:lang w:val="en-GB"/>
        </w:rPr>
      </w:pPr>
    </w:p>
    <w:p w:rsidR="008E5BEC" w:rsidRDefault="008E5BEC" w:rsidP="008E5BEC">
      <w:pPr>
        <w:pStyle w:val="NormalWeb"/>
        <w:spacing w:line="300" w:lineRule="atLeast"/>
        <w:rPr>
          <w:rFonts w:ascii="Calibri" w:hAnsi="Calibri"/>
          <w:sz w:val="22"/>
          <w:szCs w:val="22"/>
          <w:lang w:val="en-GB"/>
        </w:rPr>
      </w:pPr>
      <w:r>
        <w:rPr>
          <w:rFonts w:ascii="Calibri" w:hAnsi="Calibri"/>
          <w:sz w:val="22"/>
          <w:szCs w:val="22"/>
          <w:lang w:val="en-GB"/>
        </w:rPr>
        <w:t>Many of our supported employees and especially those with moderate to severe levels of disability come to work because they enjoy it, it has been a significant part of their routine for many years and not because of the wages they receive.  They like the work they do, they like being with their friends (many don’t have any friendships outside of work), they know their work is valued and their days are meaningful.  They even come to work when they are sick as it is often impossible to convince them to stay away. Our supported staff love their jobs, and those who are familiar with Enterprises will readily understand the passion that goes into running this business.</w:t>
      </w:r>
    </w:p>
    <w:p w:rsidR="008E5BEC" w:rsidRDefault="008E5BEC" w:rsidP="008E5BEC">
      <w:pPr>
        <w:pStyle w:val="NormalWeb"/>
        <w:spacing w:line="300" w:lineRule="atLeast"/>
        <w:rPr>
          <w:rFonts w:ascii="Calibri" w:hAnsi="Calibri"/>
          <w:sz w:val="22"/>
          <w:szCs w:val="22"/>
          <w:lang w:val="en-GB"/>
        </w:rPr>
      </w:pPr>
    </w:p>
    <w:p w:rsidR="008E5BEC" w:rsidRDefault="008E5BEC" w:rsidP="008E5BEC">
      <w:pPr>
        <w:pStyle w:val="NormalWeb"/>
        <w:spacing w:line="300" w:lineRule="atLeast"/>
        <w:rPr>
          <w:rFonts w:ascii="Calibri" w:hAnsi="Calibri"/>
          <w:sz w:val="22"/>
          <w:szCs w:val="22"/>
          <w:lang w:val="en-GB"/>
        </w:rPr>
      </w:pPr>
      <w:r>
        <w:rPr>
          <w:rFonts w:ascii="Calibri" w:hAnsi="Calibri"/>
          <w:sz w:val="22"/>
          <w:szCs w:val="22"/>
          <w:lang w:val="en-GB"/>
        </w:rPr>
        <w:t>The very idea that this case could effectively close down most ADE’s if not all is sheer stupidity of the highest order.  It makes no sense financially as it will cost society nearly a $700m more per year to support the 20,000 supported employees who will be without a job.  It makes no sense from a human rights perspective as 20,000 peoples’ lives will be significantly and adversely affected and it makes no sense from a person centred perspective where a person’s free choice to work can be overturned and ignored.</w:t>
      </w:r>
    </w:p>
    <w:p w:rsidR="008E5BEC" w:rsidRDefault="008E5BEC" w:rsidP="008E5BEC">
      <w:pPr>
        <w:pStyle w:val="NormalWeb"/>
        <w:spacing w:line="300" w:lineRule="atLeast"/>
        <w:rPr>
          <w:rFonts w:ascii="Calibri" w:hAnsi="Calibri"/>
          <w:sz w:val="22"/>
          <w:szCs w:val="22"/>
          <w:lang w:val="en-GB"/>
        </w:rPr>
      </w:pPr>
    </w:p>
    <w:p w:rsidR="008E5BEC" w:rsidRDefault="008E5BEC" w:rsidP="008E5BEC">
      <w:pPr>
        <w:pStyle w:val="NormalWeb"/>
        <w:spacing w:line="300" w:lineRule="atLeast"/>
        <w:rPr>
          <w:rFonts w:ascii="Calibri" w:hAnsi="Calibri"/>
          <w:sz w:val="22"/>
          <w:szCs w:val="22"/>
          <w:lang w:val="en-GB"/>
        </w:rPr>
      </w:pPr>
      <w:bookmarkStart w:id="0" w:name="_GoBack"/>
      <w:bookmarkEnd w:id="0"/>
    </w:p>
    <w:p w:rsidR="008E5BEC" w:rsidRDefault="008E5BEC" w:rsidP="008E5BEC">
      <w:pPr>
        <w:pStyle w:val="NormalWeb"/>
        <w:spacing w:line="300" w:lineRule="atLeast"/>
        <w:rPr>
          <w:rFonts w:ascii="Calibri" w:hAnsi="Calibri"/>
          <w:sz w:val="22"/>
          <w:szCs w:val="22"/>
          <w:lang w:val="en-GB"/>
        </w:rPr>
      </w:pPr>
    </w:p>
    <w:p w:rsidR="008E5BEC" w:rsidRPr="008E5BEC" w:rsidRDefault="008E5BEC" w:rsidP="008E5BEC">
      <w:pPr>
        <w:pStyle w:val="NormalWeb"/>
        <w:spacing w:line="300" w:lineRule="atLeast"/>
        <w:rPr>
          <w:rFonts w:ascii="Calibri" w:eastAsia="Times New Roman" w:hAnsi="Calibri"/>
          <w:sz w:val="22"/>
          <w:szCs w:val="22"/>
          <w:lang w:val="en-GB" w:eastAsia="en-AU"/>
        </w:rPr>
      </w:pPr>
    </w:p>
    <w:tbl>
      <w:tblPr>
        <w:tblW w:w="10500" w:type="dxa"/>
        <w:tblCellMar>
          <w:left w:w="0" w:type="dxa"/>
          <w:right w:w="0" w:type="dxa"/>
        </w:tblCellMar>
        <w:tblLook w:val="04A0" w:firstRow="1" w:lastRow="0" w:firstColumn="1" w:lastColumn="0" w:noHBand="0" w:noVBand="1"/>
      </w:tblPr>
      <w:tblGrid>
        <w:gridCol w:w="8250"/>
        <w:gridCol w:w="2250"/>
      </w:tblGrid>
      <w:tr w:rsidR="008E5BEC" w:rsidTr="008E5BEC">
        <w:tc>
          <w:tcPr>
            <w:tcW w:w="8250" w:type="dxa"/>
            <w:vAlign w:val="center"/>
            <w:hideMark/>
          </w:tcPr>
          <w:p w:rsidR="008E5BEC" w:rsidRDefault="008E5BEC">
            <w:pPr>
              <w:pStyle w:val="NormalWeb"/>
              <w:rPr>
                <w:sz w:val="24"/>
                <w:szCs w:val="24"/>
                <w:lang w:eastAsia="en-AU"/>
              </w:rPr>
            </w:pPr>
            <w:proofErr w:type="spellStart"/>
            <w:r>
              <w:rPr>
                <w:rStyle w:val="Strong"/>
                <w:rFonts w:ascii="Calibri" w:hAnsi="Calibri"/>
                <w:sz w:val="27"/>
                <w:szCs w:val="27"/>
              </w:rPr>
              <w:t>Dr.</w:t>
            </w:r>
            <w:proofErr w:type="spellEnd"/>
            <w:r>
              <w:rPr>
                <w:rStyle w:val="Strong"/>
                <w:rFonts w:ascii="Calibri" w:hAnsi="Calibri"/>
                <w:sz w:val="27"/>
                <w:szCs w:val="27"/>
              </w:rPr>
              <w:t xml:space="preserve"> Mark Clayton</w:t>
            </w:r>
            <w:r>
              <w:rPr>
                <w:rFonts w:ascii="Calibri" w:hAnsi="Calibri"/>
                <w:sz w:val="27"/>
                <w:szCs w:val="27"/>
              </w:rPr>
              <w:br/>
              <w:t>A/Chief Operating Officer</w:t>
            </w:r>
          </w:p>
          <w:p w:rsidR="008E5BEC" w:rsidRDefault="008E5BEC">
            <w:pPr>
              <w:pStyle w:val="NormalWeb"/>
              <w:rPr>
                <w:color w:val="000000"/>
              </w:rPr>
            </w:pPr>
            <w:r>
              <w:rPr>
                <w:rFonts w:ascii="Calibri" w:hAnsi="Calibri"/>
                <w:color w:val="000000"/>
              </w:rPr>
              <w:t xml:space="preserve">T: +61 2 8977 8803 </w:t>
            </w:r>
            <w:r>
              <w:rPr>
                <w:rFonts w:ascii="Calibri" w:hAnsi="Calibri"/>
                <w:color w:val="7AC143"/>
              </w:rPr>
              <w:t xml:space="preserve">| </w:t>
            </w:r>
            <w:r>
              <w:rPr>
                <w:rFonts w:ascii="Calibri" w:hAnsi="Calibri"/>
                <w:color w:val="000000"/>
              </w:rPr>
              <w:t xml:space="preserve">F: +61 2 8977 2960 </w:t>
            </w:r>
            <w:r>
              <w:rPr>
                <w:rFonts w:ascii="Calibri" w:hAnsi="Calibri"/>
                <w:color w:val="7AC143"/>
              </w:rPr>
              <w:t xml:space="preserve">| </w:t>
            </w:r>
            <w:r>
              <w:rPr>
                <w:rFonts w:ascii="Calibri" w:hAnsi="Calibri"/>
                <w:color w:val="000000"/>
              </w:rPr>
              <w:t>M: +61 403 078 450</w:t>
            </w:r>
            <w:r>
              <w:rPr>
                <w:rFonts w:ascii="Calibri" w:hAnsi="Calibri"/>
                <w:color w:val="000000"/>
              </w:rPr>
              <w:br/>
              <w:t>A: 185 Allambie Rd  Allambie Heights  NSW  2100</w:t>
            </w:r>
            <w:r>
              <w:rPr>
                <w:rFonts w:ascii="Calibri" w:hAnsi="Calibri"/>
                <w:color w:val="000000"/>
              </w:rPr>
              <w:br/>
              <w:t xml:space="preserve">W: </w:t>
            </w:r>
            <w:hyperlink r:id="rId7" w:tooltip="" w:history="1">
              <w:r>
                <w:rPr>
                  <w:rStyle w:val="Hyperlink"/>
                  <w:rFonts w:ascii="Calibri" w:hAnsi="Calibri"/>
                </w:rPr>
                <w:t>www.sunnyfield.org.au</w:t>
              </w:r>
            </w:hyperlink>
          </w:p>
        </w:tc>
        <w:tc>
          <w:tcPr>
            <w:tcW w:w="2250" w:type="dxa"/>
            <w:vAlign w:val="center"/>
            <w:hideMark/>
          </w:tcPr>
          <w:p w:rsidR="008E5BEC" w:rsidRDefault="008E5BEC" w:rsidP="008E5BEC">
            <w:pPr>
              <w:pStyle w:val="NormalWeb"/>
              <w:jc w:val="right"/>
            </w:pPr>
            <w:r>
              <w:rPr>
                <w:noProof/>
                <w:color w:val="0563C1"/>
              </w:rPr>
              <w:drawing>
                <wp:anchor distT="0" distB="0" distL="114300" distR="114300" simplePos="0" relativeHeight="251650560" behindDoc="0" locked="0" layoutInCell="1" allowOverlap="1" wp14:anchorId="2DD099DA" wp14:editId="36AB0F2C">
                  <wp:simplePos x="6391275" y="8439150"/>
                  <wp:positionH relativeFrom="margin">
                    <wp:align>left</wp:align>
                  </wp:positionH>
                  <wp:positionV relativeFrom="margin">
                    <wp:align>top</wp:align>
                  </wp:positionV>
                  <wp:extent cx="1143000" cy="1323975"/>
                  <wp:effectExtent l="0" t="0" r="0" b="9525"/>
                  <wp:wrapSquare wrapText="bothSides"/>
                  <wp:docPr id="2" name="Picture 2" descr="cid:0b9178625ec44806a8d711c8e3238272">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0b9178625ec44806a8d711c8e3238272">
                            <a:hlinkClick r:id="rId7"/>
                          </pic:cNvPr>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1143000" cy="1323975"/>
                          </a:xfrm>
                          <a:prstGeom prst="rect">
                            <a:avLst/>
                          </a:prstGeom>
                          <a:noFill/>
                          <a:ln>
                            <a:noFill/>
                          </a:ln>
                        </pic:spPr>
                      </pic:pic>
                    </a:graphicData>
                  </a:graphic>
                </wp:anchor>
              </w:drawing>
            </w:r>
            <w:r>
              <w:t> </w:t>
            </w:r>
          </w:p>
        </w:tc>
      </w:tr>
    </w:tbl>
    <w:p w:rsidR="008E5BEC" w:rsidRDefault="008E5BEC" w:rsidP="008E5BEC">
      <w:pPr>
        <w:pStyle w:val="NormalWeb"/>
        <w:rPr>
          <w:rStyle w:val="Hyperlink"/>
          <w:lang w:eastAsia="en-AU"/>
        </w:rPr>
      </w:pPr>
    </w:p>
    <w:p w:rsidR="008A2AF7" w:rsidRPr="00A02F56" w:rsidRDefault="008A2AF7" w:rsidP="00061380"/>
    <w:sectPr w:rsidR="008A2AF7" w:rsidRPr="00A02F56" w:rsidSect="008E5BEC">
      <w:footerReference w:type="default" r:id="rId10"/>
      <w:endnotePr>
        <w:numFmt w:val="decimal"/>
      </w:endnotePr>
      <w:pgSz w:w="11906" w:h="16838" w:code="9"/>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5BEC" w:rsidRDefault="008E5BEC" w:rsidP="00F14C6D">
      <w:r>
        <w:separator/>
      </w:r>
    </w:p>
  </w:endnote>
  <w:endnote w:type="continuationSeparator" w:id="0">
    <w:p w:rsidR="008E5BEC" w:rsidRDefault="008E5BEC"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00C" w:rsidRDefault="008E5BEC" w:rsidP="008E5BEC">
    <w:pPr>
      <w:pStyle w:val="Footer"/>
      <w:jc w:val="center"/>
    </w:pPr>
    <w:r>
      <w:rPr>
        <w:noProof/>
        <w:color w:val="0563C1"/>
      </w:rPr>
      <w:drawing>
        <wp:anchor distT="0" distB="0" distL="114300" distR="114300" simplePos="0" relativeHeight="251667968" behindDoc="0" locked="0" layoutInCell="1" allowOverlap="1" wp14:anchorId="696AF127" wp14:editId="46B2654C">
          <wp:simplePos x="0" y="0"/>
          <wp:positionH relativeFrom="margin">
            <wp:posOffset>0</wp:posOffset>
          </wp:positionH>
          <wp:positionV relativeFrom="margin">
            <wp:posOffset>9623425</wp:posOffset>
          </wp:positionV>
          <wp:extent cx="6667500" cy="104775"/>
          <wp:effectExtent l="0" t="0" r="0" b="9525"/>
          <wp:wrapSquare wrapText="bothSides"/>
          <wp:docPr id="1" name="Picture 1" descr="cid:7e684eb648e046d0bdf5ea82ffb3496f">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7e684eb648e046d0bdf5ea82ffb3496f">
                    <a:hlinkClick r:id="rId1"/>
                  </pic:cNvPr>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6667500" cy="104775"/>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5BEC" w:rsidRDefault="008E5BEC" w:rsidP="00F14C6D">
      <w:r>
        <w:separator/>
      </w:r>
    </w:p>
  </w:footnote>
  <w:footnote w:type="continuationSeparator" w:id="0">
    <w:p w:rsidR="008E5BEC" w:rsidRDefault="008E5BEC"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15:restartNumberingAfterBreak="0">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5BEC"/>
    <w:rsid w:val="0001254B"/>
    <w:rsid w:val="00013272"/>
    <w:rsid w:val="00021134"/>
    <w:rsid w:val="000540A0"/>
    <w:rsid w:val="000579B1"/>
    <w:rsid w:val="00061380"/>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3040CA"/>
    <w:rsid w:val="00310ED4"/>
    <w:rsid w:val="0031492A"/>
    <w:rsid w:val="00316504"/>
    <w:rsid w:val="00316C1A"/>
    <w:rsid w:val="00321AF0"/>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3A80"/>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D40BD"/>
    <w:rsid w:val="007E1866"/>
    <w:rsid w:val="007E6434"/>
    <w:rsid w:val="00810ABF"/>
    <w:rsid w:val="008125EE"/>
    <w:rsid w:val="0083209A"/>
    <w:rsid w:val="008724DE"/>
    <w:rsid w:val="008A2AF7"/>
    <w:rsid w:val="008A3D57"/>
    <w:rsid w:val="008E3D60"/>
    <w:rsid w:val="008E5BEC"/>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A515B508-67D8-43B4-AC17-7D36696E8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uiPriority="22"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5BEC"/>
    <w:rPr>
      <w:rFonts w:ascii="Verdana" w:eastAsiaTheme="minorHAnsi" w:hAnsi="Verdana"/>
      <w:lang w:eastAsia="en-US"/>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ind w:left="720" w:hanging="720"/>
    </w:pPr>
    <w:rPr>
      <w:b/>
    </w:rPr>
  </w:style>
  <w:style w:type="paragraph" w:styleId="TOC2">
    <w:name w:val="toc 2"/>
    <w:basedOn w:val="Normal"/>
    <w:next w:val="Normal"/>
    <w:autoRedefine/>
    <w:uiPriority w:val="39"/>
    <w:semiHidden/>
    <w:qFormat/>
    <w:locked/>
    <w:rsid w:val="002702D9"/>
    <w:pPr>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rPr>
  </w:style>
  <w:style w:type="paragraph" w:styleId="EndnoteText">
    <w:name w:val="endnote text"/>
    <w:basedOn w:val="Normal"/>
    <w:link w:val="EndnoteTextChar"/>
    <w:semiHidden/>
    <w:rsid w:val="00706FAB"/>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821565">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www.sunnyfield.org.a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cid:0b9178625ec44806a8d711c8e3238272" TargetMode="External"/></Relationships>
</file>

<file path=word/_rels/footer1.xml.rels><?xml version="1.0" encoding="UTF-8" standalone="yes"?>
<Relationships xmlns="http://schemas.openxmlformats.org/package/2006/relationships"><Relationship Id="rId3" Type="http://schemas.openxmlformats.org/officeDocument/2006/relationships/image" Target="cid:7e684eb648e046d0bdf5ea82ffb3496f" TargetMode="External"/><Relationship Id="rId2" Type="http://schemas.openxmlformats.org/officeDocument/2006/relationships/image" Target="media/image2.png"/><Relationship Id="rId1" Type="http://schemas.openxmlformats.org/officeDocument/2006/relationships/hyperlink" Target="https://www.facebook.com/Sunnyfield.NS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492</Words>
  <Characters>2811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3297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Isobel McGarity</dc:creator>
  <cp:keywords/>
  <dc:description/>
  <cp:lastModifiedBy>Isobel McGarity</cp:lastModifiedBy>
  <cp:revision>1</cp:revision>
  <dcterms:created xsi:type="dcterms:W3CDTF">2015-06-29T00:01:00Z</dcterms:created>
  <dcterms:modified xsi:type="dcterms:W3CDTF">2015-06-29T00:05:00Z</dcterms:modified>
</cp:coreProperties>
</file>