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1951" w:rsidRPr="00654793" w:rsidRDefault="00C27A20" w:rsidP="00591951">
      <w:pPr>
        <w:tabs>
          <w:tab w:val="left" w:pos="3014"/>
        </w:tabs>
        <w:spacing w:after="3000"/>
        <w:rPr>
          <w:rStyle w:val="FootnoteReference"/>
        </w:rPr>
      </w:pPr>
      <w:r>
        <w:rPr>
          <w:noProof/>
        </w:rPr>
        <mc:AlternateContent>
          <mc:Choice Requires="wps">
            <w:drawing>
              <wp:anchor distT="0" distB="0" distL="114300" distR="114300" simplePos="0" relativeHeight="251658752" behindDoc="0" locked="0" layoutInCell="1" allowOverlap="1" wp14:anchorId="56341EBE" wp14:editId="288C400F">
                <wp:simplePos x="0" y="0"/>
                <wp:positionH relativeFrom="column">
                  <wp:posOffset>1959610</wp:posOffset>
                </wp:positionH>
                <wp:positionV relativeFrom="paragraph">
                  <wp:posOffset>2145969</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270581" w:rsidRPr="00B74219" w:rsidRDefault="00270581" w:rsidP="002863D7">
                            <w:pPr>
                              <w:pStyle w:val="Date"/>
                            </w:pPr>
                            <w:r w:rsidRPr="00DB4907">
                              <w:t>18</w:t>
                            </w:r>
                            <w:r>
                              <w:t xml:space="preserve"> April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4.3pt;margin-top:168.9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RtOwIAAHgEAAAOAAAAZHJzL2Uyb0RvYy54bWysVEtv2zAMvg/YfxB0X2zn2RlxiqxFhgFB&#10;WyAZelZkKTYmi5qkxO5+/Sg5L3Q7DbvIFPmJr4/0/L5rFDkK62rQBc0GKSVCcyhrvS/o9+3q0x0l&#10;zjNdMgVaFPRNOHq/+Phh3ppcDKECVQpL0Il2eWsKWnlv8iRxvBINcwMwQqNRgm2Yx6vdJ6VlLXpv&#10;VDJM02nSgi2NBS6cQ+1jb6SL6F9Kwf2zlE54ogqKufl42njuwpks5izfW2aqmp/SYP+QRcNqjUEv&#10;rh6ZZ+Rg6z9cNTW34ED6AYcmASlrLmINWE2WvqtmUzEjYi3YHGcubXL/zy1/Or5YUpcFHVOiWYMU&#10;bUXnyRfoyDh0pzUuR9DGIMx3qEaWY6XOrIH/cAhJbjD9A4fo0I1O2iZ8sU6CD5GAt0vTQxSOytFs&#10;NklnE0o42kbTbJRNQtzk+tpY578KaEgQCmqR1JgBO66d76FnSAimYVUrhXqWK03agk5HkzQ+uFjQ&#10;udIBIOKInNyEMvrMg+S7XYdOgriD8g3Lt9CPjzN8VWMqa+b8C7M4L1gY7oB/xkMqwJBwkiipwP76&#10;mz7gkUa0UtLi/BXU/TwwKyhR3zQS/Dkbj8PAxst4Mhvixd5adrcWfWgeAEc8w20zPIoB79VZlBaa&#10;V1yVZYiKJqY5xi6oP4sPvt8KXDUulssIwhE1zK/1xvAz66HR2+6VWXNiwyOPT3CeVJa/I6XH9rQs&#10;Dx5kHRm7dvU0PjjekfPTKob9ub1H1PWHsfgNAAD//wMAUEsDBBQABgAIAAAAIQBKJ9iF4QAAAAsB&#10;AAAPAAAAZHJzL2Rvd25yZXYueG1sTI/LTsMwEEX3SPyDNUjsqF2C2iTEqSoEGySEWiohdm5s4oA9&#10;Drbbhr9nWMFuHkd3zjSryTt2NDENASXMZwKYwS7oAXsJu5eHqxJYygq1cgGNhG+TYNWenzWq1uGE&#10;G3Pc5p5RCKZaSbA5jzXnqbPGqzQLo0HavYfoVaY29lxHdaJw7/i1EAvu1YB0warR3FnTfW4PXsKy&#10;fNP2Iz5Ou9en9Zd9Hrm7V1zKy4tpfQssmyn/wfCrT+rQktM+HFAn5iQUolwQSkWxrIARUYliDmxP&#10;k+qmBN42/P8P7Q8AAAD//wMAUEsBAi0AFAAGAAgAAAAhALaDOJL+AAAA4QEAABMAAAAAAAAAAAAA&#10;AAAAAAAAAFtDb250ZW50X1R5cGVzXS54bWxQSwECLQAUAAYACAAAACEAOP0h/9YAAACUAQAACwAA&#10;AAAAAAAAAAAAAAAvAQAAX3JlbHMvLnJlbHNQSwECLQAUAAYACAAAACEA4BCEbTsCAAB4BAAADgAA&#10;AAAAAAAAAAAAAAAuAgAAZHJzL2Uyb0RvYy54bWxQSwECLQAUAAYACAAAACEASifYheEAAAALAQAA&#10;DwAAAAAAAAAAAAAAAACVBAAAZHJzL2Rvd25yZXYueG1sUEsFBgAAAAAEAAQA8wAAAKMFAAAAAA==&#10;" filled="f" stroked="f" strokeweight=".5pt">
                <v:path arrowok="t"/>
                <v:textbox>
                  <w:txbxContent>
                    <w:p w:rsidR="00C01A87" w:rsidRPr="00B74219" w:rsidRDefault="00C01A87" w:rsidP="002863D7">
                      <w:pPr>
                        <w:pStyle w:val="Date"/>
                      </w:pPr>
                      <w:r w:rsidRPr="00DB4907">
                        <w:t>18</w:t>
                      </w:r>
                      <w:r>
                        <w:t xml:space="preserve"> April 2013</w:t>
                      </w:r>
                    </w:p>
                  </w:txbxContent>
                </v:textbox>
              </v:shape>
            </w:pict>
          </mc:Fallback>
        </mc:AlternateContent>
      </w:r>
      <w:r w:rsidR="00D537F8">
        <w:rPr>
          <w:noProof/>
        </w:rPr>
        <mc:AlternateContent>
          <mc:Choice Requires="wps">
            <w:drawing>
              <wp:anchor distT="0" distB="0" distL="114300" distR="114300" simplePos="0" relativeHeight="251657728" behindDoc="0" locked="0" layoutInCell="1" allowOverlap="1" wp14:anchorId="794C20C4" wp14:editId="7891FE0E">
                <wp:simplePos x="0" y="0"/>
                <wp:positionH relativeFrom="column">
                  <wp:posOffset>-351790</wp:posOffset>
                </wp:positionH>
                <wp:positionV relativeFrom="paragraph">
                  <wp:posOffset>1316769</wp:posOffset>
                </wp:positionV>
                <wp:extent cx="6082665" cy="1021273"/>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665" cy="1021273"/>
                        </a:xfrm>
                        <a:prstGeom prst="rect">
                          <a:avLst/>
                        </a:prstGeom>
                        <a:noFill/>
                        <a:ln w="6350">
                          <a:noFill/>
                        </a:ln>
                        <a:effectLst/>
                      </wps:spPr>
                      <wps:txbx>
                        <w:txbxContent>
                          <w:p w:rsidR="00270581" w:rsidRPr="00C27A20" w:rsidRDefault="00270581" w:rsidP="003050FA">
                            <w:pPr>
                              <w:jc w:val="right"/>
                              <w:rPr>
                                <w:b/>
                              </w:rPr>
                            </w:pPr>
                            <w:r w:rsidRPr="003050FA">
                              <w:rPr>
                                <w:b/>
                              </w:rPr>
                              <w:t>AUSTRALIAN HUMAN RIGHTS COMMISSION SUBMISSION TO THE HOUSE STANDING COMMITTEE ON EDUCATION AND EMPLOYMENT</w:t>
                            </w:r>
                            <w:r w:rsidRPr="00CF5561" w:rsidDel="00350BAF">
                              <w:rPr>
                                <w:rFonts w:cs="Arial"/>
                                <w:b/>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7.7pt;margin-top:103.7pt;width:478.95pt;height:8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1FQAIAAIAEAAAOAAAAZHJzL2Uyb0RvYy54bWysVMlu2zAQvRfoPxC811q8JBUsB24CFwWM&#10;JIBd5ExTpCVU4rAkbSn9+g4pyTHSnopeqCHnzfpmtLzrmpqchbEVqJwmk5gSoTgUlTrm9Pt+8+mW&#10;EuuYKlgNSuT0VVh6t/r4YdnqTKRQQl0IQ9CJslmrc1o6p7MosrwUDbMT0EKhUoJpmMOrOUaFYS16&#10;b+oojeNF1IIptAEurMXXh15JV8G/lIK7JymtcKTOKebmwmnCefBntFqy7GiYLis+pMH+IYuGVQqD&#10;Xlw9MMfIyVR/uGoqbsCCdBMOTQRSVlyEGrCaJH5Xza5kWoRasDlWX9pk/59b/nh+NqQqcjqlRLEG&#10;KdqLzpEv0JGp706rbYagnUaY6/AZWQ6VWr0F/sMiJLrC9AYW0b4bnTSN/2KdBA2RgNdL030Ujo+L&#10;+DZdLOaUcNQlcZqkNyFw9GaujXVfBTTECzk1yGpIgZ231vkEWDZCfDQFm6quA7O1Ii2GmM7jYHDR&#10;oEWtPFaEGRnc+Dr61L3kukMXOpOMfThA8YptMNCPkdV8U2FGW2bdMzM4N1gg7oJ7wkPWgJFhkCgp&#10;wfz627vHI52opaTFOcyp/XliRlBSf1NI9OdkNvODGy6z+U2KF3OtOVxr1Km5Bxz1BLdO8yB6vKtH&#10;URpoXnBl1j4qqpjiGDunbhTvXb8duHJcrNcBhKOqmduqneYj+77f++6FGT2Q4pDPRxgnlmXvuOmx&#10;PTvrkwNZBeJ8n/uuDmOEYx74HFbS79H1PaDefhyr3wAAAP//AwBQSwMEFAAGAAgAAAAhANKBrT7h&#10;AAAACwEAAA8AAABkcnMvZG93bnJldi54bWxMj8tOwzAQRfdI/IM1SOxam0DaEDKpKgQbJIQolRC7&#10;aWzigB/Bdtvw95gV7GY0R3fObVaTNeygQhy8Q7iYC2DKdV4OrkfYvtzPKmAxkZNkvFMI3yrCqj09&#10;aaiW/uie1WGTepZDXKwJQac01pzHTitLce5H5fLt3QdLKa+h5zLQMYdbwwshFtzS4PIHTaO61ar7&#10;3OwtwrJ6k/ojPEzb18f1l34aubkjjnh+Nq1vgCU1pT8YfvWzOrTZaef3TkZmEGZleZVRhEIs85CJ&#10;a1GUwHYIl4uqAN42/H+H9gcAAP//AwBQSwECLQAUAAYACAAAACEAtoM4kv4AAADhAQAAEwAAAAAA&#10;AAAAAAAAAAAAAAAAW0NvbnRlbnRfVHlwZXNdLnhtbFBLAQItABQABgAIAAAAIQA4/SH/1gAAAJQB&#10;AAALAAAAAAAAAAAAAAAAAC8BAABfcmVscy8ucmVsc1BLAQItABQABgAIAAAAIQAHdT1FQAIAAIAE&#10;AAAOAAAAAAAAAAAAAAAAAC4CAABkcnMvZTJvRG9jLnhtbFBLAQItABQABgAIAAAAIQDSga0+4QAA&#10;AAsBAAAPAAAAAAAAAAAAAAAAAJoEAABkcnMvZG93bnJldi54bWxQSwUGAAAAAAQABADzAAAAqAUA&#10;AAAA&#10;" filled="f" stroked="f" strokeweight=".5pt">
                <v:path arrowok="t"/>
                <v:textbox>
                  <w:txbxContent>
                    <w:p w:rsidR="00270581" w:rsidRPr="00C27A20" w:rsidRDefault="00270581" w:rsidP="003050FA">
                      <w:pPr>
                        <w:jc w:val="right"/>
                        <w:rPr>
                          <w:b/>
                        </w:rPr>
                      </w:pPr>
                      <w:r w:rsidRPr="003050FA">
                        <w:rPr>
                          <w:b/>
                        </w:rPr>
                        <w:t>AUSTRALIAN HUMAN RIGHTS COMMISSION SUBMISSION TO THE HOUSE STANDING COMMITTEE ON EDUCATION AND EMPLOYMENT</w:t>
                      </w:r>
                      <w:r w:rsidRPr="00CF5561" w:rsidDel="00350BAF">
                        <w:rPr>
                          <w:rFonts w:cs="Arial"/>
                          <w:b/>
                          <w:lang w:val="en"/>
                        </w:rPr>
                        <w:t xml:space="preserve"> </w:t>
                      </w:r>
                    </w:p>
                  </w:txbxContent>
                </v:textbox>
              </v:shape>
            </w:pict>
          </mc:Fallback>
        </mc:AlternateContent>
      </w:r>
      <w:r w:rsidR="00D537F8">
        <w:rPr>
          <w:noProof/>
        </w:rPr>
        <mc:AlternateContent>
          <mc:Choice Requires="wps">
            <w:drawing>
              <wp:anchor distT="0" distB="0" distL="114300" distR="114300" simplePos="0" relativeHeight="251656704" behindDoc="0" locked="0" layoutInCell="1" allowOverlap="1" wp14:anchorId="13CC4CDC" wp14:editId="1FAD4B72">
                <wp:simplePos x="0" y="0"/>
                <wp:positionH relativeFrom="column">
                  <wp:posOffset>2363470</wp:posOffset>
                </wp:positionH>
                <wp:positionV relativeFrom="paragraph">
                  <wp:posOffset>-45085</wp:posOffset>
                </wp:positionV>
                <wp:extent cx="33712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215" cy="1485900"/>
                        </a:xfrm>
                        <a:prstGeom prst="rect">
                          <a:avLst/>
                        </a:prstGeom>
                        <a:noFill/>
                        <a:ln w="6350">
                          <a:noFill/>
                        </a:ln>
                        <a:effectLst/>
                      </wps:spPr>
                      <wps:txbx>
                        <w:txbxContent>
                          <w:p w:rsidR="00270581" w:rsidRDefault="00270581" w:rsidP="00FD01B5">
                            <w:pPr>
                              <w:pStyle w:val="MainTitle"/>
                            </w:pPr>
                            <w:r>
                              <w:t>Fair Work Amendment Bill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86.1pt;margin-top:-3.55pt;width:265.4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c/QAIAAIAEAAAOAAAAZHJzL2Uyb0RvYy54bWysVMlu2zAQvRfoPxC815K8ZBEsB24CFwWM&#10;JIAd5ExTlCWU5LAkbSn9+g4p2THSnopeqCHnzfpmNL/rlCRHYV0DuqDZKKVEaA5lo/cFfdmuvtxQ&#10;4jzTJZOgRUHfhKN3i8+f5q3JxRhqkKWwBJ1ol7emoLX3Jk8Sx2uhmBuBERqVFVjFPF7tPikta9G7&#10;ksk4Ta+SFmxpLHDhHL4+9Eq6iP6rSnD/VFVOeCILirn5eNp47sKZLOYs31tm6oYPabB/yEKxRmPQ&#10;s6sH5hk52OYPV6rhFhxUfsRBJVBVDRexBqwmSz9Us6mZEbEWbI4z5za5/+eWPx6fLWnKgo4p0Uwh&#10;RVvRefIVOpKF7rTG5QjaGIT5Dp+R5VipM2vgPxxCkgtMb+AQHbrRVVaFL9ZJ0BAJeDs3PUTh+DiZ&#10;XGfjbEYJR102vZndppGW5N3cWOe/CVAkCAW1yGpMgR3XzocEWH6ChGgaVo2UkVmpSVvQq8ksjQZn&#10;DVpIHbAizsjgJtTRpx4k3+26oTNDH3ZQvmEbLPRj5AxfNZjRmjn/zCzODRaIu+Cf8KgkYGQYJEpq&#10;sL/+9h7wSCdqKWlxDgvqfh6YFZTI7xqJvs2m0zC48TKdXY/xYi81u0uNPqh7wFHPcOsMj2LAe3kS&#10;KwvqFVdmGaKiimmOsQvqT+K977cDV46L5TKCcFQN82u9MfzEfuj3tntl1gykeOTzEU4Ty/IP3PTY&#10;np3lwUPVROJCn/uuDmOEYx75HFYy7NHlPaLefxyL3wAAAP//AwBQSwMEFAAGAAgAAAAhAEyG/xHh&#10;AAAACgEAAA8AAABkcnMvZG93bnJldi54bWxMj8FKAzEQhu+C7xBG8NZmm0K33e5sKaIXQcRakN7S&#10;TdysJpM1Sdv17Y0nvc0wH/98f70ZnWVnHWLvCWE2LYBpar3qqUPYvz5MlsBikqSk9aQRvnWETXN9&#10;VctK+Qu96PMudSyHUKwkgklpqDiPrdFOxqkfNOXbuw9OpryGjqsgLzncWS6KYsGd7Cl/MHLQd0a3&#10;n7uTQyiXB2U+wuO4f3vafpnngdt7yRFvb8btGljSY/qD4Vc/q0OTnY7+RCoyizAvhcgowqScAcvA&#10;qpjn4YggxGIFvKn5/wrNDwAAAP//AwBQSwECLQAUAAYACAAAACEAtoM4kv4AAADhAQAAEwAAAAAA&#10;AAAAAAAAAAAAAAAAW0NvbnRlbnRfVHlwZXNdLnhtbFBLAQItABQABgAIAAAAIQA4/SH/1gAAAJQB&#10;AAALAAAAAAAAAAAAAAAAAC8BAABfcmVscy8ucmVsc1BLAQItABQABgAIAAAAIQDUulc/QAIAAIAE&#10;AAAOAAAAAAAAAAAAAAAAAC4CAABkcnMvZTJvRG9jLnhtbFBLAQItABQABgAIAAAAIQBMhv8R4QAA&#10;AAoBAAAPAAAAAAAAAAAAAAAAAJoEAABkcnMvZG93bnJldi54bWxQSwUGAAAAAAQABADzAAAAqAUA&#10;AAAA&#10;" filled="f" stroked="f" strokeweight=".5pt">
                <v:path arrowok="t"/>
                <v:textbox>
                  <w:txbxContent>
                    <w:p w:rsidR="00C01A87" w:rsidRDefault="00C01A87" w:rsidP="00FD01B5">
                      <w:pPr>
                        <w:pStyle w:val="MainTitle"/>
                      </w:pPr>
                      <w:r>
                        <w:t>Fair Work Amendment Bill 2013</w:t>
                      </w:r>
                    </w:p>
                  </w:txbxContent>
                </v:textbox>
              </v:shape>
            </w:pict>
          </mc:Fallback>
        </mc:AlternateContent>
      </w:r>
    </w:p>
    <w:p w:rsidR="00591951" w:rsidRPr="00827DE2" w:rsidRDefault="00591951" w:rsidP="00591951">
      <w:pPr>
        <w:pStyle w:val="MainTitle"/>
        <w:rPr>
          <w:sz w:val="44"/>
          <w:szCs w:val="44"/>
        </w:rPr>
      </w:pPr>
    </w:p>
    <w:p w:rsidR="00B924E6" w:rsidRDefault="00B924E6" w:rsidP="00E26B28">
      <w:pPr>
        <w:sectPr w:rsidR="00B924E6" w:rsidSect="00B24B1D">
          <w:headerReference w:type="even" r:id="rId9"/>
          <w:headerReference w:type="default"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bookmarkStart w:id="1" w:name="_Toc209316062"/>
      <w:bookmarkEnd w:id="1"/>
    </w:p>
    <w:p w:rsidR="00B63D24" w:rsidRPr="00907336" w:rsidRDefault="00B63D24" w:rsidP="00B63D24">
      <w:pPr>
        <w:rPr>
          <w:b/>
          <w:sz w:val="28"/>
          <w:szCs w:val="28"/>
        </w:rPr>
      </w:pPr>
      <w:bookmarkStart w:id="2" w:name="_Toc207761829"/>
      <w:r w:rsidRPr="00907336">
        <w:rPr>
          <w:b/>
          <w:sz w:val="28"/>
          <w:szCs w:val="28"/>
        </w:rPr>
        <w:lastRenderedPageBreak/>
        <w:t>Table of Contents</w:t>
      </w:r>
      <w:bookmarkEnd w:id="2"/>
    </w:p>
    <w:p w:rsidR="00FA7519" w:rsidRDefault="00B63D24">
      <w:pPr>
        <w:pStyle w:val="TOC1"/>
        <w:rPr>
          <w:rFonts w:asciiTheme="minorHAnsi" w:eastAsiaTheme="minorEastAsia" w:hAnsiTheme="minorHAnsi" w:cstheme="minorBidi"/>
          <w:b w:val="0"/>
          <w:szCs w:val="22"/>
        </w:rPr>
      </w:pPr>
      <w:r>
        <w:fldChar w:fldCharType="begin"/>
      </w:r>
      <w:r>
        <w:instrText xml:space="preserve"> TOC \o "1-4" \h \z \u </w:instrText>
      </w:r>
      <w:r>
        <w:fldChar w:fldCharType="separate"/>
      </w:r>
      <w:hyperlink w:anchor="_Toc353446285" w:history="1">
        <w:r w:rsidR="00FA7519" w:rsidRPr="0039543C">
          <w:rPr>
            <w:rStyle w:val="Hyperlink"/>
          </w:rPr>
          <w:t>1</w:t>
        </w:r>
        <w:r w:rsidR="00FA7519">
          <w:rPr>
            <w:rFonts w:asciiTheme="minorHAnsi" w:eastAsiaTheme="minorEastAsia" w:hAnsiTheme="minorHAnsi" w:cstheme="minorBidi"/>
            <w:b w:val="0"/>
            <w:szCs w:val="22"/>
          </w:rPr>
          <w:tab/>
        </w:r>
        <w:r w:rsidR="00FA7519" w:rsidRPr="0039543C">
          <w:rPr>
            <w:rStyle w:val="Hyperlink"/>
          </w:rPr>
          <w:t>Introduction</w:t>
        </w:r>
        <w:r w:rsidR="00FA7519">
          <w:rPr>
            <w:webHidden/>
          </w:rPr>
          <w:tab/>
        </w:r>
        <w:r w:rsidR="00FA7519">
          <w:rPr>
            <w:webHidden/>
          </w:rPr>
          <w:fldChar w:fldCharType="begin"/>
        </w:r>
        <w:r w:rsidR="00FA7519">
          <w:rPr>
            <w:webHidden/>
          </w:rPr>
          <w:instrText xml:space="preserve"> PAGEREF _Toc353446285 \h </w:instrText>
        </w:r>
        <w:r w:rsidR="00FA7519">
          <w:rPr>
            <w:webHidden/>
          </w:rPr>
        </w:r>
        <w:r w:rsidR="00FA7519">
          <w:rPr>
            <w:webHidden/>
          </w:rPr>
          <w:fldChar w:fldCharType="separate"/>
        </w:r>
        <w:r w:rsidR="00BD4CF5">
          <w:rPr>
            <w:webHidden/>
          </w:rPr>
          <w:t>1</w:t>
        </w:r>
        <w:r w:rsidR="00FA7519">
          <w:rPr>
            <w:webHidden/>
          </w:rPr>
          <w:fldChar w:fldCharType="end"/>
        </w:r>
      </w:hyperlink>
    </w:p>
    <w:p w:rsidR="00FA7519" w:rsidRDefault="00BD4CF5">
      <w:pPr>
        <w:pStyle w:val="TOC1"/>
        <w:rPr>
          <w:rFonts w:asciiTheme="minorHAnsi" w:eastAsiaTheme="minorEastAsia" w:hAnsiTheme="minorHAnsi" w:cstheme="minorBidi"/>
          <w:b w:val="0"/>
          <w:szCs w:val="22"/>
        </w:rPr>
      </w:pPr>
      <w:hyperlink w:anchor="_Toc353446286" w:history="1">
        <w:r w:rsidR="00FA7519" w:rsidRPr="0039543C">
          <w:rPr>
            <w:rStyle w:val="Hyperlink"/>
          </w:rPr>
          <w:t>2</w:t>
        </w:r>
        <w:r w:rsidR="00FA7519">
          <w:rPr>
            <w:rFonts w:asciiTheme="minorHAnsi" w:eastAsiaTheme="minorEastAsia" w:hAnsiTheme="minorHAnsi" w:cstheme="minorBidi"/>
            <w:b w:val="0"/>
            <w:szCs w:val="22"/>
          </w:rPr>
          <w:tab/>
        </w:r>
        <w:r w:rsidR="00FA7519" w:rsidRPr="0039543C">
          <w:rPr>
            <w:rStyle w:val="Hyperlink"/>
          </w:rPr>
          <w:t>Recommendations</w:t>
        </w:r>
        <w:r w:rsidR="00FA7519">
          <w:rPr>
            <w:webHidden/>
          </w:rPr>
          <w:tab/>
        </w:r>
        <w:r w:rsidR="00FA7519">
          <w:rPr>
            <w:webHidden/>
          </w:rPr>
          <w:fldChar w:fldCharType="begin"/>
        </w:r>
        <w:r w:rsidR="00FA7519">
          <w:rPr>
            <w:webHidden/>
          </w:rPr>
          <w:instrText xml:space="preserve"> PAGEREF _Toc353446286 \h </w:instrText>
        </w:r>
        <w:r w:rsidR="00FA7519">
          <w:rPr>
            <w:webHidden/>
          </w:rPr>
        </w:r>
        <w:r w:rsidR="00FA7519">
          <w:rPr>
            <w:webHidden/>
          </w:rPr>
          <w:fldChar w:fldCharType="separate"/>
        </w:r>
        <w:r>
          <w:rPr>
            <w:webHidden/>
          </w:rPr>
          <w:t>1</w:t>
        </w:r>
        <w:r w:rsidR="00FA7519">
          <w:rPr>
            <w:webHidden/>
          </w:rPr>
          <w:fldChar w:fldCharType="end"/>
        </w:r>
      </w:hyperlink>
    </w:p>
    <w:p w:rsidR="00FA7519" w:rsidRDefault="00BD4CF5">
      <w:pPr>
        <w:pStyle w:val="TOC1"/>
        <w:rPr>
          <w:rFonts w:asciiTheme="minorHAnsi" w:eastAsiaTheme="minorEastAsia" w:hAnsiTheme="minorHAnsi" w:cstheme="minorBidi"/>
          <w:b w:val="0"/>
          <w:szCs w:val="22"/>
        </w:rPr>
      </w:pPr>
      <w:hyperlink w:anchor="_Toc353446287" w:history="1">
        <w:r w:rsidR="00FA7519" w:rsidRPr="0039543C">
          <w:rPr>
            <w:rStyle w:val="Hyperlink"/>
          </w:rPr>
          <w:t>3</w:t>
        </w:r>
        <w:r w:rsidR="00FA7519">
          <w:rPr>
            <w:rFonts w:asciiTheme="minorHAnsi" w:eastAsiaTheme="minorEastAsia" w:hAnsiTheme="minorHAnsi" w:cstheme="minorBidi"/>
            <w:b w:val="0"/>
            <w:szCs w:val="22"/>
          </w:rPr>
          <w:tab/>
        </w:r>
        <w:r w:rsidR="00FA7519" w:rsidRPr="0039543C">
          <w:rPr>
            <w:rStyle w:val="Hyperlink"/>
          </w:rPr>
          <w:t>Right to request flexible working arrangements</w:t>
        </w:r>
        <w:r w:rsidR="00FA7519">
          <w:rPr>
            <w:webHidden/>
          </w:rPr>
          <w:tab/>
        </w:r>
        <w:r w:rsidR="00FA7519">
          <w:rPr>
            <w:webHidden/>
          </w:rPr>
          <w:fldChar w:fldCharType="begin"/>
        </w:r>
        <w:r w:rsidR="00FA7519">
          <w:rPr>
            <w:webHidden/>
          </w:rPr>
          <w:instrText xml:space="preserve"> PAGEREF _Toc353446287 \h </w:instrText>
        </w:r>
        <w:r w:rsidR="00FA7519">
          <w:rPr>
            <w:webHidden/>
          </w:rPr>
        </w:r>
        <w:r w:rsidR="00FA7519">
          <w:rPr>
            <w:webHidden/>
          </w:rPr>
          <w:fldChar w:fldCharType="separate"/>
        </w:r>
        <w:r>
          <w:rPr>
            <w:webHidden/>
          </w:rPr>
          <w:t>2</w:t>
        </w:r>
        <w:r w:rsidR="00FA7519">
          <w:rPr>
            <w:webHidden/>
          </w:rPr>
          <w:fldChar w:fldCharType="end"/>
        </w:r>
      </w:hyperlink>
    </w:p>
    <w:p w:rsidR="00FA7519" w:rsidRDefault="00BD4CF5">
      <w:pPr>
        <w:pStyle w:val="TOC1"/>
        <w:rPr>
          <w:rFonts w:asciiTheme="minorHAnsi" w:eastAsiaTheme="minorEastAsia" w:hAnsiTheme="minorHAnsi" w:cstheme="minorBidi"/>
          <w:b w:val="0"/>
          <w:szCs w:val="22"/>
        </w:rPr>
      </w:pPr>
      <w:hyperlink w:anchor="_Toc353446288" w:history="1">
        <w:r w:rsidR="00FA7519" w:rsidRPr="0039543C">
          <w:rPr>
            <w:rStyle w:val="Hyperlink"/>
          </w:rPr>
          <w:t>4</w:t>
        </w:r>
        <w:r w:rsidR="00FA7519">
          <w:rPr>
            <w:rFonts w:asciiTheme="minorHAnsi" w:eastAsiaTheme="minorEastAsia" w:hAnsiTheme="minorHAnsi" w:cstheme="minorBidi"/>
            <w:b w:val="0"/>
            <w:szCs w:val="22"/>
          </w:rPr>
          <w:tab/>
        </w:r>
        <w:r w:rsidR="00FA7519" w:rsidRPr="0039543C">
          <w:rPr>
            <w:rStyle w:val="Hyperlink"/>
          </w:rPr>
          <w:t>Recognition of domestic and family violence as a ground of discrimination</w:t>
        </w:r>
        <w:r w:rsidR="00FA7519">
          <w:rPr>
            <w:webHidden/>
          </w:rPr>
          <w:tab/>
        </w:r>
        <w:r w:rsidR="00FA7519">
          <w:rPr>
            <w:webHidden/>
          </w:rPr>
          <w:fldChar w:fldCharType="begin"/>
        </w:r>
        <w:r w:rsidR="00FA7519">
          <w:rPr>
            <w:webHidden/>
          </w:rPr>
          <w:instrText xml:space="preserve"> PAGEREF _Toc353446288 \h </w:instrText>
        </w:r>
        <w:r w:rsidR="00FA7519">
          <w:rPr>
            <w:webHidden/>
          </w:rPr>
        </w:r>
        <w:r w:rsidR="00FA7519">
          <w:rPr>
            <w:webHidden/>
          </w:rPr>
          <w:fldChar w:fldCharType="separate"/>
        </w:r>
        <w:r>
          <w:rPr>
            <w:webHidden/>
          </w:rPr>
          <w:t>4</w:t>
        </w:r>
        <w:r w:rsidR="00FA7519">
          <w:rPr>
            <w:webHidden/>
          </w:rPr>
          <w:fldChar w:fldCharType="end"/>
        </w:r>
      </w:hyperlink>
    </w:p>
    <w:p w:rsidR="00B34946" w:rsidRDefault="00B63D24" w:rsidP="00B63D24">
      <w:r>
        <w:fldChar w:fldCharType="end"/>
      </w:r>
    </w:p>
    <w:p w:rsidR="004D5834" w:rsidRDefault="00B34946">
      <w:pPr>
        <w:spacing w:before="0" w:after="0"/>
        <w:sectPr w:rsidR="004D5834" w:rsidSect="004D5834">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fmt="lowerRoman" w:start="1"/>
          <w:cols w:space="708"/>
          <w:docGrid w:linePitch="360"/>
        </w:sectPr>
      </w:pPr>
      <w:r>
        <w:br w:type="page"/>
      </w:r>
    </w:p>
    <w:p w:rsidR="00B34946" w:rsidRPr="001E1304" w:rsidRDefault="00B34946" w:rsidP="00391013">
      <w:pPr>
        <w:pStyle w:val="Heading1"/>
        <w:numPr>
          <w:ilvl w:val="0"/>
          <w:numId w:val="37"/>
        </w:numPr>
        <w:tabs>
          <w:tab w:val="clear" w:pos="851"/>
          <w:tab w:val="num" w:pos="567"/>
        </w:tabs>
        <w:ind w:left="567" w:hanging="567"/>
      </w:pPr>
      <w:bookmarkStart w:id="3" w:name="_Toc207761830"/>
      <w:bookmarkStart w:id="4" w:name="_Toc209578266"/>
      <w:bookmarkStart w:id="5" w:name="_Toc353446285"/>
      <w:r w:rsidRPr="001E1304">
        <w:lastRenderedPageBreak/>
        <w:t>Introduction</w:t>
      </w:r>
      <w:bookmarkEnd w:id="3"/>
      <w:bookmarkEnd w:id="4"/>
      <w:bookmarkEnd w:id="5"/>
      <w:r w:rsidRPr="001E1304">
        <w:t xml:space="preserve"> </w:t>
      </w:r>
    </w:p>
    <w:p w:rsidR="00B34946" w:rsidRDefault="00B34946" w:rsidP="00EB3460">
      <w:pPr>
        <w:pStyle w:val="SubmissionNormal"/>
        <w:tabs>
          <w:tab w:val="num" w:pos="567"/>
        </w:tabs>
        <w:ind w:left="567" w:hanging="567"/>
      </w:pPr>
      <w:r w:rsidRPr="00C5786C">
        <w:t>The Aust</w:t>
      </w:r>
      <w:r w:rsidR="00074319">
        <w:t>ralian Human Rights Commission</w:t>
      </w:r>
      <w:r w:rsidRPr="00C5786C">
        <w:t xml:space="preserve"> </w:t>
      </w:r>
      <w:r w:rsidR="00683D51">
        <w:t xml:space="preserve">welcomes the opportunity to contribute this </w:t>
      </w:r>
      <w:r w:rsidRPr="00C5786C">
        <w:t xml:space="preserve">submission to the </w:t>
      </w:r>
      <w:r w:rsidR="00350BAF">
        <w:t xml:space="preserve">House Standing </w:t>
      </w:r>
      <w:r w:rsidR="00350BAF" w:rsidRPr="00C5786C">
        <w:t>Committee</w:t>
      </w:r>
      <w:r w:rsidR="00350BAF">
        <w:t xml:space="preserve"> on Education and Employment</w:t>
      </w:r>
      <w:r w:rsidRPr="00C5786C">
        <w:t xml:space="preserve"> in </w:t>
      </w:r>
      <w:r w:rsidR="00683D51">
        <w:t xml:space="preserve">relation to </w:t>
      </w:r>
      <w:r w:rsidRPr="00C5786C">
        <w:t xml:space="preserve">its Inquiry into </w:t>
      </w:r>
      <w:r w:rsidR="00D537F8">
        <w:t>the Fair Work Amendment Bill 2013</w:t>
      </w:r>
      <w:r w:rsidR="00683D51">
        <w:t xml:space="preserve"> (Bill)</w:t>
      </w:r>
      <w:r w:rsidRPr="008A0C37">
        <w:t>.</w:t>
      </w:r>
    </w:p>
    <w:p w:rsidR="00E2027B" w:rsidRPr="00E2027B" w:rsidRDefault="00B9699B" w:rsidP="00E2027B">
      <w:pPr>
        <w:pStyle w:val="SubmissionNormal"/>
        <w:tabs>
          <w:tab w:val="num" w:pos="567"/>
        </w:tabs>
        <w:ind w:left="567" w:hanging="567"/>
        <w:rPr>
          <w:rFonts w:cs="Arial"/>
        </w:rPr>
      </w:pPr>
      <w:r>
        <w:t xml:space="preserve">The Commission’s submission </w:t>
      </w:r>
      <w:r w:rsidR="00AB6B2A">
        <w:t xml:space="preserve">limits its comments </w:t>
      </w:r>
      <w:r w:rsidR="00DB261D">
        <w:t xml:space="preserve">to </w:t>
      </w:r>
      <w:r w:rsidR="00E2027B" w:rsidRPr="00E2027B">
        <w:rPr>
          <w:rFonts w:cs="Arial"/>
        </w:rPr>
        <w:t xml:space="preserve">the </w:t>
      </w:r>
      <w:r w:rsidR="00AB6B2A">
        <w:rPr>
          <w:rFonts w:cs="Arial"/>
          <w:lang w:val="en-US"/>
        </w:rPr>
        <w:t>family-</w:t>
      </w:r>
      <w:r w:rsidR="00E2027B" w:rsidRPr="00E2027B">
        <w:rPr>
          <w:rFonts w:cs="Arial"/>
          <w:lang w:val="en-US"/>
        </w:rPr>
        <w:t xml:space="preserve">friendly </w:t>
      </w:r>
      <w:r w:rsidR="00AB6B2A">
        <w:rPr>
          <w:rFonts w:cs="Arial"/>
          <w:lang w:val="en-US"/>
        </w:rPr>
        <w:t>measures.</w:t>
      </w:r>
    </w:p>
    <w:p w:rsidR="00E2027B" w:rsidRDefault="00E2027B" w:rsidP="00E2027B">
      <w:pPr>
        <w:pStyle w:val="SubmissionNormal"/>
        <w:tabs>
          <w:tab w:val="num" w:pos="567"/>
        </w:tabs>
        <w:ind w:left="567" w:hanging="567"/>
      </w:pPr>
      <w:r w:rsidRPr="00E2027B">
        <w:rPr>
          <w:rFonts w:cs="Arial"/>
        </w:rPr>
        <w:t xml:space="preserve">The Commission welcomes </w:t>
      </w:r>
      <w:r w:rsidR="0063598C">
        <w:rPr>
          <w:rFonts w:cs="Arial"/>
        </w:rPr>
        <w:t xml:space="preserve">and supports </w:t>
      </w:r>
      <w:r w:rsidRPr="00E2027B">
        <w:rPr>
          <w:rFonts w:cs="Arial"/>
        </w:rPr>
        <w:t>the</w:t>
      </w:r>
      <w:r>
        <w:t xml:space="preserve"> </w:t>
      </w:r>
      <w:r w:rsidR="00AB6B2A">
        <w:t>family</w:t>
      </w:r>
      <w:r w:rsidR="00C27A20">
        <w:t>-</w:t>
      </w:r>
      <w:r w:rsidR="00AB6B2A">
        <w:t xml:space="preserve">friendly </w:t>
      </w:r>
      <w:r>
        <w:t>amendments in the Bill</w:t>
      </w:r>
      <w:r w:rsidR="00AB6B2A">
        <w:t>, in particular the measures that</w:t>
      </w:r>
      <w:r>
        <w:t>:</w:t>
      </w:r>
    </w:p>
    <w:p w:rsidR="00C27A20" w:rsidRPr="00032148" w:rsidRDefault="0063598C" w:rsidP="00A952DE">
      <w:pPr>
        <w:pStyle w:val="SubmissionNormal"/>
        <w:numPr>
          <w:ilvl w:val="0"/>
          <w:numId w:val="44"/>
        </w:numPr>
        <w:rPr>
          <w:rFonts w:cs="Arial"/>
        </w:rPr>
      </w:pPr>
      <w:r>
        <w:rPr>
          <w:rFonts w:cs="Arial"/>
          <w:lang w:val="en-US"/>
        </w:rPr>
        <w:t>extend</w:t>
      </w:r>
      <w:r w:rsidR="00E2027B" w:rsidRPr="00A952DE">
        <w:rPr>
          <w:rFonts w:cs="Arial"/>
          <w:lang w:val="en-US"/>
        </w:rPr>
        <w:t xml:space="preserve"> </w:t>
      </w:r>
      <w:r w:rsidR="00E2027B" w:rsidRPr="00A952DE">
        <w:rPr>
          <w:rFonts w:cs="Arial"/>
          <w:color w:val="000000" w:themeColor="text1"/>
          <w:lang w:val="en-US"/>
        </w:rPr>
        <w:t>the right for pregnant women to transfer to a safe job</w:t>
      </w:r>
      <w:r w:rsidRPr="00A952DE">
        <w:rPr>
          <w:rFonts w:cs="Arial"/>
          <w:color w:val="000000" w:themeColor="text1"/>
          <w:lang w:val="en-US"/>
        </w:rPr>
        <w:t xml:space="preserve"> to employees who have </w:t>
      </w:r>
      <w:r w:rsidRPr="00A952DE">
        <w:rPr>
          <w:color w:val="000000" w:themeColor="text1"/>
          <w:lang w:val="en-US"/>
        </w:rPr>
        <w:t>less than 12 months service</w:t>
      </w:r>
      <w:r w:rsidR="00C27A20">
        <w:rPr>
          <w:color w:val="000000" w:themeColor="text1"/>
          <w:lang w:val="en-US"/>
        </w:rPr>
        <w:t>;</w:t>
      </w:r>
      <w:r w:rsidR="002501C2">
        <w:rPr>
          <w:color w:val="000000" w:themeColor="text1"/>
          <w:lang w:val="en-US"/>
        </w:rPr>
        <w:t xml:space="preserve">,  </w:t>
      </w:r>
    </w:p>
    <w:p w:rsidR="00E2027B" w:rsidRPr="00A952DE" w:rsidRDefault="00C27A20" w:rsidP="00A952DE">
      <w:pPr>
        <w:pStyle w:val="SubmissionNormal"/>
        <w:numPr>
          <w:ilvl w:val="0"/>
          <w:numId w:val="44"/>
        </w:numPr>
        <w:rPr>
          <w:rFonts w:cs="Arial"/>
        </w:rPr>
      </w:pPr>
      <w:r>
        <w:rPr>
          <w:rFonts w:cs="Arial"/>
          <w:lang w:val="en-US"/>
        </w:rPr>
        <w:t xml:space="preserve">provide that, </w:t>
      </w:r>
      <w:r w:rsidR="002501C2">
        <w:rPr>
          <w:color w:val="000000" w:themeColor="text1"/>
          <w:lang w:val="en-US"/>
        </w:rPr>
        <w:t xml:space="preserve">where no safe job is available, </w:t>
      </w:r>
      <w:r>
        <w:rPr>
          <w:color w:val="000000" w:themeColor="text1"/>
          <w:lang w:val="en-US"/>
        </w:rPr>
        <w:t xml:space="preserve">pregnant </w:t>
      </w:r>
      <w:r w:rsidR="002501C2">
        <w:rPr>
          <w:color w:val="000000" w:themeColor="text1"/>
          <w:lang w:val="en-US"/>
        </w:rPr>
        <w:t>employees with less than 12 months service be entitled to take unpaid no safe job leave</w:t>
      </w:r>
      <w:r w:rsidR="00E2027B" w:rsidRPr="00A952DE">
        <w:rPr>
          <w:rFonts w:cs="Arial"/>
          <w:color w:val="000000" w:themeColor="text1"/>
          <w:lang w:val="en-US"/>
        </w:rPr>
        <w:t xml:space="preserve">; </w:t>
      </w:r>
      <w:r w:rsidR="00E2027B" w:rsidRPr="00A952DE">
        <w:rPr>
          <w:rFonts w:cs="Arial"/>
          <w:lang w:val="en-US"/>
        </w:rPr>
        <w:t xml:space="preserve">and </w:t>
      </w:r>
    </w:p>
    <w:p w:rsidR="00E2027B" w:rsidRPr="00E2027B" w:rsidRDefault="00E2027B" w:rsidP="00A952DE">
      <w:pPr>
        <w:pStyle w:val="SubmissionNormal"/>
        <w:numPr>
          <w:ilvl w:val="0"/>
          <w:numId w:val="44"/>
        </w:numPr>
        <w:rPr>
          <w:rFonts w:cs="Arial"/>
        </w:rPr>
      </w:pPr>
      <w:r w:rsidRPr="00A952DE">
        <w:rPr>
          <w:rFonts w:cs="Arial"/>
          <w:lang w:val="en-US"/>
        </w:rPr>
        <w:t>provide further flexibility in relation to concurrent unpaid parental leave, ensuring that any special maternity leave taken will not reduce an employee’s entitlement to unpaid parental leave</w:t>
      </w:r>
      <w:r w:rsidR="00C4166E">
        <w:rPr>
          <w:rFonts w:cs="Arial"/>
          <w:lang w:val="en-US"/>
        </w:rPr>
        <w:t>.</w:t>
      </w:r>
    </w:p>
    <w:p w:rsidR="002501C2" w:rsidRDefault="002501C2" w:rsidP="00E2027B">
      <w:pPr>
        <w:pStyle w:val="SubmissionNormal"/>
        <w:tabs>
          <w:tab w:val="num" w:pos="567"/>
        </w:tabs>
        <w:ind w:left="567" w:hanging="567"/>
      </w:pPr>
      <w:r>
        <w:t>Such measures will enhance the safety of pregnant workers, regardless of their length of service</w:t>
      </w:r>
      <w:r w:rsidR="008B376D">
        <w:t xml:space="preserve"> and</w:t>
      </w:r>
      <w:r>
        <w:t xml:space="preserve"> provide </w:t>
      </w:r>
      <w:r w:rsidR="008B376D">
        <w:t>g</w:t>
      </w:r>
      <w:r>
        <w:t>r</w:t>
      </w:r>
      <w:r w:rsidR="008B376D">
        <w:t>e</w:t>
      </w:r>
      <w:r>
        <w:t xml:space="preserve">ater flexibility for </w:t>
      </w:r>
      <w:r w:rsidR="008B376D">
        <w:t>parents taking parental leave, respectively.</w:t>
      </w:r>
      <w:r>
        <w:t xml:space="preserve"> </w:t>
      </w:r>
    </w:p>
    <w:p w:rsidR="00B9699B" w:rsidRDefault="00E2027B" w:rsidP="00E2027B">
      <w:pPr>
        <w:pStyle w:val="SubmissionNormal"/>
        <w:tabs>
          <w:tab w:val="num" w:pos="567"/>
        </w:tabs>
        <w:ind w:left="567" w:hanging="567"/>
      </w:pPr>
      <w:r>
        <w:t>The Commission</w:t>
      </w:r>
      <w:r w:rsidR="00C4166E">
        <w:t>’s submission focuses on</w:t>
      </w:r>
      <w:r>
        <w:t xml:space="preserve"> </w:t>
      </w:r>
      <w:r w:rsidR="00B9699B">
        <w:t>two issue</w:t>
      </w:r>
      <w:r w:rsidR="008F01D9">
        <w:t>s</w:t>
      </w:r>
      <w:r w:rsidR="00ED6EE2">
        <w:t xml:space="preserve"> raised by the Bill</w:t>
      </w:r>
      <w:r w:rsidR="00B9699B">
        <w:t>:</w:t>
      </w:r>
    </w:p>
    <w:p w:rsidR="00B9699B" w:rsidRDefault="00B9699B" w:rsidP="00B9699B">
      <w:pPr>
        <w:pStyle w:val="SubmissionNormal"/>
        <w:numPr>
          <w:ilvl w:val="1"/>
          <w:numId w:val="36"/>
        </w:numPr>
        <w:tabs>
          <w:tab w:val="clear" w:pos="1440"/>
          <w:tab w:val="num" w:pos="1134"/>
        </w:tabs>
        <w:ind w:left="1134" w:hanging="567"/>
      </w:pPr>
      <w:r>
        <w:t>the right to request flexible working arrangements</w:t>
      </w:r>
    </w:p>
    <w:p w:rsidR="00B34946" w:rsidRDefault="00B9699B" w:rsidP="00B9699B">
      <w:pPr>
        <w:pStyle w:val="SubmissionNormal"/>
        <w:numPr>
          <w:ilvl w:val="1"/>
          <w:numId w:val="36"/>
        </w:numPr>
        <w:tabs>
          <w:tab w:val="clear" w:pos="1440"/>
          <w:tab w:val="num" w:pos="1134"/>
        </w:tabs>
        <w:ind w:left="1134" w:hanging="567"/>
      </w:pPr>
      <w:r>
        <w:t xml:space="preserve">recognition of domestic and family violence as a ground of discrimination. </w:t>
      </w:r>
      <w:r w:rsidR="00EB3460">
        <w:t xml:space="preserve"> </w:t>
      </w:r>
    </w:p>
    <w:p w:rsidR="00B34946" w:rsidRPr="001E1304" w:rsidRDefault="00B34946" w:rsidP="00391013">
      <w:pPr>
        <w:pStyle w:val="Heading1"/>
        <w:numPr>
          <w:ilvl w:val="0"/>
          <w:numId w:val="37"/>
        </w:numPr>
        <w:tabs>
          <w:tab w:val="clear" w:pos="851"/>
          <w:tab w:val="num" w:pos="567"/>
        </w:tabs>
        <w:ind w:left="567" w:hanging="567"/>
      </w:pPr>
      <w:bookmarkStart w:id="6" w:name="_Toc162769291"/>
      <w:bookmarkStart w:id="7" w:name="_Toc207761832"/>
      <w:bookmarkStart w:id="8" w:name="_Toc209578268"/>
      <w:bookmarkStart w:id="9" w:name="_Toc353446286"/>
      <w:r w:rsidRPr="001E1304">
        <w:t>Recommendations</w:t>
      </w:r>
      <w:bookmarkEnd w:id="6"/>
      <w:bookmarkEnd w:id="7"/>
      <w:bookmarkEnd w:id="8"/>
      <w:bookmarkEnd w:id="9"/>
    </w:p>
    <w:p w:rsidR="00B34946" w:rsidRDefault="00D5242A" w:rsidP="00EB3460">
      <w:pPr>
        <w:pStyle w:val="SubmissionNormal"/>
        <w:tabs>
          <w:tab w:val="num" w:pos="567"/>
        </w:tabs>
        <w:ind w:left="567" w:hanging="567"/>
      </w:pPr>
      <w:r>
        <w:t xml:space="preserve">In summary, the Commission makes the following recommendations: </w:t>
      </w:r>
    </w:p>
    <w:p w:rsidR="00B85549" w:rsidRDefault="00D5242A" w:rsidP="00D5242A">
      <w:pPr>
        <w:pStyle w:val="SubmissionNormal"/>
        <w:numPr>
          <w:ilvl w:val="0"/>
          <w:numId w:val="0"/>
        </w:numPr>
        <w:ind w:left="567"/>
      </w:pPr>
      <w:r w:rsidRPr="00D5242A">
        <w:rPr>
          <w:b/>
        </w:rPr>
        <w:t xml:space="preserve">Recommendation </w:t>
      </w:r>
      <w:r>
        <w:rPr>
          <w:b/>
        </w:rPr>
        <w:t>1</w:t>
      </w:r>
      <w:r w:rsidRPr="00096E9E">
        <w:t>:</w:t>
      </w:r>
      <w:r w:rsidR="009A50A6" w:rsidRPr="007D6C8F">
        <w:t xml:space="preserve"> </w:t>
      </w:r>
      <w:r w:rsidR="007903F8" w:rsidRPr="007D6C8F">
        <w:t xml:space="preserve">The Commission recommends that the proposed expansion of the right to request in clause 17 of the </w:t>
      </w:r>
      <w:r w:rsidR="00044275">
        <w:t xml:space="preserve">Fair Work </w:t>
      </w:r>
      <w:r w:rsidR="007903F8" w:rsidRPr="007D6C8F">
        <w:t xml:space="preserve">Bill </w:t>
      </w:r>
      <w:r w:rsidR="006F5046" w:rsidRPr="008E6AA4">
        <w:t xml:space="preserve">be </w:t>
      </w:r>
      <w:r w:rsidR="006C1A41">
        <w:t>adopted</w:t>
      </w:r>
      <w:r w:rsidR="007031AE">
        <w:t>.</w:t>
      </w:r>
      <w:r w:rsidR="006F5046" w:rsidRPr="006F5046">
        <w:t xml:space="preserve"> </w:t>
      </w:r>
      <w:r w:rsidR="00044275">
        <w:t xml:space="preserve"> </w:t>
      </w:r>
    </w:p>
    <w:p w:rsidR="00E96275" w:rsidRDefault="00E96275" w:rsidP="00E96275">
      <w:pPr>
        <w:pStyle w:val="SubmissionNormal"/>
        <w:tabs>
          <w:tab w:val="num" w:pos="567"/>
        </w:tabs>
        <w:ind w:left="567" w:hanging="567"/>
      </w:pPr>
      <w:r>
        <w:rPr>
          <w:b/>
        </w:rPr>
        <w:t xml:space="preserve">Recommendation 2: </w:t>
      </w:r>
      <w:r>
        <w:t xml:space="preserve">The Commission recommends </w:t>
      </w:r>
      <w:r w:rsidRPr="009F1AA3">
        <w:t xml:space="preserve">that consideration be given to </w:t>
      </w:r>
      <w:r>
        <w:t xml:space="preserve">further amending the right to request flexible work arrangements </w:t>
      </w:r>
      <w:r w:rsidR="00E93BFD">
        <w:t>by way of amendments</w:t>
      </w:r>
      <w:r>
        <w:t xml:space="preserve"> that:</w:t>
      </w:r>
    </w:p>
    <w:p w:rsidR="00E96275" w:rsidRDefault="00E96275" w:rsidP="00E96275">
      <w:pPr>
        <w:pStyle w:val="SubmissionNormal"/>
        <w:numPr>
          <w:ilvl w:val="1"/>
          <w:numId w:val="36"/>
        </w:numPr>
      </w:pPr>
      <w:r w:rsidRPr="009F1AA3">
        <w:t>remov</w:t>
      </w:r>
      <w:r>
        <w:t>e</w:t>
      </w:r>
      <w:r w:rsidRPr="009F1AA3">
        <w:t xml:space="preserve"> the qualification requirements that restrict the categories of employees who can make a request f</w:t>
      </w:r>
      <w:r>
        <w:t>or flexible working arrangements</w:t>
      </w:r>
      <w:r w:rsidR="00270581">
        <w:t>;</w:t>
      </w:r>
    </w:p>
    <w:p w:rsidR="00E96275" w:rsidRDefault="00E96275" w:rsidP="00E96275">
      <w:pPr>
        <w:pStyle w:val="SubmissionNormal"/>
        <w:numPr>
          <w:ilvl w:val="1"/>
          <w:numId w:val="36"/>
        </w:numPr>
      </w:pPr>
      <w:r>
        <w:t>introduce</w:t>
      </w:r>
      <w:r w:rsidRPr="009F1AA3">
        <w:t xml:space="preserve"> a duty on employers to reasonably accommodate a request for flexible working arrangements</w:t>
      </w:r>
      <w:r w:rsidR="00270581">
        <w:t>; and</w:t>
      </w:r>
    </w:p>
    <w:p w:rsidR="00E96275" w:rsidRDefault="00E96275" w:rsidP="00032148">
      <w:pPr>
        <w:pStyle w:val="SubmissionNormal"/>
        <w:numPr>
          <w:ilvl w:val="1"/>
          <w:numId w:val="36"/>
        </w:numPr>
      </w:pPr>
      <w:r>
        <w:t>establish a procedural appeals process through Fair Work Australia for decisions related to the right to request flexible working arrangements.</w:t>
      </w:r>
    </w:p>
    <w:p w:rsidR="00D5242A" w:rsidRDefault="00D5242A" w:rsidP="00E96275">
      <w:pPr>
        <w:pStyle w:val="SubmissionNormal"/>
        <w:numPr>
          <w:ilvl w:val="0"/>
          <w:numId w:val="0"/>
        </w:numPr>
        <w:ind w:left="567"/>
      </w:pPr>
      <w:r w:rsidRPr="00D5242A">
        <w:rPr>
          <w:b/>
        </w:rPr>
        <w:t xml:space="preserve">Recommendation </w:t>
      </w:r>
      <w:r w:rsidR="00DB248D">
        <w:rPr>
          <w:b/>
        </w:rPr>
        <w:t>3</w:t>
      </w:r>
      <w:r w:rsidRPr="00096E9E">
        <w:t>: The Commission recommends that consideration be given to amending the Fair Work Bill to include a prohibition in section</w:t>
      </w:r>
      <w:r w:rsidR="00E54918">
        <w:t>s</w:t>
      </w:r>
      <w:r w:rsidRPr="00096E9E">
        <w:t xml:space="preserve"> 351(1)</w:t>
      </w:r>
      <w:r w:rsidR="00E54918">
        <w:t xml:space="preserve"> and 772(1)(f)</w:t>
      </w:r>
      <w:r w:rsidRPr="00096E9E">
        <w:t xml:space="preserve"> of the Fair Work Act against adverse action </w:t>
      </w:r>
      <w:r w:rsidR="008F01D9">
        <w:t xml:space="preserve">and unfair dismissal </w:t>
      </w:r>
      <w:r w:rsidRPr="00096E9E">
        <w:t>due to discrimination on the grounds of domestic and family violence</w:t>
      </w:r>
      <w:r w:rsidR="00C27A20">
        <w:t>.</w:t>
      </w:r>
    </w:p>
    <w:p w:rsidR="00EF04C9" w:rsidRPr="00EF04C9" w:rsidRDefault="00D5242A" w:rsidP="00EF04C9">
      <w:pPr>
        <w:pStyle w:val="SubmissionNormal"/>
        <w:numPr>
          <w:ilvl w:val="0"/>
          <w:numId w:val="0"/>
        </w:numPr>
        <w:ind w:left="567"/>
      </w:pPr>
      <w:r w:rsidRPr="00D5242A">
        <w:rPr>
          <w:b/>
        </w:rPr>
        <w:t xml:space="preserve">Recommendation </w:t>
      </w:r>
      <w:r w:rsidR="00DB248D">
        <w:rPr>
          <w:b/>
        </w:rPr>
        <w:t>4</w:t>
      </w:r>
      <w:r w:rsidRPr="00096E9E">
        <w:t>:</w:t>
      </w:r>
      <w:r w:rsidR="00EF04C9">
        <w:t xml:space="preserve"> </w:t>
      </w:r>
      <w:r w:rsidR="00EF04C9" w:rsidRPr="00EF04C9">
        <w:t xml:space="preserve">Subject to the adoption of recommendation </w:t>
      </w:r>
      <w:r w:rsidR="007D6C8F">
        <w:t>2</w:t>
      </w:r>
      <w:r w:rsidR="00EF04C9" w:rsidRPr="00EF04C9">
        <w:t>, the Commission recommends that consideration be given to amending section 351(2) to remove the requirement that adverse action be unlawful under the relevant anti-discrimination law in cases involving discrimination on the ground of do</w:t>
      </w:r>
      <w:r w:rsidR="009A50A6">
        <w:t>mestic and family violence</w:t>
      </w:r>
      <w:r w:rsidR="00C27A20">
        <w:t>.</w:t>
      </w:r>
      <w:r w:rsidR="00EF04C9" w:rsidRPr="00EF04C9">
        <w:t xml:space="preserve">  </w:t>
      </w:r>
    </w:p>
    <w:p w:rsidR="00B34946" w:rsidRPr="00C12498" w:rsidRDefault="00D537F8" w:rsidP="00391013">
      <w:pPr>
        <w:pStyle w:val="Heading1"/>
        <w:numPr>
          <w:ilvl w:val="0"/>
          <w:numId w:val="37"/>
        </w:numPr>
        <w:tabs>
          <w:tab w:val="clear" w:pos="851"/>
          <w:tab w:val="num" w:pos="567"/>
        </w:tabs>
        <w:ind w:left="567" w:hanging="567"/>
      </w:pPr>
      <w:bookmarkStart w:id="10" w:name="_Toc353446287"/>
      <w:r>
        <w:t>Right to request flexible working arrangements</w:t>
      </w:r>
      <w:bookmarkEnd w:id="10"/>
    </w:p>
    <w:p w:rsidR="00A93AE8" w:rsidRDefault="00200228" w:rsidP="00501D04">
      <w:pPr>
        <w:pStyle w:val="SubmissionNormal"/>
        <w:tabs>
          <w:tab w:val="num" w:pos="567"/>
        </w:tabs>
        <w:ind w:left="567" w:hanging="567"/>
      </w:pPr>
      <w:r>
        <w:t xml:space="preserve">The Commission welcomes </w:t>
      </w:r>
      <w:r w:rsidR="00955C56">
        <w:t>clause 17</w:t>
      </w:r>
      <w:r w:rsidR="00501D04">
        <w:t xml:space="preserve"> </w:t>
      </w:r>
      <w:r w:rsidR="00955C56">
        <w:t>of the Bill, which propose</w:t>
      </w:r>
      <w:r w:rsidR="00A93AE8">
        <w:t>s</w:t>
      </w:r>
      <w:r w:rsidR="00501D04">
        <w:t xml:space="preserve"> to extend the right to request</w:t>
      </w:r>
      <w:r w:rsidR="00C27A20">
        <w:t xml:space="preserve"> flexible working arrangements</w:t>
      </w:r>
      <w:r w:rsidR="00501D04">
        <w:t xml:space="preserve"> </w:t>
      </w:r>
      <w:r w:rsidR="002B0310">
        <w:t xml:space="preserve">to </w:t>
      </w:r>
      <w:r w:rsidR="0044146E">
        <w:t>include employees who ar</w:t>
      </w:r>
      <w:r w:rsidR="002B0310">
        <w:t>e</w:t>
      </w:r>
      <w:r w:rsidR="00A93AE8">
        <w:t>:</w:t>
      </w:r>
    </w:p>
    <w:p w:rsidR="00C4166E" w:rsidRPr="00A952DE" w:rsidRDefault="00C4166E" w:rsidP="00044275">
      <w:pPr>
        <w:pStyle w:val="SubmissionNormal"/>
        <w:numPr>
          <w:ilvl w:val="1"/>
          <w:numId w:val="36"/>
        </w:numPr>
        <w:tabs>
          <w:tab w:val="clear" w:pos="1440"/>
          <w:tab w:val="num" w:pos="1134"/>
        </w:tabs>
        <w:ind w:left="1134" w:hanging="567"/>
        <w:rPr>
          <w:color w:val="000000" w:themeColor="text1"/>
        </w:rPr>
      </w:pPr>
      <w:r w:rsidRPr="00A952DE">
        <w:rPr>
          <w:color w:val="000000" w:themeColor="text1"/>
        </w:rPr>
        <w:t xml:space="preserve">parents or </w:t>
      </w:r>
      <w:r w:rsidR="007031AE" w:rsidRPr="00A952DE">
        <w:rPr>
          <w:color w:val="000000" w:themeColor="text1"/>
          <w:lang w:val="en-US"/>
        </w:rPr>
        <w:t>have responsibility for the care of a child of school age</w:t>
      </w:r>
      <w:r w:rsidRPr="00A952DE">
        <w:rPr>
          <w:color w:val="000000" w:themeColor="text1"/>
        </w:rPr>
        <w:t xml:space="preserve"> </w:t>
      </w:r>
    </w:p>
    <w:p w:rsidR="00A93AE8" w:rsidRPr="00A952DE" w:rsidRDefault="00044275" w:rsidP="00044275">
      <w:pPr>
        <w:pStyle w:val="SubmissionNormal"/>
        <w:numPr>
          <w:ilvl w:val="1"/>
          <w:numId w:val="36"/>
        </w:numPr>
        <w:tabs>
          <w:tab w:val="clear" w:pos="1440"/>
          <w:tab w:val="num" w:pos="1134"/>
        </w:tabs>
        <w:ind w:left="1134" w:hanging="567"/>
        <w:rPr>
          <w:color w:val="000000" w:themeColor="text1"/>
        </w:rPr>
      </w:pPr>
      <w:r w:rsidRPr="00A952DE">
        <w:rPr>
          <w:color w:val="000000" w:themeColor="text1"/>
        </w:rPr>
        <w:t>c</w:t>
      </w:r>
      <w:r w:rsidR="00A93AE8" w:rsidRPr="00A952DE">
        <w:rPr>
          <w:color w:val="000000" w:themeColor="text1"/>
        </w:rPr>
        <w:t xml:space="preserve">arers </w:t>
      </w:r>
      <w:r w:rsidR="00873A08" w:rsidRPr="00A952DE">
        <w:rPr>
          <w:color w:val="000000" w:themeColor="text1"/>
        </w:rPr>
        <w:t>(within the meaning of the</w:t>
      </w:r>
      <w:r w:rsidR="00A93AE8" w:rsidRPr="00A952DE">
        <w:rPr>
          <w:color w:val="000000" w:themeColor="text1"/>
        </w:rPr>
        <w:t xml:space="preserve"> </w:t>
      </w:r>
      <w:r w:rsidR="00A93AE8" w:rsidRPr="00A952DE">
        <w:rPr>
          <w:i/>
          <w:color w:val="000000" w:themeColor="text1"/>
        </w:rPr>
        <w:t>Carer Recogn</w:t>
      </w:r>
      <w:r w:rsidR="00873A08" w:rsidRPr="00A952DE">
        <w:rPr>
          <w:i/>
          <w:color w:val="000000" w:themeColor="text1"/>
        </w:rPr>
        <w:t>i</w:t>
      </w:r>
      <w:r w:rsidR="00A93AE8" w:rsidRPr="00A952DE">
        <w:rPr>
          <w:i/>
          <w:color w:val="000000" w:themeColor="text1"/>
        </w:rPr>
        <w:t>tion Act 2010</w:t>
      </w:r>
      <w:r w:rsidR="00702B23" w:rsidRPr="00A952DE">
        <w:rPr>
          <w:i/>
          <w:color w:val="000000" w:themeColor="text1"/>
        </w:rPr>
        <w:t xml:space="preserve"> </w:t>
      </w:r>
      <w:r w:rsidR="00702B23" w:rsidRPr="00A952DE">
        <w:rPr>
          <w:color w:val="000000" w:themeColor="text1"/>
        </w:rPr>
        <w:t>(Cth)</w:t>
      </w:r>
      <w:r w:rsidR="0044146E" w:rsidRPr="00A952DE">
        <w:rPr>
          <w:color w:val="000000" w:themeColor="text1"/>
        </w:rPr>
        <w:t>)</w:t>
      </w:r>
      <w:r w:rsidR="00A93AE8" w:rsidRPr="00A952DE">
        <w:rPr>
          <w:rStyle w:val="EndnoteReference"/>
          <w:color w:val="000000" w:themeColor="text1"/>
        </w:rPr>
        <w:endnoteReference w:id="1"/>
      </w:r>
    </w:p>
    <w:p w:rsidR="0019316A" w:rsidRPr="00A952DE" w:rsidRDefault="00044275" w:rsidP="00044275">
      <w:pPr>
        <w:pStyle w:val="SubmissionNormal"/>
        <w:numPr>
          <w:ilvl w:val="1"/>
          <w:numId w:val="36"/>
        </w:numPr>
        <w:tabs>
          <w:tab w:val="clear" w:pos="1440"/>
          <w:tab w:val="num" w:pos="1134"/>
        </w:tabs>
        <w:ind w:left="1134" w:hanging="567"/>
        <w:rPr>
          <w:color w:val="000000" w:themeColor="text1"/>
        </w:rPr>
      </w:pPr>
      <w:r w:rsidRPr="00A952DE">
        <w:rPr>
          <w:color w:val="000000" w:themeColor="text1"/>
        </w:rPr>
        <w:t>p</w:t>
      </w:r>
      <w:r w:rsidR="0044146E" w:rsidRPr="00A952DE">
        <w:rPr>
          <w:color w:val="000000" w:themeColor="text1"/>
        </w:rPr>
        <w:t>ersons</w:t>
      </w:r>
      <w:r w:rsidR="0019316A" w:rsidRPr="00A952DE">
        <w:rPr>
          <w:color w:val="000000" w:themeColor="text1"/>
        </w:rPr>
        <w:t xml:space="preserve"> with disability</w:t>
      </w:r>
    </w:p>
    <w:p w:rsidR="00873A08" w:rsidRDefault="00873A08" w:rsidP="00044275">
      <w:pPr>
        <w:pStyle w:val="SubmissionNormal"/>
        <w:numPr>
          <w:ilvl w:val="1"/>
          <w:numId w:val="36"/>
        </w:numPr>
        <w:tabs>
          <w:tab w:val="clear" w:pos="1440"/>
          <w:tab w:val="num" w:pos="1134"/>
        </w:tabs>
        <w:ind w:left="1134" w:hanging="567"/>
      </w:pPr>
      <w:r w:rsidRPr="00A952DE">
        <w:rPr>
          <w:color w:val="000000" w:themeColor="text1"/>
        </w:rPr>
        <w:t>55</w:t>
      </w:r>
      <w:r w:rsidR="008275B3" w:rsidRPr="00A952DE">
        <w:rPr>
          <w:color w:val="000000" w:themeColor="text1"/>
        </w:rPr>
        <w:t xml:space="preserve"> years</w:t>
      </w:r>
      <w:r w:rsidRPr="00A952DE">
        <w:rPr>
          <w:color w:val="000000" w:themeColor="text1"/>
        </w:rPr>
        <w:t xml:space="preserve"> or o</w:t>
      </w:r>
      <w:r w:rsidR="0019316A" w:rsidRPr="00A952DE">
        <w:rPr>
          <w:color w:val="000000" w:themeColor="text1"/>
        </w:rPr>
        <w:t>l</w:t>
      </w:r>
      <w:r w:rsidRPr="00A952DE">
        <w:rPr>
          <w:color w:val="000000" w:themeColor="text1"/>
        </w:rPr>
        <w:t>d</w:t>
      </w:r>
      <w:r w:rsidR="0019316A" w:rsidRPr="00A952DE">
        <w:rPr>
          <w:color w:val="000000" w:themeColor="text1"/>
        </w:rPr>
        <w:t>er</w:t>
      </w:r>
    </w:p>
    <w:p w:rsidR="00873A08" w:rsidRDefault="00873A08" w:rsidP="00044275">
      <w:pPr>
        <w:pStyle w:val="SubmissionNormal"/>
        <w:numPr>
          <w:ilvl w:val="1"/>
          <w:numId w:val="36"/>
        </w:numPr>
        <w:tabs>
          <w:tab w:val="clear" w:pos="1440"/>
          <w:tab w:val="num" w:pos="1134"/>
        </w:tabs>
        <w:ind w:left="1134" w:hanging="567"/>
        <w:rPr>
          <w:lang w:val="en-US"/>
        </w:rPr>
      </w:pPr>
      <w:r w:rsidRPr="00873A08">
        <w:rPr>
          <w:lang w:val="en-US"/>
        </w:rPr>
        <w:t xml:space="preserve">experiencing </w:t>
      </w:r>
      <w:r>
        <w:rPr>
          <w:lang w:val="en-US"/>
        </w:rPr>
        <w:t xml:space="preserve">domestic </w:t>
      </w:r>
      <w:r w:rsidR="00C27A20">
        <w:rPr>
          <w:lang w:val="en-US"/>
        </w:rPr>
        <w:t xml:space="preserve">or </w:t>
      </w:r>
      <w:r>
        <w:rPr>
          <w:lang w:val="en-US"/>
        </w:rPr>
        <w:t>family violence or prov</w:t>
      </w:r>
      <w:r w:rsidR="00365A3A">
        <w:rPr>
          <w:lang w:val="en-US"/>
        </w:rPr>
        <w:t>i</w:t>
      </w:r>
      <w:r>
        <w:rPr>
          <w:lang w:val="en-US"/>
        </w:rPr>
        <w:t xml:space="preserve">ding care or support for a family or household member experiencing domestic </w:t>
      </w:r>
      <w:r w:rsidR="00C27A20">
        <w:rPr>
          <w:lang w:val="en-US"/>
        </w:rPr>
        <w:t xml:space="preserve">or </w:t>
      </w:r>
      <w:r>
        <w:rPr>
          <w:lang w:val="en-US"/>
        </w:rPr>
        <w:t>family violence</w:t>
      </w:r>
      <w:r w:rsidR="00044275">
        <w:rPr>
          <w:lang w:val="en-US"/>
        </w:rPr>
        <w:t>.</w:t>
      </w:r>
    </w:p>
    <w:p w:rsidR="00B8140C" w:rsidRPr="00F96046" w:rsidRDefault="00D27132" w:rsidP="00B8140C">
      <w:pPr>
        <w:pStyle w:val="SubmissionNormal"/>
        <w:ind w:left="567" w:hanging="567"/>
      </w:pPr>
      <w:r>
        <w:t>The amendments in clause 17 of the Bill are consistent with t</w:t>
      </w:r>
      <w:r w:rsidR="004659EC">
        <w:t>he Commission</w:t>
      </w:r>
      <w:r>
        <w:t>’s</w:t>
      </w:r>
      <w:r w:rsidR="004659EC">
        <w:t xml:space="preserve"> recommend</w:t>
      </w:r>
      <w:r>
        <w:t>ations</w:t>
      </w:r>
      <w:r w:rsidR="00B8140C">
        <w:t xml:space="preserve"> to the </w:t>
      </w:r>
      <w:r w:rsidR="00B8140C">
        <w:rPr>
          <w:lang w:val="en"/>
        </w:rPr>
        <w:t xml:space="preserve">Post Implementation Review of the </w:t>
      </w:r>
      <w:r w:rsidR="00B8140C">
        <w:rPr>
          <w:rStyle w:val="Emphasis"/>
          <w:rFonts w:eastAsia="MS Mincho"/>
          <w:lang w:val="en"/>
        </w:rPr>
        <w:t>Fair Work Act 2009</w:t>
      </w:r>
      <w:r w:rsidR="00044275">
        <w:rPr>
          <w:rStyle w:val="Emphasis"/>
          <w:rFonts w:eastAsia="MS Mincho"/>
          <w:lang w:val="en"/>
        </w:rPr>
        <w:t xml:space="preserve"> </w:t>
      </w:r>
      <w:r w:rsidR="00044275">
        <w:rPr>
          <w:rStyle w:val="Emphasis"/>
          <w:rFonts w:eastAsia="MS Mincho"/>
          <w:i w:val="0"/>
          <w:lang w:val="en"/>
        </w:rPr>
        <w:t>(Cth) (FWA)</w:t>
      </w:r>
      <w:r w:rsidR="00B8140C">
        <w:rPr>
          <w:rStyle w:val="Emphasis"/>
          <w:rFonts w:eastAsia="MS Mincho"/>
          <w:lang w:val="en"/>
        </w:rPr>
        <w:t xml:space="preserve">, </w:t>
      </w:r>
      <w:r w:rsidR="00B8140C" w:rsidRPr="00F96046">
        <w:rPr>
          <w:rStyle w:val="Emphasis"/>
          <w:rFonts w:eastAsia="MS Mincho"/>
          <w:i w:val="0"/>
          <w:lang w:val="en"/>
        </w:rPr>
        <w:t xml:space="preserve">that the </w:t>
      </w:r>
      <w:r w:rsidR="004659EC" w:rsidRPr="00F96046">
        <w:rPr>
          <w:rStyle w:val="Emphasis"/>
          <w:rFonts w:eastAsia="MS Mincho"/>
          <w:bCs/>
          <w:i w:val="0"/>
          <w:lang w:val="en"/>
        </w:rPr>
        <w:t xml:space="preserve">right to request flexible working arrangements </w:t>
      </w:r>
      <w:r w:rsidR="00B8140C" w:rsidRPr="00F96046">
        <w:rPr>
          <w:rStyle w:val="Emphasis"/>
          <w:rFonts w:eastAsia="MS Mincho"/>
          <w:bCs/>
          <w:i w:val="0"/>
          <w:lang w:val="en"/>
        </w:rPr>
        <w:t xml:space="preserve">be extended </w:t>
      </w:r>
      <w:r w:rsidR="004659EC" w:rsidRPr="00F96046">
        <w:rPr>
          <w:rStyle w:val="Emphasis"/>
          <w:rFonts w:eastAsia="MS Mincho"/>
          <w:bCs/>
          <w:i w:val="0"/>
          <w:lang w:val="en"/>
        </w:rPr>
        <w:t xml:space="preserve">to employees with children of all ages and to encompass all forms of family and carer responsibilities </w:t>
      </w:r>
      <w:r w:rsidR="00044275">
        <w:rPr>
          <w:rStyle w:val="Emphasis"/>
          <w:rFonts w:eastAsia="MS Mincho"/>
          <w:bCs/>
          <w:i w:val="0"/>
          <w:lang w:val="en"/>
        </w:rPr>
        <w:t xml:space="preserve">(eg </w:t>
      </w:r>
      <w:r w:rsidR="004659EC" w:rsidRPr="00F96046">
        <w:rPr>
          <w:rStyle w:val="Emphasis"/>
          <w:rFonts w:eastAsia="MS Mincho"/>
          <w:bCs/>
          <w:i w:val="0"/>
          <w:lang w:val="en"/>
        </w:rPr>
        <w:t>disability and elder care</w:t>
      </w:r>
      <w:r w:rsidR="00044275">
        <w:rPr>
          <w:rStyle w:val="Emphasis"/>
          <w:rFonts w:eastAsia="MS Mincho"/>
          <w:bCs/>
          <w:i w:val="0"/>
          <w:lang w:val="en"/>
        </w:rPr>
        <w:t>)</w:t>
      </w:r>
      <w:r w:rsidR="008275B3">
        <w:rPr>
          <w:rStyle w:val="Emphasis"/>
          <w:rFonts w:eastAsia="MS Mincho"/>
          <w:bCs/>
          <w:i w:val="0"/>
          <w:lang w:val="en"/>
        </w:rPr>
        <w:t xml:space="preserve"> as well as employees with disability and mature age workers</w:t>
      </w:r>
      <w:r w:rsidR="004659EC" w:rsidRPr="00F96046">
        <w:rPr>
          <w:rStyle w:val="Strong"/>
          <w:rFonts w:eastAsia="MS Mincho"/>
          <w:b w:val="0"/>
          <w:i/>
          <w:lang w:val="en"/>
        </w:rPr>
        <w:t>.</w:t>
      </w:r>
      <w:r w:rsidR="00E001D1" w:rsidRPr="00032148">
        <w:rPr>
          <w:rStyle w:val="EndnoteReference"/>
          <w:rFonts w:eastAsia="MS Mincho"/>
          <w:bCs/>
          <w:lang w:val="en"/>
        </w:rPr>
        <w:endnoteReference w:id="2"/>
      </w:r>
      <w:r w:rsidR="004659EC" w:rsidRPr="00F96046">
        <w:rPr>
          <w:rStyle w:val="Strong"/>
          <w:rFonts w:eastAsia="MS Mincho"/>
          <w:b w:val="0"/>
          <w:lang w:val="en"/>
        </w:rPr>
        <w:t xml:space="preserve"> </w:t>
      </w:r>
      <w:r w:rsidR="00B8140C">
        <w:t>The Commission has similarly discussed the need for such an extension to the right to request in its</w:t>
      </w:r>
      <w:r w:rsidR="00044275">
        <w:t xml:space="preserve"> report on </w:t>
      </w:r>
      <w:r w:rsidR="00B8140C" w:rsidRPr="00B8140C">
        <w:rPr>
          <w:i/>
        </w:rPr>
        <w:t>Investing in Care: Recognising and Valuing those who Care</w:t>
      </w:r>
      <w:r w:rsidR="00B8140C">
        <w:rPr>
          <w:i/>
        </w:rPr>
        <w:t>.</w:t>
      </w:r>
      <w:r w:rsidR="00E001D1" w:rsidRPr="00032148">
        <w:rPr>
          <w:rStyle w:val="EndnoteReference"/>
        </w:rPr>
        <w:endnoteReference w:id="3"/>
      </w:r>
      <w:r w:rsidR="00B8140C" w:rsidRPr="00B8140C">
        <w:rPr>
          <w:i/>
        </w:rPr>
        <w:t xml:space="preserve"> </w:t>
      </w:r>
    </w:p>
    <w:p w:rsidR="0044146E" w:rsidRPr="00DF5D59" w:rsidRDefault="0044146E" w:rsidP="0044146E">
      <w:pPr>
        <w:pStyle w:val="SubmissionNormal"/>
        <w:ind w:left="567" w:hanging="567"/>
      </w:pPr>
      <w:r>
        <w:t xml:space="preserve">The amendments in clause 17 are also consistent with the Commission’s recommendations to the </w:t>
      </w:r>
      <w:r>
        <w:rPr>
          <w:lang w:val="en"/>
        </w:rPr>
        <w:t>Post Implementation Review of the</w:t>
      </w:r>
      <w:r w:rsidR="00044275">
        <w:rPr>
          <w:lang w:val="en"/>
        </w:rPr>
        <w:t xml:space="preserve"> FWA</w:t>
      </w:r>
      <w:r>
        <w:rPr>
          <w:rStyle w:val="Emphasis"/>
          <w:rFonts w:eastAsia="MS Mincho"/>
          <w:lang w:val="en"/>
        </w:rPr>
        <w:t xml:space="preserve"> </w:t>
      </w:r>
      <w:r w:rsidRPr="00DF5D59">
        <w:rPr>
          <w:rStyle w:val="Emphasis"/>
          <w:rFonts w:eastAsia="MS Mincho"/>
          <w:i w:val="0"/>
          <w:lang w:val="en"/>
        </w:rPr>
        <w:t xml:space="preserve">to extend the right to request flexible working arrangements to </w:t>
      </w:r>
      <w:r w:rsidRPr="006F5046">
        <w:rPr>
          <w:lang w:val="en"/>
        </w:rPr>
        <w:t>employees affected by domestic</w:t>
      </w:r>
      <w:r w:rsidR="00044275">
        <w:rPr>
          <w:lang w:val="en"/>
        </w:rPr>
        <w:t xml:space="preserve"> or </w:t>
      </w:r>
      <w:r w:rsidRPr="006F5046">
        <w:rPr>
          <w:lang w:val="en"/>
        </w:rPr>
        <w:t>family violence</w:t>
      </w:r>
      <w:r w:rsidRPr="00DF5D59">
        <w:rPr>
          <w:lang w:val="en"/>
        </w:rPr>
        <w:t>.</w:t>
      </w:r>
      <w:r>
        <w:rPr>
          <w:rStyle w:val="EndnoteReference"/>
          <w:lang w:val="en"/>
        </w:rPr>
        <w:endnoteReference w:id="4"/>
      </w:r>
    </w:p>
    <w:p w:rsidR="005544C8" w:rsidRDefault="00260BDB" w:rsidP="00617BDB">
      <w:pPr>
        <w:pStyle w:val="SubmissionNormal"/>
        <w:tabs>
          <w:tab w:val="num" w:pos="567"/>
        </w:tabs>
        <w:ind w:left="567" w:hanging="567"/>
      </w:pPr>
      <w:r>
        <w:t xml:space="preserve">As </w:t>
      </w:r>
      <w:r w:rsidR="008B6B22">
        <w:t xml:space="preserve">the Commission </w:t>
      </w:r>
      <w:r w:rsidR="00873A08">
        <w:t xml:space="preserve">has </w:t>
      </w:r>
      <w:r w:rsidR="008B6B22">
        <w:t xml:space="preserve">noted </w:t>
      </w:r>
      <w:r w:rsidR="00F74928">
        <w:t xml:space="preserve">in </w:t>
      </w:r>
      <w:r w:rsidR="008B6B22">
        <w:t xml:space="preserve">its </w:t>
      </w:r>
      <w:r w:rsidR="00044275" w:rsidRPr="00B8140C">
        <w:rPr>
          <w:i/>
        </w:rPr>
        <w:t>Investing</w:t>
      </w:r>
      <w:r w:rsidR="00044275">
        <w:rPr>
          <w:i/>
        </w:rPr>
        <w:t xml:space="preserve"> </w:t>
      </w:r>
      <w:r w:rsidR="00B8140C">
        <w:rPr>
          <w:i/>
        </w:rPr>
        <w:t>in Care</w:t>
      </w:r>
      <w:r w:rsidR="00B8140C">
        <w:t xml:space="preserve"> </w:t>
      </w:r>
      <w:r w:rsidR="008B6B22">
        <w:t>report</w:t>
      </w:r>
      <w:r w:rsidR="00C27A20">
        <w:t>:</w:t>
      </w:r>
    </w:p>
    <w:p w:rsidR="005544C8" w:rsidRPr="005544C8" w:rsidRDefault="00C27A20" w:rsidP="005544C8">
      <w:pPr>
        <w:pStyle w:val="SubmissionNormal"/>
        <w:numPr>
          <w:ilvl w:val="0"/>
          <w:numId w:val="0"/>
        </w:numPr>
        <w:ind w:left="1134"/>
        <w:rPr>
          <w:sz w:val="22"/>
          <w:szCs w:val="22"/>
        </w:rPr>
      </w:pPr>
      <w:r>
        <w:rPr>
          <w:sz w:val="22"/>
          <w:szCs w:val="22"/>
        </w:rPr>
        <w:t>R</w:t>
      </w:r>
      <w:r w:rsidR="00260BDB" w:rsidRPr="005544C8">
        <w:rPr>
          <w:sz w:val="22"/>
          <w:szCs w:val="22"/>
        </w:rPr>
        <w:t>ight to request legislation provides parents and carers with options to flexibl</w:t>
      </w:r>
      <w:r w:rsidR="003C186D" w:rsidRPr="005544C8">
        <w:rPr>
          <w:sz w:val="22"/>
          <w:szCs w:val="22"/>
        </w:rPr>
        <w:t>y</w:t>
      </w:r>
      <w:r w:rsidR="00260BDB" w:rsidRPr="005544C8">
        <w:rPr>
          <w:sz w:val="22"/>
          <w:szCs w:val="22"/>
        </w:rPr>
        <w:t xml:space="preserve"> manage employment and caring responsibilities.  It therefore has the potential to improve workforce attachment of carers and reduce the risk of workforce drop out among new parents or at the o</w:t>
      </w:r>
      <w:r w:rsidR="005544C8" w:rsidRPr="005544C8">
        <w:rPr>
          <w:sz w:val="22"/>
          <w:szCs w:val="22"/>
        </w:rPr>
        <w:t>nset of caring responsibilities</w:t>
      </w:r>
      <w:r w:rsidR="00260BDB" w:rsidRPr="005544C8">
        <w:rPr>
          <w:sz w:val="22"/>
          <w:szCs w:val="22"/>
        </w:rPr>
        <w:t>.</w:t>
      </w:r>
      <w:r w:rsidR="00260BDB" w:rsidRPr="005544C8">
        <w:rPr>
          <w:rStyle w:val="EndnoteReference"/>
          <w:sz w:val="22"/>
          <w:szCs w:val="22"/>
        </w:rPr>
        <w:endnoteReference w:id="5"/>
      </w:r>
      <w:r w:rsidR="003C186D" w:rsidRPr="005544C8">
        <w:rPr>
          <w:sz w:val="22"/>
          <w:szCs w:val="22"/>
        </w:rPr>
        <w:t xml:space="preserve">  </w:t>
      </w:r>
    </w:p>
    <w:p w:rsidR="00502D5F" w:rsidRPr="0076682F" w:rsidRDefault="008275B3" w:rsidP="00365A3A">
      <w:pPr>
        <w:pStyle w:val="SubmissionNormal"/>
        <w:tabs>
          <w:tab w:val="num" w:pos="567"/>
        </w:tabs>
        <w:ind w:left="567" w:hanging="567"/>
      </w:pPr>
      <w:r w:rsidRPr="00C15EDA">
        <w:rPr>
          <w:rFonts w:cs="Arial"/>
        </w:rPr>
        <w:t xml:space="preserve">The proposed changes are also consistent with the </w:t>
      </w:r>
      <w:r w:rsidR="00B85549">
        <w:rPr>
          <w:rFonts w:cs="Arial"/>
        </w:rPr>
        <w:t>FWA Review Panel’s r</w:t>
      </w:r>
      <w:r w:rsidRPr="00C15EDA">
        <w:rPr>
          <w:rFonts w:cs="Arial"/>
        </w:rPr>
        <w:t>ecommendation</w:t>
      </w:r>
      <w:r w:rsidR="00B85549">
        <w:rPr>
          <w:rFonts w:cs="Arial"/>
        </w:rPr>
        <w:t xml:space="preserve"> </w:t>
      </w:r>
      <w:r w:rsidRPr="00F96046">
        <w:rPr>
          <w:rFonts w:cs="Arial"/>
          <w:color w:val="000000" w:themeColor="text1"/>
        </w:rPr>
        <w:t xml:space="preserve">to </w:t>
      </w:r>
      <w:r w:rsidR="00B85549">
        <w:rPr>
          <w:rFonts w:cs="Arial"/>
          <w:color w:val="000000" w:themeColor="text1"/>
        </w:rPr>
        <w:t>‘</w:t>
      </w:r>
      <w:r w:rsidRPr="00F96046">
        <w:rPr>
          <w:rFonts w:cs="Arial"/>
          <w:color w:val="000000" w:themeColor="text1"/>
        </w:rPr>
        <w:t xml:space="preserve">extend the right to request flexible working arrangements to a wider range of caring and </w:t>
      </w:r>
      <w:r w:rsidRPr="00C15EDA">
        <w:rPr>
          <w:rFonts w:cs="Arial"/>
        </w:rPr>
        <w:t>other circumstances</w:t>
      </w:r>
      <w:r w:rsidR="0062170A">
        <w:rPr>
          <w:rFonts w:cs="Arial"/>
        </w:rPr>
        <w:t xml:space="preserve"> </w:t>
      </w:r>
      <w:r w:rsidR="001D1F37">
        <w:rPr>
          <w:rFonts w:cs="Arial"/>
        </w:rPr>
        <w:t>…</w:t>
      </w:r>
      <w:r w:rsidR="00B85549">
        <w:rPr>
          <w:rFonts w:cs="Arial"/>
        </w:rPr>
        <w:t>’</w:t>
      </w:r>
      <w:r w:rsidRPr="00C15EDA">
        <w:rPr>
          <w:rFonts w:cs="Arial"/>
        </w:rPr>
        <w:t>.</w:t>
      </w:r>
      <w:r w:rsidRPr="00032148">
        <w:rPr>
          <w:rStyle w:val="EndnoteReference"/>
          <w:rFonts w:cs="Arial"/>
          <w:szCs w:val="20"/>
        </w:rPr>
        <w:endnoteReference w:id="6"/>
      </w:r>
      <w:r w:rsidR="00F9347A">
        <w:rPr>
          <w:rFonts w:cs="Arial"/>
        </w:rPr>
        <w:t xml:space="preserve">  </w:t>
      </w:r>
    </w:p>
    <w:p w:rsidR="008275B3" w:rsidRPr="00A952DE" w:rsidRDefault="00F9347A" w:rsidP="00365A3A">
      <w:pPr>
        <w:pStyle w:val="SubmissionNormal"/>
        <w:tabs>
          <w:tab w:val="num" w:pos="567"/>
        </w:tabs>
        <w:ind w:left="567" w:hanging="567"/>
        <w:rPr>
          <w:color w:val="000000" w:themeColor="text1"/>
        </w:rPr>
      </w:pPr>
      <w:r>
        <w:rPr>
          <w:rFonts w:cs="Arial"/>
        </w:rPr>
        <w:t>Moreover, as noted in the Bill’s Statement of Compatibility</w:t>
      </w:r>
      <w:r w:rsidR="00502D5F">
        <w:rPr>
          <w:rFonts w:cs="Arial"/>
        </w:rPr>
        <w:t xml:space="preserve"> with Human Rights</w:t>
      </w:r>
      <w:r>
        <w:rPr>
          <w:rFonts w:cs="Arial"/>
        </w:rPr>
        <w:t xml:space="preserve">, the changes implement a number of Australia’s international human rights </w:t>
      </w:r>
      <w:r w:rsidRPr="00502D5F">
        <w:rPr>
          <w:rFonts w:cs="Arial"/>
        </w:rPr>
        <w:t>obligations</w:t>
      </w:r>
      <w:r w:rsidR="00C12DAD" w:rsidRPr="00502D5F">
        <w:rPr>
          <w:rFonts w:cs="Arial"/>
        </w:rPr>
        <w:t xml:space="preserve">, including under the </w:t>
      </w:r>
      <w:r w:rsidR="00C12DAD" w:rsidRPr="00502D5F">
        <w:rPr>
          <w:rFonts w:cs="Arial"/>
          <w:i/>
        </w:rPr>
        <w:t>Convention on the Elimination of All Forms of Discrimination against Women</w:t>
      </w:r>
      <w:r w:rsidR="00C12DAD" w:rsidRPr="00502D5F">
        <w:rPr>
          <w:rFonts w:cs="Arial"/>
        </w:rPr>
        <w:t>.</w:t>
      </w:r>
      <w:r w:rsidR="00502D5F" w:rsidRPr="00502D5F">
        <w:rPr>
          <w:rFonts w:cs="Arial"/>
        </w:rPr>
        <w:t xml:space="preserve"> The changes also implement Australia’s international obligations under the Interna</w:t>
      </w:r>
      <w:r w:rsidR="00502D5F">
        <w:rPr>
          <w:rFonts w:cs="Arial"/>
        </w:rPr>
        <w:t>t</w:t>
      </w:r>
      <w:r w:rsidR="00502D5F" w:rsidRPr="00502D5F">
        <w:rPr>
          <w:rFonts w:cs="Arial"/>
        </w:rPr>
        <w:t>i</w:t>
      </w:r>
      <w:r w:rsidR="00502D5F">
        <w:rPr>
          <w:rFonts w:cs="Arial"/>
        </w:rPr>
        <w:t>o</w:t>
      </w:r>
      <w:r w:rsidR="00502D5F" w:rsidRPr="00502D5F">
        <w:rPr>
          <w:rFonts w:cs="Arial"/>
        </w:rPr>
        <w:t>na</w:t>
      </w:r>
      <w:r w:rsidR="00502D5F">
        <w:rPr>
          <w:rFonts w:cs="Arial"/>
        </w:rPr>
        <w:t>l</w:t>
      </w:r>
      <w:r w:rsidR="00502D5F" w:rsidRPr="00502D5F">
        <w:rPr>
          <w:rFonts w:cs="Arial"/>
        </w:rPr>
        <w:t xml:space="preserve"> </w:t>
      </w:r>
      <w:r w:rsidR="00502D5F">
        <w:rPr>
          <w:rFonts w:cs="Arial"/>
        </w:rPr>
        <w:t>Labour Organizati</w:t>
      </w:r>
      <w:r w:rsidR="00502D5F" w:rsidRPr="00502D5F">
        <w:rPr>
          <w:rFonts w:cs="Arial"/>
        </w:rPr>
        <w:t>o</w:t>
      </w:r>
      <w:r w:rsidR="00502D5F">
        <w:rPr>
          <w:rFonts w:cs="Arial"/>
        </w:rPr>
        <w:t>n</w:t>
      </w:r>
      <w:r w:rsidR="00502D5F" w:rsidRPr="00502D5F">
        <w:rPr>
          <w:rFonts w:cs="Arial"/>
        </w:rPr>
        <w:t xml:space="preserve"> </w:t>
      </w:r>
      <w:r w:rsidR="00502D5F" w:rsidRPr="00A952DE">
        <w:rPr>
          <w:rFonts w:cs="Arial"/>
          <w:i/>
        </w:rPr>
        <w:t xml:space="preserve">Convention </w:t>
      </w:r>
      <w:r w:rsidR="00502D5F" w:rsidRPr="00A952DE">
        <w:rPr>
          <w:rFonts w:cs="Arial"/>
          <w:i/>
          <w:color w:val="000000" w:themeColor="text1"/>
        </w:rPr>
        <w:t>156 on</w:t>
      </w:r>
      <w:r w:rsidR="00502D5F" w:rsidRPr="00A952DE">
        <w:rPr>
          <w:rFonts w:cs="Arial"/>
          <w:i/>
          <w:color w:val="000000" w:themeColor="text1"/>
          <w:spacing w:val="-5"/>
          <w:kern w:val="36"/>
          <w:lang w:val="en"/>
        </w:rPr>
        <w:t xml:space="preserve"> Workers with Family Responsibilities</w:t>
      </w:r>
      <w:r w:rsidR="00502D5F" w:rsidRPr="00A952DE">
        <w:rPr>
          <w:rFonts w:cs="Arial"/>
          <w:color w:val="000000" w:themeColor="text1"/>
          <w:spacing w:val="-5"/>
          <w:kern w:val="36"/>
          <w:lang w:val="en"/>
        </w:rPr>
        <w:t>.</w:t>
      </w:r>
    </w:p>
    <w:p w:rsidR="0090757F" w:rsidRDefault="00D27132" w:rsidP="00365A3A">
      <w:pPr>
        <w:pStyle w:val="SubmissionNormal"/>
        <w:tabs>
          <w:tab w:val="num" w:pos="567"/>
        </w:tabs>
        <w:ind w:left="567" w:hanging="567"/>
      </w:pPr>
      <w:r>
        <w:t>The proposed changes will provide important recognition of the needs of a broader range of carers and help to improve their workforce attachment.</w:t>
      </w:r>
    </w:p>
    <w:p w:rsidR="00D92D04" w:rsidRPr="00F96046" w:rsidRDefault="00D92D04" w:rsidP="00A952DE">
      <w:pPr>
        <w:pStyle w:val="SubmissionNormal"/>
        <w:tabs>
          <w:tab w:val="num" w:pos="567"/>
        </w:tabs>
        <w:ind w:left="567" w:hanging="567"/>
      </w:pPr>
      <w:r w:rsidRPr="004659EC">
        <w:rPr>
          <w:b/>
          <w:i/>
        </w:rPr>
        <w:t>Recommendation 1:</w:t>
      </w:r>
      <w:r w:rsidR="009A50A6" w:rsidRPr="004659EC">
        <w:rPr>
          <w:b/>
          <w:i/>
        </w:rPr>
        <w:t xml:space="preserve"> </w:t>
      </w:r>
      <w:r w:rsidR="006F5046" w:rsidRPr="00F96046">
        <w:rPr>
          <w:b/>
          <w:i/>
        </w:rPr>
        <w:t>The Commission recommends that the proposed expansion of the right to request in clause 17 of the Fair Work Bill</w:t>
      </w:r>
      <w:r w:rsidR="000B707F" w:rsidRPr="000B707F">
        <w:rPr>
          <w:b/>
          <w:i/>
        </w:rPr>
        <w:t xml:space="preserve"> </w:t>
      </w:r>
      <w:r w:rsidR="000B707F" w:rsidRPr="00767A86">
        <w:rPr>
          <w:b/>
          <w:i/>
        </w:rPr>
        <w:t>be</w:t>
      </w:r>
      <w:r w:rsidR="007031AE">
        <w:rPr>
          <w:b/>
          <w:i/>
        </w:rPr>
        <w:t xml:space="preserve"> </w:t>
      </w:r>
      <w:r w:rsidR="006C1A41">
        <w:rPr>
          <w:b/>
          <w:i/>
        </w:rPr>
        <w:t>adopted</w:t>
      </w:r>
      <w:r w:rsidR="007031AE">
        <w:rPr>
          <w:b/>
          <w:i/>
        </w:rPr>
        <w:t>.</w:t>
      </w:r>
      <w:r w:rsidR="006F5046" w:rsidRPr="00F96046">
        <w:rPr>
          <w:b/>
          <w:i/>
        </w:rPr>
        <w:t xml:space="preserve"> </w:t>
      </w:r>
      <w:r w:rsidR="00EE0CB3">
        <w:rPr>
          <w:b/>
          <w:i/>
        </w:rPr>
        <w:t xml:space="preserve"> </w:t>
      </w:r>
    </w:p>
    <w:p w:rsidR="000B707F" w:rsidRDefault="00027D8B" w:rsidP="0053682E">
      <w:pPr>
        <w:pStyle w:val="SubmissionNormal"/>
        <w:ind w:left="567" w:hanging="567"/>
      </w:pPr>
      <w:bookmarkStart w:id="11" w:name="_Toc162769295"/>
      <w:r>
        <w:t xml:space="preserve">The Commission </w:t>
      </w:r>
      <w:r w:rsidR="000B707F">
        <w:t>notes th</w:t>
      </w:r>
      <w:r w:rsidR="00E001D1">
        <w:t xml:space="preserve">at the </w:t>
      </w:r>
      <w:r w:rsidR="00D810AC">
        <w:t xml:space="preserve">FWA’s provisions on the </w:t>
      </w:r>
      <w:r w:rsidR="00E001D1">
        <w:t>right to request flexible work</w:t>
      </w:r>
      <w:r w:rsidR="00D810AC">
        <w:t>ing</w:t>
      </w:r>
      <w:r w:rsidR="00E001D1">
        <w:t xml:space="preserve"> arrangements </w:t>
      </w:r>
      <w:r w:rsidR="000B707F">
        <w:t>c</w:t>
      </w:r>
      <w:r w:rsidR="00E001D1">
        <w:t>o</w:t>
      </w:r>
      <w:r w:rsidR="000B707F">
        <w:t xml:space="preserve">uld be enhanced </w:t>
      </w:r>
      <w:r w:rsidR="00D810AC">
        <w:t xml:space="preserve">further </w:t>
      </w:r>
      <w:r w:rsidR="000B707F">
        <w:t>by:</w:t>
      </w:r>
    </w:p>
    <w:p w:rsidR="00E001D1" w:rsidRDefault="00C6081D" w:rsidP="00F96046">
      <w:pPr>
        <w:pStyle w:val="SubmissionNormal"/>
        <w:numPr>
          <w:ilvl w:val="0"/>
          <w:numId w:val="43"/>
        </w:numPr>
      </w:pPr>
      <w:r>
        <w:t xml:space="preserve">removing the qualification requirements </w:t>
      </w:r>
      <w:r w:rsidR="0057504F">
        <w:t xml:space="preserve">in section 65(2) of the </w:t>
      </w:r>
      <w:r w:rsidR="00D810AC">
        <w:t>FWA</w:t>
      </w:r>
      <w:r w:rsidR="00D810AC">
        <w:rPr>
          <w:i/>
        </w:rPr>
        <w:t xml:space="preserve"> </w:t>
      </w:r>
      <w:r w:rsidR="00D810AC">
        <w:t xml:space="preserve">(ie </w:t>
      </w:r>
      <w:r w:rsidR="00190431">
        <w:t>the requirements for</w:t>
      </w:r>
      <w:r w:rsidR="0057504F">
        <w:t xml:space="preserve"> 12 months continuous service</w:t>
      </w:r>
      <w:r w:rsidR="00190431">
        <w:t xml:space="preserve"> and, in the case of casual employees, long term employment and a </w:t>
      </w:r>
      <w:r w:rsidR="0057504F">
        <w:t>reasonable expectation of continuing employment</w:t>
      </w:r>
      <w:r w:rsidR="005871FF">
        <w:t>)</w:t>
      </w:r>
      <w:r w:rsidR="00E001D1" w:rsidRPr="00E001D1">
        <w:t xml:space="preserve"> </w:t>
      </w:r>
    </w:p>
    <w:p w:rsidR="00E001D1" w:rsidRDefault="00E001D1" w:rsidP="00F96046">
      <w:pPr>
        <w:pStyle w:val="SubmissionNormal"/>
        <w:numPr>
          <w:ilvl w:val="0"/>
          <w:numId w:val="43"/>
        </w:numPr>
      </w:pPr>
      <w:r>
        <w:t>introducing a duty on employers to reasonably accommodate a request for</w:t>
      </w:r>
      <w:r w:rsidR="005871FF">
        <w:t xml:space="preserve"> flexible working arrangements</w:t>
      </w:r>
      <w:r>
        <w:t xml:space="preserve"> </w:t>
      </w:r>
    </w:p>
    <w:p w:rsidR="00027D8B" w:rsidRPr="00B85549" w:rsidRDefault="00E001D1" w:rsidP="00F96046">
      <w:pPr>
        <w:pStyle w:val="SubmissionNormal"/>
        <w:numPr>
          <w:ilvl w:val="0"/>
          <w:numId w:val="43"/>
        </w:numPr>
      </w:pPr>
      <w:r w:rsidRPr="00F96046">
        <w:t>establish</w:t>
      </w:r>
      <w:r w:rsidR="00B85549">
        <w:t>ing</w:t>
      </w:r>
      <w:r w:rsidRPr="00F96046">
        <w:t xml:space="preserve"> a procedural appeals process through Fair Work Australia for decisions related to the right to request flexible working arrangements</w:t>
      </w:r>
      <w:r w:rsidR="005871FF">
        <w:t>.</w:t>
      </w:r>
      <w:r w:rsidRPr="00F96046">
        <w:t xml:space="preserve">    </w:t>
      </w:r>
    </w:p>
    <w:p w:rsidR="00E001D1" w:rsidRPr="00DF0CB4" w:rsidRDefault="00B85549" w:rsidP="00E001D1">
      <w:pPr>
        <w:pStyle w:val="SubmissionNormal"/>
        <w:ind w:left="567" w:hanging="567"/>
      </w:pPr>
      <w:r>
        <w:t>These recomme</w:t>
      </w:r>
      <w:r w:rsidR="00E001D1">
        <w:t>n</w:t>
      </w:r>
      <w:r>
        <w:t>d</w:t>
      </w:r>
      <w:r w:rsidR="00E001D1">
        <w:t>a</w:t>
      </w:r>
      <w:r>
        <w:t>tions were made by the Commiss</w:t>
      </w:r>
      <w:r w:rsidR="00E001D1">
        <w:t>i</w:t>
      </w:r>
      <w:r>
        <w:t>on in its submis</w:t>
      </w:r>
      <w:r w:rsidR="00E001D1">
        <w:t>s</w:t>
      </w:r>
      <w:r>
        <w:t>io</w:t>
      </w:r>
      <w:r w:rsidR="00E001D1">
        <w:t xml:space="preserve">n to the </w:t>
      </w:r>
      <w:r w:rsidR="00E001D1">
        <w:rPr>
          <w:lang w:val="en"/>
        </w:rPr>
        <w:t>Post Implementation Review of the</w:t>
      </w:r>
      <w:r w:rsidR="005871FF">
        <w:rPr>
          <w:lang w:val="en"/>
        </w:rPr>
        <w:t xml:space="preserve"> FWA</w:t>
      </w:r>
      <w:r w:rsidR="00E001D1">
        <w:rPr>
          <w:lang w:val="en"/>
        </w:rPr>
        <w:t xml:space="preserve"> </w:t>
      </w:r>
      <w:r w:rsidR="00E001D1">
        <w:t xml:space="preserve">and discussed in its </w:t>
      </w:r>
      <w:r w:rsidR="005871FF">
        <w:rPr>
          <w:i/>
        </w:rPr>
        <w:t xml:space="preserve">Investing </w:t>
      </w:r>
      <w:r w:rsidR="00E001D1" w:rsidRPr="00B8140C">
        <w:rPr>
          <w:i/>
        </w:rPr>
        <w:t>in Care</w:t>
      </w:r>
      <w:r w:rsidR="005871FF">
        <w:t xml:space="preserve"> report</w:t>
      </w:r>
      <w:r w:rsidR="00E001D1">
        <w:rPr>
          <w:i/>
        </w:rPr>
        <w:t>.</w:t>
      </w:r>
      <w:r w:rsidR="00E001D1" w:rsidRPr="00B8140C">
        <w:rPr>
          <w:i/>
        </w:rPr>
        <w:t xml:space="preserve"> </w:t>
      </w:r>
    </w:p>
    <w:p w:rsidR="00087DF8" w:rsidRDefault="00A21620" w:rsidP="009F1AA3">
      <w:pPr>
        <w:pStyle w:val="SubmissionNormal"/>
        <w:ind w:left="567" w:hanging="567"/>
      </w:pPr>
      <w:r>
        <w:t xml:space="preserve">The Commission reiterates the concern expressed in its </w:t>
      </w:r>
      <w:r w:rsidR="002B2FB4">
        <w:t xml:space="preserve">submission to the FWA </w:t>
      </w:r>
      <w:r w:rsidR="0062170A">
        <w:t>R</w:t>
      </w:r>
      <w:r w:rsidR="002B2FB4">
        <w:t xml:space="preserve">eview </w:t>
      </w:r>
      <w:r w:rsidR="0062170A">
        <w:t>P</w:t>
      </w:r>
      <w:r w:rsidR="002B2FB4">
        <w:t>anel</w:t>
      </w:r>
      <w:r>
        <w:t xml:space="preserve"> that the qualification requirements</w:t>
      </w:r>
      <w:r w:rsidR="004D124B">
        <w:t>, which restrict the categories of employees eligible to make a request for flexible working arrangements,</w:t>
      </w:r>
      <w:r>
        <w:t xml:space="preserve"> </w:t>
      </w:r>
      <w:r w:rsidR="004D124B">
        <w:t xml:space="preserve">have a disproportionate </w:t>
      </w:r>
      <w:r w:rsidR="00AE3329">
        <w:t>e</w:t>
      </w:r>
      <w:r w:rsidR="004D124B">
        <w:t>ffect on</w:t>
      </w:r>
      <w:r>
        <w:t xml:space="preserve"> women.</w:t>
      </w:r>
      <w:r w:rsidR="00B447D1">
        <w:rPr>
          <w:rStyle w:val="EndnoteReference"/>
        </w:rPr>
        <w:endnoteReference w:id="7"/>
      </w:r>
      <w:r w:rsidR="00B07DB4">
        <w:t xml:space="preserve">  </w:t>
      </w:r>
      <w:r w:rsidR="006602DC">
        <w:t xml:space="preserve">This impact has </w:t>
      </w:r>
      <w:r w:rsidR="00C34503">
        <w:t xml:space="preserve">also </w:t>
      </w:r>
      <w:r w:rsidR="006602DC">
        <w:t xml:space="preserve">been noted with concern by </w:t>
      </w:r>
      <w:r w:rsidR="00087DF8">
        <w:t>Sara Charlesworth and Iain Campbell</w:t>
      </w:r>
      <w:r w:rsidR="006602DC">
        <w:t xml:space="preserve">, </w:t>
      </w:r>
      <w:r w:rsidR="00C34503">
        <w:t>among</w:t>
      </w:r>
      <w:r w:rsidR="00BD1261">
        <w:t>st</w:t>
      </w:r>
      <w:r w:rsidR="00C34503">
        <w:t xml:space="preserve"> others, </w:t>
      </w:r>
      <w:r w:rsidR="006602DC">
        <w:t xml:space="preserve">who have explained </w:t>
      </w:r>
      <w:r w:rsidR="00087DF8">
        <w:t>that the requirements</w:t>
      </w:r>
      <w:r w:rsidR="0062170A">
        <w:t>:</w:t>
      </w:r>
      <w:r w:rsidR="00087DF8">
        <w:t xml:space="preserve"> </w:t>
      </w:r>
    </w:p>
    <w:p w:rsidR="00617BDB" w:rsidRDefault="00087DF8" w:rsidP="00087DF8">
      <w:pPr>
        <w:pStyle w:val="SubmissionNormal"/>
        <w:numPr>
          <w:ilvl w:val="0"/>
          <w:numId w:val="0"/>
        </w:numPr>
        <w:ind w:left="1134"/>
      </w:pPr>
      <w:r>
        <w:t>exclude many of the working parents of preschool age children who are most likely to make requests.  In 2006 for example, 21% of working women of child bearing age (25-44 years) and 44% of women employed on a casual basis had less than 12 months service with their current employer.</w:t>
      </w:r>
      <w:r>
        <w:rPr>
          <w:rStyle w:val="EndnoteReference"/>
        </w:rPr>
        <w:endnoteReference w:id="8"/>
      </w:r>
      <w:r>
        <w:t xml:space="preserve"> </w:t>
      </w:r>
      <w:r w:rsidR="00A21620">
        <w:t xml:space="preserve"> </w:t>
      </w:r>
      <w:r w:rsidR="002B2FB4">
        <w:t xml:space="preserve"> </w:t>
      </w:r>
      <w:r w:rsidR="00C6081D">
        <w:t xml:space="preserve"> </w:t>
      </w:r>
    </w:p>
    <w:p w:rsidR="00D92D04" w:rsidRPr="00032148" w:rsidRDefault="00B85549" w:rsidP="00137D6B">
      <w:pPr>
        <w:pStyle w:val="SubmissionNormal"/>
        <w:tabs>
          <w:tab w:val="num" w:pos="567"/>
        </w:tabs>
        <w:ind w:left="567" w:hanging="567"/>
        <w:rPr>
          <w:b/>
        </w:rPr>
      </w:pPr>
      <w:r w:rsidRPr="007D6C8F">
        <w:t>The Commission</w:t>
      </w:r>
      <w:r w:rsidR="00AA259F" w:rsidRPr="00B85549">
        <w:t xml:space="preserve"> remains</w:t>
      </w:r>
      <w:r w:rsidR="00AA259F">
        <w:t xml:space="preserve"> </w:t>
      </w:r>
      <w:r w:rsidR="00D92D04">
        <w:t>concerned</w:t>
      </w:r>
      <w:r w:rsidR="00AA259F">
        <w:t xml:space="preserve"> </w:t>
      </w:r>
      <w:r w:rsidR="00D92D04">
        <w:t>that</w:t>
      </w:r>
      <w:r w:rsidR="004A1444">
        <w:t xml:space="preserve"> the Bill does not seek to amend </w:t>
      </w:r>
      <w:r w:rsidR="00AA259F">
        <w:t>the FWA to e</w:t>
      </w:r>
      <w:r w:rsidR="004A1444">
        <w:t>stablish a procedural appeals proce</w:t>
      </w:r>
      <w:r w:rsidR="00137D6B">
        <w:t xml:space="preserve">ss through Fair Work Australia.  </w:t>
      </w:r>
      <w:r w:rsidR="003614A7">
        <w:t xml:space="preserve">The Commission acknowledges the view of the FWA </w:t>
      </w:r>
      <w:r>
        <w:t xml:space="preserve">Review Panel </w:t>
      </w:r>
      <w:r w:rsidR="003614A7">
        <w:t xml:space="preserve">that a procedural appeals process would </w:t>
      </w:r>
      <w:r w:rsidR="00D92D04">
        <w:t>not guarantee that request</w:t>
      </w:r>
      <w:r w:rsidR="003614A7">
        <w:t>s</w:t>
      </w:r>
      <w:r w:rsidR="00D92D04">
        <w:t xml:space="preserve"> </w:t>
      </w:r>
      <w:r w:rsidR="003614A7">
        <w:t xml:space="preserve">for flexible working arrangements </w:t>
      </w:r>
      <w:r w:rsidR="00D92D04">
        <w:t>would succeed.</w:t>
      </w:r>
      <w:r w:rsidR="00D92D04" w:rsidRPr="00032148">
        <w:rPr>
          <w:rStyle w:val="EndnoteReference"/>
          <w:szCs w:val="20"/>
        </w:rPr>
        <w:endnoteReference w:id="9"/>
      </w:r>
      <w:r w:rsidR="00212BBB">
        <w:t xml:space="preserve">  However, the Commission considers that </w:t>
      </w:r>
      <w:r w:rsidR="00690885">
        <w:t xml:space="preserve">a </w:t>
      </w:r>
      <w:r w:rsidR="00212BBB">
        <w:t xml:space="preserve">right of appeal is </w:t>
      </w:r>
      <w:r w:rsidR="0039183C">
        <w:t xml:space="preserve">nevertheless an </w:t>
      </w:r>
      <w:r w:rsidR="00212BBB">
        <w:t>important</w:t>
      </w:r>
      <w:r w:rsidR="0039183C">
        <w:t xml:space="preserve"> due process protection</w:t>
      </w:r>
      <w:r w:rsidR="00212BBB">
        <w:t>, especially for vulnerable employees</w:t>
      </w:r>
      <w:r w:rsidR="0039183C">
        <w:t>, and will help to ensure that employers ad</w:t>
      </w:r>
      <w:r w:rsidR="0039183C" w:rsidRPr="00032148">
        <w:rPr>
          <w:b/>
        </w:rPr>
        <w:t xml:space="preserve">opt a considered approach to requests for flexible working arrangements. </w:t>
      </w:r>
    </w:p>
    <w:p w:rsidR="00E96275" w:rsidRPr="00032148" w:rsidRDefault="00E96275" w:rsidP="00032148">
      <w:pPr>
        <w:pStyle w:val="SubmissionNormal"/>
        <w:tabs>
          <w:tab w:val="num" w:pos="567"/>
        </w:tabs>
        <w:ind w:left="567" w:hanging="567"/>
        <w:rPr>
          <w:b/>
          <w:i/>
        </w:rPr>
      </w:pPr>
      <w:r w:rsidRPr="00032148">
        <w:rPr>
          <w:b/>
          <w:i/>
        </w:rPr>
        <w:t xml:space="preserve">Recommendation 2: </w:t>
      </w:r>
      <w:r w:rsidR="00A9600C" w:rsidRPr="00032148">
        <w:rPr>
          <w:b/>
          <w:i/>
        </w:rPr>
        <w:t>The Commission recommend</w:t>
      </w:r>
      <w:r w:rsidR="007B6C60" w:rsidRPr="00032148">
        <w:rPr>
          <w:b/>
          <w:i/>
        </w:rPr>
        <w:t>s</w:t>
      </w:r>
      <w:r w:rsidRPr="00032148">
        <w:rPr>
          <w:b/>
          <w:i/>
        </w:rPr>
        <w:t xml:space="preserve"> </w:t>
      </w:r>
      <w:r w:rsidR="00DB248D" w:rsidRPr="00032148">
        <w:rPr>
          <w:b/>
          <w:i/>
        </w:rPr>
        <w:t xml:space="preserve">that consideration be given to </w:t>
      </w:r>
      <w:r w:rsidRPr="00032148">
        <w:rPr>
          <w:b/>
          <w:i/>
        </w:rPr>
        <w:t xml:space="preserve">further amending the right to request flexible work arrangements </w:t>
      </w:r>
      <w:r w:rsidR="00E93BFD">
        <w:t xml:space="preserve">by way of amendments </w:t>
      </w:r>
      <w:r w:rsidRPr="00032148">
        <w:rPr>
          <w:b/>
          <w:i/>
        </w:rPr>
        <w:t>that:</w:t>
      </w:r>
    </w:p>
    <w:p w:rsidR="00E96275" w:rsidRPr="00032148" w:rsidRDefault="00DB248D" w:rsidP="00032148">
      <w:pPr>
        <w:pStyle w:val="SubmissionNormal"/>
        <w:numPr>
          <w:ilvl w:val="1"/>
          <w:numId w:val="36"/>
        </w:numPr>
        <w:rPr>
          <w:b/>
          <w:i/>
        </w:rPr>
      </w:pPr>
      <w:r w:rsidRPr="00032148">
        <w:rPr>
          <w:b/>
          <w:i/>
        </w:rPr>
        <w:t>remov</w:t>
      </w:r>
      <w:r w:rsidR="00E96275" w:rsidRPr="00032148">
        <w:rPr>
          <w:b/>
          <w:i/>
        </w:rPr>
        <w:t>e</w:t>
      </w:r>
      <w:r w:rsidRPr="00032148">
        <w:rPr>
          <w:b/>
          <w:i/>
        </w:rPr>
        <w:t xml:space="preserve"> the qualification requirements that restrict the categories of employees who can make a request f</w:t>
      </w:r>
      <w:r w:rsidR="00E96275" w:rsidRPr="00032148">
        <w:rPr>
          <w:b/>
          <w:i/>
        </w:rPr>
        <w:t>or flexible working arrangements</w:t>
      </w:r>
      <w:r w:rsidR="00270581">
        <w:rPr>
          <w:b/>
          <w:i/>
        </w:rPr>
        <w:t>;</w:t>
      </w:r>
    </w:p>
    <w:p w:rsidR="00E96275" w:rsidRPr="00032148" w:rsidRDefault="00E96275" w:rsidP="00032148">
      <w:pPr>
        <w:pStyle w:val="SubmissionNormal"/>
        <w:numPr>
          <w:ilvl w:val="1"/>
          <w:numId w:val="36"/>
        </w:numPr>
        <w:rPr>
          <w:b/>
          <w:i/>
        </w:rPr>
      </w:pPr>
      <w:r w:rsidRPr="00032148">
        <w:rPr>
          <w:b/>
          <w:i/>
        </w:rPr>
        <w:t>introduce</w:t>
      </w:r>
      <w:r w:rsidR="00DB248D" w:rsidRPr="00032148">
        <w:rPr>
          <w:b/>
          <w:i/>
        </w:rPr>
        <w:t xml:space="preserve"> a duty on employers to reasonably accommodate a request for flexible working arrangements</w:t>
      </w:r>
      <w:r w:rsidR="00270581">
        <w:rPr>
          <w:b/>
          <w:i/>
        </w:rPr>
        <w:t>; and</w:t>
      </w:r>
    </w:p>
    <w:p w:rsidR="00DB248D" w:rsidRPr="00032148" w:rsidRDefault="00DB248D" w:rsidP="00032148">
      <w:pPr>
        <w:pStyle w:val="SubmissionNormal"/>
        <w:numPr>
          <w:ilvl w:val="1"/>
          <w:numId w:val="36"/>
        </w:numPr>
        <w:rPr>
          <w:b/>
          <w:i/>
        </w:rPr>
      </w:pPr>
      <w:r w:rsidRPr="00032148">
        <w:rPr>
          <w:b/>
          <w:i/>
        </w:rPr>
        <w:t>establish a procedural appeals process through Fair Work Australia for decisions related to the right to request flexible working arrangements</w:t>
      </w:r>
      <w:r w:rsidR="00E96275" w:rsidRPr="00032148">
        <w:rPr>
          <w:b/>
          <w:i/>
        </w:rPr>
        <w:t>.</w:t>
      </w:r>
      <w:r w:rsidRPr="00032148">
        <w:rPr>
          <w:b/>
          <w:i/>
        </w:rPr>
        <w:t xml:space="preserve">    </w:t>
      </w:r>
    </w:p>
    <w:p w:rsidR="00B34946" w:rsidRPr="00DD425D" w:rsidRDefault="00D537F8" w:rsidP="00D537F8">
      <w:pPr>
        <w:pStyle w:val="Heading1"/>
        <w:numPr>
          <w:ilvl w:val="0"/>
          <w:numId w:val="37"/>
        </w:numPr>
        <w:tabs>
          <w:tab w:val="clear" w:pos="851"/>
          <w:tab w:val="num" w:pos="567"/>
        </w:tabs>
        <w:ind w:left="567" w:hanging="567"/>
      </w:pPr>
      <w:bookmarkStart w:id="12" w:name="_Toc353446288"/>
      <w:bookmarkEnd w:id="11"/>
      <w:r>
        <w:t>Recognition of domestic and family violence as a ground of discrimination</w:t>
      </w:r>
      <w:bookmarkEnd w:id="12"/>
    </w:p>
    <w:p w:rsidR="00E94F29" w:rsidRDefault="00FC12FF" w:rsidP="00FC12FF">
      <w:pPr>
        <w:pStyle w:val="SubmissionNormal"/>
        <w:ind w:left="567" w:hanging="567"/>
      </w:pPr>
      <w:r>
        <w:t xml:space="preserve">Whilst the Commission welcomes the expansion of </w:t>
      </w:r>
      <w:r w:rsidRPr="000C1442">
        <w:t>the r</w:t>
      </w:r>
      <w:r>
        <w:t>ight to request flexible working</w:t>
      </w:r>
      <w:r w:rsidRPr="000C1442">
        <w:t xml:space="preserve"> arrangements</w:t>
      </w:r>
      <w:r>
        <w:t>, including to</w:t>
      </w:r>
      <w:r w:rsidRPr="000C1442">
        <w:t xml:space="preserve"> </w:t>
      </w:r>
      <w:r w:rsidR="006F1A56">
        <w:t xml:space="preserve">victims/survivors of </w:t>
      </w:r>
      <w:r w:rsidRPr="000C1442">
        <w:t xml:space="preserve">domestic </w:t>
      </w:r>
      <w:r w:rsidR="000F4313">
        <w:t xml:space="preserve">and </w:t>
      </w:r>
      <w:r w:rsidRPr="000C1442">
        <w:t xml:space="preserve">family violence </w:t>
      </w:r>
      <w:r>
        <w:t xml:space="preserve">and </w:t>
      </w:r>
      <w:r w:rsidR="006F1A56">
        <w:t xml:space="preserve">employers </w:t>
      </w:r>
      <w:r w:rsidR="00EF31CB">
        <w:t xml:space="preserve">providing </w:t>
      </w:r>
      <w:r w:rsidRPr="000C1442">
        <w:t xml:space="preserve">care </w:t>
      </w:r>
      <w:r w:rsidR="00EF31CB">
        <w:t xml:space="preserve">to </w:t>
      </w:r>
      <w:r w:rsidR="006F1A56">
        <w:t>victims/survivors</w:t>
      </w:r>
      <w:r w:rsidR="00103DDD">
        <w:t xml:space="preserve">, it remains concerned that there are inadequate protections </w:t>
      </w:r>
      <w:r w:rsidR="00EF31CB">
        <w:t xml:space="preserve">under the FWA </w:t>
      </w:r>
      <w:r w:rsidR="00103DDD">
        <w:t xml:space="preserve">for workers who are discriminated against </w:t>
      </w:r>
      <w:r w:rsidR="000F4313">
        <w:t xml:space="preserve">due to </w:t>
      </w:r>
      <w:r w:rsidR="00103DDD">
        <w:t>domestic and family violence.</w:t>
      </w:r>
      <w:r w:rsidR="00D8464D">
        <w:rPr>
          <w:rStyle w:val="EndnoteReference"/>
        </w:rPr>
        <w:endnoteReference w:id="10"/>
      </w:r>
      <w:r w:rsidR="00103DDD">
        <w:t xml:space="preserve">   </w:t>
      </w:r>
    </w:p>
    <w:p w:rsidR="00274E18" w:rsidRDefault="00274E18" w:rsidP="00686E44">
      <w:pPr>
        <w:pStyle w:val="SubmissionNormal"/>
        <w:ind w:left="567" w:hanging="567"/>
      </w:pPr>
      <w:r>
        <w:t>The Commission’s concern is based on</w:t>
      </w:r>
      <w:r w:rsidR="006F1A56">
        <w:t xml:space="preserve"> a growing body of</w:t>
      </w:r>
      <w:r>
        <w:t xml:space="preserve"> evidence that shows that victims/survivors often experience discrimination</w:t>
      </w:r>
      <w:r w:rsidR="00510F36">
        <w:t xml:space="preserve"> resulting from domestic and family violence</w:t>
      </w:r>
      <w:r>
        <w:t>, especially in the workplace</w:t>
      </w:r>
      <w:r w:rsidR="0050090A">
        <w:t>.</w:t>
      </w:r>
      <w:r w:rsidR="0050090A">
        <w:rPr>
          <w:rStyle w:val="EndnoteReference"/>
        </w:rPr>
        <w:endnoteReference w:id="11"/>
      </w:r>
      <w:r w:rsidR="0050090A">
        <w:t xml:space="preserve">  It is based</w:t>
      </w:r>
      <w:r w:rsidR="000F4313">
        <w:t>, also,</w:t>
      </w:r>
      <w:r w:rsidR="0050090A">
        <w:t xml:space="preserve"> on evidence that suggests that victims/survivors often </w:t>
      </w:r>
      <w:r w:rsidR="00686E44">
        <w:t xml:space="preserve">face difficulties seeking </w:t>
      </w:r>
      <w:r w:rsidR="006709CF">
        <w:t>legal redress</w:t>
      </w:r>
      <w:r w:rsidR="00686E44">
        <w:t xml:space="preserve"> under the existing grounds in section</w:t>
      </w:r>
      <w:r w:rsidR="006709CF">
        <w:t>s</w:t>
      </w:r>
      <w:r w:rsidR="00686E44">
        <w:t xml:space="preserve"> 351(1) </w:t>
      </w:r>
      <w:r w:rsidR="006709CF">
        <w:t xml:space="preserve">and 772(1)(f) </w:t>
      </w:r>
      <w:r w:rsidR="00686E44">
        <w:t>of the FWA.</w:t>
      </w:r>
      <w:r w:rsidR="00C637B3">
        <w:t xml:space="preserve">  </w:t>
      </w:r>
      <w:r w:rsidR="00EE1E48">
        <w:t>T</w:t>
      </w:r>
      <w:r w:rsidR="00C637B3">
        <w:t>he Commission has noted elsewhere</w:t>
      </w:r>
      <w:r w:rsidR="00EE1E48">
        <w:t>, for instance,</w:t>
      </w:r>
      <w:r w:rsidR="00C637B3">
        <w:t xml:space="preserve"> that ‘[i]t may not always be possible for an employee to link adverse action or a dismissal which is in truth based on domestic violence to a ground of discrimination covered by [the] FWA’.</w:t>
      </w:r>
      <w:r w:rsidR="00C8549F">
        <w:rPr>
          <w:rStyle w:val="EndnoteReference"/>
        </w:rPr>
        <w:endnoteReference w:id="12"/>
      </w:r>
      <w:r w:rsidR="00C637B3">
        <w:t xml:space="preserve"> </w:t>
      </w:r>
      <w:r w:rsidR="00686E44">
        <w:t xml:space="preserve">  </w:t>
      </w:r>
      <w:r>
        <w:t xml:space="preserve"> </w:t>
      </w:r>
    </w:p>
    <w:p w:rsidR="00EF31CB" w:rsidRDefault="00160286" w:rsidP="00EF31CB">
      <w:pPr>
        <w:pStyle w:val="SubmissionNormal"/>
        <w:ind w:left="567" w:hanging="567"/>
      </w:pPr>
      <w:r>
        <w:t xml:space="preserve">The Commission </w:t>
      </w:r>
      <w:r w:rsidR="00274E18">
        <w:t xml:space="preserve">therefore </w:t>
      </w:r>
      <w:r>
        <w:t xml:space="preserve">submits that the </w:t>
      </w:r>
      <w:r w:rsidR="00C441A9">
        <w:t xml:space="preserve">Bill should be amended to include a </w:t>
      </w:r>
      <w:r>
        <w:t xml:space="preserve">prohibition </w:t>
      </w:r>
      <w:r w:rsidR="000E5E72">
        <w:t>in section</w:t>
      </w:r>
      <w:r w:rsidR="006709CF">
        <w:t>s</w:t>
      </w:r>
      <w:r w:rsidR="000E5E72">
        <w:t xml:space="preserve"> 351(1)</w:t>
      </w:r>
      <w:r w:rsidR="006709CF">
        <w:t xml:space="preserve"> and 772(1)(f) </w:t>
      </w:r>
      <w:r>
        <w:t xml:space="preserve">against </w:t>
      </w:r>
      <w:r w:rsidR="000E5E72">
        <w:t xml:space="preserve">adverse action </w:t>
      </w:r>
      <w:r w:rsidR="006709CF">
        <w:t>and unfair dismissal</w:t>
      </w:r>
      <w:r w:rsidR="000E5E72">
        <w:t xml:space="preserve"> due to domestic and family violence.</w:t>
      </w:r>
      <w:r w:rsidR="00EF31CB">
        <w:t xml:space="preserve">  </w:t>
      </w:r>
      <w:r w:rsidR="007D5C84">
        <w:t xml:space="preserve">In this connection, it should be noted that the </w:t>
      </w:r>
      <w:r w:rsidR="00EF31CB">
        <w:t>Senate Standing Committee</w:t>
      </w:r>
      <w:r w:rsidR="00EF31CB" w:rsidRPr="008E392C">
        <w:t xml:space="preserve"> on Legal and Constitutional Affairs</w:t>
      </w:r>
      <w:r w:rsidR="00EF31CB" w:rsidRPr="00761720">
        <w:t xml:space="preserve"> </w:t>
      </w:r>
      <w:r w:rsidR="007D5C84">
        <w:t xml:space="preserve">supported the introduction of protections against </w:t>
      </w:r>
      <w:r w:rsidR="00EF31CB">
        <w:t xml:space="preserve">discrimination on the ground of </w:t>
      </w:r>
      <w:r w:rsidR="00EF31CB" w:rsidRPr="00761720">
        <w:t>domestic and family violence</w:t>
      </w:r>
      <w:r w:rsidR="007D5C84">
        <w:t xml:space="preserve"> in the context of its review of the exposure draft of the Human Rights and Anti-Discrimination Bill</w:t>
      </w:r>
      <w:r w:rsidR="00EF31CB" w:rsidRPr="00761720">
        <w:t>.</w:t>
      </w:r>
      <w:r w:rsidR="00EF31CB">
        <w:rPr>
          <w:rStyle w:val="EndnoteReference"/>
        </w:rPr>
        <w:endnoteReference w:id="13"/>
      </w:r>
      <w:r w:rsidR="00EF31CB" w:rsidRPr="00761720">
        <w:t xml:space="preserve">   </w:t>
      </w:r>
    </w:p>
    <w:p w:rsidR="00EF31CB" w:rsidRDefault="00EF31CB" w:rsidP="007D5C84">
      <w:pPr>
        <w:pStyle w:val="SubmissionNormal"/>
        <w:numPr>
          <w:ilvl w:val="0"/>
          <w:numId w:val="0"/>
        </w:numPr>
        <w:ind w:left="1134"/>
        <w:rPr>
          <w:sz w:val="22"/>
          <w:szCs w:val="22"/>
        </w:rPr>
      </w:pPr>
      <w:r w:rsidRPr="003C1804">
        <w:rPr>
          <w:sz w:val="22"/>
          <w:szCs w:val="22"/>
        </w:rPr>
        <w:t xml:space="preserve">The committee notes the </w:t>
      </w:r>
      <w:r w:rsidR="006709CF">
        <w:rPr>
          <w:sz w:val="22"/>
          <w:szCs w:val="22"/>
        </w:rPr>
        <w:t xml:space="preserve">[Attorney-General’s] </w:t>
      </w:r>
      <w:r w:rsidRPr="003C1804">
        <w:rPr>
          <w:sz w:val="22"/>
          <w:szCs w:val="22"/>
        </w:rPr>
        <w:t>Department</w:t>
      </w:r>
      <w:r w:rsidR="0062170A">
        <w:rPr>
          <w:sz w:val="22"/>
          <w:szCs w:val="22"/>
        </w:rPr>
        <w:t>’</w:t>
      </w:r>
      <w:r w:rsidRPr="003C1804">
        <w:rPr>
          <w:sz w:val="22"/>
          <w:szCs w:val="22"/>
        </w:rPr>
        <w:t>s advice that there is no precedent for protecting victims of domestic violence from discrimination within the existing anti-discrimination Acts. The committee however considers that this is an area where the Commonwealth must lead the way, and is encouraged by the Australian Government</w:t>
      </w:r>
      <w:r w:rsidR="0062170A">
        <w:rPr>
          <w:sz w:val="22"/>
          <w:szCs w:val="22"/>
        </w:rPr>
        <w:t>’</w:t>
      </w:r>
      <w:r w:rsidRPr="003C1804">
        <w:rPr>
          <w:sz w:val="22"/>
          <w:szCs w:val="22"/>
        </w:rPr>
        <w:t>s recent commitment to amend the Fair Work Act to provide more flexible working conditions for victims of domestic violence in places of employment. The committee considers that this action, together with a further amendment to the Draft Bill, will assist victims of domestic violence to increasingly participate in the workforce and broader community.</w:t>
      </w:r>
      <w:r w:rsidRPr="003C1804">
        <w:rPr>
          <w:rStyle w:val="EndnoteReference"/>
          <w:sz w:val="22"/>
          <w:szCs w:val="22"/>
        </w:rPr>
        <w:endnoteReference w:id="14"/>
      </w:r>
    </w:p>
    <w:p w:rsidR="00937CCB" w:rsidRDefault="00080DD5" w:rsidP="00937CCB">
      <w:pPr>
        <w:pStyle w:val="SubmissionNormal"/>
      </w:pPr>
      <w:r>
        <w:t xml:space="preserve">The Commission supports the Senate Committee’s view regarding the importance of the Commonwealth showing leadership in prohibiting discrimination on the ground of domestic and family violence.  </w:t>
      </w:r>
      <w:r w:rsidR="00490CE9">
        <w:t xml:space="preserve">It </w:t>
      </w:r>
      <w:r>
        <w:t xml:space="preserve">also notes that domestic and family violence has long been recognised as a ground of discrimination under international </w:t>
      </w:r>
      <w:r w:rsidR="00490CE9">
        <w:t>law</w:t>
      </w:r>
      <w:r w:rsidR="00490CE9" w:rsidRPr="003C1804">
        <w:rPr>
          <w:rStyle w:val="EndnoteReference"/>
          <w:sz w:val="22"/>
          <w:szCs w:val="22"/>
        </w:rPr>
        <w:endnoteReference w:id="15"/>
      </w:r>
      <w:r w:rsidR="00490CE9">
        <w:t xml:space="preserve"> and </w:t>
      </w:r>
      <w:r>
        <w:t xml:space="preserve">there is </w:t>
      </w:r>
      <w:r w:rsidR="00096E9E">
        <w:t xml:space="preserve">growing </w:t>
      </w:r>
      <w:r>
        <w:t xml:space="preserve">precedent </w:t>
      </w:r>
      <w:r w:rsidR="00B124C6">
        <w:t xml:space="preserve">from </w:t>
      </w:r>
      <w:r>
        <w:t xml:space="preserve">comparative </w:t>
      </w:r>
      <w:r w:rsidR="00490CE9">
        <w:t>jurisdictions</w:t>
      </w:r>
      <w:r w:rsidR="00B124C6">
        <w:t xml:space="preserve">, which prohibit </w:t>
      </w:r>
      <w:r w:rsidR="00096E9E">
        <w:t xml:space="preserve">termination of employment and discrimination based on </w:t>
      </w:r>
      <w:r w:rsidR="00B124C6">
        <w:t>domestic or family violence</w:t>
      </w:r>
      <w:r w:rsidR="00490CE9">
        <w:t>.</w:t>
      </w:r>
      <w:r w:rsidR="00490CE9" w:rsidRPr="003C1804">
        <w:rPr>
          <w:rStyle w:val="EndnoteReference"/>
          <w:sz w:val="22"/>
          <w:szCs w:val="22"/>
        </w:rPr>
        <w:endnoteReference w:id="16"/>
      </w:r>
      <w:r w:rsidR="0062170A">
        <w:t xml:space="preserve">  </w:t>
      </w:r>
      <w:r w:rsidR="00937CCB">
        <w:t xml:space="preserve">The Commission notes that this recommendation was previously made in its submission to the </w:t>
      </w:r>
      <w:r w:rsidR="00937CCB">
        <w:rPr>
          <w:lang w:val="en"/>
        </w:rPr>
        <w:t>Post Implementation Review of the FWA</w:t>
      </w:r>
      <w:r w:rsidR="00937CCB">
        <w:rPr>
          <w:i/>
        </w:rPr>
        <w:t xml:space="preserve">. </w:t>
      </w:r>
    </w:p>
    <w:p w:rsidR="00096E9E" w:rsidRPr="0090757F" w:rsidRDefault="00096E9E" w:rsidP="00A952DE">
      <w:pPr>
        <w:pStyle w:val="SubmissionNormal"/>
        <w:ind w:left="567" w:hanging="567"/>
        <w:rPr>
          <w:b/>
          <w:i/>
        </w:rPr>
      </w:pPr>
      <w:r w:rsidRPr="0090757F">
        <w:rPr>
          <w:b/>
          <w:i/>
        </w:rPr>
        <w:t xml:space="preserve">Recommendation </w:t>
      </w:r>
      <w:r w:rsidR="00E96275">
        <w:rPr>
          <w:b/>
          <w:i/>
        </w:rPr>
        <w:t>3</w:t>
      </w:r>
      <w:r w:rsidRPr="0090757F">
        <w:rPr>
          <w:b/>
          <w:i/>
        </w:rPr>
        <w:t>: The Commission recommends that consideration be given to amending the Fair Work Bill to include a prohibition in section</w:t>
      </w:r>
      <w:r w:rsidR="007F7AAA" w:rsidRPr="0090757F">
        <w:rPr>
          <w:b/>
          <w:i/>
        </w:rPr>
        <w:t>s</w:t>
      </w:r>
      <w:r w:rsidRPr="0090757F">
        <w:rPr>
          <w:b/>
          <w:i/>
        </w:rPr>
        <w:t xml:space="preserve"> 351(1)</w:t>
      </w:r>
      <w:r w:rsidR="007F7AAA" w:rsidRPr="0090757F">
        <w:rPr>
          <w:b/>
          <w:i/>
        </w:rPr>
        <w:t xml:space="preserve"> and 772(1)(f)</w:t>
      </w:r>
      <w:r w:rsidR="007F7AAA">
        <w:t xml:space="preserve"> </w:t>
      </w:r>
      <w:r w:rsidRPr="0090757F">
        <w:rPr>
          <w:b/>
          <w:i/>
        </w:rPr>
        <w:t xml:space="preserve"> of the Fair Work Act against adverse action </w:t>
      </w:r>
      <w:r w:rsidR="008F01D9" w:rsidRPr="0090757F">
        <w:rPr>
          <w:b/>
          <w:i/>
        </w:rPr>
        <w:t>and unfair dismissal</w:t>
      </w:r>
      <w:r w:rsidR="008F01D9">
        <w:t xml:space="preserve"> </w:t>
      </w:r>
      <w:r w:rsidRPr="0090757F">
        <w:rPr>
          <w:b/>
          <w:i/>
        </w:rPr>
        <w:t xml:space="preserve">due to discrimination on the grounds </w:t>
      </w:r>
      <w:r w:rsidR="009A50A6" w:rsidRPr="0090757F">
        <w:rPr>
          <w:b/>
          <w:i/>
        </w:rPr>
        <w:t>of domestic and family violence</w:t>
      </w:r>
      <w:r w:rsidR="0090757F" w:rsidRPr="0090757F">
        <w:rPr>
          <w:b/>
          <w:i/>
        </w:rPr>
        <w:t>.</w:t>
      </w:r>
    </w:p>
    <w:p w:rsidR="0090757F" w:rsidRDefault="00EF31CB" w:rsidP="00FC12FF">
      <w:pPr>
        <w:pStyle w:val="SubmissionNormal"/>
        <w:ind w:left="567" w:hanging="567"/>
      </w:pPr>
      <w:r>
        <w:t xml:space="preserve">The Commission </w:t>
      </w:r>
      <w:r w:rsidR="00AD75DF">
        <w:t xml:space="preserve">submits that </w:t>
      </w:r>
      <w:r w:rsidR="00D47B1A">
        <w:t xml:space="preserve">consideration be given to amending section 351(2) to remove the requirement that </w:t>
      </w:r>
      <w:r w:rsidR="00CB2449">
        <w:t xml:space="preserve">adverse </w:t>
      </w:r>
      <w:r w:rsidR="00D47B1A">
        <w:t xml:space="preserve">action also be unlawful </w:t>
      </w:r>
      <w:r w:rsidR="00274E18">
        <w:t>under the relevant anti-discrimination law</w:t>
      </w:r>
      <w:r w:rsidR="00490CE9">
        <w:t xml:space="preserve"> in cases involving discrimination on the ground of domestic and family violence. </w:t>
      </w:r>
    </w:p>
    <w:p w:rsidR="008C1948" w:rsidRPr="00A96892" w:rsidRDefault="00D871FE" w:rsidP="00A952DE">
      <w:pPr>
        <w:pStyle w:val="SubmissionNormal"/>
        <w:ind w:left="567" w:hanging="567"/>
      </w:pPr>
      <w:r w:rsidRPr="0090757F">
        <w:rPr>
          <w:b/>
          <w:i/>
        </w:rPr>
        <w:t xml:space="preserve">Recommendation </w:t>
      </w:r>
      <w:r w:rsidR="00E96275">
        <w:rPr>
          <w:b/>
          <w:i/>
        </w:rPr>
        <w:t>4</w:t>
      </w:r>
      <w:r w:rsidRPr="0090757F">
        <w:rPr>
          <w:b/>
          <w:i/>
        </w:rPr>
        <w:t xml:space="preserve">: </w:t>
      </w:r>
      <w:r w:rsidR="00096E9E" w:rsidRPr="0090757F">
        <w:rPr>
          <w:b/>
          <w:i/>
        </w:rPr>
        <w:t xml:space="preserve">Subject to the adoption of recommendation </w:t>
      </w:r>
      <w:r w:rsidR="007D6C8F" w:rsidRPr="0090757F">
        <w:rPr>
          <w:b/>
          <w:i/>
        </w:rPr>
        <w:t>2</w:t>
      </w:r>
      <w:r w:rsidR="00096E9E" w:rsidRPr="0090757F">
        <w:rPr>
          <w:b/>
          <w:i/>
        </w:rPr>
        <w:t>, t</w:t>
      </w:r>
      <w:r w:rsidRPr="0090757F">
        <w:rPr>
          <w:b/>
          <w:i/>
        </w:rPr>
        <w:t xml:space="preserve">he Commission recommends that consideration be given to amending section 351(2) to remove the requirement that </w:t>
      </w:r>
      <w:r w:rsidR="00DC35B3" w:rsidRPr="0090757F">
        <w:rPr>
          <w:b/>
          <w:i/>
        </w:rPr>
        <w:t>adverse</w:t>
      </w:r>
      <w:r w:rsidRPr="0090757F">
        <w:rPr>
          <w:b/>
          <w:i/>
        </w:rPr>
        <w:t xml:space="preserve"> action be unlawful under the relevant anti-discrimination law</w:t>
      </w:r>
      <w:r w:rsidR="00AE239C" w:rsidRPr="0090757F">
        <w:rPr>
          <w:b/>
          <w:i/>
        </w:rPr>
        <w:t xml:space="preserve"> in cases involving discrimination on the ground of domestic and family violence</w:t>
      </w:r>
      <w:r w:rsidR="0090757F" w:rsidRPr="0090757F">
        <w:rPr>
          <w:b/>
          <w:i/>
        </w:rPr>
        <w:t>.</w:t>
      </w:r>
    </w:p>
    <w:sectPr w:rsidR="008C1948" w:rsidRPr="00A96892" w:rsidSect="004D5834">
      <w:endnotePr>
        <w:numFmt w:val="decimal"/>
      </w:endnotePr>
      <w:pgSz w:w="11906" w:h="16838"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581" w:rsidRDefault="00270581" w:rsidP="00F14C6D">
      <w:r>
        <w:separator/>
      </w:r>
    </w:p>
  </w:endnote>
  <w:endnote w:type="continuationSeparator" w:id="0">
    <w:p w:rsidR="00270581" w:rsidRDefault="00270581" w:rsidP="00F14C6D">
      <w:r>
        <w:continuationSeparator/>
      </w:r>
    </w:p>
  </w:endnote>
  <w:endnote w:id="1">
    <w:p w:rsidR="00270581" w:rsidRDefault="00270581" w:rsidP="00091A87">
      <w:pPr>
        <w:pStyle w:val="EndnoteText"/>
        <w:spacing w:before="120" w:after="120"/>
      </w:pPr>
      <w:r>
        <w:rPr>
          <w:rStyle w:val="EndnoteReference"/>
        </w:rPr>
        <w:endnoteRef/>
      </w:r>
      <w:r>
        <w:t xml:space="preserve"> A ‘carer’ is defined as ‘an individual who provides personal care, support and assistance to another individual who needs it because that other individual: (a) has a disability; or (b) has a medical condition (including a terminal or chronic illness); or (c) has a mental illness; or (d) is frail and aged’: </w:t>
      </w:r>
      <w:r w:rsidRPr="00F96046">
        <w:rPr>
          <w:i/>
        </w:rPr>
        <w:t>Carer Recognition Act 2010</w:t>
      </w:r>
      <w:r>
        <w:rPr>
          <w:i/>
        </w:rPr>
        <w:t xml:space="preserve"> </w:t>
      </w:r>
      <w:r>
        <w:t xml:space="preserve">(Cth), s 5(1). </w:t>
      </w:r>
    </w:p>
  </w:endnote>
  <w:endnote w:id="2">
    <w:p w:rsidR="00270581" w:rsidRDefault="00270581" w:rsidP="00091A87">
      <w:pPr>
        <w:pStyle w:val="EndnoteText"/>
        <w:spacing w:before="120" w:after="120"/>
      </w:pPr>
      <w:r>
        <w:rPr>
          <w:rStyle w:val="EndnoteReference"/>
        </w:rPr>
        <w:endnoteRef/>
      </w:r>
      <w:r>
        <w:t xml:space="preserve"> Australian Human Rights Commission, </w:t>
      </w:r>
      <w:r>
        <w:rPr>
          <w:i/>
        </w:rPr>
        <w:t xml:space="preserve">Submission to the Department of Education, Employment and Workplace Relations on the Post Implementation Review of the Fair Work Act 2009 </w:t>
      </w:r>
      <w:r>
        <w:t xml:space="preserve">(12 March 2012), [22]-[35]. At </w:t>
      </w:r>
      <w:hyperlink r:id="rId1" w:history="1">
        <w:r>
          <w:rPr>
            <w:rStyle w:val="Hyperlink"/>
          </w:rPr>
          <w:t>http://humanrights.gov.au/legal/submissions/2012/20120312_fwa.html</w:t>
        </w:r>
      </w:hyperlink>
      <w:r>
        <w:t xml:space="preserve"> (viewed 11 April 2013).</w:t>
      </w:r>
    </w:p>
  </w:endnote>
  <w:endnote w:id="3">
    <w:p w:rsidR="00270581" w:rsidRDefault="00270581" w:rsidP="00091A87">
      <w:pPr>
        <w:pStyle w:val="EndnoteText"/>
        <w:spacing w:before="120" w:after="120"/>
      </w:pPr>
      <w:r>
        <w:rPr>
          <w:rStyle w:val="EndnoteReference"/>
        </w:rPr>
        <w:endnoteRef/>
      </w:r>
      <w:r>
        <w:t xml:space="preserve"> Australian Human Rights Commission, </w:t>
      </w:r>
      <w:r>
        <w:rPr>
          <w:i/>
        </w:rPr>
        <w:t>Investing in Care: Recognising and Valuing those who Care</w:t>
      </w:r>
      <w:r>
        <w:t xml:space="preserve">, Volume 1: Research Report (2013) 37-38.  At </w:t>
      </w:r>
      <w:hyperlink r:id="rId2" w:history="1">
        <w:r w:rsidRPr="00E654E3">
          <w:rPr>
            <w:rStyle w:val="Hyperlink"/>
          </w:rPr>
          <w:t>http://www.humanrights.gov.au/publications/investing-care-recognising-and-valuing-those-who-care</w:t>
        </w:r>
      </w:hyperlink>
      <w:r>
        <w:rPr>
          <w:szCs w:val="24"/>
        </w:rPr>
        <w:t xml:space="preserve"> (viewed 15 April 2013). </w:t>
      </w:r>
      <w:r w:rsidRPr="003050FA">
        <w:rPr>
          <w:szCs w:val="24"/>
        </w:rPr>
        <w:t xml:space="preserve"> </w:t>
      </w:r>
    </w:p>
  </w:endnote>
  <w:endnote w:id="4">
    <w:p w:rsidR="00270581" w:rsidRDefault="00270581" w:rsidP="00091A87">
      <w:pPr>
        <w:pStyle w:val="EndnoteText"/>
        <w:spacing w:before="120" w:after="120"/>
      </w:pPr>
      <w:r>
        <w:rPr>
          <w:rStyle w:val="EndnoteReference"/>
        </w:rPr>
        <w:endnoteRef/>
      </w:r>
      <w:r>
        <w:t xml:space="preserve"> Australian Human Rights Commission, note 2, [65]-[68].</w:t>
      </w:r>
    </w:p>
  </w:endnote>
  <w:endnote w:id="5">
    <w:p w:rsidR="00270581" w:rsidRPr="003050FA" w:rsidRDefault="00270581" w:rsidP="00091A87">
      <w:pPr>
        <w:pStyle w:val="EndnoteText"/>
        <w:spacing w:before="120" w:after="120"/>
      </w:pPr>
      <w:r>
        <w:rPr>
          <w:rStyle w:val="EndnoteReference"/>
        </w:rPr>
        <w:endnoteRef/>
      </w:r>
      <w:r>
        <w:t xml:space="preserve"> Australian Human Rights Commission, note 3,</w:t>
      </w:r>
      <w:r>
        <w:rPr>
          <w:i/>
        </w:rPr>
        <w:t xml:space="preserve"> </w:t>
      </w:r>
      <w:r>
        <w:t xml:space="preserve">37.   </w:t>
      </w:r>
    </w:p>
  </w:endnote>
  <w:endnote w:id="6">
    <w:p w:rsidR="00270581" w:rsidRDefault="00270581" w:rsidP="00091A87">
      <w:pPr>
        <w:pStyle w:val="EndnoteText"/>
        <w:spacing w:before="120" w:after="120"/>
      </w:pPr>
      <w:r>
        <w:rPr>
          <w:rStyle w:val="EndnoteReference"/>
        </w:rPr>
        <w:endnoteRef/>
      </w:r>
      <w:r>
        <w:t xml:space="preserve"> Fair Work Act Review Panel, </w:t>
      </w:r>
      <w:r>
        <w:rPr>
          <w:i/>
        </w:rPr>
        <w:t xml:space="preserve">Towards More Productive and Equitable Workplaces: An Evaluation of the Fair Work Legislation </w:t>
      </w:r>
      <w:r>
        <w:t xml:space="preserve">(2012), 99.  At </w:t>
      </w:r>
      <w:hyperlink r:id="rId3" w:history="1">
        <w:r w:rsidRPr="00276D19">
          <w:rPr>
            <w:color w:val="0000FF"/>
            <w:u w:val="single"/>
          </w:rPr>
          <w:t>http://deewr.gov.au/fair-work-act-review</w:t>
        </w:r>
      </w:hyperlink>
      <w:r>
        <w:t xml:space="preserve"> (viewed 11 April 2013).</w:t>
      </w:r>
    </w:p>
  </w:endnote>
  <w:endnote w:id="7">
    <w:p w:rsidR="00270581" w:rsidRDefault="00270581" w:rsidP="00091A87">
      <w:pPr>
        <w:pStyle w:val="EndnoteText"/>
        <w:spacing w:before="120" w:after="120"/>
      </w:pPr>
      <w:r>
        <w:rPr>
          <w:rStyle w:val="EndnoteReference"/>
        </w:rPr>
        <w:endnoteRef/>
      </w:r>
      <w:r>
        <w:t xml:space="preserve"> Australian Human Rights Commission,</w:t>
      </w:r>
      <w:r w:rsidRPr="00B447D1">
        <w:rPr>
          <w:i/>
        </w:rPr>
        <w:t xml:space="preserve"> </w:t>
      </w:r>
      <w:r w:rsidRPr="001D1F37">
        <w:t>note 2</w:t>
      </w:r>
      <w:r>
        <w:t xml:space="preserve">, [36]-[37].   </w:t>
      </w:r>
    </w:p>
  </w:endnote>
  <w:endnote w:id="8">
    <w:p w:rsidR="00270581" w:rsidRDefault="00270581" w:rsidP="00091A87">
      <w:pPr>
        <w:pStyle w:val="EndnoteText"/>
        <w:spacing w:before="120" w:after="120"/>
      </w:pPr>
      <w:r>
        <w:rPr>
          <w:rStyle w:val="EndnoteReference"/>
        </w:rPr>
        <w:endnoteRef/>
      </w:r>
      <w:r>
        <w:t xml:space="preserve"> Sara Charlesworth and Iain Campbell, ‘Right to Request Regulation: Two New Australian Models’ (2008) 21(2) </w:t>
      </w:r>
      <w:r w:rsidRPr="00087DF8">
        <w:rPr>
          <w:i/>
        </w:rPr>
        <w:t>Australian Journal of Labour Law</w:t>
      </w:r>
      <w:r>
        <w:t xml:space="preserve"> 116, 5.</w:t>
      </w:r>
    </w:p>
  </w:endnote>
  <w:endnote w:id="9">
    <w:p w:rsidR="00270581" w:rsidRDefault="00270581" w:rsidP="00091A87">
      <w:pPr>
        <w:pStyle w:val="EndnoteText"/>
        <w:spacing w:before="120" w:after="120"/>
      </w:pPr>
      <w:r>
        <w:rPr>
          <w:rStyle w:val="EndnoteReference"/>
        </w:rPr>
        <w:endnoteRef/>
      </w:r>
      <w:r>
        <w:t xml:space="preserve"> Fair Work Act Review Panel, </w:t>
      </w:r>
      <w:r w:rsidRPr="00091A87">
        <w:t>note</w:t>
      </w:r>
      <w:r>
        <w:t xml:space="preserve"> 6, 98. </w:t>
      </w:r>
    </w:p>
  </w:endnote>
  <w:endnote w:id="10">
    <w:p w:rsidR="00270581" w:rsidRPr="00611F00" w:rsidRDefault="00270581" w:rsidP="00091A87">
      <w:pPr>
        <w:pStyle w:val="EndnoteText"/>
        <w:spacing w:before="120" w:after="120"/>
        <w:rPr>
          <w:color w:val="0000FF"/>
          <w:u w:val="single"/>
        </w:rPr>
      </w:pPr>
      <w:r>
        <w:rPr>
          <w:rStyle w:val="EndnoteReference"/>
        </w:rPr>
        <w:endnoteRef/>
      </w:r>
      <w:r>
        <w:t xml:space="preserve"> Australian Human Rights Commission, </w:t>
      </w:r>
      <w:r>
        <w:rPr>
          <w:i/>
        </w:rPr>
        <w:t>Submission to the Attorney-General’s Department on the Consolidation of Commonwealth Discrimination Law (Supplementary Submission)</w:t>
      </w:r>
      <w:r>
        <w:t xml:space="preserve"> (23 January 2012). At </w:t>
      </w:r>
      <w:hyperlink r:id="rId4" w:history="1">
        <w:r>
          <w:rPr>
            <w:rStyle w:val="Hyperlink"/>
          </w:rPr>
          <w:t>http://humanrights.gov.au/legal/submissions/2012/20120123_consolidation.html</w:t>
        </w:r>
      </w:hyperlink>
      <w:r>
        <w:t xml:space="preserve"> (viewed 11 April 2013); Australian Human Rights Commission, </w:t>
      </w:r>
      <w:r>
        <w:rPr>
          <w:i/>
        </w:rPr>
        <w:t xml:space="preserve">Submission to the Attorney-General’s Department on the Consolidation of Commonwealth Discrimination Law </w:t>
      </w:r>
      <w:r>
        <w:t xml:space="preserve">(6 December 2011), [93]-[95]. At </w:t>
      </w:r>
      <w:hyperlink r:id="rId5" w:history="1">
        <w:r w:rsidRPr="002C7C69">
          <w:rPr>
            <w:rStyle w:val="Hyperlink"/>
          </w:rPr>
          <w:t>http://www.humanrights.gov.au/submissions/consolidation-commonwealth-discrimination-law</w:t>
        </w:r>
      </w:hyperlink>
      <w:r>
        <w:t xml:space="preserve"> (viewed 16 April 2013); Australian Human Rights Commission, note 2, [75]-[77]; Australian Human Rights Commission, </w:t>
      </w:r>
      <w:r>
        <w:rPr>
          <w:i/>
        </w:rPr>
        <w:t>Submission to the Australian Law Reform Commission on Family Violence and Commonwealth Laws: Employment and Superannuation</w:t>
      </w:r>
      <w:r>
        <w:t xml:space="preserve"> (21 April 2011), [54]-[56]. At </w:t>
      </w:r>
      <w:hyperlink r:id="rId6" w:history="1">
        <w:r w:rsidR="00DE2198" w:rsidRPr="00E654E3">
          <w:rPr>
            <w:rStyle w:val="Hyperlink"/>
          </w:rPr>
          <w:t>http://www.humanrights.gov.au/legal-research-and-resources-1</w:t>
        </w:r>
      </w:hyperlink>
      <w:r>
        <w:t xml:space="preserve"> (viewed 15 April 2013).</w:t>
      </w:r>
    </w:p>
  </w:endnote>
  <w:endnote w:id="11">
    <w:p w:rsidR="00270581" w:rsidRPr="008E392C" w:rsidRDefault="00270581" w:rsidP="00091A87">
      <w:pPr>
        <w:pStyle w:val="EndnoteText"/>
        <w:spacing w:before="120" w:after="120"/>
      </w:pPr>
      <w:r>
        <w:rPr>
          <w:rStyle w:val="EndnoteReference"/>
        </w:rPr>
        <w:endnoteRef/>
      </w:r>
      <w:r>
        <w:t xml:space="preserve"> See, for example, Commonwealth, </w:t>
      </w:r>
      <w:r>
        <w:rPr>
          <w:i/>
        </w:rPr>
        <w:t>Parliamentary Debates</w:t>
      </w:r>
      <w:r>
        <w:t>, Senate, 23 January 2013, 27-36 (Anna Davis, National Alliance of Working Women’s Centres; Shabnam Hameed, Australian Domestic and Family Violence Clearinghouse; Gaby Marcus,</w:t>
      </w:r>
      <w:r w:rsidRPr="00033573">
        <w:t xml:space="preserve"> </w:t>
      </w:r>
      <w:r>
        <w:t>Australian Domestic and Family Violence Clearinghouse; Fiona McCormack, Domestic Violence Victoria; Ludo McFerran,</w:t>
      </w:r>
      <w:r w:rsidRPr="00033573">
        <w:t xml:space="preserve"> </w:t>
      </w:r>
      <w:r>
        <w:t xml:space="preserve">Australian Domestic and Family Violence Clearinghouse). At </w:t>
      </w:r>
      <w:hyperlink r:id="rId7" w:history="1">
        <w:r>
          <w:rPr>
            <w:rStyle w:val="Hyperlink"/>
          </w:rPr>
          <w:t>http://parlinfo.aph.gov.au/parlInfo/search/display/display.w3p;query=Id:%22committees/commsen/8eb3bdec-c603-4d2d-9564-674c7bd7b5c2/0000%22</w:t>
        </w:r>
      </w:hyperlink>
      <w:r>
        <w:t xml:space="preserve"> (viewed 11 April 2013); Senate Standing Committee</w:t>
      </w:r>
      <w:r w:rsidRPr="008E392C">
        <w:t xml:space="preserve"> on Legal and Constitutional Affairs</w:t>
      </w:r>
      <w:r>
        <w:t xml:space="preserve">, Parliament of Australia, </w:t>
      </w:r>
      <w:r>
        <w:rPr>
          <w:i/>
        </w:rPr>
        <w:t>Report on the</w:t>
      </w:r>
      <w:r>
        <w:t xml:space="preserve"> </w:t>
      </w:r>
      <w:r>
        <w:rPr>
          <w:i/>
        </w:rPr>
        <w:t xml:space="preserve">Exposure Draft of the Human Rights and Anti-Discrimination Bill 2012 </w:t>
      </w:r>
      <w:r>
        <w:t xml:space="preserve">(2013) [3.51]-[3.60]. At </w:t>
      </w:r>
      <w:hyperlink r:id="rId8" w:history="1">
        <w:r>
          <w:rPr>
            <w:rStyle w:val="Hyperlink"/>
          </w:rPr>
          <w:t>http://www.aph.gov.au/Parliamentary_Business/Committees/Senate_Committees?url=legcon_ctte/completed_inquiries/2010-13/anti_discrimination_2012/report/index.htm</w:t>
        </w:r>
      </w:hyperlink>
      <w:r>
        <w:t xml:space="preserve"> (viewed 11 April 2013).</w:t>
      </w:r>
      <w:r>
        <w:rPr>
          <w:i/>
        </w:rPr>
        <w:t xml:space="preserve"> </w:t>
      </w:r>
      <w:r>
        <w:t xml:space="preserve">  </w:t>
      </w:r>
    </w:p>
  </w:endnote>
  <w:endnote w:id="12">
    <w:p w:rsidR="00270581" w:rsidRPr="008E392C" w:rsidRDefault="00270581" w:rsidP="00091A87">
      <w:pPr>
        <w:pStyle w:val="EndnoteText"/>
        <w:spacing w:before="120" w:after="120"/>
      </w:pPr>
      <w:r>
        <w:rPr>
          <w:rStyle w:val="EndnoteReference"/>
        </w:rPr>
        <w:endnoteRef/>
      </w:r>
      <w:r>
        <w:t xml:space="preserve"> Australian Human Rights Commission, </w:t>
      </w:r>
      <w:r>
        <w:rPr>
          <w:i/>
        </w:rPr>
        <w:t>Submission to the Australian Law Reform Commission on Family Violence and Commonwealth Laws: Employment and Superannuation</w:t>
      </w:r>
      <w:r>
        <w:t xml:space="preserve">, note 10, [53].  </w:t>
      </w:r>
    </w:p>
  </w:endnote>
  <w:endnote w:id="13">
    <w:p w:rsidR="00270581" w:rsidRPr="008E392C" w:rsidRDefault="00270581" w:rsidP="00091A87">
      <w:pPr>
        <w:pStyle w:val="EndnoteText"/>
        <w:spacing w:before="120" w:after="120"/>
      </w:pPr>
      <w:r>
        <w:rPr>
          <w:rStyle w:val="EndnoteReference"/>
        </w:rPr>
        <w:endnoteRef/>
      </w:r>
      <w:r>
        <w:t xml:space="preserve"> Senate Standing Committee</w:t>
      </w:r>
      <w:r w:rsidRPr="008E392C">
        <w:t xml:space="preserve"> on Legal and Constitutional Affairs</w:t>
      </w:r>
      <w:r>
        <w:t xml:space="preserve">, note 11, [7.30].  </w:t>
      </w:r>
    </w:p>
  </w:endnote>
  <w:endnote w:id="14">
    <w:p w:rsidR="00270581" w:rsidRPr="008E392C" w:rsidRDefault="00270581" w:rsidP="00091A87">
      <w:pPr>
        <w:pStyle w:val="EndnoteText"/>
        <w:spacing w:before="120" w:after="120"/>
      </w:pPr>
      <w:r>
        <w:rPr>
          <w:rStyle w:val="EndnoteReference"/>
        </w:rPr>
        <w:endnoteRef/>
      </w:r>
      <w:r>
        <w:t xml:space="preserve"> Above [7.29].  </w:t>
      </w:r>
    </w:p>
  </w:endnote>
  <w:endnote w:id="15">
    <w:p w:rsidR="00270581" w:rsidRPr="008E392C" w:rsidRDefault="00270581" w:rsidP="00091A87">
      <w:pPr>
        <w:pStyle w:val="EndnoteText"/>
        <w:spacing w:before="120" w:after="120"/>
      </w:pPr>
      <w:r>
        <w:rPr>
          <w:rStyle w:val="EndnoteReference"/>
        </w:rPr>
        <w:endnoteRef/>
      </w:r>
      <w:r>
        <w:t xml:space="preserve"> See, for example, CEDAW Committee, </w:t>
      </w:r>
      <w:r>
        <w:rPr>
          <w:i/>
          <w:iCs/>
        </w:rPr>
        <w:t>General Recommendation No. 19: Violence against Women</w:t>
      </w:r>
      <w:r>
        <w:t xml:space="preserve">, UN Doc. A/47/38 (1992) [1], [6].   </w:t>
      </w:r>
    </w:p>
  </w:endnote>
  <w:endnote w:id="16">
    <w:p w:rsidR="00270581" w:rsidRPr="008E392C" w:rsidRDefault="00270581" w:rsidP="00091A87">
      <w:pPr>
        <w:pStyle w:val="EndnoteText"/>
        <w:spacing w:before="120" w:after="120"/>
      </w:pPr>
      <w:r>
        <w:rPr>
          <w:rStyle w:val="EndnoteReference"/>
        </w:rPr>
        <w:endnoteRef/>
      </w:r>
      <w:r>
        <w:t xml:space="preserve"> Australian Law Reform Commission, </w:t>
      </w:r>
      <w:r>
        <w:rPr>
          <w:i/>
        </w:rPr>
        <w:t>Family Violence and Commonwealth Laws – Improving Legal Frameworks</w:t>
      </w:r>
      <w:r>
        <w:t xml:space="preserve">, ALRC Report 117 (2011), [16.87]. At </w:t>
      </w:r>
      <w:hyperlink r:id="rId9" w:history="1">
        <w:r>
          <w:rPr>
            <w:rStyle w:val="Hyperlink"/>
          </w:rPr>
          <w:t>http://www.alrc.gov.au/publications/family-violence-and-commonwealth-laws-improving-legal-frameworks-alrc-report-117</w:t>
        </w:r>
      </w:hyperlink>
      <w:r>
        <w:t xml:space="preserve"> (viewed 11 April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81" w:rsidRPr="0090165F" w:rsidRDefault="00270581"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81" w:rsidRPr="004A187B" w:rsidRDefault="00270581" w:rsidP="008B23BC">
    <w:pPr>
      <w:pStyle w:val="Footer"/>
    </w:pPr>
    <w:r>
      <w:rPr>
        <w:noProof/>
      </w:rPr>
      <mc:AlternateContent>
        <mc:Choice Requires="wps">
          <w:drawing>
            <wp:anchor distT="0" distB="0" distL="114300" distR="114300" simplePos="0" relativeHeight="251660288" behindDoc="0" locked="0" layoutInCell="1" allowOverlap="1" wp14:anchorId="1A5A134E" wp14:editId="0CA36A6F">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270581" w:rsidRPr="0003606D" w:rsidRDefault="00270581" w:rsidP="0003606D">
                          <w:pPr>
                            <w:pStyle w:val="coveraddresses"/>
                          </w:pPr>
                          <w:r w:rsidRPr="0003606D">
                            <w:t>ABN 47 996 232 602</w:t>
                          </w:r>
                        </w:p>
                        <w:p w:rsidR="00270581" w:rsidRPr="0003606D" w:rsidRDefault="00270581" w:rsidP="0003606D">
                          <w:pPr>
                            <w:pStyle w:val="coveraddresses"/>
                          </w:pPr>
                          <w:r w:rsidRPr="0003606D">
                            <w:t>Level 3, 175 Pitt Street, Sydney NSW 2000</w:t>
                          </w:r>
                        </w:p>
                        <w:p w:rsidR="00270581" w:rsidRPr="0003606D" w:rsidRDefault="00270581" w:rsidP="0003606D">
                          <w:pPr>
                            <w:pStyle w:val="coveraddresses"/>
                          </w:pPr>
                          <w:r w:rsidRPr="0003606D">
                            <w:t>GPO Box 5218, Sydney NSW 2001</w:t>
                          </w:r>
                        </w:p>
                        <w:p w:rsidR="00270581" w:rsidRPr="0003606D" w:rsidRDefault="00270581" w:rsidP="0003606D">
                          <w:pPr>
                            <w:pStyle w:val="coveraddresses"/>
                          </w:pPr>
                          <w:r w:rsidRPr="0003606D">
                            <w:t>General enquiries 1300 369 711</w:t>
                          </w:r>
                        </w:p>
                        <w:p w:rsidR="00270581" w:rsidRPr="0003606D" w:rsidRDefault="00270581" w:rsidP="0003606D">
                          <w:pPr>
                            <w:pStyle w:val="coveraddresses"/>
                          </w:pPr>
                          <w:r w:rsidRPr="0003606D">
                            <w:t>Complaints info line 1300 656 419</w:t>
                          </w:r>
                        </w:p>
                        <w:p w:rsidR="00270581" w:rsidRPr="0003606D" w:rsidRDefault="00270581" w:rsidP="0003606D">
                          <w:pPr>
                            <w:pStyle w:val="coveraddresses"/>
                          </w:pPr>
                          <w:r w:rsidRPr="0003606D">
                            <w:t>TTY 1800 620 241</w:t>
                          </w:r>
                        </w:p>
                        <w:p w:rsidR="00270581" w:rsidRPr="00B63D24" w:rsidRDefault="00270581"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C01A87" w:rsidRPr="0003606D" w:rsidRDefault="00C01A87" w:rsidP="0003606D">
                    <w:pPr>
                      <w:pStyle w:val="coveraddresses"/>
                    </w:pPr>
                    <w:r w:rsidRPr="0003606D">
                      <w:t>ABN 47 996 232 602</w:t>
                    </w:r>
                  </w:p>
                  <w:p w:rsidR="00C01A87" w:rsidRPr="0003606D" w:rsidRDefault="00C01A87" w:rsidP="0003606D">
                    <w:pPr>
                      <w:pStyle w:val="coveraddresses"/>
                    </w:pPr>
                    <w:r w:rsidRPr="0003606D">
                      <w:t>Level 3, 175 Pitt Street, Sydney NSW 2000</w:t>
                    </w:r>
                  </w:p>
                  <w:p w:rsidR="00C01A87" w:rsidRPr="0003606D" w:rsidRDefault="00C01A87" w:rsidP="0003606D">
                    <w:pPr>
                      <w:pStyle w:val="coveraddresses"/>
                    </w:pPr>
                    <w:r w:rsidRPr="0003606D">
                      <w:t>GPO Box 5218, Sydney NSW 2001</w:t>
                    </w:r>
                  </w:p>
                  <w:p w:rsidR="00C01A87" w:rsidRPr="0003606D" w:rsidRDefault="00C01A87" w:rsidP="0003606D">
                    <w:pPr>
                      <w:pStyle w:val="coveraddresses"/>
                    </w:pPr>
                    <w:r w:rsidRPr="0003606D">
                      <w:t>General enquiries 1300 369 711</w:t>
                    </w:r>
                  </w:p>
                  <w:p w:rsidR="00C01A87" w:rsidRPr="0003606D" w:rsidRDefault="00C01A87" w:rsidP="0003606D">
                    <w:pPr>
                      <w:pStyle w:val="coveraddresses"/>
                    </w:pPr>
                    <w:r w:rsidRPr="0003606D">
                      <w:t>Complaints info line 1300 656 419</w:t>
                    </w:r>
                  </w:p>
                  <w:p w:rsidR="00C01A87" w:rsidRPr="0003606D" w:rsidRDefault="00C01A87" w:rsidP="0003606D">
                    <w:pPr>
                      <w:pStyle w:val="coveraddresses"/>
                    </w:pPr>
                    <w:r w:rsidRPr="0003606D">
                      <w:t>TTY 1800 620 241</w:t>
                    </w:r>
                  </w:p>
                  <w:p w:rsidR="00C01A87" w:rsidRPr="00B63D24" w:rsidRDefault="00C01A87"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81" w:rsidRPr="0090165F" w:rsidRDefault="00270581"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BD4CF5">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581" w:rsidRDefault="00270581" w:rsidP="00F14C6D">
      <w:r>
        <w:separator/>
      </w:r>
    </w:p>
  </w:footnote>
  <w:footnote w:type="continuationSeparator" w:id="0">
    <w:p w:rsidR="00270581" w:rsidRDefault="00270581"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81" w:rsidRDefault="00BD4C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81" w:rsidRPr="00D27262" w:rsidRDefault="00BD4CF5"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270581" w:rsidRPr="00D27262">
      <w:rPr>
        <w:sz w:val="22"/>
        <w:szCs w:val="22"/>
      </w:rPr>
      <w:t>Au</w:t>
    </w:r>
    <w:r w:rsidR="00270581">
      <w:rPr>
        <w:sz w:val="22"/>
        <w:szCs w:val="22"/>
      </w:rPr>
      <w:t>stralian Human Rights Commission</w:t>
    </w:r>
  </w:p>
  <w:p w:rsidR="00270581" w:rsidRDefault="00270581"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270581" w:rsidRPr="00B85DD4" w:rsidTr="00165E3C">
      <w:trPr>
        <w:trHeight w:val="1276"/>
      </w:trPr>
      <w:tc>
        <w:tcPr>
          <w:tcW w:w="1508" w:type="dxa"/>
        </w:tcPr>
        <w:p w:rsidR="00270581" w:rsidRPr="00B85DD4" w:rsidRDefault="00BD4CF5"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270581" w:rsidRPr="00B85DD4" w:rsidRDefault="00270581" w:rsidP="002B1B65">
          <w:pPr>
            <w:spacing w:before="0" w:after="0"/>
            <w:rPr>
              <w:rFonts w:cs="ArialMT"/>
              <w:i/>
              <w:color w:val="808080"/>
              <w:sz w:val="17"/>
            </w:rPr>
          </w:pPr>
        </w:p>
      </w:tc>
      <w:tc>
        <w:tcPr>
          <w:tcW w:w="2302" w:type="dxa"/>
        </w:tcPr>
        <w:p w:rsidR="00270581" w:rsidRPr="00B85DD4" w:rsidRDefault="00270581" w:rsidP="00B520BC">
          <w:pPr>
            <w:pStyle w:val="HeaderFooter"/>
            <w:rPr>
              <w:b/>
              <w:spacing w:val="-20"/>
              <w:sz w:val="40"/>
            </w:rPr>
          </w:pPr>
        </w:p>
      </w:tc>
      <w:tc>
        <w:tcPr>
          <w:tcW w:w="2130" w:type="dxa"/>
        </w:tcPr>
        <w:p w:rsidR="00270581" w:rsidRPr="00B85DD4" w:rsidRDefault="00270581" w:rsidP="00B520BC">
          <w:pPr>
            <w:pStyle w:val="HeaderFooter"/>
            <w:rPr>
              <w:b/>
              <w:spacing w:val="-20"/>
              <w:sz w:val="40"/>
            </w:rPr>
          </w:pPr>
        </w:p>
      </w:tc>
      <w:tc>
        <w:tcPr>
          <w:tcW w:w="1721" w:type="dxa"/>
        </w:tcPr>
        <w:p w:rsidR="00270581" w:rsidRPr="00B85DD4" w:rsidRDefault="00270581" w:rsidP="00B520BC">
          <w:pPr>
            <w:pStyle w:val="HeaderFooter"/>
            <w:spacing w:before="227" w:after="340"/>
            <w:rPr>
              <w:b/>
              <w:spacing w:val="-20"/>
              <w:sz w:val="40"/>
            </w:rPr>
          </w:pPr>
        </w:p>
      </w:tc>
    </w:tr>
  </w:tbl>
  <w:p w:rsidR="00270581" w:rsidRDefault="002705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81" w:rsidRDefault="00BD4C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81" w:rsidRPr="00D27262" w:rsidRDefault="00270581" w:rsidP="00B34946">
    <w:pPr>
      <w:spacing w:before="0" w:after="60"/>
      <w:jc w:val="right"/>
      <w:rPr>
        <w:sz w:val="22"/>
        <w:szCs w:val="22"/>
      </w:rPr>
    </w:pPr>
    <w:r w:rsidRPr="00D27262">
      <w:rPr>
        <w:sz w:val="22"/>
        <w:szCs w:val="22"/>
      </w:rPr>
      <w:t>Au</w:t>
    </w:r>
    <w:r>
      <w:rPr>
        <w:sz w:val="22"/>
        <w:szCs w:val="22"/>
      </w:rPr>
      <w:t>stralian Human Rights Commission</w:t>
    </w:r>
  </w:p>
  <w:p w:rsidR="00270581" w:rsidRPr="00D729AD" w:rsidRDefault="00270581" w:rsidP="002F4CE1">
    <w:pPr>
      <w:pStyle w:val="Footer"/>
      <w:spacing w:after="240"/>
      <w:jc w:val="right"/>
      <w:rPr>
        <w:i/>
        <w:szCs w:val="18"/>
      </w:rPr>
    </w:pPr>
    <w:r>
      <w:rPr>
        <w:b/>
        <w:i/>
        <w:szCs w:val="18"/>
      </w:rPr>
      <w:t>Inquiry into Fair Work Amendment Bill 2013</w:t>
    </w:r>
    <w:r>
      <w:rPr>
        <w:i/>
        <w:szCs w:val="18"/>
      </w:rPr>
      <w:t xml:space="preserve"> </w:t>
    </w:r>
    <w:r w:rsidRPr="00D729AD">
      <w:rPr>
        <w:i/>
        <w:szCs w:val="18"/>
      </w:rPr>
      <w:t xml:space="preserve">– </w:t>
    </w:r>
    <w:r>
      <w:rPr>
        <w:i/>
        <w:szCs w:val="18"/>
      </w:rPr>
      <w:t>April 2013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270581" w:rsidRPr="00B85DD4" w:rsidTr="002B1B65">
      <w:trPr>
        <w:trHeight w:val="1603"/>
      </w:trPr>
      <w:tc>
        <w:tcPr>
          <w:tcW w:w="1508" w:type="dxa"/>
        </w:tcPr>
        <w:p w:rsidR="00270581" w:rsidRPr="00B85DD4" w:rsidRDefault="00BD4CF5"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270581">
            <w:rPr>
              <w:rFonts w:cs="ArialMT"/>
              <w:b/>
              <w:noProof/>
              <w:spacing w:val="-20"/>
            </w:rPr>
            <w:drawing>
              <wp:inline distT="0" distB="0" distL="0" distR="0" wp14:anchorId="0B3BCD2A" wp14:editId="103A6F6B">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270581" w:rsidRPr="00D36BB2" w:rsidRDefault="00270581" w:rsidP="002B1B65">
          <w:pPr>
            <w:pStyle w:val="LogoType"/>
            <w:pBdr>
              <w:bottom w:val="single" w:sz="4" w:space="1" w:color="808080"/>
            </w:pBdr>
            <w:spacing w:line="240" w:lineRule="auto"/>
          </w:pPr>
          <w:r w:rsidRPr="00D36BB2">
            <w:t>Australian</w:t>
          </w:r>
        </w:p>
        <w:p w:rsidR="00270581" w:rsidRPr="00D36BB2" w:rsidRDefault="00270581" w:rsidP="002B1B65">
          <w:pPr>
            <w:pStyle w:val="LogoType"/>
            <w:pBdr>
              <w:bottom w:val="single" w:sz="4" w:space="1" w:color="808080"/>
            </w:pBdr>
            <w:spacing w:line="240" w:lineRule="auto"/>
          </w:pPr>
          <w:r w:rsidRPr="00D36BB2">
            <w:t>Human Rights</w:t>
          </w:r>
        </w:p>
        <w:p w:rsidR="00270581" w:rsidRPr="00D36BB2" w:rsidRDefault="00270581" w:rsidP="002B1B65">
          <w:pPr>
            <w:pStyle w:val="LogoType"/>
            <w:pBdr>
              <w:bottom w:val="single" w:sz="4" w:space="1" w:color="808080"/>
            </w:pBdr>
            <w:spacing w:line="240" w:lineRule="auto"/>
          </w:pPr>
          <w:r w:rsidRPr="00D36BB2">
            <w:t>Commission</w:t>
          </w:r>
        </w:p>
        <w:p w:rsidR="00270581" w:rsidRPr="00B85DD4" w:rsidRDefault="00270581"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270581" w:rsidRPr="00B85DD4" w:rsidRDefault="00270581" w:rsidP="00B520BC">
          <w:pPr>
            <w:pStyle w:val="HeaderFooter"/>
            <w:rPr>
              <w:b/>
              <w:spacing w:val="-20"/>
              <w:sz w:val="40"/>
            </w:rPr>
          </w:pPr>
        </w:p>
      </w:tc>
      <w:tc>
        <w:tcPr>
          <w:tcW w:w="2130" w:type="dxa"/>
        </w:tcPr>
        <w:p w:rsidR="00270581" w:rsidRPr="00B85DD4" w:rsidRDefault="00270581" w:rsidP="00B520BC">
          <w:pPr>
            <w:pStyle w:val="HeaderFooter"/>
            <w:rPr>
              <w:b/>
              <w:spacing w:val="-20"/>
              <w:sz w:val="40"/>
            </w:rPr>
          </w:pPr>
        </w:p>
      </w:tc>
      <w:tc>
        <w:tcPr>
          <w:tcW w:w="1721" w:type="dxa"/>
        </w:tcPr>
        <w:p w:rsidR="00270581" w:rsidRPr="00B85DD4" w:rsidRDefault="00270581" w:rsidP="00B520BC">
          <w:pPr>
            <w:pStyle w:val="HeaderFooter"/>
            <w:spacing w:before="227" w:after="340"/>
            <w:rPr>
              <w:b/>
              <w:spacing w:val="-20"/>
              <w:sz w:val="40"/>
            </w:rPr>
          </w:pPr>
        </w:p>
      </w:tc>
    </w:tr>
  </w:tbl>
  <w:p w:rsidR="00270581" w:rsidRDefault="00270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nsid w:val="04DE708F"/>
    <w:multiLevelType w:val="multilevel"/>
    <w:tmpl w:val="C09819EA"/>
    <w:lvl w:ilvl="0">
      <w:start w:val="2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6D73773"/>
    <w:multiLevelType w:val="hybridMultilevel"/>
    <w:tmpl w:val="106C5E70"/>
    <w:lvl w:ilvl="0" w:tplc="0C090001">
      <w:start w:val="1"/>
      <w:numFmt w:val="bullet"/>
      <w:lvlText w:val=""/>
      <w:lvlJc w:val="left"/>
      <w:pPr>
        <w:tabs>
          <w:tab w:val="num" w:pos="927"/>
        </w:tabs>
        <w:ind w:left="927" w:hanging="360"/>
      </w:pPr>
      <w:rPr>
        <w:rFonts w:ascii="Symbol" w:hAnsi="Symbol" w:hint="default"/>
      </w:rPr>
    </w:lvl>
    <w:lvl w:ilvl="1" w:tplc="0C090019">
      <w:start w:val="1"/>
      <w:numFmt w:val="lowerLetter"/>
      <w:lvlText w:val="%2."/>
      <w:lvlJc w:val="left"/>
      <w:pPr>
        <w:tabs>
          <w:tab w:val="num" w:pos="1647"/>
        </w:tabs>
        <w:ind w:left="1647" w:hanging="360"/>
      </w:pPr>
    </w:lvl>
    <w:lvl w:ilvl="2" w:tplc="0C09001B">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8">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7F461D"/>
    <w:multiLevelType w:val="hybridMultilevel"/>
    <w:tmpl w:val="0C20AD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8">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4E5563BA"/>
    <w:multiLevelType w:val="hybridMultilevel"/>
    <w:tmpl w:val="359AC9C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C9D34BD"/>
    <w:multiLevelType w:val="hybridMultilevel"/>
    <w:tmpl w:val="C70E0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71373DF"/>
    <w:multiLevelType w:val="hybridMultilevel"/>
    <w:tmpl w:val="3F30982C"/>
    <w:lvl w:ilvl="0" w:tplc="083E9FA8">
      <w:start w:val="1"/>
      <w:numFmt w:val="decimal"/>
      <w:pStyle w:val="NoSpacing"/>
      <w:lvlText w:val="%1."/>
      <w:lvlJc w:val="left"/>
      <w:pPr>
        <w:ind w:left="360" w:hanging="360"/>
      </w:pPr>
      <w:rPr>
        <w:b w:val="0"/>
        <w:sz w:val="24"/>
      </w:rPr>
    </w:lvl>
    <w:lvl w:ilvl="1" w:tplc="0C090001">
      <w:start w:val="1"/>
      <w:numFmt w:val="bullet"/>
      <w:lvlText w:val=""/>
      <w:lvlJc w:val="left"/>
      <w:pPr>
        <w:tabs>
          <w:tab w:val="num" w:pos="1440"/>
        </w:tabs>
        <w:ind w:left="1440" w:hanging="360"/>
      </w:pPr>
      <w:rPr>
        <w:rFonts w:ascii="Symbol" w:hAnsi="Symbol" w:hint="default"/>
        <w:b w:val="0"/>
        <w:sz w:val="24"/>
      </w:rPr>
    </w:lvl>
    <w:lvl w:ilvl="2" w:tplc="4B8486BC">
      <w:start w:val="1"/>
      <w:numFmt w:val="lowerRoman"/>
      <w:lvlText w:val="(%3)"/>
      <w:lvlJc w:val="left"/>
      <w:pPr>
        <w:tabs>
          <w:tab w:val="num" w:pos="2700"/>
        </w:tabs>
        <w:ind w:left="2700" w:hanging="72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8193924"/>
    <w:multiLevelType w:val="hybridMultilevel"/>
    <w:tmpl w:val="9D5A0D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9"/>
  </w:num>
  <w:num w:numId="2">
    <w:abstractNumId w:val="27"/>
  </w:num>
  <w:num w:numId="3">
    <w:abstractNumId w:val="33"/>
  </w:num>
  <w:num w:numId="4">
    <w:abstractNumId w:val="18"/>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0"/>
  </w:num>
  <w:num w:numId="18">
    <w:abstractNumId w:val="23"/>
  </w:num>
  <w:num w:numId="19">
    <w:abstractNumId w:val="15"/>
  </w:num>
  <w:num w:numId="20">
    <w:abstractNumId w:val="36"/>
  </w:num>
  <w:num w:numId="21">
    <w:abstractNumId w:val="25"/>
  </w:num>
  <w:num w:numId="22">
    <w:abstractNumId w:val="24"/>
  </w:num>
  <w:num w:numId="23">
    <w:abstractNumId w:val="39"/>
  </w:num>
  <w:num w:numId="24">
    <w:abstractNumId w:val="12"/>
  </w:num>
  <w:num w:numId="25">
    <w:abstractNumId w:val="37"/>
  </w:num>
  <w:num w:numId="26">
    <w:abstractNumId w:val="26"/>
  </w:num>
  <w:num w:numId="27">
    <w:abstractNumId w:val="13"/>
  </w:num>
  <w:num w:numId="28">
    <w:abstractNumId w:val="16"/>
  </w:num>
  <w:num w:numId="29">
    <w:abstractNumId w:val="29"/>
  </w:num>
  <w:num w:numId="30">
    <w:abstractNumId w:val="2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5"/>
  </w:num>
  <w:num w:numId="36">
    <w:abstractNumId w:val="14"/>
  </w:num>
  <w:num w:numId="37">
    <w:abstractNumId w:val="10"/>
  </w:num>
  <w:num w:numId="38">
    <w:abstractNumId w:val="34"/>
  </w:num>
  <w:num w:numId="39">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1"/>
  </w:num>
  <w:num w:numId="42">
    <w:abstractNumId w:val="21"/>
  </w:num>
  <w:num w:numId="43">
    <w:abstractNumId w:val="40"/>
  </w:num>
  <w:num w:numId="44">
    <w:abstractNumId w:val="17"/>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13"/>
    <w:rsid w:val="00003DF8"/>
    <w:rsid w:val="00012BF6"/>
    <w:rsid w:val="00022646"/>
    <w:rsid w:val="00027D8B"/>
    <w:rsid w:val="00032148"/>
    <w:rsid w:val="00033573"/>
    <w:rsid w:val="0003606D"/>
    <w:rsid w:val="000424AD"/>
    <w:rsid w:val="00044275"/>
    <w:rsid w:val="000569C2"/>
    <w:rsid w:val="000579B1"/>
    <w:rsid w:val="00072D2F"/>
    <w:rsid w:val="00074319"/>
    <w:rsid w:val="00080DD5"/>
    <w:rsid w:val="00087DF8"/>
    <w:rsid w:val="0009078B"/>
    <w:rsid w:val="00091A87"/>
    <w:rsid w:val="00096E9E"/>
    <w:rsid w:val="000A03C6"/>
    <w:rsid w:val="000A1DB8"/>
    <w:rsid w:val="000A48AC"/>
    <w:rsid w:val="000B0A5D"/>
    <w:rsid w:val="000B707F"/>
    <w:rsid w:val="000C21BC"/>
    <w:rsid w:val="000C7726"/>
    <w:rsid w:val="000C799A"/>
    <w:rsid w:val="000D2D9C"/>
    <w:rsid w:val="000E130A"/>
    <w:rsid w:val="000E16C6"/>
    <w:rsid w:val="000E5E72"/>
    <w:rsid w:val="000F2AC6"/>
    <w:rsid w:val="000F4313"/>
    <w:rsid w:val="00103DDD"/>
    <w:rsid w:val="00134774"/>
    <w:rsid w:val="00137D6B"/>
    <w:rsid w:val="00140274"/>
    <w:rsid w:val="00144313"/>
    <w:rsid w:val="00147EFF"/>
    <w:rsid w:val="00151263"/>
    <w:rsid w:val="00160286"/>
    <w:rsid w:val="00162A8D"/>
    <w:rsid w:val="00165E3C"/>
    <w:rsid w:val="00167744"/>
    <w:rsid w:val="00173ED7"/>
    <w:rsid w:val="00173FB5"/>
    <w:rsid w:val="00181561"/>
    <w:rsid w:val="00190431"/>
    <w:rsid w:val="0019316A"/>
    <w:rsid w:val="001B0353"/>
    <w:rsid w:val="001C1F8B"/>
    <w:rsid w:val="001C253A"/>
    <w:rsid w:val="001D0658"/>
    <w:rsid w:val="001D1F37"/>
    <w:rsid w:val="001F080B"/>
    <w:rsid w:val="001F2BBB"/>
    <w:rsid w:val="001F6736"/>
    <w:rsid w:val="00200228"/>
    <w:rsid w:val="002002C2"/>
    <w:rsid w:val="00200677"/>
    <w:rsid w:val="00212BBB"/>
    <w:rsid w:val="00224AA3"/>
    <w:rsid w:val="0022682A"/>
    <w:rsid w:val="00231ED1"/>
    <w:rsid w:val="00236640"/>
    <w:rsid w:val="00242624"/>
    <w:rsid w:val="0024321F"/>
    <w:rsid w:val="0024557E"/>
    <w:rsid w:val="002501C2"/>
    <w:rsid w:val="00260BDB"/>
    <w:rsid w:val="00270581"/>
    <w:rsid w:val="00274E18"/>
    <w:rsid w:val="002760F8"/>
    <w:rsid w:val="00277D74"/>
    <w:rsid w:val="002863D7"/>
    <w:rsid w:val="002951AF"/>
    <w:rsid w:val="002B0310"/>
    <w:rsid w:val="002B1B65"/>
    <w:rsid w:val="002B2FB4"/>
    <w:rsid w:val="002C1866"/>
    <w:rsid w:val="002E0E20"/>
    <w:rsid w:val="002F4CE1"/>
    <w:rsid w:val="002F58F6"/>
    <w:rsid w:val="00300F22"/>
    <w:rsid w:val="00304A37"/>
    <w:rsid w:val="003050FA"/>
    <w:rsid w:val="00310ED4"/>
    <w:rsid w:val="00312301"/>
    <w:rsid w:val="00313D7D"/>
    <w:rsid w:val="0031492A"/>
    <w:rsid w:val="00316C1A"/>
    <w:rsid w:val="00323C73"/>
    <w:rsid w:val="00326948"/>
    <w:rsid w:val="00331141"/>
    <w:rsid w:val="003364E7"/>
    <w:rsid w:val="00344758"/>
    <w:rsid w:val="00347142"/>
    <w:rsid w:val="00350BAF"/>
    <w:rsid w:val="00356532"/>
    <w:rsid w:val="003565A8"/>
    <w:rsid w:val="003566EA"/>
    <w:rsid w:val="003614A7"/>
    <w:rsid w:val="00365A3A"/>
    <w:rsid w:val="00372C79"/>
    <w:rsid w:val="003877B0"/>
    <w:rsid w:val="00391013"/>
    <w:rsid w:val="0039183C"/>
    <w:rsid w:val="003930DE"/>
    <w:rsid w:val="003A761E"/>
    <w:rsid w:val="003C1804"/>
    <w:rsid w:val="003C186D"/>
    <w:rsid w:val="003E12A6"/>
    <w:rsid w:val="00422417"/>
    <w:rsid w:val="00424233"/>
    <w:rsid w:val="0043042B"/>
    <w:rsid w:val="0044146E"/>
    <w:rsid w:val="00454C21"/>
    <w:rsid w:val="0046030D"/>
    <w:rsid w:val="004659EC"/>
    <w:rsid w:val="004723AA"/>
    <w:rsid w:val="00472EFF"/>
    <w:rsid w:val="00474063"/>
    <w:rsid w:val="00476793"/>
    <w:rsid w:val="00490CE9"/>
    <w:rsid w:val="004A1444"/>
    <w:rsid w:val="004A187B"/>
    <w:rsid w:val="004A2D3C"/>
    <w:rsid w:val="004C19E5"/>
    <w:rsid w:val="004C7412"/>
    <w:rsid w:val="004D04BF"/>
    <w:rsid w:val="004D124B"/>
    <w:rsid w:val="004D5834"/>
    <w:rsid w:val="004D6E55"/>
    <w:rsid w:val="004E0DFF"/>
    <w:rsid w:val="004E3CB8"/>
    <w:rsid w:val="004F1C7C"/>
    <w:rsid w:val="0050090A"/>
    <w:rsid w:val="00501D04"/>
    <w:rsid w:val="00502D5F"/>
    <w:rsid w:val="00510F36"/>
    <w:rsid w:val="005123F0"/>
    <w:rsid w:val="00513540"/>
    <w:rsid w:val="00513941"/>
    <w:rsid w:val="005146F6"/>
    <w:rsid w:val="0053051D"/>
    <w:rsid w:val="0053682E"/>
    <w:rsid w:val="0055442A"/>
    <w:rsid w:val="005544C8"/>
    <w:rsid w:val="00564208"/>
    <w:rsid w:val="00571CEB"/>
    <w:rsid w:val="0057504F"/>
    <w:rsid w:val="005871FF"/>
    <w:rsid w:val="00591951"/>
    <w:rsid w:val="00592750"/>
    <w:rsid w:val="005C5C1D"/>
    <w:rsid w:val="005C5D41"/>
    <w:rsid w:val="005D0895"/>
    <w:rsid w:val="005D1F34"/>
    <w:rsid w:val="005D383D"/>
    <w:rsid w:val="00611F00"/>
    <w:rsid w:val="00617BDB"/>
    <w:rsid w:val="0062170A"/>
    <w:rsid w:val="00632432"/>
    <w:rsid w:val="0063598C"/>
    <w:rsid w:val="00652CF3"/>
    <w:rsid w:val="00654793"/>
    <w:rsid w:val="006602DC"/>
    <w:rsid w:val="00664F30"/>
    <w:rsid w:val="006709CF"/>
    <w:rsid w:val="0067213B"/>
    <w:rsid w:val="00683D51"/>
    <w:rsid w:val="00686E44"/>
    <w:rsid w:val="00690885"/>
    <w:rsid w:val="006A6BB3"/>
    <w:rsid w:val="006B5D26"/>
    <w:rsid w:val="006C1A41"/>
    <w:rsid w:val="006D5EE5"/>
    <w:rsid w:val="006E6DFE"/>
    <w:rsid w:val="006F1A56"/>
    <w:rsid w:val="006F5046"/>
    <w:rsid w:val="00702B23"/>
    <w:rsid w:val="007031AE"/>
    <w:rsid w:val="00707B68"/>
    <w:rsid w:val="00710860"/>
    <w:rsid w:val="007134A3"/>
    <w:rsid w:val="0073289F"/>
    <w:rsid w:val="00743727"/>
    <w:rsid w:val="00743A83"/>
    <w:rsid w:val="007540BF"/>
    <w:rsid w:val="0076682F"/>
    <w:rsid w:val="00770DCB"/>
    <w:rsid w:val="00775485"/>
    <w:rsid w:val="007903F8"/>
    <w:rsid w:val="007B3528"/>
    <w:rsid w:val="007B6C60"/>
    <w:rsid w:val="007C6645"/>
    <w:rsid w:val="007D5C84"/>
    <w:rsid w:val="007D6C8F"/>
    <w:rsid w:val="007E3FDD"/>
    <w:rsid w:val="007E5B88"/>
    <w:rsid w:val="007F0D0B"/>
    <w:rsid w:val="007F7AAA"/>
    <w:rsid w:val="008007A8"/>
    <w:rsid w:val="008042D9"/>
    <w:rsid w:val="00814FC0"/>
    <w:rsid w:val="008275B3"/>
    <w:rsid w:val="0085468B"/>
    <w:rsid w:val="00854962"/>
    <w:rsid w:val="008724DE"/>
    <w:rsid w:val="00873A08"/>
    <w:rsid w:val="0088114F"/>
    <w:rsid w:val="008940CA"/>
    <w:rsid w:val="008A3D57"/>
    <w:rsid w:val="008B23BC"/>
    <w:rsid w:val="008B376D"/>
    <w:rsid w:val="008B6B22"/>
    <w:rsid w:val="008C1948"/>
    <w:rsid w:val="008E3D60"/>
    <w:rsid w:val="008E3F4C"/>
    <w:rsid w:val="008E7036"/>
    <w:rsid w:val="008F01D9"/>
    <w:rsid w:val="008F6B7B"/>
    <w:rsid w:val="0090165F"/>
    <w:rsid w:val="00901B82"/>
    <w:rsid w:val="0090757F"/>
    <w:rsid w:val="00912B09"/>
    <w:rsid w:val="00926E3C"/>
    <w:rsid w:val="00931149"/>
    <w:rsid w:val="00937CCB"/>
    <w:rsid w:val="00951C55"/>
    <w:rsid w:val="00955C56"/>
    <w:rsid w:val="00966C2F"/>
    <w:rsid w:val="0097512B"/>
    <w:rsid w:val="00996DA6"/>
    <w:rsid w:val="009A50A6"/>
    <w:rsid w:val="009A59E1"/>
    <w:rsid w:val="009B57B1"/>
    <w:rsid w:val="009C22F0"/>
    <w:rsid w:val="009D14F0"/>
    <w:rsid w:val="009D67F6"/>
    <w:rsid w:val="009E0FE1"/>
    <w:rsid w:val="009E4CE9"/>
    <w:rsid w:val="009F1AA3"/>
    <w:rsid w:val="00A0406E"/>
    <w:rsid w:val="00A11307"/>
    <w:rsid w:val="00A13AF3"/>
    <w:rsid w:val="00A21388"/>
    <w:rsid w:val="00A21620"/>
    <w:rsid w:val="00A27791"/>
    <w:rsid w:val="00A41355"/>
    <w:rsid w:val="00A43B92"/>
    <w:rsid w:val="00A54251"/>
    <w:rsid w:val="00A6179E"/>
    <w:rsid w:val="00A64316"/>
    <w:rsid w:val="00A72E12"/>
    <w:rsid w:val="00A804D9"/>
    <w:rsid w:val="00A92F92"/>
    <w:rsid w:val="00A93AE8"/>
    <w:rsid w:val="00A952DE"/>
    <w:rsid w:val="00A9600C"/>
    <w:rsid w:val="00A96892"/>
    <w:rsid w:val="00AA2051"/>
    <w:rsid w:val="00AA259F"/>
    <w:rsid w:val="00AB6B2A"/>
    <w:rsid w:val="00AC636D"/>
    <w:rsid w:val="00AD692B"/>
    <w:rsid w:val="00AD75DF"/>
    <w:rsid w:val="00AE239C"/>
    <w:rsid w:val="00AE3329"/>
    <w:rsid w:val="00B0056F"/>
    <w:rsid w:val="00B07DB4"/>
    <w:rsid w:val="00B11203"/>
    <w:rsid w:val="00B124C6"/>
    <w:rsid w:val="00B24B1D"/>
    <w:rsid w:val="00B277E0"/>
    <w:rsid w:val="00B34946"/>
    <w:rsid w:val="00B447D1"/>
    <w:rsid w:val="00B519FD"/>
    <w:rsid w:val="00B520BC"/>
    <w:rsid w:val="00B53B54"/>
    <w:rsid w:val="00B63D24"/>
    <w:rsid w:val="00B8140C"/>
    <w:rsid w:val="00B85549"/>
    <w:rsid w:val="00B924E6"/>
    <w:rsid w:val="00B9699B"/>
    <w:rsid w:val="00BA262D"/>
    <w:rsid w:val="00BA5698"/>
    <w:rsid w:val="00BC79EB"/>
    <w:rsid w:val="00BD1261"/>
    <w:rsid w:val="00BD4CF5"/>
    <w:rsid w:val="00BD7FCF"/>
    <w:rsid w:val="00BF19B5"/>
    <w:rsid w:val="00C01A87"/>
    <w:rsid w:val="00C12DAD"/>
    <w:rsid w:val="00C25BDA"/>
    <w:rsid w:val="00C27A20"/>
    <w:rsid w:val="00C31D15"/>
    <w:rsid w:val="00C3201A"/>
    <w:rsid w:val="00C33104"/>
    <w:rsid w:val="00C33AF9"/>
    <w:rsid w:val="00C34503"/>
    <w:rsid w:val="00C4166E"/>
    <w:rsid w:val="00C441A9"/>
    <w:rsid w:val="00C563BB"/>
    <w:rsid w:val="00C6081D"/>
    <w:rsid w:val="00C637B3"/>
    <w:rsid w:val="00C71FBA"/>
    <w:rsid w:val="00C8549F"/>
    <w:rsid w:val="00C854D4"/>
    <w:rsid w:val="00C90556"/>
    <w:rsid w:val="00C91282"/>
    <w:rsid w:val="00CA0D78"/>
    <w:rsid w:val="00CA4855"/>
    <w:rsid w:val="00CB2449"/>
    <w:rsid w:val="00CB24FE"/>
    <w:rsid w:val="00CB702F"/>
    <w:rsid w:val="00CD58FD"/>
    <w:rsid w:val="00CF5561"/>
    <w:rsid w:val="00D27132"/>
    <w:rsid w:val="00D30A61"/>
    <w:rsid w:val="00D343FA"/>
    <w:rsid w:val="00D418FF"/>
    <w:rsid w:val="00D47B1A"/>
    <w:rsid w:val="00D50032"/>
    <w:rsid w:val="00D5242A"/>
    <w:rsid w:val="00D537F8"/>
    <w:rsid w:val="00D65C76"/>
    <w:rsid w:val="00D729AD"/>
    <w:rsid w:val="00D72DF8"/>
    <w:rsid w:val="00D734C7"/>
    <w:rsid w:val="00D810AC"/>
    <w:rsid w:val="00D840BA"/>
    <w:rsid w:val="00D8464D"/>
    <w:rsid w:val="00D871FE"/>
    <w:rsid w:val="00D92D04"/>
    <w:rsid w:val="00DA2F73"/>
    <w:rsid w:val="00DB248D"/>
    <w:rsid w:val="00DB261D"/>
    <w:rsid w:val="00DB4907"/>
    <w:rsid w:val="00DC35B3"/>
    <w:rsid w:val="00DC462F"/>
    <w:rsid w:val="00DC7A2B"/>
    <w:rsid w:val="00DD4288"/>
    <w:rsid w:val="00DD6A21"/>
    <w:rsid w:val="00DE2198"/>
    <w:rsid w:val="00DE60CA"/>
    <w:rsid w:val="00DF3CF2"/>
    <w:rsid w:val="00E001D1"/>
    <w:rsid w:val="00E0628A"/>
    <w:rsid w:val="00E06753"/>
    <w:rsid w:val="00E11E5C"/>
    <w:rsid w:val="00E2027B"/>
    <w:rsid w:val="00E24FA3"/>
    <w:rsid w:val="00E26B28"/>
    <w:rsid w:val="00E31465"/>
    <w:rsid w:val="00E328CD"/>
    <w:rsid w:val="00E36B95"/>
    <w:rsid w:val="00E4003F"/>
    <w:rsid w:val="00E458F6"/>
    <w:rsid w:val="00E45954"/>
    <w:rsid w:val="00E54918"/>
    <w:rsid w:val="00E55F24"/>
    <w:rsid w:val="00E80AE2"/>
    <w:rsid w:val="00E93BFD"/>
    <w:rsid w:val="00E94F29"/>
    <w:rsid w:val="00E96275"/>
    <w:rsid w:val="00EA44D9"/>
    <w:rsid w:val="00EB3460"/>
    <w:rsid w:val="00EB4C9F"/>
    <w:rsid w:val="00EB6A76"/>
    <w:rsid w:val="00EC3BAE"/>
    <w:rsid w:val="00ED1BB5"/>
    <w:rsid w:val="00ED6EE2"/>
    <w:rsid w:val="00EE0CB3"/>
    <w:rsid w:val="00EE1E48"/>
    <w:rsid w:val="00EE49B3"/>
    <w:rsid w:val="00EF04C9"/>
    <w:rsid w:val="00EF31CB"/>
    <w:rsid w:val="00F015DF"/>
    <w:rsid w:val="00F14C6D"/>
    <w:rsid w:val="00F35682"/>
    <w:rsid w:val="00F40D0D"/>
    <w:rsid w:val="00F64FDB"/>
    <w:rsid w:val="00F74928"/>
    <w:rsid w:val="00F9347A"/>
    <w:rsid w:val="00F96046"/>
    <w:rsid w:val="00FA4916"/>
    <w:rsid w:val="00FA7519"/>
    <w:rsid w:val="00FC12FF"/>
    <w:rsid w:val="00FD01B5"/>
    <w:rsid w:val="00FD1D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uiPriority w:val="22"/>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customStyle="1" w:styleId="Default">
    <w:name w:val="Default"/>
    <w:rsid w:val="00AD75DF"/>
    <w:pPr>
      <w:autoSpaceDE w:val="0"/>
      <w:autoSpaceDN w:val="0"/>
      <w:adjustRightInd w:val="0"/>
    </w:pPr>
    <w:rPr>
      <w:color w:val="000000"/>
      <w:sz w:val="24"/>
      <w:szCs w:val="24"/>
    </w:rPr>
  </w:style>
  <w:style w:type="paragraph" w:styleId="ListParagraph">
    <w:name w:val="List Paragraph"/>
    <w:basedOn w:val="Normal"/>
    <w:uiPriority w:val="34"/>
    <w:qFormat/>
    <w:rsid w:val="00D92D04"/>
    <w:pPr>
      <w:ind w:left="720"/>
      <w:contextualSpacing/>
    </w:pPr>
    <w:rPr>
      <w:rFonts w:eastAsia="Times New Roman"/>
      <w:color w:val="000000"/>
      <w:szCs w:val="20"/>
      <w:lang w:eastAsia="en-US"/>
    </w:rPr>
  </w:style>
  <w:style w:type="character" w:customStyle="1" w:styleId="FootnoteTextChar">
    <w:name w:val="Footnote Text Char"/>
    <w:basedOn w:val="DefaultParagraphFont"/>
    <w:link w:val="FootnoteText"/>
    <w:semiHidden/>
    <w:rsid w:val="007E3FDD"/>
    <w:rPr>
      <w:rFonts w:ascii="Arial" w:eastAsia="MS Mincho" w:hAnsi="Arial"/>
    </w:rPr>
  </w:style>
  <w:style w:type="paragraph" w:styleId="NoSpacing">
    <w:name w:val="No Spacing"/>
    <w:basedOn w:val="Normal"/>
    <w:uiPriority w:val="1"/>
    <w:qFormat/>
    <w:rsid w:val="007E3FDD"/>
    <w:pPr>
      <w:numPr>
        <w:numId w:val="39"/>
      </w:numPr>
      <w:spacing w:before="0" w:after="120"/>
    </w:pPr>
    <w:rPr>
      <w:rFonts w:eastAsia="Times New Roman"/>
      <w:color w:val="000000"/>
    </w:rPr>
  </w:style>
  <w:style w:type="character" w:customStyle="1" w:styleId="apple-converted-space">
    <w:name w:val="apple-converted-space"/>
    <w:basedOn w:val="DefaultParagraphFont"/>
    <w:rsid w:val="000F2AC6"/>
  </w:style>
  <w:style w:type="paragraph" w:customStyle="1" w:styleId="paragraph">
    <w:name w:val="paragraph"/>
    <w:basedOn w:val="Normal"/>
    <w:rsid w:val="00873A08"/>
    <w:pPr>
      <w:spacing w:before="40" w:after="0"/>
      <w:ind w:left="1644" w:hanging="1644"/>
    </w:pPr>
    <w:rPr>
      <w:rFonts w:ascii="Times New Roman" w:eastAsia="Times New Roman" w:hAnsi="Times New Roman"/>
      <w:color w:val="444444"/>
      <w:sz w:val="22"/>
      <w:szCs w:val="22"/>
    </w:rPr>
  </w:style>
  <w:style w:type="character" w:styleId="CommentReference">
    <w:name w:val="annotation reference"/>
    <w:basedOn w:val="DefaultParagraphFont"/>
    <w:locked/>
    <w:rsid w:val="0062170A"/>
    <w:rPr>
      <w:sz w:val="16"/>
      <w:szCs w:val="16"/>
    </w:rPr>
  </w:style>
  <w:style w:type="paragraph" w:styleId="CommentText">
    <w:name w:val="annotation text"/>
    <w:basedOn w:val="Normal"/>
    <w:link w:val="CommentTextChar"/>
    <w:locked/>
    <w:rsid w:val="0062170A"/>
    <w:rPr>
      <w:sz w:val="20"/>
      <w:szCs w:val="20"/>
    </w:rPr>
  </w:style>
  <w:style w:type="character" w:customStyle="1" w:styleId="CommentTextChar">
    <w:name w:val="Comment Text Char"/>
    <w:basedOn w:val="DefaultParagraphFont"/>
    <w:link w:val="CommentText"/>
    <w:rsid w:val="0062170A"/>
    <w:rPr>
      <w:rFonts w:ascii="Arial" w:eastAsia="MS Mincho" w:hAnsi="Arial"/>
    </w:rPr>
  </w:style>
  <w:style w:type="paragraph" w:styleId="CommentSubject">
    <w:name w:val="annotation subject"/>
    <w:basedOn w:val="CommentText"/>
    <w:next w:val="CommentText"/>
    <w:link w:val="CommentSubjectChar"/>
    <w:locked/>
    <w:rsid w:val="0062170A"/>
    <w:rPr>
      <w:b/>
      <w:bCs/>
    </w:rPr>
  </w:style>
  <w:style w:type="character" w:customStyle="1" w:styleId="CommentSubjectChar">
    <w:name w:val="Comment Subject Char"/>
    <w:basedOn w:val="CommentTextChar"/>
    <w:link w:val="CommentSubject"/>
    <w:rsid w:val="0062170A"/>
    <w:rPr>
      <w:rFonts w:ascii="Arial" w:eastAsia="MS Mincho"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uiPriority w:val="22"/>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customStyle="1" w:styleId="Default">
    <w:name w:val="Default"/>
    <w:rsid w:val="00AD75DF"/>
    <w:pPr>
      <w:autoSpaceDE w:val="0"/>
      <w:autoSpaceDN w:val="0"/>
      <w:adjustRightInd w:val="0"/>
    </w:pPr>
    <w:rPr>
      <w:color w:val="000000"/>
      <w:sz w:val="24"/>
      <w:szCs w:val="24"/>
    </w:rPr>
  </w:style>
  <w:style w:type="paragraph" w:styleId="ListParagraph">
    <w:name w:val="List Paragraph"/>
    <w:basedOn w:val="Normal"/>
    <w:uiPriority w:val="34"/>
    <w:qFormat/>
    <w:rsid w:val="00D92D04"/>
    <w:pPr>
      <w:ind w:left="720"/>
      <w:contextualSpacing/>
    </w:pPr>
    <w:rPr>
      <w:rFonts w:eastAsia="Times New Roman"/>
      <w:color w:val="000000"/>
      <w:szCs w:val="20"/>
      <w:lang w:eastAsia="en-US"/>
    </w:rPr>
  </w:style>
  <w:style w:type="character" w:customStyle="1" w:styleId="FootnoteTextChar">
    <w:name w:val="Footnote Text Char"/>
    <w:basedOn w:val="DefaultParagraphFont"/>
    <w:link w:val="FootnoteText"/>
    <w:semiHidden/>
    <w:rsid w:val="007E3FDD"/>
    <w:rPr>
      <w:rFonts w:ascii="Arial" w:eastAsia="MS Mincho" w:hAnsi="Arial"/>
    </w:rPr>
  </w:style>
  <w:style w:type="paragraph" w:styleId="NoSpacing">
    <w:name w:val="No Spacing"/>
    <w:basedOn w:val="Normal"/>
    <w:uiPriority w:val="1"/>
    <w:qFormat/>
    <w:rsid w:val="007E3FDD"/>
    <w:pPr>
      <w:numPr>
        <w:numId w:val="39"/>
      </w:numPr>
      <w:spacing w:before="0" w:after="120"/>
    </w:pPr>
    <w:rPr>
      <w:rFonts w:eastAsia="Times New Roman"/>
      <w:color w:val="000000"/>
    </w:rPr>
  </w:style>
  <w:style w:type="character" w:customStyle="1" w:styleId="apple-converted-space">
    <w:name w:val="apple-converted-space"/>
    <w:basedOn w:val="DefaultParagraphFont"/>
    <w:rsid w:val="000F2AC6"/>
  </w:style>
  <w:style w:type="paragraph" w:customStyle="1" w:styleId="paragraph">
    <w:name w:val="paragraph"/>
    <w:basedOn w:val="Normal"/>
    <w:rsid w:val="00873A08"/>
    <w:pPr>
      <w:spacing w:before="40" w:after="0"/>
      <w:ind w:left="1644" w:hanging="1644"/>
    </w:pPr>
    <w:rPr>
      <w:rFonts w:ascii="Times New Roman" w:eastAsia="Times New Roman" w:hAnsi="Times New Roman"/>
      <w:color w:val="444444"/>
      <w:sz w:val="22"/>
      <w:szCs w:val="22"/>
    </w:rPr>
  </w:style>
  <w:style w:type="character" w:styleId="CommentReference">
    <w:name w:val="annotation reference"/>
    <w:basedOn w:val="DefaultParagraphFont"/>
    <w:locked/>
    <w:rsid w:val="0062170A"/>
    <w:rPr>
      <w:sz w:val="16"/>
      <w:szCs w:val="16"/>
    </w:rPr>
  </w:style>
  <w:style w:type="paragraph" w:styleId="CommentText">
    <w:name w:val="annotation text"/>
    <w:basedOn w:val="Normal"/>
    <w:link w:val="CommentTextChar"/>
    <w:locked/>
    <w:rsid w:val="0062170A"/>
    <w:rPr>
      <w:sz w:val="20"/>
      <w:szCs w:val="20"/>
    </w:rPr>
  </w:style>
  <w:style w:type="character" w:customStyle="1" w:styleId="CommentTextChar">
    <w:name w:val="Comment Text Char"/>
    <w:basedOn w:val="DefaultParagraphFont"/>
    <w:link w:val="CommentText"/>
    <w:rsid w:val="0062170A"/>
    <w:rPr>
      <w:rFonts w:ascii="Arial" w:eastAsia="MS Mincho" w:hAnsi="Arial"/>
    </w:rPr>
  </w:style>
  <w:style w:type="paragraph" w:styleId="CommentSubject">
    <w:name w:val="annotation subject"/>
    <w:basedOn w:val="CommentText"/>
    <w:next w:val="CommentText"/>
    <w:link w:val="CommentSubjectChar"/>
    <w:locked/>
    <w:rsid w:val="0062170A"/>
    <w:rPr>
      <w:b/>
      <w:bCs/>
    </w:rPr>
  </w:style>
  <w:style w:type="character" w:customStyle="1" w:styleId="CommentSubjectChar">
    <w:name w:val="Comment Subject Char"/>
    <w:basedOn w:val="CommentTextChar"/>
    <w:link w:val="CommentSubject"/>
    <w:rsid w:val="0062170A"/>
    <w:rPr>
      <w:rFonts w:ascii="Arial" w:eastAsia="MS Mincho"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4286">
      <w:bodyDiv w:val="1"/>
      <w:marLeft w:val="0"/>
      <w:marRight w:val="0"/>
      <w:marTop w:val="0"/>
      <w:marBottom w:val="0"/>
      <w:divBdr>
        <w:top w:val="none" w:sz="0" w:space="0" w:color="auto"/>
        <w:left w:val="none" w:sz="0" w:space="0" w:color="auto"/>
        <w:bottom w:val="none" w:sz="0" w:space="0" w:color="auto"/>
        <w:right w:val="none" w:sz="0" w:space="0" w:color="auto"/>
      </w:divBdr>
      <w:divsChild>
        <w:div w:id="2035185303">
          <w:marLeft w:val="0"/>
          <w:marRight w:val="0"/>
          <w:marTop w:val="0"/>
          <w:marBottom w:val="0"/>
          <w:divBdr>
            <w:top w:val="single" w:sz="6" w:space="8" w:color="B8B8B8"/>
            <w:left w:val="none" w:sz="0" w:space="0" w:color="auto"/>
            <w:bottom w:val="none" w:sz="0" w:space="0" w:color="auto"/>
            <w:right w:val="none" w:sz="0" w:space="0" w:color="auto"/>
          </w:divBdr>
          <w:divsChild>
            <w:div w:id="250507071">
              <w:marLeft w:val="2"/>
              <w:marRight w:val="2"/>
              <w:marTop w:val="0"/>
              <w:marBottom w:val="0"/>
              <w:divBdr>
                <w:top w:val="single" w:sz="6" w:space="8" w:color="CDCCD4"/>
                <w:left w:val="single" w:sz="6" w:space="8" w:color="CDCCD4"/>
                <w:bottom w:val="single" w:sz="6" w:space="8" w:color="CDCCD4"/>
                <w:right w:val="single" w:sz="6" w:space="4" w:color="CDCCD4"/>
              </w:divBdr>
              <w:divsChild>
                <w:div w:id="2052457276">
                  <w:marLeft w:val="0"/>
                  <w:marRight w:val="0"/>
                  <w:marTop w:val="75"/>
                  <w:marBottom w:val="75"/>
                  <w:divBdr>
                    <w:top w:val="single" w:sz="6" w:space="8" w:color="CCCCD4"/>
                    <w:left w:val="single" w:sz="6" w:space="8" w:color="CCCCD4"/>
                    <w:bottom w:val="single" w:sz="6" w:space="8" w:color="CCCCD4"/>
                    <w:right w:val="single" w:sz="6" w:space="8" w:color="CCCCD4"/>
                  </w:divBdr>
                  <w:divsChild>
                    <w:div w:id="447043503">
                      <w:marLeft w:val="0"/>
                      <w:marRight w:val="0"/>
                      <w:marTop w:val="0"/>
                      <w:marBottom w:val="0"/>
                      <w:divBdr>
                        <w:top w:val="none" w:sz="0" w:space="0" w:color="auto"/>
                        <w:left w:val="none" w:sz="0" w:space="0" w:color="auto"/>
                        <w:bottom w:val="none" w:sz="0" w:space="0" w:color="auto"/>
                        <w:right w:val="none" w:sz="0" w:space="0" w:color="auto"/>
                      </w:divBdr>
                      <w:divsChild>
                        <w:div w:id="247076933">
                          <w:marLeft w:val="0"/>
                          <w:marRight w:val="0"/>
                          <w:marTop w:val="0"/>
                          <w:marBottom w:val="0"/>
                          <w:divBdr>
                            <w:top w:val="none" w:sz="0" w:space="0" w:color="auto"/>
                            <w:left w:val="none" w:sz="0" w:space="0" w:color="auto"/>
                            <w:bottom w:val="none" w:sz="0" w:space="0" w:color="auto"/>
                            <w:right w:val="single" w:sz="6" w:space="0" w:color="CCCCD4"/>
                          </w:divBdr>
                          <w:divsChild>
                            <w:div w:id="1908952780">
                              <w:marLeft w:val="0"/>
                              <w:marRight w:val="0"/>
                              <w:marTop w:val="0"/>
                              <w:marBottom w:val="0"/>
                              <w:divBdr>
                                <w:top w:val="none" w:sz="0" w:space="0" w:color="auto"/>
                                <w:left w:val="none" w:sz="0" w:space="0" w:color="auto"/>
                                <w:bottom w:val="none" w:sz="0" w:space="0" w:color="auto"/>
                                <w:right w:val="none" w:sz="0" w:space="0" w:color="auto"/>
                              </w:divBdr>
                              <w:divsChild>
                                <w:div w:id="8620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40859688">
      <w:bodyDiv w:val="1"/>
      <w:marLeft w:val="0"/>
      <w:marRight w:val="0"/>
      <w:marTop w:val="0"/>
      <w:marBottom w:val="0"/>
      <w:divBdr>
        <w:top w:val="none" w:sz="0" w:space="0" w:color="auto"/>
        <w:left w:val="none" w:sz="0" w:space="0" w:color="auto"/>
        <w:bottom w:val="none" w:sz="0" w:space="0" w:color="auto"/>
        <w:right w:val="none" w:sz="0" w:space="0" w:color="auto"/>
      </w:divBdr>
    </w:div>
    <w:div w:id="1206795691">
      <w:bodyDiv w:val="1"/>
      <w:marLeft w:val="0"/>
      <w:marRight w:val="0"/>
      <w:marTop w:val="0"/>
      <w:marBottom w:val="0"/>
      <w:divBdr>
        <w:top w:val="none" w:sz="0" w:space="0" w:color="auto"/>
        <w:left w:val="none" w:sz="0" w:space="0" w:color="auto"/>
        <w:bottom w:val="none" w:sz="0" w:space="0" w:color="auto"/>
        <w:right w:val="none" w:sz="0" w:space="0" w:color="auto"/>
      </w:divBdr>
    </w:div>
    <w:div w:id="14773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8" Type="http://schemas.openxmlformats.org/officeDocument/2006/relationships/hyperlink" Target="http://www.aph.gov.au/Parliamentary_Business/Committees/Senate_Committees?url=legcon_ctte/completed_inquiries/2010-13/anti_discrimination_2012/report/index.htm" TargetMode="External"/><Relationship Id="rId3" Type="http://schemas.openxmlformats.org/officeDocument/2006/relationships/hyperlink" Target="http://deewr.gov.au/fair-work-act-review" TargetMode="External"/><Relationship Id="rId7" Type="http://schemas.openxmlformats.org/officeDocument/2006/relationships/hyperlink" Target="http://parlinfo.aph.gov.au/parlInfo/search/display/display.w3p;query=Id:%22committees/commsen/8eb3bdec-c603-4d2d-9564-674c7bd7b5c2/0000%22" TargetMode="External"/><Relationship Id="rId2" Type="http://schemas.openxmlformats.org/officeDocument/2006/relationships/hyperlink" Target="http://www.humanrights.gov.au/publications/investing-care-recognising-and-valuing-those-who-care" TargetMode="External"/><Relationship Id="rId1" Type="http://schemas.openxmlformats.org/officeDocument/2006/relationships/hyperlink" Target="http://humanrights.gov.au/legal/submissions/2012/20120312_fwa.html" TargetMode="External"/><Relationship Id="rId6" Type="http://schemas.openxmlformats.org/officeDocument/2006/relationships/hyperlink" Target="http://www.humanrights.gov.au/legal-research-and-resources-1" TargetMode="External"/><Relationship Id="rId5" Type="http://schemas.openxmlformats.org/officeDocument/2006/relationships/hyperlink" Target="http://www.humanrights.gov.au/submissions/consolidation-commonwealth-discrimination-law" TargetMode="External"/><Relationship Id="rId4" Type="http://schemas.openxmlformats.org/officeDocument/2006/relationships/hyperlink" Target="http://humanrights.gov.au/legal/submissions/2012/20120123_consolidation.html" TargetMode="External"/><Relationship Id="rId9" Type="http://schemas.openxmlformats.org/officeDocument/2006/relationships/hyperlink" Target="http://www.alrc.gov.au/publications/family-violence-and-commonwealth-laws-improving-legal-frameworks-alrc-report-1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F79D3-0D99-4A24-A1CC-08B79A81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8</TotalTime>
  <Pages>8</Pages>
  <Words>1822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12246</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Simone Cusack</dc:creator>
  <cp:lastModifiedBy>Alison Aggarwal</cp:lastModifiedBy>
  <cp:revision>9</cp:revision>
  <cp:lastPrinted>2013-04-17T23:04:00Z</cp:lastPrinted>
  <dcterms:created xsi:type="dcterms:W3CDTF">2013-04-16T00:52:00Z</dcterms:created>
  <dcterms:modified xsi:type="dcterms:W3CDTF">2013-04-17T23:04:00Z</dcterms:modified>
</cp:coreProperties>
</file>