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806B9" w14:textId="77777777" w:rsidR="00331013" w:rsidRDefault="00092C77" w:rsidP="001309CA">
      <w:pPr>
        <w:spacing w:before="360" w:after="0"/>
      </w:pPr>
      <w:r>
        <w:t xml:space="preserve"> </w:t>
      </w:r>
      <w:r w:rsidR="008906FF">
        <w:t>4 September 2015</w:t>
      </w:r>
    </w:p>
    <w:p w14:paraId="60D6D666" w14:textId="77777777" w:rsidR="009709E5" w:rsidRDefault="009709E5" w:rsidP="001309CA">
      <w:pPr>
        <w:spacing w:before="0" w:after="0"/>
      </w:pPr>
    </w:p>
    <w:p w14:paraId="2CEBF62D" w14:textId="77777777" w:rsidR="009709E5" w:rsidRDefault="009709E5" w:rsidP="001309CA">
      <w:pPr>
        <w:spacing w:before="0" w:after="0"/>
      </w:pPr>
    </w:p>
    <w:p w14:paraId="734FDE22" w14:textId="77777777" w:rsidR="00DC2F16" w:rsidRDefault="00DC2F16" w:rsidP="00DC2F16">
      <w:pPr>
        <w:spacing w:before="0" w:after="0"/>
        <w:jc w:val="both"/>
      </w:pPr>
      <w:r>
        <w:t>Committee Secretary</w:t>
      </w:r>
    </w:p>
    <w:p w14:paraId="5A09AA9F" w14:textId="77777777" w:rsidR="00DC2F16" w:rsidRDefault="00DC2F16" w:rsidP="00DC2F16">
      <w:pPr>
        <w:spacing w:before="0" w:after="0"/>
        <w:jc w:val="both"/>
      </w:pPr>
      <w:r>
        <w:t>Senate Legal and Constitutional Affairs Committee</w:t>
      </w:r>
    </w:p>
    <w:p w14:paraId="3FE381BC" w14:textId="77777777" w:rsidR="00DC2F16" w:rsidRDefault="00DC2F16" w:rsidP="00DC2F16">
      <w:pPr>
        <w:spacing w:before="0" w:after="0"/>
        <w:jc w:val="both"/>
      </w:pPr>
      <w:r>
        <w:t>PO Box 6100</w:t>
      </w:r>
    </w:p>
    <w:p w14:paraId="15F4D953" w14:textId="77777777" w:rsidR="00DC2F16" w:rsidRDefault="00DC2F16" w:rsidP="00DC2F16">
      <w:pPr>
        <w:spacing w:before="0" w:after="0"/>
        <w:jc w:val="both"/>
      </w:pPr>
      <w:r>
        <w:t>Parliament House</w:t>
      </w:r>
    </w:p>
    <w:p w14:paraId="6D41F853" w14:textId="77777777" w:rsidR="00DC2F16" w:rsidRDefault="00DC2F16" w:rsidP="00DC2F16">
      <w:pPr>
        <w:spacing w:before="0" w:after="0"/>
        <w:jc w:val="both"/>
      </w:pPr>
      <w:r>
        <w:t>Canberra ACT 2600</w:t>
      </w:r>
    </w:p>
    <w:p w14:paraId="16E08AAE" w14:textId="77777777" w:rsidR="00DC2F16" w:rsidRDefault="00DC2F16" w:rsidP="00DC2F16">
      <w:pPr>
        <w:spacing w:before="0" w:after="0"/>
        <w:jc w:val="both"/>
      </w:pPr>
      <w:r w:rsidRPr="003D40BA">
        <w:rPr>
          <w:i/>
        </w:rPr>
        <w:t>By email</w:t>
      </w:r>
      <w:r>
        <w:t xml:space="preserve">: </w:t>
      </w:r>
      <w:hyperlink r:id="rId8" w:history="1">
        <w:r w:rsidRPr="00FA10EA">
          <w:rPr>
            <w:rStyle w:val="Hyperlink"/>
          </w:rPr>
          <w:t>legcon.sen@aph.gov.au</w:t>
        </w:r>
      </w:hyperlink>
      <w:r>
        <w:t xml:space="preserve"> </w:t>
      </w:r>
    </w:p>
    <w:p w14:paraId="3F34F8DF" w14:textId="77777777" w:rsidR="00DC2F16" w:rsidRDefault="00DC2F16" w:rsidP="00DC2F16">
      <w:pPr>
        <w:spacing w:before="0" w:after="0"/>
        <w:jc w:val="both"/>
      </w:pPr>
    </w:p>
    <w:p w14:paraId="6E3C5DAC" w14:textId="77777777" w:rsidR="00DC2F16" w:rsidRDefault="00DC2F16" w:rsidP="00DC2F16">
      <w:pPr>
        <w:spacing w:before="0" w:after="0"/>
        <w:jc w:val="both"/>
      </w:pPr>
    </w:p>
    <w:p w14:paraId="1CE28772" w14:textId="77777777" w:rsidR="00DC2F16" w:rsidRDefault="00DC2F16" w:rsidP="00DC2F16">
      <w:pPr>
        <w:spacing w:before="0" w:after="0"/>
        <w:jc w:val="both"/>
      </w:pPr>
      <w:r>
        <w:t>Dear Committee Secretary,</w:t>
      </w:r>
    </w:p>
    <w:p w14:paraId="3972F2E9" w14:textId="77777777" w:rsidR="00DC2F16" w:rsidRDefault="00DC2F16" w:rsidP="00DC2F16">
      <w:pPr>
        <w:spacing w:before="0" w:after="0"/>
        <w:jc w:val="both"/>
      </w:pPr>
    </w:p>
    <w:p w14:paraId="09DDADF6" w14:textId="77777777" w:rsidR="00DC2F16" w:rsidRDefault="00DC2F16" w:rsidP="00DC2F16">
      <w:pPr>
        <w:spacing w:before="0" w:after="0"/>
        <w:jc w:val="both"/>
        <w:rPr>
          <w:b/>
        </w:rPr>
      </w:pPr>
      <w:bookmarkStart w:id="0" w:name="OLE_LINK2"/>
      <w:r>
        <w:rPr>
          <w:b/>
        </w:rPr>
        <w:t xml:space="preserve">Senate inquiry into the </w:t>
      </w:r>
      <w:bookmarkEnd w:id="0"/>
      <w:r w:rsidR="00636402" w:rsidRPr="00636402">
        <w:rPr>
          <w:b/>
        </w:rPr>
        <w:t>matter of a popular vote, in the form of a plebiscite or referendum, on the matter of marriage in Australia</w:t>
      </w:r>
    </w:p>
    <w:p w14:paraId="18677DA0" w14:textId="77777777" w:rsidR="00636402" w:rsidRDefault="00636402" w:rsidP="00DC2F16">
      <w:pPr>
        <w:spacing w:before="0" w:after="0"/>
        <w:jc w:val="both"/>
      </w:pPr>
    </w:p>
    <w:p w14:paraId="554B32FF" w14:textId="77777777" w:rsidR="00DC2F16" w:rsidRDefault="00DC2F16" w:rsidP="00DC2F16">
      <w:pPr>
        <w:spacing w:before="0" w:after="0"/>
        <w:jc w:val="both"/>
      </w:pPr>
      <w:r>
        <w:t>T</w:t>
      </w:r>
      <w:r w:rsidR="00295336">
        <w:t xml:space="preserve">hank you for the </w:t>
      </w:r>
      <w:r w:rsidR="002174C2">
        <w:t xml:space="preserve">opportunity to make a submission to the Senate Legal and Constitutional Affairs Committee on </w:t>
      </w:r>
      <w:r w:rsidR="00636402">
        <w:t>this matter</w:t>
      </w:r>
      <w:r>
        <w:t>.</w:t>
      </w:r>
      <w:r w:rsidR="00295336">
        <w:t xml:space="preserve"> </w:t>
      </w:r>
    </w:p>
    <w:p w14:paraId="40F0529A" w14:textId="77777777" w:rsidR="008906FF" w:rsidRDefault="008906FF" w:rsidP="00DC2F16">
      <w:pPr>
        <w:spacing w:before="0" w:after="0"/>
        <w:jc w:val="both"/>
      </w:pPr>
    </w:p>
    <w:p w14:paraId="5E9DC259" w14:textId="4000D528" w:rsidR="008906FF" w:rsidRDefault="008906FF" w:rsidP="008906FF">
      <w:pPr>
        <w:spacing w:before="0" w:after="0"/>
        <w:jc w:val="both"/>
      </w:pPr>
      <w:r>
        <w:t>The Commission has limited this submission to terms of reference (</w:t>
      </w:r>
      <w:r w:rsidR="002E34AE">
        <w:t>a</w:t>
      </w:r>
      <w:r>
        <w:t>) and (d).</w:t>
      </w:r>
    </w:p>
    <w:p w14:paraId="6535B974" w14:textId="77777777" w:rsidR="008906FF" w:rsidRDefault="008906FF" w:rsidP="008906FF">
      <w:pPr>
        <w:spacing w:before="0" w:after="0"/>
        <w:jc w:val="both"/>
      </w:pPr>
    </w:p>
    <w:p w14:paraId="59189146" w14:textId="7FCFB852" w:rsidR="008906FF" w:rsidRDefault="008906FF" w:rsidP="008906FF">
      <w:pPr>
        <w:spacing w:before="0" w:after="0"/>
      </w:pPr>
      <w:r w:rsidRPr="008906FF">
        <w:t xml:space="preserve">The Commission is on record in support of </w:t>
      </w:r>
      <w:r w:rsidR="006602F6">
        <w:t>same-sex couples being able to access civil marriage</w:t>
      </w:r>
      <w:r w:rsidRPr="008906FF">
        <w:t>.</w:t>
      </w:r>
      <w:r>
        <w:rPr>
          <w:rStyle w:val="EndnoteReference"/>
        </w:rPr>
        <w:endnoteReference w:id="1"/>
      </w:r>
      <w:r w:rsidRPr="008906FF">
        <w:t xml:space="preserve"> Article 26 of the International Covenant on Civil and Political Rights states that all people ‘are equal before the law and are entitled without any discrimination to the equal protection of the law’.</w:t>
      </w:r>
      <w:r w:rsidRPr="007121BF">
        <w:rPr>
          <w:rStyle w:val="EndnoteReference"/>
        </w:rPr>
        <w:endnoteReference w:id="2"/>
      </w:r>
      <w:r w:rsidRPr="007121BF">
        <w:rPr>
          <w:rStyle w:val="EndnoteReference"/>
        </w:rPr>
        <w:t xml:space="preserve"> </w:t>
      </w:r>
      <w:r w:rsidRPr="008906FF">
        <w:t>The Commission reaffirms that equality before the law requires that if civil marriage is available</w:t>
      </w:r>
      <w:r w:rsidR="00497597">
        <w:t>,</w:t>
      </w:r>
      <w:r w:rsidRPr="008906FF">
        <w:t xml:space="preserve"> it must be available, without discrimination, to all couples, regardless of sex, sexual orientation or gender identity. </w:t>
      </w:r>
    </w:p>
    <w:p w14:paraId="1E8A071E" w14:textId="77777777" w:rsidR="008906FF" w:rsidRPr="008906FF" w:rsidRDefault="008906FF" w:rsidP="008906FF">
      <w:pPr>
        <w:spacing w:before="0" w:after="0"/>
      </w:pPr>
    </w:p>
    <w:p w14:paraId="303FD7D3" w14:textId="77777777" w:rsidR="00180145" w:rsidRDefault="008906FF" w:rsidP="001309CA">
      <w:pPr>
        <w:spacing w:before="0" w:after="0"/>
      </w:pPr>
      <w:r w:rsidRPr="008906FF">
        <w:t xml:space="preserve">The Commission notes that achieving equality before the law should be balanced with the right to freedom of religion. </w:t>
      </w:r>
      <w:r w:rsidR="006602F6">
        <w:t xml:space="preserve">Constitutionally, the Australian government must be secular with the purpose of preserving freedom of religion for all, including the freedom of those without religion. </w:t>
      </w:r>
      <w:r w:rsidR="006C5A50">
        <w:t>F</w:t>
      </w:r>
      <w:r w:rsidRPr="008906FF">
        <w:t xml:space="preserve">reedom of religion is </w:t>
      </w:r>
      <w:r w:rsidR="006C5A50">
        <w:t>not an absolute right and</w:t>
      </w:r>
      <w:r w:rsidRPr="008906FF">
        <w:t xml:space="preserve"> </w:t>
      </w:r>
      <w:r w:rsidR="00FC2049">
        <w:t>can</w:t>
      </w:r>
      <w:r w:rsidR="006C5A50">
        <w:t xml:space="preserve"> appropriately</w:t>
      </w:r>
      <w:r w:rsidRPr="008906FF">
        <w:t xml:space="preserve"> be limited in certain circumstances.</w:t>
      </w:r>
      <w:r w:rsidRPr="007121BF">
        <w:rPr>
          <w:rStyle w:val="EndnoteReference"/>
        </w:rPr>
        <w:endnoteReference w:id="3"/>
      </w:r>
      <w:r w:rsidRPr="008906FF">
        <w:t xml:space="preserve"> </w:t>
      </w:r>
      <w:r w:rsidR="00180145" w:rsidRPr="00572914">
        <w:t xml:space="preserve">The Commission recognises that </w:t>
      </w:r>
      <w:r w:rsidR="00180145">
        <w:t xml:space="preserve">a nuanced approach </w:t>
      </w:r>
      <w:r w:rsidR="00ED588C">
        <w:t xml:space="preserve">is required to balance these rights in competing circumstances. </w:t>
      </w:r>
    </w:p>
    <w:p w14:paraId="1C478FE6" w14:textId="77777777" w:rsidR="00180145" w:rsidRDefault="00180145" w:rsidP="001309CA">
      <w:pPr>
        <w:spacing w:before="0" w:after="0"/>
      </w:pPr>
    </w:p>
    <w:p w14:paraId="29588355" w14:textId="40414AB0" w:rsidR="000F7A62" w:rsidRDefault="00180145" w:rsidP="00F13B7D">
      <w:pPr>
        <w:spacing w:before="0" w:after="0"/>
      </w:pPr>
      <w:r>
        <w:t>Referend</w:t>
      </w:r>
      <w:r w:rsidR="00FC2049">
        <w:t>a</w:t>
      </w:r>
      <w:r>
        <w:t xml:space="preserve"> in Australia are only required to amend the Constitution. Section 51 (xxi) of the Constitution provides that Federal Parliament has powers to legislate with respect to marriage. Parliament has been regulating marriage and the definition of marriage through the </w:t>
      </w:r>
      <w:r w:rsidRPr="002A2874">
        <w:t>Marriage Act</w:t>
      </w:r>
      <w:r>
        <w:t>.</w:t>
      </w:r>
      <w:r>
        <w:rPr>
          <w:rStyle w:val="EndnoteReference"/>
        </w:rPr>
        <w:endnoteReference w:id="4"/>
      </w:r>
      <w:r>
        <w:t xml:space="preserve"> The High Court in </w:t>
      </w:r>
      <w:r w:rsidRPr="003F7CD7">
        <w:rPr>
          <w:i/>
        </w:rPr>
        <w:t>The Commonwealth of Australia v The Australian Capital Territory</w:t>
      </w:r>
      <w:r>
        <w:t>, ruled that Federal Parliament has the power under the Constitution to legislate in respect to same-sex marriage.</w:t>
      </w:r>
      <w:r>
        <w:rPr>
          <w:rStyle w:val="EndnoteReference"/>
        </w:rPr>
        <w:endnoteReference w:id="5"/>
      </w:r>
      <w:r>
        <w:t xml:space="preserve"> </w:t>
      </w:r>
      <w:r w:rsidR="00ED588C">
        <w:t>T</w:t>
      </w:r>
      <w:r>
        <w:t xml:space="preserve">here is </w:t>
      </w:r>
      <w:r>
        <w:lastRenderedPageBreak/>
        <w:t xml:space="preserve">no legal </w:t>
      </w:r>
      <w:r w:rsidR="00ED588C">
        <w:t>impediment to the federal Parliament</w:t>
      </w:r>
      <w:r>
        <w:t xml:space="preserve"> </w:t>
      </w:r>
      <w:r w:rsidR="00ED588C">
        <w:t>amending</w:t>
      </w:r>
      <w:r>
        <w:t xml:space="preserve"> the </w:t>
      </w:r>
      <w:r w:rsidR="002B6C57">
        <w:t>Marriage Act under its existing constitutional powers.</w:t>
      </w:r>
      <w:r w:rsidR="007C5F8D">
        <w:t xml:space="preserve"> </w:t>
      </w:r>
      <w:r w:rsidR="000F7A62">
        <w:t xml:space="preserve">If the intention of the Parliament is to consider an amendment to section 51 (xxi) it is unlikely to resolve the substantive issue at hand. </w:t>
      </w:r>
      <w:r w:rsidR="001511FA">
        <w:t>Broadly speaking, it appears that t</w:t>
      </w:r>
      <w:r w:rsidR="000F7A62">
        <w:t>here are four possible scenarios:</w:t>
      </w:r>
      <w:r w:rsidR="007C5F8D">
        <w:br/>
      </w:r>
    </w:p>
    <w:p w14:paraId="43B3173D" w14:textId="23DB2BBD" w:rsidR="000F7A62" w:rsidRDefault="000F7A62" w:rsidP="000F7A62">
      <w:pPr>
        <w:pStyle w:val="ListParagraph"/>
        <w:numPr>
          <w:ilvl w:val="0"/>
          <w:numId w:val="32"/>
        </w:numPr>
        <w:spacing w:before="0" w:after="0"/>
      </w:pPr>
      <w:r>
        <w:t>A question is put to define marriage</w:t>
      </w:r>
      <w:r w:rsidR="00B345C6">
        <w:t>, for the purposes of section 51 (xxi),</w:t>
      </w:r>
      <w:r>
        <w:t xml:space="preserve"> as a union of “two people</w:t>
      </w:r>
      <w:r w:rsidR="00145995">
        <w:t xml:space="preserve"> (including two people of the same sex)</w:t>
      </w:r>
      <w:r>
        <w:t>” and is successful: the result would still leave the Parliament able to legislate marriage for same-sex couples.</w:t>
      </w:r>
      <w:r w:rsidR="007C5F8D">
        <w:br/>
      </w:r>
    </w:p>
    <w:p w14:paraId="488F6450" w14:textId="2A29B76C" w:rsidR="000F7A62" w:rsidRDefault="000F7A62" w:rsidP="000F7A62">
      <w:pPr>
        <w:pStyle w:val="ListParagraph"/>
        <w:numPr>
          <w:ilvl w:val="0"/>
          <w:numId w:val="32"/>
        </w:numPr>
        <w:spacing w:before="0" w:after="0"/>
      </w:pPr>
      <w:r>
        <w:t>A question is put to define marriage as a union of “two people” and is unsuccessful: the result would still leave the Parliament able to legislate under its existing constitutional powers marriage for same-sex couples.</w:t>
      </w:r>
      <w:r w:rsidR="007C5F8D">
        <w:br/>
      </w:r>
    </w:p>
    <w:p w14:paraId="40083325" w14:textId="1D6E61D5" w:rsidR="000F7A62" w:rsidRDefault="000F7A62" w:rsidP="000F7A62">
      <w:pPr>
        <w:pStyle w:val="ListParagraph"/>
        <w:numPr>
          <w:ilvl w:val="0"/>
          <w:numId w:val="32"/>
        </w:numPr>
        <w:spacing w:before="0" w:after="0"/>
      </w:pPr>
      <w:r>
        <w:t>A question is put to define marriage as a union between a “man and a woman” and is unsuccessful: the result would still leave the Parliament able to legislate under its existing constitutional powers marriage for same-sex couples.</w:t>
      </w:r>
      <w:r w:rsidR="007C5F8D">
        <w:br/>
      </w:r>
    </w:p>
    <w:p w14:paraId="159EE35E" w14:textId="51CDFF56" w:rsidR="00BF7BD4" w:rsidRDefault="000F7A62" w:rsidP="00BF7BD4">
      <w:pPr>
        <w:pStyle w:val="ListParagraph"/>
        <w:numPr>
          <w:ilvl w:val="0"/>
          <w:numId w:val="32"/>
        </w:numPr>
        <w:spacing w:before="0" w:after="0"/>
      </w:pPr>
      <w:r>
        <w:t xml:space="preserve">A question is put to define marriage as a union between a “man and a woman” and is successful: the </w:t>
      </w:r>
      <w:r w:rsidR="000B75A6">
        <w:t xml:space="preserve">practical </w:t>
      </w:r>
      <w:r>
        <w:t xml:space="preserve">result </w:t>
      </w:r>
      <w:r w:rsidR="001511FA">
        <w:t xml:space="preserve">would be less </w:t>
      </w:r>
      <w:r w:rsidR="00F305CD">
        <w:t>certain</w:t>
      </w:r>
      <w:r w:rsidR="001511FA">
        <w:t xml:space="preserve">. State Parliaments would retain the constitutional power to legislate with respect to same-sex </w:t>
      </w:r>
      <w:r w:rsidR="000B75A6">
        <w:t>relationships</w:t>
      </w:r>
      <w:r w:rsidR="001511FA">
        <w:t xml:space="preserve">. </w:t>
      </w:r>
      <w:r w:rsidR="004E29A3">
        <w:t xml:space="preserve">It would be arguable whether any </w:t>
      </w:r>
      <w:r w:rsidR="000B75A6">
        <w:t>State legislation relating to same-sex marriages</w:t>
      </w:r>
      <w:r w:rsidR="004E29A3">
        <w:t xml:space="preserve"> would </w:t>
      </w:r>
      <w:r w:rsidR="00B40637">
        <w:t>impair, alter or detract from the</w:t>
      </w:r>
      <w:r w:rsidR="004E29A3">
        <w:t xml:space="preserve"> Commonwealth Marriage Act in its current form.</w:t>
      </w:r>
      <w:r w:rsidR="00B345C6">
        <w:rPr>
          <w:rStyle w:val="EndnoteReference"/>
        </w:rPr>
        <w:endnoteReference w:id="6"/>
      </w:r>
      <w:r w:rsidR="004E29A3">
        <w:t xml:space="preserve"> States would be likely to have the power to legislate an equivalent status for same-sex couples, but a same-sex marriage would have a different legal status from a marriage under the Marriage Act.  </w:t>
      </w:r>
    </w:p>
    <w:p w14:paraId="0B854739" w14:textId="77777777" w:rsidR="00BF7BD4" w:rsidRDefault="00BF7BD4" w:rsidP="007C5F8D">
      <w:pPr>
        <w:spacing w:before="0" w:after="0"/>
      </w:pPr>
    </w:p>
    <w:p w14:paraId="130A006B" w14:textId="7283FAAB" w:rsidR="00BF7BD4" w:rsidRDefault="00BF7BD4" w:rsidP="007C5F8D">
      <w:pPr>
        <w:spacing w:before="0" w:after="0"/>
      </w:pPr>
      <w:r>
        <w:t>In all scenarios a Parliament in Australia would be left with the Constitutional capacity to legislate marriage</w:t>
      </w:r>
      <w:r w:rsidR="000B75A6">
        <w:t xml:space="preserve"> or an equivalent status </w:t>
      </w:r>
      <w:r>
        <w:t xml:space="preserve">for same-sex couples. And the fourth </w:t>
      </w:r>
      <w:r w:rsidR="009B109B">
        <w:t>scenario</w:t>
      </w:r>
      <w:r>
        <w:t xml:space="preserve"> would raise questions about recognition of those marriages between different jurisdictions. </w:t>
      </w:r>
    </w:p>
    <w:p w14:paraId="01BED0E2" w14:textId="77777777" w:rsidR="00E672A0" w:rsidRDefault="00E672A0" w:rsidP="001309CA">
      <w:pPr>
        <w:spacing w:before="0" w:after="0"/>
      </w:pPr>
    </w:p>
    <w:p w14:paraId="10601092" w14:textId="77777777" w:rsidR="002B6C57" w:rsidRDefault="002B6C57" w:rsidP="001309CA">
      <w:pPr>
        <w:spacing w:before="0" w:after="0"/>
      </w:pPr>
      <w:r>
        <w:t xml:space="preserve">Further, it is unlikely that any change to section 51(xxi) of the Constitution could appropriately </w:t>
      </w:r>
      <w:r w:rsidR="00384A55">
        <w:t>reflect</w:t>
      </w:r>
      <w:r>
        <w:t xml:space="preserve"> the balanced, nuanced approach required to ensure that freedom of religion is appropriately recognised in any marriage reform. This balancing is more appropriately achieved through legislation, and possibly delegated legislative instruments, to ensure sufficient flexibility to change arrangements</w:t>
      </w:r>
      <w:r w:rsidR="00384A55">
        <w:t xml:space="preserve"> should circumstances require it. </w:t>
      </w:r>
    </w:p>
    <w:p w14:paraId="506879CC" w14:textId="77777777" w:rsidR="009B109B" w:rsidRDefault="009B109B" w:rsidP="001309CA">
      <w:pPr>
        <w:spacing w:before="0" w:after="0"/>
      </w:pPr>
    </w:p>
    <w:p w14:paraId="53155FE6" w14:textId="3C86E407" w:rsidR="009B109B" w:rsidRDefault="009B109B" w:rsidP="001309CA">
      <w:pPr>
        <w:spacing w:before="0" w:after="0"/>
      </w:pPr>
      <w:r>
        <w:t>Without a balanced and nuanced legislative resolution there could be significant consequences for religious freedom from a Constitutional definition of marriage. A Constitutional definition could create inconsistencies between legal and religious definitions and impact on the freedom of religious institutions that receive public money to define their meaning of marriage.</w:t>
      </w:r>
    </w:p>
    <w:p w14:paraId="760CDDC2" w14:textId="77777777" w:rsidR="002B6C57" w:rsidRDefault="002B6C57" w:rsidP="001309CA">
      <w:pPr>
        <w:spacing w:before="0" w:after="0"/>
      </w:pPr>
    </w:p>
    <w:p w14:paraId="66A44832" w14:textId="2F255619" w:rsidR="00180145" w:rsidRDefault="00F13B7D" w:rsidP="00F13B7D">
      <w:pPr>
        <w:spacing w:before="0" w:after="0"/>
      </w:pPr>
      <w:r>
        <w:t xml:space="preserve">The Commission does not support a referendum as it </w:t>
      </w:r>
      <w:r w:rsidR="00180145">
        <w:t xml:space="preserve">is </w:t>
      </w:r>
      <w:r w:rsidR="009B109B">
        <w:t>an in</w:t>
      </w:r>
      <w:r w:rsidR="00180145">
        <w:t>appropriate method of addressing matters relating to marriage</w:t>
      </w:r>
      <w:r w:rsidR="009B109B">
        <w:t xml:space="preserve"> and risks compromising both equality before the law and freedom of religion for all Australians</w:t>
      </w:r>
      <w:r w:rsidR="00180145">
        <w:t>.</w:t>
      </w:r>
    </w:p>
    <w:p w14:paraId="47729595" w14:textId="77777777" w:rsidR="00180145" w:rsidRDefault="00180145" w:rsidP="001309CA">
      <w:pPr>
        <w:spacing w:before="0" w:after="0"/>
      </w:pPr>
    </w:p>
    <w:p w14:paraId="11E152CB" w14:textId="77777777" w:rsidR="00572914" w:rsidRDefault="00180145" w:rsidP="001309CA">
      <w:pPr>
        <w:spacing w:before="0" w:after="0"/>
      </w:pPr>
      <w:r>
        <w:lastRenderedPageBreak/>
        <w:t xml:space="preserve">A national plebiscite is a non-binding popular vote. The Commission notes that any plebiscite proposal requires a bill to be passed by Parliament. As such Parliament has discretion with regards to the form and manner of a plebiscite. </w:t>
      </w:r>
    </w:p>
    <w:p w14:paraId="0C31EB2C" w14:textId="77777777" w:rsidR="00572914" w:rsidRDefault="00572914" w:rsidP="001309CA">
      <w:pPr>
        <w:spacing w:before="0" w:after="0"/>
      </w:pPr>
    </w:p>
    <w:p w14:paraId="7217BE03" w14:textId="77777777" w:rsidR="006B4F27" w:rsidRDefault="00572914" w:rsidP="00E35781">
      <w:pPr>
        <w:spacing w:before="0" w:after="0"/>
      </w:pPr>
      <w:r>
        <w:t xml:space="preserve">The outcome of a plebiscite is limited in its ability to assist in the complex process of reforming the </w:t>
      </w:r>
      <w:r w:rsidR="00CB258C">
        <w:t xml:space="preserve">Marriage </w:t>
      </w:r>
      <w:r>
        <w:t xml:space="preserve">Act. </w:t>
      </w:r>
      <w:r w:rsidR="00FC2049">
        <w:t>T</w:t>
      </w:r>
      <w:r>
        <w:t>he</w:t>
      </w:r>
      <w:r w:rsidR="00180145">
        <w:t xml:space="preserve"> lack of </w:t>
      </w:r>
      <w:r w:rsidR="00180145" w:rsidRPr="00326236">
        <w:t xml:space="preserve">regulation on </w:t>
      </w:r>
      <w:r w:rsidR="00180145">
        <w:t xml:space="preserve">the conduct </w:t>
      </w:r>
      <w:r w:rsidR="00B5098A">
        <w:t xml:space="preserve">and outcome </w:t>
      </w:r>
      <w:r w:rsidR="00180145">
        <w:t>of</w:t>
      </w:r>
      <w:r w:rsidR="00180145" w:rsidRPr="00326236">
        <w:t xml:space="preserve"> a plebiscite, </w:t>
      </w:r>
      <w:r w:rsidR="00180145">
        <w:t xml:space="preserve">raises concerns regarding the exact wording of any proposal and the threshold test for a vote to be considered a success. </w:t>
      </w:r>
      <w:r w:rsidR="006B4F27">
        <w:t>W</w:t>
      </w:r>
      <w:r>
        <w:t xml:space="preserve">ithout legal force </w:t>
      </w:r>
      <w:r w:rsidR="00B5098A">
        <w:t xml:space="preserve">a plebiscite is an unreliable method for establishing a clear </w:t>
      </w:r>
      <w:r>
        <w:t>mandate</w:t>
      </w:r>
      <w:r w:rsidR="00B5098A">
        <w:t xml:space="preserve"> for legislative change. </w:t>
      </w:r>
    </w:p>
    <w:p w14:paraId="13E180CA" w14:textId="77777777" w:rsidR="006B4F27" w:rsidRDefault="006B4F27" w:rsidP="00E35781">
      <w:pPr>
        <w:spacing w:before="0" w:after="0"/>
      </w:pPr>
    </w:p>
    <w:p w14:paraId="4D16770F" w14:textId="77777777" w:rsidR="00E35781" w:rsidRDefault="006B4F27" w:rsidP="00E35781">
      <w:pPr>
        <w:spacing w:before="0" w:after="0"/>
      </w:pPr>
      <w:r>
        <w:t>In view of this, t</w:t>
      </w:r>
      <w:r w:rsidR="00E35781">
        <w:t xml:space="preserve">he </w:t>
      </w:r>
      <w:r>
        <w:t>C</w:t>
      </w:r>
      <w:r w:rsidR="00E35781">
        <w:t>ommission submits that a plebiscite is not an appropriate method of addressing matters relating to marriage.</w:t>
      </w:r>
    </w:p>
    <w:p w14:paraId="71E264B2" w14:textId="77777777" w:rsidR="00E35781" w:rsidRDefault="00E35781" w:rsidP="001309CA">
      <w:pPr>
        <w:spacing w:before="0" w:after="0"/>
      </w:pPr>
    </w:p>
    <w:p w14:paraId="153DF03C" w14:textId="3CAF5E67" w:rsidR="0083703F" w:rsidRDefault="0083703F" w:rsidP="00DC30AD">
      <w:pPr>
        <w:spacing w:before="0" w:after="0"/>
      </w:pPr>
      <w:r>
        <w:t xml:space="preserve">Public votes are not an appropriate way to resolve issues of fundamental rights. It is not an appropriate instrument to resolve issues of equality before the law. Nor is it an appropriate instrument to resolve issues of religious freedom. </w:t>
      </w:r>
    </w:p>
    <w:p w14:paraId="0435F31C" w14:textId="77777777" w:rsidR="0083703F" w:rsidRDefault="0083703F" w:rsidP="00DC30AD">
      <w:pPr>
        <w:spacing w:before="0" w:after="0"/>
      </w:pPr>
    </w:p>
    <w:p w14:paraId="24BC2D53" w14:textId="77777777" w:rsidR="0083703F" w:rsidRDefault="0083703F" w:rsidP="00DC30AD">
      <w:pPr>
        <w:spacing w:before="0" w:after="0"/>
      </w:pPr>
      <w:r>
        <w:t xml:space="preserve">The Constitution gives the power to resolve these issues to the Parliament for a reason. On the substantive matter, it is not appropriate that the Australian population is given </w:t>
      </w:r>
      <w:r w:rsidR="004053E5">
        <w:t>a</w:t>
      </w:r>
      <w:r>
        <w:t xml:space="preserve"> vote on the legal standing of the relationships of </w:t>
      </w:r>
      <w:r w:rsidR="004053E5">
        <w:t>same-sex attracted</w:t>
      </w:r>
      <w:r>
        <w:t xml:space="preserve"> Australians</w:t>
      </w:r>
      <w:r w:rsidR="004053E5">
        <w:t xml:space="preserve"> any more than it would be for </w:t>
      </w:r>
      <w:r w:rsidR="00C107E2">
        <w:t xml:space="preserve">the Australian population to vote on the legal standing of </w:t>
      </w:r>
      <w:r w:rsidR="004053E5">
        <w:t>opposite-sex attracted Australians</w:t>
      </w:r>
      <w:r>
        <w:t xml:space="preserve">. </w:t>
      </w:r>
    </w:p>
    <w:p w14:paraId="62238CD0" w14:textId="77777777" w:rsidR="008417EB" w:rsidRDefault="008417EB" w:rsidP="00DC30AD">
      <w:pPr>
        <w:spacing w:before="0" w:after="0"/>
      </w:pPr>
    </w:p>
    <w:p w14:paraId="08DDE23B" w14:textId="77777777" w:rsidR="008417EB" w:rsidRDefault="008417EB" w:rsidP="00DC30AD">
      <w:pPr>
        <w:spacing w:before="0" w:after="0"/>
      </w:pPr>
      <w:r>
        <w:t>Unless it is constitutionally required, Australia does not have a history of resolving issues of rights through public votes. The Constitution correctly gives the Parliament responsibility for these issues.</w:t>
      </w:r>
    </w:p>
    <w:p w14:paraId="433C9CAB" w14:textId="77777777" w:rsidR="004053E5" w:rsidRDefault="004053E5" w:rsidP="00DC30AD">
      <w:pPr>
        <w:spacing w:before="0" w:after="0"/>
      </w:pPr>
    </w:p>
    <w:p w14:paraId="07531E8C" w14:textId="77777777" w:rsidR="004053E5" w:rsidRDefault="004053E5" w:rsidP="00DC30AD">
      <w:pPr>
        <w:spacing w:before="0" w:after="0"/>
      </w:pPr>
      <w:r>
        <w:t xml:space="preserve">Issues of rights are not best resolved through a public vote. They are best resolved by responsible government. </w:t>
      </w:r>
    </w:p>
    <w:p w14:paraId="1AC78CD8" w14:textId="77777777" w:rsidR="0083703F" w:rsidRDefault="0083703F" w:rsidP="00DC30AD">
      <w:pPr>
        <w:spacing w:before="0" w:after="0"/>
      </w:pPr>
    </w:p>
    <w:p w14:paraId="747305D8" w14:textId="77777777" w:rsidR="00EC08FF" w:rsidRDefault="0083703F" w:rsidP="00DC30AD">
      <w:pPr>
        <w:spacing w:before="0" w:after="0"/>
      </w:pPr>
      <w:r>
        <w:t>The resolution to this debate should be through calm, considered, nuanced and reasoned consideration of the</w:t>
      </w:r>
      <w:r w:rsidR="00CF03AE">
        <w:t xml:space="preserve"> implications of the</w:t>
      </w:r>
      <w:r>
        <w:t xml:space="preserve"> rights and freedoms</w:t>
      </w:r>
      <w:r w:rsidR="00EC08FF">
        <w:t xml:space="preserve"> of all Australians. </w:t>
      </w:r>
    </w:p>
    <w:p w14:paraId="7BB42554" w14:textId="77777777" w:rsidR="004053E5" w:rsidRDefault="004053E5" w:rsidP="00DC30AD">
      <w:pPr>
        <w:spacing w:before="0" w:after="0"/>
      </w:pPr>
    </w:p>
    <w:p w14:paraId="4908FD14" w14:textId="77777777" w:rsidR="004053E5" w:rsidRDefault="004053E5" w:rsidP="00DC30AD">
      <w:pPr>
        <w:spacing w:before="0" w:after="0"/>
      </w:pPr>
      <w:r>
        <w:t xml:space="preserve">A public vote will do nothing to resolve </w:t>
      </w:r>
      <w:r w:rsidR="00CF03AE">
        <w:t>the substantive issue</w:t>
      </w:r>
      <w:r>
        <w:t xml:space="preserve"> in a way that unites Australians</w:t>
      </w:r>
      <w:r w:rsidR="00C107E2">
        <w:t xml:space="preserve"> and takes the country forward together with a proper respect for the rights and freedoms of all</w:t>
      </w:r>
      <w:r>
        <w:t xml:space="preserve">. </w:t>
      </w:r>
    </w:p>
    <w:p w14:paraId="78E1C1F4" w14:textId="77777777" w:rsidR="00EC08FF" w:rsidRDefault="00EC08FF" w:rsidP="00DC30AD">
      <w:pPr>
        <w:spacing w:before="0" w:after="0"/>
      </w:pPr>
    </w:p>
    <w:p w14:paraId="664B8AE8" w14:textId="77777777" w:rsidR="00DC2F16" w:rsidRDefault="00DC2F16" w:rsidP="00DC2F16">
      <w:pPr>
        <w:spacing w:before="0" w:after="0"/>
        <w:jc w:val="both"/>
      </w:pPr>
      <w:r>
        <w:t xml:space="preserve">I hope this submission assists in your consideration of </w:t>
      </w:r>
      <w:r w:rsidR="00545464">
        <w:t>this important issue</w:t>
      </w:r>
      <w:r>
        <w:t>.</w:t>
      </w:r>
      <w:r w:rsidR="006B4F27">
        <w:t xml:space="preserve"> </w:t>
      </w:r>
    </w:p>
    <w:p w14:paraId="7B1CD6E5" w14:textId="77777777" w:rsidR="00CF16D6" w:rsidRDefault="00CF16D6" w:rsidP="00DC2F16">
      <w:pPr>
        <w:spacing w:before="0" w:after="0"/>
        <w:jc w:val="both"/>
      </w:pPr>
    </w:p>
    <w:p w14:paraId="1C6D0F9F" w14:textId="63D11C7D" w:rsidR="00CF16D6" w:rsidRDefault="00CF16D6" w:rsidP="001B1CC2">
      <w:pPr>
        <w:spacing w:before="0" w:after="0"/>
      </w:pPr>
      <w:r w:rsidRPr="006905F7">
        <w:t>Please do not hesitate to contact the Commission should you have any queries about this submission.</w:t>
      </w:r>
    </w:p>
    <w:p w14:paraId="1EFD0721" w14:textId="77777777" w:rsidR="00DC2F16" w:rsidRDefault="00DC2F16" w:rsidP="001309CA">
      <w:pPr>
        <w:spacing w:before="0" w:after="0"/>
      </w:pPr>
    </w:p>
    <w:p w14:paraId="26B300A7" w14:textId="77777777" w:rsidR="00663E6F" w:rsidRDefault="00663E6F" w:rsidP="001309CA">
      <w:pPr>
        <w:keepNext/>
        <w:spacing w:before="0" w:after="0"/>
      </w:pPr>
    </w:p>
    <w:p w14:paraId="4FD548E1" w14:textId="77777777" w:rsidR="001B1CC2" w:rsidRDefault="001B1CC2">
      <w:pPr>
        <w:spacing w:before="0" w:after="0"/>
      </w:pPr>
      <w:r>
        <w:br w:type="page"/>
      </w:r>
    </w:p>
    <w:p w14:paraId="6C073196" w14:textId="683EE49D" w:rsidR="002D0C4F" w:rsidRDefault="006E2FE7" w:rsidP="00FC15DC">
      <w:pPr>
        <w:spacing w:before="0" w:after="0"/>
      </w:pPr>
      <w:r>
        <w:lastRenderedPageBreak/>
        <w:t>Yours sincerely</w:t>
      </w:r>
    </w:p>
    <w:p w14:paraId="6B0634F6" w14:textId="77777777" w:rsidR="00A4438B" w:rsidRDefault="00A4438B" w:rsidP="001309CA">
      <w:pPr>
        <w:spacing w:before="0" w:after="0"/>
      </w:pPr>
    </w:p>
    <w:p w14:paraId="00711572" w14:textId="77777777" w:rsidR="00FC15DC" w:rsidRDefault="00FC15DC" w:rsidP="001309CA">
      <w:pPr>
        <w:pStyle w:val="AddressBlock"/>
        <w:spacing w:before="0"/>
      </w:pPr>
      <w:bookmarkStart w:id="1" w:name="OLE_LINK1"/>
    </w:p>
    <w:p w14:paraId="0D506300" w14:textId="77777777" w:rsidR="00FC15DC" w:rsidRDefault="00FC15DC" w:rsidP="001309CA">
      <w:pPr>
        <w:pStyle w:val="AddressBlock"/>
        <w:spacing w:before="0"/>
      </w:pPr>
    </w:p>
    <w:p w14:paraId="5FF2AD66" w14:textId="77777777" w:rsidR="00FC15DC" w:rsidRDefault="00FC15DC" w:rsidP="001309CA">
      <w:pPr>
        <w:pStyle w:val="AddressBlock"/>
        <w:spacing w:before="0"/>
      </w:pPr>
    </w:p>
    <w:p w14:paraId="7BF30272" w14:textId="77777777" w:rsidR="00FC15DC" w:rsidRDefault="00FC15DC" w:rsidP="001309CA">
      <w:pPr>
        <w:pStyle w:val="AddressBlock"/>
        <w:spacing w:before="0"/>
      </w:pPr>
    </w:p>
    <w:p w14:paraId="7AC8A925" w14:textId="77777777" w:rsidR="008D2DDC" w:rsidRDefault="001A582F" w:rsidP="001309CA">
      <w:pPr>
        <w:pStyle w:val="AddressBlock"/>
        <w:spacing w:before="0"/>
      </w:pPr>
      <w:r w:rsidRPr="008D2DDC">
        <w:t>Tim Wilson</w:t>
      </w:r>
    </w:p>
    <w:p w14:paraId="7F0DDCDC" w14:textId="77777777" w:rsidR="001F57E2" w:rsidRPr="008D2DDC" w:rsidRDefault="008D2DDC" w:rsidP="001309CA">
      <w:pPr>
        <w:pStyle w:val="AddressBlock"/>
        <w:spacing w:before="0"/>
      </w:pPr>
      <w:r>
        <w:rPr>
          <w:b/>
        </w:rPr>
        <w:t>Human Rights C</w:t>
      </w:r>
      <w:r w:rsidR="001A582F" w:rsidRPr="008D2DDC">
        <w:rPr>
          <w:b/>
        </w:rPr>
        <w:t>ommissioner</w:t>
      </w:r>
    </w:p>
    <w:bookmarkEnd w:id="1"/>
    <w:p w14:paraId="51DEDDD4" w14:textId="77777777" w:rsidR="001F57E2" w:rsidRDefault="001F57E2" w:rsidP="001309CA">
      <w:pPr>
        <w:pStyle w:val="Contactdetails"/>
        <w:spacing w:before="0" w:after="0" w:line="240" w:lineRule="auto"/>
        <w:rPr>
          <w:rFonts w:ascii="Arial" w:hAnsi="Arial"/>
          <w:color w:val="000000"/>
          <w:sz w:val="24"/>
        </w:rPr>
      </w:pPr>
    </w:p>
    <w:p w14:paraId="3F33F9F8" w14:textId="77777777" w:rsidR="00FC15DC" w:rsidRDefault="00FC15DC" w:rsidP="00E35781">
      <w:pPr>
        <w:pStyle w:val="Contactdetails"/>
        <w:spacing w:before="0" w:after="0" w:line="240" w:lineRule="auto"/>
      </w:pPr>
      <w:bookmarkStart w:id="2" w:name="_GoBack"/>
      <w:bookmarkEnd w:id="2"/>
    </w:p>
    <w:p w14:paraId="480984EC" w14:textId="77777777" w:rsidR="00FC15DC" w:rsidRDefault="00FC15DC" w:rsidP="00E35781">
      <w:pPr>
        <w:pStyle w:val="Contactdetails"/>
        <w:spacing w:before="0" w:after="0" w:line="240" w:lineRule="auto"/>
      </w:pPr>
    </w:p>
    <w:p w14:paraId="303D25CE" w14:textId="77777777" w:rsidR="00FC15DC" w:rsidRPr="005C2BA2" w:rsidRDefault="00FC15DC" w:rsidP="00E35781">
      <w:pPr>
        <w:pStyle w:val="Contactdetails"/>
        <w:spacing w:before="0" w:after="0" w:line="240" w:lineRule="auto"/>
      </w:pPr>
    </w:p>
    <w:sectPr w:rsidR="00FC15DC" w:rsidRPr="005C2BA2" w:rsidSect="002932DC">
      <w:headerReference w:type="default" r:id="rId9"/>
      <w:footerReference w:type="default" r:id="rId10"/>
      <w:headerReference w:type="first" r:id="rId11"/>
      <w:footerReference w:type="first" r:id="rId12"/>
      <w:endnotePr>
        <w:numFmt w:val="decimal"/>
      </w:endnotePr>
      <w:pgSz w:w="11906" w:h="16838" w:code="9"/>
      <w:pgMar w:top="1134" w:right="1418" w:bottom="1531" w:left="1418" w:header="90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748BB" w14:textId="77777777" w:rsidR="000A469B" w:rsidRDefault="000A469B" w:rsidP="00F14C6D">
      <w:r>
        <w:separator/>
      </w:r>
    </w:p>
  </w:endnote>
  <w:endnote w:type="continuationSeparator" w:id="0">
    <w:p w14:paraId="667B9376" w14:textId="77777777" w:rsidR="000A469B" w:rsidRDefault="000A469B" w:rsidP="00F14C6D">
      <w:r>
        <w:continuationSeparator/>
      </w:r>
    </w:p>
  </w:endnote>
  <w:endnote w:id="1">
    <w:p w14:paraId="526824C8" w14:textId="77777777" w:rsidR="008906FF" w:rsidRDefault="008906FF">
      <w:pPr>
        <w:pStyle w:val="EndnoteText"/>
      </w:pPr>
      <w:r>
        <w:rPr>
          <w:rStyle w:val="EndnoteReference"/>
        </w:rPr>
        <w:endnoteRef/>
      </w:r>
      <w:r>
        <w:t xml:space="preserve"> Australian Human Rights Commission, </w:t>
      </w:r>
      <w:r w:rsidRPr="008906FF">
        <w:rPr>
          <w:i/>
        </w:rPr>
        <w:t>Marriage equality in a changing world: Position Paper on Marriage Equality</w:t>
      </w:r>
      <w:r>
        <w:t xml:space="preserve"> (2012). At </w:t>
      </w:r>
      <w:hyperlink r:id="rId1" w:history="1">
        <w:r w:rsidRPr="004D21AB">
          <w:rPr>
            <w:rStyle w:val="Hyperlink"/>
          </w:rPr>
          <w:t>https://www.humanrights.gov.au/lesbian-gay-bisexual-trans-and-intersex-equality-0</w:t>
        </w:r>
      </w:hyperlink>
      <w:r>
        <w:t xml:space="preserve"> (viewed 31 August 2015).</w:t>
      </w:r>
    </w:p>
  </w:endnote>
  <w:endnote w:id="2">
    <w:p w14:paraId="0057F27D" w14:textId="77777777" w:rsidR="008906FF" w:rsidRDefault="008906FF" w:rsidP="008906FF">
      <w:pPr>
        <w:pStyle w:val="EndnoteText"/>
      </w:pPr>
      <w:r>
        <w:rPr>
          <w:rStyle w:val="EndnoteReference"/>
        </w:rPr>
        <w:endnoteRef/>
      </w:r>
      <w:r>
        <w:t xml:space="preserve"> </w:t>
      </w:r>
      <w:r w:rsidRPr="006522D5">
        <w:rPr>
          <w:i/>
          <w:iCs/>
        </w:rPr>
        <w:t>International Covenant on Civil and Political Rights</w:t>
      </w:r>
      <w:r w:rsidRPr="006522D5">
        <w:t>, opened for signature 16 December 1966, 999 UNTS 171 (entered into force 23 March 1976)</w:t>
      </w:r>
      <w:r>
        <w:t>.</w:t>
      </w:r>
    </w:p>
  </w:endnote>
  <w:endnote w:id="3">
    <w:p w14:paraId="48FE531E" w14:textId="77777777" w:rsidR="008906FF" w:rsidRPr="008906FF" w:rsidRDefault="008906FF" w:rsidP="008906FF">
      <w:pPr>
        <w:pStyle w:val="EndnoteText"/>
        <w:rPr>
          <w:sz w:val="22"/>
        </w:rPr>
      </w:pPr>
      <w:r>
        <w:rPr>
          <w:rStyle w:val="EndnoteReference"/>
        </w:rPr>
        <w:endnoteRef/>
      </w:r>
      <w:r>
        <w:t xml:space="preserve"> </w:t>
      </w:r>
      <w:r w:rsidRPr="008906FF">
        <w:rPr>
          <w:szCs w:val="18"/>
        </w:rPr>
        <w:t xml:space="preserve">Australian Human Rights Commission, </w:t>
      </w:r>
      <w:r w:rsidRPr="008906FF">
        <w:rPr>
          <w:i/>
          <w:szCs w:val="18"/>
        </w:rPr>
        <w:t xml:space="preserve">Resilient Individuals: Sexual Orientation, Gender Identity and Intersex Rights </w:t>
      </w:r>
      <w:r w:rsidRPr="008906FF">
        <w:rPr>
          <w:szCs w:val="18"/>
        </w:rPr>
        <w:t xml:space="preserve">(2015), p 12. At </w:t>
      </w:r>
      <w:hyperlink r:id="rId2" w:history="1">
        <w:r w:rsidRPr="008906FF">
          <w:rPr>
            <w:rStyle w:val="Hyperlink"/>
            <w:szCs w:val="18"/>
          </w:rPr>
          <w:t>https://www.humanrights.gov.au/our-work/sexual-orientation-sex-gender-identity/publications/resilient-individuals-sexual</w:t>
        </w:r>
      </w:hyperlink>
      <w:r w:rsidRPr="008906FF">
        <w:rPr>
          <w:szCs w:val="18"/>
        </w:rPr>
        <w:t xml:space="preserve"> (viewed 31 August 2015).</w:t>
      </w:r>
    </w:p>
  </w:endnote>
  <w:endnote w:id="4">
    <w:p w14:paraId="5FC77818" w14:textId="77777777" w:rsidR="00180145" w:rsidRPr="00787A27" w:rsidRDefault="00180145">
      <w:pPr>
        <w:pStyle w:val="EndnoteText"/>
      </w:pPr>
      <w:r w:rsidRPr="00946BF5">
        <w:rPr>
          <w:rStyle w:val="EndnoteReference"/>
          <w:i/>
        </w:rPr>
        <w:endnoteRef/>
      </w:r>
      <w:r w:rsidRPr="00946BF5">
        <w:rPr>
          <w:i/>
        </w:rPr>
        <w:t xml:space="preserve"> Marriage Act 1961</w:t>
      </w:r>
      <w:r>
        <w:t xml:space="preserve"> (Cth); </w:t>
      </w:r>
      <w:r w:rsidRPr="00787A27">
        <w:rPr>
          <w:i/>
        </w:rPr>
        <w:t xml:space="preserve">Marriage Amendment Act 2004 </w:t>
      </w:r>
      <w:r>
        <w:t>(Cth).</w:t>
      </w:r>
    </w:p>
  </w:endnote>
  <w:endnote w:id="5">
    <w:p w14:paraId="025722EA" w14:textId="77777777" w:rsidR="00180145" w:rsidRDefault="00180145">
      <w:pPr>
        <w:pStyle w:val="EndnoteText"/>
      </w:pPr>
      <w:r w:rsidRPr="00CC1572">
        <w:rPr>
          <w:rStyle w:val="EndnoteReference"/>
        </w:rPr>
        <w:endnoteRef/>
      </w:r>
      <w:r w:rsidRPr="00CC1572">
        <w:rPr>
          <w:i/>
        </w:rPr>
        <w:t xml:space="preserve"> The Commonwealth of Australia v The Australian Capital Territory</w:t>
      </w:r>
      <w:r>
        <w:t xml:space="preserve"> [2013] HCA 55.</w:t>
      </w:r>
    </w:p>
  </w:endnote>
  <w:endnote w:id="6">
    <w:p w14:paraId="63E31797" w14:textId="77777777" w:rsidR="00B345C6" w:rsidRPr="00B345C6" w:rsidRDefault="00B345C6">
      <w:pPr>
        <w:pStyle w:val="EndnoteText"/>
      </w:pPr>
      <w:r>
        <w:rPr>
          <w:rStyle w:val="EndnoteReference"/>
        </w:rPr>
        <w:endnoteRef/>
      </w:r>
      <w:r>
        <w:t xml:space="preserve"> Arguably the decision of the High Court in </w:t>
      </w:r>
      <w:r>
        <w:rPr>
          <w:i/>
        </w:rPr>
        <w:t>Commonwealth v Australian Capital Territory</w:t>
      </w:r>
      <w:r>
        <w:t xml:space="preserve"> supports the view that in this circumstance a State or Territory law allowing for same-sex marriage could operate concurrently with the Marriage Act:  see paragraphs [9] and [56].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49B2B" w14:textId="77777777" w:rsidR="00300B2D" w:rsidRPr="0090165F" w:rsidRDefault="00300B2D" w:rsidP="00162A8D">
    <w:pPr>
      <w:pStyle w:val="Footer"/>
      <w:jc w:val="right"/>
    </w:pPr>
    <w:r w:rsidRPr="0090165F">
      <w:fldChar w:fldCharType="begin"/>
    </w:r>
    <w:r w:rsidRPr="0090165F">
      <w:instrText xml:space="preserve"> PAGE   \* MERGEFORMAT </w:instrText>
    </w:r>
    <w:r w:rsidRPr="0090165F">
      <w:fldChar w:fldCharType="separate"/>
    </w:r>
    <w:r w:rsidR="00531259">
      <w:rPr>
        <w:noProof/>
      </w:rPr>
      <w:t>4</w:t>
    </w:r>
    <w:r w:rsidRPr="0090165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DC0D2" w14:textId="77777777" w:rsidR="00300B2D" w:rsidRPr="001B25B3" w:rsidRDefault="00300B2D" w:rsidP="002D0C4F">
    <w:pPr>
      <w:pStyle w:val="Footer"/>
      <w:spacing w:before="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887BB" w14:textId="77777777" w:rsidR="000A469B" w:rsidRDefault="000A469B" w:rsidP="00F14C6D">
      <w:r>
        <w:separator/>
      </w:r>
    </w:p>
  </w:footnote>
  <w:footnote w:type="continuationSeparator" w:id="0">
    <w:p w14:paraId="2FABCF61" w14:textId="77777777" w:rsidR="000A469B" w:rsidRDefault="000A469B"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DC16F" w14:textId="77777777" w:rsidR="00300B2D" w:rsidRDefault="00300B2D" w:rsidP="00C71D32">
    <w:pPr>
      <w:pStyle w:val="Header"/>
      <w:spacing w:before="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05" w:type="dxa"/>
      <w:tblLayout w:type="fixed"/>
      <w:tblLook w:val="00A0" w:firstRow="1" w:lastRow="0" w:firstColumn="1" w:lastColumn="0" w:noHBand="0" w:noVBand="0"/>
    </w:tblPr>
    <w:tblGrid>
      <w:gridCol w:w="3652"/>
      <w:gridCol w:w="301"/>
      <w:gridCol w:w="5152"/>
    </w:tblGrid>
    <w:tr w:rsidR="00300B2D" w:rsidRPr="00F67D3F" w14:paraId="56DD0214" w14:textId="77777777" w:rsidTr="004B5C5F">
      <w:trPr>
        <w:trHeight w:val="1603"/>
      </w:trPr>
      <w:tc>
        <w:tcPr>
          <w:tcW w:w="3652" w:type="dxa"/>
        </w:tcPr>
        <w:p w14:paraId="0C782D1C" w14:textId="77777777" w:rsidR="00300B2D" w:rsidRPr="008D1634" w:rsidRDefault="007D644D" w:rsidP="00331013">
          <w:pPr>
            <w:pStyle w:val="Header"/>
            <w:tabs>
              <w:tab w:val="left" w:pos="4686"/>
              <w:tab w:val="left" w:pos="7088"/>
              <w:tab w:val="left" w:pos="7242"/>
            </w:tabs>
            <w:jc w:val="center"/>
            <w:rPr>
              <w:rFonts w:cs="ArialMT"/>
              <w:b/>
              <w:color w:val="000000"/>
              <w:spacing w:val="-20"/>
              <w:sz w:val="32"/>
              <w:lang w:val="en-US" w:eastAsia="en-US" w:bidi="en-US"/>
            </w:rPr>
          </w:pPr>
          <w:r>
            <w:rPr>
              <w:rFonts w:cs="ArialMT"/>
              <w:b/>
              <w:noProof/>
              <w:color w:val="000000"/>
              <w:spacing w:val="-20"/>
              <w:sz w:val="32"/>
            </w:rPr>
            <w:drawing>
              <wp:inline distT="0" distB="0" distL="0" distR="0" wp14:anchorId="53F557E9" wp14:editId="063A63D5">
                <wp:extent cx="2171700" cy="733425"/>
                <wp:effectExtent l="0" t="0" r="0" b="9525"/>
                <wp:docPr id="5" name="Picture 5"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733425"/>
                        </a:xfrm>
                        <a:prstGeom prst="rect">
                          <a:avLst/>
                        </a:prstGeom>
                        <a:noFill/>
                        <a:ln>
                          <a:noFill/>
                        </a:ln>
                      </pic:spPr>
                    </pic:pic>
                  </a:graphicData>
                </a:graphic>
              </wp:inline>
            </w:drawing>
          </w:r>
        </w:p>
      </w:tc>
      <w:tc>
        <w:tcPr>
          <w:tcW w:w="301" w:type="dxa"/>
          <w:vAlign w:val="center"/>
        </w:tcPr>
        <w:p w14:paraId="796750ED" w14:textId="77777777" w:rsidR="00300B2D" w:rsidRPr="008D1634" w:rsidRDefault="00300B2D" w:rsidP="00331013">
          <w:pPr>
            <w:spacing w:before="0" w:after="0" w:line="210" w:lineRule="exact"/>
            <w:rPr>
              <w:rFonts w:cs="ArialMT"/>
              <w:i/>
              <w:color w:val="808080"/>
              <w:sz w:val="17"/>
              <w:lang w:val="en-US" w:eastAsia="en-US" w:bidi="en-US"/>
            </w:rPr>
          </w:pPr>
        </w:p>
      </w:tc>
      <w:tc>
        <w:tcPr>
          <w:tcW w:w="5152" w:type="dxa"/>
        </w:tcPr>
        <w:p w14:paraId="0B98986D" w14:textId="77777777" w:rsidR="00300B2D" w:rsidRDefault="00300B2D" w:rsidP="00C22712">
          <w:pPr>
            <w:pStyle w:val="LogoType"/>
            <w:pBdr>
              <w:bottom w:val="none" w:sz="0" w:space="0" w:color="auto"/>
            </w:pBdr>
            <w:spacing w:before="0" w:after="0" w:line="240" w:lineRule="auto"/>
            <w:jc w:val="right"/>
            <w:rPr>
              <w:color w:val="646464"/>
              <w:spacing w:val="0"/>
              <w:kern w:val="144"/>
              <w:sz w:val="24"/>
              <w:lang w:val="en-US" w:eastAsia="en-US" w:bidi="en-US"/>
            </w:rPr>
          </w:pPr>
        </w:p>
        <w:p w14:paraId="781C38AE" w14:textId="77777777" w:rsidR="00300B2D" w:rsidRDefault="00300B2D" w:rsidP="00C22712">
          <w:pPr>
            <w:pStyle w:val="LogoType"/>
            <w:pBdr>
              <w:bottom w:val="none" w:sz="0" w:space="0" w:color="auto"/>
            </w:pBdr>
            <w:spacing w:before="0" w:after="0" w:line="240" w:lineRule="auto"/>
            <w:jc w:val="right"/>
            <w:rPr>
              <w:color w:val="646464"/>
              <w:spacing w:val="0"/>
              <w:kern w:val="144"/>
              <w:sz w:val="24"/>
              <w:lang w:val="en-US" w:eastAsia="en-US" w:bidi="en-US"/>
            </w:rPr>
          </w:pPr>
        </w:p>
        <w:p w14:paraId="6DB7560E" w14:textId="77777777" w:rsidR="007A24BB" w:rsidRDefault="007A24BB" w:rsidP="007A24BB">
          <w:pPr>
            <w:pStyle w:val="LogoType"/>
            <w:pBdr>
              <w:bottom w:val="none" w:sz="0" w:space="0" w:color="auto"/>
            </w:pBdr>
            <w:spacing w:before="0" w:after="0" w:line="240" w:lineRule="auto"/>
            <w:jc w:val="right"/>
            <w:rPr>
              <w:color w:val="646464"/>
              <w:spacing w:val="0"/>
              <w:kern w:val="144"/>
              <w:sz w:val="24"/>
              <w:lang w:val="en-US" w:eastAsia="en-US" w:bidi="en-US"/>
            </w:rPr>
          </w:pPr>
          <w:r>
            <w:rPr>
              <w:color w:val="646464"/>
              <w:spacing w:val="0"/>
              <w:kern w:val="144"/>
              <w:sz w:val="24"/>
              <w:lang w:val="en-US" w:eastAsia="en-US" w:bidi="en-US"/>
            </w:rPr>
            <w:t>Human Rights Commissioner</w:t>
          </w:r>
        </w:p>
        <w:p w14:paraId="2D6D5830" w14:textId="77777777" w:rsidR="00300B2D" w:rsidRPr="001A582F" w:rsidRDefault="007D644D" w:rsidP="00837AA9">
          <w:pPr>
            <w:pStyle w:val="LogoType"/>
            <w:pBdr>
              <w:bottom w:val="none" w:sz="0" w:space="0" w:color="auto"/>
            </w:pBdr>
            <w:spacing w:before="120" w:after="80" w:line="240" w:lineRule="auto"/>
            <w:jc w:val="right"/>
            <w:rPr>
              <w:color w:val="auto"/>
              <w:spacing w:val="0"/>
              <w:kern w:val="144"/>
              <w:sz w:val="24"/>
              <w:lang w:val="en-US" w:eastAsia="en-US" w:bidi="en-US"/>
            </w:rPr>
          </w:pPr>
          <w:r>
            <w:rPr>
              <w:noProof/>
              <w:color w:val="auto"/>
              <w:spacing w:val="0"/>
              <w:kern w:val="144"/>
              <w:sz w:val="24"/>
            </w:rPr>
            <mc:AlternateContent>
              <mc:Choice Requires="wps">
                <w:drawing>
                  <wp:anchor distT="0" distB="0" distL="114300" distR="114300" simplePos="0" relativeHeight="251657728" behindDoc="0" locked="0" layoutInCell="1" allowOverlap="1" wp14:anchorId="0914A239" wp14:editId="77A00EE3">
                    <wp:simplePos x="0" y="0"/>
                    <wp:positionH relativeFrom="column">
                      <wp:posOffset>975360</wp:posOffset>
                    </wp:positionH>
                    <wp:positionV relativeFrom="paragraph">
                      <wp:posOffset>37465</wp:posOffset>
                    </wp:positionV>
                    <wp:extent cx="2152015" cy="0"/>
                    <wp:effectExtent l="13335" t="8890" r="6350"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01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D46C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pt,2.95pt" to="246.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SScEwIAACgEAAAOAAAAZHJzL2Uyb0RvYy54bWysU8GO2jAQvVfqP1i+QxJK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" strokecolor="#5f5f5f"/>
                </w:pict>
              </mc:Fallback>
            </mc:AlternateContent>
          </w:r>
          <w:r w:rsidR="007A24BB">
            <w:rPr>
              <w:color w:val="646464"/>
              <w:spacing w:val="0"/>
              <w:kern w:val="144"/>
              <w:sz w:val="24"/>
              <w:lang w:val="en-US" w:eastAsia="en-US" w:bidi="en-US"/>
            </w:rPr>
            <w:t xml:space="preserve"> Tim Wilson</w:t>
          </w:r>
        </w:p>
      </w:tc>
    </w:tr>
  </w:tbl>
  <w:p w14:paraId="77A58E88" w14:textId="77777777" w:rsidR="00300B2D" w:rsidRPr="006E2FE7" w:rsidRDefault="00300B2D">
    <w:pPr>
      <w:pStyle w:val="Header"/>
      <w:rPr>
        <w:color w:val="73737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9C29C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6C009348"/>
    <w:lvl w:ilvl="0">
      <w:numFmt w:val="decimal"/>
      <w:pStyle w:val="Dash"/>
      <w:lvlText w:val="*"/>
      <w:lvlJc w:val="left"/>
    </w:lvl>
  </w:abstractNum>
  <w:abstractNum w:abstractNumId="12" w15:restartNumberingAfterBreak="0">
    <w:nsid w:val="0D6B060D"/>
    <w:multiLevelType w:val="hybridMultilevel"/>
    <w:tmpl w:val="9C94495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190064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C632B47"/>
    <w:multiLevelType w:val="hybridMultilevel"/>
    <w:tmpl w:val="4FCEEE8A"/>
    <w:lvl w:ilvl="0" w:tplc="71DEC9C0">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9"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9FF7A73"/>
    <w:multiLevelType w:val="multilevel"/>
    <w:tmpl w:val="75C8E294"/>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40D4F1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48A05D6"/>
    <w:multiLevelType w:val="hybridMultilevel"/>
    <w:tmpl w:val="C88C46C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15:restartNumberingAfterBreak="0">
    <w:nsid w:val="6F05710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29C1E5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7DD1B4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20"/>
  </w:num>
  <w:num w:numId="3">
    <w:abstractNumId w:val="23"/>
  </w:num>
  <w:num w:numId="4">
    <w:abstractNumId w:val="16"/>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7"/>
  </w:num>
  <w:num w:numId="10">
    <w:abstractNumId w:val="6"/>
  </w:num>
  <w:num w:numId="11">
    <w:abstractNumId w:val="5"/>
  </w:num>
  <w:num w:numId="12">
    <w:abstractNumId w:val="9"/>
  </w:num>
  <w:num w:numId="13">
    <w:abstractNumId w:val="2"/>
  </w:num>
  <w:num w:numId="14">
    <w:abstractNumId w:val="1"/>
  </w:num>
  <w:num w:numId="15">
    <w:abstractNumId w:val="4"/>
  </w:num>
  <w:num w:numId="16">
    <w:abstractNumId w:val="3"/>
  </w:num>
  <w:num w:numId="17">
    <w:abstractNumId w:val="21"/>
  </w:num>
  <w:num w:numId="18">
    <w:abstractNumId w:val="19"/>
  </w:num>
  <w:num w:numId="19">
    <w:abstractNumId w:val="15"/>
  </w:num>
  <w:num w:numId="20">
    <w:abstractNumId w:val="0"/>
  </w:num>
  <w:num w:numId="21">
    <w:abstractNumId w:val="11"/>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22">
    <w:abstractNumId w:val="27"/>
  </w:num>
  <w:num w:numId="23">
    <w:abstractNumId w:val="28"/>
  </w:num>
  <w:num w:numId="24">
    <w:abstractNumId w:val="29"/>
  </w:num>
  <w:num w:numId="25">
    <w:abstractNumId w:val="13"/>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6"/>
  </w:num>
  <w:num w:numId="31">
    <w:abstractNumId w:val="14"/>
  </w:num>
  <w:num w:numId="32">
    <w:abstractNumId w:val="25"/>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2529">
      <o:colormru v:ext="edit" colors="#5f5f5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F16"/>
    <w:rsid w:val="00000871"/>
    <w:rsid w:val="00004233"/>
    <w:rsid w:val="00014F86"/>
    <w:rsid w:val="00030E67"/>
    <w:rsid w:val="00031A24"/>
    <w:rsid w:val="00041650"/>
    <w:rsid w:val="00044290"/>
    <w:rsid w:val="00050D1C"/>
    <w:rsid w:val="000579B1"/>
    <w:rsid w:val="000642C5"/>
    <w:rsid w:val="000660C0"/>
    <w:rsid w:val="00074B3E"/>
    <w:rsid w:val="00075A4D"/>
    <w:rsid w:val="00084FE3"/>
    <w:rsid w:val="00092C77"/>
    <w:rsid w:val="00095934"/>
    <w:rsid w:val="000A1D1B"/>
    <w:rsid w:val="000A469B"/>
    <w:rsid w:val="000A58F9"/>
    <w:rsid w:val="000B0A5D"/>
    <w:rsid w:val="000B53EE"/>
    <w:rsid w:val="000B75A6"/>
    <w:rsid w:val="000E2A71"/>
    <w:rsid w:val="000E38FA"/>
    <w:rsid w:val="000E3F20"/>
    <w:rsid w:val="000F7A62"/>
    <w:rsid w:val="0011094E"/>
    <w:rsid w:val="00120F93"/>
    <w:rsid w:val="00123209"/>
    <w:rsid w:val="001309CA"/>
    <w:rsid w:val="0013255E"/>
    <w:rsid w:val="001373D3"/>
    <w:rsid w:val="001422F6"/>
    <w:rsid w:val="00145995"/>
    <w:rsid w:val="001511FA"/>
    <w:rsid w:val="001537C1"/>
    <w:rsid w:val="00162A8D"/>
    <w:rsid w:val="001662B6"/>
    <w:rsid w:val="00172081"/>
    <w:rsid w:val="00176220"/>
    <w:rsid w:val="00180145"/>
    <w:rsid w:val="00181378"/>
    <w:rsid w:val="001827C9"/>
    <w:rsid w:val="001A582F"/>
    <w:rsid w:val="001B0353"/>
    <w:rsid w:val="001B1CC2"/>
    <w:rsid w:val="001B25B3"/>
    <w:rsid w:val="001C7AA6"/>
    <w:rsid w:val="001D4263"/>
    <w:rsid w:val="001E195B"/>
    <w:rsid w:val="001F110E"/>
    <w:rsid w:val="001F2BBB"/>
    <w:rsid w:val="001F57E2"/>
    <w:rsid w:val="001F5B11"/>
    <w:rsid w:val="00201544"/>
    <w:rsid w:val="00201EFE"/>
    <w:rsid w:val="00214DBF"/>
    <w:rsid w:val="00215015"/>
    <w:rsid w:val="00215226"/>
    <w:rsid w:val="002174C2"/>
    <w:rsid w:val="0024557E"/>
    <w:rsid w:val="0028472B"/>
    <w:rsid w:val="00290FD1"/>
    <w:rsid w:val="002932DC"/>
    <w:rsid w:val="00295336"/>
    <w:rsid w:val="002A2874"/>
    <w:rsid w:val="002B6C57"/>
    <w:rsid w:val="002C5AFF"/>
    <w:rsid w:val="002D0C4F"/>
    <w:rsid w:val="002D442F"/>
    <w:rsid w:val="002D54E2"/>
    <w:rsid w:val="002E2629"/>
    <w:rsid w:val="002E34AE"/>
    <w:rsid w:val="002E3FE1"/>
    <w:rsid w:val="002E4A5C"/>
    <w:rsid w:val="00300B2D"/>
    <w:rsid w:val="00310ED4"/>
    <w:rsid w:val="0031492A"/>
    <w:rsid w:val="00316C1A"/>
    <w:rsid w:val="00326236"/>
    <w:rsid w:val="00331013"/>
    <w:rsid w:val="00331D00"/>
    <w:rsid w:val="003341CA"/>
    <w:rsid w:val="0035058E"/>
    <w:rsid w:val="003546EC"/>
    <w:rsid w:val="003579D7"/>
    <w:rsid w:val="00366185"/>
    <w:rsid w:val="003731B3"/>
    <w:rsid w:val="00384A55"/>
    <w:rsid w:val="00392D54"/>
    <w:rsid w:val="003C3D19"/>
    <w:rsid w:val="003C616E"/>
    <w:rsid w:val="003E3B6E"/>
    <w:rsid w:val="003E6FDD"/>
    <w:rsid w:val="003E7C58"/>
    <w:rsid w:val="003F5E09"/>
    <w:rsid w:val="003F7CD7"/>
    <w:rsid w:val="004053E5"/>
    <w:rsid w:val="00405F68"/>
    <w:rsid w:val="0043036E"/>
    <w:rsid w:val="004326A6"/>
    <w:rsid w:val="00436828"/>
    <w:rsid w:val="00441C1D"/>
    <w:rsid w:val="0044690C"/>
    <w:rsid w:val="00446F3B"/>
    <w:rsid w:val="004510B9"/>
    <w:rsid w:val="004673CD"/>
    <w:rsid w:val="00474063"/>
    <w:rsid w:val="00484F87"/>
    <w:rsid w:val="004911E4"/>
    <w:rsid w:val="00494478"/>
    <w:rsid w:val="00497597"/>
    <w:rsid w:val="004B3F64"/>
    <w:rsid w:val="004B5C5F"/>
    <w:rsid w:val="004D6BC5"/>
    <w:rsid w:val="004E29A3"/>
    <w:rsid w:val="004E4A09"/>
    <w:rsid w:val="004E4F81"/>
    <w:rsid w:val="00513540"/>
    <w:rsid w:val="005222C7"/>
    <w:rsid w:val="00531259"/>
    <w:rsid w:val="005332CE"/>
    <w:rsid w:val="00545464"/>
    <w:rsid w:val="00572914"/>
    <w:rsid w:val="0057396F"/>
    <w:rsid w:val="005747B5"/>
    <w:rsid w:val="005770AA"/>
    <w:rsid w:val="00587EAA"/>
    <w:rsid w:val="005B0DB5"/>
    <w:rsid w:val="005B50D7"/>
    <w:rsid w:val="005D1F34"/>
    <w:rsid w:val="005E4E7E"/>
    <w:rsid w:val="005F1847"/>
    <w:rsid w:val="005F36BE"/>
    <w:rsid w:val="005F7015"/>
    <w:rsid w:val="006023EA"/>
    <w:rsid w:val="00606279"/>
    <w:rsid w:val="0061324D"/>
    <w:rsid w:val="00616E3C"/>
    <w:rsid w:val="0062117D"/>
    <w:rsid w:val="00636402"/>
    <w:rsid w:val="00653105"/>
    <w:rsid w:val="006602F6"/>
    <w:rsid w:val="00663E6F"/>
    <w:rsid w:val="00670878"/>
    <w:rsid w:val="00683698"/>
    <w:rsid w:val="00690436"/>
    <w:rsid w:val="00691759"/>
    <w:rsid w:val="006A0F1F"/>
    <w:rsid w:val="006A4484"/>
    <w:rsid w:val="006A6BB3"/>
    <w:rsid w:val="006B2544"/>
    <w:rsid w:val="006B4F27"/>
    <w:rsid w:val="006C3716"/>
    <w:rsid w:val="006C49CF"/>
    <w:rsid w:val="006C5A50"/>
    <w:rsid w:val="006C6741"/>
    <w:rsid w:val="006D5EE5"/>
    <w:rsid w:val="006E2FE7"/>
    <w:rsid w:val="006F1E65"/>
    <w:rsid w:val="006F5E81"/>
    <w:rsid w:val="00710BE1"/>
    <w:rsid w:val="007121BF"/>
    <w:rsid w:val="00732B48"/>
    <w:rsid w:val="00732B6A"/>
    <w:rsid w:val="00740E26"/>
    <w:rsid w:val="00750A2D"/>
    <w:rsid w:val="007606CC"/>
    <w:rsid w:val="00763874"/>
    <w:rsid w:val="007701DA"/>
    <w:rsid w:val="00770760"/>
    <w:rsid w:val="00770DCB"/>
    <w:rsid w:val="00775485"/>
    <w:rsid w:val="00787A27"/>
    <w:rsid w:val="00793B68"/>
    <w:rsid w:val="00794D8F"/>
    <w:rsid w:val="007A24BB"/>
    <w:rsid w:val="007C5F8D"/>
    <w:rsid w:val="007D3C7D"/>
    <w:rsid w:val="007D644D"/>
    <w:rsid w:val="007E2300"/>
    <w:rsid w:val="007F1CBD"/>
    <w:rsid w:val="007F6C60"/>
    <w:rsid w:val="00811A70"/>
    <w:rsid w:val="00815463"/>
    <w:rsid w:val="008221A7"/>
    <w:rsid w:val="0083703F"/>
    <w:rsid w:val="00837AA9"/>
    <w:rsid w:val="008417EB"/>
    <w:rsid w:val="008463A3"/>
    <w:rsid w:val="0084730F"/>
    <w:rsid w:val="00854E81"/>
    <w:rsid w:val="008623DC"/>
    <w:rsid w:val="008724DE"/>
    <w:rsid w:val="00882A8F"/>
    <w:rsid w:val="008906FF"/>
    <w:rsid w:val="008A66C0"/>
    <w:rsid w:val="008A6816"/>
    <w:rsid w:val="008B2F9B"/>
    <w:rsid w:val="008B3662"/>
    <w:rsid w:val="008B4C13"/>
    <w:rsid w:val="008D124F"/>
    <w:rsid w:val="008D2DDC"/>
    <w:rsid w:val="008D6140"/>
    <w:rsid w:val="008E3D60"/>
    <w:rsid w:val="008E675D"/>
    <w:rsid w:val="008F2027"/>
    <w:rsid w:val="0090165F"/>
    <w:rsid w:val="0092735C"/>
    <w:rsid w:val="00931E2E"/>
    <w:rsid w:val="00942F39"/>
    <w:rsid w:val="00946BF5"/>
    <w:rsid w:val="00947F71"/>
    <w:rsid w:val="00966C2F"/>
    <w:rsid w:val="009709E5"/>
    <w:rsid w:val="009A3E9B"/>
    <w:rsid w:val="009B03DA"/>
    <w:rsid w:val="009B109B"/>
    <w:rsid w:val="009B4A4E"/>
    <w:rsid w:val="009B6467"/>
    <w:rsid w:val="009C3B85"/>
    <w:rsid w:val="009E4A0A"/>
    <w:rsid w:val="00A0406E"/>
    <w:rsid w:val="00A10606"/>
    <w:rsid w:val="00A13968"/>
    <w:rsid w:val="00A254E6"/>
    <w:rsid w:val="00A31F24"/>
    <w:rsid w:val="00A32F15"/>
    <w:rsid w:val="00A41355"/>
    <w:rsid w:val="00A43B92"/>
    <w:rsid w:val="00A43CC9"/>
    <w:rsid w:val="00A4438B"/>
    <w:rsid w:val="00A44FB3"/>
    <w:rsid w:val="00A47CA8"/>
    <w:rsid w:val="00A5443C"/>
    <w:rsid w:val="00A6179E"/>
    <w:rsid w:val="00A65B07"/>
    <w:rsid w:val="00A70F0A"/>
    <w:rsid w:val="00A859DC"/>
    <w:rsid w:val="00A90F0B"/>
    <w:rsid w:val="00A9225B"/>
    <w:rsid w:val="00AD76AC"/>
    <w:rsid w:val="00B0666A"/>
    <w:rsid w:val="00B10447"/>
    <w:rsid w:val="00B1204F"/>
    <w:rsid w:val="00B15F40"/>
    <w:rsid w:val="00B277E0"/>
    <w:rsid w:val="00B345C6"/>
    <w:rsid w:val="00B40637"/>
    <w:rsid w:val="00B5098A"/>
    <w:rsid w:val="00B51EC8"/>
    <w:rsid w:val="00B53A65"/>
    <w:rsid w:val="00BA262D"/>
    <w:rsid w:val="00BB48C9"/>
    <w:rsid w:val="00BB5E6B"/>
    <w:rsid w:val="00BD400C"/>
    <w:rsid w:val="00BD6F78"/>
    <w:rsid w:val="00BF1C1B"/>
    <w:rsid w:val="00BF7BD4"/>
    <w:rsid w:val="00C045A7"/>
    <w:rsid w:val="00C107E2"/>
    <w:rsid w:val="00C209E6"/>
    <w:rsid w:val="00C214A7"/>
    <w:rsid w:val="00C22712"/>
    <w:rsid w:val="00C25BDA"/>
    <w:rsid w:val="00C52035"/>
    <w:rsid w:val="00C614CA"/>
    <w:rsid w:val="00C71D32"/>
    <w:rsid w:val="00C7483A"/>
    <w:rsid w:val="00C81A3D"/>
    <w:rsid w:val="00C87F1C"/>
    <w:rsid w:val="00CA0D78"/>
    <w:rsid w:val="00CB258C"/>
    <w:rsid w:val="00CB4812"/>
    <w:rsid w:val="00CC1572"/>
    <w:rsid w:val="00CE575A"/>
    <w:rsid w:val="00CF03AE"/>
    <w:rsid w:val="00CF16D6"/>
    <w:rsid w:val="00D01FE0"/>
    <w:rsid w:val="00D06DB8"/>
    <w:rsid w:val="00D1390E"/>
    <w:rsid w:val="00D16F17"/>
    <w:rsid w:val="00D27379"/>
    <w:rsid w:val="00D31507"/>
    <w:rsid w:val="00D32B14"/>
    <w:rsid w:val="00D370DE"/>
    <w:rsid w:val="00D4050A"/>
    <w:rsid w:val="00D4195C"/>
    <w:rsid w:val="00D41C6C"/>
    <w:rsid w:val="00D65207"/>
    <w:rsid w:val="00D65C76"/>
    <w:rsid w:val="00D727F3"/>
    <w:rsid w:val="00DA2F73"/>
    <w:rsid w:val="00DB03F4"/>
    <w:rsid w:val="00DB7349"/>
    <w:rsid w:val="00DC2F16"/>
    <w:rsid w:val="00DC30AD"/>
    <w:rsid w:val="00DC462F"/>
    <w:rsid w:val="00DD07BF"/>
    <w:rsid w:val="00DE047A"/>
    <w:rsid w:val="00E05AE7"/>
    <w:rsid w:val="00E14A38"/>
    <w:rsid w:val="00E24FA3"/>
    <w:rsid w:val="00E35781"/>
    <w:rsid w:val="00E36B41"/>
    <w:rsid w:val="00E45954"/>
    <w:rsid w:val="00E53328"/>
    <w:rsid w:val="00E54BA9"/>
    <w:rsid w:val="00E57F61"/>
    <w:rsid w:val="00E672A0"/>
    <w:rsid w:val="00E67849"/>
    <w:rsid w:val="00EA34EC"/>
    <w:rsid w:val="00EB712A"/>
    <w:rsid w:val="00EC08FF"/>
    <w:rsid w:val="00ED1991"/>
    <w:rsid w:val="00ED52F3"/>
    <w:rsid w:val="00ED588C"/>
    <w:rsid w:val="00EE50BC"/>
    <w:rsid w:val="00EF0208"/>
    <w:rsid w:val="00EF0E01"/>
    <w:rsid w:val="00EF1261"/>
    <w:rsid w:val="00F13B7D"/>
    <w:rsid w:val="00F14C6D"/>
    <w:rsid w:val="00F15F8E"/>
    <w:rsid w:val="00F21162"/>
    <w:rsid w:val="00F305CD"/>
    <w:rsid w:val="00F37FFE"/>
    <w:rsid w:val="00F6195B"/>
    <w:rsid w:val="00F67D3F"/>
    <w:rsid w:val="00F7109A"/>
    <w:rsid w:val="00FA17D1"/>
    <w:rsid w:val="00FA6159"/>
    <w:rsid w:val="00FB625D"/>
    <w:rsid w:val="00FC15DC"/>
    <w:rsid w:val="00FC2049"/>
    <w:rsid w:val="00FC35C9"/>
    <w:rsid w:val="00FC3F0C"/>
    <w:rsid w:val="00FD4136"/>
    <w:rsid w:val="00FE7E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5f5f5f"/>
    </o:shapedefaults>
    <o:shapelayout v:ext="edit">
      <o:idmap v:ext="edit" data="1"/>
    </o:shapelayout>
  </w:shapeDefaults>
  <w:decimalSymbol w:val="."/>
  <w:listSeparator w:val=","/>
  <w14:docId w14:val="0CC91A21"/>
  <w15:chartTrackingRefBased/>
  <w15:docId w15:val="{C59A0616-B2D8-4CD5-A294-288BD266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0B9"/>
    <w:pPr>
      <w:spacing w:before="240" w:after="240"/>
    </w:pPr>
    <w:rPr>
      <w:rFonts w:ascii="Arial" w:hAnsi="Arial"/>
      <w:sz w:val="24"/>
      <w:szCs w:val="24"/>
    </w:rPr>
  </w:style>
  <w:style w:type="paragraph" w:styleId="Heading1">
    <w:name w:val="heading 1"/>
    <w:basedOn w:val="Normal"/>
    <w:next w:val="Normal"/>
    <w:link w:val="Heading1Char"/>
    <w:qFormat/>
    <w:rsid w:val="008D6140"/>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D65207"/>
    <w:pPr>
      <w:numPr>
        <w:ilvl w:val="1"/>
      </w:numPr>
      <w:outlineLvl w:val="1"/>
    </w:pPr>
    <w:rPr>
      <w:bCs w:val="0"/>
      <w:i/>
      <w:color w:val="000000"/>
      <w:szCs w:val="26"/>
    </w:rPr>
  </w:style>
  <w:style w:type="paragraph" w:styleId="Heading3">
    <w:name w:val="heading 3"/>
    <w:basedOn w:val="Heading2"/>
    <w:next w:val="Normal"/>
    <w:link w:val="Heading3Char"/>
    <w:qFormat/>
    <w:rsid w:val="00D65207"/>
    <w:pPr>
      <w:numPr>
        <w:ilvl w:val="2"/>
      </w:numPr>
      <w:outlineLvl w:val="2"/>
    </w:pPr>
    <w:rPr>
      <w:b w:val="0"/>
      <w:bCs/>
      <w:color w:val="auto"/>
      <w:sz w:val="24"/>
    </w:rPr>
  </w:style>
  <w:style w:type="paragraph" w:styleId="Heading4">
    <w:name w:val="heading 4"/>
    <w:basedOn w:val="Heading3"/>
    <w:next w:val="Normal"/>
    <w:link w:val="Heading4Char"/>
    <w:qFormat/>
    <w:rsid w:val="00D65207"/>
    <w:pPr>
      <w:numPr>
        <w:ilvl w:val="3"/>
      </w:numPr>
      <w:outlineLvl w:val="3"/>
    </w:pPr>
    <w:rPr>
      <w:bCs w:val="0"/>
      <w:i w:val="0"/>
      <w:iCs/>
    </w:rPr>
  </w:style>
  <w:style w:type="paragraph" w:styleId="Heading5">
    <w:name w:val="heading 5"/>
    <w:basedOn w:val="Normal"/>
    <w:next w:val="Normal"/>
    <w:link w:val="Heading5Char"/>
    <w:qFormat/>
    <w:locked/>
    <w:rsid w:val="00D65207"/>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D65207"/>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D65207"/>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D65207"/>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D65207"/>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D6140"/>
    <w:rPr>
      <w:rFonts w:ascii="Arial" w:hAnsi="Arial"/>
      <w:b/>
      <w:bCs/>
      <w:sz w:val="28"/>
      <w:szCs w:val="28"/>
      <w:lang w:val="en-AU" w:eastAsia="en-AU" w:bidi="ar-SA"/>
    </w:rPr>
  </w:style>
  <w:style w:type="character" w:customStyle="1" w:styleId="Heading2Char">
    <w:name w:val="Heading 2 Char"/>
    <w:link w:val="Heading2"/>
    <w:rsid w:val="00D65207"/>
    <w:rPr>
      <w:rFonts w:ascii="Arial" w:hAnsi="Arial"/>
      <w:b/>
      <w:i/>
      <w:color w:val="000000"/>
      <w:sz w:val="24"/>
      <w:szCs w:val="26"/>
      <w:lang w:val="en-AU" w:eastAsia="en-AU" w:bidi="ar-SA"/>
    </w:rPr>
  </w:style>
  <w:style w:type="character" w:customStyle="1" w:styleId="Heading3Char">
    <w:name w:val="Heading 3 Char"/>
    <w:link w:val="Heading3"/>
    <w:rsid w:val="00D65207"/>
    <w:rPr>
      <w:rFonts w:ascii="Arial" w:hAnsi="Arial"/>
      <w:bCs/>
      <w:i/>
      <w:sz w:val="24"/>
      <w:szCs w:val="26"/>
      <w:lang w:val="en-AU" w:eastAsia="en-AU" w:bidi="ar-SA"/>
    </w:rPr>
  </w:style>
  <w:style w:type="character" w:customStyle="1" w:styleId="Heading4Char">
    <w:name w:val="Heading 4 Char"/>
    <w:link w:val="Heading4"/>
    <w:rsid w:val="00D65207"/>
    <w:rPr>
      <w:rFonts w:ascii="Arial"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D65207"/>
    <w:rPr>
      <w:rFonts w:ascii="Cambria" w:hAnsi="Cambria"/>
      <w:color w:val="243F60"/>
      <w:sz w:val="24"/>
      <w:szCs w:val="24"/>
      <w:lang w:val="en-AU" w:eastAsia="en-AU" w:bidi="ar-SA"/>
    </w:rPr>
  </w:style>
  <w:style w:type="character" w:customStyle="1" w:styleId="Heading6Char">
    <w:name w:val="Heading 6 Char"/>
    <w:link w:val="Heading6"/>
    <w:semiHidden/>
    <w:rsid w:val="00D65207"/>
    <w:rPr>
      <w:rFonts w:ascii="Cambria" w:hAnsi="Cambria"/>
      <w:i/>
      <w:iCs/>
      <w:color w:val="243F60"/>
      <w:sz w:val="24"/>
      <w:szCs w:val="24"/>
      <w:lang w:val="en-AU" w:eastAsia="en-AU" w:bidi="ar-SA"/>
    </w:rPr>
  </w:style>
  <w:style w:type="character" w:customStyle="1" w:styleId="Heading7Char">
    <w:name w:val="Heading 7 Char"/>
    <w:link w:val="Heading7"/>
    <w:semiHidden/>
    <w:rsid w:val="00D65207"/>
    <w:rPr>
      <w:rFonts w:ascii="Cambria" w:hAnsi="Cambria"/>
      <w:i/>
      <w:iCs/>
      <w:color w:val="404040"/>
      <w:sz w:val="24"/>
      <w:szCs w:val="24"/>
      <w:lang w:val="en-AU" w:eastAsia="en-AU" w:bidi="ar-SA"/>
    </w:rPr>
  </w:style>
  <w:style w:type="character" w:customStyle="1" w:styleId="Heading8Char">
    <w:name w:val="Heading 8 Char"/>
    <w:link w:val="Heading8"/>
    <w:semiHidden/>
    <w:rsid w:val="00D65207"/>
    <w:rPr>
      <w:rFonts w:ascii="Cambria" w:hAnsi="Cambria"/>
      <w:color w:val="404040"/>
      <w:lang w:val="en-AU" w:eastAsia="en-AU" w:bidi="ar-SA"/>
    </w:rPr>
  </w:style>
  <w:style w:type="character" w:customStyle="1" w:styleId="Heading9Char">
    <w:name w:val="Heading 9 Char"/>
    <w:link w:val="Heading9"/>
    <w:semiHidden/>
    <w:rsid w:val="00D65207"/>
    <w:rPr>
      <w:rFonts w:ascii="Cambria"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rPr>
      <w:sz w:val="22"/>
    </w:r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8B3662"/>
    <w:pPr>
      <w:tabs>
        <w:tab w:val="right" w:leader="dot" w:pos="9060"/>
      </w:tabs>
      <w:spacing w:before="0" w:after="0"/>
      <w:ind w:left="1202" w:hanging="720"/>
    </w:pPr>
    <w:rPr>
      <w:rFonts w:eastAsia="MS Mincho"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semiHidden/>
    <w:qFormat/>
    <w:locked/>
    <w:rsid w:val="008B3662"/>
    <w:pPr>
      <w:tabs>
        <w:tab w:val="right" w:leader="dot" w:pos="9060"/>
      </w:tabs>
      <w:spacing w:after="0"/>
      <w:ind w:left="720" w:hanging="720"/>
    </w:pPr>
    <w:rPr>
      <w:b/>
      <w:noProof/>
      <w:sz w:val="28"/>
    </w:rPr>
  </w:style>
  <w:style w:type="paragraph" w:styleId="TOC2">
    <w:name w:val="toc 2"/>
    <w:basedOn w:val="Normal"/>
    <w:next w:val="Normal"/>
    <w:autoRedefine/>
    <w:uiPriority w:val="39"/>
    <w:semiHidden/>
    <w:qFormat/>
    <w:locked/>
    <w:rsid w:val="008B366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1373D3"/>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3731B3"/>
    <w:pPr>
      <w:spacing w:before="480" w:after="0" w:line="276" w:lineRule="auto"/>
    </w:pPr>
    <w:rPr>
      <w:b/>
      <w:color w:val="000000"/>
      <w:sz w:val="28"/>
      <w:lang w:val="en-US" w:eastAsia="en-US"/>
    </w:rPr>
  </w:style>
  <w:style w:type="paragraph" w:styleId="EndnoteText">
    <w:name w:val="endnote text"/>
    <w:basedOn w:val="Normal"/>
    <w:link w:val="EndnoteTextChar1"/>
    <w:semiHidden/>
    <w:rsid w:val="004B3F64"/>
    <w:pPr>
      <w:spacing w:before="0" w:after="0"/>
    </w:pPr>
    <w:rPr>
      <w:sz w:val="20"/>
      <w:szCs w:val="20"/>
    </w:rPr>
  </w:style>
  <w:style w:type="character" w:customStyle="1" w:styleId="EndnoteTextChar1">
    <w:name w:val="Endnote Text Char1"/>
    <w:link w:val="EndnoteText"/>
    <w:rsid w:val="004B3F64"/>
    <w:rPr>
      <w:rFonts w:ascii="Arial" w:hAnsi="Arial"/>
      <w:lang w:val="en-AU" w:eastAsia="en-AU" w:bidi="ar-SA"/>
    </w:rPr>
  </w:style>
  <w:style w:type="character" w:styleId="EndnoteReference">
    <w:name w:val="endnote reference"/>
    <w:semiHidden/>
    <w:rsid w:val="004510B9"/>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43682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4510B9"/>
    <w:rPr>
      <w:rFonts w:ascii="Arial" w:hAnsi="Arial"/>
      <w:sz w:val="20"/>
      <w:vertAlign w:val="superscript"/>
    </w:rPr>
  </w:style>
  <w:style w:type="paragraph" w:styleId="FootnoteText">
    <w:name w:val="footnote text"/>
    <w:basedOn w:val="Normal"/>
    <w:semiHidden/>
    <w:rsid w:val="004B3F64"/>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AddressBlock">
    <w:name w:val="Address Block"/>
    <w:basedOn w:val="BodyText"/>
    <w:semiHidden/>
    <w:rsid w:val="00000871"/>
    <w:pPr>
      <w:keepNext/>
      <w:keepLines/>
      <w:spacing w:after="0"/>
    </w:pPr>
    <w:rPr>
      <w:rFonts w:cs="ArialMT"/>
      <w:lang w:val="en-US" w:bidi="en-US"/>
    </w:rPr>
  </w:style>
  <w:style w:type="paragraph" w:customStyle="1" w:styleId="Contactdetails">
    <w:name w:val="Contact details"/>
    <w:basedOn w:val="Normal"/>
    <w:semiHidden/>
    <w:rsid w:val="00000871"/>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paragraph" w:customStyle="1" w:styleId="OurRef">
    <w:name w:val="Our Ref:"/>
    <w:basedOn w:val="BodyText"/>
    <w:semiHidden/>
    <w:rsid w:val="00000871"/>
    <w:pPr>
      <w:spacing w:after="193"/>
    </w:pPr>
    <w:rPr>
      <w:rFonts w:cs="ArialMT"/>
      <w:lang w:val="en-US" w:bidi="en-US"/>
    </w:rPr>
  </w:style>
  <w:style w:type="paragraph" w:customStyle="1" w:styleId="NameInsert">
    <w:name w:val="Name Insert"/>
    <w:basedOn w:val="BodyText"/>
    <w:semiHidden/>
    <w:rsid w:val="00000871"/>
    <w:rPr>
      <w:lang w:val="en-US" w:bidi="en-US"/>
    </w:rPr>
  </w:style>
  <w:style w:type="paragraph" w:customStyle="1" w:styleId="Dash">
    <w:name w:val="Dash"/>
    <w:basedOn w:val="Normal"/>
    <w:semiHidden/>
    <w:rsid w:val="00000871"/>
    <w:pPr>
      <w:numPr>
        <w:numId w:val="21"/>
      </w:numPr>
      <w:tabs>
        <w:tab w:val="num" w:pos="360"/>
      </w:tabs>
      <w:spacing w:before="20" w:after="20"/>
      <w:ind w:left="0" w:firstLine="0"/>
    </w:pPr>
  </w:style>
  <w:style w:type="paragraph" w:customStyle="1" w:styleId="HeaderFooter">
    <w:name w:val="Header &amp; Footer"/>
    <w:basedOn w:val="Normal"/>
    <w:semiHidden/>
    <w:rsid w:val="00000871"/>
    <w:pPr>
      <w:spacing w:line="200" w:lineRule="exact"/>
    </w:pPr>
    <w:rPr>
      <w:rFonts w:cs="ArialMT"/>
      <w:sz w:val="16"/>
    </w:rPr>
  </w:style>
  <w:style w:type="paragraph" w:customStyle="1" w:styleId="LogoType">
    <w:name w:val="Logo Type"/>
    <w:basedOn w:val="Header"/>
    <w:semiHidden/>
    <w:rsid w:val="00000871"/>
    <w:pPr>
      <w:pBdr>
        <w:bottom w:val="single" w:sz="4" w:space="4" w:color="auto"/>
      </w:pBdr>
      <w:tabs>
        <w:tab w:val="clear" w:pos="4513"/>
        <w:tab w:val="clear" w:pos="9026"/>
        <w:tab w:val="left" w:pos="4686"/>
        <w:tab w:val="left" w:pos="7088"/>
        <w:tab w:val="left" w:pos="7242"/>
      </w:tabs>
      <w:spacing w:after="240" w:line="320" w:lineRule="exact"/>
    </w:pPr>
    <w:rPr>
      <w:rFonts w:cs="ArialMT"/>
      <w:b/>
      <w:color w:val="808080"/>
      <w:spacing w:val="-20"/>
      <w:sz w:val="32"/>
    </w:rPr>
  </w:style>
  <w:style w:type="character" w:customStyle="1" w:styleId="CharChar">
    <w:name w:val="Char Char"/>
    <w:semiHidden/>
    <w:locked/>
    <w:rsid w:val="00215015"/>
    <w:rPr>
      <w:rFonts w:ascii="Arial" w:hAnsi="Arial" w:cs="Arial"/>
      <w:lang w:val="en-AU" w:eastAsia="en-AU" w:bidi="ar-SA"/>
    </w:rPr>
  </w:style>
  <w:style w:type="character" w:customStyle="1" w:styleId="EndnoteTextChar">
    <w:name w:val="Endnote Text Char"/>
    <w:semiHidden/>
    <w:locked/>
    <w:rsid w:val="0061324D"/>
    <w:rPr>
      <w:rFonts w:ascii="Arial" w:hAnsi="Arial"/>
      <w:lang w:bidi="ar-SA"/>
    </w:rPr>
  </w:style>
  <w:style w:type="paragraph" w:styleId="BalloonText">
    <w:name w:val="Balloon Text"/>
    <w:basedOn w:val="Normal"/>
    <w:semiHidden/>
    <w:locked/>
    <w:rsid w:val="006E2FE7"/>
    <w:rPr>
      <w:rFonts w:ascii="Tahoma" w:hAnsi="Tahoma" w:cs="Tahoma"/>
      <w:sz w:val="16"/>
      <w:szCs w:val="16"/>
    </w:rPr>
  </w:style>
  <w:style w:type="paragraph" w:styleId="ListParagraph">
    <w:name w:val="List Paragraph"/>
    <w:basedOn w:val="Normal"/>
    <w:uiPriority w:val="34"/>
    <w:qFormat/>
    <w:rsid w:val="000F7A62"/>
    <w:pPr>
      <w:ind w:left="720"/>
      <w:contextualSpacing/>
    </w:pPr>
  </w:style>
  <w:style w:type="character" w:styleId="CommentReference">
    <w:name w:val="annotation reference"/>
    <w:basedOn w:val="DefaultParagraphFont"/>
    <w:locked/>
    <w:rsid w:val="001511FA"/>
    <w:rPr>
      <w:sz w:val="16"/>
      <w:szCs w:val="16"/>
    </w:rPr>
  </w:style>
  <w:style w:type="paragraph" w:styleId="CommentText">
    <w:name w:val="annotation text"/>
    <w:basedOn w:val="Normal"/>
    <w:link w:val="CommentTextChar"/>
    <w:locked/>
    <w:rsid w:val="001511FA"/>
    <w:rPr>
      <w:sz w:val="20"/>
      <w:szCs w:val="20"/>
    </w:rPr>
  </w:style>
  <w:style w:type="character" w:customStyle="1" w:styleId="CommentTextChar">
    <w:name w:val="Comment Text Char"/>
    <w:basedOn w:val="DefaultParagraphFont"/>
    <w:link w:val="CommentText"/>
    <w:rsid w:val="001511FA"/>
    <w:rPr>
      <w:rFonts w:ascii="Arial" w:hAnsi="Arial"/>
    </w:rPr>
  </w:style>
  <w:style w:type="paragraph" w:styleId="CommentSubject">
    <w:name w:val="annotation subject"/>
    <w:basedOn w:val="CommentText"/>
    <w:next w:val="CommentText"/>
    <w:link w:val="CommentSubjectChar"/>
    <w:locked/>
    <w:rsid w:val="001511FA"/>
    <w:rPr>
      <w:b/>
      <w:bCs/>
    </w:rPr>
  </w:style>
  <w:style w:type="character" w:customStyle="1" w:styleId="CommentSubjectChar">
    <w:name w:val="Comment Subject Char"/>
    <w:basedOn w:val="CommentTextChar"/>
    <w:link w:val="CommentSubject"/>
    <w:rsid w:val="001511F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672306">
      <w:bodyDiv w:val="1"/>
      <w:marLeft w:val="0"/>
      <w:marRight w:val="0"/>
      <w:marTop w:val="0"/>
      <w:marBottom w:val="0"/>
      <w:divBdr>
        <w:top w:val="none" w:sz="0" w:space="0" w:color="auto"/>
        <w:left w:val="none" w:sz="0" w:space="0" w:color="auto"/>
        <w:bottom w:val="none" w:sz="0" w:space="0" w:color="auto"/>
        <w:right w:val="none" w:sz="0" w:space="0" w:color="auto"/>
      </w:divBdr>
    </w:div>
    <w:div w:id="513999943">
      <w:bodyDiv w:val="1"/>
      <w:marLeft w:val="0"/>
      <w:marRight w:val="0"/>
      <w:marTop w:val="0"/>
      <w:marBottom w:val="0"/>
      <w:divBdr>
        <w:top w:val="none" w:sz="0" w:space="0" w:color="auto"/>
        <w:left w:val="none" w:sz="0" w:space="0" w:color="auto"/>
        <w:bottom w:val="none" w:sz="0" w:space="0" w:color="auto"/>
        <w:right w:val="none" w:sz="0" w:space="0" w:color="auto"/>
      </w:divBdr>
    </w:div>
    <w:div w:id="575360405">
      <w:bodyDiv w:val="1"/>
      <w:marLeft w:val="0"/>
      <w:marRight w:val="0"/>
      <w:marTop w:val="0"/>
      <w:marBottom w:val="0"/>
      <w:divBdr>
        <w:top w:val="none" w:sz="0" w:space="0" w:color="auto"/>
        <w:left w:val="none" w:sz="0" w:space="0" w:color="auto"/>
        <w:bottom w:val="none" w:sz="0" w:space="0" w:color="auto"/>
        <w:right w:val="none" w:sz="0" w:space="0" w:color="auto"/>
      </w:divBdr>
    </w:div>
    <w:div w:id="595789110">
      <w:bodyDiv w:val="1"/>
      <w:marLeft w:val="0"/>
      <w:marRight w:val="0"/>
      <w:marTop w:val="0"/>
      <w:marBottom w:val="0"/>
      <w:divBdr>
        <w:top w:val="none" w:sz="0" w:space="0" w:color="auto"/>
        <w:left w:val="none" w:sz="0" w:space="0" w:color="auto"/>
        <w:bottom w:val="none" w:sz="0" w:space="0" w:color="auto"/>
        <w:right w:val="none" w:sz="0" w:space="0" w:color="auto"/>
      </w:divBdr>
    </w:div>
    <w:div w:id="1331106068">
      <w:bodyDiv w:val="1"/>
      <w:marLeft w:val="0"/>
      <w:marRight w:val="0"/>
      <w:marTop w:val="0"/>
      <w:marBottom w:val="0"/>
      <w:divBdr>
        <w:top w:val="none" w:sz="0" w:space="0" w:color="auto"/>
        <w:left w:val="none" w:sz="0" w:space="0" w:color="auto"/>
        <w:bottom w:val="none" w:sz="0" w:space="0" w:color="auto"/>
        <w:right w:val="none" w:sz="0" w:space="0" w:color="auto"/>
      </w:divBdr>
    </w:div>
    <w:div w:id="1473133584">
      <w:bodyDiv w:val="1"/>
      <w:marLeft w:val="0"/>
      <w:marRight w:val="0"/>
      <w:marTop w:val="0"/>
      <w:marBottom w:val="0"/>
      <w:divBdr>
        <w:top w:val="none" w:sz="0" w:space="0" w:color="auto"/>
        <w:left w:val="none" w:sz="0" w:space="0" w:color="auto"/>
        <w:bottom w:val="none" w:sz="0" w:space="0" w:color="auto"/>
        <w:right w:val="none" w:sz="0" w:space="0" w:color="auto"/>
      </w:divBdr>
    </w:div>
    <w:div w:id="1987472336">
      <w:bodyDiv w:val="1"/>
      <w:marLeft w:val="0"/>
      <w:marRight w:val="0"/>
      <w:marTop w:val="0"/>
      <w:marBottom w:val="0"/>
      <w:divBdr>
        <w:top w:val="none" w:sz="0" w:space="0" w:color="auto"/>
        <w:left w:val="none" w:sz="0" w:space="0" w:color="auto"/>
        <w:bottom w:val="none" w:sz="0" w:space="0" w:color="auto"/>
        <w:right w:val="none" w:sz="0" w:space="0" w:color="auto"/>
      </w:divBdr>
    </w:div>
    <w:div w:id="202689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gcon.sen@aph.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www.humanrights.gov.au/our-work/sexual-orientation-sex-gender-identity/publications/resilient-individuals-sexual" TargetMode="External"/><Relationship Id="rId1" Type="http://schemas.openxmlformats.org/officeDocument/2006/relationships/hyperlink" Target="https://www.humanrights.gov.au/lesbian-gay-bisexual-trans-and-intersex-equality-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AHRC%20Executive%20Letterhead\Tim%20Wilson%20-%20Onlin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AB720-EA44-4A44-A04B-6FE79E52D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 Wilson - Online Letterhead.dot</Template>
  <TotalTime>13</TotalTime>
  <Pages>4</Pages>
  <Words>1136</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Our Ref: [Insert File Reference]</vt:lpstr>
    </vt:vector>
  </TitlesOfParts>
  <Company>Human Rights Commission</Company>
  <LinksUpToDate>false</LinksUpToDate>
  <CharactersWithSpaces>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[Insert File Reference]</dc:title>
  <dc:subject/>
  <dc:creator>Akhil Abraham</dc:creator>
  <cp:keywords/>
  <cp:lastModifiedBy>Akhil Abraham</cp:lastModifiedBy>
  <cp:revision>6</cp:revision>
  <cp:lastPrinted>2015-09-02T22:46:00Z</cp:lastPrinted>
  <dcterms:created xsi:type="dcterms:W3CDTF">2015-09-03T23:25:00Z</dcterms:created>
  <dcterms:modified xsi:type="dcterms:W3CDTF">2015-09-09T23:53:00Z</dcterms:modified>
</cp:coreProperties>
</file>