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A7F7" w14:textId="77777777" w:rsidR="00B42834" w:rsidRPr="00D714A2" w:rsidRDefault="00B42834" w:rsidP="00645318">
      <w:pPr>
        <w:pStyle w:val="NoSpacing"/>
        <w:rPr>
          <w:rFonts w:cs="Open Sans"/>
        </w:rPr>
      </w:pPr>
    </w:p>
    <w:p w14:paraId="052FE42E" w14:textId="02A78AF9" w:rsidR="00133F91" w:rsidRPr="00F305E1" w:rsidRDefault="00C90CB4" w:rsidP="00645318">
      <w:pPr>
        <w:pStyle w:val="NoSpacing"/>
        <w:rPr>
          <w:rFonts w:cs="Open Sans"/>
        </w:rPr>
      </w:pPr>
      <w:r>
        <w:rPr>
          <w:rFonts w:cs="Open Sans"/>
        </w:rPr>
        <w:t>25</w:t>
      </w:r>
      <w:r w:rsidRPr="00772E43">
        <w:rPr>
          <w:rFonts w:cs="Open Sans"/>
        </w:rPr>
        <w:t xml:space="preserve"> </w:t>
      </w:r>
      <w:r w:rsidR="00C8654C">
        <w:rPr>
          <w:rFonts w:cs="Open Sans"/>
        </w:rPr>
        <w:t>July</w:t>
      </w:r>
      <w:r w:rsidR="00B42834" w:rsidRPr="00D714A2">
        <w:rPr>
          <w:rFonts w:cs="Open Sans"/>
        </w:rPr>
        <w:t xml:space="preserve"> 2019</w:t>
      </w:r>
    </w:p>
    <w:p w14:paraId="334D4D50" w14:textId="77777777" w:rsidR="00B42834" w:rsidRPr="00F305E1" w:rsidRDefault="00B42834" w:rsidP="00645318">
      <w:pPr>
        <w:pStyle w:val="NoSpacing"/>
        <w:rPr>
          <w:rFonts w:cs="Open Sans"/>
        </w:rPr>
      </w:pPr>
    </w:p>
    <w:p w14:paraId="6BD1D0A2" w14:textId="77777777" w:rsidR="00645318" w:rsidRPr="00F305E1" w:rsidRDefault="00645318" w:rsidP="00645318">
      <w:pPr>
        <w:pStyle w:val="NoSpacing"/>
        <w:rPr>
          <w:rFonts w:cs="Open Sans"/>
        </w:rPr>
      </w:pPr>
      <w:r w:rsidRPr="00F305E1">
        <w:rPr>
          <w:rFonts w:cs="Open Sans"/>
        </w:rPr>
        <w:t>Parliamentary Joint Committee on Intelligence and Security</w:t>
      </w:r>
    </w:p>
    <w:p w14:paraId="6B3DC5BE" w14:textId="77777777" w:rsidR="00645318" w:rsidRPr="00F305E1" w:rsidRDefault="00645318" w:rsidP="00645318">
      <w:pPr>
        <w:pStyle w:val="NoSpacing"/>
        <w:rPr>
          <w:rFonts w:cs="Open Sans"/>
        </w:rPr>
      </w:pPr>
      <w:r w:rsidRPr="00F305E1">
        <w:rPr>
          <w:rFonts w:cs="Open Sans"/>
        </w:rPr>
        <w:t>PO Box 6021</w:t>
      </w:r>
    </w:p>
    <w:p w14:paraId="3BD803A2" w14:textId="77777777" w:rsidR="00645318" w:rsidRPr="00F305E1" w:rsidRDefault="00645318" w:rsidP="00645318">
      <w:pPr>
        <w:pStyle w:val="NoSpacing"/>
        <w:rPr>
          <w:rFonts w:cs="Open Sans"/>
        </w:rPr>
      </w:pPr>
      <w:r w:rsidRPr="00F305E1">
        <w:rPr>
          <w:rFonts w:cs="Open Sans"/>
        </w:rPr>
        <w:t>Parliament House</w:t>
      </w:r>
    </w:p>
    <w:p w14:paraId="486BF01A" w14:textId="00442964" w:rsidR="00645318" w:rsidRDefault="00645318" w:rsidP="00645318">
      <w:pPr>
        <w:pStyle w:val="NoSpacing"/>
        <w:rPr>
          <w:rFonts w:cs="Open Sans"/>
        </w:rPr>
      </w:pPr>
      <w:r w:rsidRPr="00F305E1">
        <w:rPr>
          <w:rFonts w:cs="Open Sans"/>
        </w:rPr>
        <w:t>Canberra ACT 2600</w:t>
      </w:r>
    </w:p>
    <w:p w14:paraId="51F4A07E" w14:textId="30BDE056" w:rsidR="00085AFA" w:rsidRDefault="00085AFA" w:rsidP="00645318">
      <w:pPr>
        <w:pStyle w:val="NoSpacing"/>
        <w:rPr>
          <w:rFonts w:cs="Open Sans"/>
        </w:rPr>
      </w:pPr>
    </w:p>
    <w:p w14:paraId="7F540DF1" w14:textId="48A6AB79" w:rsidR="00085AFA" w:rsidRPr="00085AFA" w:rsidRDefault="00085AFA" w:rsidP="00645318">
      <w:pPr>
        <w:pStyle w:val="NoSpacing"/>
        <w:rPr>
          <w:rFonts w:cs="Open Sans"/>
          <w:i/>
        </w:rPr>
      </w:pPr>
      <w:r w:rsidRPr="00085AFA">
        <w:rPr>
          <w:rFonts w:cs="Open Sans"/>
          <w:i/>
        </w:rPr>
        <w:t>By electronic submission</w:t>
      </w:r>
    </w:p>
    <w:p w14:paraId="7E24123C" w14:textId="067AA6B0" w:rsidR="00645318" w:rsidRPr="00F305E1" w:rsidRDefault="00645318" w:rsidP="005C50FC">
      <w:pPr>
        <w:pStyle w:val="NoSpacing"/>
        <w:rPr>
          <w:rFonts w:cs="Open Sans"/>
        </w:rPr>
      </w:pPr>
    </w:p>
    <w:p w14:paraId="1D65C751" w14:textId="6DF57F5D" w:rsidR="000F179B" w:rsidRPr="00F305E1" w:rsidRDefault="000F179B" w:rsidP="005C50FC">
      <w:pPr>
        <w:pStyle w:val="NoSpacing"/>
        <w:rPr>
          <w:rFonts w:cs="Open Sans"/>
        </w:rPr>
      </w:pPr>
      <w:r w:rsidRPr="00F305E1">
        <w:rPr>
          <w:rFonts w:cs="Open Sans"/>
        </w:rPr>
        <w:t xml:space="preserve">Dear </w:t>
      </w:r>
      <w:r w:rsidR="004528E5" w:rsidRPr="00F305E1">
        <w:rPr>
          <w:rFonts w:cs="Open Sans"/>
        </w:rPr>
        <w:t>Committee</w:t>
      </w:r>
      <w:r w:rsidR="005C72C7" w:rsidRPr="00F305E1">
        <w:rPr>
          <w:rFonts w:cs="Open Sans"/>
        </w:rPr>
        <w:t>,</w:t>
      </w:r>
    </w:p>
    <w:p w14:paraId="58AD1FF9" w14:textId="0CE05D13" w:rsidR="005C50FC" w:rsidRPr="00F305E1" w:rsidRDefault="00C8654C" w:rsidP="00FC198F">
      <w:pPr>
        <w:pStyle w:val="Heading1"/>
        <w:tabs>
          <w:tab w:val="left" w:pos="0"/>
        </w:tabs>
        <w:spacing w:before="360" w:after="0"/>
        <w:rPr>
          <w:rFonts w:eastAsia="MS Mincho" w:cs="Open Sans"/>
          <w:sz w:val="28"/>
        </w:rPr>
      </w:pPr>
      <w:r>
        <w:rPr>
          <w:rFonts w:eastAsia="MS Mincho" w:cs="Open Sans"/>
          <w:sz w:val="28"/>
        </w:rPr>
        <w:t>Inquiry into the impact of the exercise of law enforcement and intelligence powers on the freedom of the press</w:t>
      </w:r>
    </w:p>
    <w:p w14:paraId="67ED7EE2" w14:textId="77777777" w:rsidR="000345C1" w:rsidRDefault="000345C1" w:rsidP="00C8654C">
      <w:pPr>
        <w:pStyle w:val="NoSpacing"/>
      </w:pPr>
    </w:p>
    <w:p w14:paraId="67592B4E" w14:textId="67E5EE4D" w:rsidR="00C8654C" w:rsidRDefault="00D976E0" w:rsidP="00C8654C">
      <w:pPr>
        <w:pStyle w:val="NoSpacing"/>
      </w:pPr>
      <w:r w:rsidRPr="00F305E1">
        <w:rPr>
          <w:rFonts w:cs="Open Sans"/>
        </w:rPr>
        <w:t xml:space="preserve">The Australian Human Rights Commission (the Commission) </w:t>
      </w:r>
      <w:r w:rsidR="00A35F12" w:rsidRPr="00F305E1">
        <w:rPr>
          <w:rFonts w:cs="Open Sans"/>
        </w:rPr>
        <w:t>welcome</w:t>
      </w:r>
      <w:r w:rsidRPr="00F305E1">
        <w:rPr>
          <w:rFonts w:cs="Open Sans"/>
        </w:rPr>
        <w:t>s</w:t>
      </w:r>
      <w:r w:rsidR="00A35F12" w:rsidRPr="00F305E1">
        <w:rPr>
          <w:rFonts w:cs="Open Sans"/>
        </w:rPr>
        <w:t xml:space="preserve"> the opportunity to </w:t>
      </w:r>
      <w:r w:rsidR="003E35E1">
        <w:rPr>
          <w:rFonts w:cs="Open Sans"/>
        </w:rPr>
        <w:t>contribute to</w:t>
      </w:r>
      <w:r w:rsidR="00024D9D" w:rsidRPr="00F305E1">
        <w:rPr>
          <w:rFonts w:cs="Open Sans"/>
        </w:rPr>
        <w:t xml:space="preserve"> the</w:t>
      </w:r>
      <w:r w:rsidR="001A24E6" w:rsidRPr="00F305E1">
        <w:rPr>
          <w:rFonts w:cs="Open Sans"/>
        </w:rPr>
        <w:t xml:space="preserve"> Parliamentary Joint Committ</w:t>
      </w:r>
      <w:r w:rsidR="00FA4FEE" w:rsidRPr="00F305E1">
        <w:rPr>
          <w:rFonts w:cs="Open Sans"/>
        </w:rPr>
        <w:t>ee on Intelligence and Security</w:t>
      </w:r>
      <w:r w:rsidR="00E71E02" w:rsidRPr="00F305E1">
        <w:rPr>
          <w:rFonts w:cs="Open Sans"/>
        </w:rPr>
        <w:t xml:space="preserve"> (the Committee)</w:t>
      </w:r>
      <w:r w:rsidR="001A24E6" w:rsidRPr="00F305E1">
        <w:rPr>
          <w:rFonts w:cs="Open Sans"/>
        </w:rPr>
        <w:t xml:space="preserve"> inquiry into the </w:t>
      </w:r>
      <w:r w:rsidR="00C8654C">
        <w:t>impact of the exercise of law enforcement and intelligence powers on the freedom of the pres</w:t>
      </w:r>
      <w:r w:rsidR="0052749E">
        <w:t>s</w:t>
      </w:r>
      <w:r w:rsidR="00C8654C">
        <w:t>.</w:t>
      </w:r>
    </w:p>
    <w:p w14:paraId="7AF3E469" w14:textId="798E8FF8" w:rsidR="00115F5A" w:rsidRDefault="00115F5A" w:rsidP="00C8654C">
      <w:pPr>
        <w:pStyle w:val="NoSpacing"/>
      </w:pPr>
    </w:p>
    <w:p w14:paraId="2F4BE10F" w14:textId="0356FF76" w:rsidR="008C384E" w:rsidRDefault="00115F5A" w:rsidP="00C8654C">
      <w:pPr>
        <w:pStyle w:val="NoSpacing"/>
      </w:pPr>
      <w:r>
        <w:t>The existence of a free press is</w:t>
      </w:r>
      <w:r w:rsidRPr="00115F5A">
        <w:t xml:space="preserve"> a vital safeguard for human rights</w:t>
      </w:r>
      <w:r>
        <w:t xml:space="preserve">, and is essential to the functioning of our democracy. </w:t>
      </w:r>
      <w:r w:rsidR="008C384E">
        <w:t>The press</w:t>
      </w:r>
      <w:r w:rsidR="00C90CB4">
        <w:t>, including the various conventional and new types of media through which journalists report,</w:t>
      </w:r>
      <w:r w:rsidR="008C384E">
        <w:t xml:space="preserve"> plays a vital role in disclosing human rights abuses, including those that can result from the exercise of coercive power by the state. </w:t>
      </w:r>
    </w:p>
    <w:p w14:paraId="33EF2713" w14:textId="77777777" w:rsidR="008C384E" w:rsidRDefault="008C384E" w:rsidP="00C8654C">
      <w:pPr>
        <w:pStyle w:val="NoSpacing"/>
      </w:pPr>
    </w:p>
    <w:p w14:paraId="6D3618CC" w14:textId="51728EA3" w:rsidR="00115F5A" w:rsidRDefault="00115F5A" w:rsidP="00C8654C">
      <w:pPr>
        <w:pStyle w:val="NoSpacing"/>
      </w:pPr>
      <w:r>
        <w:t>A free press cannot exist unless journalists and their sources can receive and communicate information free from fear of arbitrary reprisal</w:t>
      </w:r>
      <w:r w:rsidR="00613DEA">
        <w:t xml:space="preserve"> and other unwarranted restrictions</w:t>
      </w:r>
      <w:r>
        <w:t xml:space="preserve">. </w:t>
      </w:r>
      <w:r w:rsidR="00BF4A90">
        <w:t>The Commission has discussed this issue in the context of national security and law enforcement in submissions to several previous inquiries.</w:t>
      </w:r>
      <w:r w:rsidR="004E2B71">
        <w:rPr>
          <w:rStyle w:val="EndnoteReference"/>
        </w:rPr>
        <w:endnoteReference w:id="1"/>
      </w:r>
      <w:r w:rsidR="00BF4A90">
        <w:t xml:space="preserve"> </w:t>
      </w:r>
    </w:p>
    <w:p w14:paraId="16A2857E" w14:textId="73D9F240" w:rsidR="005B5F8F" w:rsidRDefault="005B5F8F" w:rsidP="00C8654C">
      <w:pPr>
        <w:pStyle w:val="NoSpacing"/>
      </w:pPr>
    </w:p>
    <w:p w14:paraId="5DF37F29" w14:textId="7275C5BD" w:rsidR="00C13DE6" w:rsidRDefault="00115F5A" w:rsidP="00C8654C">
      <w:pPr>
        <w:pStyle w:val="NoSpacing"/>
      </w:pPr>
      <w:r>
        <w:t xml:space="preserve">The </w:t>
      </w:r>
      <w:r w:rsidR="009F1174">
        <w:t xml:space="preserve">Terms </w:t>
      </w:r>
      <w:r>
        <w:t xml:space="preserve">of </w:t>
      </w:r>
      <w:r w:rsidR="009F1174">
        <w:t xml:space="preserve">Reference </w:t>
      </w:r>
      <w:r>
        <w:t xml:space="preserve">for this inquiry focus on </w:t>
      </w:r>
      <w:r w:rsidR="00DB12C1">
        <w:t>how</w:t>
      </w:r>
      <w:r>
        <w:t xml:space="preserve"> journalists and the press may be affected </w:t>
      </w:r>
      <w:r w:rsidR="005B5F8F">
        <w:t xml:space="preserve">by the activities of law enforcement and national security agencies.  </w:t>
      </w:r>
    </w:p>
    <w:p w14:paraId="0D645315" w14:textId="77777777" w:rsidR="00C13DE6" w:rsidRDefault="00C13DE6" w:rsidP="00C8654C">
      <w:pPr>
        <w:pStyle w:val="NoSpacing"/>
      </w:pPr>
    </w:p>
    <w:p w14:paraId="75E91441" w14:textId="09DDF964" w:rsidR="00375E76" w:rsidRDefault="00C13DE6" w:rsidP="00C8654C">
      <w:pPr>
        <w:pStyle w:val="NoSpacing"/>
      </w:pPr>
      <w:r>
        <w:t xml:space="preserve">This submission outlines the protections for the media required in international human rights law, to assist the Committee in assessing the necessity and proportionality of current limitations on press freedom. </w:t>
      </w:r>
    </w:p>
    <w:p w14:paraId="23BFBF95" w14:textId="77777777" w:rsidR="00C13DE6" w:rsidRDefault="00C13DE6" w:rsidP="00C8654C">
      <w:pPr>
        <w:pStyle w:val="NoSpacing"/>
      </w:pPr>
    </w:p>
    <w:p w14:paraId="79FA6BBC" w14:textId="5C022B89" w:rsidR="00966EA1" w:rsidRDefault="00966EA1" w:rsidP="00B70D0F">
      <w:pPr>
        <w:pStyle w:val="NoSpacing"/>
        <w:keepNext/>
      </w:pPr>
      <w:r>
        <w:rPr>
          <w:b/>
        </w:rPr>
        <w:t>Background</w:t>
      </w:r>
    </w:p>
    <w:p w14:paraId="1017AC63" w14:textId="77777777" w:rsidR="00966EA1" w:rsidRDefault="00966EA1" w:rsidP="00E953FC">
      <w:pPr>
        <w:pStyle w:val="NoSpacing"/>
      </w:pPr>
    </w:p>
    <w:p w14:paraId="52222CB5" w14:textId="5599D085" w:rsidR="00E713EA" w:rsidRDefault="00E713EA" w:rsidP="00104C21">
      <w:pPr>
        <w:pStyle w:val="NoSpacing"/>
      </w:pPr>
      <w:r>
        <w:t>The Commission commends the Government for referring this inquiry to the Committee. It is timely. As the Committee’s Chair has acknowledged, the Government referred this inquiry ‘based on concerns raised in relation to recent search warrants executed on members of the press, and the issue of balancing national security with the freedom of the press’.</w:t>
      </w:r>
      <w:r>
        <w:rPr>
          <w:rStyle w:val="EndnoteReference"/>
        </w:rPr>
        <w:endnoteReference w:id="2"/>
      </w:r>
      <w:r w:rsidR="00104C21">
        <w:t xml:space="preserve"> This is a </w:t>
      </w:r>
      <w:r>
        <w:t>reference to the recent raids by the Australian Federal Police of the home of journalist Annika Smethurst and the Sydney offices of the Australian Broadcasting Corporation.</w:t>
      </w:r>
      <w:r>
        <w:rPr>
          <w:rStyle w:val="EndnoteReference"/>
        </w:rPr>
        <w:endnoteReference w:id="3"/>
      </w:r>
      <w:r>
        <w:t xml:space="preserve"> </w:t>
      </w:r>
      <w:r w:rsidR="00320EFC">
        <w:t>These raids have rightly invited scrutiny of the extent to which Australia’s criminal and national security law, policy and practice impinge upon the right to free</w:t>
      </w:r>
      <w:r w:rsidR="00DB12C1">
        <w:t>dom of expression</w:t>
      </w:r>
      <w:r w:rsidR="00320EFC">
        <w:t xml:space="preserve"> and the freedom of the press — </w:t>
      </w:r>
      <w:r w:rsidR="00F8125B">
        <w:t xml:space="preserve">matters which are of fundamental importance to the rights and </w:t>
      </w:r>
      <w:r w:rsidR="00C8654C">
        <w:t xml:space="preserve">freedoms of </w:t>
      </w:r>
      <w:r w:rsidR="00550408">
        <w:t xml:space="preserve">all </w:t>
      </w:r>
      <w:r w:rsidR="00C8654C">
        <w:t>Australians</w:t>
      </w:r>
      <w:r w:rsidR="00550408">
        <w:t>.</w:t>
      </w:r>
    </w:p>
    <w:p w14:paraId="7681B0C3" w14:textId="77777777" w:rsidR="00E713EA" w:rsidRDefault="00E713EA" w:rsidP="00472F53">
      <w:pPr>
        <w:pStyle w:val="NoSpacing"/>
      </w:pPr>
    </w:p>
    <w:p w14:paraId="749BAB7E" w14:textId="48A680B4" w:rsidR="00E953FC" w:rsidRDefault="00DB12C1" w:rsidP="00E953FC">
      <w:pPr>
        <w:pStyle w:val="NoSpacing"/>
      </w:pPr>
      <w:r>
        <w:t>Most recently</w:t>
      </w:r>
      <w:r w:rsidR="00E953FC">
        <w:t xml:space="preserve">, Australia </w:t>
      </w:r>
      <w:r w:rsidR="003A7285">
        <w:t xml:space="preserve">has been ranked </w:t>
      </w:r>
      <w:r w:rsidR="00E953FC">
        <w:t>21 out of 180 countries in press freedom.</w:t>
      </w:r>
      <w:r w:rsidR="00E953FC">
        <w:rPr>
          <w:rStyle w:val="EndnoteReference"/>
        </w:rPr>
        <w:endnoteReference w:id="4"/>
      </w:r>
      <w:r w:rsidR="00E953FC">
        <w:t xml:space="preserve"> </w:t>
      </w:r>
      <w:r w:rsidR="00E953FC" w:rsidRPr="00747A75">
        <w:rPr>
          <w:iCs/>
        </w:rPr>
        <w:t>Reporters without Borders</w:t>
      </w:r>
      <w:r w:rsidR="00E953FC">
        <w:t>, wh</w:t>
      </w:r>
      <w:r w:rsidR="00200F91">
        <w:t>ich</w:t>
      </w:r>
      <w:r w:rsidR="00E953FC">
        <w:t xml:space="preserve"> publishes the rankings, observed </w:t>
      </w:r>
      <w:r w:rsidR="00EF25B0">
        <w:t>that in</w:t>
      </w:r>
      <w:r w:rsidR="00E953FC">
        <w:t xml:space="preserve"> Australia ‘[t]he space left for demanding investigative journalism has</w:t>
      </w:r>
      <w:r w:rsidR="009F1174">
        <w:t xml:space="preserve"> </w:t>
      </w:r>
      <w:r w:rsidR="00E953FC">
        <w:t>… been reduced by the fact that independent investigative reporters and whistleblowers face draconian legislation</w:t>
      </w:r>
      <w:r w:rsidR="009F1174">
        <w:t xml:space="preserve"> </w:t>
      </w:r>
      <w:r w:rsidR="00E953FC">
        <w:t>… [and] its laws on terrorism and national security make covering these issues almost impossible</w:t>
      </w:r>
      <w:r w:rsidR="009F1174">
        <w:t>’</w:t>
      </w:r>
      <w:r w:rsidR="00E953FC">
        <w:t>.</w:t>
      </w:r>
      <w:r w:rsidR="00E953FC">
        <w:rPr>
          <w:rStyle w:val="EndnoteReference"/>
        </w:rPr>
        <w:endnoteReference w:id="5"/>
      </w:r>
    </w:p>
    <w:p w14:paraId="5CDAB956" w14:textId="0F750DDF" w:rsidR="00550408" w:rsidRDefault="00550408" w:rsidP="000270F9">
      <w:pPr>
        <w:pStyle w:val="NoSpacing"/>
      </w:pPr>
    </w:p>
    <w:p w14:paraId="18A1EFEB" w14:textId="027BAFAC" w:rsidR="009F1C0F" w:rsidRDefault="003A7285" w:rsidP="000270F9">
      <w:pPr>
        <w:pStyle w:val="NoSpacing"/>
      </w:pPr>
      <w:r>
        <w:rPr>
          <w:b/>
        </w:rPr>
        <w:t>Human rights and freedom of the</w:t>
      </w:r>
      <w:r w:rsidRPr="003A7285">
        <w:rPr>
          <w:b/>
        </w:rPr>
        <w:t xml:space="preserve"> </w:t>
      </w:r>
      <w:r>
        <w:rPr>
          <w:b/>
        </w:rPr>
        <w:t>press</w:t>
      </w:r>
    </w:p>
    <w:p w14:paraId="4DEBDF60" w14:textId="77777777" w:rsidR="009F1C0F" w:rsidRDefault="009F1C0F" w:rsidP="000270F9">
      <w:pPr>
        <w:pStyle w:val="NoSpacing"/>
      </w:pPr>
    </w:p>
    <w:p w14:paraId="51510EB6" w14:textId="3F208E2B" w:rsidR="002D5CA8" w:rsidRDefault="008973C5" w:rsidP="00E953FC">
      <w:pPr>
        <w:pStyle w:val="NoSpacing"/>
      </w:pPr>
      <w:r>
        <w:t>A</w:t>
      </w:r>
      <w:r w:rsidR="00E953FC">
        <w:t xml:space="preserve"> free press is a fundamental prerequisite to a</w:t>
      </w:r>
      <w:r w:rsidR="0060368F">
        <w:t xml:space="preserve"> fully </w:t>
      </w:r>
      <w:r w:rsidR="00E953FC">
        <w:t>informed population and to accountable government decision-making.</w:t>
      </w:r>
      <w:r w:rsidR="00E113BE">
        <w:t xml:space="preserve"> </w:t>
      </w:r>
      <w:r w:rsidR="00883BBE">
        <w:t>A press</w:t>
      </w:r>
      <w:r w:rsidR="0041044C">
        <w:t xml:space="preserve"> free from </w:t>
      </w:r>
      <w:r w:rsidR="00883BBE">
        <w:t xml:space="preserve">government </w:t>
      </w:r>
      <w:r w:rsidR="0041044C">
        <w:t>interference</w:t>
      </w:r>
      <w:r w:rsidR="00883BBE">
        <w:t xml:space="preserve"> and intimidation </w:t>
      </w:r>
      <w:r w:rsidR="00E113BE">
        <w:t xml:space="preserve">has been </w:t>
      </w:r>
      <w:r w:rsidR="00F95BDF">
        <w:t>a part of</w:t>
      </w:r>
      <w:r w:rsidR="00E113BE">
        <w:t xml:space="preserve"> liberal democratic thought for</w:t>
      </w:r>
      <w:r w:rsidR="0060368F">
        <w:t xml:space="preserve"> centuries</w:t>
      </w:r>
      <w:r w:rsidR="008C38C4">
        <w:t>,</w:t>
      </w:r>
      <w:r w:rsidR="00883BBE">
        <w:t xml:space="preserve"> </w:t>
      </w:r>
      <w:r w:rsidR="00E113BE">
        <w:t xml:space="preserve">from </w:t>
      </w:r>
      <w:r w:rsidR="000E4561">
        <w:t xml:space="preserve">John Milton’s </w:t>
      </w:r>
      <w:r w:rsidR="00883BBE">
        <w:t xml:space="preserve">caution over </w:t>
      </w:r>
      <w:r w:rsidR="00644F6E">
        <w:t xml:space="preserve">government </w:t>
      </w:r>
      <w:r w:rsidR="00883BBE">
        <w:t>censorship</w:t>
      </w:r>
      <w:r w:rsidR="000E4561">
        <w:t xml:space="preserve"> in 16</w:t>
      </w:r>
      <w:r w:rsidR="0060368F">
        <w:t>40</w:t>
      </w:r>
      <w:r w:rsidR="000E4561">
        <w:t>s</w:t>
      </w:r>
      <w:r w:rsidR="008C38C4">
        <w:t xml:space="preserve"> England</w:t>
      </w:r>
      <w:r w:rsidR="0091105B">
        <w:t>,</w:t>
      </w:r>
      <w:r w:rsidR="000E4561">
        <w:rPr>
          <w:rStyle w:val="EndnoteReference"/>
        </w:rPr>
        <w:endnoteReference w:id="6"/>
      </w:r>
      <w:r w:rsidR="000E4561">
        <w:t xml:space="preserve"> to </w:t>
      </w:r>
      <w:r w:rsidR="00747A75">
        <w:t>inclusion as</w:t>
      </w:r>
      <w:r w:rsidR="00E113BE">
        <w:t xml:space="preserve"> the First Amendment to the </w:t>
      </w:r>
      <w:r w:rsidR="00644F6E">
        <w:t xml:space="preserve">United States </w:t>
      </w:r>
      <w:r w:rsidR="00E113BE">
        <w:t>Constitution.</w:t>
      </w:r>
      <w:r w:rsidR="0060368F">
        <w:rPr>
          <w:rStyle w:val="EndnoteReference"/>
        </w:rPr>
        <w:endnoteReference w:id="7"/>
      </w:r>
      <w:r w:rsidR="00E113BE">
        <w:t xml:space="preserve"> </w:t>
      </w:r>
      <w:r w:rsidR="00984B3B">
        <w:t xml:space="preserve">It has been described as ‘the freedom </w:t>
      </w:r>
      <w:r w:rsidR="00984B3B" w:rsidRPr="00FA7843">
        <w:rPr>
          <w:i/>
          <w:iCs/>
        </w:rPr>
        <w:t>par excellence</w:t>
      </w:r>
      <w:r w:rsidR="00984B3B">
        <w:t>; for without it, no other freedom could survive’.</w:t>
      </w:r>
      <w:r w:rsidR="00984B3B">
        <w:rPr>
          <w:rStyle w:val="EndnoteReference"/>
        </w:rPr>
        <w:endnoteReference w:id="8"/>
      </w:r>
      <w:r w:rsidR="00193A46">
        <w:t xml:space="preserve"> </w:t>
      </w:r>
    </w:p>
    <w:p w14:paraId="1175315E" w14:textId="77777777" w:rsidR="002D5CA8" w:rsidRDefault="002D5CA8" w:rsidP="00E953FC">
      <w:pPr>
        <w:pStyle w:val="NoSpacing"/>
      </w:pPr>
    </w:p>
    <w:p w14:paraId="426A6C7B" w14:textId="5EFAE7D4" w:rsidR="00E953FC" w:rsidRDefault="00984B3B">
      <w:pPr>
        <w:pStyle w:val="NoSpacing"/>
      </w:pPr>
      <w:r>
        <w:t xml:space="preserve">Press freedom is </w:t>
      </w:r>
      <w:r w:rsidR="00193A46">
        <w:t>explicitly</w:t>
      </w:r>
      <w:r w:rsidR="00F95BDF">
        <w:t xml:space="preserve"> </w:t>
      </w:r>
      <w:r w:rsidR="000E4561">
        <w:t>protected in</w:t>
      </w:r>
      <w:r w:rsidR="00F95BDF">
        <w:t xml:space="preserve"> </w:t>
      </w:r>
      <w:r w:rsidR="003A7285">
        <w:t>both</w:t>
      </w:r>
      <w:r w:rsidR="00F95BDF">
        <w:t xml:space="preserve"> </w:t>
      </w:r>
      <w:r w:rsidR="000E4561">
        <w:t>international and regional human rights treaties</w:t>
      </w:r>
      <w:r w:rsidR="008973C5">
        <w:t>.</w:t>
      </w:r>
      <w:r w:rsidR="000E4561">
        <w:rPr>
          <w:rStyle w:val="EndnoteReference"/>
        </w:rPr>
        <w:endnoteReference w:id="9"/>
      </w:r>
      <w:r w:rsidR="000E4561">
        <w:t xml:space="preserve"> </w:t>
      </w:r>
      <w:r w:rsidR="00400ADA">
        <w:t xml:space="preserve">The United Nations Human Rights Committee </w:t>
      </w:r>
      <w:r w:rsidR="002D5CA8">
        <w:t xml:space="preserve">has described </w:t>
      </w:r>
      <w:r w:rsidR="0001452E">
        <w:t>it both</w:t>
      </w:r>
      <w:r w:rsidR="00CF38D4">
        <w:t xml:space="preserve"> as</w:t>
      </w:r>
      <w:r w:rsidR="00400ADA" w:rsidRPr="00D543C5">
        <w:t xml:space="preserve"> ‘an indispensable condition for the full development of the person’ and ‘a necessary condition for the realization of the principles of transparency and accountability that are, in turn, essential for the promotion and protection of human rights</w:t>
      </w:r>
      <w:r w:rsidR="0091105B">
        <w:t>’</w:t>
      </w:r>
      <w:r w:rsidR="00400ADA" w:rsidRPr="00D543C5">
        <w:t>.</w:t>
      </w:r>
      <w:r w:rsidR="00400ADA" w:rsidRPr="00D543C5">
        <w:rPr>
          <w:vertAlign w:val="superscript"/>
        </w:rPr>
        <w:endnoteReference w:id="10"/>
      </w:r>
      <w:r w:rsidR="00400ADA">
        <w:t xml:space="preserve"> </w:t>
      </w:r>
    </w:p>
    <w:p w14:paraId="6425A99C" w14:textId="77777777" w:rsidR="00E953FC" w:rsidRDefault="00E953FC" w:rsidP="00E953FC">
      <w:pPr>
        <w:pStyle w:val="NoSpacing"/>
      </w:pPr>
    </w:p>
    <w:p w14:paraId="1DAEA460" w14:textId="14137D00" w:rsidR="00E953FC" w:rsidRDefault="007D4A92" w:rsidP="00E953FC">
      <w:pPr>
        <w:pStyle w:val="NoSpacing"/>
      </w:pPr>
      <w:r>
        <w:t>J</w:t>
      </w:r>
      <w:r w:rsidR="00E953FC">
        <w:t>ust this month</w:t>
      </w:r>
      <w:r w:rsidR="003A7285">
        <w:t>,</w:t>
      </w:r>
      <w:r w:rsidR="00E953FC">
        <w:t xml:space="preserve"> a number of experts, including the UN Special Rapporteur on the promotion and protection of the right to freedom of opinion and expression, </w:t>
      </w:r>
      <w:r w:rsidR="0004732C">
        <w:t>recognised in</w:t>
      </w:r>
      <w:r w:rsidR="00E953FC">
        <w:t xml:space="preserve"> a joint declaration</w:t>
      </w:r>
      <w:r w:rsidR="0004732C">
        <w:t xml:space="preserve"> </w:t>
      </w:r>
      <w:r w:rsidR="00E953FC">
        <w:t>the need to:</w:t>
      </w:r>
    </w:p>
    <w:p w14:paraId="5295E16E" w14:textId="77777777" w:rsidR="00297BDA" w:rsidRDefault="00E953FC" w:rsidP="00297BDA">
      <w:pPr>
        <w:pStyle w:val="ListNumber"/>
        <w:numPr>
          <w:ilvl w:val="0"/>
          <w:numId w:val="0"/>
        </w:numPr>
        <w:ind w:left="720"/>
        <w:rPr>
          <w:sz w:val="22"/>
          <w:szCs w:val="22"/>
        </w:rPr>
      </w:pPr>
      <w:r w:rsidRPr="00AA2836">
        <w:rPr>
          <w:sz w:val="22"/>
          <w:szCs w:val="22"/>
        </w:rPr>
        <w:lastRenderedPageBreak/>
        <w:t>Ensure protection of freedom of expression as a matter of domestic legal, regulatory and policy frameworks in accordance with international standards, including by limiting criminal law restrictions on free speech so as not to deter public debate about matters of public interest.</w:t>
      </w:r>
      <w:r w:rsidRPr="00AA2836">
        <w:rPr>
          <w:rStyle w:val="EndnoteReference"/>
          <w:sz w:val="22"/>
          <w:szCs w:val="22"/>
        </w:rPr>
        <w:endnoteReference w:id="11"/>
      </w:r>
    </w:p>
    <w:p w14:paraId="2DF9CB9C" w14:textId="49A65724" w:rsidR="00297BDA" w:rsidRDefault="00297BDA" w:rsidP="00297BDA">
      <w:pPr>
        <w:pStyle w:val="ListNumber"/>
        <w:numPr>
          <w:ilvl w:val="0"/>
          <w:numId w:val="0"/>
        </w:numPr>
        <w:rPr>
          <w:sz w:val="22"/>
          <w:szCs w:val="22"/>
        </w:rPr>
      </w:pPr>
    </w:p>
    <w:p w14:paraId="3A3D58F9" w14:textId="5A9C928C" w:rsidR="005F7725" w:rsidRDefault="003A7285" w:rsidP="00AD2215">
      <w:pPr>
        <w:pStyle w:val="NoSpacing"/>
      </w:pPr>
      <w:r>
        <w:t xml:space="preserve">The freedom of the press is guaranteed </w:t>
      </w:r>
      <w:r w:rsidR="0091105B">
        <w:t xml:space="preserve">in </w:t>
      </w:r>
      <w:r w:rsidR="00193A46">
        <w:t>art</w:t>
      </w:r>
      <w:r w:rsidR="00DE7EEB">
        <w:t>icle</w:t>
      </w:r>
      <w:r w:rsidR="00AD2215">
        <w:t xml:space="preserve"> 19 of the </w:t>
      </w:r>
      <w:r w:rsidR="00AD2215" w:rsidRPr="00AD2215">
        <w:rPr>
          <w:i/>
          <w:iCs/>
        </w:rPr>
        <w:t>International Covenant on Civil and Political Rights</w:t>
      </w:r>
      <w:r w:rsidR="00AD2215">
        <w:t xml:space="preserve"> (ICCPR)</w:t>
      </w:r>
      <w:r w:rsidR="00193A46">
        <w:t>. That article also</w:t>
      </w:r>
      <w:r w:rsidR="00AD2215">
        <w:t xml:space="preserve"> </w:t>
      </w:r>
      <w:r w:rsidR="00AD6214">
        <w:t>guarantees the right to freedom of expression</w:t>
      </w:r>
      <w:r w:rsidR="00193A46">
        <w:t xml:space="preserve"> more generally</w:t>
      </w:r>
      <w:r w:rsidR="00AD6214">
        <w:t xml:space="preserve">. It </w:t>
      </w:r>
      <w:r w:rsidR="00AD2215">
        <w:t>expressly protects both the freedom to impart information and the freedom to seek and receive it.</w:t>
      </w:r>
      <w:r w:rsidR="00FB27C9">
        <w:t xml:space="preserve"> </w:t>
      </w:r>
      <w:r w:rsidR="00193A46">
        <w:t>It therefore requires that</w:t>
      </w:r>
      <w:r w:rsidR="00FB27C9" w:rsidRPr="00991123">
        <w:t xml:space="preserve"> appropriate protection be afforded to whistleblowers</w:t>
      </w:r>
      <w:r w:rsidR="00193A46">
        <w:t xml:space="preserve"> and journalists’ sources</w:t>
      </w:r>
      <w:r w:rsidR="00FB27C9" w:rsidRPr="00991123">
        <w:t>.</w:t>
      </w:r>
    </w:p>
    <w:p w14:paraId="1A78F1BE" w14:textId="77777777" w:rsidR="005F7725" w:rsidRDefault="005F7725" w:rsidP="00AD2215">
      <w:pPr>
        <w:pStyle w:val="NoSpacing"/>
      </w:pPr>
    </w:p>
    <w:p w14:paraId="08D0454A" w14:textId="629F8470" w:rsidR="00160E4A" w:rsidRDefault="00160E4A" w:rsidP="00160E4A">
      <w:pPr>
        <w:pStyle w:val="NoSpacing"/>
      </w:pPr>
      <w:r>
        <w:t>Australia, including its law enforcement and intelligence agencies, is obliged not to ‘engage in any activity or perform any act aimed at the destruction</w:t>
      </w:r>
      <w:r w:rsidR="0091105B">
        <w:t xml:space="preserve"> </w:t>
      </w:r>
      <w:r>
        <w:t>… of [the right to freedom of expression] or [its limitations] to a greater extent than is provided for in the [ICCPR]’.</w:t>
      </w:r>
      <w:r>
        <w:rPr>
          <w:rStyle w:val="EndnoteReference"/>
        </w:rPr>
        <w:endnoteReference w:id="12"/>
      </w:r>
    </w:p>
    <w:p w14:paraId="3D274589" w14:textId="77777777" w:rsidR="00160E4A" w:rsidRDefault="00160E4A" w:rsidP="00AD2215">
      <w:pPr>
        <w:pStyle w:val="NoSpacing"/>
      </w:pPr>
    </w:p>
    <w:p w14:paraId="7FEACD76" w14:textId="68EAFE02" w:rsidR="00AD2215" w:rsidRDefault="00934843" w:rsidP="00AD2215">
      <w:pPr>
        <w:pStyle w:val="NoSpacing"/>
      </w:pPr>
      <w:r>
        <w:t xml:space="preserve">Like many human rights, the right to freedom of expression is not absolute. The purposes which may justify limitations on the right are </w:t>
      </w:r>
      <w:r w:rsidR="00160E4A">
        <w:t>exhaustively set out</w:t>
      </w:r>
      <w:r w:rsidR="005F7725" w:rsidRPr="00991123">
        <w:t xml:space="preserve"> in paragraph 3 of </w:t>
      </w:r>
      <w:r w:rsidR="00212933">
        <w:t>a</w:t>
      </w:r>
      <w:r w:rsidR="005F7725" w:rsidRPr="00991123">
        <w:t>rticle 19</w:t>
      </w:r>
      <w:r w:rsidR="00AD2215">
        <w:t>.</w:t>
      </w:r>
      <w:r w:rsidR="00AD2215">
        <w:rPr>
          <w:rStyle w:val="EndnoteReference"/>
        </w:rPr>
        <w:endnoteReference w:id="13"/>
      </w:r>
      <w:r w:rsidR="00AD6214">
        <w:t xml:space="preserve"> </w:t>
      </w:r>
      <w:r w:rsidR="00212933">
        <w:t>These are where the restrictions in the law are necessary ‘for respect of the rights and reputation of others’</w:t>
      </w:r>
      <w:r w:rsidR="00212933">
        <w:rPr>
          <w:rStyle w:val="EndnoteReference"/>
        </w:rPr>
        <w:endnoteReference w:id="14"/>
      </w:r>
      <w:r w:rsidR="00212933">
        <w:t xml:space="preserve"> and ‘for the protection of national security or of public order, or of public health or morals’.</w:t>
      </w:r>
      <w:r w:rsidR="00212933">
        <w:rPr>
          <w:rStyle w:val="EndnoteReference"/>
        </w:rPr>
        <w:endnoteReference w:id="15"/>
      </w:r>
      <w:r w:rsidR="00640A3B">
        <w:t xml:space="preserve"> </w:t>
      </w:r>
      <w:r w:rsidR="00AD6214">
        <w:t>A</w:t>
      </w:r>
      <w:r w:rsidR="00AD2215">
        <w:t xml:space="preserve">ny </w:t>
      </w:r>
      <w:r w:rsidR="00AD6214">
        <w:t xml:space="preserve">such </w:t>
      </w:r>
      <w:r w:rsidR="00AD2215">
        <w:t xml:space="preserve">limitation must </w:t>
      </w:r>
      <w:r w:rsidR="00AD6214">
        <w:t xml:space="preserve">also </w:t>
      </w:r>
      <w:r w:rsidR="00AD2215">
        <w:t>be:</w:t>
      </w:r>
    </w:p>
    <w:p w14:paraId="1894A508" w14:textId="1A1F84F5" w:rsidR="002158F0" w:rsidRDefault="00AD2215" w:rsidP="002158F0">
      <w:pPr>
        <w:pStyle w:val="ListParagraph"/>
        <w:numPr>
          <w:ilvl w:val="0"/>
          <w:numId w:val="16"/>
        </w:numPr>
      </w:pPr>
      <w:r w:rsidRPr="00482B79">
        <w:rPr>
          <w:bCs/>
          <w:i/>
          <w:iCs/>
        </w:rPr>
        <w:t>provided by law</w:t>
      </w:r>
      <w:r w:rsidR="00AD6214">
        <w:rPr>
          <w:b/>
        </w:rPr>
        <w:t xml:space="preserve"> </w:t>
      </w:r>
      <w:r w:rsidR="00986014">
        <w:t>—</w:t>
      </w:r>
      <w:r w:rsidR="00AD6214">
        <w:t xml:space="preserve"> la</w:t>
      </w:r>
      <w:r>
        <w:t xml:space="preserve">ws limiting the right must be </w:t>
      </w:r>
      <w:r w:rsidRPr="002C01EB">
        <w:t>made accessible to the public, and must provide sufficient guidance both to those executing the laws and to those whose conduct is being regulated</w:t>
      </w:r>
      <w:r w:rsidR="003B08DE">
        <w:t>,</w:t>
      </w:r>
      <w:r w:rsidRPr="00747A75">
        <w:rPr>
          <w:sz w:val="20"/>
          <w:szCs w:val="20"/>
          <w:vertAlign w:val="superscript"/>
        </w:rPr>
        <w:endnoteReference w:id="16"/>
      </w:r>
      <w:r w:rsidR="003B08DE">
        <w:t xml:space="preserve"> an</w:t>
      </w:r>
      <w:r w:rsidR="002158F0">
        <w:t>d</w:t>
      </w:r>
    </w:p>
    <w:p w14:paraId="270BC2AB" w14:textId="77777777" w:rsidR="002158F0" w:rsidRPr="002158F0" w:rsidRDefault="002158F0" w:rsidP="002158F0">
      <w:pPr>
        <w:pStyle w:val="ListParagraph"/>
      </w:pPr>
    </w:p>
    <w:p w14:paraId="3BF1EE2B" w14:textId="463C6E4A" w:rsidR="00AD2215" w:rsidRDefault="00AD2215" w:rsidP="002158F0">
      <w:pPr>
        <w:pStyle w:val="ListParagraph"/>
        <w:numPr>
          <w:ilvl w:val="0"/>
          <w:numId w:val="16"/>
        </w:numPr>
      </w:pPr>
      <w:r w:rsidRPr="002158F0">
        <w:rPr>
          <w:bCs/>
          <w:i/>
          <w:iCs/>
        </w:rPr>
        <w:t>necessary and proportionate</w:t>
      </w:r>
      <w:r>
        <w:t xml:space="preserve"> </w:t>
      </w:r>
      <w:r w:rsidR="00986014">
        <w:t>—</w:t>
      </w:r>
      <w:r w:rsidR="003B08DE">
        <w:t xml:space="preserve"> </w:t>
      </w:r>
      <w:r>
        <w:t xml:space="preserve">to achieve a permissible purpose. </w:t>
      </w:r>
      <w:r w:rsidR="00482B79">
        <w:t>At the very least,</w:t>
      </w:r>
      <w:r>
        <w:t xml:space="preserve"> the law must restrict the right </w:t>
      </w:r>
      <w:r w:rsidR="00482B79">
        <w:t xml:space="preserve">only </w:t>
      </w:r>
      <w:r>
        <w:t>to the</w:t>
      </w:r>
      <w:r w:rsidR="003B08DE">
        <w:t xml:space="preserve"> absolute </w:t>
      </w:r>
      <w:r>
        <w:t xml:space="preserve">minimum degree necessary to achieve </w:t>
      </w:r>
      <w:r w:rsidR="00482B79">
        <w:t>the legitimate</w:t>
      </w:r>
      <w:r>
        <w:t xml:space="preserve"> purpose</w:t>
      </w:r>
      <w:r w:rsidR="00482B79">
        <w:t xml:space="preserve"> for the law</w:t>
      </w:r>
      <w:r>
        <w:t>.</w:t>
      </w:r>
      <w:r>
        <w:rPr>
          <w:rStyle w:val="EndnoteReference"/>
        </w:rPr>
        <w:endnoteReference w:id="17"/>
      </w:r>
      <w:r>
        <w:t xml:space="preserve">  </w:t>
      </w:r>
    </w:p>
    <w:p w14:paraId="7503BECD" w14:textId="46A23139" w:rsidR="00335C44" w:rsidRDefault="006F5CD0" w:rsidP="00CE3F8F">
      <w:pPr>
        <w:pStyle w:val="ListNumber"/>
        <w:numPr>
          <w:ilvl w:val="0"/>
          <w:numId w:val="0"/>
        </w:numPr>
      </w:pPr>
      <w:r w:rsidRPr="00B70D0F">
        <w:t>‘</w:t>
      </w:r>
      <w:r w:rsidR="00335C44" w:rsidRPr="006F5CD0">
        <w:rPr>
          <w:b/>
        </w:rPr>
        <w:t>National</w:t>
      </w:r>
      <w:r w:rsidR="00335C44">
        <w:rPr>
          <w:b/>
        </w:rPr>
        <w:t xml:space="preserve"> security</w:t>
      </w:r>
      <w:r>
        <w:rPr>
          <w:b/>
        </w:rPr>
        <w:t>’</w:t>
      </w:r>
      <w:r w:rsidR="00335C44">
        <w:rPr>
          <w:b/>
        </w:rPr>
        <w:t xml:space="preserve"> and the right to freedom of expression</w:t>
      </w:r>
    </w:p>
    <w:p w14:paraId="74FA5388" w14:textId="77777777" w:rsidR="005F1DDE" w:rsidRDefault="005F1DDE" w:rsidP="005F1DDE">
      <w:pPr>
        <w:pStyle w:val="ListNumber"/>
        <w:numPr>
          <w:ilvl w:val="0"/>
          <w:numId w:val="0"/>
        </w:numPr>
      </w:pPr>
    </w:p>
    <w:p w14:paraId="5825BF5F" w14:textId="24E4AAD2" w:rsidR="00B07F63" w:rsidRPr="00991123" w:rsidRDefault="006F1D9C" w:rsidP="005F1DDE">
      <w:pPr>
        <w:pStyle w:val="ListNumber"/>
        <w:numPr>
          <w:ilvl w:val="0"/>
          <w:numId w:val="0"/>
        </w:numPr>
      </w:pPr>
      <w:r>
        <w:t>As noted</w:t>
      </w:r>
      <w:r w:rsidR="002D5CA8">
        <w:t xml:space="preserve"> above, one of the legitimate purposes </w:t>
      </w:r>
      <w:r w:rsidR="00DE7EEB">
        <w:t xml:space="preserve">that </w:t>
      </w:r>
      <w:r w:rsidR="002D5CA8">
        <w:t>may justify some limitation on the freedom of expression is the</w:t>
      </w:r>
      <w:r w:rsidR="000D582D" w:rsidRPr="00991123">
        <w:t xml:space="preserve"> </w:t>
      </w:r>
      <w:r w:rsidR="001B63C0">
        <w:t>‘</w:t>
      </w:r>
      <w:r w:rsidR="000D582D" w:rsidRPr="00991123">
        <w:t>protection of national security</w:t>
      </w:r>
      <w:r w:rsidR="001B63C0">
        <w:t>’</w:t>
      </w:r>
      <w:r w:rsidR="000D582D" w:rsidRPr="00991123">
        <w:t xml:space="preserve">. </w:t>
      </w:r>
      <w:r w:rsidR="001A4062">
        <w:t>But this does not give g</w:t>
      </w:r>
      <w:r w:rsidR="00E21964">
        <w:t xml:space="preserve">overnments </w:t>
      </w:r>
      <w:r w:rsidR="00747A75">
        <w:t>free rein</w:t>
      </w:r>
      <w:r w:rsidR="00E21964">
        <w:t xml:space="preserve">. </w:t>
      </w:r>
      <w:r w:rsidR="00B07F63" w:rsidRPr="00991123">
        <w:t xml:space="preserve">The </w:t>
      </w:r>
      <w:r w:rsidR="00B07F63">
        <w:t>United Nations Human Rights Committee</w:t>
      </w:r>
      <w:r w:rsidR="00B07F63" w:rsidRPr="00991123">
        <w:t xml:space="preserve"> </w:t>
      </w:r>
      <w:r w:rsidR="00B07F63">
        <w:t>observed</w:t>
      </w:r>
      <w:r w:rsidR="00B07F63" w:rsidRPr="00991123">
        <w:t xml:space="preserve"> in </w:t>
      </w:r>
      <w:r w:rsidR="00B07F63">
        <w:t>its commentary on the right to freedom of expression</w:t>
      </w:r>
      <w:r w:rsidR="009425A7">
        <w:t>, that</w:t>
      </w:r>
      <w:r w:rsidR="00EE0C8F">
        <w:t>:</w:t>
      </w:r>
      <w:bookmarkStart w:id="0" w:name="_GoBack"/>
      <w:bookmarkEnd w:id="0"/>
    </w:p>
    <w:p w14:paraId="3B2B9680" w14:textId="77777777" w:rsidR="00B07F63" w:rsidRPr="00991123" w:rsidRDefault="00B07F63" w:rsidP="00B07F63">
      <w:pPr>
        <w:ind w:left="720"/>
      </w:pPr>
      <w:r w:rsidRPr="00991123">
        <w:rPr>
          <w:sz w:val="22"/>
        </w:rPr>
        <w:t>Extreme care must be taken by States parties to ensure that treason laws</w:t>
      </w:r>
      <w:r w:rsidRPr="00991123">
        <w:rPr>
          <w:sz w:val="12"/>
          <w:szCs w:val="12"/>
        </w:rPr>
        <w:t xml:space="preserve"> </w:t>
      </w:r>
      <w:r w:rsidRPr="00991123">
        <w:rPr>
          <w:sz w:val="22"/>
        </w:rPr>
        <w:t xml:space="preserve">and similar provisions relating to national security, whether described as official secrets or sedition laws or otherwise, are crafted and applied in a manner that </w:t>
      </w:r>
      <w:r w:rsidRPr="00991123">
        <w:rPr>
          <w:sz w:val="22"/>
        </w:rPr>
        <w:lastRenderedPageBreak/>
        <w:t>conforms to the strict requirements of paragraph 3 [of article 19]. It is not compatible with paragraph 3, for instance, to invoke such laws to suppress or withhold from the public information of legitimate public interest that does not harm national security or to prosecute journalists, researchers, environmental activists, human rights defenders, or others, for having disseminated such information.</w:t>
      </w:r>
      <w:r w:rsidRPr="00991123">
        <w:rPr>
          <w:sz w:val="20"/>
          <w:vertAlign w:val="superscript"/>
        </w:rPr>
        <w:endnoteReference w:id="18"/>
      </w:r>
    </w:p>
    <w:p w14:paraId="6B5C2829" w14:textId="4D1F1FCE" w:rsidR="005F1DDE" w:rsidRDefault="001868E4" w:rsidP="005F1DDE">
      <w:pPr>
        <w:pStyle w:val="ListNumber"/>
        <w:numPr>
          <w:ilvl w:val="0"/>
          <w:numId w:val="0"/>
        </w:numPr>
      </w:pPr>
      <w:r>
        <w:t>The Human Rights Council</w:t>
      </w:r>
      <w:r w:rsidR="00747A75">
        <w:t xml:space="preserve"> </w:t>
      </w:r>
      <w:r>
        <w:t xml:space="preserve">has </w:t>
      </w:r>
      <w:r w:rsidR="009425A7">
        <w:t xml:space="preserve">also </w:t>
      </w:r>
      <w:r>
        <w:t>stressed ‘the need to ensure that invocation of national security, including counter-terrorism, is not used unjustifiably or arbitrarily to restrict the right to freedom of opinion and expression</w:t>
      </w:r>
      <w:r w:rsidR="009425A7">
        <w:t>’</w:t>
      </w:r>
      <w:r>
        <w:t>.</w:t>
      </w:r>
      <w:r>
        <w:rPr>
          <w:rStyle w:val="EndnoteReference"/>
        </w:rPr>
        <w:endnoteReference w:id="19"/>
      </w:r>
      <w:r w:rsidR="008C7F86" w:rsidRPr="008C7F86">
        <w:t xml:space="preserve"> </w:t>
      </w:r>
      <w:r w:rsidR="008C7F86">
        <w:t xml:space="preserve">UN and other international experts have made similar observations. For example, a UN </w:t>
      </w:r>
      <w:r w:rsidR="009425A7">
        <w:t>Special Rapporteur ha</w:t>
      </w:r>
      <w:r w:rsidR="00747A75">
        <w:t>s</w:t>
      </w:r>
      <w:r w:rsidR="009425A7">
        <w:t xml:space="preserve"> </w:t>
      </w:r>
      <w:r w:rsidR="008C7F86">
        <w:t>observed that national security considerations should be ‘limited in application to situations in which the interest of the whole nation is at stake, which would thereby exclude restrictions in the sole interest of a Government’</w:t>
      </w:r>
      <w:r w:rsidR="00EE2550">
        <w:t>.</w:t>
      </w:r>
      <w:r w:rsidR="008C7F86">
        <w:rPr>
          <w:rStyle w:val="EndnoteReference"/>
        </w:rPr>
        <w:endnoteReference w:id="20"/>
      </w:r>
    </w:p>
    <w:p w14:paraId="73472258" w14:textId="77777777" w:rsidR="005F1DDE" w:rsidRDefault="005F1DDE" w:rsidP="005F1DDE">
      <w:pPr>
        <w:pStyle w:val="ListNumber"/>
        <w:numPr>
          <w:ilvl w:val="0"/>
          <w:numId w:val="0"/>
        </w:numPr>
      </w:pPr>
    </w:p>
    <w:p w14:paraId="5BCE8E64" w14:textId="0A8358F2" w:rsidR="000D582D" w:rsidRPr="00991123" w:rsidRDefault="00B07F63" w:rsidP="005F1DDE">
      <w:pPr>
        <w:pStyle w:val="ListNumber"/>
        <w:numPr>
          <w:ilvl w:val="0"/>
          <w:numId w:val="0"/>
        </w:numPr>
      </w:pPr>
      <w:r>
        <w:t xml:space="preserve">A number of soft law instruments give further context to the content of this right and </w:t>
      </w:r>
      <w:r w:rsidR="005F1DDE">
        <w:t>this particular basis for limiting the right</w:t>
      </w:r>
      <w:r>
        <w:t>. For example, t</w:t>
      </w:r>
      <w:r w:rsidR="000D582D" w:rsidRPr="00991123">
        <w:t xml:space="preserve">he </w:t>
      </w:r>
      <w:r w:rsidR="000D582D" w:rsidRPr="00991123">
        <w:rPr>
          <w:i/>
        </w:rPr>
        <w:t>Siracusa Principles on the Limitation and Derogation Provisions in the International Covenant on Civil and Political Rights</w:t>
      </w:r>
      <w:r w:rsidR="000D582D" w:rsidRPr="00991123">
        <w:rPr>
          <w:sz w:val="20"/>
          <w:vertAlign w:val="superscript"/>
        </w:rPr>
        <w:t xml:space="preserve"> </w:t>
      </w:r>
      <w:r w:rsidR="000D582D" w:rsidRPr="00991123">
        <w:t>(Siracusa Principles) state:</w:t>
      </w:r>
    </w:p>
    <w:p w14:paraId="1E396F9E" w14:textId="63CF0E77" w:rsidR="000D582D" w:rsidRPr="00991123" w:rsidRDefault="000D582D" w:rsidP="0047378B">
      <w:pPr>
        <w:tabs>
          <w:tab w:val="num" w:pos="-1620"/>
        </w:tabs>
        <w:spacing w:before="0" w:after="120"/>
        <w:ind w:left="720"/>
        <w:jc w:val="both"/>
        <w:rPr>
          <w:rFonts w:eastAsia="MS Mincho" w:cs="Arial"/>
          <w:sz w:val="22"/>
        </w:rPr>
      </w:pPr>
      <w:r w:rsidRPr="00991123">
        <w:rPr>
          <w:rFonts w:eastAsia="MS Mincho" w:cs="Arial"/>
          <w:sz w:val="22"/>
        </w:rPr>
        <w:t>National security may be invoked to justify measures limiting certain rights only when they are taken to protect the existence of the nation or its territorial integrity or political independence against force or threat of force.</w:t>
      </w:r>
    </w:p>
    <w:p w14:paraId="1C7BB959" w14:textId="383F082F" w:rsidR="000D582D" w:rsidRPr="00991123" w:rsidRDefault="000D582D" w:rsidP="0047378B">
      <w:pPr>
        <w:tabs>
          <w:tab w:val="num" w:pos="-1620"/>
        </w:tabs>
        <w:spacing w:before="0" w:after="120"/>
        <w:ind w:left="720"/>
        <w:jc w:val="both"/>
        <w:rPr>
          <w:rFonts w:eastAsia="MS Mincho" w:cs="Arial"/>
          <w:sz w:val="22"/>
        </w:rPr>
      </w:pPr>
      <w:r w:rsidRPr="00991123">
        <w:rPr>
          <w:rFonts w:eastAsia="MS Mincho" w:cs="Arial"/>
          <w:sz w:val="22"/>
        </w:rPr>
        <w:t>National security cannot be invoked as a reason for imposing limitations to prevent merely local or relatively isolated threats to law and order.</w:t>
      </w:r>
    </w:p>
    <w:p w14:paraId="5182409B" w14:textId="62BA9C9E" w:rsidR="000D582D" w:rsidRPr="00991123" w:rsidRDefault="000D582D" w:rsidP="0047378B">
      <w:pPr>
        <w:tabs>
          <w:tab w:val="num" w:pos="-1620"/>
        </w:tabs>
        <w:spacing w:before="0" w:after="120"/>
        <w:ind w:left="720"/>
        <w:jc w:val="both"/>
        <w:rPr>
          <w:rFonts w:eastAsia="MS Mincho" w:cs="Arial"/>
          <w:sz w:val="22"/>
        </w:rPr>
      </w:pPr>
      <w:r w:rsidRPr="00991123">
        <w:rPr>
          <w:rFonts w:eastAsia="MS Mincho" w:cs="Arial"/>
          <w:sz w:val="22"/>
        </w:rPr>
        <w:t>National security cannot be used as a pretext for imposing vague or arbitrary limitations and may only be invoked when there exists adequate safeguards and effective remedies against abuse.</w:t>
      </w:r>
      <w:r w:rsidR="009425A7" w:rsidRPr="00991123">
        <w:rPr>
          <w:sz w:val="20"/>
          <w:vertAlign w:val="superscript"/>
        </w:rPr>
        <w:endnoteReference w:id="21"/>
      </w:r>
    </w:p>
    <w:p w14:paraId="2295A34A" w14:textId="77777777" w:rsidR="005F1DDE" w:rsidRDefault="000D582D" w:rsidP="005F1DDE">
      <w:pPr>
        <w:pStyle w:val="ListNumber"/>
        <w:numPr>
          <w:ilvl w:val="0"/>
          <w:numId w:val="0"/>
        </w:numPr>
      </w:pPr>
      <w:r w:rsidRPr="00991123">
        <w:t>The Siracusa Principles go on to observe that the systematic violation of human rights undermines ‘true national security’.</w:t>
      </w:r>
      <w:r w:rsidRPr="00991123">
        <w:rPr>
          <w:sz w:val="20"/>
          <w:vertAlign w:val="superscript"/>
        </w:rPr>
        <w:endnoteReference w:id="22"/>
      </w:r>
    </w:p>
    <w:p w14:paraId="3D0CC45D" w14:textId="77777777" w:rsidR="005F1DDE" w:rsidRDefault="005F1DDE" w:rsidP="005F1DDE">
      <w:pPr>
        <w:pStyle w:val="ListNumber"/>
        <w:numPr>
          <w:ilvl w:val="0"/>
          <w:numId w:val="0"/>
        </w:numPr>
      </w:pPr>
    </w:p>
    <w:p w14:paraId="52C03FD6" w14:textId="6BF7EE7D" w:rsidR="00EF587E" w:rsidRDefault="00B07F63" w:rsidP="005F1DDE">
      <w:pPr>
        <w:pStyle w:val="ListNumber"/>
        <w:numPr>
          <w:ilvl w:val="0"/>
          <w:numId w:val="0"/>
        </w:numPr>
      </w:pPr>
      <w:r>
        <w:t>T</w:t>
      </w:r>
      <w:r w:rsidR="00EF587E" w:rsidRPr="00991123">
        <w:t xml:space="preserve">he </w:t>
      </w:r>
      <w:r w:rsidR="00EF587E" w:rsidRPr="00991123">
        <w:rPr>
          <w:i/>
        </w:rPr>
        <w:t>Johannesburg Principles on National Security, Freedom of Expression and Access to Information</w:t>
      </w:r>
      <w:r w:rsidR="00EF587E" w:rsidRPr="00991123">
        <w:t xml:space="preserve"> </w:t>
      </w:r>
      <w:r w:rsidR="005F1DDE">
        <w:t>also note</w:t>
      </w:r>
      <w:r w:rsidR="00EF587E" w:rsidRPr="00991123">
        <w:t xml:space="preserve"> the following:</w:t>
      </w:r>
    </w:p>
    <w:p w14:paraId="391F9DBC" w14:textId="77777777" w:rsidR="00A43374" w:rsidRPr="00991123" w:rsidRDefault="00A43374" w:rsidP="005F1DDE">
      <w:pPr>
        <w:pStyle w:val="ListNumber"/>
        <w:numPr>
          <w:ilvl w:val="0"/>
          <w:numId w:val="0"/>
        </w:numPr>
      </w:pPr>
    </w:p>
    <w:p w14:paraId="345DC631" w14:textId="77777777" w:rsidR="00EF587E" w:rsidRPr="00991123" w:rsidRDefault="00EF587E" w:rsidP="00EF587E">
      <w:pPr>
        <w:autoSpaceDE w:val="0"/>
        <w:autoSpaceDN w:val="0"/>
        <w:adjustRightInd w:val="0"/>
        <w:spacing w:before="0" w:after="0"/>
        <w:ind w:left="1440"/>
        <w:rPr>
          <w:rFonts w:cs="Arial"/>
          <w:b/>
          <w:bCs/>
          <w:sz w:val="22"/>
        </w:rPr>
      </w:pPr>
      <w:r w:rsidRPr="00991123">
        <w:rPr>
          <w:rFonts w:cs="Arial"/>
          <w:b/>
          <w:bCs/>
          <w:sz w:val="22"/>
        </w:rPr>
        <w:t>Principle 12: Narrow Designation of Security Exemption</w:t>
      </w:r>
    </w:p>
    <w:p w14:paraId="0C890A4A" w14:textId="77777777" w:rsidR="00EF587E" w:rsidRPr="00991123" w:rsidRDefault="00EF587E" w:rsidP="00EF587E">
      <w:pPr>
        <w:autoSpaceDE w:val="0"/>
        <w:autoSpaceDN w:val="0"/>
        <w:adjustRightInd w:val="0"/>
        <w:spacing w:before="0" w:after="0"/>
        <w:ind w:left="1440"/>
        <w:rPr>
          <w:rFonts w:cs="Arial"/>
          <w:sz w:val="22"/>
        </w:rPr>
      </w:pPr>
      <w:r w:rsidRPr="00991123">
        <w:rPr>
          <w:rFonts w:cs="Arial"/>
          <w:sz w:val="22"/>
        </w:rPr>
        <w:t>A state may not categorically deny access to all information related to national security, but must designate in law only those specific and narrow categories of information that it is necessary to withhold in order to protect a legitimate national security interest.</w:t>
      </w:r>
    </w:p>
    <w:p w14:paraId="005C6D1D" w14:textId="77777777" w:rsidR="00EF587E" w:rsidRPr="00991123" w:rsidRDefault="00EF587E" w:rsidP="00EF587E">
      <w:pPr>
        <w:autoSpaceDE w:val="0"/>
        <w:autoSpaceDN w:val="0"/>
        <w:adjustRightInd w:val="0"/>
        <w:spacing w:before="0" w:after="0"/>
        <w:ind w:left="1440"/>
        <w:rPr>
          <w:rFonts w:cs="Arial"/>
          <w:sz w:val="22"/>
        </w:rPr>
      </w:pPr>
    </w:p>
    <w:p w14:paraId="74D295CC" w14:textId="77777777" w:rsidR="00EF587E" w:rsidRPr="00991123" w:rsidRDefault="00EF587E" w:rsidP="00B70D0F">
      <w:pPr>
        <w:keepNext/>
        <w:autoSpaceDE w:val="0"/>
        <w:autoSpaceDN w:val="0"/>
        <w:adjustRightInd w:val="0"/>
        <w:spacing w:before="0" w:after="0"/>
        <w:ind w:left="1440"/>
        <w:rPr>
          <w:rFonts w:cs="Arial"/>
          <w:b/>
          <w:bCs/>
          <w:sz w:val="22"/>
        </w:rPr>
      </w:pPr>
      <w:r w:rsidRPr="00991123">
        <w:rPr>
          <w:rFonts w:cs="Arial"/>
          <w:b/>
          <w:bCs/>
          <w:sz w:val="22"/>
        </w:rPr>
        <w:lastRenderedPageBreak/>
        <w:t>Principle 13: Public Interest in Disclosure</w:t>
      </w:r>
    </w:p>
    <w:p w14:paraId="4DC9B004" w14:textId="77777777" w:rsidR="00EF587E" w:rsidRPr="00991123" w:rsidRDefault="00EF587E" w:rsidP="00EF587E">
      <w:pPr>
        <w:autoSpaceDE w:val="0"/>
        <w:autoSpaceDN w:val="0"/>
        <w:adjustRightInd w:val="0"/>
        <w:spacing w:before="0" w:after="0"/>
        <w:ind w:left="1440"/>
        <w:rPr>
          <w:rFonts w:cs="Arial"/>
          <w:sz w:val="22"/>
        </w:rPr>
      </w:pPr>
      <w:r w:rsidRPr="00991123">
        <w:rPr>
          <w:rFonts w:cs="Arial"/>
          <w:sz w:val="22"/>
        </w:rPr>
        <w:t>In all laws and decisions concerning the right to obtain information, the public interest in knowing the information shall be a primary consideration.</w:t>
      </w:r>
    </w:p>
    <w:p w14:paraId="4D7269E3" w14:textId="77777777" w:rsidR="00EF587E" w:rsidRPr="00991123" w:rsidRDefault="00EF587E" w:rsidP="00EF587E">
      <w:pPr>
        <w:autoSpaceDE w:val="0"/>
        <w:autoSpaceDN w:val="0"/>
        <w:adjustRightInd w:val="0"/>
        <w:spacing w:before="0" w:after="0"/>
        <w:ind w:left="1440"/>
        <w:rPr>
          <w:rFonts w:cs="Arial"/>
          <w:sz w:val="22"/>
        </w:rPr>
      </w:pPr>
    </w:p>
    <w:p w14:paraId="3954FA8A" w14:textId="77777777" w:rsidR="00EF587E" w:rsidRPr="00991123" w:rsidRDefault="00EF587E" w:rsidP="00EF587E">
      <w:pPr>
        <w:autoSpaceDE w:val="0"/>
        <w:autoSpaceDN w:val="0"/>
        <w:adjustRightInd w:val="0"/>
        <w:spacing w:before="0" w:after="0"/>
        <w:ind w:left="1440"/>
        <w:rPr>
          <w:rFonts w:cs="Arial"/>
          <w:sz w:val="22"/>
        </w:rPr>
      </w:pPr>
      <w:r w:rsidRPr="00991123">
        <w:rPr>
          <w:rFonts w:cs="Arial"/>
          <w:sz w:val="22"/>
        </w:rPr>
        <w:t>….</w:t>
      </w:r>
    </w:p>
    <w:p w14:paraId="0C1C4824" w14:textId="77777777" w:rsidR="00EF587E" w:rsidRPr="00991123" w:rsidRDefault="00EF587E" w:rsidP="00EF587E">
      <w:pPr>
        <w:autoSpaceDE w:val="0"/>
        <w:autoSpaceDN w:val="0"/>
        <w:adjustRightInd w:val="0"/>
        <w:spacing w:before="0" w:after="0"/>
        <w:ind w:left="1440"/>
        <w:rPr>
          <w:rFonts w:cs="Arial"/>
          <w:sz w:val="22"/>
        </w:rPr>
      </w:pPr>
    </w:p>
    <w:p w14:paraId="340855E9" w14:textId="77777777" w:rsidR="00EF587E" w:rsidRPr="00991123" w:rsidRDefault="00EF587E" w:rsidP="00B70D0F">
      <w:pPr>
        <w:keepNext/>
        <w:autoSpaceDE w:val="0"/>
        <w:autoSpaceDN w:val="0"/>
        <w:adjustRightInd w:val="0"/>
        <w:spacing w:before="0" w:after="0"/>
        <w:ind w:left="1440"/>
        <w:rPr>
          <w:rFonts w:cs="Arial"/>
          <w:b/>
          <w:bCs/>
          <w:sz w:val="22"/>
        </w:rPr>
      </w:pPr>
      <w:r w:rsidRPr="00991123">
        <w:rPr>
          <w:rFonts w:cs="Arial"/>
          <w:b/>
          <w:bCs/>
          <w:sz w:val="22"/>
        </w:rPr>
        <w:t>Principle 15: General Rule on Disclosure of Secret Information</w:t>
      </w:r>
    </w:p>
    <w:p w14:paraId="3ED49466" w14:textId="77777777" w:rsidR="00EF587E" w:rsidRPr="00991123" w:rsidRDefault="00EF587E" w:rsidP="00EF587E">
      <w:pPr>
        <w:autoSpaceDE w:val="0"/>
        <w:autoSpaceDN w:val="0"/>
        <w:adjustRightInd w:val="0"/>
        <w:spacing w:before="0" w:after="0"/>
        <w:ind w:left="1440"/>
        <w:rPr>
          <w:rFonts w:cs="Arial"/>
          <w:sz w:val="22"/>
        </w:rPr>
      </w:pPr>
      <w:r w:rsidRPr="00991123">
        <w:rPr>
          <w:rFonts w:cs="Arial"/>
          <w:sz w:val="22"/>
        </w:rPr>
        <w:t>No person may be punished on national security grounds for disclosure of information if (1) the disclosure does not actually harm and is not likely to harm a legitimate national security interest, or (2) the public interest in knowing the information outweighs the harm from disclosure.</w:t>
      </w:r>
    </w:p>
    <w:p w14:paraId="7C4DF534" w14:textId="77777777" w:rsidR="00EF587E" w:rsidRPr="00991123" w:rsidRDefault="00EF587E" w:rsidP="00EF587E">
      <w:pPr>
        <w:autoSpaceDE w:val="0"/>
        <w:autoSpaceDN w:val="0"/>
        <w:adjustRightInd w:val="0"/>
        <w:spacing w:before="0" w:after="0"/>
        <w:ind w:left="1440"/>
        <w:rPr>
          <w:rFonts w:cs="Arial"/>
          <w:sz w:val="22"/>
        </w:rPr>
      </w:pPr>
    </w:p>
    <w:p w14:paraId="55C4B829" w14:textId="77777777" w:rsidR="00EF587E" w:rsidRPr="00991123" w:rsidRDefault="00EF587E" w:rsidP="00EF587E">
      <w:pPr>
        <w:autoSpaceDE w:val="0"/>
        <w:autoSpaceDN w:val="0"/>
        <w:adjustRightInd w:val="0"/>
        <w:spacing w:before="0" w:after="0"/>
        <w:ind w:left="1440"/>
        <w:rPr>
          <w:rFonts w:cs="Arial"/>
          <w:b/>
          <w:bCs/>
          <w:sz w:val="22"/>
        </w:rPr>
      </w:pPr>
      <w:r w:rsidRPr="00991123">
        <w:rPr>
          <w:rFonts w:cs="Arial"/>
          <w:b/>
          <w:bCs/>
          <w:sz w:val="22"/>
        </w:rPr>
        <w:t>Principle 16: Information Obtained Through Public Service</w:t>
      </w:r>
    </w:p>
    <w:p w14:paraId="76D9E8DD" w14:textId="77777777" w:rsidR="00EF587E" w:rsidRPr="00991123" w:rsidRDefault="00EF587E" w:rsidP="00EF587E">
      <w:pPr>
        <w:autoSpaceDE w:val="0"/>
        <w:autoSpaceDN w:val="0"/>
        <w:adjustRightInd w:val="0"/>
        <w:spacing w:before="0" w:after="0"/>
        <w:ind w:left="1440"/>
        <w:rPr>
          <w:rFonts w:cs="Arial"/>
          <w:sz w:val="22"/>
        </w:rPr>
      </w:pPr>
      <w:r w:rsidRPr="00991123">
        <w:rPr>
          <w:rFonts w:cs="Arial"/>
          <w:sz w:val="22"/>
        </w:rPr>
        <w:t>No person may be subjected to any detriment on national security grounds for disclosing information that he or she learned by virtue of government service if the public interest in knowing the information outweighs the harm from disclosure.</w:t>
      </w:r>
    </w:p>
    <w:p w14:paraId="20C75CAD" w14:textId="77777777" w:rsidR="00EF587E" w:rsidRPr="00991123" w:rsidRDefault="00EF587E" w:rsidP="00EF587E">
      <w:pPr>
        <w:autoSpaceDE w:val="0"/>
        <w:autoSpaceDN w:val="0"/>
        <w:adjustRightInd w:val="0"/>
        <w:spacing w:before="0" w:after="0"/>
        <w:ind w:left="1440"/>
        <w:rPr>
          <w:rFonts w:cs="Arial"/>
          <w:sz w:val="22"/>
        </w:rPr>
      </w:pPr>
    </w:p>
    <w:p w14:paraId="1B3B0C07" w14:textId="77777777" w:rsidR="00EF587E" w:rsidRPr="00991123" w:rsidRDefault="00EF587E" w:rsidP="00EF587E">
      <w:pPr>
        <w:autoSpaceDE w:val="0"/>
        <w:autoSpaceDN w:val="0"/>
        <w:adjustRightInd w:val="0"/>
        <w:spacing w:before="0" w:after="0"/>
        <w:ind w:left="1440"/>
        <w:rPr>
          <w:rFonts w:cs="Arial"/>
          <w:b/>
          <w:bCs/>
          <w:sz w:val="22"/>
        </w:rPr>
      </w:pPr>
      <w:r w:rsidRPr="00991123">
        <w:rPr>
          <w:rFonts w:cs="Arial"/>
          <w:b/>
          <w:bCs/>
          <w:sz w:val="22"/>
        </w:rPr>
        <w:t>Principle 17: Information in the Public Domain</w:t>
      </w:r>
    </w:p>
    <w:p w14:paraId="43491E57" w14:textId="6B6B9D70" w:rsidR="00EF587E" w:rsidRPr="00991123" w:rsidRDefault="00EF587E" w:rsidP="00EF587E">
      <w:pPr>
        <w:autoSpaceDE w:val="0"/>
        <w:autoSpaceDN w:val="0"/>
        <w:adjustRightInd w:val="0"/>
        <w:spacing w:before="0" w:after="0"/>
        <w:ind w:left="1440"/>
        <w:rPr>
          <w:rFonts w:cs="Arial"/>
          <w:sz w:val="22"/>
        </w:rPr>
      </w:pPr>
      <w:r w:rsidRPr="00991123">
        <w:rPr>
          <w:rFonts w:cs="Arial"/>
          <w:sz w:val="22"/>
        </w:rPr>
        <w:t>Once information has been made generally available, by whatever means, whether or not lawful, any justification for trying to stop further publication will be overridden by the public’s right to know.</w:t>
      </w:r>
      <w:r w:rsidR="009425A7" w:rsidRPr="00991123">
        <w:rPr>
          <w:sz w:val="20"/>
          <w:vertAlign w:val="superscript"/>
        </w:rPr>
        <w:endnoteReference w:id="23"/>
      </w:r>
    </w:p>
    <w:p w14:paraId="2B16DCF7" w14:textId="77777777" w:rsidR="00A43374" w:rsidRDefault="00A43374" w:rsidP="00D800C3">
      <w:pPr>
        <w:pStyle w:val="ListNumber"/>
        <w:numPr>
          <w:ilvl w:val="0"/>
          <w:numId w:val="0"/>
        </w:numPr>
      </w:pPr>
    </w:p>
    <w:p w14:paraId="08CD88B7" w14:textId="63204A25" w:rsidR="005F1DDE" w:rsidRDefault="00A55460" w:rsidP="00D800C3">
      <w:pPr>
        <w:pStyle w:val="ListNumber"/>
        <w:numPr>
          <w:ilvl w:val="0"/>
          <w:numId w:val="0"/>
        </w:numPr>
      </w:pPr>
      <w:r>
        <w:t>T</w:t>
      </w:r>
      <w:r w:rsidR="00EF587E" w:rsidRPr="00991123">
        <w:t xml:space="preserve">he </w:t>
      </w:r>
      <w:r w:rsidR="00EF587E" w:rsidRPr="00991123">
        <w:rPr>
          <w:i/>
        </w:rPr>
        <w:t>Global Principles of National Security and the Right to Information</w:t>
      </w:r>
      <w:r w:rsidR="00EF587E" w:rsidRPr="00991123">
        <w:t xml:space="preserve"> </w:t>
      </w:r>
      <w:r w:rsidR="00EF587E" w:rsidRPr="000F0F3B">
        <w:t>(Tshwane Principles)</w:t>
      </w:r>
      <w:r w:rsidR="00EF587E" w:rsidRPr="00991123">
        <w:t xml:space="preserve"> contain similar provisions.</w:t>
      </w:r>
      <w:r w:rsidR="00EF587E" w:rsidRPr="00991123">
        <w:rPr>
          <w:sz w:val="20"/>
          <w:vertAlign w:val="superscript"/>
        </w:rPr>
        <w:endnoteReference w:id="24"/>
      </w:r>
      <w:r w:rsidR="00EF587E" w:rsidRPr="00991123">
        <w:t xml:space="preserve"> For instance, they provide that certain types of disclosure should be protected, including those which reveal corruption or human rights violations.</w:t>
      </w:r>
      <w:r w:rsidR="00EF587E" w:rsidRPr="00991123">
        <w:rPr>
          <w:sz w:val="20"/>
          <w:vertAlign w:val="superscript"/>
        </w:rPr>
        <w:endnoteReference w:id="25"/>
      </w:r>
    </w:p>
    <w:p w14:paraId="0F28F105" w14:textId="77777777" w:rsidR="005F1DDE" w:rsidRDefault="005F1DDE" w:rsidP="00D800C3">
      <w:pPr>
        <w:pStyle w:val="ListNumber"/>
        <w:numPr>
          <w:ilvl w:val="0"/>
          <w:numId w:val="0"/>
        </w:numPr>
      </w:pPr>
    </w:p>
    <w:p w14:paraId="561EA50A" w14:textId="31D3BD41" w:rsidR="003664CB" w:rsidRPr="00991123" w:rsidRDefault="0047378B" w:rsidP="00D800C3">
      <w:pPr>
        <w:pStyle w:val="ListNumber"/>
        <w:numPr>
          <w:ilvl w:val="0"/>
          <w:numId w:val="0"/>
        </w:numPr>
      </w:pPr>
      <w:r>
        <w:t xml:space="preserve">In </w:t>
      </w:r>
      <w:r w:rsidR="00CB5872">
        <w:t>summary</w:t>
      </w:r>
      <w:r>
        <w:t xml:space="preserve">, these passages tell us that Parliament must </w:t>
      </w:r>
      <w:r w:rsidR="00DD1D31">
        <w:t>ensure that</w:t>
      </w:r>
      <w:r>
        <w:t xml:space="preserve"> whistleblowers and journalists</w:t>
      </w:r>
      <w:r w:rsidR="00DD1D31">
        <w:t xml:space="preserve"> may exercise the</w:t>
      </w:r>
      <w:r>
        <w:t xml:space="preserve"> right to freedom of expression</w:t>
      </w:r>
      <w:r w:rsidR="00DD1D31">
        <w:t xml:space="preserve"> in a full and meaningful way</w:t>
      </w:r>
      <w:r w:rsidR="005F1DDE">
        <w:t>,</w:t>
      </w:r>
      <w:r w:rsidR="00DD1D31">
        <w:t xml:space="preserve"> recognising that their</w:t>
      </w:r>
      <w:r w:rsidRPr="00366244">
        <w:t xml:space="preserve"> </w:t>
      </w:r>
      <w:r>
        <w:t xml:space="preserve">exercise of </w:t>
      </w:r>
      <w:r w:rsidR="00DD1D31">
        <w:t xml:space="preserve">this right </w:t>
      </w:r>
      <w:r>
        <w:t>benefits all</w:t>
      </w:r>
      <w:r w:rsidR="00DD1D31">
        <w:t>. More specifically</w:t>
      </w:r>
      <w:r w:rsidR="00745237">
        <w:t xml:space="preserve">, </w:t>
      </w:r>
      <w:r w:rsidR="00DD1D31">
        <w:t xml:space="preserve">Parliament cannot </w:t>
      </w:r>
      <w:r>
        <w:t>pass laws inimical to this right in the name of national security.</w:t>
      </w:r>
      <w:r w:rsidR="00814E66">
        <w:t xml:space="preserve"> </w:t>
      </w:r>
      <w:r w:rsidR="000E1EE5">
        <w:t>International law does not permit, for example, freedom of expression to be limited in circumstances where the added protection to national security is slight or questionable.</w:t>
      </w:r>
      <w:bookmarkStart w:id="1" w:name="_Toc162769295"/>
    </w:p>
    <w:bookmarkEnd w:id="1"/>
    <w:p w14:paraId="2282762F" w14:textId="77777777" w:rsidR="00A53330" w:rsidRDefault="00A53330" w:rsidP="00C8654C">
      <w:pPr>
        <w:pStyle w:val="ListNumber"/>
        <w:numPr>
          <w:ilvl w:val="0"/>
          <w:numId w:val="0"/>
        </w:numPr>
        <w:contextualSpacing w:val="0"/>
      </w:pPr>
    </w:p>
    <w:p w14:paraId="4A541C9C" w14:textId="2620ED7C" w:rsidR="00D800C3" w:rsidRDefault="004B7828" w:rsidP="00136EDE">
      <w:pPr>
        <w:pStyle w:val="NoSpacing"/>
        <w:keepNext/>
      </w:pPr>
      <w:r>
        <w:rPr>
          <w:b/>
        </w:rPr>
        <w:t>Law enforcement</w:t>
      </w:r>
      <w:r w:rsidR="00C10376">
        <w:rPr>
          <w:b/>
        </w:rPr>
        <w:t>, secrecy provisions,</w:t>
      </w:r>
      <w:r>
        <w:rPr>
          <w:b/>
        </w:rPr>
        <w:t xml:space="preserve"> and press freedom</w:t>
      </w:r>
    </w:p>
    <w:p w14:paraId="2BB441C1" w14:textId="17DA60BF" w:rsidR="00402D5B" w:rsidRDefault="00402D5B" w:rsidP="00402D5B">
      <w:pPr>
        <w:spacing w:before="0" w:after="0"/>
        <w:rPr>
          <w:lang w:val="en-US"/>
        </w:rPr>
      </w:pPr>
    </w:p>
    <w:p w14:paraId="19500F9F" w14:textId="4160157E" w:rsidR="008C1125" w:rsidRDefault="00B22A71" w:rsidP="00B22A71">
      <w:pPr>
        <w:spacing w:before="0" w:after="0"/>
      </w:pPr>
      <w:r>
        <w:t xml:space="preserve">As </w:t>
      </w:r>
      <w:r w:rsidR="009524E0">
        <w:t>illustrated</w:t>
      </w:r>
      <w:r>
        <w:t xml:space="preserve"> </w:t>
      </w:r>
      <w:r w:rsidR="00EC6D2D">
        <w:t>by</w:t>
      </w:r>
      <w:r>
        <w:t xml:space="preserve"> the </w:t>
      </w:r>
      <w:r w:rsidR="009524E0">
        <w:t xml:space="preserve">recent </w:t>
      </w:r>
      <w:r w:rsidR="00EC6D2D">
        <w:t>Australian Federal Police raids</w:t>
      </w:r>
      <w:r>
        <w:t>, journalists and media organisations can become the subject</w:t>
      </w:r>
      <w:r w:rsidR="001F7AA4">
        <w:t>s</w:t>
      </w:r>
      <w:r>
        <w:t xml:space="preserve"> of law enforcement and intelligence </w:t>
      </w:r>
      <w:r w:rsidR="001F7AA4">
        <w:t>powers</w:t>
      </w:r>
      <w:r>
        <w:t>.</w:t>
      </w:r>
      <w:r w:rsidR="00CB5872">
        <w:t xml:space="preserve"> </w:t>
      </w:r>
      <w:r w:rsidR="004B7828">
        <w:t xml:space="preserve">The nature of their work necessarily involves the receipt, possession, and dissemination of information, including information that others (including </w:t>
      </w:r>
      <w:r w:rsidR="004B7828">
        <w:lastRenderedPageBreak/>
        <w:t xml:space="preserve">governments) </w:t>
      </w:r>
      <w:r w:rsidR="00E26A49">
        <w:t xml:space="preserve">might </w:t>
      </w:r>
      <w:r w:rsidR="004B7828">
        <w:t xml:space="preserve">prefer not to be disclosed. This means that news professionals and organisations are particularly likely to be affected by secrecy laws, and by investigations into </w:t>
      </w:r>
      <w:r w:rsidR="003003CB">
        <w:t xml:space="preserve">suspected </w:t>
      </w:r>
      <w:r w:rsidR="004B7828">
        <w:t xml:space="preserve">breaches of those laws. </w:t>
      </w:r>
    </w:p>
    <w:p w14:paraId="0E7391EC" w14:textId="77777777" w:rsidR="008C1125" w:rsidRDefault="008C1125" w:rsidP="00B22A71">
      <w:pPr>
        <w:spacing w:before="0" w:after="0"/>
      </w:pPr>
    </w:p>
    <w:p w14:paraId="524D9BE3" w14:textId="1E256B60" w:rsidR="00CB5872" w:rsidRDefault="00E26A49" w:rsidP="008C1125">
      <w:pPr>
        <w:spacing w:before="0" w:after="0"/>
      </w:pPr>
      <w:r>
        <w:t xml:space="preserve">Journalists and media organisations </w:t>
      </w:r>
      <w:r w:rsidR="004B7828">
        <w:t>may be subject to</w:t>
      </w:r>
      <w:r w:rsidR="008C1125">
        <w:t xml:space="preserve"> the exercise of</w:t>
      </w:r>
      <w:r w:rsidR="004B7828">
        <w:t xml:space="preserve"> search and seizure powers</w:t>
      </w:r>
      <w:r w:rsidR="008C1125" w:rsidRPr="008C1125">
        <w:t xml:space="preserve"> </w:t>
      </w:r>
      <w:r w:rsidR="008C1125">
        <w:t>in relation to investigations concerning their own conduct, and to prosecution for breaches of secrecy provisions.</w:t>
      </w:r>
      <w:r w:rsidR="004B7828">
        <w:t xml:space="preserve"> </w:t>
      </w:r>
      <w:r w:rsidR="003003CB">
        <w:t xml:space="preserve">They may also be subject to </w:t>
      </w:r>
      <w:r w:rsidR="008C1125">
        <w:t>the exercise of search and seizure powers in in</w:t>
      </w:r>
      <w:r w:rsidR="003003CB">
        <w:t>vestigations into suspected conduct of those who supply them with information</w:t>
      </w:r>
      <w:r w:rsidR="008C1125">
        <w:t>. All of these circumstances involve the limitation of the right protected</w:t>
      </w:r>
      <w:r w:rsidR="003003CB">
        <w:t xml:space="preserve"> by art</w:t>
      </w:r>
      <w:r w:rsidR="00E979D0">
        <w:t>icle</w:t>
      </w:r>
      <w:r w:rsidR="003003CB">
        <w:t xml:space="preserve"> 19 of the ICCPR</w:t>
      </w:r>
      <w:r w:rsidR="00A15BB8">
        <w:t xml:space="preserve">. </w:t>
      </w:r>
    </w:p>
    <w:p w14:paraId="592F114A" w14:textId="7DB718D9" w:rsidR="00A15BB8" w:rsidRDefault="00A15BB8" w:rsidP="008C1125">
      <w:pPr>
        <w:spacing w:before="0" w:after="0"/>
      </w:pPr>
    </w:p>
    <w:p w14:paraId="74413C48" w14:textId="1CDCA99B" w:rsidR="00A15BB8" w:rsidRDefault="00A15BB8" w:rsidP="008C1125">
      <w:pPr>
        <w:spacing w:before="0" w:after="0"/>
      </w:pPr>
      <w:r>
        <w:t xml:space="preserve">Even when prosecutions are not brought, the </w:t>
      </w:r>
      <w:r w:rsidR="0083517A">
        <w:t xml:space="preserve">very </w:t>
      </w:r>
      <w:r>
        <w:t xml:space="preserve">existence of criminal laws prohibiting the dissemination of information, </w:t>
      </w:r>
      <w:r w:rsidR="0083517A">
        <w:t>or the exercise</w:t>
      </w:r>
      <w:r>
        <w:t xml:space="preserve"> of search and seizure </w:t>
      </w:r>
      <w:r w:rsidR="0083517A">
        <w:t xml:space="preserve">powers by police or other authorities </w:t>
      </w:r>
      <w:r>
        <w:t>(</w:t>
      </w:r>
      <w:r w:rsidR="0012612A">
        <w:t xml:space="preserve">whether </w:t>
      </w:r>
      <w:r>
        <w:t>under warrant or otherwise) can have a chilling effect on the work of journalists</w:t>
      </w:r>
      <w:r w:rsidR="00E26A49">
        <w:t xml:space="preserve"> </w:t>
      </w:r>
      <w:r w:rsidR="00DB7391">
        <w:t>—</w:t>
      </w:r>
      <w:r w:rsidR="00E26A49">
        <w:t xml:space="preserve"> where the fear that a coercive power might be exercise</w:t>
      </w:r>
      <w:r w:rsidR="00DB7391">
        <w:t>d</w:t>
      </w:r>
      <w:r w:rsidR="00E26A49">
        <w:t xml:space="preserve"> could inhibit the journalist or media organisation from undertaking reporting that is in the public interest</w:t>
      </w:r>
      <w:r>
        <w:t xml:space="preserve">. </w:t>
      </w:r>
      <w:r w:rsidR="00FE3F39">
        <w:t xml:space="preserve">For this reason, it is vital that such laws are carefully crafted to ensure that they apply only in circumstances where strictly necessary </w:t>
      </w:r>
      <w:r w:rsidR="0012612A">
        <w:t>in pursuit of</w:t>
      </w:r>
      <w:r w:rsidR="00FE3F39">
        <w:t xml:space="preserve"> a compelling public interest</w:t>
      </w:r>
      <w:r w:rsidR="00DB7391">
        <w:t>,</w:t>
      </w:r>
      <w:r w:rsidR="00FE3F39">
        <w:t xml:space="preserve"> such as the protection of the community or of national security in the strict sense. </w:t>
      </w:r>
    </w:p>
    <w:p w14:paraId="795B4DFF" w14:textId="77777777" w:rsidR="00A9037D" w:rsidRDefault="00A9037D" w:rsidP="00B22A71">
      <w:pPr>
        <w:spacing w:before="0" w:after="0"/>
      </w:pPr>
    </w:p>
    <w:p w14:paraId="65E2FE3C" w14:textId="58636A9C" w:rsidR="00ED6928" w:rsidRDefault="00FE3F39" w:rsidP="00B22A71">
      <w:pPr>
        <w:spacing w:before="0" w:after="0"/>
      </w:pPr>
      <w:r>
        <w:t>The Commission of course acknowledges that there will be some circumstances which will warrant the existence of secrecy provisions.</w:t>
      </w:r>
      <w:r w:rsidR="00264AFD">
        <w:t xml:space="preserve"> </w:t>
      </w:r>
      <w:r w:rsidR="00ED6928">
        <w:t xml:space="preserve">The Australian Law Reform Commission (ALRC) and the Independent National Security Legislation Monitor (INSLM) have both accepted that harm </w:t>
      </w:r>
      <w:r w:rsidR="00182F36">
        <w:t>is</w:t>
      </w:r>
      <w:r w:rsidR="00ED6928">
        <w:t xml:space="preserve"> </w:t>
      </w:r>
      <w:r w:rsidR="00182F36">
        <w:t xml:space="preserve">likely </w:t>
      </w:r>
      <w:r w:rsidR="00ED6928">
        <w:t>implicit in any disclosure of information obtained or generated by intelligence agencies.</w:t>
      </w:r>
      <w:r w:rsidR="00B67723">
        <w:rPr>
          <w:rStyle w:val="EndnoteReference"/>
        </w:rPr>
        <w:endnoteReference w:id="26"/>
      </w:r>
      <w:r w:rsidR="00ED6928">
        <w:t xml:space="preserve"> </w:t>
      </w:r>
      <w:r w:rsidR="00182F36">
        <w:t xml:space="preserve">But this does not mean </w:t>
      </w:r>
      <w:r w:rsidR="00C10376">
        <w:t>that all current secrecy provisions are justified</w:t>
      </w:r>
      <w:r w:rsidR="00D739C7">
        <w:t xml:space="preserve">. </w:t>
      </w:r>
    </w:p>
    <w:p w14:paraId="485315A7" w14:textId="77777777" w:rsidR="00ED6928" w:rsidRDefault="00ED6928" w:rsidP="00B22A71">
      <w:pPr>
        <w:spacing w:before="0" w:after="0"/>
      </w:pPr>
    </w:p>
    <w:p w14:paraId="75586EAB" w14:textId="5A85C710" w:rsidR="00E21CC4" w:rsidRDefault="00B34D46" w:rsidP="00B22A71">
      <w:pPr>
        <w:spacing w:before="0" w:after="0"/>
      </w:pPr>
      <w:r>
        <w:t>As the Commission has noted in previous submissions to the Committee,</w:t>
      </w:r>
      <w:r>
        <w:rPr>
          <w:rStyle w:val="EndnoteReference"/>
        </w:rPr>
        <w:endnoteReference w:id="27"/>
      </w:r>
      <w:r>
        <w:t xml:space="preserve"> Parliament should consider seriously the ALRC’s recommendations in its report </w:t>
      </w:r>
      <w:r w:rsidRPr="00FF4F42">
        <w:rPr>
          <w:i/>
        </w:rPr>
        <w:t>Secrecy Laws and Open Government in Australia</w:t>
      </w:r>
      <w:r w:rsidR="00E21CC4">
        <w:t>,</w:t>
      </w:r>
      <w:r>
        <w:rPr>
          <w:rStyle w:val="EndnoteReference"/>
        </w:rPr>
        <w:endnoteReference w:id="28"/>
      </w:r>
      <w:r w:rsidR="00E21CC4">
        <w:t xml:space="preserve"> and the views of the INSLM in his review of the non-disclosure provisions linked to ‘special intelligence operations’ under the </w:t>
      </w:r>
      <w:r w:rsidR="00E21CC4" w:rsidRPr="00445854">
        <w:rPr>
          <w:i/>
        </w:rPr>
        <w:t>Australian Security Intelligence Organisation Act 1979</w:t>
      </w:r>
      <w:r w:rsidR="00E21CC4">
        <w:t xml:space="preserve"> (Cth).</w:t>
      </w:r>
      <w:r w:rsidR="00E21CC4">
        <w:rPr>
          <w:rStyle w:val="EndnoteReference"/>
        </w:rPr>
        <w:endnoteReference w:id="29"/>
      </w:r>
      <w:r w:rsidR="00E21CC4">
        <w:t xml:space="preserve"> Some principles which may be drawn from those reviews</w:t>
      </w:r>
      <w:r w:rsidR="005A7543">
        <w:t xml:space="preserve"> and the human rights analysis above</w:t>
      </w:r>
      <w:r w:rsidR="00E21CC4">
        <w:t xml:space="preserve"> include:</w:t>
      </w:r>
    </w:p>
    <w:p w14:paraId="22DDC79F" w14:textId="3D306AC4" w:rsidR="0030598C" w:rsidRDefault="0030598C" w:rsidP="005A7543">
      <w:pPr>
        <w:pStyle w:val="ListParagraph"/>
        <w:numPr>
          <w:ilvl w:val="0"/>
          <w:numId w:val="25"/>
        </w:numPr>
        <w:ind w:left="714" w:hanging="357"/>
        <w:contextualSpacing w:val="0"/>
      </w:pPr>
      <w:r>
        <w:t xml:space="preserve">secrecy offences in Australia should be rationalised — </w:t>
      </w:r>
      <w:r w:rsidRPr="0030598C">
        <w:t xml:space="preserve">many secrecy offences should be abolished, and a new, general secrecy offence </w:t>
      </w:r>
      <w:r w:rsidR="0012612A">
        <w:t xml:space="preserve">should </w:t>
      </w:r>
      <w:r w:rsidRPr="0030598C">
        <w:t>be created</w:t>
      </w:r>
      <w:r>
        <w:t>. A multiplicity of laws makes it more difficult for all citizens to know their rights and plan their conduct accordingly</w:t>
      </w:r>
    </w:p>
    <w:p w14:paraId="2F1E9B94" w14:textId="0E16FC68" w:rsidR="00E21CC4" w:rsidRDefault="00E21CC4" w:rsidP="00B70D0F">
      <w:pPr>
        <w:pStyle w:val="ListParagraph"/>
        <w:numPr>
          <w:ilvl w:val="0"/>
          <w:numId w:val="25"/>
        </w:numPr>
        <w:ind w:left="714" w:hanging="357"/>
        <w:contextualSpacing w:val="0"/>
      </w:pPr>
      <w:r w:rsidRPr="00E21CC4">
        <w:lastRenderedPageBreak/>
        <w:t xml:space="preserve">there is a need to distinguish between criminal sanctions directed at ‘insiders’ </w:t>
      </w:r>
      <w:r>
        <w:t>(</w:t>
      </w:r>
      <w:r w:rsidR="005A7543">
        <w:t>such as</w:t>
      </w:r>
      <w:r>
        <w:t xml:space="preserve"> employees of government agencies entrusted with sensitive information) </w:t>
      </w:r>
      <w:r w:rsidRPr="00E21CC4">
        <w:t>and those that apply to</w:t>
      </w:r>
      <w:r w:rsidR="005A7543">
        <w:t xml:space="preserve"> ‘outsiders’</w:t>
      </w:r>
      <w:r w:rsidRPr="00E21CC4">
        <w:t xml:space="preserve"> </w:t>
      </w:r>
      <w:r w:rsidR="005A7543">
        <w:t>(</w:t>
      </w:r>
      <w:r w:rsidRPr="00E21CC4">
        <w:t>all other persons</w:t>
      </w:r>
      <w:r w:rsidR="005A7543">
        <w:t>)</w:t>
      </w:r>
    </w:p>
    <w:p w14:paraId="79BD8EBE" w14:textId="2261DBB5" w:rsidR="005A7543" w:rsidRDefault="005A7543" w:rsidP="005A7543">
      <w:pPr>
        <w:pStyle w:val="ListParagraph"/>
        <w:numPr>
          <w:ilvl w:val="0"/>
          <w:numId w:val="25"/>
        </w:numPr>
        <w:ind w:left="714" w:hanging="357"/>
        <w:contextualSpacing w:val="0"/>
      </w:pPr>
      <w:r>
        <w:t>laws criminalising disclosures by outsiders, including journalists and whistleblowers, should contain an express harm requirement</w:t>
      </w:r>
      <w:r w:rsidRPr="00136EDE">
        <w:rPr>
          <w:rStyle w:val="EndnoteReference"/>
          <w:szCs w:val="20"/>
        </w:rPr>
        <w:endnoteReference w:id="30"/>
      </w:r>
    </w:p>
    <w:p w14:paraId="4E58B03A" w14:textId="3B6D83E7" w:rsidR="005A7543" w:rsidRDefault="005A7543" w:rsidP="005A7543">
      <w:pPr>
        <w:pStyle w:val="ListParagraph"/>
        <w:numPr>
          <w:ilvl w:val="0"/>
          <w:numId w:val="25"/>
        </w:numPr>
        <w:spacing w:before="0" w:after="0"/>
      </w:pPr>
      <w:r>
        <w:t xml:space="preserve">laws should contain adequate defences to protect the legitimate work of journalists </w:t>
      </w:r>
    </w:p>
    <w:p w14:paraId="7369FECB" w14:textId="77777777" w:rsidR="005A7543" w:rsidRDefault="005A7543" w:rsidP="00B70D0F">
      <w:pPr>
        <w:pStyle w:val="ListParagraph"/>
        <w:spacing w:before="0" w:after="0"/>
      </w:pPr>
    </w:p>
    <w:p w14:paraId="51421B56" w14:textId="4C8BE68E" w:rsidR="0030598C" w:rsidRDefault="0012612A" w:rsidP="005A7543">
      <w:pPr>
        <w:pStyle w:val="ListParagraph"/>
        <w:numPr>
          <w:ilvl w:val="0"/>
          <w:numId w:val="25"/>
        </w:numPr>
        <w:spacing w:before="0" w:after="0"/>
      </w:pPr>
      <w:r>
        <w:t>a</w:t>
      </w:r>
      <w:r w:rsidR="0030598C">
        <w:t xml:space="preserve"> defence should be available for disclosures of information that is already widely known or easily accessible. </w:t>
      </w:r>
      <w:r w:rsidR="005A7543">
        <w:t>A disclosure or the possession of information that has already been placed in the public domain through an unauthorised disclosure will not necessarily further harm the interests of the Commonwealth</w:t>
      </w:r>
    </w:p>
    <w:p w14:paraId="701F92E6" w14:textId="77777777" w:rsidR="0030598C" w:rsidRDefault="0030598C" w:rsidP="00B70D0F">
      <w:pPr>
        <w:pStyle w:val="ListParagraph"/>
      </w:pPr>
    </w:p>
    <w:p w14:paraId="5FF8A475" w14:textId="074A9507" w:rsidR="005A7543" w:rsidRDefault="0012612A" w:rsidP="005A7543">
      <w:pPr>
        <w:pStyle w:val="ListParagraph"/>
        <w:numPr>
          <w:ilvl w:val="0"/>
          <w:numId w:val="25"/>
        </w:numPr>
        <w:spacing w:before="0" w:after="0"/>
      </w:pPr>
      <w:r>
        <w:t>t</w:t>
      </w:r>
      <w:r w:rsidR="0030598C">
        <w:t>here should be an adequate defence avai</w:t>
      </w:r>
      <w:r w:rsidR="005A7543">
        <w:t>lable for whistleblowers who make disclosures that are in the public interest</w:t>
      </w:r>
    </w:p>
    <w:p w14:paraId="5DE006C6" w14:textId="0222ABF6" w:rsidR="005A7543" w:rsidRDefault="0012612A" w:rsidP="00B70D0F">
      <w:pPr>
        <w:pStyle w:val="ListParagraph"/>
        <w:numPr>
          <w:ilvl w:val="0"/>
          <w:numId w:val="25"/>
        </w:numPr>
        <w:ind w:left="714" w:hanging="357"/>
        <w:contextualSpacing w:val="0"/>
      </w:pPr>
      <w:r>
        <w:t>a</w:t>
      </w:r>
      <w:r w:rsidR="0030598C">
        <w:t>ny secrecy offences should contain appropriate mental elements. For instance, the fact that a document has a particular security classification should not be a matter of strict liability</w:t>
      </w:r>
      <w:r>
        <w:t>.</w:t>
      </w:r>
      <w:r w:rsidR="0030598C">
        <w:t xml:space="preserve"> </w:t>
      </w:r>
    </w:p>
    <w:p w14:paraId="6A770E0B" w14:textId="7CD87D3C" w:rsidR="00E21CC4" w:rsidRDefault="00EC21F7" w:rsidP="00B22A71">
      <w:pPr>
        <w:spacing w:before="0" w:after="0"/>
      </w:pPr>
      <w:r>
        <w:t xml:space="preserve">As noted above, journalists and their sources may be affected by the existence of secrecy laws, as well as by investigation of suspected breaches and by prosecutions. The Commission therefore urges the Committee to include in its review an analysis of the policies, practices and procedures of law enforcement and security agencies insofar as they relate to journalists and news organisations.  </w:t>
      </w:r>
    </w:p>
    <w:p w14:paraId="4556801D" w14:textId="77777777" w:rsidR="00A53330" w:rsidRDefault="00A53330" w:rsidP="002F71D4">
      <w:pPr>
        <w:pStyle w:val="NoSpacing"/>
        <w:rPr>
          <w:rFonts w:cs="Open Sans"/>
        </w:rPr>
      </w:pPr>
    </w:p>
    <w:p w14:paraId="6904DC37" w14:textId="3CAA9E27" w:rsidR="00A53330" w:rsidRDefault="00D739C7" w:rsidP="00A53330">
      <w:pPr>
        <w:pStyle w:val="NoSpacing"/>
      </w:pPr>
      <w:r>
        <w:rPr>
          <w:b/>
        </w:rPr>
        <w:t>Conclusion</w:t>
      </w:r>
    </w:p>
    <w:p w14:paraId="4B3FC8BD" w14:textId="77777777" w:rsidR="00A53330" w:rsidRDefault="00A53330" w:rsidP="002F71D4">
      <w:pPr>
        <w:pStyle w:val="NoSpacing"/>
        <w:rPr>
          <w:rFonts w:cs="Open Sans"/>
        </w:rPr>
      </w:pPr>
    </w:p>
    <w:p w14:paraId="6237DC85" w14:textId="77777777" w:rsidR="00CD3B8E" w:rsidRDefault="00CD3B8E" w:rsidP="00CD3B8E">
      <w:pPr>
        <w:pStyle w:val="NoSpacing"/>
        <w:rPr>
          <w:rFonts w:cs="Open Sans"/>
        </w:rPr>
      </w:pPr>
      <w:r>
        <w:rPr>
          <w:rFonts w:cs="Open Sans"/>
        </w:rPr>
        <w:t>As one of the United States’ founders, Thomas Jefferson, astutely warned:</w:t>
      </w:r>
    </w:p>
    <w:p w14:paraId="1413CF5B" w14:textId="77777777" w:rsidR="00CD3B8E" w:rsidRDefault="00CD3B8E" w:rsidP="00CD3B8E">
      <w:pPr>
        <w:pStyle w:val="NoSpacing"/>
        <w:rPr>
          <w:rFonts w:cs="Open Sans"/>
        </w:rPr>
      </w:pPr>
    </w:p>
    <w:p w14:paraId="5706A542" w14:textId="77777777" w:rsidR="00CD3B8E" w:rsidRPr="00AD544D" w:rsidRDefault="00CD3B8E" w:rsidP="00CD3B8E">
      <w:pPr>
        <w:pStyle w:val="NoSpacing"/>
        <w:ind w:left="720"/>
        <w:rPr>
          <w:rFonts w:cs="Open Sans"/>
          <w:sz w:val="22"/>
          <w:szCs w:val="22"/>
        </w:rPr>
      </w:pPr>
      <w:r w:rsidRPr="00AD544D">
        <w:rPr>
          <w:rFonts w:cs="Open Sans"/>
          <w:sz w:val="22"/>
          <w:szCs w:val="22"/>
        </w:rPr>
        <w:t>… the only security of all is in a free press. The force of public opinion cannot be resisted, when permitted freely to be expressed.</w:t>
      </w:r>
      <w:r w:rsidRPr="00AD544D">
        <w:rPr>
          <w:rStyle w:val="EndnoteReference"/>
          <w:rFonts w:cs="Open Sans"/>
          <w:sz w:val="22"/>
          <w:szCs w:val="22"/>
        </w:rPr>
        <w:endnoteReference w:id="31"/>
      </w:r>
    </w:p>
    <w:p w14:paraId="30F7DE4D" w14:textId="77777777" w:rsidR="00CD3B8E" w:rsidRDefault="00CD3B8E" w:rsidP="00CD3B8E">
      <w:pPr>
        <w:pStyle w:val="NoSpacing"/>
        <w:rPr>
          <w:rFonts w:cs="Open Sans"/>
        </w:rPr>
      </w:pPr>
    </w:p>
    <w:p w14:paraId="2086CC83" w14:textId="5403F11B" w:rsidR="00FE3F39" w:rsidRPr="00AD544D" w:rsidRDefault="00FE3F39" w:rsidP="00CD3B8E">
      <w:pPr>
        <w:pStyle w:val="NoSpacing"/>
        <w:rPr>
          <w:rFonts w:cs="Open Sans"/>
          <w:sz w:val="22"/>
          <w:szCs w:val="22"/>
        </w:rPr>
      </w:pPr>
      <w:r>
        <w:rPr>
          <w:rFonts w:cs="Open Sans"/>
        </w:rPr>
        <w:t>The Commission urges the Committee to scrutinise closely those laws</w:t>
      </w:r>
      <w:r w:rsidR="00C10376">
        <w:rPr>
          <w:rFonts w:cs="Open Sans"/>
        </w:rPr>
        <w:t>, policies, practices</w:t>
      </w:r>
      <w:r>
        <w:rPr>
          <w:rFonts w:cs="Open Sans"/>
        </w:rPr>
        <w:t xml:space="preserve"> and procedures which permit the investigation and prosecution of journalists, their </w:t>
      </w:r>
      <w:r w:rsidR="00C10376">
        <w:rPr>
          <w:rFonts w:cs="Open Sans"/>
        </w:rPr>
        <w:t>sources, and their employers; and to recommend that these be revised to ensure they do not impermissibly limit the right to freedom of expression.</w:t>
      </w:r>
    </w:p>
    <w:p w14:paraId="4689BE02" w14:textId="77777777" w:rsidR="004E2B71" w:rsidRDefault="004E2B71" w:rsidP="002F71D4">
      <w:pPr>
        <w:pStyle w:val="NoSpacing"/>
        <w:rPr>
          <w:rFonts w:cs="Open Sans"/>
        </w:rPr>
      </w:pPr>
    </w:p>
    <w:p w14:paraId="33A67DCD" w14:textId="77777777" w:rsidR="008955AB" w:rsidRDefault="008955AB" w:rsidP="002F71D4">
      <w:pPr>
        <w:pStyle w:val="NoSpacing"/>
        <w:rPr>
          <w:rFonts w:cs="Open Sans"/>
        </w:rPr>
      </w:pPr>
    </w:p>
    <w:p w14:paraId="24678F47" w14:textId="54882CC8" w:rsidR="002F71D4" w:rsidRDefault="002F71D4" w:rsidP="00A064DC">
      <w:pPr>
        <w:pStyle w:val="NoSpacing"/>
        <w:rPr>
          <w:rFonts w:cs="Open Sans"/>
        </w:rPr>
      </w:pPr>
      <w:r w:rsidRPr="00F305E1">
        <w:rPr>
          <w:rFonts w:cs="Open Sans"/>
        </w:rPr>
        <w:t xml:space="preserve">Yours </w:t>
      </w:r>
      <w:r>
        <w:rPr>
          <w:rFonts w:cs="Open Sans"/>
        </w:rPr>
        <w:t>faithfully</w:t>
      </w:r>
    </w:p>
    <w:p w14:paraId="072ACDC0" w14:textId="77777777" w:rsidR="00A064DC" w:rsidRPr="00A064DC" w:rsidRDefault="00A064DC" w:rsidP="00A064DC">
      <w:pPr>
        <w:pStyle w:val="NoSpacing"/>
        <w:rPr>
          <w:rFonts w:cs="Open Sans"/>
        </w:rPr>
      </w:pPr>
    </w:p>
    <w:p w14:paraId="487DDD0F" w14:textId="25CD165F" w:rsidR="00EA7823" w:rsidRDefault="00A064DC" w:rsidP="002F71D4">
      <w:pPr>
        <w:pStyle w:val="NoSpacing"/>
        <w:spacing w:before="240" w:after="240"/>
        <w:rPr>
          <w:noProof/>
        </w:rPr>
      </w:pPr>
      <w:r w:rsidRPr="00FD224A">
        <w:rPr>
          <w:noProof/>
          <w:sz w:val="22"/>
          <w:szCs w:val="22"/>
        </w:rPr>
        <w:drawing>
          <wp:inline distT="0" distB="0" distL="0" distR="0" wp14:anchorId="67C54E05" wp14:editId="55C9479C">
            <wp:extent cx="2302534" cy="658858"/>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409381" cy="6894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B92404" w14:paraId="2A9CFF3D" w14:textId="77777777" w:rsidTr="008D6ABB">
        <w:tc>
          <w:tcPr>
            <w:tcW w:w="9060" w:type="dxa"/>
          </w:tcPr>
          <w:p w14:paraId="5C2BAA53" w14:textId="77777777" w:rsidR="00B92404" w:rsidRPr="00F305E1" w:rsidRDefault="00B92404" w:rsidP="00B92404">
            <w:pPr>
              <w:pStyle w:val="AddressBlock"/>
              <w:spacing w:before="0"/>
              <w:rPr>
                <w:rFonts w:cs="Open Sans"/>
              </w:rPr>
            </w:pPr>
            <w:r w:rsidRPr="00F305E1">
              <w:rPr>
                <w:rFonts w:cs="Open Sans"/>
              </w:rPr>
              <w:t>Edward Santow</w:t>
            </w:r>
          </w:p>
          <w:p w14:paraId="4D1E9DEA" w14:textId="123207BA" w:rsidR="00B92404" w:rsidRPr="00EA7823" w:rsidRDefault="00B92404" w:rsidP="00EA7823">
            <w:pPr>
              <w:pStyle w:val="AddressBlock"/>
              <w:spacing w:before="0"/>
              <w:rPr>
                <w:rFonts w:cs="Open Sans"/>
                <w:b/>
              </w:rPr>
            </w:pPr>
            <w:r w:rsidRPr="00F305E1">
              <w:rPr>
                <w:rFonts w:cs="Open Sans"/>
                <w:b/>
              </w:rPr>
              <w:t>Human Rights Commissioner</w:t>
            </w:r>
          </w:p>
        </w:tc>
      </w:tr>
      <w:tr w:rsidR="00B92404" w14:paraId="12A0FC3E" w14:textId="77777777" w:rsidTr="008D6ABB">
        <w:tc>
          <w:tcPr>
            <w:tcW w:w="9060" w:type="dxa"/>
          </w:tcPr>
          <w:p w14:paraId="1A0CB835" w14:textId="77777777" w:rsidR="00B92404" w:rsidRDefault="00B92404" w:rsidP="00B92404">
            <w:pPr>
              <w:pStyle w:val="AddressBlock"/>
              <w:spacing w:before="0"/>
              <w:rPr>
                <w:rFonts w:cs="Open Sans"/>
              </w:rPr>
            </w:pPr>
          </w:p>
          <w:p w14:paraId="38176D3A" w14:textId="77777777" w:rsidR="00B92404" w:rsidRDefault="00B92404" w:rsidP="00B92404">
            <w:pPr>
              <w:pStyle w:val="AddressBlock"/>
              <w:spacing w:before="0"/>
              <w:rPr>
                <w:rFonts w:cs="Open Sans"/>
              </w:rPr>
            </w:pPr>
          </w:p>
          <w:p w14:paraId="4B89585E" w14:textId="53072ECD" w:rsidR="00B92404" w:rsidRDefault="00B92404" w:rsidP="00B92404">
            <w:pPr>
              <w:pStyle w:val="AddressBlock"/>
              <w:spacing w:before="0"/>
              <w:rPr>
                <w:rFonts w:cs="Open Sans"/>
              </w:rPr>
            </w:pPr>
          </w:p>
          <w:p w14:paraId="559B519A" w14:textId="429666B3" w:rsidR="00627A23" w:rsidRDefault="00627A23" w:rsidP="00B92404">
            <w:pPr>
              <w:pStyle w:val="AddressBlock"/>
              <w:spacing w:before="0"/>
              <w:rPr>
                <w:rFonts w:cs="Open Sans"/>
              </w:rPr>
            </w:pPr>
          </w:p>
          <w:p w14:paraId="2B5262B1" w14:textId="47E0072A" w:rsidR="00B92404" w:rsidRPr="00F305E1" w:rsidRDefault="002C11E1" w:rsidP="00B92404">
            <w:pPr>
              <w:pStyle w:val="AddressBlock"/>
              <w:spacing w:before="0"/>
              <w:rPr>
                <w:rFonts w:cs="Open Sans"/>
              </w:rPr>
            </w:pPr>
            <w:r>
              <w:rPr>
                <w:noProof/>
              </w:rPr>
              <w:drawing>
                <wp:inline distT="0" distB="0" distL="0" distR="0" wp14:anchorId="56AEFCE3" wp14:editId="12287EB0">
                  <wp:extent cx="3191581" cy="790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7325" cy="799429"/>
                          </a:xfrm>
                          <a:prstGeom prst="rect">
                            <a:avLst/>
                          </a:prstGeom>
                        </pic:spPr>
                      </pic:pic>
                    </a:graphicData>
                  </a:graphic>
                </wp:inline>
              </w:drawing>
            </w:r>
          </w:p>
        </w:tc>
      </w:tr>
      <w:tr w:rsidR="00B92404" w14:paraId="28ADD3F2" w14:textId="77777777" w:rsidTr="008D6ABB">
        <w:tc>
          <w:tcPr>
            <w:tcW w:w="9060" w:type="dxa"/>
          </w:tcPr>
          <w:p w14:paraId="6F46B782" w14:textId="77777777" w:rsidR="00B92404" w:rsidRPr="00F305E1" w:rsidRDefault="00B92404" w:rsidP="00B92404">
            <w:pPr>
              <w:pStyle w:val="AddressBlock"/>
              <w:spacing w:before="0"/>
              <w:rPr>
                <w:rFonts w:cs="Open Sans"/>
              </w:rPr>
            </w:pPr>
            <w:r>
              <w:rPr>
                <w:rFonts w:cs="Open Sans"/>
              </w:rPr>
              <w:t>Rosalind Croucher AM</w:t>
            </w:r>
          </w:p>
          <w:p w14:paraId="6D1DBB78" w14:textId="06FADB4F" w:rsidR="00B92404" w:rsidRPr="00F305E1" w:rsidRDefault="00B92404" w:rsidP="00EA7823">
            <w:pPr>
              <w:pStyle w:val="AddressBlock"/>
              <w:spacing w:before="0"/>
              <w:rPr>
                <w:rFonts w:cs="Open Sans"/>
              </w:rPr>
            </w:pPr>
            <w:r>
              <w:rPr>
                <w:rFonts w:cs="Open Sans"/>
                <w:b/>
              </w:rPr>
              <w:t>President</w:t>
            </w:r>
          </w:p>
        </w:tc>
      </w:tr>
    </w:tbl>
    <w:p w14:paraId="41FEF2EE" w14:textId="77777777" w:rsidR="002F71D4" w:rsidRPr="00F305E1" w:rsidRDefault="002F71D4" w:rsidP="002F71D4">
      <w:pPr>
        <w:pStyle w:val="NoSpacing"/>
        <w:spacing w:before="240" w:after="240"/>
        <w:rPr>
          <w:rFonts w:cs="Open Sans"/>
        </w:rPr>
      </w:pPr>
    </w:p>
    <w:sectPr w:rsidR="002F71D4" w:rsidRPr="00F305E1" w:rsidSect="00211A4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5600" w14:textId="77777777" w:rsidR="000E5DB8" w:rsidRDefault="000E5DB8" w:rsidP="00F14C6D">
      <w:r>
        <w:separator/>
      </w:r>
    </w:p>
  </w:endnote>
  <w:endnote w:type="continuationSeparator" w:id="0">
    <w:p w14:paraId="401878A0" w14:textId="77777777" w:rsidR="000E5DB8" w:rsidRDefault="000E5DB8" w:rsidP="00F14C6D">
      <w:r>
        <w:continuationSeparator/>
      </w:r>
    </w:p>
  </w:endnote>
  <w:endnote w:id="1">
    <w:p w14:paraId="2E3F46A0" w14:textId="4D48D4D0" w:rsidR="005A7543" w:rsidRDefault="005A7543" w:rsidP="00B70D0F">
      <w:pPr>
        <w:pStyle w:val="EndnoteText"/>
        <w:spacing w:before="0" w:after="0"/>
      </w:pPr>
      <w:r w:rsidRPr="008D6ABB">
        <w:rPr>
          <w:rStyle w:val="EndnoteReference"/>
        </w:rPr>
        <w:endnoteRef/>
      </w:r>
      <w:r w:rsidRPr="008D6ABB">
        <w:t xml:space="preserve"> </w:t>
      </w:r>
      <w:r w:rsidR="008A3D88" w:rsidRPr="008D6ABB">
        <w:t xml:space="preserve">See, e.g., </w:t>
      </w:r>
      <w:r w:rsidR="00FE5C76">
        <w:t>Australian Human Rights Commission, Submission: Inquiry into the Telecommunications and Other Legislation Amendment (Assistance and Access) Bill 2018, 12 October 2018, available at &lt;</w:t>
      </w:r>
      <w:hyperlink r:id="rId1" w:history="1">
        <w:r w:rsidR="00DC7635" w:rsidRPr="00DC7635">
          <w:rPr>
            <w:rStyle w:val="Hyperlink"/>
            <w:sz w:val="20"/>
          </w:rPr>
          <w:t>https://www.aph.gov.au/DocumentStore.ashx?id=a7b9ff25-7c09-41e9-b97a-56dae1ac0e94&amp;subId=661055</w:t>
        </w:r>
      </w:hyperlink>
      <w:r w:rsidR="00FE5C76">
        <w:t xml:space="preserve">&gt;(last accessed </w:t>
      </w:r>
      <w:r w:rsidR="00136EDE">
        <w:t>25</w:t>
      </w:r>
      <w:r w:rsidR="00FE5C76">
        <w:t xml:space="preserve"> July 2019); </w:t>
      </w:r>
      <w:r w:rsidR="006E270B">
        <w:t>Australian Human Rights Commission, Submission: Inquiry into the National Security Legislation Amendment (Espionage and Foreign Interference) B</w:t>
      </w:r>
      <w:r w:rsidR="00FE5C76">
        <w:t>i</w:t>
      </w:r>
      <w:r w:rsidR="006E270B">
        <w:t>ll 2017, 24 January 2018, available at &lt;</w:t>
      </w:r>
      <w:r w:rsidR="006E270B" w:rsidRPr="00D80629">
        <w:t>https://www.aph.gov.au/DocumentStore.ashx?id=1482dc19-ac10-430d-b02f-bae8d11ce99d&amp;subId=562820</w:t>
      </w:r>
      <w:r w:rsidR="006E270B">
        <w:t xml:space="preserve">&gt; (last accessed </w:t>
      </w:r>
      <w:r w:rsidR="00136EDE">
        <w:t>25</w:t>
      </w:r>
      <w:r w:rsidR="006E270B">
        <w:t xml:space="preserve"> July 2019); </w:t>
      </w:r>
      <w:r w:rsidR="00DC7635">
        <w:t>Australian Human Rights Commission, Submission: Inquiry into the Telecommunications (Interception and Access) Amendment (Data Retention) Bill 2014, 14 January 2015, available at &lt;</w:t>
      </w:r>
      <w:hyperlink r:id="rId2" w:history="1">
        <w:r w:rsidR="00B92404" w:rsidRPr="00B92404">
          <w:rPr>
            <w:rStyle w:val="Hyperlink"/>
            <w:sz w:val="20"/>
          </w:rPr>
          <w:t>https://www.aph.gov.au/DocumentStore.ashx?id=7cee3a76-9d53-4b97-a7aa-725bfb309f49&amp;subId=302630</w:t>
        </w:r>
      </w:hyperlink>
      <w:r w:rsidR="00DC7635">
        <w:t xml:space="preserve">&gt; (last accessed </w:t>
      </w:r>
      <w:r w:rsidR="00136EDE">
        <w:t>25</w:t>
      </w:r>
      <w:r w:rsidR="00DC7635">
        <w:t xml:space="preserve"> July 2019)</w:t>
      </w:r>
      <w:r w:rsidRPr="008D6ABB">
        <w:t>.</w:t>
      </w:r>
    </w:p>
  </w:endnote>
  <w:endnote w:id="2">
    <w:p w14:paraId="39F7BBDD" w14:textId="0B86D6D8" w:rsidR="005A7543" w:rsidRDefault="005A7543" w:rsidP="00B70D0F">
      <w:pPr>
        <w:pStyle w:val="EndnoteText"/>
        <w:spacing w:before="0" w:after="0"/>
      </w:pPr>
      <w:r>
        <w:rPr>
          <w:rStyle w:val="EndnoteReference"/>
        </w:rPr>
        <w:endnoteRef/>
      </w:r>
      <w:r>
        <w:t xml:space="preserve"> Parliamentary Joint Committee on Intelligence and Security, ‘Committee to scrutinise the impact of the exercise of law enforcement and intelligence powers on the freedom of the press’, Media Release (5 July 2019), available at &lt;</w:t>
      </w:r>
      <w:r w:rsidRPr="00176B44">
        <w:t>https://www.aph.gov.au/DocumentStore.ashx?id=b8f9b45c-d4be-4778-a94b-51941a420493</w:t>
      </w:r>
      <w:r>
        <w:t xml:space="preserve">&gt; (last accessed </w:t>
      </w:r>
      <w:r w:rsidR="00136EDE">
        <w:t>25</w:t>
      </w:r>
      <w:r>
        <w:t xml:space="preserve"> July 2019).</w:t>
      </w:r>
    </w:p>
  </w:endnote>
  <w:endnote w:id="3">
    <w:p w14:paraId="39765BB2" w14:textId="3474B04C" w:rsidR="005A7543" w:rsidRDefault="005A7543" w:rsidP="00B70D0F">
      <w:pPr>
        <w:pStyle w:val="EndnoteText"/>
        <w:spacing w:before="0" w:after="0"/>
      </w:pPr>
      <w:r>
        <w:rPr>
          <w:rStyle w:val="EndnoteReference"/>
        </w:rPr>
        <w:endnoteRef/>
      </w:r>
      <w:r>
        <w:t xml:space="preserve"> Australian Federal Police, ‘AFP statement on activity in Canberra and Sydney’, Media Release (5 June 2019), available at </w:t>
      </w:r>
      <w:r w:rsidRPr="006C3E4E">
        <w:t>&lt;</w:t>
      </w:r>
      <w:hyperlink r:id="rId3" w:history="1">
        <w:r w:rsidRPr="006C3E4E">
          <w:rPr>
            <w:rStyle w:val="Hyperlink"/>
            <w:sz w:val="20"/>
          </w:rPr>
          <w:t>https://www.afp.gov.au/news-media/media-releases/afp-statement-activity-canberra-and-sydney</w:t>
        </w:r>
      </w:hyperlink>
      <w:r w:rsidRPr="006C3E4E">
        <w:t xml:space="preserve">&gt; </w:t>
      </w:r>
      <w:r>
        <w:t xml:space="preserve">(last accessed on </w:t>
      </w:r>
      <w:r w:rsidR="00136EDE">
        <w:t>25</w:t>
      </w:r>
      <w:r>
        <w:t xml:space="preserve"> July 2019).</w:t>
      </w:r>
    </w:p>
  </w:endnote>
  <w:endnote w:id="4">
    <w:p w14:paraId="130EE854" w14:textId="77777777" w:rsidR="005A7543" w:rsidRDefault="005A7543" w:rsidP="00B70D0F">
      <w:pPr>
        <w:pStyle w:val="EndnoteText"/>
        <w:spacing w:before="0" w:after="0"/>
      </w:pPr>
      <w:r>
        <w:rPr>
          <w:rStyle w:val="EndnoteReference"/>
        </w:rPr>
        <w:endnoteRef/>
      </w:r>
      <w:r>
        <w:t xml:space="preserve">  According to the </w:t>
      </w:r>
      <w:r w:rsidRPr="00D642D1">
        <w:rPr>
          <w:i/>
          <w:iCs/>
        </w:rPr>
        <w:t>2019 World Press Freedom Index</w:t>
      </w:r>
      <w:r>
        <w:t>, p</w:t>
      </w:r>
      <w:r w:rsidRPr="0017724E">
        <w:t>ublished by Reporters without Borders, available at &lt;</w:t>
      </w:r>
      <w:hyperlink r:id="rId4" w:history="1">
        <w:r w:rsidRPr="0017724E">
          <w:rPr>
            <w:rStyle w:val="Hyperlink"/>
            <w:sz w:val="20"/>
          </w:rPr>
          <w:t>https://rsf.org/en/australia</w:t>
        </w:r>
      </w:hyperlink>
      <w:r w:rsidRPr="0017724E">
        <w:t>&gt;.</w:t>
      </w:r>
    </w:p>
  </w:endnote>
  <w:endnote w:id="5">
    <w:p w14:paraId="3DF39331" w14:textId="3AF4FDE9" w:rsidR="005A7543" w:rsidRDefault="005A7543" w:rsidP="00B70D0F">
      <w:pPr>
        <w:pStyle w:val="EndnoteText"/>
        <w:spacing w:before="0" w:after="0"/>
      </w:pPr>
      <w:r>
        <w:rPr>
          <w:rStyle w:val="EndnoteReference"/>
        </w:rPr>
        <w:endnoteRef/>
      </w:r>
      <w:r>
        <w:t xml:space="preserve"> </w:t>
      </w:r>
      <w:r w:rsidR="006E270B">
        <w:t>ibid</w:t>
      </w:r>
      <w:r w:rsidRPr="0017724E">
        <w:t>.</w:t>
      </w:r>
    </w:p>
  </w:endnote>
  <w:endnote w:id="6">
    <w:p w14:paraId="7790CA0A" w14:textId="30B627EE" w:rsidR="005A7543" w:rsidRDefault="005A7543" w:rsidP="00B70D0F">
      <w:pPr>
        <w:pStyle w:val="EndnoteText"/>
        <w:spacing w:before="0" w:after="0"/>
      </w:pPr>
      <w:r>
        <w:rPr>
          <w:rStyle w:val="EndnoteReference"/>
        </w:rPr>
        <w:endnoteRef/>
      </w:r>
      <w:r>
        <w:t xml:space="preserve"> John Milton, </w:t>
      </w:r>
      <w:r w:rsidRPr="00883BBE">
        <w:rPr>
          <w:i/>
          <w:iCs/>
        </w:rPr>
        <w:t>Areopagitica: A Speech by Mr John Milton for the Liberty of Unlicenced Printing, to the Parliament of England</w:t>
      </w:r>
      <w:r>
        <w:t>.</w:t>
      </w:r>
    </w:p>
  </w:endnote>
  <w:endnote w:id="7">
    <w:p w14:paraId="464CA5E3" w14:textId="748EAA8B" w:rsidR="005A7543" w:rsidRDefault="005A7543" w:rsidP="00B70D0F">
      <w:pPr>
        <w:pStyle w:val="EndnoteText"/>
        <w:spacing w:before="0" w:after="0"/>
      </w:pPr>
      <w:r>
        <w:rPr>
          <w:rStyle w:val="EndnoteReference"/>
        </w:rPr>
        <w:endnoteRef/>
      </w:r>
      <w:r>
        <w:t xml:space="preserve"> ‘</w:t>
      </w:r>
      <w:r w:rsidRPr="006C7911">
        <w:rPr>
          <w:i/>
          <w:iCs/>
        </w:rPr>
        <w:t>Congress shall make no law</w:t>
      </w:r>
      <w:r>
        <w:t xml:space="preserve"> respecting an establishment of religion, or prohibiting the free exercise thereof; or </w:t>
      </w:r>
      <w:r w:rsidRPr="006C7911">
        <w:rPr>
          <w:i/>
          <w:iCs/>
        </w:rPr>
        <w:t>abridging the freedom of speech, or of the press</w:t>
      </w:r>
      <w:r>
        <w:t>; or the right of the people peaceably to assemble, and to petition the Government for a redress of grievances.’ (emphasis added)</w:t>
      </w:r>
    </w:p>
  </w:endnote>
  <w:endnote w:id="8">
    <w:p w14:paraId="300FD514" w14:textId="77777777" w:rsidR="005A7543" w:rsidRDefault="005A7543" w:rsidP="00B70D0F">
      <w:pPr>
        <w:pStyle w:val="EndnoteText"/>
        <w:spacing w:before="0" w:after="0"/>
      </w:pPr>
      <w:r>
        <w:rPr>
          <w:rStyle w:val="EndnoteReference"/>
        </w:rPr>
        <w:endnoteRef/>
      </w:r>
      <w:r>
        <w:t xml:space="preserve"> Enid Campbell and Harry Whitmore, </w:t>
      </w:r>
      <w:r w:rsidRPr="00FA7843">
        <w:rPr>
          <w:i/>
          <w:iCs/>
        </w:rPr>
        <w:t>Freedom in Australia</w:t>
      </w:r>
      <w:r>
        <w:t xml:space="preserve"> (Sydney University Press, 1966) 113.</w:t>
      </w:r>
    </w:p>
  </w:endnote>
  <w:endnote w:id="9">
    <w:p w14:paraId="5C596210" w14:textId="67785C15" w:rsidR="005A7543" w:rsidRDefault="005A7543" w:rsidP="00B70D0F">
      <w:pPr>
        <w:pStyle w:val="EndnoteText"/>
        <w:spacing w:before="0" w:after="0"/>
      </w:pPr>
      <w:r>
        <w:rPr>
          <w:rStyle w:val="EndnoteReference"/>
        </w:rPr>
        <w:endnoteRef/>
      </w:r>
      <w:r>
        <w:t xml:space="preserve"> In addition to article 19 of the </w:t>
      </w:r>
      <w:r w:rsidRPr="00A56772">
        <w:rPr>
          <w:i/>
          <w:iCs/>
        </w:rPr>
        <w:t>International Covenant on Civil and Political Rights</w:t>
      </w:r>
      <w:r>
        <w:t xml:space="preserve">, see, e.g., </w:t>
      </w:r>
      <w:r w:rsidRPr="00E4329C">
        <w:rPr>
          <w:i/>
          <w:iCs/>
        </w:rPr>
        <w:t>Universal Declaration of Human Rights</w:t>
      </w:r>
      <w:r>
        <w:t xml:space="preserve">, article 19; </w:t>
      </w:r>
      <w:r w:rsidRPr="00644F6E">
        <w:rPr>
          <w:i/>
          <w:iCs/>
        </w:rPr>
        <w:t>European Convention on Human Rights</w:t>
      </w:r>
      <w:r>
        <w:t xml:space="preserve">, article 10; </w:t>
      </w:r>
      <w:r w:rsidRPr="00644F6E">
        <w:rPr>
          <w:i/>
          <w:iCs/>
        </w:rPr>
        <w:t>American Convention on Human Rights</w:t>
      </w:r>
      <w:r>
        <w:t xml:space="preserve">, article 13; </w:t>
      </w:r>
      <w:r w:rsidRPr="00644F6E">
        <w:rPr>
          <w:i/>
          <w:iCs/>
        </w:rPr>
        <w:t>African Charter on Human and Peoples’ Rights</w:t>
      </w:r>
      <w:r>
        <w:t xml:space="preserve">, article 9; </w:t>
      </w:r>
      <w:r w:rsidRPr="00644F6E">
        <w:rPr>
          <w:i/>
          <w:iCs/>
        </w:rPr>
        <w:t>ASEAN Human Rights Declaration</w:t>
      </w:r>
      <w:r>
        <w:t>, article 23.</w:t>
      </w:r>
    </w:p>
  </w:endnote>
  <w:endnote w:id="10">
    <w:p w14:paraId="78123FE0" w14:textId="77777777" w:rsidR="005A7543" w:rsidRDefault="005A7543" w:rsidP="00B70D0F">
      <w:pPr>
        <w:pStyle w:val="EndnoteText"/>
        <w:spacing w:before="0" w:after="0"/>
      </w:pPr>
      <w:r>
        <w:rPr>
          <w:rStyle w:val="EndnoteReference"/>
        </w:rPr>
        <w:endnoteRef/>
      </w:r>
      <w:r>
        <w:t xml:space="preserve"> UN Human Rights Committee, </w:t>
      </w:r>
      <w:r w:rsidRPr="002325EF">
        <w:rPr>
          <w:i/>
        </w:rPr>
        <w:t>General Comment 34</w:t>
      </w:r>
      <w:r>
        <w:rPr>
          <w:i/>
        </w:rPr>
        <w:t xml:space="preserve">:  </w:t>
      </w:r>
      <w:r w:rsidRPr="006326D9">
        <w:rPr>
          <w:i/>
        </w:rPr>
        <w:t>Article 19: Freedoms of opinion and expression</w:t>
      </w:r>
      <w:r>
        <w:t>, 102</w:t>
      </w:r>
      <w:r w:rsidRPr="006326D9">
        <w:rPr>
          <w:vertAlign w:val="superscript"/>
        </w:rPr>
        <w:t>nd</w:t>
      </w:r>
      <w:r>
        <w:t xml:space="preserve"> Sess, </w:t>
      </w:r>
      <w:r w:rsidRPr="002325EF">
        <w:t>(</w:t>
      </w:r>
      <w:r>
        <w:t xml:space="preserve">12 September </w:t>
      </w:r>
      <w:r w:rsidRPr="002325EF">
        <w:t xml:space="preserve">2011), UN Doc. CCPR/C/GC/34, </w:t>
      </w:r>
      <w:r>
        <w:t>[2]-[3].</w:t>
      </w:r>
    </w:p>
  </w:endnote>
  <w:endnote w:id="11">
    <w:p w14:paraId="16956043" w14:textId="6995FE03" w:rsidR="005A7543" w:rsidRDefault="005A7543" w:rsidP="00B70D0F">
      <w:pPr>
        <w:pStyle w:val="EndnoteText"/>
        <w:spacing w:before="0" w:after="0"/>
      </w:pPr>
      <w:r>
        <w:rPr>
          <w:rStyle w:val="EndnoteReference"/>
        </w:rPr>
        <w:endnoteRef/>
      </w:r>
      <w:r>
        <w:t xml:space="preserve"> </w:t>
      </w:r>
      <w:r w:rsidRPr="008A41AB">
        <w:rPr>
          <w:i/>
          <w:iCs/>
        </w:rPr>
        <w:t>Twentieth Anniversary Joint Declaration: Challenges to Freedom of Expression in the Next Decade</w:t>
      </w:r>
      <w:r>
        <w:t xml:space="preserve">, 10 July 2019, available at </w:t>
      </w:r>
      <w:r w:rsidRPr="002F503A">
        <w:t>&lt;</w:t>
      </w:r>
      <w:hyperlink r:id="rId5" w:history="1">
        <w:r w:rsidRPr="002F503A">
          <w:rPr>
            <w:rStyle w:val="Hyperlink"/>
            <w:sz w:val="20"/>
          </w:rPr>
          <w:t>https://www.ohchr.org/Documents/Issues/Opinion/JointDeclaration10July2019_English.pdf</w:t>
        </w:r>
      </w:hyperlink>
      <w:r w:rsidRPr="002F503A">
        <w:t>&gt;</w:t>
      </w:r>
      <w:r w:rsidR="00136EDE">
        <w:t xml:space="preserve"> (last accessed 25 July 2019)</w:t>
      </w:r>
      <w:r w:rsidRPr="002F503A">
        <w:t>.</w:t>
      </w:r>
    </w:p>
  </w:endnote>
  <w:endnote w:id="12">
    <w:p w14:paraId="38FEE3FA" w14:textId="3938FB1A" w:rsidR="005A7543" w:rsidRDefault="005A7543" w:rsidP="00B70D0F">
      <w:pPr>
        <w:pStyle w:val="EndnoteText"/>
        <w:spacing w:before="0" w:after="0"/>
      </w:pPr>
      <w:r>
        <w:rPr>
          <w:rStyle w:val="EndnoteReference"/>
        </w:rPr>
        <w:endnoteRef/>
      </w:r>
      <w:r>
        <w:t xml:space="preserve"> </w:t>
      </w:r>
      <w:r w:rsidRPr="0067438B">
        <w:rPr>
          <w:i/>
          <w:iCs/>
        </w:rPr>
        <w:t>International Covenant on Civil and Political Rights</w:t>
      </w:r>
      <w:r>
        <w:t>, article 5(1).</w:t>
      </w:r>
    </w:p>
  </w:endnote>
  <w:endnote w:id="13">
    <w:p w14:paraId="4B4ACD99" w14:textId="77777777" w:rsidR="005A7543" w:rsidRDefault="005A7543" w:rsidP="00B70D0F">
      <w:pPr>
        <w:pStyle w:val="EndnoteText"/>
        <w:spacing w:before="0" w:after="0"/>
      </w:pPr>
      <w:r>
        <w:rPr>
          <w:rStyle w:val="EndnoteReference"/>
        </w:rPr>
        <w:endnoteRef/>
      </w:r>
      <w:r>
        <w:t xml:space="preserve"> UN Human Rights Committee, </w:t>
      </w:r>
      <w:r w:rsidRPr="002325EF">
        <w:rPr>
          <w:i/>
        </w:rPr>
        <w:t>General Comment 34</w:t>
      </w:r>
      <w:r>
        <w:rPr>
          <w:i/>
        </w:rPr>
        <w:t xml:space="preserve">:  </w:t>
      </w:r>
      <w:r w:rsidRPr="006326D9">
        <w:rPr>
          <w:i/>
        </w:rPr>
        <w:t>Article 19: Freedoms of opinion and expression</w:t>
      </w:r>
      <w:r>
        <w:t>, 102</w:t>
      </w:r>
      <w:r w:rsidRPr="006326D9">
        <w:rPr>
          <w:vertAlign w:val="superscript"/>
        </w:rPr>
        <w:t>nd</w:t>
      </w:r>
      <w:r>
        <w:t xml:space="preserve"> Sess, </w:t>
      </w:r>
      <w:r w:rsidRPr="002325EF">
        <w:t>(</w:t>
      </w:r>
      <w:r>
        <w:t xml:space="preserve">12 September </w:t>
      </w:r>
      <w:r w:rsidRPr="002325EF">
        <w:t>2011), UN Doc. CCPR/C/GC/34,</w:t>
      </w:r>
      <w:r>
        <w:t xml:space="preserve"> [22].  </w:t>
      </w:r>
    </w:p>
  </w:endnote>
  <w:endnote w:id="14">
    <w:p w14:paraId="60BDA69B" w14:textId="77777777" w:rsidR="005A7543" w:rsidRDefault="005A7543" w:rsidP="00B70D0F">
      <w:pPr>
        <w:pStyle w:val="EndnoteText"/>
        <w:spacing w:before="0" w:after="0"/>
      </w:pPr>
      <w:r>
        <w:rPr>
          <w:rStyle w:val="EndnoteReference"/>
        </w:rPr>
        <w:endnoteRef/>
      </w:r>
      <w:r>
        <w:t xml:space="preserve"> </w:t>
      </w:r>
      <w:r w:rsidRPr="0067438B">
        <w:rPr>
          <w:i/>
          <w:iCs/>
        </w:rPr>
        <w:t>International Covenant on Civil and Political Rights</w:t>
      </w:r>
      <w:r>
        <w:t>, article 19(3)(a).</w:t>
      </w:r>
    </w:p>
  </w:endnote>
  <w:endnote w:id="15">
    <w:p w14:paraId="66AD825D" w14:textId="77777777" w:rsidR="005A7543" w:rsidRDefault="005A7543" w:rsidP="00B70D0F">
      <w:pPr>
        <w:pStyle w:val="EndnoteText"/>
        <w:spacing w:before="0" w:after="0"/>
      </w:pPr>
      <w:r>
        <w:rPr>
          <w:rStyle w:val="EndnoteReference"/>
        </w:rPr>
        <w:endnoteRef/>
      </w:r>
      <w:r>
        <w:t xml:space="preserve"> </w:t>
      </w:r>
      <w:r w:rsidRPr="0067438B">
        <w:rPr>
          <w:i/>
          <w:iCs/>
        </w:rPr>
        <w:t>International Covenant on Civil and Political Rights</w:t>
      </w:r>
      <w:r>
        <w:t>, article 19(3)(b).</w:t>
      </w:r>
    </w:p>
  </w:endnote>
  <w:endnote w:id="16">
    <w:p w14:paraId="0FBE4897" w14:textId="77777777" w:rsidR="005A7543" w:rsidRDefault="005A7543" w:rsidP="00B70D0F">
      <w:pPr>
        <w:pStyle w:val="EndnoteText"/>
        <w:spacing w:before="0" w:after="0"/>
      </w:pPr>
      <w:r>
        <w:rPr>
          <w:rStyle w:val="EndnoteReference"/>
        </w:rPr>
        <w:endnoteRef/>
      </w:r>
      <w:r>
        <w:t xml:space="preserve"> </w:t>
      </w:r>
      <w:r w:rsidRPr="002C01EB">
        <w:t xml:space="preserve">UN Human Rights Committee, </w:t>
      </w:r>
      <w:r w:rsidRPr="002C01EB">
        <w:rPr>
          <w:i/>
        </w:rPr>
        <w:t>General Comment 34:  Article 19: Freedoms of opinion and expression</w:t>
      </w:r>
      <w:r w:rsidRPr="002C01EB">
        <w:t>, 102</w:t>
      </w:r>
      <w:r w:rsidRPr="002C01EB">
        <w:rPr>
          <w:vertAlign w:val="superscript"/>
        </w:rPr>
        <w:t>nd</w:t>
      </w:r>
      <w:r w:rsidRPr="002C01EB">
        <w:t xml:space="preserve"> Sess, (12 September 2011), UN Doc. CCPR/C/GC/34, </w:t>
      </w:r>
      <w:r>
        <w:rPr>
          <w:rFonts w:cs="Arial"/>
          <w:szCs w:val="22"/>
        </w:rPr>
        <w:t>[25].</w:t>
      </w:r>
    </w:p>
  </w:endnote>
  <w:endnote w:id="17">
    <w:p w14:paraId="11F392D0" w14:textId="4F6DF1DA" w:rsidR="005A7543" w:rsidRDefault="005A7543" w:rsidP="00B70D0F">
      <w:pPr>
        <w:pStyle w:val="EndnoteText"/>
        <w:spacing w:before="0" w:after="0"/>
      </w:pPr>
      <w:r>
        <w:rPr>
          <w:rStyle w:val="EndnoteReference"/>
        </w:rPr>
        <w:endnoteRef/>
      </w:r>
      <w:r>
        <w:t xml:space="preserve"> </w:t>
      </w:r>
      <w:r w:rsidR="006E270B">
        <w:t>ibid.</w:t>
      </w:r>
      <w:r w:rsidRPr="002C01EB">
        <w:t xml:space="preserve">, </w:t>
      </w:r>
      <w:r>
        <w:rPr>
          <w:rFonts w:cs="Arial"/>
          <w:szCs w:val="22"/>
        </w:rPr>
        <w:t>[34].</w:t>
      </w:r>
    </w:p>
  </w:endnote>
  <w:endnote w:id="18">
    <w:p w14:paraId="12397110" w14:textId="41B4A6AE" w:rsidR="005A7543" w:rsidRDefault="005A7543" w:rsidP="00B70D0F">
      <w:pPr>
        <w:pStyle w:val="EndnoteText"/>
        <w:spacing w:before="0" w:after="0"/>
      </w:pPr>
      <w:r>
        <w:rPr>
          <w:rStyle w:val="EndnoteReference"/>
        </w:rPr>
        <w:endnoteRef/>
      </w:r>
      <w:r>
        <w:t xml:space="preserve"> </w:t>
      </w:r>
      <w:r w:rsidR="006E270B">
        <w:t>ibid.</w:t>
      </w:r>
      <w:r>
        <w:t xml:space="preserve">, [30]. </w:t>
      </w:r>
    </w:p>
  </w:endnote>
  <w:endnote w:id="19">
    <w:p w14:paraId="007B19D4" w14:textId="55C41DE2" w:rsidR="005A7543" w:rsidRDefault="005A7543" w:rsidP="00B70D0F">
      <w:pPr>
        <w:pStyle w:val="EndnoteText"/>
        <w:spacing w:before="0" w:after="0"/>
      </w:pPr>
      <w:r>
        <w:rPr>
          <w:rStyle w:val="EndnoteReference"/>
        </w:rPr>
        <w:endnoteRef/>
      </w:r>
      <w:r>
        <w:t xml:space="preserve"> Human Rights Council, Resolution 7/36, UN Doc. A/HRC/7/36 (28 March 2008).</w:t>
      </w:r>
    </w:p>
  </w:endnote>
  <w:endnote w:id="20">
    <w:p w14:paraId="624D5574" w14:textId="77777777" w:rsidR="005A7543" w:rsidRDefault="005A7543" w:rsidP="00B70D0F">
      <w:pPr>
        <w:pStyle w:val="EndnoteText"/>
        <w:spacing w:before="0" w:after="0"/>
      </w:pPr>
      <w:r>
        <w:rPr>
          <w:rStyle w:val="EndnoteReference"/>
        </w:rPr>
        <w:endnoteRef/>
      </w:r>
      <w:r>
        <w:t xml:space="preserve"> UN General Assembly, ‘Report of the Special Rapporteur on the promotion and protection of the right to freedom of opinion and expression’, UN Doc. A/71/373, 6 September 2016, [18].</w:t>
      </w:r>
    </w:p>
  </w:endnote>
  <w:endnote w:id="21">
    <w:p w14:paraId="6043EA20" w14:textId="77777777" w:rsidR="009425A7" w:rsidRDefault="009425A7" w:rsidP="009425A7">
      <w:pPr>
        <w:pStyle w:val="EndnoteText"/>
        <w:spacing w:before="0" w:after="0"/>
      </w:pPr>
      <w:r>
        <w:rPr>
          <w:rStyle w:val="EndnoteReference"/>
        </w:rPr>
        <w:endnoteRef/>
      </w:r>
      <w:r>
        <w:t xml:space="preserve"> United Nations</w:t>
      </w:r>
      <w:r w:rsidRPr="009D19FE">
        <w:t xml:space="preserve"> Economic and Social Council, </w:t>
      </w:r>
      <w:r w:rsidRPr="009D19FE">
        <w:rPr>
          <w:i/>
        </w:rPr>
        <w:t>Siracusa Principles on the Limitation and Derogation Provisions in the International Covenant on Civil and Political Rights</w:t>
      </w:r>
      <w:r w:rsidRPr="009D19FE">
        <w:t>, U.N. D</w:t>
      </w:r>
      <w:r>
        <w:t>oc. E/CN.4/1985/4, Annex (1985), [29]-[31].</w:t>
      </w:r>
    </w:p>
  </w:endnote>
  <w:endnote w:id="22">
    <w:p w14:paraId="413FD56F" w14:textId="77777777" w:rsidR="005A7543" w:rsidRDefault="005A7543" w:rsidP="00B70D0F">
      <w:pPr>
        <w:pStyle w:val="EndnoteText"/>
        <w:spacing w:before="0" w:after="0"/>
      </w:pPr>
      <w:r>
        <w:rPr>
          <w:rStyle w:val="EndnoteReference"/>
        </w:rPr>
        <w:endnoteRef/>
      </w:r>
      <w:r>
        <w:t xml:space="preserve"> At [32].</w:t>
      </w:r>
    </w:p>
  </w:endnote>
  <w:endnote w:id="23">
    <w:p w14:paraId="2D746B1C" w14:textId="3C69FD6B" w:rsidR="009425A7" w:rsidRPr="004902BF" w:rsidRDefault="009425A7" w:rsidP="009425A7">
      <w:pPr>
        <w:pStyle w:val="EndnoteText"/>
        <w:spacing w:before="0" w:after="0"/>
      </w:pPr>
      <w:r>
        <w:rPr>
          <w:rStyle w:val="EndnoteReference"/>
        </w:rPr>
        <w:endnoteRef/>
      </w:r>
      <w:r>
        <w:t xml:space="preserve"> </w:t>
      </w:r>
      <w:r>
        <w:rPr>
          <w:i/>
        </w:rPr>
        <w:t>The Johannesburg Principles on National Security, Freedom of Expression and Access to Information</w:t>
      </w:r>
      <w:r>
        <w:t xml:space="preserve"> (1996), </w:t>
      </w:r>
      <w:r w:rsidRPr="00050A9B">
        <w:t xml:space="preserve">available at </w:t>
      </w:r>
      <w:r>
        <w:t>&lt;</w:t>
      </w:r>
      <w:hyperlink r:id="rId6" w:history="1">
        <w:r w:rsidRPr="004838C0">
          <w:rPr>
            <w:rStyle w:val="Hyperlink"/>
            <w:sz w:val="20"/>
          </w:rPr>
          <w:t>http://www.article19.org/data/files/pdfs/standards/joburgprinciples.pdf</w:t>
        </w:r>
      </w:hyperlink>
      <w:r w:rsidRPr="00050A9B">
        <w:rPr>
          <w:rStyle w:val="Hyperlink"/>
          <w:color w:val="auto"/>
          <w:sz w:val="20"/>
          <w:u w:val="none"/>
        </w:rPr>
        <w:t>&gt;</w:t>
      </w:r>
      <w:r>
        <w:rPr>
          <w:rStyle w:val="Hyperlink"/>
          <w:sz w:val="20"/>
        </w:rPr>
        <w:t xml:space="preserve"> </w:t>
      </w:r>
      <w:r w:rsidRPr="00050A9B">
        <w:rPr>
          <w:rStyle w:val="Hyperlink"/>
          <w:color w:val="auto"/>
          <w:sz w:val="20"/>
          <w:u w:val="none"/>
        </w:rPr>
        <w:t>(</w:t>
      </w:r>
      <w:r>
        <w:rPr>
          <w:rStyle w:val="Hyperlink"/>
          <w:color w:val="auto"/>
          <w:sz w:val="20"/>
          <w:u w:val="none"/>
        </w:rPr>
        <w:t xml:space="preserve">last </w:t>
      </w:r>
      <w:r w:rsidRPr="00050A9B">
        <w:rPr>
          <w:rStyle w:val="Hyperlink"/>
          <w:color w:val="auto"/>
          <w:sz w:val="20"/>
          <w:u w:val="none"/>
        </w:rPr>
        <w:t xml:space="preserve">accessed </w:t>
      </w:r>
      <w:r w:rsidR="00B91E03">
        <w:t>25</w:t>
      </w:r>
      <w:r>
        <w:t xml:space="preserve"> July 2019</w:t>
      </w:r>
      <w:r w:rsidRPr="00050A9B">
        <w:rPr>
          <w:rStyle w:val="Hyperlink"/>
          <w:color w:val="auto"/>
          <w:sz w:val="20"/>
          <w:u w:val="none"/>
        </w:rPr>
        <w:t>)</w:t>
      </w:r>
      <w:r w:rsidRPr="00050A9B">
        <w:t>.</w:t>
      </w:r>
      <w:r>
        <w:t xml:space="preserve"> </w:t>
      </w:r>
    </w:p>
  </w:endnote>
  <w:endnote w:id="24">
    <w:p w14:paraId="7EDB65FB" w14:textId="1FC54B59" w:rsidR="005A7543" w:rsidRDefault="005A7543" w:rsidP="00B70D0F">
      <w:pPr>
        <w:pStyle w:val="EndnoteText"/>
        <w:spacing w:before="0" w:after="0"/>
      </w:pPr>
      <w:r>
        <w:rPr>
          <w:rStyle w:val="EndnoteReference"/>
        </w:rPr>
        <w:endnoteRef/>
      </w:r>
      <w:r>
        <w:t xml:space="preserve"> </w:t>
      </w:r>
      <w:r w:rsidRPr="007C15EA">
        <w:rPr>
          <w:i/>
        </w:rPr>
        <w:t>The Global Principles of National Security and the Right to Information</w:t>
      </w:r>
      <w:r>
        <w:t xml:space="preserve"> </w:t>
      </w:r>
      <w:r w:rsidRPr="000F0F3B">
        <w:t>(Tshwane Principles)</w:t>
      </w:r>
      <w:r w:rsidRPr="008D6ABB">
        <w:rPr>
          <w:i/>
          <w:iCs/>
        </w:rPr>
        <w:t xml:space="preserve"> </w:t>
      </w:r>
      <w:r>
        <w:t xml:space="preserve">(2013), available </w:t>
      </w:r>
      <w:r w:rsidRPr="00050A9B">
        <w:t xml:space="preserve">at </w:t>
      </w:r>
      <w:r>
        <w:t>&lt;</w:t>
      </w:r>
      <w:hyperlink r:id="rId7" w:history="1">
        <w:r w:rsidRPr="004838C0">
          <w:rPr>
            <w:rStyle w:val="Hyperlink"/>
            <w:sz w:val="20"/>
          </w:rPr>
          <w:t>http://www.opensocietyfoundations.org/publications/global-principles-national-security-and-freedom-information-tshwane-principles</w:t>
        </w:r>
      </w:hyperlink>
      <w:r w:rsidRPr="00050A9B">
        <w:rPr>
          <w:rStyle w:val="Hyperlink"/>
          <w:color w:val="auto"/>
          <w:sz w:val="20"/>
          <w:u w:val="none"/>
        </w:rPr>
        <w:t>&gt;</w:t>
      </w:r>
      <w:r w:rsidRPr="00050A9B">
        <w:t xml:space="preserve"> (</w:t>
      </w:r>
      <w:r>
        <w:t xml:space="preserve">last </w:t>
      </w:r>
      <w:r w:rsidRPr="00050A9B">
        <w:t xml:space="preserve">accessed </w:t>
      </w:r>
      <w:r w:rsidR="00B91E03">
        <w:t>25</w:t>
      </w:r>
      <w:r>
        <w:t xml:space="preserve"> July 2019</w:t>
      </w:r>
      <w:r w:rsidRPr="00050A9B">
        <w:t>).</w:t>
      </w:r>
    </w:p>
  </w:endnote>
  <w:endnote w:id="25">
    <w:p w14:paraId="41E4464B" w14:textId="77777777" w:rsidR="005A7543" w:rsidRDefault="005A7543" w:rsidP="00B70D0F">
      <w:pPr>
        <w:pStyle w:val="EndnoteText"/>
        <w:spacing w:before="0" w:after="0"/>
      </w:pPr>
      <w:r>
        <w:rPr>
          <w:rStyle w:val="EndnoteReference"/>
        </w:rPr>
        <w:endnoteRef/>
      </w:r>
      <w:r>
        <w:t xml:space="preserve"> Principle 37. </w:t>
      </w:r>
    </w:p>
  </w:endnote>
  <w:endnote w:id="26">
    <w:p w14:paraId="5FCD4384" w14:textId="77777777" w:rsidR="005A7543" w:rsidRDefault="005A7543" w:rsidP="00B70D0F">
      <w:pPr>
        <w:pStyle w:val="EndnoteText"/>
        <w:spacing w:before="0" w:after="0"/>
      </w:pPr>
      <w:r>
        <w:rPr>
          <w:rStyle w:val="EndnoteReference"/>
        </w:rPr>
        <w:endnoteRef/>
      </w:r>
      <w:r>
        <w:t xml:space="preserve"> See Australian Law Reform Commission, </w:t>
      </w:r>
      <w:r w:rsidRPr="00FF4F42">
        <w:rPr>
          <w:i/>
        </w:rPr>
        <w:t>Secrecy Laws and Open Government in Australia</w:t>
      </w:r>
      <w:r>
        <w:t xml:space="preserve">, Report No 112 (2009); </w:t>
      </w:r>
      <w:r w:rsidRPr="00445854">
        <w:t>Independent National Security Legislation Monitor</w:t>
      </w:r>
      <w:r>
        <w:t xml:space="preserve">, </w:t>
      </w:r>
      <w:r w:rsidRPr="00445854">
        <w:rPr>
          <w:i/>
        </w:rPr>
        <w:t>Report on the impact on journalists of section 35P of the ASIO Act</w:t>
      </w:r>
      <w:r w:rsidRPr="00445854">
        <w:t xml:space="preserve"> (201</w:t>
      </w:r>
      <w:r>
        <w:t>5)</w:t>
      </w:r>
      <w:r w:rsidRPr="00445854">
        <w:t>.</w:t>
      </w:r>
    </w:p>
  </w:endnote>
  <w:endnote w:id="27">
    <w:p w14:paraId="586F1F0B" w14:textId="6A452641" w:rsidR="005A7543" w:rsidRDefault="005A7543" w:rsidP="00B70D0F">
      <w:pPr>
        <w:pStyle w:val="EndnoteText"/>
        <w:spacing w:before="0" w:after="0"/>
      </w:pPr>
      <w:r>
        <w:rPr>
          <w:rStyle w:val="EndnoteReference"/>
        </w:rPr>
        <w:endnoteRef/>
      </w:r>
      <w:r>
        <w:t xml:space="preserve"> Australian Human Rights Commission, Submission: Inquiry into the National Security Legislation Amendment (Espionage and Foreign Interference) B</w:t>
      </w:r>
      <w:r w:rsidR="00FE5C76">
        <w:t>i</w:t>
      </w:r>
      <w:r>
        <w:t>ll 2017, 24 January 2018, available at &lt;</w:t>
      </w:r>
      <w:r w:rsidRPr="00D80629">
        <w:t>https://www.aph.gov.au/DocumentStore.ashx?id=1482dc19-ac10-430d-b02f-bae8d11ce99d&amp;subId=562820</w:t>
      </w:r>
      <w:r>
        <w:t xml:space="preserve">&gt; (last accessed </w:t>
      </w:r>
      <w:r w:rsidR="00B91E03">
        <w:t>25</w:t>
      </w:r>
      <w:r>
        <w:t xml:space="preserve"> July 2019).</w:t>
      </w:r>
    </w:p>
  </w:endnote>
  <w:endnote w:id="28">
    <w:p w14:paraId="020AA330" w14:textId="77777777" w:rsidR="005A7543" w:rsidRDefault="005A7543" w:rsidP="00B70D0F">
      <w:pPr>
        <w:pStyle w:val="EndnoteText"/>
        <w:spacing w:before="0" w:after="0"/>
      </w:pPr>
      <w:r>
        <w:rPr>
          <w:rStyle w:val="EndnoteReference"/>
        </w:rPr>
        <w:endnoteRef/>
      </w:r>
      <w:r>
        <w:t xml:space="preserve"> Australian Law Reform Commission, </w:t>
      </w:r>
      <w:r w:rsidRPr="00FF4F42">
        <w:rPr>
          <w:i/>
        </w:rPr>
        <w:t>Secrecy Laws and Open Government in Australia</w:t>
      </w:r>
      <w:r>
        <w:t xml:space="preserve">, Report No 112 (2009).  </w:t>
      </w:r>
    </w:p>
  </w:endnote>
  <w:endnote w:id="29">
    <w:p w14:paraId="6CD064A5" w14:textId="77777777" w:rsidR="005A7543" w:rsidRDefault="005A7543" w:rsidP="00E21CC4">
      <w:pPr>
        <w:pStyle w:val="EndnoteText"/>
        <w:spacing w:before="0" w:after="0"/>
      </w:pPr>
      <w:r>
        <w:rPr>
          <w:rStyle w:val="EndnoteReference"/>
        </w:rPr>
        <w:endnoteRef/>
      </w:r>
      <w:r>
        <w:t xml:space="preserve"> </w:t>
      </w:r>
      <w:r w:rsidRPr="00445854">
        <w:t>Independent National Security Legislation Monitor</w:t>
      </w:r>
      <w:r>
        <w:t xml:space="preserve">, </w:t>
      </w:r>
      <w:r w:rsidRPr="00445854">
        <w:rPr>
          <w:i/>
        </w:rPr>
        <w:t>Report on the impact on journalists of section 35P of the ASIO Act</w:t>
      </w:r>
      <w:r w:rsidRPr="00445854">
        <w:t xml:space="preserve"> (201</w:t>
      </w:r>
      <w:r>
        <w:t>5)</w:t>
      </w:r>
      <w:r w:rsidRPr="00445854">
        <w:t>.</w:t>
      </w:r>
    </w:p>
  </w:endnote>
  <w:endnote w:id="30">
    <w:p w14:paraId="18C5327B" w14:textId="1A46866F" w:rsidR="005A7543" w:rsidRDefault="005A7543" w:rsidP="005A7543">
      <w:pPr>
        <w:pStyle w:val="EndnoteText"/>
        <w:spacing w:before="0" w:after="0"/>
      </w:pPr>
      <w:r>
        <w:rPr>
          <w:rStyle w:val="EndnoteReference"/>
        </w:rPr>
        <w:endnoteRef/>
      </w:r>
      <w:r>
        <w:t xml:space="preserve"> </w:t>
      </w:r>
      <w:r w:rsidR="006E270B">
        <w:t>ibid.</w:t>
      </w:r>
      <w:r>
        <w:t>, 18 [30].</w:t>
      </w:r>
    </w:p>
  </w:endnote>
  <w:endnote w:id="31">
    <w:p w14:paraId="34FEAE98" w14:textId="77777777" w:rsidR="005A7543" w:rsidRDefault="005A7543" w:rsidP="00B70D0F">
      <w:pPr>
        <w:pStyle w:val="EndnoteText"/>
        <w:spacing w:before="0" w:after="0"/>
      </w:pPr>
      <w:r>
        <w:rPr>
          <w:rStyle w:val="EndnoteReference"/>
        </w:rPr>
        <w:endnoteRef/>
      </w:r>
      <w:r>
        <w:t xml:space="preserve"> Thomas Jefferson, </w:t>
      </w:r>
      <w:r w:rsidRPr="006F4FCC">
        <w:rPr>
          <w:i/>
          <w:iCs/>
        </w:rPr>
        <w:t>Letter to Marquis de la Fayette</w:t>
      </w:r>
      <w:r>
        <w:t>, 4 November 1823.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EDC0" w14:textId="7400497F" w:rsidR="005A7543" w:rsidRDefault="005A7543" w:rsidP="0094169C">
    <w:pPr>
      <w:pStyle w:val="Footer"/>
      <w:jc w:val="right"/>
    </w:pPr>
    <w:r w:rsidRPr="00E94C73">
      <w:fldChar w:fldCharType="begin"/>
    </w:r>
    <w:r>
      <w:instrText xml:space="preserve"> PAGE   \* MERGEFORMAT </w:instrText>
    </w:r>
    <w:r w:rsidRPr="00E94C73">
      <w:fldChar w:fldCharType="separate"/>
    </w:r>
    <w:r>
      <w:rPr>
        <w:noProof/>
      </w:rPr>
      <w:t>6</w:t>
    </w:r>
    <w:r w:rsidRPr="00E94C7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F374" w14:textId="4224B3F7" w:rsidR="005A7543" w:rsidRDefault="005A7543">
    <w:pPr>
      <w:pStyle w:val="Footer"/>
      <w:jc w:val="right"/>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109"/>
      <w:gridCol w:w="1706"/>
      <w:gridCol w:w="2126"/>
      <w:gridCol w:w="1818"/>
      <w:gridCol w:w="1313"/>
    </w:tblGrid>
    <w:tr w:rsidR="005A7543" w:rsidRPr="00CD0701" w14:paraId="3200F948" w14:textId="77777777" w:rsidTr="007410EC">
      <w:trPr>
        <w:jc w:val="center"/>
      </w:trPr>
      <w:tc>
        <w:tcPr>
          <w:tcW w:w="2109" w:type="dxa"/>
        </w:tcPr>
        <w:p w14:paraId="75AFCBB3" w14:textId="77777777" w:rsidR="005A7543" w:rsidRPr="00CD0701" w:rsidRDefault="005A7543" w:rsidP="003037FA">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74269201"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06BC137F"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7844AE99"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1706" w:type="dxa"/>
        </w:tcPr>
        <w:p w14:paraId="7DEB1E03"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3FEB51CD"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 xml:space="preserve">Level </w:t>
          </w:r>
          <w:r w:rsidRPr="00CD0701">
            <w:rPr>
              <w:rFonts w:cs="HelveticaNeue-Light" w:hint="eastAsia"/>
              <w:color w:val="646464"/>
              <w:sz w:val="16"/>
              <w:szCs w:val="16"/>
              <w:lang w:val="en-US" w:eastAsia="zh-CN" w:bidi="en-US"/>
            </w:rPr>
            <w:t>3</w:t>
          </w:r>
          <w:r w:rsidRPr="00CD0701">
            <w:rPr>
              <w:rFonts w:cs="HelveticaNeue-Light"/>
              <w:color w:val="646464"/>
              <w:sz w:val="16"/>
              <w:szCs w:val="16"/>
              <w:lang w:val="en-US" w:bidi="en-US"/>
            </w:rPr>
            <w:t xml:space="preserve"> </w:t>
          </w:r>
        </w:p>
        <w:p w14:paraId="41ADF0ED"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w:t>
          </w:r>
          <w:r w:rsidRPr="00CD0701">
            <w:rPr>
              <w:rFonts w:cs="HelveticaNeue-Light" w:hint="eastAsia"/>
              <w:color w:val="646464"/>
              <w:sz w:val="16"/>
              <w:szCs w:val="16"/>
              <w:lang w:val="en-US" w:eastAsia="zh-CN" w:bidi="en-US"/>
            </w:rPr>
            <w:t>75</w:t>
          </w:r>
          <w:r w:rsidRPr="00CD0701">
            <w:rPr>
              <w:rFonts w:cs="HelveticaNeue-Light"/>
              <w:color w:val="646464"/>
              <w:sz w:val="16"/>
              <w:szCs w:val="16"/>
              <w:lang w:val="en-US" w:bidi="en-US"/>
            </w:rPr>
            <w:t xml:space="preserve"> </w:t>
          </w:r>
          <w:r w:rsidRPr="00CD0701">
            <w:rPr>
              <w:rFonts w:cs="HelveticaNeue-Light" w:hint="eastAsia"/>
              <w:color w:val="646464"/>
              <w:sz w:val="16"/>
              <w:szCs w:val="16"/>
              <w:lang w:val="en-US" w:eastAsia="zh-CN" w:bidi="en-US"/>
            </w:rPr>
            <w:t>Pitt</w:t>
          </w:r>
          <w:r w:rsidRPr="00CD0701">
            <w:rPr>
              <w:rFonts w:cs="HelveticaNeue-Light"/>
              <w:color w:val="646464"/>
              <w:sz w:val="16"/>
              <w:szCs w:val="16"/>
              <w:lang w:val="en-US" w:bidi="en-US"/>
            </w:rPr>
            <w:t xml:space="preserve"> Street</w:t>
          </w:r>
        </w:p>
        <w:p w14:paraId="49008A91"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w:t>
          </w:r>
          <w:r w:rsidRPr="00CD0701">
            <w:rPr>
              <w:rFonts w:cs="HelveticaNeue-Light" w:hint="eastAsia"/>
              <w:color w:val="646464"/>
              <w:sz w:val="16"/>
              <w:szCs w:val="16"/>
              <w:lang w:val="en-US" w:eastAsia="zh-CN" w:bidi="en-US"/>
            </w:rPr>
            <w:t>0</w:t>
          </w:r>
        </w:p>
      </w:tc>
      <w:tc>
        <w:tcPr>
          <w:tcW w:w="2126" w:type="dxa"/>
        </w:tcPr>
        <w:p w14:paraId="34D0A7AE"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43BD913B"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5A796829"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7E9DE407"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1818" w:type="dxa"/>
        </w:tcPr>
        <w:p w14:paraId="0A41D968"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1B3E1DCF" w14:textId="77777777" w:rsidR="005A7543" w:rsidRPr="00CD0701" w:rsidRDefault="005A7543" w:rsidP="003037F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390A5C6D" w14:textId="77777777" w:rsidR="005A7543" w:rsidRPr="00CD0701" w:rsidRDefault="005A7543" w:rsidP="003037F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5D888D59" w14:textId="77777777" w:rsidR="005A7543" w:rsidRPr="00CD0701" w:rsidRDefault="005A7543" w:rsidP="003037F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5AA381AC"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4DB2845E"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548CDEAB"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3B471BC4" w14:textId="77777777" w:rsidR="005A7543" w:rsidRPr="00CD0701" w:rsidRDefault="005A754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6A681925" w14:textId="77777777" w:rsidR="005A7543" w:rsidRPr="003037FA" w:rsidRDefault="005A7543" w:rsidP="0030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0ACCF" w14:textId="77777777" w:rsidR="000E5DB8" w:rsidRDefault="000E5DB8" w:rsidP="00F14C6D">
      <w:r>
        <w:separator/>
      </w:r>
    </w:p>
  </w:footnote>
  <w:footnote w:type="continuationSeparator" w:id="0">
    <w:p w14:paraId="257332AC" w14:textId="77777777" w:rsidR="000E5DB8" w:rsidRDefault="000E5DB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9F40" w14:textId="77777777" w:rsidR="005A7543" w:rsidRDefault="005A7543">
    <w:pPr>
      <w:pStyle w:val="Header"/>
    </w:pPr>
    <w:r>
      <w:t>Australian Human Rights Commission</w:t>
    </w:r>
  </w:p>
  <w:p w14:paraId="6D741404" w14:textId="77777777" w:rsidR="005A7543" w:rsidRDefault="005A7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64E2" w14:textId="77777777" w:rsidR="005A7543" w:rsidRDefault="005A7543" w:rsidP="00C71D32">
    <w:pPr>
      <w:pStyle w:val="Header"/>
    </w:pPr>
    <w:r>
      <w:t>Australian Human Rights Commission</w:t>
    </w:r>
  </w:p>
  <w:p w14:paraId="4188E102" w14:textId="77777777" w:rsidR="005A7543" w:rsidRDefault="005A7543" w:rsidP="00C71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1106E" w14:textId="77777777" w:rsidR="005A7543" w:rsidRDefault="005A7543" w:rsidP="00E94C73">
    <w:pPr>
      <w:pStyle w:val="Header"/>
      <w:jc w:val="left"/>
    </w:pPr>
    <w:r w:rsidRPr="00E94C73">
      <w:rPr>
        <w:noProof/>
      </w:rPr>
      <w:drawing>
        <wp:inline distT="0" distB="0" distL="0" distR="0" wp14:anchorId="528290FC" wp14:editId="7600FE9E">
          <wp:extent cx="2180717" cy="742950"/>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590" cy="742950"/>
                  </a:xfrm>
                  <a:prstGeom prst="rect">
                    <a:avLst/>
                  </a:prstGeom>
                </pic:spPr>
              </pic:pic>
            </a:graphicData>
          </a:graphic>
        </wp:inline>
      </w:drawing>
    </w:r>
  </w:p>
  <w:p w14:paraId="55302067" w14:textId="77777777" w:rsidR="005A7543" w:rsidRPr="00E94C73" w:rsidRDefault="005A7543" w:rsidP="00E94C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4B4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B627BC1"/>
    <w:multiLevelType w:val="hybridMultilevel"/>
    <w:tmpl w:val="F9889116"/>
    <w:lvl w:ilvl="0" w:tplc="2E4C80B8">
      <w:start w:val="1"/>
      <w:numFmt w:val="decimal"/>
      <w:pStyle w:val="Subnumbered"/>
      <w:lvlText w:val="%1."/>
      <w:lvlJc w:val="left"/>
      <w:pPr>
        <w:ind w:left="360" w:hanging="360"/>
      </w:pPr>
      <w:rPr>
        <w:rFonts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52C1F77"/>
    <w:multiLevelType w:val="hybridMultilevel"/>
    <w:tmpl w:val="A4723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CF3B80"/>
    <w:multiLevelType w:val="hybridMultilevel"/>
    <w:tmpl w:val="BFA49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26186"/>
    <w:multiLevelType w:val="hybridMultilevel"/>
    <w:tmpl w:val="4378B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C44B9"/>
    <w:multiLevelType w:val="hybridMultilevel"/>
    <w:tmpl w:val="6986B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4670A5C"/>
    <w:multiLevelType w:val="hybridMultilevel"/>
    <w:tmpl w:val="2E7E1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18"/>
  </w:num>
  <w:num w:numId="12">
    <w:abstractNumId w:val="14"/>
  </w:num>
  <w:num w:numId="13">
    <w:abstractNumId w:val="11"/>
  </w:num>
  <w:num w:numId="14">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5">
    <w:abstractNumId w:val="12"/>
  </w:num>
  <w:num w:numId="16">
    <w:abstractNumId w:val="15"/>
  </w:num>
  <w:num w:numId="17">
    <w:abstractNumId w:val="19"/>
  </w:num>
  <w:num w:numId="18">
    <w:abstractNumId w:val="13"/>
  </w:num>
  <w:num w:numId="19">
    <w:abstractNumId w:val="17"/>
  </w:num>
  <w:num w:numId="20">
    <w:abstractNumId w:val="8"/>
  </w:num>
  <w:num w:numId="21">
    <w:abstractNumId w:val="8"/>
  </w:num>
  <w:num w:numId="22">
    <w:abstractNumId w:val="8"/>
  </w:num>
  <w:num w:numId="23">
    <w:abstractNumId w:val="8"/>
  </w:num>
  <w:num w:numId="24">
    <w:abstractNumId w:val="8"/>
  </w:num>
  <w:num w:numId="2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E5"/>
    <w:rsid w:val="000002B8"/>
    <w:rsid w:val="00000871"/>
    <w:rsid w:val="000008A8"/>
    <w:rsid w:val="00006190"/>
    <w:rsid w:val="00011376"/>
    <w:rsid w:val="0001452E"/>
    <w:rsid w:val="000155B1"/>
    <w:rsid w:val="00015759"/>
    <w:rsid w:val="00016045"/>
    <w:rsid w:val="00017622"/>
    <w:rsid w:val="000179A4"/>
    <w:rsid w:val="00017C5E"/>
    <w:rsid w:val="00020CB1"/>
    <w:rsid w:val="000216FE"/>
    <w:rsid w:val="00023244"/>
    <w:rsid w:val="000249E2"/>
    <w:rsid w:val="00024BB3"/>
    <w:rsid w:val="00024D9D"/>
    <w:rsid w:val="00026968"/>
    <w:rsid w:val="000270F9"/>
    <w:rsid w:val="00031A24"/>
    <w:rsid w:val="00031B28"/>
    <w:rsid w:val="000345C1"/>
    <w:rsid w:val="00036CD6"/>
    <w:rsid w:val="00037F66"/>
    <w:rsid w:val="000402ED"/>
    <w:rsid w:val="00041650"/>
    <w:rsid w:val="00046755"/>
    <w:rsid w:val="0004732C"/>
    <w:rsid w:val="00047979"/>
    <w:rsid w:val="00050A9B"/>
    <w:rsid w:val="0005111A"/>
    <w:rsid w:val="00051940"/>
    <w:rsid w:val="00051F4D"/>
    <w:rsid w:val="00053619"/>
    <w:rsid w:val="000552E4"/>
    <w:rsid w:val="00055A98"/>
    <w:rsid w:val="00056B62"/>
    <w:rsid w:val="000579B1"/>
    <w:rsid w:val="00061863"/>
    <w:rsid w:val="00061C63"/>
    <w:rsid w:val="000636A0"/>
    <w:rsid w:val="000642C5"/>
    <w:rsid w:val="0006516D"/>
    <w:rsid w:val="00066163"/>
    <w:rsid w:val="00067149"/>
    <w:rsid w:val="0007087A"/>
    <w:rsid w:val="00074B3E"/>
    <w:rsid w:val="00074D1A"/>
    <w:rsid w:val="00075A4D"/>
    <w:rsid w:val="000808C0"/>
    <w:rsid w:val="000809DD"/>
    <w:rsid w:val="0008121D"/>
    <w:rsid w:val="00084F51"/>
    <w:rsid w:val="00085AFA"/>
    <w:rsid w:val="00085C9D"/>
    <w:rsid w:val="00086E3B"/>
    <w:rsid w:val="00092239"/>
    <w:rsid w:val="00093A6D"/>
    <w:rsid w:val="0009413E"/>
    <w:rsid w:val="00094A0C"/>
    <w:rsid w:val="00094D3E"/>
    <w:rsid w:val="00097204"/>
    <w:rsid w:val="000A0152"/>
    <w:rsid w:val="000A137A"/>
    <w:rsid w:val="000A528D"/>
    <w:rsid w:val="000A7B7E"/>
    <w:rsid w:val="000B0A5D"/>
    <w:rsid w:val="000B34A4"/>
    <w:rsid w:val="000B38AF"/>
    <w:rsid w:val="000B53EE"/>
    <w:rsid w:val="000B6F51"/>
    <w:rsid w:val="000B72B7"/>
    <w:rsid w:val="000C120D"/>
    <w:rsid w:val="000C3C1E"/>
    <w:rsid w:val="000C56FE"/>
    <w:rsid w:val="000C5ACF"/>
    <w:rsid w:val="000C69F4"/>
    <w:rsid w:val="000D0229"/>
    <w:rsid w:val="000D2F70"/>
    <w:rsid w:val="000D35DA"/>
    <w:rsid w:val="000D582D"/>
    <w:rsid w:val="000D68E1"/>
    <w:rsid w:val="000D7C24"/>
    <w:rsid w:val="000E1EE5"/>
    <w:rsid w:val="000E2CE3"/>
    <w:rsid w:val="000E38FA"/>
    <w:rsid w:val="000E4345"/>
    <w:rsid w:val="000E4561"/>
    <w:rsid w:val="000E5DB8"/>
    <w:rsid w:val="000F04D8"/>
    <w:rsid w:val="000F0F3B"/>
    <w:rsid w:val="000F179B"/>
    <w:rsid w:val="000F20E4"/>
    <w:rsid w:val="000F603C"/>
    <w:rsid w:val="000F74E3"/>
    <w:rsid w:val="00104C21"/>
    <w:rsid w:val="00105848"/>
    <w:rsid w:val="00115F5A"/>
    <w:rsid w:val="00117F80"/>
    <w:rsid w:val="00123209"/>
    <w:rsid w:val="001239A8"/>
    <w:rsid w:val="0012612A"/>
    <w:rsid w:val="0012668C"/>
    <w:rsid w:val="001323E0"/>
    <w:rsid w:val="00132FFF"/>
    <w:rsid w:val="001334CB"/>
    <w:rsid w:val="00133F91"/>
    <w:rsid w:val="00136EDE"/>
    <w:rsid w:val="001373D3"/>
    <w:rsid w:val="0013775F"/>
    <w:rsid w:val="00140D18"/>
    <w:rsid w:val="00144F9E"/>
    <w:rsid w:val="001454BD"/>
    <w:rsid w:val="001462FC"/>
    <w:rsid w:val="00147180"/>
    <w:rsid w:val="00150724"/>
    <w:rsid w:val="00150B1D"/>
    <w:rsid w:val="00152B2C"/>
    <w:rsid w:val="00153698"/>
    <w:rsid w:val="0015402D"/>
    <w:rsid w:val="001550A4"/>
    <w:rsid w:val="00155354"/>
    <w:rsid w:val="00160927"/>
    <w:rsid w:val="00160E4A"/>
    <w:rsid w:val="00162A8D"/>
    <w:rsid w:val="00163CEE"/>
    <w:rsid w:val="0016582F"/>
    <w:rsid w:val="001662B6"/>
    <w:rsid w:val="00166C44"/>
    <w:rsid w:val="0017062B"/>
    <w:rsid w:val="00176220"/>
    <w:rsid w:val="00176B44"/>
    <w:rsid w:val="00176E07"/>
    <w:rsid w:val="0017724E"/>
    <w:rsid w:val="001806D7"/>
    <w:rsid w:val="00181378"/>
    <w:rsid w:val="00181FFD"/>
    <w:rsid w:val="00182F36"/>
    <w:rsid w:val="001868E4"/>
    <w:rsid w:val="00187BD9"/>
    <w:rsid w:val="0019146C"/>
    <w:rsid w:val="00191D3F"/>
    <w:rsid w:val="00193A46"/>
    <w:rsid w:val="00193FC2"/>
    <w:rsid w:val="0019642C"/>
    <w:rsid w:val="001A1041"/>
    <w:rsid w:val="001A24E6"/>
    <w:rsid w:val="001A27F4"/>
    <w:rsid w:val="001A335E"/>
    <w:rsid w:val="001A4062"/>
    <w:rsid w:val="001A4920"/>
    <w:rsid w:val="001A541E"/>
    <w:rsid w:val="001A6241"/>
    <w:rsid w:val="001A7724"/>
    <w:rsid w:val="001B0353"/>
    <w:rsid w:val="001B20CD"/>
    <w:rsid w:val="001B25B3"/>
    <w:rsid w:val="001B281E"/>
    <w:rsid w:val="001B63C0"/>
    <w:rsid w:val="001C0633"/>
    <w:rsid w:val="001C06C2"/>
    <w:rsid w:val="001C1641"/>
    <w:rsid w:val="001C1B64"/>
    <w:rsid w:val="001C356B"/>
    <w:rsid w:val="001C555D"/>
    <w:rsid w:val="001C5C1A"/>
    <w:rsid w:val="001C5F11"/>
    <w:rsid w:val="001C7AA6"/>
    <w:rsid w:val="001D15D4"/>
    <w:rsid w:val="001D305E"/>
    <w:rsid w:val="001D34DD"/>
    <w:rsid w:val="001D3C44"/>
    <w:rsid w:val="001D5314"/>
    <w:rsid w:val="001D5AED"/>
    <w:rsid w:val="001D5B9D"/>
    <w:rsid w:val="001E195B"/>
    <w:rsid w:val="001E2418"/>
    <w:rsid w:val="001E276C"/>
    <w:rsid w:val="001E3F4A"/>
    <w:rsid w:val="001E464F"/>
    <w:rsid w:val="001E547E"/>
    <w:rsid w:val="001E5FAF"/>
    <w:rsid w:val="001F110E"/>
    <w:rsid w:val="001F2AA8"/>
    <w:rsid w:val="001F2BBB"/>
    <w:rsid w:val="001F2C25"/>
    <w:rsid w:val="001F7AA4"/>
    <w:rsid w:val="00200363"/>
    <w:rsid w:val="00200F91"/>
    <w:rsid w:val="00201544"/>
    <w:rsid w:val="00201CE0"/>
    <w:rsid w:val="00201EFE"/>
    <w:rsid w:val="0020519C"/>
    <w:rsid w:val="0020588F"/>
    <w:rsid w:val="00207164"/>
    <w:rsid w:val="00210038"/>
    <w:rsid w:val="00211A47"/>
    <w:rsid w:val="00212933"/>
    <w:rsid w:val="00213613"/>
    <w:rsid w:val="00214DBF"/>
    <w:rsid w:val="00215015"/>
    <w:rsid w:val="002158F0"/>
    <w:rsid w:val="00215DEB"/>
    <w:rsid w:val="00216A71"/>
    <w:rsid w:val="002202A9"/>
    <w:rsid w:val="00220573"/>
    <w:rsid w:val="00221967"/>
    <w:rsid w:val="00221AEB"/>
    <w:rsid w:val="0022202B"/>
    <w:rsid w:val="00225B5A"/>
    <w:rsid w:val="0023487E"/>
    <w:rsid w:val="002359DF"/>
    <w:rsid w:val="00237106"/>
    <w:rsid w:val="00240EFA"/>
    <w:rsid w:val="0024238F"/>
    <w:rsid w:val="00242459"/>
    <w:rsid w:val="00243EB4"/>
    <w:rsid w:val="0024557E"/>
    <w:rsid w:val="00250B8D"/>
    <w:rsid w:val="002515B6"/>
    <w:rsid w:val="002530A4"/>
    <w:rsid w:val="00253BEA"/>
    <w:rsid w:val="00262790"/>
    <w:rsid w:val="00262BB3"/>
    <w:rsid w:val="0026360C"/>
    <w:rsid w:val="0026436C"/>
    <w:rsid w:val="00264AFD"/>
    <w:rsid w:val="00272CA7"/>
    <w:rsid w:val="00273A74"/>
    <w:rsid w:val="002762F6"/>
    <w:rsid w:val="00276BD6"/>
    <w:rsid w:val="00277468"/>
    <w:rsid w:val="002822A0"/>
    <w:rsid w:val="00283514"/>
    <w:rsid w:val="002866BE"/>
    <w:rsid w:val="00287997"/>
    <w:rsid w:val="002932DC"/>
    <w:rsid w:val="00296473"/>
    <w:rsid w:val="00296804"/>
    <w:rsid w:val="00297BDA"/>
    <w:rsid w:val="002A6632"/>
    <w:rsid w:val="002A6B8D"/>
    <w:rsid w:val="002B2E00"/>
    <w:rsid w:val="002B5243"/>
    <w:rsid w:val="002B6385"/>
    <w:rsid w:val="002B78AC"/>
    <w:rsid w:val="002B7C0F"/>
    <w:rsid w:val="002C0C11"/>
    <w:rsid w:val="002C11E1"/>
    <w:rsid w:val="002C15A5"/>
    <w:rsid w:val="002C1C74"/>
    <w:rsid w:val="002C3CFE"/>
    <w:rsid w:val="002C5147"/>
    <w:rsid w:val="002C537D"/>
    <w:rsid w:val="002D01AD"/>
    <w:rsid w:val="002D0C4F"/>
    <w:rsid w:val="002D5042"/>
    <w:rsid w:val="002D54E2"/>
    <w:rsid w:val="002D5CA8"/>
    <w:rsid w:val="002E1678"/>
    <w:rsid w:val="002E3D3D"/>
    <w:rsid w:val="002E78A7"/>
    <w:rsid w:val="002F0327"/>
    <w:rsid w:val="002F099E"/>
    <w:rsid w:val="002F1B08"/>
    <w:rsid w:val="002F3EAD"/>
    <w:rsid w:val="002F503A"/>
    <w:rsid w:val="002F5A38"/>
    <w:rsid w:val="002F71D4"/>
    <w:rsid w:val="003003CB"/>
    <w:rsid w:val="00300DE1"/>
    <w:rsid w:val="003037FA"/>
    <w:rsid w:val="0030525D"/>
    <w:rsid w:val="0030598C"/>
    <w:rsid w:val="0030648F"/>
    <w:rsid w:val="00310ED4"/>
    <w:rsid w:val="0031492A"/>
    <w:rsid w:val="003151C3"/>
    <w:rsid w:val="00315484"/>
    <w:rsid w:val="00315DD3"/>
    <w:rsid w:val="00316C1A"/>
    <w:rsid w:val="00317AC6"/>
    <w:rsid w:val="00320EFC"/>
    <w:rsid w:val="00322EBB"/>
    <w:rsid w:val="00323BE9"/>
    <w:rsid w:val="00323F2D"/>
    <w:rsid w:val="00324372"/>
    <w:rsid w:val="00325FD6"/>
    <w:rsid w:val="003300EF"/>
    <w:rsid w:val="00331013"/>
    <w:rsid w:val="003311A7"/>
    <w:rsid w:val="003314FF"/>
    <w:rsid w:val="00333CF8"/>
    <w:rsid w:val="003341CA"/>
    <w:rsid w:val="00335C44"/>
    <w:rsid w:val="00337D18"/>
    <w:rsid w:val="00340B0E"/>
    <w:rsid w:val="00343D91"/>
    <w:rsid w:val="00343FDB"/>
    <w:rsid w:val="003449CA"/>
    <w:rsid w:val="00344FD8"/>
    <w:rsid w:val="003506B1"/>
    <w:rsid w:val="00351F2F"/>
    <w:rsid w:val="003528A6"/>
    <w:rsid w:val="003551F0"/>
    <w:rsid w:val="003560A6"/>
    <w:rsid w:val="00360550"/>
    <w:rsid w:val="00366244"/>
    <w:rsid w:val="003664CB"/>
    <w:rsid w:val="00366F42"/>
    <w:rsid w:val="00367046"/>
    <w:rsid w:val="0037168B"/>
    <w:rsid w:val="003731B3"/>
    <w:rsid w:val="00373EDC"/>
    <w:rsid w:val="00373FC4"/>
    <w:rsid w:val="00375E76"/>
    <w:rsid w:val="00377CB6"/>
    <w:rsid w:val="00377ECD"/>
    <w:rsid w:val="0038116B"/>
    <w:rsid w:val="00382163"/>
    <w:rsid w:val="0038455C"/>
    <w:rsid w:val="00386706"/>
    <w:rsid w:val="003909AA"/>
    <w:rsid w:val="003913AF"/>
    <w:rsid w:val="0039235C"/>
    <w:rsid w:val="00396B37"/>
    <w:rsid w:val="003A08FE"/>
    <w:rsid w:val="003A1930"/>
    <w:rsid w:val="003A245D"/>
    <w:rsid w:val="003A4FBD"/>
    <w:rsid w:val="003A585B"/>
    <w:rsid w:val="003A6426"/>
    <w:rsid w:val="003A6FE4"/>
    <w:rsid w:val="003A7285"/>
    <w:rsid w:val="003B08DE"/>
    <w:rsid w:val="003B17C0"/>
    <w:rsid w:val="003B27C0"/>
    <w:rsid w:val="003B50D3"/>
    <w:rsid w:val="003B5F2A"/>
    <w:rsid w:val="003C0F42"/>
    <w:rsid w:val="003C12AD"/>
    <w:rsid w:val="003C2E43"/>
    <w:rsid w:val="003C3013"/>
    <w:rsid w:val="003C3D19"/>
    <w:rsid w:val="003C527F"/>
    <w:rsid w:val="003C5EEB"/>
    <w:rsid w:val="003D20CE"/>
    <w:rsid w:val="003D3316"/>
    <w:rsid w:val="003D4258"/>
    <w:rsid w:val="003D5FA0"/>
    <w:rsid w:val="003E0909"/>
    <w:rsid w:val="003E14C2"/>
    <w:rsid w:val="003E35E1"/>
    <w:rsid w:val="003E6F0B"/>
    <w:rsid w:val="003E72D8"/>
    <w:rsid w:val="003E7C58"/>
    <w:rsid w:val="003F1A84"/>
    <w:rsid w:val="003F3D4D"/>
    <w:rsid w:val="003F596F"/>
    <w:rsid w:val="003F5C6C"/>
    <w:rsid w:val="003F6ECC"/>
    <w:rsid w:val="00400ADA"/>
    <w:rsid w:val="00402D5B"/>
    <w:rsid w:val="004043ED"/>
    <w:rsid w:val="004060CB"/>
    <w:rsid w:val="0041044C"/>
    <w:rsid w:val="00410758"/>
    <w:rsid w:val="00414203"/>
    <w:rsid w:val="00416307"/>
    <w:rsid w:val="004171DC"/>
    <w:rsid w:val="00423555"/>
    <w:rsid w:val="004300AC"/>
    <w:rsid w:val="00431B46"/>
    <w:rsid w:val="00432BD3"/>
    <w:rsid w:val="00432F77"/>
    <w:rsid w:val="00434037"/>
    <w:rsid w:val="00435C6A"/>
    <w:rsid w:val="00436164"/>
    <w:rsid w:val="00436828"/>
    <w:rsid w:val="00437423"/>
    <w:rsid w:val="00440D9F"/>
    <w:rsid w:val="00442461"/>
    <w:rsid w:val="00443D22"/>
    <w:rsid w:val="00444713"/>
    <w:rsid w:val="00444DAE"/>
    <w:rsid w:val="0044690C"/>
    <w:rsid w:val="004477AA"/>
    <w:rsid w:val="004510B9"/>
    <w:rsid w:val="00452182"/>
    <w:rsid w:val="004523B1"/>
    <w:rsid w:val="004528E5"/>
    <w:rsid w:val="004561F7"/>
    <w:rsid w:val="00456EF7"/>
    <w:rsid w:val="004570E1"/>
    <w:rsid w:val="00457A1B"/>
    <w:rsid w:val="0046491B"/>
    <w:rsid w:val="004665F6"/>
    <w:rsid w:val="00472F53"/>
    <w:rsid w:val="0047319A"/>
    <w:rsid w:val="004734DF"/>
    <w:rsid w:val="0047378B"/>
    <w:rsid w:val="0047389D"/>
    <w:rsid w:val="00474063"/>
    <w:rsid w:val="00474249"/>
    <w:rsid w:val="004747E9"/>
    <w:rsid w:val="00474B70"/>
    <w:rsid w:val="00477917"/>
    <w:rsid w:val="00482B79"/>
    <w:rsid w:val="00483B45"/>
    <w:rsid w:val="00484F87"/>
    <w:rsid w:val="0048614E"/>
    <w:rsid w:val="0048762B"/>
    <w:rsid w:val="00491C14"/>
    <w:rsid w:val="00493FF4"/>
    <w:rsid w:val="004940B8"/>
    <w:rsid w:val="004952DC"/>
    <w:rsid w:val="004963DC"/>
    <w:rsid w:val="0049732C"/>
    <w:rsid w:val="004A1097"/>
    <w:rsid w:val="004A1965"/>
    <w:rsid w:val="004A2177"/>
    <w:rsid w:val="004A3719"/>
    <w:rsid w:val="004A40DA"/>
    <w:rsid w:val="004B1A81"/>
    <w:rsid w:val="004B1EA1"/>
    <w:rsid w:val="004B3F64"/>
    <w:rsid w:val="004B4303"/>
    <w:rsid w:val="004B53F2"/>
    <w:rsid w:val="004B7828"/>
    <w:rsid w:val="004D473B"/>
    <w:rsid w:val="004D4DEE"/>
    <w:rsid w:val="004D6BC5"/>
    <w:rsid w:val="004E1FA8"/>
    <w:rsid w:val="004E2643"/>
    <w:rsid w:val="004E2B71"/>
    <w:rsid w:val="004E4F81"/>
    <w:rsid w:val="004E6DE2"/>
    <w:rsid w:val="004F26CF"/>
    <w:rsid w:val="004F3CAA"/>
    <w:rsid w:val="004F409D"/>
    <w:rsid w:val="004F4432"/>
    <w:rsid w:val="004F4DF5"/>
    <w:rsid w:val="004F5DAE"/>
    <w:rsid w:val="0050138D"/>
    <w:rsid w:val="00501C85"/>
    <w:rsid w:val="00502D75"/>
    <w:rsid w:val="0050324C"/>
    <w:rsid w:val="005035E7"/>
    <w:rsid w:val="00506CCA"/>
    <w:rsid w:val="00510A3E"/>
    <w:rsid w:val="00511977"/>
    <w:rsid w:val="00513540"/>
    <w:rsid w:val="00515E2D"/>
    <w:rsid w:val="005224C8"/>
    <w:rsid w:val="00523EF3"/>
    <w:rsid w:val="005260C4"/>
    <w:rsid w:val="0052749E"/>
    <w:rsid w:val="00533C30"/>
    <w:rsid w:val="00534273"/>
    <w:rsid w:val="00535C88"/>
    <w:rsid w:val="00537DEB"/>
    <w:rsid w:val="00540297"/>
    <w:rsid w:val="005414CD"/>
    <w:rsid w:val="00541631"/>
    <w:rsid w:val="00550408"/>
    <w:rsid w:val="0055246D"/>
    <w:rsid w:val="005544F7"/>
    <w:rsid w:val="00554810"/>
    <w:rsid w:val="0055567F"/>
    <w:rsid w:val="005558C7"/>
    <w:rsid w:val="005610CA"/>
    <w:rsid w:val="00561495"/>
    <w:rsid w:val="00561DBE"/>
    <w:rsid w:val="00564A32"/>
    <w:rsid w:val="0056504A"/>
    <w:rsid w:val="00566887"/>
    <w:rsid w:val="00566AEC"/>
    <w:rsid w:val="00567862"/>
    <w:rsid w:val="0057014C"/>
    <w:rsid w:val="0057396F"/>
    <w:rsid w:val="00573BCD"/>
    <w:rsid w:val="005747B5"/>
    <w:rsid w:val="005765DC"/>
    <w:rsid w:val="00576BC6"/>
    <w:rsid w:val="00577ECA"/>
    <w:rsid w:val="00581C45"/>
    <w:rsid w:val="005833FA"/>
    <w:rsid w:val="005837B5"/>
    <w:rsid w:val="005852A5"/>
    <w:rsid w:val="00586C96"/>
    <w:rsid w:val="00587233"/>
    <w:rsid w:val="00591008"/>
    <w:rsid w:val="00594FC3"/>
    <w:rsid w:val="005979DC"/>
    <w:rsid w:val="005A0578"/>
    <w:rsid w:val="005A08D0"/>
    <w:rsid w:val="005A1A52"/>
    <w:rsid w:val="005A1A55"/>
    <w:rsid w:val="005A240C"/>
    <w:rsid w:val="005A29A5"/>
    <w:rsid w:val="005A3855"/>
    <w:rsid w:val="005A4906"/>
    <w:rsid w:val="005A5E39"/>
    <w:rsid w:val="005A6C80"/>
    <w:rsid w:val="005A7543"/>
    <w:rsid w:val="005B0189"/>
    <w:rsid w:val="005B126C"/>
    <w:rsid w:val="005B1F4A"/>
    <w:rsid w:val="005B4AFA"/>
    <w:rsid w:val="005B50D7"/>
    <w:rsid w:val="005B5131"/>
    <w:rsid w:val="005B5F8F"/>
    <w:rsid w:val="005B611E"/>
    <w:rsid w:val="005B6732"/>
    <w:rsid w:val="005B6840"/>
    <w:rsid w:val="005B79ED"/>
    <w:rsid w:val="005C0C4C"/>
    <w:rsid w:val="005C1031"/>
    <w:rsid w:val="005C401B"/>
    <w:rsid w:val="005C50FC"/>
    <w:rsid w:val="005C72C7"/>
    <w:rsid w:val="005C7806"/>
    <w:rsid w:val="005D1029"/>
    <w:rsid w:val="005D1F34"/>
    <w:rsid w:val="005E5A5B"/>
    <w:rsid w:val="005E659C"/>
    <w:rsid w:val="005E6A42"/>
    <w:rsid w:val="005E6F83"/>
    <w:rsid w:val="005E7A62"/>
    <w:rsid w:val="005E7D9D"/>
    <w:rsid w:val="005F1DDE"/>
    <w:rsid w:val="005F2111"/>
    <w:rsid w:val="005F36BE"/>
    <w:rsid w:val="005F48E4"/>
    <w:rsid w:val="005F7015"/>
    <w:rsid w:val="005F7725"/>
    <w:rsid w:val="00600670"/>
    <w:rsid w:val="0060368F"/>
    <w:rsid w:val="00604642"/>
    <w:rsid w:val="0060489B"/>
    <w:rsid w:val="00610DB1"/>
    <w:rsid w:val="00611AC8"/>
    <w:rsid w:val="0061324D"/>
    <w:rsid w:val="00613DEA"/>
    <w:rsid w:val="006147AC"/>
    <w:rsid w:val="0061502D"/>
    <w:rsid w:val="00616783"/>
    <w:rsid w:val="006231E5"/>
    <w:rsid w:val="00624550"/>
    <w:rsid w:val="00625082"/>
    <w:rsid w:val="00626FC8"/>
    <w:rsid w:val="00627A23"/>
    <w:rsid w:val="00631E72"/>
    <w:rsid w:val="00632C89"/>
    <w:rsid w:val="006330AC"/>
    <w:rsid w:val="0063356C"/>
    <w:rsid w:val="00633F1E"/>
    <w:rsid w:val="006353F9"/>
    <w:rsid w:val="00637DB4"/>
    <w:rsid w:val="006409C7"/>
    <w:rsid w:val="00640A3B"/>
    <w:rsid w:val="00644F6E"/>
    <w:rsid w:val="00645318"/>
    <w:rsid w:val="00650310"/>
    <w:rsid w:val="0065199B"/>
    <w:rsid w:val="006520BF"/>
    <w:rsid w:val="0065461D"/>
    <w:rsid w:val="006546CD"/>
    <w:rsid w:val="006553EF"/>
    <w:rsid w:val="00660D7C"/>
    <w:rsid w:val="00662108"/>
    <w:rsid w:val="00662246"/>
    <w:rsid w:val="0066341C"/>
    <w:rsid w:val="00663FE3"/>
    <w:rsid w:val="00666CB6"/>
    <w:rsid w:val="006701D6"/>
    <w:rsid w:val="00672ADB"/>
    <w:rsid w:val="00672D8C"/>
    <w:rsid w:val="00673B9F"/>
    <w:rsid w:val="0067438B"/>
    <w:rsid w:val="006743CB"/>
    <w:rsid w:val="00674827"/>
    <w:rsid w:val="00677233"/>
    <w:rsid w:val="00677645"/>
    <w:rsid w:val="00680B00"/>
    <w:rsid w:val="00681242"/>
    <w:rsid w:val="00681786"/>
    <w:rsid w:val="00683698"/>
    <w:rsid w:val="00683E78"/>
    <w:rsid w:val="00690436"/>
    <w:rsid w:val="0069088E"/>
    <w:rsid w:val="00693CFE"/>
    <w:rsid w:val="00696650"/>
    <w:rsid w:val="006A25B1"/>
    <w:rsid w:val="006A4178"/>
    <w:rsid w:val="006A48DB"/>
    <w:rsid w:val="006A5AD2"/>
    <w:rsid w:val="006A6BB3"/>
    <w:rsid w:val="006B19DF"/>
    <w:rsid w:val="006B2544"/>
    <w:rsid w:val="006B27F4"/>
    <w:rsid w:val="006B2A42"/>
    <w:rsid w:val="006B5ABB"/>
    <w:rsid w:val="006B5CD4"/>
    <w:rsid w:val="006B5CD9"/>
    <w:rsid w:val="006B7B32"/>
    <w:rsid w:val="006C0E27"/>
    <w:rsid w:val="006C3E4E"/>
    <w:rsid w:val="006C6741"/>
    <w:rsid w:val="006C70B4"/>
    <w:rsid w:val="006C7911"/>
    <w:rsid w:val="006D5EE5"/>
    <w:rsid w:val="006D657F"/>
    <w:rsid w:val="006E02E6"/>
    <w:rsid w:val="006E05C3"/>
    <w:rsid w:val="006E0692"/>
    <w:rsid w:val="006E270B"/>
    <w:rsid w:val="006E2FE7"/>
    <w:rsid w:val="006E46B8"/>
    <w:rsid w:val="006E7CBC"/>
    <w:rsid w:val="006F1D9C"/>
    <w:rsid w:val="006F1E65"/>
    <w:rsid w:val="006F4FCC"/>
    <w:rsid w:val="006F570A"/>
    <w:rsid w:val="006F5C10"/>
    <w:rsid w:val="006F5CD0"/>
    <w:rsid w:val="007000F9"/>
    <w:rsid w:val="0070288B"/>
    <w:rsid w:val="00722144"/>
    <w:rsid w:val="00726F22"/>
    <w:rsid w:val="00727AC4"/>
    <w:rsid w:val="00727DE5"/>
    <w:rsid w:val="007325D8"/>
    <w:rsid w:val="00732664"/>
    <w:rsid w:val="00740E26"/>
    <w:rsid w:val="007410EC"/>
    <w:rsid w:val="007448CB"/>
    <w:rsid w:val="00745237"/>
    <w:rsid w:val="00747676"/>
    <w:rsid w:val="00747A75"/>
    <w:rsid w:val="00747AF5"/>
    <w:rsid w:val="00750BB8"/>
    <w:rsid w:val="007524E5"/>
    <w:rsid w:val="00753062"/>
    <w:rsid w:val="00755170"/>
    <w:rsid w:val="007606CC"/>
    <w:rsid w:val="00762FC7"/>
    <w:rsid w:val="00764A10"/>
    <w:rsid w:val="00765708"/>
    <w:rsid w:val="00765E4E"/>
    <w:rsid w:val="00770DCB"/>
    <w:rsid w:val="0077297D"/>
    <w:rsid w:val="00772E43"/>
    <w:rsid w:val="0077302C"/>
    <w:rsid w:val="0077355C"/>
    <w:rsid w:val="007745ED"/>
    <w:rsid w:val="00775485"/>
    <w:rsid w:val="0078008A"/>
    <w:rsid w:val="007817DF"/>
    <w:rsid w:val="007841BB"/>
    <w:rsid w:val="007859B7"/>
    <w:rsid w:val="0079109C"/>
    <w:rsid w:val="00793859"/>
    <w:rsid w:val="00795E24"/>
    <w:rsid w:val="00797C9E"/>
    <w:rsid w:val="007A27A5"/>
    <w:rsid w:val="007A35D7"/>
    <w:rsid w:val="007A48E5"/>
    <w:rsid w:val="007A4AF6"/>
    <w:rsid w:val="007A4BDF"/>
    <w:rsid w:val="007A59EB"/>
    <w:rsid w:val="007A71E1"/>
    <w:rsid w:val="007B1F1E"/>
    <w:rsid w:val="007B201B"/>
    <w:rsid w:val="007B33D4"/>
    <w:rsid w:val="007B446A"/>
    <w:rsid w:val="007B4D00"/>
    <w:rsid w:val="007B5F58"/>
    <w:rsid w:val="007C1D8B"/>
    <w:rsid w:val="007C3E58"/>
    <w:rsid w:val="007C598F"/>
    <w:rsid w:val="007C7056"/>
    <w:rsid w:val="007C7DF2"/>
    <w:rsid w:val="007D094A"/>
    <w:rsid w:val="007D1ED4"/>
    <w:rsid w:val="007D28DD"/>
    <w:rsid w:val="007D36B6"/>
    <w:rsid w:val="007D4A92"/>
    <w:rsid w:val="007D54C0"/>
    <w:rsid w:val="007D7A4A"/>
    <w:rsid w:val="007E129A"/>
    <w:rsid w:val="007E26BF"/>
    <w:rsid w:val="007E495E"/>
    <w:rsid w:val="007E7A99"/>
    <w:rsid w:val="007F4811"/>
    <w:rsid w:val="007F6BA7"/>
    <w:rsid w:val="00801C90"/>
    <w:rsid w:val="008026BA"/>
    <w:rsid w:val="00802B0B"/>
    <w:rsid w:val="00814E66"/>
    <w:rsid w:val="00815463"/>
    <w:rsid w:val="0081732D"/>
    <w:rsid w:val="0082065D"/>
    <w:rsid w:val="00821520"/>
    <w:rsid w:val="00821A8D"/>
    <w:rsid w:val="0082392A"/>
    <w:rsid w:val="00826C28"/>
    <w:rsid w:val="008276A7"/>
    <w:rsid w:val="0083077D"/>
    <w:rsid w:val="00834B03"/>
    <w:rsid w:val="0083517A"/>
    <w:rsid w:val="00836A71"/>
    <w:rsid w:val="00843DA5"/>
    <w:rsid w:val="00843E59"/>
    <w:rsid w:val="0084473F"/>
    <w:rsid w:val="0084631C"/>
    <w:rsid w:val="00850EC3"/>
    <w:rsid w:val="00850FC7"/>
    <w:rsid w:val="008511E3"/>
    <w:rsid w:val="00854468"/>
    <w:rsid w:val="0085469D"/>
    <w:rsid w:val="00860455"/>
    <w:rsid w:val="00860C16"/>
    <w:rsid w:val="0086149F"/>
    <w:rsid w:val="008614DB"/>
    <w:rsid w:val="00863072"/>
    <w:rsid w:val="00863A8F"/>
    <w:rsid w:val="00866226"/>
    <w:rsid w:val="00866E02"/>
    <w:rsid w:val="00867612"/>
    <w:rsid w:val="00870991"/>
    <w:rsid w:val="00870D4C"/>
    <w:rsid w:val="00871177"/>
    <w:rsid w:val="0087151D"/>
    <w:rsid w:val="008724DE"/>
    <w:rsid w:val="008736DB"/>
    <w:rsid w:val="00874DE2"/>
    <w:rsid w:val="008800B0"/>
    <w:rsid w:val="00883BBE"/>
    <w:rsid w:val="00884412"/>
    <w:rsid w:val="00884BDD"/>
    <w:rsid w:val="00886298"/>
    <w:rsid w:val="0088710D"/>
    <w:rsid w:val="00890C69"/>
    <w:rsid w:val="008913C2"/>
    <w:rsid w:val="00891F6F"/>
    <w:rsid w:val="0089214A"/>
    <w:rsid w:val="008955AB"/>
    <w:rsid w:val="00896576"/>
    <w:rsid w:val="00896C13"/>
    <w:rsid w:val="008973C5"/>
    <w:rsid w:val="008A3640"/>
    <w:rsid w:val="008A3D88"/>
    <w:rsid w:val="008A41A3"/>
    <w:rsid w:val="008A4746"/>
    <w:rsid w:val="008A4FEC"/>
    <w:rsid w:val="008A66C0"/>
    <w:rsid w:val="008A7DB4"/>
    <w:rsid w:val="008B3662"/>
    <w:rsid w:val="008B4C13"/>
    <w:rsid w:val="008B6139"/>
    <w:rsid w:val="008B72B5"/>
    <w:rsid w:val="008C0E91"/>
    <w:rsid w:val="008C0F56"/>
    <w:rsid w:val="008C1125"/>
    <w:rsid w:val="008C3002"/>
    <w:rsid w:val="008C384E"/>
    <w:rsid w:val="008C38C4"/>
    <w:rsid w:val="008C3E32"/>
    <w:rsid w:val="008C4C65"/>
    <w:rsid w:val="008C6B60"/>
    <w:rsid w:val="008C7F86"/>
    <w:rsid w:val="008D0271"/>
    <w:rsid w:val="008D0E84"/>
    <w:rsid w:val="008D4498"/>
    <w:rsid w:val="008D4B42"/>
    <w:rsid w:val="008D6140"/>
    <w:rsid w:val="008D6ABB"/>
    <w:rsid w:val="008E050C"/>
    <w:rsid w:val="008E3D60"/>
    <w:rsid w:val="008E4A88"/>
    <w:rsid w:val="008E4C97"/>
    <w:rsid w:val="008E4F2E"/>
    <w:rsid w:val="008E675D"/>
    <w:rsid w:val="008E7AA9"/>
    <w:rsid w:val="008F1101"/>
    <w:rsid w:val="008F7F98"/>
    <w:rsid w:val="0090165F"/>
    <w:rsid w:val="00907011"/>
    <w:rsid w:val="00907E82"/>
    <w:rsid w:val="0091105B"/>
    <w:rsid w:val="00911686"/>
    <w:rsid w:val="00912B3F"/>
    <w:rsid w:val="00923520"/>
    <w:rsid w:val="009241C0"/>
    <w:rsid w:val="00924EA3"/>
    <w:rsid w:val="00925B19"/>
    <w:rsid w:val="00925F2E"/>
    <w:rsid w:val="00926437"/>
    <w:rsid w:val="009323BF"/>
    <w:rsid w:val="00934843"/>
    <w:rsid w:val="0093538D"/>
    <w:rsid w:val="00940E3A"/>
    <w:rsid w:val="009414AF"/>
    <w:rsid w:val="0094169C"/>
    <w:rsid w:val="009416B0"/>
    <w:rsid w:val="009425A7"/>
    <w:rsid w:val="00945C1B"/>
    <w:rsid w:val="00951F17"/>
    <w:rsid w:val="009524E0"/>
    <w:rsid w:val="00953633"/>
    <w:rsid w:val="00953A0D"/>
    <w:rsid w:val="00955ECB"/>
    <w:rsid w:val="00966C2F"/>
    <w:rsid w:val="00966EA1"/>
    <w:rsid w:val="00967D93"/>
    <w:rsid w:val="00967F81"/>
    <w:rsid w:val="009709E5"/>
    <w:rsid w:val="00971E76"/>
    <w:rsid w:val="00974980"/>
    <w:rsid w:val="009752FE"/>
    <w:rsid w:val="00976F34"/>
    <w:rsid w:val="009809F6"/>
    <w:rsid w:val="00980EFC"/>
    <w:rsid w:val="00984649"/>
    <w:rsid w:val="00984A35"/>
    <w:rsid w:val="00984B3B"/>
    <w:rsid w:val="00986014"/>
    <w:rsid w:val="009876FA"/>
    <w:rsid w:val="0099011D"/>
    <w:rsid w:val="00993D45"/>
    <w:rsid w:val="00993ED5"/>
    <w:rsid w:val="009945B1"/>
    <w:rsid w:val="0099512E"/>
    <w:rsid w:val="00996273"/>
    <w:rsid w:val="00996405"/>
    <w:rsid w:val="009A03B5"/>
    <w:rsid w:val="009A0CF9"/>
    <w:rsid w:val="009A4B8C"/>
    <w:rsid w:val="009A5BCE"/>
    <w:rsid w:val="009A7EBB"/>
    <w:rsid w:val="009B03DA"/>
    <w:rsid w:val="009B2728"/>
    <w:rsid w:val="009B58B1"/>
    <w:rsid w:val="009B7831"/>
    <w:rsid w:val="009C34FB"/>
    <w:rsid w:val="009C3FFD"/>
    <w:rsid w:val="009C55F5"/>
    <w:rsid w:val="009C6E61"/>
    <w:rsid w:val="009C71BA"/>
    <w:rsid w:val="009C7C9D"/>
    <w:rsid w:val="009D0908"/>
    <w:rsid w:val="009D33DB"/>
    <w:rsid w:val="009D5465"/>
    <w:rsid w:val="009E2AF1"/>
    <w:rsid w:val="009E4399"/>
    <w:rsid w:val="009E4A55"/>
    <w:rsid w:val="009F1174"/>
    <w:rsid w:val="009F1C0F"/>
    <w:rsid w:val="009F621F"/>
    <w:rsid w:val="009F7A2B"/>
    <w:rsid w:val="00A00115"/>
    <w:rsid w:val="00A016FB"/>
    <w:rsid w:val="00A01B11"/>
    <w:rsid w:val="00A0406E"/>
    <w:rsid w:val="00A044E9"/>
    <w:rsid w:val="00A04D82"/>
    <w:rsid w:val="00A064DC"/>
    <w:rsid w:val="00A071EE"/>
    <w:rsid w:val="00A12159"/>
    <w:rsid w:val="00A15361"/>
    <w:rsid w:val="00A15BB8"/>
    <w:rsid w:val="00A1791F"/>
    <w:rsid w:val="00A218B4"/>
    <w:rsid w:val="00A2393B"/>
    <w:rsid w:val="00A24FCE"/>
    <w:rsid w:val="00A2500B"/>
    <w:rsid w:val="00A25DB5"/>
    <w:rsid w:val="00A2747E"/>
    <w:rsid w:val="00A30479"/>
    <w:rsid w:val="00A312FF"/>
    <w:rsid w:val="00A313F4"/>
    <w:rsid w:val="00A32F15"/>
    <w:rsid w:val="00A34440"/>
    <w:rsid w:val="00A35F12"/>
    <w:rsid w:val="00A41145"/>
    <w:rsid w:val="00A41355"/>
    <w:rsid w:val="00A43374"/>
    <w:rsid w:val="00A4341A"/>
    <w:rsid w:val="00A43A9B"/>
    <w:rsid w:val="00A43B92"/>
    <w:rsid w:val="00A4438B"/>
    <w:rsid w:val="00A45E82"/>
    <w:rsid w:val="00A51988"/>
    <w:rsid w:val="00A53330"/>
    <w:rsid w:val="00A5443C"/>
    <w:rsid w:val="00A55460"/>
    <w:rsid w:val="00A55F14"/>
    <w:rsid w:val="00A56772"/>
    <w:rsid w:val="00A6179E"/>
    <w:rsid w:val="00A63C77"/>
    <w:rsid w:val="00A65D6C"/>
    <w:rsid w:val="00A73ED0"/>
    <w:rsid w:val="00A82155"/>
    <w:rsid w:val="00A82A12"/>
    <w:rsid w:val="00A9037D"/>
    <w:rsid w:val="00A91554"/>
    <w:rsid w:val="00A9225B"/>
    <w:rsid w:val="00A923A8"/>
    <w:rsid w:val="00A92CDB"/>
    <w:rsid w:val="00A95335"/>
    <w:rsid w:val="00A95778"/>
    <w:rsid w:val="00AA0D35"/>
    <w:rsid w:val="00AA2C29"/>
    <w:rsid w:val="00AA3256"/>
    <w:rsid w:val="00AA5AD7"/>
    <w:rsid w:val="00AA79EC"/>
    <w:rsid w:val="00AB06F3"/>
    <w:rsid w:val="00AB0BB1"/>
    <w:rsid w:val="00AB1BC0"/>
    <w:rsid w:val="00AB2969"/>
    <w:rsid w:val="00AB4694"/>
    <w:rsid w:val="00AB4886"/>
    <w:rsid w:val="00AC08FD"/>
    <w:rsid w:val="00AC1BD3"/>
    <w:rsid w:val="00AC2D8D"/>
    <w:rsid w:val="00AD2145"/>
    <w:rsid w:val="00AD2215"/>
    <w:rsid w:val="00AD481F"/>
    <w:rsid w:val="00AD544D"/>
    <w:rsid w:val="00AD6214"/>
    <w:rsid w:val="00AD6367"/>
    <w:rsid w:val="00AE0A15"/>
    <w:rsid w:val="00AE11BD"/>
    <w:rsid w:val="00AE2562"/>
    <w:rsid w:val="00AE337B"/>
    <w:rsid w:val="00AE404E"/>
    <w:rsid w:val="00AE47CC"/>
    <w:rsid w:val="00AE48F9"/>
    <w:rsid w:val="00AE4AE2"/>
    <w:rsid w:val="00AE5FDC"/>
    <w:rsid w:val="00AF0F16"/>
    <w:rsid w:val="00AF2A3C"/>
    <w:rsid w:val="00AF5A9A"/>
    <w:rsid w:val="00AF60E4"/>
    <w:rsid w:val="00AF7526"/>
    <w:rsid w:val="00B001EE"/>
    <w:rsid w:val="00B01BE7"/>
    <w:rsid w:val="00B02D74"/>
    <w:rsid w:val="00B06479"/>
    <w:rsid w:val="00B0666A"/>
    <w:rsid w:val="00B07284"/>
    <w:rsid w:val="00B07F63"/>
    <w:rsid w:val="00B10447"/>
    <w:rsid w:val="00B14726"/>
    <w:rsid w:val="00B15F40"/>
    <w:rsid w:val="00B20E75"/>
    <w:rsid w:val="00B22A71"/>
    <w:rsid w:val="00B24680"/>
    <w:rsid w:val="00B26470"/>
    <w:rsid w:val="00B277E0"/>
    <w:rsid w:val="00B27B3D"/>
    <w:rsid w:val="00B30DC2"/>
    <w:rsid w:val="00B31C59"/>
    <w:rsid w:val="00B32802"/>
    <w:rsid w:val="00B32BCA"/>
    <w:rsid w:val="00B34D46"/>
    <w:rsid w:val="00B350EB"/>
    <w:rsid w:val="00B35227"/>
    <w:rsid w:val="00B355D1"/>
    <w:rsid w:val="00B36AEC"/>
    <w:rsid w:val="00B36FDC"/>
    <w:rsid w:val="00B42577"/>
    <w:rsid w:val="00B42834"/>
    <w:rsid w:val="00B4303E"/>
    <w:rsid w:val="00B47D2E"/>
    <w:rsid w:val="00B539A5"/>
    <w:rsid w:val="00B53A65"/>
    <w:rsid w:val="00B53CD0"/>
    <w:rsid w:val="00B53FDD"/>
    <w:rsid w:val="00B571BB"/>
    <w:rsid w:val="00B57A43"/>
    <w:rsid w:val="00B61070"/>
    <w:rsid w:val="00B63349"/>
    <w:rsid w:val="00B65B15"/>
    <w:rsid w:val="00B67723"/>
    <w:rsid w:val="00B70D0F"/>
    <w:rsid w:val="00B73F32"/>
    <w:rsid w:val="00B7439C"/>
    <w:rsid w:val="00B81C4F"/>
    <w:rsid w:val="00B82826"/>
    <w:rsid w:val="00B82B34"/>
    <w:rsid w:val="00B846B5"/>
    <w:rsid w:val="00B868CD"/>
    <w:rsid w:val="00B86982"/>
    <w:rsid w:val="00B87B82"/>
    <w:rsid w:val="00B91E03"/>
    <w:rsid w:val="00B92404"/>
    <w:rsid w:val="00B941F0"/>
    <w:rsid w:val="00B975FF"/>
    <w:rsid w:val="00BA06F3"/>
    <w:rsid w:val="00BA13A0"/>
    <w:rsid w:val="00BA262D"/>
    <w:rsid w:val="00BA5D48"/>
    <w:rsid w:val="00BA5F65"/>
    <w:rsid w:val="00BA7AF8"/>
    <w:rsid w:val="00BA7F8C"/>
    <w:rsid w:val="00BB1596"/>
    <w:rsid w:val="00BB31E9"/>
    <w:rsid w:val="00BB33BC"/>
    <w:rsid w:val="00BB354A"/>
    <w:rsid w:val="00BB42D9"/>
    <w:rsid w:val="00BB4AA7"/>
    <w:rsid w:val="00BC00F3"/>
    <w:rsid w:val="00BC1F2C"/>
    <w:rsid w:val="00BD077B"/>
    <w:rsid w:val="00BD400C"/>
    <w:rsid w:val="00BD5CE8"/>
    <w:rsid w:val="00BE2DCF"/>
    <w:rsid w:val="00BF141B"/>
    <w:rsid w:val="00BF1AB5"/>
    <w:rsid w:val="00BF1C1B"/>
    <w:rsid w:val="00BF2A00"/>
    <w:rsid w:val="00BF2FFF"/>
    <w:rsid w:val="00BF4A90"/>
    <w:rsid w:val="00BF5834"/>
    <w:rsid w:val="00C04B76"/>
    <w:rsid w:val="00C10376"/>
    <w:rsid w:val="00C1300E"/>
    <w:rsid w:val="00C13B3E"/>
    <w:rsid w:val="00C13CAD"/>
    <w:rsid w:val="00C13DE6"/>
    <w:rsid w:val="00C14914"/>
    <w:rsid w:val="00C205A7"/>
    <w:rsid w:val="00C22557"/>
    <w:rsid w:val="00C22712"/>
    <w:rsid w:val="00C23F40"/>
    <w:rsid w:val="00C25BDA"/>
    <w:rsid w:val="00C27AEC"/>
    <w:rsid w:val="00C31BEF"/>
    <w:rsid w:val="00C34843"/>
    <w:rsid w:val="00C35883"/>
    <w:rsid w:val="00C37139"/>
    <w:rsid w:val="00C406E1"/>
    <w:rsid w:val="00C43F2E"/>
    <w:rsid w:val="00C44D10"/>
    <w:rsid w:val="00C51A07"/>
    <w:rsid w:val="00C52035"/>
    <w:rsid w:val="00C545E4"/>
    <w:rsid w:val="00C55102"/>
    <w:rsid w:val="00C5654B"/>
    <w:rsid w:val="00C5688B"/>
    <w:rsid w:val="00C5708D"/>
    <w:rsid w:val="00C612A4"/>
    <w:rsid w:val="00C61601"/>
    <w:rsid w:val="00C62057"/>
    <w:rsid w:val="00C63742"/>
    <w:rsid w:val="00C63F42"/>
    <w:rsid w:val="00C64A1D"/>
    <w:rsid w:val="00C66701"/>
    <w:rsid w:val="00C667AF"/>
    <w:rsid w:val="00C67CF6"/>
    <w:rsid w:val="00C7043E"/>
    <w:rsid w:val="00C71C4A"/>
    <w:rsid w:val="00C71D32"/>
    <w:rsid w:val="00C73CA0"/>
    <w:rsid w:val="00C80517"/>
    <w:rsid w:val="00C82B14"/>
    <w:rsid w:val="00C82E12"/>
    <w:rsid w:val="00C8654C"/>
    <w:rsid w:val="00C87F1C"/>
    <w:rsid w:val="00C90CB4"/>
    <w:rsid w:val="00C95BE9"/>
    <w:rsid w:val="00C97C79"/>
    <w:rsid w:val="00CA0D78"/>
    <w:rsid w:val="00CA10D6"/>
    <w:rsid w:val="00CA29D6"/>
    <w:rsid w:val="00CA737C"/>
    <w:rsid w:val="00CA7838"/>
    <w:rsid w:val="00CA7BC5"/>
    <w:rsid w:val="00CB23FC"/>
    <w:rsid w:val="00CB357D"/>
    <w:rsid w:val="00CB518B"/>
    <w:rsid w:val="00CB57E4"/>
    <w:rsid w:val="00CB5872"/>
    <w:rsid w:val="00CC01D8"/>
    <w:rsid w:val="00CC139F"/>
    <w:rsid w:val="00CC1B4F"/>
    <w:rsid w:val="00CC2E8E"/>
    <w:rsid w:val="00CC49AB"/>
    <w:rsid w:val="00CC51A2"/>
    <w:rsid w:val="00CC60D4"/>
    <w:rsid w:val="00CD2C3D"/>
    <w:rsid w:val="00CD2C4C"/>
    <w:rsid w:val="00CD3B8E"/>
    <w:rsid w:val="00CD483E"/>
    <w:rsid w:val="00CD5202"/>
    <w:rsid w:val="00CE283E"/>
    <w:rsid w:val="00CE3F8F"/>
    <w:rsid w:val="00CE4903"/>
    <w:rsid w:val="00CE52C1"/>
    <w:rsid w:val="00CE6E53"/>
    <w:rsid w:val="00CF17A2"/>
    <w:rsid w:val="00CF3642"/>
    <w:rsid w:val="00CF38D4"/>
    <w:rsid w:val="00CF3F42"/>
    <w:rsid w:val="00CF6D6C"/>
    <w:rsid w:val="00CF7CFF"/>
    <w:rsid w:val="00D010DA"/>
    <w:rsid w:val="00D04AE0"/>
    <w:rsid w:val="00D0574B"/>
    <w:rsid w:val="00D06D9A"/>
    <w:rsid w:val="00D11CA6"/>
    <w:rsid w:val="00D12C57"/>
    <w:rsid w:val="00D1390E"/>
    <w:rsid w:val="00D171D4"/>
    <w:rsid w:val="00D174C2"/>
    <w:rsid w:val="00D178DE"/>
    <w:rsid w:val="00D25C37"/>
    <w:rsid w:val="00D264D3"/>
    <w:rsid w:val="00D274E6"/>
    <w:rsid w:val="00D278D5"/>
    <w:rsid w:val="00D3029D"/>
    <w:rsid w:val="00D30C8E"/>
    <w:rsid w:val="00D31BD1"/>
    <w:rsid w:val="00D32F6D"/>
    <w:rsid w:val="00D34CD1"/>
    <w:rsid w:val="00D36754"/>
    <w:rsid w:val="00D416FD"/>
    <w:rsid w:val="00D41C6C"/>
    <w:rsid w:val="00D42019"/>
    <w:rsid w:val="00D4218D"/>
    <w:rsid w:val="00D435ED"/>
    <w:rsid w:val="00D461DA"/>
    <w:rsid w:val="00D511D1"/>
    <w:rsid w:val="00D52509"/>
    <w:rsid w:val="00D5283F"/>
    <w:rsid w:val="00D55F9C"/>
    <w:rsid w:val="00D56329"/>
    <w:rsid w:val="00D5682C"/>
    <w:rsid w:val="00D57831"/>
    <w:rsid w:val="00D6068A"/>
    <w:rsid w:val="00D60E80"/>
    <w:rsid w:val="00D61D84"/>
    <w:rsid w:val="00D640BA"/>
    <w:rsid w:val="00D65207"/>
    <w:rsid w:val="00D65C76"/>
    <w:rsid w:val="00D677D5"/>
    <w:rsid w:val="00D7119B"/>
    <w:rsid w:val="00D714A2"/>
    <w:rsid w:val="00D71BAE"/>
    <w:rsid w:val="00D72385"/>
    <w:rsid w:val="00D727B7"/>
    <w:rsid w:val="00D73375"/>
    <w:rsid w:val="00D734D0"/>
    <w:rsid w:val="00D739C7"/>
    <w:rsid w:val="00D7778A"/>
    <w:rsid w:val="00D800C3"/>
    <w:rsid w:val="00D80629"/>
    <w:rsid w:val="00D842E3"/>
    <w:rsid w:val="00D84E82"/>
    <w:rsid w:val="00D85D54"/>
    <w:rsid w:val="00D85D75"/>
    <w:rsid w:val="00D8660A"/>
    <w:rsid w:val="00D86B49"/>
    <w:rsid w:val="00D87907"/>
    <w:rsid w:val="00D900D0"/>
    <w:rsid w:val="00D92652"/>
    <w:rsid w:val="00D93E6A"/>
    <w:rsid w:val="00D958A3"/>
    <w:rsid w:val="00D95AB7"/>
    <w:rsid w:val="00D976E0"/>
    <w:rsid w:val="00D97E39"/>
    <w:rsid w:val="00DA2F73"/>
    <w:rsid w:val="00DA4ABF"/>
    <w:rsid w:val="00DB12C1"/>
    <w:rsid w:val="00DB589D"/>
    <w:rsid w:val="00DB5C96"/>
    <w:rsid w:val="00DB7391"/>
    <w:rsid w:val="00DC1629"/>
    <w:rsid w:val="00DC28DC"/>
    <w:rsid w:val="00DC2F7B"/>
    <w:rsid w:val="00DC462F"/>
    <w:rsid w:val="00DC6108"/>
    <w:rsid w:val="00DC6719"/>
    <w:rsid w:val="00DC7280"/>
    <w:rsid w:val="00DC7635"/>
    <w:rsid w:val="00DD1226"/>
    <w:rsid w:val="00DD1B99"/>
    <w:rsid w:val="00DD1D31"/>
    <w:rsid w:val="00DD1EB5"/>
    <w:rsid w:val="00DD2863"/>
    <w:rsid w:val="00DD2B3D"/>
    <w:rsid w:val="00DD7D3E"/>
    <w:rsid w:val="00DE047A"/>
    <w:rsid w:val="00DE35B5"/>
    <w:rsid w:val="00DE3995"/>
    <w:rsid w:val="00DE4A25"/>
    <w:rsid w:val="00DE51A2"/>
    <w:rsid w:val="00DE549A"/>
    <w:rsid w:val="00DE7EEB"/>
    <w:rsid w:val="00DF7B5B"/>
    <w:rsid w:val="00E01ACF"/>
    <w:rsid w:val="00E03B57"/>
    <w:rsid w:val="00E03BAA"/>
    <w:rsid w:val="00E042D4"/>
    <w:rsid w:val="00E043B9"/>
    <w:rsid w:val="00E0534D"/>
    <w:rsid w:val="00E05AE7"/>
    <w:rsid w:val="00E06B41"/>
    <w:rsid w:val="00E0764B"/>
    <w:rsid w:val="00E07E59"/>
    <w:rsid w:val="00E10C46"/>
    <w:rsid w:val="00E113BE"/>
    <w:rsid w:val="00E131AD"/>
    <w:rsid w:val="00E14A38"/>
    <w:rsid w:val="00E16F40"/>
    <w:rsid w:val="00E21964"/>
    <w:rsid w:val="00E21CC4"/>
    <w:rsid w:val="00E24FA3"/>
    <w:rsid w:val="00E250A8"/>
    <w:rsid w:val="00E25386"/>
    <w:rsid w:val="00E26888"/>
    <w:rsid w:val="00E26A49"/>
    <w:rsid w:val="00E27CA9"/>
    <w:rsid w:val="00E315F9"/>
    <w:rsid w:val="00E31C9B"/>
    <w:rsid w:val="00E36B41"/>
    <w:rsid w:val="00E40EFF"/>
    <w:rsid w:val="00E4329C"/>
    <w:rsid w:val="00E43BDD"/>
    <w:rsid w:val="00E45954"/>
    <w:rsid w:val="00E461D5"/>
    <w:rsid w:val="00E46BB2"/>
    <w:rsid w:val="00E5028D"/>
    <w:rsid w:val="00E50E67"/>
    <w:rsid w:val="00E52C68"/>
    <w:rsid w:val="00E54667"/>
    <w:rsid w:val="00E55276"/>
    <w:rsid w:val="00E57F61"/>
    <w:rsid w:val="00E6127C"/>
    <w:rsid w:val="00E6493E"/>
    <w:rsid w:val="00E66355"/>
    <w:rsid w:val="00E66EBB"/>
    <w:rsid w:val="00E713EA"/>
    <w:rsid w:val="00E71E02"/>
    <w:rsid w:val="00E7332F"/>
    <w:rsid w:val="00E741C2"/>
    <w:rsid w:val="00E85964"/>
    <w:rsid w:val="00E90346"/>
    <w:rsid w:val="00E90E9A"/>
    <w:rsid w:val="00E919CB"/>
    <w:rsid w:val="00E9277B"/>
    <w:rsid w:val="00E9357E"/>
    <w:rsid w:val="00E93ACA"/>
    <w:rsid w:val="00E94C73"/>
    <w:rsid w:val="00E953FC"/>
    <w:rsid w:val="00E9690A"/>
    <w:rsid w:val="00E96F93"/>
    <w:rsid w:val="00E973C1"/>
    <w:rsid w:val="00E979D0"/>
    <w:rsid w:val="00EA0019"/>
    <w:rsid w:val="00EA0DF0"/>
    <w:rsid w:val="00EA0E2C"/>
    <w:rsid w:val="00EA146D"/>
    <w:rsid w:val="00EA2513"/>
    <w:rsid w:val="00EA4374"/>
    <w:rsid w:val="00EA491B"/>
    <w:rsid w:val="00EA611A"/>
    <w:rsid w:val="00EA7823"/>
    <w:rsid w:val="00EA7DEA"/>
    <w:rsid w:val="00EB00AC"/>
    <w:rsid w:val="00EB215E"/>
    <w:rsid w:val="00EB48C0"/>
    <w:rsid w:val="00EB5ED8"/>
    <w:rsid w:val="00EB747A"/>
    <w:rsid w:val="00EC098C"/>
    <w:rsid w:val="00EC194E"/>
    <w:rsid w:val="00EC21F7"/>
    <w:rsid w:val="00EC425C"/>
    <w:rsid w:val="00EC64F2"/>
    <w:rsid w:val="00EC6D2D"/>
    <w:rsid w:val="00ED089D"/>
    <w:rsid w:val="00ED1AC1"/>
    <w:rsid w:val="00ED534E"/>
    <w:rsid w:val="00ED6928"/>
    <w:rsid w:val="00ED6E6D"/>
    <w:rsid w:val="00ED7C47"/>
    <w:rsid w:val="00ED7C9F"/>
    <w:rsid w:val="00EE0C8F"/>
    <w:rsid w:val="00EE240D"/>
    <w:rsid w:val="00EE2550"/>
    <w:rsid w:val="00EE34C4"/>
    <w:rsid w:val="00EE50BC"/>
    <w:rsid w:val="00EE5551"/>
    <w:rsid w:val="00EE5B94"/>
    <w:rsid w:val="00EE62F8"/>
    <w:rsid w:val="00EE7B19"/>
    <w:rsid w:val="00EF1261"/>
    <w:rsid w:val="00EF1991"/>
    <w:rsid w:val="00EF25B0"/>
    <w:rsid w:val="00EF2838"/>
    <w:rsid w:val="00EF37EE"/>
    <w:rsid w:val="00EF529B"/>
    <w:rsid w:val="00EF587E"/>
    <w:rsid w:val="00EF7630"/>
    <w:rsid w:val="00EF7A8F"/>
    <w:rsid w:val="00F00204"/>
    <w:rsid w:val="00F04776"/>
    <w:rsid w:val="00F11D28"/>
    <w:rsid w:val="00F14C6D"/>
    <w:rsid w:val="00F238D4"/>
    <w:rsid w:val="00F305E1"/>
    <w:rsid w:val="00F3078B"/>
    <w:rsid w:val="00F334EB"/>
    <w:rsid w:val="00F356AF"/>
    <w:rsid w:val="00F35D12"/>
    <w:rsid w:val="00F36CD1"/>
    <w:rsid w:val="00F36EB7"/>
    <w:rsid w:val="00F44415"/>
    <w:rsid w:val="00F444A8"/>
    <w:rsid w:val="00F44EAC"/>
    <w:rsid w:val="00F46DB0"/>
    <w:rsid w:val="00F53464"/>
    <w:rsid w:val="00F54009"/>
    <w:rsid w:val="00F5468B"/>
    <w:rsid w:val="00F56BBB"/>
    <w:rsid w:val="00F57036"/>
    <w:rsid w:val="00F61B14"/>
    <w:rsid w:val="00F61E4C"/>
    <w:rsid w:val="00F631E7"/>
    <w:rsid w:val="00F63678"/>
    <w:rsid w:val="00F64523"/>
    <w:rsid w:val="00F661BC"/>
    <w:rsid w:val="00F67D3F"/>
    <w:rsid w:val="00F744BA"/>
    <w:rsid w:val="00F75104"/>
    <w:rsid w:val="00F8125B"/>
    <w:rsid w:val="00F81C73"/>
    <w:rsid w:val="00F838BB"/>
    <w:rsid w:val="00F85C9B"/>
    <w:rsid w:val="00F90AB5"/>
    <w:rsid w:val="00F937C2"/>
    <w:rsid w:val="00F94442"/>
    <w:rsid w:val="00F95BDF"/>
    <w:rsid w:val="00F96AAE"/>
    <w:rsid w:val="00FA17D3"/>
    <w:rsid w:val="00FA2409"/>
    <w:rsid w:val="00FA2437"/>
    <w:rsid w:val="00FA2B88"/>
    <w:rsid w:val="00FA4E23"/>
    <w:rsid w:val="00FA4FEE"/>
    <w:rsid w:val="00FA6159"/>
    <w:rsid w:val="00FA61AF"/>
    <w:rsid w:val="00FA7843"/>
    <w:rsid w:val="00FB0955"/>
    <w:rsid w:val="00FB27C9"/>
    <w:rsid w:val="00FB625D"/>
    <w:rsid w:val="00FB635F"/>
    <w:rsid w:val="00FC198F"/>
    <w:rsid w:val="00FC3ECB"/>
    <w:rsid w:val="00FC3F0C"/>
    <w:rsid w:val="00FC4050"/>
    <w:rsid w:val="00FD505A"/>
    <w:rsid w:val="00FD5473"/>
    <w:rsid w:val="00FD547B"/>
    <w:rsid w:val="00FD5D16"/>
    <w:rsid w:val="00FD6B6E"/>
    <w:rsid w:val="00FD6EF7"/>
    <w:rsid w:val="00FE276C"/>
    <w:rsid w:val="00FE2D1B"/>
    <w:rsid w:val="00FE3F39"/>
    <w:rsid w:val="00FE5C76"/>
    <w:rsid w:val="00FE604C"/>
    <w:rsid w:val="00FE750E"/>
    <w:rsid w:val="00FF2A07"/>
    <w:rsid w:val="00FF4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F12975"/>
  <w15:docId w15:val="{D6FF28B5-BA0F-4965-A4A1-C34398D5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A7543"/>
    <w:pPr>
      <w:spacing w:before="240" w:after="240"/>
    </w:pPr>
    <w:rPr>
      <w:rFonts w:ascii="Open Sans" w:hAnsi="Open Sans"/>
      <w:sz w:val="24"/>
      <w:szCs w:val="24"/>
    </w:rPr>
  </w:style>
  <w:style w:type="paragraph" w:styleId="Heading1">
    <w:name w:val="heading 1"/>
    <w:basedOn w:val="Normal"/>
    <w:next w:val="Normal"/>
    <w:link w:val="Heading1Char"/>
    <w:uiPriority w:val="9"/>
    <w:qFormat/>
    <w:rsid w:val="007B201B"/>
    <w:pPr>
      <w:keepNext/>
      <w:keepLines/>
      <w:outlineLvl w:val="0"/>
    </w:pPr>
    <w:rPr>
      <w:b/>
      <w:bCs/>
      <w:sz w:val="36"/>
      <w:szCs w:val="28"/>
    </w:rPr>
  </w:style>
  <w:style w:type="paragraph" w:styleId="Heading2">
    <w:name w:val="heading 2"/>
    <w:basedOn w:val="Heading1"/>
    <w:next w:val="Normal"/>
    <w:link w:val="Heading2Char"/>
    <w:uiPriority w:val="9"/>
    <w:qFormat/>
    <w:rsid w:val="004940B8"/>
    <w:pPr>
      <w:outlineLvl w:val="1"/>
    </w:pPr>
    <w:rPr>
      <w:bCs w:val="0"/>
      <w:color w:val="000000"/>
      <w:sz w:val="28"/>
      <w:szCs w:val="26"/>
    </w:rPr>
  </w:style>
  <w:style w:type="paragraph" w:styleId="Heading3">
    <w:name w:val="heading 3"/>
    <w:basedOn w:val="Heading2"/>
    <w:next w:val="Normal"/>
    <w:link w:val="Heading3Char"/>
    <w:uiPriority w:val="9"/>
    <w:qFormat/>
    <w:rsid w:val="00884412"/>
    <w:pPr>
      <w:numPr>
        <w:ilvl w:val="2"/>
      </w:numPr>
      <w:outlineLvl w:val="2"/>
    </w:pPr>
    <w:rPr>
      <w:b w:val="0"/>
      <w:bCs/>
      <w:color w:val="auto"/>
      <w:sz w:val="24"/>
    </w:rPr>
  </w:style>
  <w:style w:type="paragraph" w:styleId="Heading4">
    <w:name w:val="heading 4"/>
    <w:basedOn w:val="Heading3"/>
    <w:next w:val="Normal"/>
    <w:link w:val="Heading4Char"/>
    <w:uiPriority w:val="9"/>
    <w:qFormat/>
    <w:locked/>
    <w:rsid w:val="00D65207"/>
    <w:pPr>
      <w:numPr>
        <w:ilvl w:val="3"/>
      </w:numPr>
      <w:outlineLvl w:val="3"/>
    </w:pPr>
    <w:rPr>
      <w:bCs w:val="0"/>
      <w:i/>
      <w:iCs/>
    </w:rPr>
  </w:style>
  <w:style w:type="paragraph" w:styleId="Heading5">
    <w:name w:val="heading 5"/>
    <w:basedOn w:val="Normal"/>
    <w:next w:val="Normal"/>
    <w:link w:val="Heading5Char"/>
    <w:uiPriority w:val="9"/>
    <w:qFormat/>
    <w:locked/>
    <w:rsid w:val="00D65207"/>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locked/>
    <w:rsid w:val="00D65207"/>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locked/>
    <w:rsid w:val="00D6520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locked/>
    <w:rsid w:val="00D65207"/>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locked/>
    <w:rsid w:val="00D6520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0155B1"/>
    <w:pPr>
      <w:tabs>
        <w:tab w:val="center" w:pos="4513"/>
        <w:tab w:val="right" w:pos="9026"/>
      </w:tabs>
      <w:spacing w:before="0" w:after="0"/>
      <w:ind w:left="-868"/>
    </w:pPr>
    <w:rPr>
      <w:sz w:val="18"/>
    </w:rPr>
  </w:style>
  <w:style w:type="character" w:customStyle="1" w:styleId="FooterChar">
    <w:name w:val="Footer Char"/>
    <w:link w:val="Footer"/>
    <w:uiPriority w:val="99"/>
    <w:rsid w:val="000155B1"/>
    <w:rPr>
      <w:rFonts w:ascii="Open Sans" w:hAnsi="Open Sans"/>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qFormat/>
    <w:rsid w:val="001334CB"/>
    <w:rPr>
      <w:sz w:val="20"/>
      <w:szCs w:val="20"/>
    </w:rPr>
  </w:style>
  <w:style w:type="character" w:customStyle="1" w:styleId="EndnoteTextChar1">
    <w:name w:val="Endnote Text Char1"/>
    <w:link w:val="EndnoteText"/>
    <w:rsid w:val="001334CB"/>
    <w:rPr>
      <w:rFonts w:ascii="Open Sans" w:hAnsi="Open Sans"/>
    </w:rPr>
  </w:style>
  <w:style w:type="character" w:styleId="EndnoteReference">
    <w:name w:val="endnote reference"/>
    <w:aliases w:val="QUOTE"/>
    <w:qFormat/>
    <w:rsid w:val="001334CB"/>
    <w:rPr>
      <w:rFonts w:ascii="Open Sans" w:hAnsi="Open Sans"/>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semiHidden/>
    <w:rsid w:val="0046491B"/>
    <w:rPr>
      <w:rFonts w:ascii="Open Sans" w:hAnsi="Open Sans"/>
      <w:sz w:val="24"/>
    </w:rPr>
  </w:style>
  <w:style w:type="paragraph" w:styleId="HTMLAddress">
    <w:name w:val="HTML Address"/>
    <w:basedOn w:val="Normal"/>
    <w:semiHidden/>
    <w:rsid w:val="0046491B"/>
    <w:rPr>
      <w:iCs/>
    </w:rPr>
  </w:style>
  <w:style w:type="character" w:styleId="HTMLCite">
    <w:name w:val="HTML Cite"/>
    <w:semiHidden/>
    <w:rsid w:val="0046491B"/>
    <w:rPr>
      <w:rFonts w:ascii="Open Sans" w:hAnsi="Open Sans"/>
      <w:i w:val="0"/>
      <w:iCs/>
      <w:sz w:val="24"/>
    </w:rPr>
  </w:style>
  <w:style w:type="character" w:styleId="HTMLCode">
    <w:name w:val="HTML Code"/>
    <w:semiHidden/>
    <w:rsid w:val="0046491B"/>
    <w:rPr>
      <w:rFonts w:ascii="Open Sans" w:hAnsi="Open Sans" w:cs="Courier New"/>
      <w:sz w:val="24"/>
      <w:szCs w:val="20"/>
    </w:rPr>
  </w:style>
  <w:style w:type="character" w:styleId="HTMLDefinition">
    <w:name w:val="HTML Definition"/>
    <w:semiHidden/>
    <w:rsid w:val="0046491B"/>
    <w:rPr>
      <w:rFonts w:ascii="Open Sans" w:hAnsi="Open Sans"/>
      <w:i w:val="0"/>
      <w:iCs/>
      <w:sz w:val="24"/>
    </w:rPr>
  </w:style>
  <w:style w:type="character" w:styleId="HTMLKeyboard">
    <w:name w:val="HTML Keyboard"/>
    <w:semiHidden/>
    <w:rsid w:val="0046491B"/>
    <w:rPr>
      <w:rFonts w:ascii="Open Sans" w:hAnsi="Open Sans" w:cs="Courier New"/>
      <w:sz w:val="24"/>
      <w:szCs w:val="20"/>
    </w:rPr>
  </w:style>
  <w:style w:type="paragraph" w:styleId="HTMLPreformatted">
    <w:name w:val="HTML Preformatted"/>
    <w:basedOn w:val="Normal"/>
    <w:semiHidden/>
    <w:rsid w:val="0046491B"/>
    <w:rPr>
      <w:rFonts w:cs="Courier New"/>
      <w:szCs w:val="20"/>
    </w:rPr>
  </w:style>
  <w:style w:type="character" w:styleId="HTMLSample">
    <w:name w:val="HTML Sample"/>
    <w:semiHidden/>
    <w:rsid w:val="0046491B"/>
    <w:rPr>
      <w:rFonts w:ascii="Open Sans" w:hAnsi="Open Sans" w:cs="Courier New"/>
      <w:sz w:val="24"/>
    </w:rPr>
  </w:style>
  <w:style w:type="character" w:styleId="HTMLTypewriter">
    <w:name w:val="HTML Typewriter"/>
    <w:semiHidden/>
    <w:rsid w:val="0046491B"/>
    <w:rPr>
      <w:rFonts w:ascii="Open Sans" w:hAnsi="Open Sans" w:cs="Courier New"/>
      <w:sz w:val="24"/>
      <w:szCs w:val="20"/>
    </w:rPr>
  </w:style>
  <w:style w:type="character" w:styleId="HTMLVariable">
    <w:name w:val="HTML Variable"/>
    <w:semiHidden/>
    <w:rsid w:val="0046491B"/>
    <w:rPr>
      <w:rFonts w:ascii="Open Sans" w:hAnsi="Open Sans"/>
      <w:i w:val="0"/>
      <w:iCs/>
      <w:sz w:val="24"/>
    </w:rPr>
  </w:style>
  <w:style w:type="character" w:styleId="LineNumber">
    <w:name w:val="line number"/>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6520BF"/>
    <w:pPr>
      <w:numPr>
        <w:numId w:val="1"/>
      </w:numPr>
      <w:spacing w:before="120" w:after="120"/>
      <w:ind w:left="1094" w:hanging="737"/>
      <w:contextualSpacing/>
    </w:pPr>
  </w:style>
  <w:style w:type="paragraph" w:styleId="ListBullet2">
    <w:name w:val="List Bullet 2"/>
    <w:basedOn w:val="Normal"/>
    <w:semiHidden/>
    <w:unhideWhenUsed/>
    <w:locked/>
    <w:rsid w:val="007F4811"/>
    <w:pPr>
      <w:numPr>
        <w:numId w:val="2"/>
      </w:numPr>
      <w:contextualSpacing/>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link w:val="ListNumberChar"/>
    <w:qFormat/>
    <w:rsid w:val="006520BF"/>
    <w:pPr>
      <w:numPr>
        <w:numId w:val="6"/>
      </w:numPr>
      <w:spacing w:before="120" w:after="120"/>
      <w:contextualSpacing/>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7F4811"/>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semiHidden/>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14"/>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LogoType">
    <w:name w:val="Logo Type"/>
    <w:basedOn w:val="Header"/>
    <w:semiHidden/>
    <w:locked/>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rsid w:val="00296804"/>
    <w:rPr>
      <w:rFonts w:ascii="Open Sans" w:hAnsi="Open Sans"/>
      <w:sz w:val="20"/>
      <w:lang w:bidi="ar-SA"/>
    </w:rPr>
  </w:style>
  <w:style w:type="paragraph" w:styleId="BalloonText">
    <w:name w:val="Balloon Text"/>
    <w:basedOn w:val="Normal"/>
    <w:semiHidden/>
    <w:rsid w:val="00AE47CC"/>
    <w:rPr>
      <w:rFonts w:cs="Tahoma"/>
      <w:szCs w:val="16"/>
    </w:rPr>
  </w:style>
  <w:style w:type="character" w:customStyle="1" w:styleId="description">
    <w:name w:val="description"/>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link w:val="Quote"/>
    <w:uiPriority w:val="29"/>
    <w:rsid w:val="007D54C0"/>
    <w:rPr>
      <w:rFonts w:ascii="Open Sans" w:hAnsi="Open Sans"/>
      <w:iCs/>
      <w:sz w:val="22"/>
      <w:szCs w:val="24"/>
    </w:rPr>
  </w:style>
  <w:style w:type="character" w:styleId="BookTitle">
    <w:name w:val="Book Title"/>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rsid w:val="00AE47CC"/>
  </w:style>
  <w:style w:type="paragraph" w:styleId="Caption">
    <w:name w:val="caption"/>
    <w:basedOn w:val="Normal"/>
    <w:next w:val="Normal"/>
    <w:semiHidden/>
    <w:unhideWhenUsed/>
    <w:rsid w:val="00AE47CC"/>
    <w:pPr>
      <w:spacing w:before="0" w:after="200"/>
    </w:pPr>
    <w:rPr>
      <w:iCs/>
      <w:szCs w:val="18"/>
    </w:rPr>
  </w:style>
  <w:style w:type="character" w:styleId="CommentReference">
    <w:name w:val="annotation reference"/>
    <w:semiHidden/>
    <w:unhideWhenUsed/>
    <w:rsid w:val="00AE47CC"/>
    <w:rPr>
      <w:rFonts w:ascii="Open Sans" w:hAnsi="Open Sans"/>
      <w:sz w:val="24"/>
      <w:szCs w:val="16"/>
    </w:rPr>
  </w:style>
  <w:style w:type="paragraph" w:styleId="CommentText">
    <w:name w:val="annotation text"/>
    <w:basedOn w:val="Normal"/>
    <w:link w:val="CommentTextChar"/>
    <w:semiHidden/>
    <w:unhideWhenUsed/>
    <w:rsid w:val="00AE47CC"/>
    <w:rPr>
      <w:szCs w:val="20"/>
    </w:rPr>
  </w:style>
  <w:style w:type="character" w:customStyle="1" w:styleId="CommentTextChar">
    <w:name w:val="Comment Text Char"/>
    <w:link w:val="CommentText"/>
    <w:semiHidden/>
    <w:rsid w:val="00AE47CC"/>
    <w:rPr>
      <w:rFonts w:ascii="Open Sans" w:hAnsi="Open Sans"/>
      <w:sz w:val="24"/>
    </w:rPr>
  </w:style>
  <w:style w:type="paragraph" w:styleId="CommentSubject">
    <w:name w:val="annotation subject"/>
    <w:basedOn w:val="CommentText"/>
    <w:next w:val="CommentText"/>
    <w:link w:val="CommentSubjectChar"/>
    <w:semiHidden/>
    <w:unhideWhenUsed/>
    <w:rsid w:val="00AE47CC"/>
    <w:rPr>
      <w:bCs/>
    </w:rPr>
  </w:style>
  <w:style w:type="character" w:customStyle="1" w:styleId="CommentSubjectChar">
    <w:name w:val="Comment Subject Char"/>
    <w:link w:val="CommentSubject"/>
    <w:semiHidden/>
    <w:rsid w:val="00AE47CC"/>
    <w:rPr>
      <w:rFonts w:ascii="Open Sans" w:hAnsi="Open Sans"/>
      <w:bCs/>
      <w:sz w:val="24"/>
    </w:rPr>
  </w:style>
  <w:style w:type="paragraph" w:styleId="DocumentMap">
    <w:name w:val="Document Map"/>
    <w:basedOn w:val="Normal"/>
    <w:link w:val="DocumentMapChar"/>
    <w:semiHidden/>
    <w:unhideWhenUsed/>
    <w:rsid w:val="00AE47CC"/>
    <w:pPr>
      <w:spacing w:before="0" w:after="0"/>
    </w:pPr>
    <w:rPr>
      <w:rFonts w:cs="Segoe UI"/>
      <w:szCs w:val="16"/>
    </w:rPr>
  </w:style>
  <w:style w:type="character" w:customStyle="1" w:styleId="DocumentMapChar">
    <w:name w:val="Document Map Char"/>
    <w:link w:val="DocumentMap"/>
    <w:semiHidden/>
    <w:rsid w:val="00AE47CC"/>
    <w:rPr>
      <w:rFonts w:ascii="Open Sans" w:hAnsi="Open Sans" w:cs="Segoe UI"/>
      <w:sz w:val="24"/>
      <w:szCs w:val="16"/>
    </w:rPr>
  </w:style>
  <w:style w:type="character" w:customStyle="1" w:styleId="HeaderTitle">
    <w:name w:val="Header Title"/>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SimSun"/>
      <w:bCs/>
    </w:rPr>
  </w:style>
  <w:style w:type="character" w:styleId="IntenseEmphasis">
    <w:name w:val="Intense Emphasis"/>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link w:val="IntenseQuote"/>
    <w:uiPriority w:val="30"/>
    <w:rsid w:val="00016045"/>
    <w:rPr>
      <w:rFonts w:ascii="Open Sans" w:hAnsi="Open Sans"/>
      <w:iCs/>
      <w:sz w:val="24"/>
      <w:szCs w:val="24"/>
    </w:rPr>
  </w:style>
  <w:style w:type="character" w:styleId="IntenseReference">
    <w:name w:val="Intense Reference"/>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link w:val="MacroText"/>
    <w:semiHidden/>
    <w:rsid w:val="007F4811"/>
    <w:rPr>
      <w:rFonts w:ascii="Open Sans" w:hAnsi="Open Sans" w:cs="Consolas"/>
      <w:sz w:val="24"/>
    </w:rPr>
  </w:style>
  <w:style w:type="paragraph" w:styleId="NoSpacing">
    <w:name w:val="No Spacing"/>
    <w:uiPriority w:val="1"/>
    <w:qFormat/>
    <w:rsid w:val="00E131AD"/>
    <w:rPr>
      <w:rFonts w:ascii="Open Sans" w:hAnsi="Open Sans"/>
      <w:sz w:val="24"/>
      <w:szCs w:val="24"/>
    </w:rPr>
  </w:style>
  <w:style w:type="paragraph" w:styleId="ListParagraph">
    <w:name w:val="List Paragraph"/>
    <w:basedOn w:val="Normal"/>
    <w:uiPriority w:val="34"/>
    <w:qFormat/>
    <w:locked/>
    <w:rsid w:val="00610DB1"/>
    <w:pPr>
      <w:ind w:left="720"/>
      <w:contextualSpacing/>
    </w:pPr>
  </w:style>
  <w:style w:type="paragraph" w:customStyle="1" w:styleId="Default">
    <w:name w:val="Default"/>
    <w:rsid w:val="00D5283F"/>
    <w:pPr>
      <w:autoSpaceDE w:val="0"/>
      <w:autoSpaceDN w:val="0"/>
      <w:adjustRightInd w:val="0"/>
    </w:pPr>
    <w:rPr>
      <w:rFonts w:ascii="Open Sans" w:hAnsi="Open Sans" w:cs="Open Sans"/>
      <w:color w:val="000000"/>
      <w:sz w:val="24"/>
      <w:szCs w:val="24"/>
    </w:rPr>
  </w:style>
  <w:style w:type="table" w:customStyle="1" w:styleId="TableGrid10">
    <w:name w:val="Table Grid1"/>
    <w:basedOn w:val="TableNormal"/>
    <w:next w:val="TableGrid"/>
    <w:uiPriority w:val="39"/>
    <w:rsid w:val="00E03B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E03B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834B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NumberChar">
    <w:name w:val="List Number Char"/>
    <w:basedOn w:val="DefaultParagraphFont"/>
    <w:link w:val="ListNumber"/>
    <w:rsid w:val="00537DEB"/>
    <w:rPr>
      <w:rFonts w:ascii="Open Sans" w:hAnsi="Open Sans"/>
      <w:sz w:val="24"/>
      <w:szCs w:val="24"/>
    </w:rPr>
  </w:style>
  <w:style w:type="paragraph" w:styleId="Revision">
    <w:name w:val="Revision"/>
    <w:hidden/>
    <w:uiPriority w:val="99"/>
    <w:semiHidden/>
    <w:rsid w:val="00863A8F"/>
    <w:rPr>
      <w:rFonts w:ascii="Open Sans" w:hAnsi="Open Sans"/>
      <w:sz w:val="24"/>
      <w:szCs w:val="24"/>
    </w:rPr>
  </w:style>
  <w:style w:type="character" w:styleId="UnresolvedMention">
    <w:name w:val="Unresolved Mention"/>
    <w:basedOn w:val="DefaultParagraphFont"/>
    <w:uiPriority w:val="99"/>
    <w:semiHidden/>
    <w:unhideWhenUsed/>
    <w:rsid w:val="00E52C68"/>
    <w:rPr>
      <w:color w:val="605E5C"/>
      <w:shd w:val="clear" w:color="auto" w:fill="E1DFDD"/>
    </w:rPr>
  </w:style>
  <w:style w:type="paragraph" w:customStyle="1" w:styleId="Subnumbered">
    <w:name w:val="Sub numbered"/>
    <w:basedOn w:val="ListNumber"/>
    <w:qFormat/>
    <w:rsid w:val="00C8654C"/>
    <w:pPr>
      <w:numPr>
        <w:numId w:val="15"/>
      </w:numPr>
      <w:tabs>
        <w:tab w:val="num" w:pos="360"/>
        <w:tab w:val="left" w:pos="1134"/>
        <w:tab w:val="left" w:pos="1418"/>
      </w:tabs>
      <w:ind w:left="0" w:firstLine="0"/>
      <w:contextualSpacing w:val="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2087">
      <w:bodyDiv w:val="1"/>
      <w:marLeft w:val="0"/>
      <w:marRight w:val="0"/>
      <w:marTop w:val="0"/>
      <w:marBottom w:val="0"/>
      <w:divBdr>
        <w:top w:val="none" w:sz="0" w:space="0" w:color="auto"/>
        <w:left w:val="none" w:sz="0" w:space="0" w:color="auto"/>
        <w:bottom w:val="none" w:sz="0" w:space="0" w:color="auto"/>
        <w:right w:val="none" w:sz="0" w:space="0" w:color="auto"/>
      </w:divBdr>
    </w:div>
    <w:div w:id="260261542">
      <w:bodyDiv w:val="1"/>
      <w:marLeft w:val="0"/>
      <w:marRight w:val="0"/>
      <w:marTop w:val="0"/>
      <w:marBottom w:val="0"/>
      <w:divBdr>
        <w:top w:val="none" w:sz="0" w:space="0" w:color="auto"/>
        <w:left w:val="none" w:sz="0" w:space="0" w:color="auto"/>
        <w:bottom w:val="none" w:sz="0" w:space="0" w:color="auto"/>
        <w:right w:val="none" w:sz="0" w:space="0" w:color="auto"/>
      </w:divBdr>
    </w:div>
    <w:div w:id="274756617">
      <w:bodyDiv w:val="1"/>
      <w:marLeft w:val="0"/>
      <w:marRight w:val="0"/>
      <w:marTop w:val="0"/>
      <w:marBottom w:val="0"/>
      <w:divBdr>
        <w:top w:val="none" w:sz="0" w:space="0" w:color="auto"/>
        <w:left w:val="none" w:sz="0" w:space="0" w:color="auto"/>
        <w:bottom w:val="none" w:sz="0" w:space="0" w:color="auto"/>
        <w:right w:val="none" w:sz="0" w:space="0" w:color="auto"/>
      </w:divBdr>
    </w:div>
    <w:div w:id="357437210">
      <w:bodyDiv w:val="1"/>
      <w:marLeft w:val="0"/>
      <w:marRight w:val="0"/>
      <w:marTop w:val="0"/>
      <w:marBottom w:val="0"/>
      <w:divBdr>
        <w:top w:val="none" w:sz="0" w:space="0" w:color="auto"/>
        <w:left w:val="none" w:sz="0" w:space="0" w:color="auto"/>
        <w:bottom w:val="none" w:sz="0" w:space="0" w:color="auto"/>
        <w:right w:val="none" w:sz="0" w:space="0" w:color="auto"/>
      </w:divBdr>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859973909">
      <w:bodyDiv w:val="1"/>
      <w:marLeft w:val="0"/>
      <w:marRight w:val="0"/>
      <w:marTop w:val="0"/>
      <w:marBottom w:val="0"/>
      <w:divBdr>
        <w:top w:val="none" w:sz="0" w:space="0" w:color="auto"/>
        <w:left w:val="none" w:sz="0" w:space="0" w:color="auto"/>
        <w:bottom w:val="none" w:sz="0" w:space="0" w:color="auto"/>
        <w:right w:val="none" w:sz="0" w:space="0" w:color="auto"/>
      </w:divBdr>
    </w:div>
    <w:div w:id="874124085">
      <w:bodyDiv w:val="1"/>
      <w:marLeft w:val="0"/>
      <w:marRight w:val="0"/>
      <w:marTop w:val="0"/>
      <w:marBottom w:val="0"/>
      <w:divBdr>
        <w:top w:val="none" w:sz="0" w:space="0" w:color="auto"/>
        <w:left w:val="none" w:sz="0" w:space="0" w:color="auto"/>
        <w:bottom w:val="none" w:sz="0" w:space="0" w:color="auto"/>
        <w:right w:val="none" w:sz="0" w:space="0" w:color="auto"/>
      </w:divBdr>
    </w:div>
    <w:div w:id="898713740">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257597341">
      <w:bodyDiv w:val="1"/>
      <w:marLeft w:val="0"/>
      <w:marRight w:val="0"/>
      <w:marTop w:val="0"/>
      <w:marBottom w:val="0"/>
      <w:divBdr>
        <w:top w:val="none" w:sz="0" w:space="0" w:color="auto"/>
        <w:left w:val="none" w:sz="0" w:space="0" w:color="auto"/>
        <w:bottom w:val="none" w:sz="0" w:space="0" w:color="auto"/>
        <w:right w:val="none" w:sz="0" w:space="0" w:color="auto"/>
      </w:divBdr>
    </w:div>
    <w:div w:id="1350258711">
      <w:bodyDiv w:val="1"/>
      <w:marLeft w:val="0"/>
      <w:marRight w:val="0"/>
      <w:marTop w:val="0"/>
      <w:marBottom w:val="0"/>
      <w:divBdr>
        <w:top w:val="none" w:sz="0" w:space="0" w:color="auto"/>
        <w:left w:val="none" w:sz="0" w:space="0" w:color="auto"/>
        <w:bottom w:val="none" w:sz="0" w:space="0" w:color="auto"/>
        <w:right w:val="none" w:sz="0" w:space="0" w:color="auto"/>
      </w:divBdr>
    </w:div>
    <w:div w:id="1645235443">
      <w:bodyDiv w:val="1"/>
      <w:marLeft w:val="0"/>
      <w:marRight w:val="0"/>
      <w:marTop w:val="0"/>
      <w:marBottom w:val="0"/>
      <w:divBdr>
        <w:top w:val="none" w:sz="0" w:space="0" w:color="auto"/>
        <w:left w:val="none" w:sz="0" w:space="0" w:color="auto"/>
        <w:bottom w:val="none" w:sz="0" w:space="0" w:color="auto"/>
        <w:right w:val="none" w:sz="0" w:space="0" w:color="auto"/>
      </w:divBdr>
    </w:div>
    <w:div w:id="1810972262">
      <w:bodyDiv w:val="1"/>
      <w:marLeft w:val="0"/>
      <w:marRight w:val="0"/>
      <w:marTop w:val="0"/>
      <w:marBottom w:val="0"/>
      <w:divBdr>
        <w:top w:val="none" w:sz="0" w:space="0" w:color="auto"/>
        <w:left w:val="none" w:sz="0" w:space="0" w:color="auto"/>
        <w:bottom w:val="none" w:sz="0" w:space="0" w:color="auto"/>
        <w:right w:val="none" w:sz="0" w:space="0" w:color="auto"/>
      </w:divBdr>
    </w:div>
    <w:div w:id="1923371815">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afp.gov.au/news-media/media-releases/afp-statement-activity-canberra-and-sydney" TargetMode="External"/><Relationship Id="rId7" Type="http://schemas.openxmlformats.org/officeDocument/2006/relationships/hyperlink" Target="http://www.opensocietyfoundations.org/publications/global-principles-national-security-and-freedom-information-tshwane-principles" TargetMode="External"/><Relationship Id="rId2" Type="http://schemas.openxmlformats.org/officeDocument/2006/relationships/hyperlink" Target="https://www.aph.gov.au/DocumentStore.ashx?id=7cee3a76-9d53-4b97-a7aa-725bfb309f49&amp;subId=302630" TargetMode="External"/><Relationship Id="rId1" Type="http://schemas.openxmlformats.org/officeDocument/2006/relationships/hyperlink" Target="https://www.aph.gov.au/DocumentStore.ashx?id=a7b9ff25-7c09-41e9-b97a-56dae1ac0e94&amp;subId=661055" TargetMode="External"/><Relationship Id="rId6" Type="http://schemas.openxmlformats.org/officeDocument/2006/relationships/hyperlink" Target="http://www.article19.org/data/files/pdfs/standards/joburgprinciples.pdf" TargetMode="External"/><Relationship Id="rId5" Type="http://schemas.openxmlformats.org/officeDocument/2006/relationships/hyperlink" Target="https://www.ohchr.org/Documents/Issues/Opinion/JointDeclaration10July2019_English.pdf" TargetMode="External"/><Relationship Id="rId4" Type="http://schemas.openxmlformats.org/officeDocument/2006/relationships/hyperlink" Target="https://rsf.org/en/austral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2DE7D-092C-406A-B1F1-D289C85E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letterhead.dotx</Template>
  <TotalTime>0</TotalTime>
  <Pages>10</Pages>
  <Words>2406</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john.howell@humanrights.gov.au</dc:creator>
  <cp:keywords/>
  <cp:lastModifiedBy>Matthew Nelson</cp:lastModifiedBy>
  <cp:revision>4</cp:revision>
  <cp:lastPrinted>2019-07-17T07:54:00Z</cp:lastPrinted>
  <dcterms:created xsi:type="dcterms:W3CDTF">2019-07-25T03:21:00Z</dcterms:created>
  <dcterms:modified xsi:type="dcterms:W3CDTF">2019-07-25T04:14:00Z</dcterms:modified>
</cp:coreProperties>
</file>