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F781E" w14:textId="77777777" w:rsidR="00A355F9" w:rsidRDefault="008E00C1" w:rsidP="00A355F9">
      <w:pPr>
        <w:pStyle w:val="MainTitle"/>
      </w:pPr>
      <w:bookmarkStart w:id="0" w:name="_GoBack"/>
      <w:bookmarkEnd w:id="0"/>
      <w:r>
        <w:t>Sex Discrimination Amendment (Removing Discrimination Against Students) Bill 2018</w:t>
      </w:r>
    </w:p>
    <w:p w14:paraId="73E017D9" w14:textId="77777777" w:rsidR="00817C73" w:rsidRDefault="00817C73" w:rsidP="00817C73">
      <w:pPr>
        <w:pStyle w:val="Subtitle"/>
      </w:pPr>
      <w:bookmarkStart w:id="1" w:name="_Toc515873204"/>
      <w:bookmarkStart w:id="2" w:name="_Toc407005776"/>
      <w:bookmarkStart w:id="3" w:name="_Toc534985835"/>
      <w:bookmarkStart w:id="4" w:name="_Toc534989284"/>
      <w:bookmarkStart w:id="5" w:name="_Toc535244914"/>
      <w:bookmarkStart w:id="6" w:name="_Toc535250236"/>
      <w:bookmarkStart w:id="7" w:name="_Toc535832767"/>
      <w:r>
        <w:t>Australian Human Rights Commission</w:t>
      </w:r>
      <w:bookmarkEnd w:id="1"/>
      <w:bookmarkEnd w:id="2"/>
      <w:bookmarkEnd w:id="3"/>
      <w:bookmarkEnd w:id="4"/>
      <w:bookmarkEnd w:id="5"/>
      <w:bookmarkEnd w:id="6"/>
      <w:bookmarkEnd w:id="7"/>
    </w:p>
    <w:p w14:paraId="76FFD0E5" w14:textId="77777777" w:rsidR="00817C73" w:rsidRDefault="00817C73" w:rsidP="00817C73">
      <w:pPr>
        <w:pStyle w:val="Subtitle"/>
      </w:pPr>
      <w:bookmarkStart w:id="8" w:name="_Toc407005777"/>
      <w:bookmarkStart w:id="9" w:name="_Toc534985836"/>
      <w:bookmarkStart w:id="10" w:name="_Toc534989285"/>
      <w:bookmarkStart w:id="11" w:name="_Toc535244915"/>
      <w:bookmarkStart w:id="12" w:name="_Toc535250237"/>
      <w:bookmarkStart w:id="13" w:name="_Toc535832768"/>
      <w:bookmarkStart w:id="14" w:name="_Toc515873205"/>
      <w:r>
        <w:t xml:space="preserve">Submission to the </w:t>
      </w:r>
      <w:r w:rsidR="003A7DD0">
        <w:t>Senate Legal and Constitutional Affairs Legislation Committee</w:t>
      </w:r>
      <w:bookmarkEnd w:id="8"/>
      <w:bookmarkEnd w:id="9"/>
      <w:bookmarkEnd w:id="10"/>
      <w:bookmarkEnd w:id="11"/>
      <w:bookmarkEnd w:id="12"/>
      <w:bookmarkEnd w:id="13"/>
      <w:r w:rsidR="003A7DD0">
        <w:t xml:space="preserve"> </w:t>
      </w:r>
      <w:bookmarkEnd w:id="14"/>
    </w:p>
    <w:p w14:paraId="4EFDE524" w14:textId="77777777" w:rsidR="00F220A5" w:rsidRPr="00817C73" w:rsidRDefault="00CB7D81" w:rsidP="00F220A5">
      <w:pPr>
        <w:pStyle w:val="Date"/>
      </w:pPr>
      <w:r>
        <w:t>January 2019</w:t>
      </w:r>
    </w:p>
    <w:p w14:paraId="7D4C6AF8" w14:textId="77777777" w:rsidR="00AC636D" w:rsidRDefault="00AC636D" w:rsidP="00AC636D"/>
    <w:p w14:paraId="77B0A493" w14:textId="77777777" w:rsidR="009E4BD0" w:rsidRPr="00AC636D" w:rsidRDefault="009E4BD0" w:rsidP="00AC636D">
      <w:pPr>
        <w:sectPr w:rsidR="009E4BD0" w:rsidRPr="00AC636D" w:rsidSect="00AC636D">
          <w:headerReference w:type="even" r:id="rId8"/>
          <w:headerReference w:type="default" r:id="rId9"/>
          <w:headerReference w:type="first" r:id="rId10"/>
          <w:footerReference w:type="first" r:id="rId11"/>
          <w:type w:val="continuous"/>
          <w:pgSz w:w="11906" w:h="16838" w:code="9"/>
          <w:pgMar w:top="228" w:right="1700" w:bottom="1134" w:left="1418" w:header="277" w:footer="1361" w:gutter="0"/>
          <w:pgNumType w:start="2"/>
          <w:cols w:space="708"/>
          <w:titlePg/>
          <w:docGrid w:linePitch="360"/>
        </w:sectPr>
      </w:pPr>
    </w:p>
    <w:p w14:paraId="4EA69E9A" w14:textId="77777777" w:rsidR="00E372E9" w:rsidRDefault="00E372E9" w:rsidP="00C60343">
      <w:pPr>
        <w:pStyle w:val="TOC1"/>
      </w:pPr>
      <w:bookmarkStart w:id="15" w:name="_Toc209316062"/>
      <w:bookmarkEnd w:id="15"/>
    </w:p>
    <w:p w14:paraId="5BB60358" w14:textId="43419D54" w:rsidR="00D34837" w:rsidRPr="00D46090" w:rsidRDefault="000B5B68" w:rsidP="00D46090">
      <w:pPr>
        <w:pStyle w:val="TOC2"/>
        <w:rPr>
          <w:i w:val="0"/>
        </w:rPr>
      </w:pPr>
      <w:r w:rsidRPr="0078772F">
        <w:rPr>
          <w:i w:val="0"/>
        </w:rPr>
        <w:t>Contents</w:t>
      </w:r>
      <w:r w:rsidRPr="000465F1">
        <w:fldChar w:fldCharType="begin"/>
      </w:r>
      <w:r>
        <w:instrText xml:space="preserve"> TOC \o "1-3" \h \z \u </w:instrText>
      </w:r>
      <w:r w:rsidRPr="000465F1">
        <w:fldChar w:fldCharType="separate"/>
      </w:r>
    </w:p>
    <w:p w14:paraId="70AB3842" w14:textId="074131E1" w:rsidR="00D34837" w:rsidRDefault="00472272">
      <w:pPr>
        <w:pStyle w:val="TOC1"/>
        <w:rPr>
          <w:rFonts w:asciiTheme="minorHAnsi" w:eastAsiaTheme="minorEastAsia" w:hAnsiTheme="minorHAnsi" w:cstheme="minorBidi"/>
          <w:b w:val="0"/>
          <w:sz w:val="22"/>
          <w:szCs w:val="22"/>
        </w:rPr>
      </w:pPr>
      <w:hyperlink w:anchor="_Toc535832769" w:history="1">
        <w:r w:rsidR="00D34837" w:rsidRPr="00CD5A1A">
          <w:rPr>
            <w:rStyle w:val="Hyperlink"/>
          </w:rPr>
          <w:t>1</w:t>
        </w:r>
        <w:r w:rsidR="00D34837">
          <w:rPr>
            <w:rFonts w:asciiTheme="minorHAnsi" w:eastAsiaTheme="minorEastAsia" w:hAnsiTheme="minorHAnsi" w:cstheme="minorBidi"/>
            <w:b w:val="0"/>
            <w:sz w:val="22"/>
            <w:szCs w:val="22"/>
          </w:rPr>
          <w:tab/>
        </w:r>
        <w:r w:rsidR="00D34837" w:rsidRPr="00CD5A1A">
          <w:rPr>
            <w:rStyle w:val="Hyperlink"/>
          </w:rPr>
          <w:t>Introduction</w:t>
        </w:r>
        <w:r w:rsidR="00D34837">
          <w:rPr>
            <w:webHidden/>
          </w:rPr>
          <w:tab/>
        </w:r>
        <w:r w:rsidR="00D34837">
          <w:rPr>
            <w:webHidden/>
          </w:rPr>
          <w:fldChar w:fldCharType="begin"/>
        </w:r>
        <w:r w:rsidR="00D34837">
          <w:rPr>
            <w:webHidden/>
          </w:rPr>
          <w:instrText xml:space="preserve"> PAGEREF _Toc535832769 \h </w:instrText>
        </w:r>
        <w:r w:rsidR="00D34837">
          <w:rPr>
            <w:webHidden/>
          </w:rPr>
        </w:r>
        <w:r w:rsidR="00D34837">
          <w:rPr>
            <w:webHidden/>
          </w:rPr>
          <w:fldChar w:fldCharType="separate"/>
        </w:r>
        <w:r>
          <w:rPr>
            <w:webHidden/>
          </w:rPr>
          <w:t>3</w:t>
        </w:r>
        <w:r w:rsidR="00D34837">
          <w:rPr>
            <w:webHidden/>
          </w:rPr>
          <w:fldChar w:fldCharType="end"/>
        </w:r>
      </w:hyperlink>
    </w:p>
    <w:p w14:paraId="739A2E64" w14:textId="0747EEDD" w:rsidR="00D34837" w:rsidRDefault="00472272">
      <w:pPr>
        <w:pStyle w:val="TOC1"/>
        <w:rPr>
          <w:rFonts w:asciiTheme="minorHAnsi" w:eastAsiaTheme="minorEastAsia" w:hAnsiTheme="minorHAnsi" w:cstheme="minorBidi"/>
          <w:b w:val="0"/>
          <w:sz w:val="22"/>
          <w:szCs w:val="22"/>
        </w:rPr>
      </w:pPr>
      <w:hyperlink w:anchor="_Toc535832770" w:history="1">
        <w:r w:rsidR="00D34837" w:rsidRPr="00CD5A1A">
          <w:rPr>
            <w:rStyle w:val="Hyperlink"/>
          </w:rPr>
          <w:t>2</w:t>
        </w:r>
        <w:r w:rsidR="00D34837">
          <w:rPr>
            <w:rFonts w:asciiTheme="minorHAnsi" w:eastAsiaTheme="minorEastAsia" w:hAnsiTheme="minorHAnsi" w:cstheme="minorBidi"/>
            <w:b w:val="0"/>
            <w:sz w:val="22"/>
            <w:szCs w:val="22"/>
          </w:rPr>
          <w:tab/>
        </w:r>
        <w:r w:rsidR="00D34837" w:rsidRPr="00CD5A1A">
          <w:rPr>
            <w:rStyle w:val="Hyperlink"/>
          </w:rPr>
          <w:t>Recommendation</w:t>
        </w:r>
        <w:r w:rsidR="00D34837">
          <w:rPr>
            <w:webHidden/>
          </w:rPr>
          <w:tab/>
        </w:r>
        <w:r w:rsidR="00D34837">
          <w:rPr>
            <w:webHidden/>
          </w:rPr>
          <w:fldChar w:fldCharType="begin"/>
        </w:r>
        <w:r w:rsidR="00D34837">
          <w:rPr>
            <w:webHidden/>
          </w:rPr>
          <w:instrText xml:space="preserve"> PAGEREF _Toc535832770 \h </w:instrText>
        </w:r>
        <w:r w:rsidR="00D34837">
          <w:rPr>
            <w:webHidden/>
          </w:rPr>
        </w:r>
        <w:r w:rsidR="00D34837">
          <w:rPr>
            <w:webHidden/>
          </w:rPr>
          <w:fldChar w:fldCharType="separate"/>
        </w:r>
        <w:r>
          <w:rPr>
            <w:webHidden/>
          </w:rPr>
          <w:t>3</w:t>
        </w:r>
        <w:r w:rsidR="00D34837">
          <w:rPr>
            <w:webHidden/>
          </w:rPr>
          <w:fldChar w:fldCharType="end"/>
        </w:r>
      </w:hyperlink>
    </w:p>
    <w:p w14:paraId="7CF29A40" w14:textId="29951194" w:rsidR="00D34837" w:rsidRDefault="00472272">
      <w:pPr>
        <w:pStyle w:val="TOC1"/>
        <w:rPr>
          <w:rFonts w:asciiTheme="minorHAnsi" w:eastAsiaTheme="minorEastAsia" w:hAnsiTheme="minorHAnsi" w:cstheme="minorBidi"/>
          <w:b w:val="0"/>
          <w:sz w:val="22"/>
          <w:szCs w:val="22"/>
        </w:rPr>
      </w:pPr>
      <w:hyperlink w:anchor="_Toc535832771" w:history="1">
        <w:r w:rsidR="00D34837" w:rsidRPr="00CD5A1A">
          <w:rPr>
            <w:rStyle w:val="Hyperlink"/>
          </w:rPr>
          <w:t>3</w:t>
        </w:r>
        <w:r w:rsidR="00D34837">
          <w:rPr>
            <w:rFonts w:asciiTheme="minorHAnsi" w:eastAsiaTheme="minorEastAsia" w:hAnsiTheme="minorHAnsi" w:cstheme="minorBidi"/>
            <w:b w:val="0"/>
            <w:sz w:val="22"/>
            <w:szCs w:val="22"/>
          </w:rPr>
          <w:tab/>
        </w:r>
        <w:r w:rsidR="00D34837" w:rsidRPr="00CD5A1A">
          <w:rPr>
            <w:rStyle w:val="Hyperlink"/>
          </w:rPr>
          <w:t>Human rights engaged by this Bill</w:t>
        </w:r>
        <w:r w:rsidR="00D34837">
          <w:rPr>
            <w:webHidden/>
          </w:rPr>
          <w:tab/>
        </w:r>
        <w:r w:rsidR="00D34837">
          <w:rPr>
            <w:webHidden/>
          </w:rPr>
          <w:fldChar w:fldCharType="begin"/>
        </w:r>
        <w:r w:rsidR="00D34837">
          <w:rPr>
            <w:webHidden/>
          </w:rPr>
          <w:instrText xml:space="preserve"> PAGEREF _Toc535832771 \h </w:instrText>
        </w:r>
        <w:r w:rsidR="00D34837">
          <w:rPr>
            <w:webHidden/>
          </w:rPr>
        </w:r>
        <w:r w:rsidR="00D34837">
          <w:rPr>
            <w:webHidden/>
          </w:rPr>
          <w:fldChar w:fldCharType="separate"/>
        </w:r>
        <w:r>
          <w:rPr>
            <w:webHidden/>
          </w:rPr>
          <w:t>4</w:t>
        </w:r>
        <w:r w:rsidR="00D34837">
          <w:rPr>
            <w:webHidden/>
          </w:rPr>
          <w:fldChar w:fldCharType="end"/>
        </w:r>
      </w:hyperlink>
    </w:p>
    <w:p w14:paraId="0214870F" w14:textId="0879DE48" w:rsidR="00D34837" w:rsidRDefault="00472272">
      <w:pPr>
        <w:pStyle w:val="TOC2"/>
        <w:rPr>
          <w:rFonts w:asciiTheme="minorHAnsi" w:eastAsiaTheme="minorEastAsia" w:hAnsiTheme="minorHAnsi" w:cstheme="minorBidi"/>
          <w:b w:val="0"/>
          <w:i w:val="0"/>
          <w:sz w:val="22"/>
          <w:szCs w:val="22"/>
        </w:rPr>
      </w:pPr>
      <w:hyperlink w:anchor="_Toc535832772" w:history="1">
        <w:r w:rsidR="00D34837" w:rsidRPr="00CD5A1A">
          <w:rPr>
            <w:rStyle w:val="Hyperlink"/>
          </w:rPr>
          <w:t>3.1</w:t>
        </w:r>
        <w:r w:rsidR="00D34837">
          <w:rPr>
            <w:rFonts w:asciiTheme="minorHAnsi" w:eastAsiaTheme="minorEastAsia" w:hAnsiTheme="minorHAnsi" w:cstheme="minorBidi"/>
            <w:b w:val="0"/>
            <w:i w:val="0"/>
            <w:sz w:val="22"/>
            <w:szCs w:val="22"/>
          </w:rPr>
          <w:tab/>
        </w:r>
        <w:r w:rsidR="00D34837" w:rsidRPr="00CD5A1A">
          <w:rPr>
            <w:rStyle w:val="Hyperlink"/>
          </w:rPr>
          <w:t>The right to freedom of religion</w:t>
        </w:r>
        <w:r w:rsidR="00D34837">
          <w:rPr>
            <w:webHidden/>
          </w:rPr>
          <w:tab/>
        </w:r>
        <w:r w:rsidR="00D34837">
          <w:rPr>
            <w:webHidden/>
          </w:rPr>
          <w:fldChar w:fldCharType="begin"/>
        </w:r>
        <w:r w:rsidR="00D34837">
          <w:rPr>
            <w:webHidden/>
          </w:rPr>
          <w:instrText xml:space="preserve"> PAGEREF _Toc535832772 \h </w:instrText>
        </w:r>
        <w:r w:rsidR="00D34837">
          <w:rPr>
            <w:webHidden/>
          </w:rPr>
        </w:r>
        <w:r w:rsidR="00D34837">
          <w:rPr>
            <w:webHidden/>
          </w:rPr>
          <w:fldChar w:fldCharType="separate"/>
        </w:r>
        <w:r>
          <w:rPr>
            <w:webHidden/>
          </w:rPr>
          <w:t>4</w:t>
        </w:r>
        <w:r w:rsidR="00D34837">
          <w:rPr>
            <w:webHidden/>
          </w:rPr>
          <w:fldChar w:fldCharType="end"/>
        </w:r>
      </w:hyperlink>
    </w:p>
    <w:p w14:paraId="688DFD06" w14:textId="3460320A" w:rsidR="00D34837" w:rsidRDefault="00472272">
      <w:pPr>
        <w:pStyle w:val="TOC2"/>
        <w:rPr>
          <w:rFonts w:asciiTheme="minorHAnsi" w:eastAsiaTheme="minorEastAsia" w:hAnsiTheme="minorHAnsi" w:cstheme="minorBidi"/>
          <w:b w:val="0"/>
          <w:i w:val="0"/>
          <w:sz w:val="22"/>
          <w:szCs w:val="22"/>
        </w:rPr>
      </w:pPr>
      <w:hyperlink w:anchor="_Toc535832773" w:history="1">
        <w:r w:rsidR="00D34837" w:rsidRPr="00CD5A1A">
          <w:rPr>
            <w:rStyle w:val="Hyperlink"/>
          </w:rPr>
          <w:t>3.2</w:t>
        </w:r>
        <w:r w:rsidR="00D34837">
          <w:rPr>
            <w:rFonts w:asciiTheme="minorHAnsi" w:eastAsiaTheme="minorEastAsia" w:hAnsiTheme="minorHAnsi" w:cstheme="minorBidi"/>
            <w:b w:val="0"/>
            <w:i w:val="0"/>
            <w:sz w:val="22"/>
            <w:szCs w:val="22"/>
          </w:rPr>
          <w:tab/>
        </w:r>
        <w:r w:rsidR="00D34837" w:rsidRPr="00CD5A1A">
          <w:rPr>
            <w:rStyle w:val="Hyperlink"/>
          </w:rPr>
          <w:t>The right to be free from discrimination on the basis of sexual orientation or gender identity</w:t>
        </w:r>
        <w:r w:rsidR="00D34837">
          <w:rPr>
            <w:webHidden/>
          </w:rPr>
          <w:tab/>
        </w:r>
        <w:r w:rsidR="00D34837">
          <w:rPr>
            <w:webHidden/>
          </w:rPr>
          <w:fldChar w:fldCharType="begin"/>
        </w:r>
        <w:r w:rsidR="00D34837">
          <w:rPr>
            <w:webHidden/>
          </w:rPr>
          <w:instrText xml:space="preserve"> PAGEREF _Toc535832773 \h </w:instrText>
        </w:r>
        <w:r w:rsidR="00D34837">
          <w:rPr>
            <w:webHidden/>
          </w:rPr>
        </w:r>
        <w:r w:rsidR="00D34837">
          <w:rPr>
            <w:webHidden/>
          </w:rPr>
          <w:fldChar w:fldCharType="separate"/>
        </w:r>
        <w:r>
          <w:rPr>
            <w:webHidden/>
          </w:rPr>
          <w:t>5</w:t>
        </w:r>
        <w:r w:rsidR="00D34837">
          <w:rPr>
            <w:webHidden/>
          </w:rPr>
          <w:fldChar w:fldCharType="end"/>
        </w:r>
      </w:hyperlink>
    </w:p>
    <w:p w14:paraId="2A30C053" w14:textId="0016EC00" w:rsidR="00D34837" w:rsidRDefault="00472272">
      <w:pPr>
        <w:pStyle w:val="TOC2"/>
        <w:rPr>
          <w:rFonts w:asciiTheme="minorHAnsi" w:eastAsiaTheme="minorEastAsia" w:hAnsiTheme="minorHAnsi" w:cstheme="minorBidi"/>
          <w:b w:val="0"/>
          <w:i w:val="0"/>
          <w:sz w:val="22"/>
          <w:szCs w:val="22"/>
        </w:rPr>
      </w:pPr>
      <w:hyperlink w:anchor="_Toc535832774" w:history="1">
        <w:r w:rsidR="00D34837" w:rsidRPr="00CD5A1A">
          <w:rPr>
            <w:rStyle w:val="Hyperlink"/>
          </w:rPr>
          <w:t>3.3</w:t>
        </w:r>
        <w:r w:rsidR="00D34837">
          <w:rPr>
            <w:rFonts w:asciiTheme="minorHAnsi" w:eastAsiaTheme="minorEastAsia" w:hAnsiTheme="minorHAnsi" w:cstheme="minorBidi"/>
            <w:b w:val="0"/>
            <w:i w:val="0"/>
            <w:sz w:val="22"/>
            <w:szCs w:val="22"/>
          </w:rPr>
          <w:tab/>
        </w:r>
        <w:r w:rsidR="00D34837" w:rsidRPr="00CD5A1A">
          <w:rPr>
            <w:rStyle w:val="Hyperlink"/>
          </w:rPr>
          <w:t>The rights of the child</w:t>
        </w:r>
        <w:r w:rsidR="00D34837">
          <w:rPr>
            <w:webHidden/>
          </w:rPr>
          <w:tab/>
        </w:r>
        <w:r w:rsidR="00D34837">
          <w:rPr>
            <w:webHidden/>
          </w:rPr>
          <w:fldChar w:fldCharType="begin"/>
        </w:r>
        <w:r w:rsidR="00D34837">
          <w:rPr>
            <w:webHidden/>
          </w:rPr>
          <w:instrText xml:space="preserve"> PAGEREF _Toc535832774 \h </w:instrText>
        </w:r>
        <w:r w:rsidR="00D34837">
          <w:rPr>
            <w:webHidden/>
          </w:rPr>
        </w:r>
        <w:r w:rsidR="00D34837">
          <w:rPr>
            <w:webHidden/>
          </w:rPr>
          <w:fldChar w:fldCharType="separate"/>
        </w:r>
        <w:r>
          <w:rPr>
            <w:webHidden/>
          </w:rPr>
          <w:t>6</w:t>
        </w:r>
        <w:r w:rsidR="00D34837">
          <w:rPr>
            <w:webHidden/>
          </w:rPr>
          <w:fldChar w:fldCharType="end"/>
        </w:r>
      </w:hyperlink>
    </w:p>
    <w:p w14:paraId="2B4F0546" w14:textId="61D480A6" w:rsidR="00D34837" w:rsidRDefault="00472272">
      <w:pPr>
        <w:pStyle w:val="TOC2"/>
        <w:rPr>
          <w:rFonts w:asciiTheme="minorHAnsi" w:eastAsiaTheme="minorEastAsia" w:hAnsiTheme="minorHAnsi" w:cstheme="minorBidi"/>
          <w:b w:val="0"/>
          <w:i w:val="0"/>
          <w:sz w:val="22"/>
          <w:szCs w:val="22"/>
        </w:rPr>
      </w:pPr>
      <w:hyperlink w:anchor="_Toc535832775" w:history="1">
        <w:r w:rsidR="00D34837" w:rsidRPr="00CD5A1A">
          <w:rPr>
            <w:rStyle w:val="Hyperlink"/>
          </w:rPr>
          <w:t>3.4</w:t>
        </w:r>
        <w:r w:rsidR="00D34837">
          <w:rPr>
            <w:rFonts w:asciiTheme="minorHAnsi" w:eastAsiaTheme="minorEastAsia" w:hAnsiTheme="minorHAnsi" w:cstheme="minorBidi"/>
            <w:b w:val="0"/>
            <w:i w:val="0"/>
            <w:sz w:val="22"/>
            <w:szCs w:val="22"/>
          </w:rPr>
          <w:tab/>
        </w:r>
        <w:r w:rsidR="00D34837" w:rsidRPr="00CD5A1A">
          <w:rPr>
            <w:rStyle w:val="Hyperlink"/>
          </w:rPr>
          <w:t>The rights of young parents and their children</w:t>
        </w:r>
        <w:r w:rsidR="00D34837">
          <w:rPr>
            <w:webHidden/>
          </w:rPr>
          <w:tab/>
        </w:r>
        <w:r w:rsidR="00D34837">
          <w:rPr>
            <w:webHidden/>
          </w:rPr>
          <w:fldChar w:fldCharType="begin"/>
        </w:r>
        <w:r w:rsidR="00D34837">
          <w:rPr>
            <w:webHidden/>
          </w:rPr>
          <w:instrText xml:space="preserve"> PAGEREF _Toc535832775 \h </w:instrText>
        </w:r>
        <w:r w:rsidR="00D34837">
          <w:rPr>
            <w:webHidden/>
          </w:rPr>
        </w:r>
        <w:r w:rsidR="00D34837">
          <w:rPr>
            <w:webHidden/>
          </w:rPr>
          <w:fldChar w:fldCharType="separate"/>
        </w:r>
        <w:r>
          <w:rPr>
            <w:webHidden/>
          </w:rPr>
          <w:t>8</w:t>
        </w:r>
        <w:r w:rsidR="00D34837">
          <w:rPr>
            <w:webHidden/>
          </w:rPr>
          <w:fldChar w:fldCharType="end"/>
        </w:r>
      </w:hyperlink>
    </w:p>
    <w:p w14:paraId="118A0F19" w14:textId="4798FA93" w:rsidR="00D34837" w:rsidRDefault="00472272">
      <w:pPr>
        <w:pStyle w:val="TOC1"/>
        <w:rPr>
          <w:rFonts w:asciiTheme="minorHAnsi" w:eastAsiaTheme="minorEastAsia" w:hAnsiTheme="minorHAnsi" w:cstheme="minorBidi"/>
          <w:b w:val="0"/>
          <w:sz w:val="22"/>
          <w:szCs w:val="22"/>
        </w:rPr>
      </w:pPr>
      <w:hyperlink w:anchor="_Toc535832776" w:history="1">
        <w:r w:rsidR="00D34837" w:rsidRPr="00CD5A1A">
          <w:rPr>
            <w:rStyle w:val="Hyperlink"/>
          </w:rPr>
          <w:t>4</w:t>
        </w:r>
        <w:r w:rsidR="00D34837">
          <w:rPr>
            <w:rFonts w:asciiTheme="minorHAnsi" w:eastAsiaTheme="minorEastAsia" w:hAnsiTheme="minorHAnsi" w:cstheme="minorBidi"/>
            <w:b w:val="0"/>
            <w:sz w:val="22"/>
            <w:szCs w:val="22"/>
          </w:rPr>
          <w:tab/>
        </w:r>
        <w:r w:rsidR="00D34837" w:rsidRPr="00CD5A1A">
          <w:rPr>
            <w:rStyle w:val="Hyperlink"/>
          </w:rPr>
          <w:t>The Bill</w:t>
        </w:r>
        <w:r w:rsidR="00D34837">
          <w:rPr>
            <w:webHidden/>
          </w:rPr>
          <w:tab/>
        </w:r>
        <w:r w:rsidR="00D34837">
          <w:rPr>
            <w:webHidden/>
          </w:rPr>
          <w:fldChar w:fldCharType="begin"/>
        </w:r>
        <w:r w:rsidR="00D34837">
          <w:rPr>
            <w:webHidden/>
          </w:rPr>
          <w:instrText xml:space="preserve"> PAGEREF _Toc535832776 \h </w:instrText>
        </w:r>
        <w:r w:rsidR="00D34837">
          <w:rPr>
            <w:webHidden/>
          </w:rPr>
        </w:r>
        <w:r w:rsidR="00D34837">
          <w:rPr>
            <w:webHidden/>
          </w:rPr>
          <w:fldChar w:fldCharType="separate"/>
        </w:r>
        <w:r>
          <w:rPr>
            <w:webHidden/>
          </w:rPr>
          <w:t>8</w:t>
        </w:r>
        <w:r w:rsidR="00D34837">
          <w:rPr>
            <w:webHidden/>
          </w:rPr>
          <w:fldChar w:fldCharType="end"/>
        </w:r>
      </w:hyperlink>
    </w:p>
    <w:p w14:paraId="7871DC30" w14:textId="519F85A7" w:rsidR="00D34837" w:rsidRDefault="00472272">
      <w:pPr>
        <w:pStyle w:val="TOC1"/>
        <w:rPr>
          <w:rFonts w:asciiTheme="minorHAnsi" w:eastAsiaTheme="minorEastAsia" w:hAnsiTheme="minorHAnsi" w:cstheme="minorBidi"/>
          <w:b w:val="0"/>
          <w:sz w:val="22"/>
          <w:szCs w:val="22"/>
        </w:rPr>
      </w:pPr>
      <w:hyperlink w:anchor="_Toc535832777" w:history="1">
        <w:r w:rsidR="00D34837" w:rsidRPr="00CD5A1A">
          <w:rPr>
            <w:rStyle w:val="Hyperlink"/>
          </w:rPr>
          <w:t>5</w:t>
        </w:r>
        <w:r w:rsidR="00D34837">
          <w:rPr>
            <w:rFonts w:asciiTheme="minorHAnsi" w:eastAsiaTheme="minorEastAsia" w:hAnsiTheme="minorHAnsi" w:cstheme="minorBidi"/>
            <w:b w:val="0"/>
            <w:sz w:val="22"/>
            <w:szCs w:val="22"/>
          </w:rPr>
          <w:tab/>
        </w:r>
        <w:r w:rsidR="00D34837" w:rsidRPr="00CD5A1A">
          <w:rPr>
            <w:rStyle w:val="Hyperlink"/>
          </w:rPr>
          <w:t>Proposed amendments to this Bill</w:t>
        </w:r>
        <w:r w:rsidR="00D34837">
          <w:rPr>
            <w:webHidden/>
          </w:rPr>
          <w:tab/>
        </w:r>
        <w:r w:rsidR="00D34837">
          <w:rPr>
            <w:webHidden/>
          </w:rPr>
          <w:fldChar w:fldCharType="begin"/>
        </w:r>
        <w:r w:rsidR="00D34837">
          <w:rPr>
            <w:webHidden/>
          </w:rPr>
          <w:instrText xml:space="preserve"> PAGEREF _Toc535832777 \h </w:instrText>
        </w:r>
        <w:r w:rsidR="00D34837">
          <w:rPr>
            <w:webHidden/>
          </w:rPr>
        </w:r>
        <w:r w:rsidR="00D34837">
          <w:rPr>
            <w:webHidden/>
          </w:rPr>
          <w:fldChar w:fldCharType="separate"/>
        </w:r>
        <w:r>
          <w:rPr>
            <w:webHidden/>
          </w:rPr>
          <w:t>9</w:t>
        </w:r>
        <w:r w:rsidR="00D34837">
          <w:rPr>
            <w:webHidden/>
          </w:rPr>
          <w:fldChar w:fldCharType="end"/>
        </w:r>
      </w:hyperlink>
    </w:p>
    <w:p w14:paraId="431920C9" w14:textId="2DBE37F6" w:rsidR="00D34837" w:rsidRDefault="00472272">
      <w:pPr>
        <w:pStyle w:val="TOC2"/>
        <w:rPr>
          <w:rFonts w:asciiTheme="minorHAnsi" w:eastAsiaTheme="minorEastAsia" w:hAnsiTheme="minorHAnsi" w:cstheme="minorBidi"/>
          <w:b w:val="0"/>
          <w:i w:val="0"/>
          <w:sz w:val="22"/>
          <w:szCs w:val="22"/>
        </w:rPr>
      </w:pPr>
      <w:hyperlink w:anchor="_Toc535832778" w:history="1">
        <w:r w:rsidR="00D34837" w:rsidRPr="00CD5A1A">
          <w:rPr>
            <w:rStyle w:val="Hyperlink"/>
          </w:rPr>
          <w:t>5.1</w:t>
        </w:r>
        <w:r w:rsidR="00D34837">
          <w:rPr>
            <w:rFonts w:asciiTheme="minorHAnsi" w:eastAsiaTheme="minorEastAsia" w:hAnsiTheme="minorHAnsi" w:cstheme="minorBidi"/>
            <w:b w:val="0"/>
            <w:i w:val="0"/>
            <w:sz w:val="22"/>
            <w:szCs w:val="22"/>
          </w:rPr>
          <w:tab/>
        </w:r>
        <w:r w:rsidR="00D34837" w:rsidRPr="00CD5A1A">
          <w:rPr>
            <w:rStyle w:val="Hyperlink"/>
          </w:rPr>
          <w:t>The meaning of ‘education’ and ‘educational institution’</w:t>
        </w:r>
        <w:r w:rsidR="00D34837">
          <w:rPr>
            <w:webHidden/>
          </w:rPr>
          <w:tab/>
        </w:r>
        <w:r w:rsidR="00D34837">
          <w:rPr>
            <w:webHidden/>
          </w:rPr>
          <w:fldChar w:fldCharType="begin"/>
        </w:r>
        <w:r w:rsidR="00D34837">
          <w:rPr>
            <w:webHidden/>
          </w:rPr>
          <w:instrText xml:space="preserve"> PAGEREF _Toc535832778 \h </w:instrText>
        </w:r>
        <w:r w:rsidR="00D34837">
          <w:rPr>
            <w:webHidden/>
          </w:rPr>
        </w:r>
        <w:r w:rsidR="00D34837">
          <w:rPr>
            <w:webHidden/>
          </w:rPr>
          <w:fldChar w:fldCharType="separate"/>
        </w:r>
        <w:r>
          <w:rPr>
            <w:webHidden/>
          </w:rPr>
          <w:t>9</w:t>
        </w:r>
        <w:r w:rsidR="00D34837">
          <w:rPr>
            <w:webHidden/>
          </w:rPr>
          <w:fldChar w:fldCharType="end"/>
        </w:r>
      </w:hyperlink>
    </w:p>
    <w:p w14:paraId="360BA8E5" w14:textId="3BB0560D" w:rsidR="00D34837" w:rsidRDefault="00472272">
      <w:pPr>
        <w:pStyle w:val="TOC2"/>
        <w:rPr>
          <w:rFonts w:asciiTheme="minorHAnsi" w:eastAsiaTheme="minorEastAsia" w:hAnsiTheme="minorHAnsi" w:cstheme="minorBidi"/>
          <w:b w:val="0"/>
          <w:i w:val="0"/>
          <w:sz w:val="22"/>
          <w:szCs w:val="22"/>
        </w:rPr>
      </w:pPr>
      <w:hyperlink w:anchor="_Toc535832779" w:history="1">
        <w:r w:rsidR="00D34837" w:rsidRPr="00CD5A1A">
          <w:rPr>
            <w:rStyle w:val="Hyperlink"/>
          </w:rPr>
          <w:t>5.2</w:t>
        </w:r>
        <w:r w:rsidR="00D34837">
          <w:rPr>
            <w:rFonts w:asciiTheme="minorHAnsi" w:eastAsiaTheme="minorEastAsia" w:hAnsiTheme="minorHAnsi" w:cstheme="minorBidi"/>
            <w:b w:val="0"/>
            <w:i w:val="0"/>
            <w:sz w:val="22"/>
            <w:szCs w:val="22"/>
          </w:rPr>
          <w:tab/>
        </w:r>
        <w:r w:rsidR="00D34837" w:rsidRPr="00CD5A1A">
          <w:rPr>
            <w:rStyle w:val="Hyperlink"/>
          </w:rPr>
          <w:t>The ability of religious schools to teach and organise their affairs in accordance with their beliefs</w:t>
        </w:r>
        <w:r w:rsidR="00D34837">
          <w:rPr>
            <w:webHidden/>
          </w:rPr>
          <w:tab/>
        </w:r>
        <w:r w:rsidR="00D34837">
          <w:rPr>
            <w:webHidden/>
          </w:rPr>
          <w:fldChar w:fldCharType="begin"/>
        </w:r>
        <w:r w:rsidR="00D34837">
          <w:rPr>
            <w:webHidden/>
          </w:rPr>
          <w:instrText xml:space="preserve"> PAGEREF _Toc535832779 \h </w:instrText>
        </w:r>
        <w:r w:rsidR="00D34837">
          <w:rPr>
            <w:webHidden/>
          </w:rPr>
        </w:r>
        <w:r w:rsidR="00D34837">
          <w:rPr>
            <w:webHidden/>
          </w:rPr>
          <w:fldChar w:fldCharType="separate"/>
        </w:r>
        <w:r>
          <w:rPr>
            <w:webHidden/>
          </w:rPr>
          <w:t>11</w:t>
        </w:r>
        <w:r w:rsidR="00D34837">
          <w:rPr>
            <w:webHidden/>
          </w:rPr>
          <w:fldChar w:fldCharType="end"/>
        </w:r>
      </w:hyperlink>
    </w:p>
    <w:p w14:paraId="785B25EA" w14:textId="59967E28" w:rsidR="00D34837" w:rsidRDefault="00472272">
      <w:pPr>
        <w:pStyle w:val="TOC2"/>
        <w:rPr>
          <w:rFonts w:asciiTheme="minorHAnsi" w:eastAsiaTheme="minorEastAsia" w:hAnsiTheme="minorHAnsi" w:cstheme="minorBidi"/>
          <w:b w:val="0"/>
          <w:i w:val="0"/>
          <w:sz w:val="22"/>
          <w:szCs w:val="22"/>
        </w:rPr>
      </w:pPr>
      <w:hyperlink w:anchor="_Toc535832780" w:history="1">
        <w:r w:rsidR="00D34837" w:rsidRPr="00CD5A1A">
          <w:rPr>
            <w:rStyle w:val="Hyperlink"/>
          </w:rPr>
          <w:t>5.3</w:t>
        </w:r>
        <w:r w:rsidR="00D34837">
          <w:rPr>
            <w:rFonts w:asciiTheme="minorHAnsi" w:eastAsiaTheme="minorEastAsia" w:hAnsiTheme="minorHAnsi" w:cstheme="minorBidi"/>
            <w:b w:val="0"/>
            <w:i w:val="0"/>
            <w:sz w:val="22"/>
            <w:szCs w:val="22"/>
          </w:rPr>
          <w:tab/>
        </w:r>
        <w:r w:rsidR="00D34837" w:rsidRPr="00CD5A1A">
          <w:rPr>
            <w:rStyle w:val="Hyperlink"/>
          </w:rPr>
          <w:t>The ‘reasonableness’ test and the best interests of the child</w:t>
        </w:r>
        <w:r w:rsidR="00D34837">
          <w:rPr>
            <w:webHidden/>
          </w:rPr>
          <w:tab/>
        </w:r>
        <w:r w:rsidR="00D34837">
          <w:rPr>
            <w:webHidden/>
          </w:rPr>
          <w:fldChar w:fldCharType="begin"/>
        </w:r>
        <w:r w:rsidR="00D34837">
          <w:rPr>
            <w:webHidden/>
          </w:rPr>
          <w:instrText xml:space="preserve"> PAGEREF _Toc535832780 \h </w:instrText>
        </w:r>
        <w:r w:rsidR="00D34837">
          <w:rPr>
            <w:webHidden/>
          </w:rPr>
        </w:r>
        <w:r w:rsidR="00D34837">
          <w:rPr>
            <w:webHidden/>
          </w:rPr>
          <w:fldChar w:fldCharType="separate"/>
        </w:r>
        <w:r>
          <w:rPr>
            <w:webHidden/>
          </w:rPr>
          <w:t>12</w:t>
        </w:r>
        <w:r w:rsidR="00D34837">
          <w:rPr>
            <w:webHidden/>
          </w:rPr>
          <w:fldChar w:fldCharType="end"/>
        </w:r>
      </w:hyperlink>
    </w:p>
    <w:p w14:paraId="5BCA8235" w14:textId="30357F91" w:rsidR="00D34837" w:rsidRDefault="00472272">
      <w:pPr>
        <w:pStyle w:val="TOC2"/>
        <w:rPr>
          <w:rFonts w:asciiTheme="minorHAnsi" w:eastAsiaTheme="minorEastAsia" w:hAnsiTheme="minorHAnsi" w:cstheme="minorBidi"/>
          <w:b w:val="0"/>
          <w:i w:val="0"/>
          <w:sz w:val="22"/>
          <w:szCs w:val="22"/>
        </w:rPr>
      </w:pPr>
      <w:hyperlink w:anchor="_Toc535832781" w:history="1">
        <w:r w:rsidR="00D34837" w:rsidRPr="00CD5A1A">
          <w:rPr>
            <w:rStyle w:val="Hyperlink"/>
          </w:rPr>
          <w:t>5.4</w:t>
        </w:r>
        <w:r w:rsidR="00D34837">
          <w:rPr>
            <w:rFonts w:asciiTheme="minorHAnsi" w:eastAsiaTheme="minorEastAsia" w:hAnsiTheme="minorHAnsi" w:cstheme="minorBidi"/>
            <w:b w:val="0"/>
            <w:i w:val="0"/>
            <w:sz w:val="22"/>
            <w:szCs w:val="22"/>
          </w:rPr>
          <w:tab/>
        </w:r>
        <w:r w:rsidR="00D34837" w:rsidRPr="00CD5A1A">
          <w:rPr>
            <w:rStyle w:val="Hyperlink"/>
          </w:rPr>
          <w:t>Discrimination against employees of educational institutions</w:t>
        </w:r>
        <w:r w:rsidR="00D34837">
          <w:rPr>
            <w:webHidden/>
          </w:rPr>
          <w:tab/>
        </w:r>
        <w:r w:rsidR="00D34837">
          <w:rPr>
            <w:webHidden/>
          </w:rPr>
          <w:fldChar w:fldCharType="begin"/>
        </w:r>
        <w:r w:rsidR="00D34837">
          <w:rPr>
            <w:webHidden/>
          </w:rPr>
          <w:instrText xml:space="preserve"> PAGEREF _Toc535832781 \h </w:instrText>
        </w:r>
        <w:r w:rsidR="00D34837">
          <w:rPr>
            <w:webHidden/>
          </w:rPr>
        </w:r>
        <w:r w:rsidR="00D34837">
          <w:rPr>
            <w:webHidden/>
          </w:rPr>
          <w:fldChar w:fldCharType="separate"/>
        </w:r>
        <w:r>
          <w:rPr>
            <w:webHidden/>
          </w:rPr>
          <w:t>13</w:t>
        </w:r>
        <w:r w:rsidR="00D34837">
          <w:rPr>
            <w:webHidden/>
          </w:rPr>
          <w:fldChar w:fldCharType="end"/>
        </w:r>
      </w:hyperlink>
    </w:p>
    <w:p w14:paraId="02F2235E" w14:textId="2F3BB95B" w:rsidR="00D34837" w:rsidRDefault="00472272">
      <w:pPr>
        <w:pStyle w:val="TOC1"/>
        <w:rPr>
          <w:rFonts w:asciiTheme="minorHAnsi" w:eastAsiaTheme="minorEastAsia" w:hAnsiTheme="minorHAnsi" w:cstheme="minorBidi"/>
          <w:b w:val="0"/>
          <w:sz w:val="22"/>
          <w:szCs w:val="22"/>
        </w:rPr>
      </w:pPr>
      <w:hyperlink w:anchor="_Toc535832782" w:history="1">
        <w:r w:rsidR="00D34837" w:rsidRPr="00CD5A1A">
          <w:rPr>
            <w:rStyle w:val="Hyperlink"/>
          </w:rPr>
          <w:t>6</w:t>
        </w:r>
        <w:r w:rsidR="00D34837">
          <w:rPr>
            <w:rFonts w:asciiTheme="minorHAnsi" w:eastAsiaTheme="minorEastAsia" w:hAnsiTheme="minorHAnsi" w:cstheme="minorBidi"/>
            <w:b w:val="0"/>
            <w:sz w:val="22"/>
            <w:szCs w:val="22"/>
          </w:rPr>
          <w:tab/>
        </w:r>
        <w:r w:rsidR="00D34837" w:rsidRPr="00CD5A1A">
          <w:rPr>
            <w:rStyle w:val="Hyperlink"/>
          </w:rPr>
          <w:t>Further reforms</w:t>
        </w:r>
        <w:r w:rsidR="00D34837">
          <w:rPr>
            <w:webHidden/>
          </w:rPr>
          <w:tab/>
        </w:r>
        <w:r w:rsidR="00D34837">
          <w:rPr>
            <w:webHidden/>
          </w:rPr>
          <w:fldChar w:fldCharType="begin"/>
        </w:r>
        <w:r w:rsidR="00D34837">
          <w:rPr>
            <w:webHidden/>
          </w:rPr>
          <w:instrText xml:space="preserve"> PAGEREF _Toc535832782 \h </w:instrText>
        </w:r>
        <w:r w:rsidR="00D34837">
          <w:rPr>
            <w:webHidden/>
          </w:rPr>
        </w:r>
        <w:r w:rsidR="00D34837">
          <w:rPr>
            <w:webHidden/>
          </w:rPr>
          <w:fldChar w:fldCharType="separate"/>
        </w:r>
        <w:r>
          <w:rPr>
            <w:webHidden/>
          </w:rPr>
          <w:t>14</w:t>
        </w:r>
        <w:r w:rsidR="00D34837">
          <w:rPr>
            <w:webHidden/>
          </w:rPr>
          <w:fldChar w:fldCharType="end"/>
        </w:r>
      </w:hyperlink>
    </w:p>
    <w:p w14:paraId="1E438725" w14:textId="13C9F798" w:rsidR="00D34837" w:rsidRDefault="00472272">
      <w:pPr>
        <w:pStyle w:val="TOC2"/>
        <w:rPr>
          <w:rFonts w:asciiTheme="minorHAnsi" w:eastAsiaTheme="minorEastAsia" w:hAnsiTheme="minorHAnsi" w:cstheme="minorBidi"/>
          <w:b w:val="0"/>
          <w:i w:val="0"/>
          <w:sz w:val="22"/>
          <w:szCs w:val="22"/>
        </w:rPr>
      </w:pPr>
      <w:hyperlink w:anchor="_Toc535832783" w:history="1">
        <w:r w:rsidR="00D34837" w:rsidRPr="00CD5A1A">
          <w:rPr>
            <w:rStyle w:val="Hyperlink"/>
          </w:rPr>
          <w:t>6.1</w:t>
        </w:r>
        <w:r w:rsidR="00D34837">
          <w:rPr>
            <w:rFonts w:asciiTheme="minorHAnsi" w:eastAsiaTheme="minorEastAsia" w:hAnsiTheme="minorHAnsi" w:cstheme="minorBidi"/>
            <w:b w:val="0"/>
            <w:i w:val="0"/>
            <w:sz w:val="22"/>
            <w:szCs w:val="22"/>
          </w:rPr>
          <w:tab/>
        </w:r>
        <w:r w:rsidR="00D34837" w:rsidRPr="00CD5A1A">
          <w:rPr>
            <w:rStyle w:val="Hyperlink"/>
          </w:rPr>
          <w:t>Legislative reforms</w:t>
        </w:r>
        <w:r w:rsidR="00D34837">
          <w:rPr>
            <w:webHidden/>
          </w:rPr>
          <w:tab/>
        </w:r>
        <w:r w:rsidR="00D34837">
          <w:rPr>
            <w:webHidden/>
          </w:rPr>
          <w:fldChar w:fldCharType="begin"/>
        </w:r>
        <w:r w:rsidR="00D34837">
          <w:rPr>
            <w:webHidden/>
          </w:rPr>
          <w:instrText xml:space="preserve"> PAGEREF _Toc535832783 \h </w:instrText>
        </w:r>
        <w:r w:rsidR="00D34837">
          <w:rPr>
            <w:webHidden/>
          </w:rPr>
        </w:r>
        <w:r w:rsidR="00D34837">
          <w:rPr>
            <w:webHidden/>
          </w:rPr>
          <w:fldChar w:fldCharType="separate"/>
        </w:r>
        <w:r>
          <w:rPr>
            <w:webHidden/>
          </w:rPr>
          <w:t>14</w:t>
        </w:r>
        <w:r w:rsidR="00D34837">
          <w:rPr>
            <w:webHidden/>
          </w:rPr>
          <w:fldChar w:fldCharType="end"/>
        </w:r>
      </w:hyperlink>
    </w:p>
    <w:p w14:paraId="1FA4608D" w14:textId="2D1F90C8" w:rsidR="00D34837" w:rsidRDefault="00472272">
      <w:pPr>
        <w:pStyle w:val="TOC2"/>
        <w:rPr>
          <w:rFonts w:asciiTheme="minorHAnsi" w:eastAsiaTheme="minorEastAsia" w:hAnsiTheme="minorHAnsi" w:cstheme="minorBidi"/>
          <w:b w:val="0"/>
          <w:i w:val="0"/>
          <w:sz w:val="22"/>
          <w:szCs w:val="22"/>
        </w:rPr>
      </w:pPr>
      <w:hyperlink w:anchor="_Toc535832784" w:history="1">
        <w:r w:rsidR="00D34837" w:rsidRPr="00CD5A1A">
          <w:rPr>
            <w:rStyle w:val="Hyperlink"/>
          </w:rPr>
          <w:t>6.2</w:t>
        </w:r>
        <w:r w:rsidR="00D34837">
          <w:rPr>
            <w:rFonts w:asciiTheme="minorHAnsi" w:eastAsiaTheme="minorEastAsia" w:hAnsiTheme="minorHAnsi" w:cstheme="minorBidi"/>
            <w:b w:val="0"/>
            <w:i w:val="0"/>
            <w:sz w:val="22"/>
            <w:szCs w:val="22"/>
          </w:rPr>
          <w:tab/>
        </w:r>
        <w:r w:rsidR="00D34837" w:rsidRPr="00CD5A1A">
          <w:rPr>
            <w:rStyle w:val="Hyperlink"/>
          </w:rPr>
          <w:t>Non-legislative reforms</w:t>
        </w:r>
        <w:r w:rsidR="00D34837">
          <w:rPr>
            <w:webHidden/>
          </w:rPr>
          <w:tab/>
        </w:r>
        <w:r w:rsidR="00D34837">
          <w:rPr>
            <w:webHidden/>
          </w:rPr>
          <w:fldChar w:fldCharType="begin"/>
        </w:r>
        <w:r w:rsidR="00D34837">
          <w:rPr>
            <w:webHidden/>
          </w:rPr>
          <w:instrText xml:space="preserve"> PAGEREF _Toc535832784 \h </w:instrText>
        </w:r>
        <w:r w:rsidR="00D34837">
          <w:rPr>
            <w:webHidden/>
          </w:rPr>
        </w:r>
        <w:r w:rsidR="00D34837">
          <w:rPr>
            <w:webHidden/>
          </w:rPr>
          <w:fldChar w:fldCharType="separate"/>
        </w:r>
        <w:r>
          <w:rPr>
            <w:webHidden/>
          </w:rPr>
          <w:t>15</w:t>
        </w:r>
        <w:r w:rsidR="00D34837">
          <w:rPr>
            <w:webHidden/>
          </w:rPr>
          <w:fldChar w:fldCharType="end"/>
        </w:r>
      </w:hyperlink>
    </w:p>
    <w:p w14:paraId="0018BDFE" w14:textId="7C042112" w:rsidR="00D34837" w:rsidRDefault="00472272">
      <w:pPr>
        <w:pStyle w:val="TOC1"/>
        <w:rPr>
          <w:rFonts w:asciiTheme="minorHAnsi" w:eastAsiaTheme="minorEastAsia" w:hAnsiTheme="minorHAnsi" w:cstheme="minorBidi"/>
          <w:b w:val="0"/>
          <w:sz w:val="22"/>
          <w:szCs w:val="22"/>
        </w:rPr>
      </w:pPr>
      <w:hyperlink w:anchor="_Toc535832785" w:history="1">
        <w:r w:rsidR="00D34837" w:rsidRPr="00CD5A1A">
          <w:rPr>
            <w:rStyle w:val="Hyperlink"/>
          </w:rPr>
          <w:t>7</w:t>
        </w:r>
        <w:r w:rsidR="00D34837">
          <w:rPr>
            <w:rFonts w:asciiTheme="minorHAnsi" w:eastAsiaTheme="minorEastAsia" w:hAnsiTheme="minorHAnsi" w:cstheme="minorBidi"/>
            <w:b w:val="0"/>
            <w:sz w:val="22"/>
            <w:szCs w:val="22"/>
          </w:rPr>
          <w:tab/>
        </w:r>
        <w:r w:rsidR="00D34837" w:rsidRPr="00CD5A1A">
          <w:rPr>
            <w:rStyle w:val="Hyperlink"/>
          </w:rPr>
          <w:t>Conclusion</w:t>
        </w:r>
        <w:r w:rsidR="00D34837">
          <w:rPr>
            <w:webHidden/>
          </w:rPr>
          <w:tab/>
        </w:r>
        <w:r w:rsidR="00D34837">
          <w:rPr>
            <w:webHidden/>
          </w:rPr>
          <w:fldChar w:fldCharType="begin"/>
        </w:r>
        <w:r w:rsidR="00D34837">
          <w:rPr>
            <w:webHidden/>
          </w:rPr>
          <w:instrText xml:space="preserve"> PAGEREF _Toc535832785 \h </w:instrText>
        </w:r>
        <w:r w:rsidR="00D34837">
          <w:rPr>
            <w:webHidden/>
          </w:rPr>
        </w:r>
        <w:r w:rsidR="00D34837">
          <w:rPr>
            <w:webHidden/>
          </w:rPr>
          <w:fldChar w:fldCharType="separate"/>
        </w:r>
        <w:r>
          <w:rPr>
            <w:webHidden/>
          </w:rPr>
          <w:t>15</w:t>
        </w:r>
        <w:r w:rsidR="00D34837">
          <w:rPr>
            <w:webHidden/>
          </w:rPr>
          <w:fldChar w:fldCharType="end"/>
        </w:r>
      </w:hyperlink>
    </w:p>
    <w:p w14:paraId="36C66616" w14:textId="06F63ADF" w:rsidR="00D3112F" w:rsidRDefault="000B5B68" w:rsidP="0078772F">
      <w:pPr>
        <w:pStyle w:val="Heading1"/>
        <w:numPr>
          <w:ilvl w:val="0"/>
          <w:numId w:val="0"/>
        </w:numPr>
        <w:ind w:left="851"/>
      </w:pPr>
      <w:r w:rsidRPr="000465F1">
        <w:fldChar w:fldCharType="end"/>
      </w:r>
      <w:bookmarkStart w:id="16" w:name="_Toc207761830"/>
      <w:bookmarkStart w:id="17" w:name="_Toc209578266"/>
      <w:bookmarkStart w:id="18" w:name="_Toc209941766"/>
    </w:p>
    <w:p w14:paraId="67E78337" w14:textId="77777777" w:rsidR="00D3112F" w:rsidRDefault="00D3112F">
      <w:pPr>
        <w:spacing w:before="0" w:after="0"/>
        <w:rPr>
          <w:b/>
          <w:bCs/>
          <w:sz w:val="36"/>
          <w:szCs w:val="28"/>
        </w:rPr>
      </w:pPr>
      <w:r>
        <w:br w:type="page"/>
      </w:r>
    </w:p>
    <w:p w14:paraId="29CBA6AE" w14:textId="744721C5" w:rsidR="00510390" w:rsidRDefault="009F2764" w:rsidP="00A27ABE">
      <w:pPr>
        <w:pStyle w:val="Heading1"/>
      </w:pPr>
      <w:bookmarkStart w:id="19" w:name="_Toc535832769"/>
      <w:r w:rsidRPr="009E08D1">
        <w:lastRenderedPageBreak/>
        <w:t>Introduction</w:t>
      </w:r>
      <w:bookmarkEnd w:id="16"/>
      <w:bookmarkEnd w:id="17"/>
      <w:bookmarkEnd w:id="18"/>
      <w:bookmarkEnd w:id="19"/>
    </w:p>
    <w:p w14:paraId="04C61C7C" w14:textId="77777777" w:rsidR="005C02DA" w:rsidRDefault="005C02DA" w:rsidP="00CD03F7">
      <w:pPr>
        <w:pStyle w:val="ListNumber"/>
      </w:pPr>
      <w:r>
        <w:t xml:space="preserve">The Australian Human Rights Commission </w:t>
      </w:r>
      <w:r w:rsidR="000072E9">
        <w:t>(</w:t>
      </w:r>
      <w:r w:rsidR="00D45619">
        <w:t xml:space="preserve">the </w:t>
      </w:r>
      <w:r w:rsidR="000072E9">
        <w:t xml:space="preserve">Commission) </w:t>
      </w:r>
      <w:r>
        <w:t>welcomes the opportunity to make this submission to the Senate Legal and Constitutional Affairs Legislation Committee</w:t>
      </w:r>
      <w:r w:rsidR="003620BD">
        <w:t xml:space="preserve"> Inquiry into the Sex Discrimination Amendment (Removing Discrimination Against Students) Bill 2018</w:t>
      </w:r>
      <w:r w:rsidR="007C4FA5">
        <w:t xml:space="preserve"> (t</w:t>
      </w:r>
      <w:r w:rsidR="00852787">
        <w:t>he Bill)</w:t>
      </w:r>
      <w:r>
        <w:t>.</w:t>
      </w:r>
    </w:p>
    <w:p w14:paraId="3F3F6829" w14:textId="4852E19D" w:rsidR="005C02DA" w:rsidRDefault="005C02DA" w:rsidP="00CD03F7">
      <w:pPr>
        <w:pStyle w:val="ListNumber"/>
      </w:pPr>
      <w:r>
        <w:t>In October 2018</w:t>
      </w:r>
      <w:r w:rsidR="005B1F2C">
        <w:t>,</w:t>
      </w:r>
      <w:r>
        <w:t xml:space="preserve"> the Government, Opposition and minor parties </w:t>
      </w:r>
      <w:r w:rsidR="00CD635A">
        <w:t xml:space="preserve">all </w:t>
      </w:r>
      <w:r>
        <w:t>publicly committed to</w:t>
      </w:r>
      <w:r w:rsidR="00470970">
        <w:t xml:space="preserve"> amend the </w:t>
      </w:r>
      <w:r w:rsidR="00470970" w:rsidRPr="00EE5DB8">
        <w:rPr>
          <w:i/>
        </w:rPr>
        <w:t>Sex Discrimination Act 1984</w:t>
      </w:r>
      <w:r w:rsidR="00470970">
        <w:t xml:space="preserve"> (</w:t>
      </w:r>
      <w:proofErr w:type="spellStart"/>
      <w:r w:rsidR="00470970">
        <w:t>Cth</w:t>
      </w:r>
      <w:proofErr w:type="spellEnd"/>
      <w:r w:rsidR="00470970">
        <w:t xml:space="preserve">) </w:t>
      </w:r>
      <w:r w:rsidR="00A902C2">
        <w:t xml:space="preserve">(the SDA) </w:t>
      </w:r>
      <w:r w:rsidR="00470970">
        <w:t>to</w:t>
      </w:r>
      <w:r>
        <w:t xml:space="preserve"> remove the ability for religious schools to discriminate against students on the basis of </w:t>
      </w:r>
      <w:r w:rsidR="00AB760C">
        <w:t xml:space="preserve">their </w:t>
      </w:r>
      <w:r w:rsidR="00470970">
        <w:t>sexual orientat</w:t>
      </w:r>
      <w:r w:rsidR="00852787">
        <w:t>ion</w:t>
      </w:r>
      <w:r w:rsidR="00473A9C">
        <w:t xml:space="preserve"> or</w:t>
      </w:r>
      <w:r w:rsidR="00852787">
        <w:t xml:space="preserve"> </w:t>
      </w:r>
      <w:r w:rsidR="00470970">
        <w:t>gender identit</w:t>
      </w:r>
      <w:r w:rsidR="00852787">
        <w:t>y.</w:t>
      </w:r>
      <w:r w:rsidR="000960D6">
        <w:rPr>
          <w:rStyle w:val="EndnoteReference"/>
        </w:rPr>
        <w:endnoteReference w:id="1"/>
      </w:r>
    </w:p>
    <w:p w14:paraId="7E8BBFB0" w14:textId="77777777" w:rsidR="00470970" w:rsidRDefault="00470970" w:rsidP="00CD03F7">
      <w:pPr>
        <w:pStyle w:val="ListNumber"/>
      </w:pPr>
      <w:r>
        <w:t>The Commission supports this agreed objective.</w:t>
      </w:r>
    </w:p>
    <w:p w14:paraId="5245B820" w14:textId="4158D9E4" w:rsidR="003620BD" w:rsidRDefault="0051627F" w:rsidP="00CD03F7">
      <w:pPr>
        <w:pStyle w:val="ListNumber"/>
      </w:pPr>
      <w:r>
        <w:t xml:space="preserve">Human rights are universal, </w:t>
      </w:r>
      <w:r w:rsidR="002F7B88">
        <w:t xml:space="preserve">inalienable, indivisible, interdependent and interrelated.  As such, our law must accommodate all the human rights that are engaged.  </w:t>
      </w:r>
      <w:r w:rsidR="00160A78">
        <w:t xml:space="preserve">Particularly relevant in </w:t>
      </w:r>
      <w:r w:rsidR="00281963">
        <w:t>the context of religious schools</w:t>
      </w:r>
      <w:r w:rsidR="00160A78">
        <w:t xml:space="preserve"> are </w:t>
      </w:r>
      <w:r w:rsidR="002F7B88">
        <w:t>the rights of the child, the right to be free from discrimination</w:t>
      </w:r>
      <w:r w:rsidR="00A71CCB">
        <w:t>, the rights of young parents and their children</w:t>
      </w:r>
      <w:r w:rsidR="002F7B88">
        <w:t xml:space="preserve"> and the right to freedom of religion.</w:t>
      </w:r>
    </w:p>
    <w:p w14:paraId="57B580C2" w14:textId="024A84A7" w:rsidR="001344ED" w:rsidRDefault="00A168DE" w:rsidP="00CD03F7">
      <w:pPr>
        <w:pStyle w:val="ListNumber"/>
      </w:pPr>
      <w:r>
        <w:t xml:space="preserve">The Commission </w:t>
      </w:r>
      <w:r w:rsidR="00160A78">
        <w:t xml:space="preserve">considers that </w:t>
      </w:r>
      <w:r>
        <w:t>the Bill</w:t>
      </w:r>
      <w:r w:rsidR="00A902C2">
        <w:t xml:space="preserve"> </w:t>
      </w:r>
      <w:r w:rsidR="00160A78">
        <w:t xml:space="preserve">would </w:t>
      </w:r>
      <w:r>
        <w:t>achieve the stated objective</w:t>
      </w:r>
      <w:r w:rsidR="003E0CB4">
        <w:t>,</w:t>
      </w:r>
      <w:r w:rsidR="00160A78">
        <w:t xml:space="preserve"> by</w:t>
      </w:r>
      <w:r w:rsidR="003E0CB4">
        <w:t xml:space="preserve"> protect</w:t>
      </w:r>
      <w:r w:rsidR="00160A78">
        <w:t>ing</w:t>
      </w:r>
      <w:r w:rsidR="003E0CB4">
        <w:t xml:space="preserve"> the rights of children</w:t>
      </w:r>
      <w:r w:rsidR="00160A78">
        <w:t xml:space="preserve"> and </w:t>
      </w:r>
      <w:r w:rsidR="008D2006">
        <w:t xml:space="preserve">the right to </w:t>
      </w:r>
      <w:r w:rsidR="00160A78">
        <w:t>equality</w:t>
      </w:r>
      <w:r w:rsidR="008D2006">
        <w:t xml:space="preserve"> and non-discrimination</w:t>
      </w:r>
      <w:r w:rsidR="003E0CB4">
        <w:t xml:space="preserve">, </w:t>
      </w:r>
      <w:r w:rsidR="00160A78">
        <w:t xml:space="preserve">while also </w:t>
      </w:r>
      <w:r w:rsidR="003E0CB4">
        <w:t>respect</w:t>
      </w:r>
      <w:r w:rsidR="00160A78">
        <w:t>ing</w:t>
      </w:r>
      <w:r>
        <w:t xml:space="preserve"> the right to freedom of religion.</w:t>
      </w:r>
      <w:r w:rsidR="00A902C2">
        <w:t xml:space="preserve"> </w:t>
      </w:r>
      <w:r w:rsidR="001344ED">
        <w:t>A number of amendments have been proposed</w:t>
      </w:r>
      <w:r w:rsidR="008D2006">
        <w:t xml:space="preserve"> to the Bill</w:t>
      </w:r>
      <w:r w:rsidR="001344ED">
        <w:t xml:space="preserve">. </w:t>
      </w:r>
      <w:r w:rsidR="00EE1A08">
        <w:t>Of these, t</w:t>
      </w:r>
      <w:r w:rsidR="00A902C2">
        <w:t>he Commission considers that</w:t>
      </w:r>
      <w:r w:rsidR="001344ED">
        <w:t xml:space="preserve"> </w:t>
      </w:r>
      <w:r w:rsidR="00213AEF">
        <w:t xml:space="preserve">the </w:t>
      </w:r>
      <w:r w:rsidR="00125557">
        <w:t>amendment</w:t>
      </w:r>
      <w:r w:rsidR="00213AEF">
        <w:t xml:space="preserve">s proposed </w:t>
      </w:r>
      <w:r w:rsidR="008D2006">
        <w:t xml:space="preserve">by Senator Patrick, on behalf of the Centre Alliance, </w:t>
      </w:r>
      <w:r w:rsidR="00213AEF">
        <w:t>in Sheet</w:t>
      </w:r>
      <w:r w:rsidR="00125557">
        <w:t xml:space="preserve"> 8614</w:t>
      </w:r>
      <w:r w:rsidR="00EE1A08">
        <w:t xml:space="preserve"> would helpfully clarify </w:t>
      </w:r>
      <w:r w:rsidR="001344ED">
        <w:t xml:space="preserve">the operation of section 37 of the </w:t>
      </w:r>
      <w:r w:rsidR="008F2FF0">
        <w:t>SDA</w:t>
      </w:r>
      <w:r w:rsidR="001344ED">
        <w:t>.</w:t>
      </w:r>
    </w:p>
    <w:p w14:paraId="69198A36" w14:textId="65ACE3D9" w:rsidR="00A168DE" w:rsidRDefault="00A168DE" w:rsidP="00CD03F7">
      <w:pPr>
        <w:pStyle w:val="ListNumber"/>
      </w:pPr>
      <w:r>
        <w:t>This submission examine</w:t>
      </w:r>
      <w:r w:rsidR="005B1F2C">
        <w:t>s</w:t>
      </w:r>
      <w:r>
        <w:t xml:space="preserve"> the rights engaged by the Bill</w:t>
      </w:r>
      <w:r w:rsidR="003E0CB4">
        <w:t xml:space="preserve"> and</w:t>
      </w:r>
      <w:r w:rsidR="00E61219">
        <w:t xml:space="preserve"> the</w:t>
      </w:r>
      <w:r w:rsidR="003E0CB4">
        <w:t xml:space="preserve"> </w:t>
      </w:r>
      <w:r>
        <w:t>proposed amendments.</w:t>
      </w:r>
      <w:r w:rsidR="00643E9E">
        <w:t xml:space="preserve">  Finally, it </w:t>
      </w:r>
      <w:r w:rsidR="00EE1A08">
        <w:t>considers</w:t>
      </w:r>
      <w:r w:rsidR="0076567C">
        <w:t xml:space="preserve"> this reform in the context of a comprehensive approach to protecting religious freedom while ensuring accommodation of all </w:t>
      </w:r>
      <w:r w:rsidR="003E0CB4">
        <w:t xml:space="preserve">human </w:t>
      </w:r>
      <w:r w:rsidR="0076567C">
        <w:t>rights.</w:t>
      </w:r>
    </w:p>
    <w:p w14:paraId="34ADE2B6" w14:textId="247AFDB4" w:rsidR="00CD6FB2" w:rsidRDefault="00CD6FB2" w:rsidP="0078772F">
      <w:pPr>
        <w:pStyle w:val="Heading1"/>
      </w:pPr>
      <w:bookmarkStart w:id="20" w:name="_Toc535832770"/>
      <w:r>
        <w:t>Recommendation</w:t>
      </w:r>
      <w:bookmarkEnd w:id="20"/>
    </w:p>
    <w:p w14:paraId="633B9651" w14:textId="1097A130" w:rsidR="004006D2" w:rsidRPr="004006D2" w:rsidRDefault="004006D2" w:rsidP="004006D2">
      <w:pPr>
        <w:pStyle w:val="ListNumber"/>
      </w:pPr>
      <w:r w:rsidRPr="004006D2">
        <w:t>The Commission</w:t>
      </w:r>
      <w:r>
        <w:t xml:space="preserve"> recommends that the </w:t>
      </w:r>
      <w:r w:rsidRPr="004006D2">
        <w:t xml:space="preserve">Bill </w:t>
      </w:r>
      <w:r>
        <w:t xml:space="preserve">be passed </w:t>
      </w:r>
      <w:r w:rsidRPr="004006D2">
        <w:t>with the adoption of the amendment in Sheet 8614.</w:t>
      </w:r>
    </w:p>
    <w:p w14:paraId="13D81D80" w14:textId="77777777" w:rsidR="00BC2673" w:rsidRDefault="00BC2673" w:rsidP="001F06E5">
      <w:pPr>
        <w:pStyle w:val="Heading1"/>
      </w:pPr>
      <w:bookmarkStart w:id="21" w:name="_Toc535244918"/>
      <w:bookmarkStart w:id="22" w:name="_Toc535832771"/>
      <w:bookmarkEnd w:id="21"/>
      <w:r>
        <w:lastRenderedPageBreak/>
        <w:t>Human rights engaged by this Bill</w:t>
      </w:r>
      <w:bookmarkEnd w:id="22"/>
    </w:p>
    <w:p w14:paraId="64F06FD8" w14:textId="77777777" w:rsidR="00470970" w:rsidRDefault="00BC2673" w:rsidP="00BC2673">
      <w:pPr>
        <w:pStyle w:val="Heading2"/>
      </w:pPr>
      <w:bookmarkStart w:id="23" w:name="_Toc535832772"/>
      <w:r>
        <w:t>The right to freedom of religion</w:t>
      </w:r>
      <w:bookmarkEnd w:id="23"/>
    </w:p>
    <w:p w14:paraId="76FFA215" w14:textId="77777777" w:rsidR="00BC2673" w:rsidRDefault="00BC2673" w:rsidP="00CD03F7">
      <w:pPr>
        <w:pStyle w:val="ListNumber"/>
      </w:pPr>
      <w:r>
        <w:t>The right to freedom of thought, conscience and religion is principally protected in</w:t>
      </w:r>
      <w:r w:rsidR="00160A78">
        <w:t xml:space="preserve"> Article 18 of</w:t>
      </w:r>
      <w:r>
        <w:t xml:space="preserve"> the </w:t>
      </w:r>
      <w:r w:rsidRPr="00A51C07">
        <w:rPr>
          <w:i/>
        </w:rPr>
        <w:t>International Covenant on Civil and Political Rights</w:t>
      </w:r>
      <w:r>
        <w:t xml:space="preserve"> (ICCPR)</w:t>
      </w:r>
      <w:r w:rsidR="00160A78">
        <w:t>,</w:t>
      </w:r>
      <w:r>
        <w:t xml:space="preserve"> which provides that:</w:t>
      </w:r>
    </w:p>
    <w:p w14:paraId="47FA000E" w14:textId="67664334" w:rsidR="008C06AB" w:rsidRPr="00A51C07" w:rsidRDefault="008C06AB" w:rsidP="003F04CD">
      <w:pPr>
        <w:pStyle w:val="ListBullet"/>
        <w:numPr>
          <w:ilvl w:val="0"/>
          <w:numId w:val="16"/>
        </w:numPr>
        <w:ind w:left="1560"/>
        <w:rPr>
          <w:sz w:val="22"/>
          <w:szCs w:val="20"/>
        </w:rPr>
      </w:pPr>
      <w:r w:rsidRPr="00A51C07">
        <w:rPr>
          <w:sz w:val="22"/>
          <w:szCs w:val="20"/>
        </w:rPr>
        <w:t xml:space="preserve">Everyone shall have the right to freedom of thought, conscience and religion.  This right shall include the freedom to have or adopt a religion </w:t>
      </w:r>
      <w:r w:rsidR="00CB10A6">
        <w:rPr>
          <w:sz w:val="22"/>
          <w:szCs w:val="20"/>
        </w:rPr>
        <w:t xml:space="preserve">or belief </w:t>
      </w:r>
      <w:r w:rsidRPr="00A51C07">
        <w:rPr>
          <w:sz w:val="22"/>
          <w:szCs w:val="20"/>
        </w:rPr>
        <w:t xml:space="preserve">of his choice, and freedom, either individually or in </w:t>
      </w:r>
      <w:r w:rsidR="00CB10A6">
        <w:rPr>
          <w:sz w:val="22"/>
          <w:szCs w:val="20"/>
        </w:rPr>
        <w:t xml:space="preserve">community </w:t>
      </w:r>
      <w:r w:rsidRPr="00A51C07">
        <w:rPr>
          <w:sz w:val="22"/>
          <w:szCs w:val="20"/>
        </w:rPr>
        <w:t>with others and in public or private, to manifest his religion or belief in worship, observance, practice and teaching.</w:t>
      </w:r>
    </w:p>
    <w:p w14:paraId="5CE0FFD0" w14:textId="77777777" w:rsidR="008C06AB" w:rsidRPr="00A51C07" w:rsidRDefault="008C06AB" w:rsidP="003F04CD">
      <w:pPr>
        <w:pStyle w:val="ListBullet"/>
        <w:numPr>
          <w:ilvl w:val="0"/>
          <w:numId w:val="16"/>
        </w:numPr>
        <w:ind w:left="1560"/>
        <w:rPr>
          <w:sz w:val="22"/>
          <w:szCs w:val="20"/>
        </w:rPr>
      </w:pPr>
      <w:r w:rsidRPr="00A51C07">
        <w:rPr>
          <w:sz w:val="22"/>
          <w:szCs w:val="20"/>
        </w:rPr>
        <w:t>No-one shall be subject to coercion which would impair his freedom to have or adopt a religion or belief of his choice.</w:t>
      </w:r>
    </w:p>
    <w:p w14:paraId="3EC2A987" w14:textId="77777777" w:rsidR="008C06AB" w:rsidRPr="00A51C07" w:rsidRDefault="008C06AB" w:rsidP="003F04CD">
      <w:pPr>
        <w:pStyle w:val="ListBullet"/>
        <w:numPr>
          <w:ilvl w:val="0"/>
          <w:numId w:val="16"/>
        </w:numPr>
        <w:ind w:left="1560"/>
        <w:rPr>
          <w:sz w:val="22"/>
          <w:szCs w:val="20"/>
        </w:rPr>
      </w:pPr>
      <w:r w:rsidRPr="00A51C07">
        <w:rPr>
          <w:sz w:val="22"/>
          <w:szCs w:val="20"/>
        </w:rPr>
        <w:t>Freedom to m</w:t>
      </w:r>
      <w:r w:rsidR="005F4FA0" w:rsidRPr="00A51C07">
        <w:rPr>
          <w:sz w:val="22"/>
          <w:szCs w:val="20"/>
        </w:rPr>
        <w:t xml:space="preserve">anifest one's religion or beliefs </w:t>
      </w:r>
      <w:r w:rsidR="00A97FAC" w:rsidRPr="00A51C07">
        <w:rPr>
          <w:sz w:val="22"/>
          <w:szCs w:val="20"/>
        </w:rPr>
        <w:t>may be subject only to such limitations as are prescribed by law and are necessary to protect public saf</w:t>
      </w:r>
      <w:r w:rsidR="00900D75" w:rsidRPr="00A51C07">
        <w:rPr>
          <w:sz w:val="22"/>
          <w:szCs w:val="20"/>
        </w:rPr>
        <w:t>ety, order, health or morals, or</w:t>
      </w:r>
      <w:r w:rsidR="00A97FAC" w:rsidRPr="00A51C07">
        <w:rPr>
          <w:sz w:val="22"/>
          <w:szCs w:val="20"/>
        </w:rPr>
        <w:t xml:space="preserve"> the fundamental rights and freedoms of others.</w:t>
      </w:r>
    </w:p>
    <w:p w14:paraId="4CEE6726" w14:textId="592D1D12" w:rsidR="00A97FAC" w:rsidRDefault="00A97FAC" w:rsidP="003F04CD">
      <w:pPr>
        <w:pStyle w:val="ListBullet"/>
        <w:numPr>
          <w:ilvl w:val="0"/>
          <w:numId w:val="16"/>
        </w:numPr>
        <w:ind w:left="1560"/>
      </w:pPr>
      <w:r w:rsidRPr="00A51C07">
        <w:rPr>
          <w:sz w:val="22"/>
          <w:szCs w:val="20"/>
        </w:rPr>
        <w:t xml:space="preserve">The States Parties to the present Covenant undertake to have respect for the </w:t>
      </w:r>
      <w:r w:rsidR="00CB10A6">
        <w:rPr>
          <w:sz w:val="22"/>
          <w:szCs w:val="20"/>
        </w:rPr>
        <w:t>liberty</w:t>
      </w:r>
      <w:r w:rsidR="00CB10A6" w:rsidRPr="00A51C07">
        <w:rPr>
          <w:sz w:val="22"/>
          <w:szCs w:val="20"/>
        </w:rPr>
        <w:t xml:space="preserve"> </w:t>
      </w:r>
      <w:r w:rsidRPr="00A51C07">
        <w:rPr>
          <w:sz w:val="22"/>
          <w:szCs w:val="20"/>
        </w:rPr>
        <w:t>of parents</w:t>
      </w:r>
      <w:r w:rsidR="00E43952" w:rsidRPr="00A51C07">
        <w:rPr>
          <w:sz w:val="22"/>
          <w:szCs w:val="20"/>
        </w:rPr>
        <w:t xml:space="preserve"> and, when applicable, legal guardians to ensure the religious and moral education of their children in conformity with their own convictions.</w:t>
      </w:r>
      <w:r w:rsidR="002B5163">
        <w:rPr>
          <w:rStyle w:val="EndnoteReference"/>
          <w:szCs w:val="20"/>
        </w:rPr>
        <w:endnoteReference w:id="2"/>
      </w:r>
    </w:p>
    <w:p w14:paraId="70F8051A" w14:textId="77777777" w:rsidR="003F240E" w:rsidRDefault="00E024E1" w:rsidP="00CD03F7">
      <w:pPr>
        <w:pStyle w:val="ListNumber"/>
      </w:pPr>
      <w:r>
        <w:t>Furth</w:t>
      </w:r>
      <w:r w:rsidR="005A66B7">
        <w:t>er protections for rel</w:t>
      </w:r>
      <w:r>
        <w:t>ig</w:t>
      </w:r>
      <w:r w:rsidR="005A66B7">
        <w:t>i</w:t>
      </w:r>
      <w:r>
        <w:t>on are contained in the ICCPR</w:t>
      </w:r>
      <w:r w:rsidR="00EE1A08">
        <w:t>, especially</w:t>
      </w:r>
      <w:r w:rsidR="003F240E">
        <w:t>:</w:t>
      </w:r>
    </w:p>
    <w:p w14:paraId="75E8B0A7" w14:textId="059090B1" w:rsidR="003F240E" w:rsidRDefault="003F240E" w:rsidP="003F04CD">
      <w:pPr>
        <w:pStyle w:val="ListParagraph"/>
        <w:numPr>
          <w:ilvl w:val="0"/>
          <w:numId w:val="18"/>
        </w:numPr>
        <w:ind w:left="1560"/>
      </w:pPr>
      <w:r>
        <w:t>Article 2</w:t>
      </w:r>
      <w:r w:rsidR="008D2006">
        <w:t>(1)</w:t>
      </w:r>
      <w:r>
        <w:t xml:space="preserve"> </w:t>
      </w:r>
      <w:r w:rsidR="00E4795A">
        <w:t>states</w:t>
      </w:r>
      <w:r w:rsidR="00E024E1">
        <w:t xml:space="preserve"> that the rights of individuals </w:t>
      </w:r>
      <w:r w:rsidR="00CB10A6">
        <w:t>set out in the Co</w:t>
      </w:r>
      <w:r w:rsidR="00A51C07">
        <w:t xml:space="preserve">venant </w:t>
      </w:r>
      <w:r w:rsidR="00E024E1">
        <w:t>must be ensured without distinction, includin</w:t>
      </w:r>
      <w:r>
        <w:t>g on the basis of religion</w:t>
      </w:r>
    </w:p>
    <w:p w14:paraId="7ACDDA65" w14:textId="160B9A6A" w:rsidR="003F240E" w:rsidRDefault="003F240E" w:rsidP="003F04CD">
      <w:pPr>
        <w:pStyle w:val="ListParagraph"/>
        <w:numPr>
          <w:ilvl w:val="0"/>
          <w:numId w:val="18"/>
        </w:numPr>
        <w:ind w:left="1560"/>
      </w:pPr>
      <w:r>
        <w:t xml:space="preserve">Article 4 </w:t>
      </w:r>
      <w:r w:rsidR="00E024E1">
        <w:t xml:space="preserve">protects </w:t>
      </w:r>
      <w:r w:rsidR="00CB10A6">
        <w:t xml:space="preserve">freedom </w:t>
      </w:r>
      <w:r w:rsidR="00E024E1">
        <w:t>of religion even</w:t>
      </w:r>
      <w:r>
        <w:t xml:space="preserve"> in times of public emergency</w:t>
      </w:r>
    </w:p>
    <w:p w14:paraId="46404BE7" w14:textId="43F4E4C6" w:rsidR="003F240E" w:rsidRDefault="00E024E1" w:rsidP="003F04CD">
      <w:pPr>
        <w:pStyle w:val="ListParagraph"/>
        <w:numPr>
          <w:ilvl w:val="0"/>
          <w:numId w:val="18"/>
        </w:numPr>
        <w:ind w:left="1560"/>
      </w:pPr>
      <w:r>
        <w:t>Article 20</w:t>
      </w:r>
      <w:r w:rsidR="008D2006">
        <w:t>(2)</w:t>
      </w:r>
      <w:r>
        <w:t xml:space="preserve"> prohibits ad</w:t>
      </w:r>
      <w:r w:rsidR="003F240E">
        <w:t>vocacy of religious hatred</w:t>
      </w:r>
      <w:r w:rsidR="008D2006">
        <w:t xml:space="preserve"> </w:t>
      </w:r>
      <w:r w:rsidR="008D2006" w:rsidRPr="0035291A">
        <w:t>that constitutes incitement to discrimination, hostility or violence</w:t>
      </w:r>
    </w:p>
    <w:p w14:paraId="2BACB675" w14:textId="1395A413" w:rsidR="003F240E" w:rsidRDefault="00E024E1" w:rsidP="003F04CD">
      <w:pPr>
        <w:pStyle w:val="ListParagraph"/>
        <w:numPr>
          <w:ilvl w:val="0"/>
          <w:numId w:val="18"/>
        </w:numPr>
        <w:ind w:left="1560"/>
      </w:pPr>
      <w:r>
        <w:t>Article 24</w:t>
      </w:r>
      <w:r w:rsidR="008D2006">
        <w:t>(1)</w:t>
      </w:r>
      <w:r>
        <w:t xml:space="preserve"> entitles children to protection without discrimination, including on the basis of r</w:t>
      </w:r>
      <w:r w:rsidR="003F240E">
        <w:t>eligion</w:t>
      </w:r>
    </w:p>
    <w:p w14:paraId="1BE082AB" w14:textId="562F8C41" w:rsidR="003F240E" w:rsidRDefault="00E06A11" w:rsidP="003F04CD">
      <w:pPr>
        <w:pStyle w:val="ListParagraph"/>
        <w:numPr>
          <w:ilvl w:val="0"/>
          <w:numId w:val="18"/>
        </w:numPr>
        <w:ind w:left="1560"/>
      </w:pPr>
      <w:r>
        <w:t xml:space="preserve">Article 26 </w:t>
      </w:r>
      <w:r w:rsidR="00E3556A">
        <w:t xml:space="preserve">protects the right to equality before the law and equal protection of the law, and requires states to enact laws that </w:t>
      </w:r>
      <w:r>
        <w:t xml:space="preserve">prohibit discrimination </w:t>
      </w:r>
      <w:r w:rsidR="003F240E">
        <w:t>on the grounds of religion</w:t>
      </w:r>
      <w:r w:rsidR="00AF4A6F">
        <w:t>, alongside</w:t>
      </w:r>
      <w:r w:rsidR="00E4795A">
        <w:t xml:space="preserve"> other grounds</w:t>
      </w:r>
    </w:p>
    <w:p w14:paraId="0F019DA3" w14:textId="17428AE7" w:rsidR="00E024E1" w:rsidRDefault="00E06A11" w:rsidP="003F04CD">
      <w:pPr>
        <w:pStyle w:val="ListParagraph"/>
        <w:numPr>
          <w:ilvl w:val="0"/>
          <w:numId w:val="18"/>
        </w:numPr>
        <w:ind w:left="1560"/>
      </w:pPr>
      <w:r>
        <w:t>Article 27 entitles minorities to practi</w:t>
      </w:r>
      <w:r w:rsidR="00473A9C">
        <w:t>s</w:t>
      </w:r>
      <w:r>
        <w:t>e their own religion.</w:t>
      </w:r>
      <w:r w:rsidR="00B41664">
        <w:rPr>
          <w:rStyle w:val="EndnoteReference"/>
        </w:rPr>
        <w:endnoteReference w:id="3"/>
      </w:r>
    </w:p>
    <w:p w14:paraId="67363EBC" w14:textId="40F41CED" w:rsidR="00E3556A" w:rsidRDefault="00E3556A" w:rsidP="00CD03F7">
      <w:pPr>
        <w:pStyle w:val="ListNumber"/>
      </w:pPr>
      <w:r>
        <w:lastRenderedPageBreak/>
        <w:t xml:space="preserve">Article 14(1) of the </w:t>
      </w:r>
      <w:r w:rsidRPr="00E3556A">
        <w:rPr>
          <w:i/>
        </w:rPr>
        <w:t xml:space="preserve">Convention on the Rights of the Child </w:t>
      </w:r>
      <w:r>
        <w:t>(CRC) provides that parties to the CRC ‘shall respect the right of the child to freedom of thought, conscience and religion’.</w:t>
      </w:r>
    </w:p>
    <w:p w14:paraId="4C091C94" w14:textId="358FC2F0" w:rsidR="00A55607" w:rsidRDefault="00E43952" w:rsidP="00CD03F7">
      <w:pPr>
        <w:pStyle w:val="ListNumber"/>
      </w:pPr>
      <w:r>
        <w:t>An equivalent right</w:t>
      </w:r>
      <w:r w:rsidR="00E4795A">
        <w:t xml:space="preserve"> to freedom of religion</w:t>
      </w:r>
      <w:r>
        <w:t xml:space="preserve"> is protected in Article 9 of the </w:t>
      </w:r>
      <w:r w:rsidR="00B15319">
        <w:t>European Convention on Human Rights (ECHR)</w:t>
      </w:r>
      <w:r w:rsidR="00D379E8">
        <w:t>,</w:t>
      </w:r>
      <w:r w:rsidR="00B0724D">
        <w:rPr>
          <w:rStyle w:val="EndnoteReference"/>
        </w:rPr>
        <w:endnoteReference w:id="4"/>
      </w:r>
      <w:r w:rsidR="00D379E8">
        <w:t xml:space="preserve"> and the right is </w:t>
      </w:r>
      <w:r w:rsidR="00630BA3">
        <w:t xml:space="preserve">also </w:t>
      </w:r>
      <w:r w:rsidR="00D379E8">
        <w:t xml:space="preserve">protected in a number of other international treaties. </w:t>
      </w:r>
    </w:p>
    <w:p w14:paraId="149A339C" w14:textId="77777777" w:rsidR="00B15319" w:rsidRDefault="00B15319" w:rsidP="00B15319">
      <w:pPr>
        <w:pStyle w:val="Heading2"/>
      </w:pPr>
      <w:bookmarkStart w:id="24" w:name="_Toc535832773"/>
      <w:r>
        <w:t>The right to be free from discrimination on the basis of sexual orientation</w:t>
      </w:r>
      <w:r w:rsidR="00CD5824">
        <w:t xml:space="preserve"> or </w:t>
      </w:r>
      <w:r>
        <w:t>gender identity</w:t>
      </w:r>
      <w:bookmarkEnd w:id="24"/>
    </w:p>
    <w:p w14:paraId="7ABA92FA" w14:textId="342E6B35" w:rsidR="00B15319" w:rsidRDefault="00DC209B" w:rsidP="00CD03F7">
      <w:pPr>
        <w:pStyle w:val="ListNumber"/>
      </w:pPr>
      <w:r>
        <w:t>Article</w:t>
      </w:r>
      <w:r w:rsidR="00131840">
        <w:t>s 2 and 26 of the ICCPR protect people from discrimination</w:t>
      </w:r>
      <w:r w:rsidR="001D21E6">
        <w:t xml:space="preserve"> on the basis of </w:t>
      </w:r>
      <w:r w:rsidR="00CB10A6">
        <w:t>‘</w:t>
      </w:r>
      <w:r w:rsidR="001D21E6">
        <w:t>race, colour, sex, language, religion, political or other opinion, national or social origin, property, birth or other status</w:t>
      </w:r>
      <w:r w:rsidR="00CB10A6">
        <w:t>’</w:t>
      </w:r>
      <w:r w:rsidR="001D21E6">
        <w:t>.</w:t>
      </w:r>
      <w:r w:rsidR="0012043C">
        <w:rPr>
          <w:rStyle w:val="EndnoteReference"/>
        </w:rPr>
        <w:endnoteReference w:id="5"/>
      </w:r>
      <w:r w:rsidR="004803B7">
        <w:t xml:space="preserve">  Article 2</w:t>
      </w:r>
      <w:r w:rsidR="00CB10A6">
        <w:t>(1)</w:t>
      </w:r>
      <w:r w:rsidR="004803B7">
        <w:t xml:space="preserve"> of t</w:t>
      </w:r>
      <w:r w:rsidR="00420E54">
        <w:t>he CRC protects an equivalent right in respect of children:</w:t>
      </w:r>
    </w:p>
    <w:p w14:paraId="62A58092" w14:textId="77777777" w:rsidR="00420E54" w:rsidRPr="00CB7D81" w:rsidRDefault="00420E54" w:rsidP="003F04CD">
      <w:pPr>
        <w:pStyle w:val="ListParagraph"/>
        <w:ind w:left="1560"/>
        <w:rPr>
          <w:sz w:val="20"/>
          <w:szCs w:val="20"/>
        </w:rPr>
      </w:pPr>
      <w:r w:rsidRPr="00A51C07">
        <w:rPr>
          <w:sz w:val="22"/>
          <w:szCs w:val="20"/>
        </w:rPr>
        <w:t>States Parties shall respect and ensure the rights set forth in the present Convention to each child within their jurisdiction without discrimination of any kind, irrespective of the child’s or his or her parent’s or legal guardian’s race, colour, sex, language, religion, political or other opinion, national, ethnic or social origin, property, disability, birth or other status.</w:t>
      </w:r>
      <w:r w:rsidR="004E78E5">
        <w:rPr>
          <w:rStyle w:val="EndnoteReference"/>
          <w:szCs w:val="20"/>
        </w:rPr>
        <w:endnoteReference w:id="6"/>
      </w:r>
    </w:p>
    <w:p w14:paraId="024255B5" w14:textId="58ADF885" w:rsidR="0022572E" w:rsidRDefault="0022572E" w:rsidP="00CD03F7">
      <w:pPr>
        <w:pStyle w:val="ListNumber"/>
      </w:pPr>
      <w:r>
        <w:t xml:space="preserve">The phrase </w:t>
      </w:r>
      <w:r w:rsidR="00CB10A6">
        <w:t>‘</w:t>
      </w:r>
      <w:r>
        <w:t>other status</w:t>
      </w:r>
      <w:r w:rsidR="00CB10A6">
        <w:t>’</w:t>
      </w:r>
      <w:r>
        <w:t xml:space="preserve"> has been interpreted by </w:t>
      </w:r>
      <w:r w:rsidR="00D90095">
        <w:t>human rights treaty bodies to include attributes such as age, disability and sexual orientation</w:t>
      </w:r>
      <w:r w:rsidR="003F240E">
        <w:t>:</w:t>
      </w:r>
    </w:p>
    <w:p w14:paraId="45DEAD1D" w14:textId="77777777" w:rsidR="003F240E" w:rsidRDefault="003F240E" w:rsidP="003F04CD">
      <w:pPr>
        <w:pStyle w:val="ListParagraph"/>
        <w:numPr>
          <w:ilvl w:val="0"/>
          <w:numId w:val="19"/>
        </w:numPr>
        <w:ind w:left="1560"/>
      </w:pPr>
      <w:r>
        <w:t xml:space="preserve">In </w:t>
      </w:r>
      <w:proofErr w:type="spellStart"/>
      <w:r w:rsidRPr="00145505">
        <w:rPr>
          <w:i/>
        </w:rPr>
        <w:t>Toonen</w:t>
      </w:r>
      <w:proofErr w:type="spellEnd"/>
      <w:r w:rsidRPr="00145505">
        <w:rPr>
          <w:i/>
        </w:rPr>
        <w:t xml:space="preserve"> v Australia</w:t>
      </w:r>
      <w:r w:rsidR="00787CF0">
        <w:t xml:space="preserve"> (1992), the UN Human Rights Committee held that the reference to ‘sex’ in ICCPR Articl</w:t>
      </w:r>
      <w:r w:rsidR="002E170F">
        <w:t>e 2 included sexual orientation</w:t>
      </w:r>
      <w:r w:rsidR="00EE1A08">
        <w:t>.</w:t>
      </w:r>
      <w:r w:rsidR="002E170F">
        <w:rPr>
          <w:rStyle w:val="EndnoteReference"/>
        </w:rPr>
        <w:endnoteReference w:id="7"/>
      </w:r>
    </w:p>
    <w:p w14:paraId="0AA3F966" w14:textId="620EF674" w:rsidR="00787CF0" w:rsidRPr="00787CF0" w:rsidRDefault="00787CF0" w:rsidP="003F04CD">
      <w:pPr>
        <w:pStyle w:val="ListParagraph"/>
        <w:numPr>
          <w:ilvl w:val="0"/>
          <w:numId w:val="19"/>
        </w:numPr>
        <w:ind w:left="1560"/>
      </w:pPr>
      <w:r>
        <w:t xml:space="preserve">In General Comment 20 (2009) the UN Committee </w:t>
      </w:r>
      <w:r w:rsidR="00ED1F10">
        <w:t xml:space="preserve">on </w:t>
      </w:r>
      <w:r>
        <w:t>Economic, Social and Cultural Rights said that ‘other status’ includes sex</w:t>
      </w:r>
      <w:r w:rsidR="00145505">
        <w:t>ual orientation.  The Committee added that ‘</w:t>
      </w:r>
      <w:r>
        <w:t xml:space="preserve">gender identity is recognised as among the prohibited grounds of discrimination; for example, persons who are transgender, </w:t>
      </w:r>
      <w:r w:rsidR="003C1DF0">
        <w:t>…</w:t>
      </w:r>
      <w:r>
        <w:t xml:space="preserve"> often face serious human rights violations, such as harassment in schools or in the workplace</w:t>
      </w:r>
      <w:r w:rsidR="007257B9">
        <w:t>’</w:t>
      </w:r>
      <w:r>
        <w:t>.</w:t>
      </w:r>
      <w:r w:rsidR="00062FF6">
        <w:rPr>
          <w:rStyle w:val="EndnoteReference"/>
        </w:rPr>
        <w:endnoteReference w:id="8"/>
      </w:r>
    </w:p>
    <w:p w14:paraId="4FA36996" w14:textId="1FEB01CE" w:rsidR="00213AEF" w:rsidRDefault="00213AEF" w:rsidP="00CD03F7">
      <w:pPr>
        <w:pStyle w:val="ListNumber"/>
      </w:pPr>
      <w:r>
        <w:t xml:space="preserve">Additionally, the </w:t>
      </w:r>
      <w:r w:rsidRPr="00213AEF">
        <w:t>Yogyakarta Principles on the application of international human rights law in relation to sexual orientation and gender identity</w:t>
      </w:r>
      <w:r>
        <w:t xml:space="preserve"> (Yogyakarta Principles)</w:t>
      </w:r>
      <w:r>
        <w:rPr>
          <w:rStyle w:val="EndnoteReference"/>
        </w:rPr>
        <w:endnoteReference w:id="9"/>
      </w:r>
      <w:r>
        <w:t xml:space="preserve"> address a range of international human rights law standards and their application to matters of sexual orientation and gender identity. In particular, Principle 16 of the Yogyakarta Principles provides that </w:t>
      </w:r>
      <w:r w:rsidR="00CB10A6">
        <w:t>‘</w:t>
      </w:r>
      <w:r>
        <w:t>[e]</w:t>
      </w:r>
      <w:proofErr w:type="spellStart"/>
      <w:r>
        <w:t>veryone</w:t>
      </w:r>
      <w:proofErr w:type="spellEnd"/>
      <w:r>
        <w:t xml:space="preserve"> </w:t>
      </w:r>
      <w:r w:rsidR="00CB10A6">
        <w:t>h</w:t>
      </w:r>
      <w:r>
        <w:t>as the right to education, without discrimination on the basis of … sexual orientation and gender identity</w:t>
      </w:r>
      <w:r w:rsidR="00CB10A6">
        <w:t>’</w:t>
      </w:r>
      <w:r>
        <w:t xml:space="preserve"> and calls on states to take all necessary legislative measures to ensure equal access to education and equal treatment of students, staff and teachers within the education system.</w:t>
      </w:r>
    </w:p>
    <w:p w14:paraId="4B168DC9" w14:textId="3D028D87" w:rsidR="00157141" w:rsidRDefault="000E4A83" w:rsidP="00CD03F7">
      <w:pPr>
        <w:pStyle w:val="ListNumber"/>
      </w:pPr>
      <w:r>
        <w:lastRenderedPageBreak/>
        <w:t>T</w:t>
      </w:r>
      <w:r w:rsidR="00157141">
        <w:t xml:space="preserve">he </w:t>
      </w:r>
      <w:r w:rsidR="00145505">
        <w:t>Commission consider</w:t>
      </w:r>
      <w:r w:rsidR="00CD5824">
        <w:t>s</w:t>
      </w:r>
      <w:r w:rsidR="00145505">
        <w:t xml:space="preserve"> that the Bill</w:t>
      </w:r>
      <w:r w:rsidR="00157141">
        <w:t xml:space="preserve"> protects the right </w:t>
      </w:r>
      <w:r w:rsidR="00CB10A6">
        <w:t xml:space="preserve">of students </w:t>
      </w:r>
      <w:r w:rsidR="00157141">
        <w:t>to be free from discrimination on the basis of sexual orientation</w:t>
      </w:r>
      <w:r>
        <w:t xml:space="preserve"> or</w:t>
      </w:r>
      <w:r w:rsidR="00157141">
        <w:t xml:space="preserve"> gender identity by removing the ability of schools to discriminate </w:t>
      </w:r>
      <w:r w:rsidR="00ED1F10">
        <w:t xml:space="preserve">against them </w:t>
      </w:r>
      <w:r w:rsidR="00157141">
        <w:t>on this basis.</w:t>
      </w:r>
    </w:p>
    <w:p w14:paraId="3B4A403F" w14:textId="77777777" w:rsidR="009605C0" w:rsidRDefault="009605C0" w:rsidP="009605C0">
      <w:pPr>
        <w:pStyle w:val="Heading2"/>
      </w:pPr>
      <w:bookmarkStart w:id="25" w:name="_Toc535832774"/>
      <w:r>
        <w:t>The rights of the child</w:t>
      </w:r>
      <w:bookmarkEnd w:id="25"/>
    </w:p>
    <w:p w14:paraId="436248EB" w14:textId="541CBA4E" w:rsidR="00F30321" w:rsidRDefault="009605C0" w:rsidP="00CD03F7">
      <w:pPr>
        <w:pStyle w:val="ListNumber"/>
      </w:pPr>
      <w:r>
        <w:t>The rights of children are protected in the CRC</w:t>
      </w:r>
      <w:r w:rsidR="00671017">
        <w:t>.</w:t>
      </w:r>
      <w:r w:rsidR="00F30321">
        <w:t xml:space="preserve">  Particularly relevant </w:t>
      </w:r>
      <w:r w:rsidR="00930458">
        <w:t xml:space="preserve">to this Bill </w:t>
      </w:r>
      <w:r w:rsidR="00F30321">
        <w:t>are Article 28, which deals with the righ</w:t>
      </w:r>
      <w:r w:rsidR="00930458">
        <w:t>t of all children to receive an</w:t>
      </w:r>
      <w:r w:rsidR="00F30321">
        <w:t xml:space="preserve"> education, and Article 29</w:t>
      </w:r>
      <w:r w:rsidR="00737E36">
        <w:t>(a)</w:t>
      </w:r>
      <w:r w:rsidR="00F30321">
        <w:t>, which states that the education of the child must be directed to the ‘development of the child’s personality, talents and mental and physical abilities to their fullest potential.’</w:t>
      </w:r>
    </w:p>
    <w:p w14:paraId="2A8F7DC4" w14:textId="04F2C552" w:rsidR="009605C0" w:rsidRDefault="00671017" w:rsidP="00CD03F7">
      <w:pPr>
        <w:pStyle w:val="ListNumber"/>
      </w:pPr>
      <w:r>
        <w:t xml:space="preserve">The </w:t>
      </w:r>
      <w:r w:rsidR="0022495E">
        <w:t xml:space="preserve">UN </w:t>
      </w:r>
      <w:r>
        <w:t>Committee on the Rights of the Child has outlined four principles</w:t>
      </w:r>
      <w:r w:rsidR="00C60051">
        <w:t xml:space="preserve"> to help governments</w:t>
      </w:r>
      <w:r>
        <w:t xml:space="preserve"> effectively implement the Convention:</w:t>
      </w:r>
      <w:r w:rsidR="00E633AD">
        <w:rPr>
          <w:rStyle w:val="EndnoteReference"/>
        </w:rPr>
        <w:endnoteReference w:id="10"/>
      </w:r>
    </w:p>
    <w:p w14:paraId="5DD8899D" w14:textId="7088A065" w:rsidR="00671017" w:rsidRDefault="00C60051" w:rsidP="003F04CD">
      <w:pPr>
        <w:pStyle w:val="ListBullet"/>
        <w:numPr>
          <w:ilvl w:val="0"/>
          <w:numId w:val="37"/>
        </w:numPr>
        <w:tabs>
          <w:tab w:val="clear" w:pos="1134"/>
          <w:tab w:val="left" w:pos="1418"/>
        </w:tabs>
      </w:pPr>
      <w:r>
        <w:t>States are obliged to</w:t>
      </w:r>
      <w:r w:rsidR="00671017">
        <w:t xml:space="preserve"> respect children'</w:t>
      </w:r>
      <w:r w:rsidR="00827499">
        <w:t>s rights without discrimination</w:t>
      </w:r>
      <w:r w:rsidR="007257B9">
        <w:t>.</w:t>
      </w:r>
    </w:p>
    <w:p w14:paraId="57243BD4" w14:textId="447E3914" w:rsidR="00671017" w:rsidRDefault="00671017" w:rsidP="003F04CD">
      <w:pPr>
        <w:pStyle w:val="ListBullet"/>
        <w:numPr>
          <w:ilvl w:val="0"/>
          <w:numId w:val="37"/>
        </w:numPr>
        <w:tabs>
          <w:tab w:val="clear" w:pos="1134"/>
          <w:tab w:val="left" w:pos="1418"/>
        </w:tabs>
      </w:pPr>
      <w:r>
        <w:t xml:space="preserve">The best interests of the child </w:t>
      </w:r>
      <w:r w:rsidR="00C60051">
        <w:t>must be</w:t>
      </w:r>
      <w:r>
        <w:t xml:space="preserve"> a primary consideration in all</w:t>
      </w:r>
      <w:r w:rsidR="00827499">
        <w:t xml:space="preserve"> </w:t>
      </w:r>
      <w:r w:rsidR="00CB10A6">
        <w:t xml:space="preserve">actions </w:t>
      </w:r>
      <w:r w:rsidR="00827499">
        <w:t>concerning children</w:t>
      </w:r>
      <w:r w:rsidR="007257B9">
        <w:t>.</w:t>
      </w:r>
    </w:p>
    <w:p w14:paraId="24180E28" w14:textId="39608DCE" w:rsidR="00671017" w:rsidRDefault="00C60051" w:rsidP="003F04CD">
      <w:pPr>
        <w:pStyle w:val="ListBullet"/>
        <w:numPr>
          <w:ilvl w:val="0"/>
          <w:numId w:val="37"/>
        </w:numPr>
        <w:tabs>
          <w:tab w:val="clear" w:pos="1134"/>
          <w:tab w:val="left" w:pos="1418"/>
        </w:tabs>
      </w:pPr>
      <w:r>
        <w:t>States are obliged</w:t>
      </w:r>
      <w:r w:rsidR="00671017">
        <w:t xml:space="preserve"> to ensure to the maximum extent possible the survival and development of the child.  The Committee has said that it </w:t>
      </w:r>
      <w:r w:rsidR="00C644E7">
        <w:t>‘</w:t>
      </w:r>
      <w:r w:rsidR="00671017">
        <w:t>expects States to interpret</w:t>
      </w:r>
      <w:r w:rsidR="00C2779A">
        <w:t xml:space="preserve"> </w:t>
      </w:r>
      <w:r w:rsidR="00C644E7">
        <w:t>“</w:t>
      </w:r>
      <w:r w:rsidR="00C2779A">
        <w:t>development</w:t>
      </w:r>
      <w:r w:rsidR="00C644E7">
        <w:t>”</w:t>
      </w:r>
      <w:r w:rsidR="00C2779A">
        <w:t xml:space="preserve"> in its broadest sense as a holistic concept, embracing the child's physical, mental, spiritual, moral, psych</w:t>
      </w:r>
      <w:r w:rsidR="00827499">
        <w:t>ological and social development</w:t>
      </w:r>
      <w:r w:rsidR="00C644E7">
        <w:t>’</w:t>
      </w:r>
      <w:r w:rsidR="007257B9">
        <w:t>.</w:t>
      </w:r>
    </w:p>
    <w:p w14:paraId="49E3DBB6" w14:textId="05A648D3" w:rsidR="00A55607" w:rsidRDefault="00C60051" w:rsidP="003F04CD">
      <w:pPr>
        <w:pStyle w:val="ListBullet"/>
        <w:numPr>
          <w:ilvl w:val="0"/>
          <w:numId w:val="37"/>
        </w:numPr>
        <w:tabs>
          <w:tab w:val="clear" w:pos="1134"/>
          <w:tab w:val="left" w:pos="1418"/>
        </w:tabs>
      </w:pPr>
      <w:r>
        <w:t>Due weight must be given to t</w:t>
      </w:r>
      <w:r w:rsidR="00A55607">
        <w:t>he child</w:t>
      </w:r>
      <w:r w:rsidR="00C644E7">
        <w:t>’</w:t>
      </w:r>
      <w:r w:rsidR="00A55607">
        <w:t xml:space="preserve">s right to express </w:t>
      </w:r>
      <w:r w:rsidR="00C644E7">
        <w:t xml:space="preserve">their </w:t>
      </w:r>
      <w:r w:rsidR="00A55607">
        <w:t>views freely in all matters affecting them.</w:t>
      </w:r>
      <w:r w:rsidR="00306641">
        <w:rPr>
          <w:rStyle w:val="EndnoteReference"/>
        </w:rPr>
        <w:endnoteReference w:id="11"/>
      </w:r>
    </w:p>
    <w:p w14:paraId="4570C463" w14:textId="6E313AC9" w:rsidR="00FC6461" w:rsidRDefault="00AF4F25" w:rsidP="00CD03F7">
      <w:pPr>
        <w:pStyle w:val="ListNumber"/>
      </w:pPr>
      <w:r>
        <w:t>There is considerable evidence that LGBT</w:t>
      </w:r>
      <w:r w:rsidR="002477A5">
        <w:t>I</w:t>
      </w:r>
      <w:r>
        <w:t xml:space="preserve"> children and young people experience higher rates of mental illness than their peers</w:t>
      </w:r>
      <w:r w:rsidR="00090D04">
        <w:t xml:space="preserve"> as a result of ongoing stigma associated with differing sexual orientations and gender identities, and the resulting discrimination, bullying and harassment</w:t>
      </w:r>
      <w:r>
        <w:t xml:space="preserve">.  </w:t>
      </w:r>
      <w:r w:rsidR="00FC6461">
        <w:t xml:space="preserve">According to the </w:t>
      </w:r>
      <w:r w:rsidR="00433049">
        <w:t xml:space="preserve">National </w:t>
      </w:r>
      <w:r w:rsidR="00FC6461">
        <w:t>LGBTI Health Alliance:</w:t>
      </w:r>
    </w:p>
    <w:p w14:paraId="122AD9B1" w14:textId="7F996782" w:rsidR="008730D5" w:rsidRDefault="00FC6461" w:rsidP="003F04CD">
      <w:pPr>
        <w:pStyle w:val="ListParagraph"/>
        <w:numPr>
          <w:ilvl w:val="0"/>
          <w:numId w:val="17"/>
        </w:numPr>
        <w:ind w:left="1560"/>
      </w:pPr>
      <w:r>
        <w:t>LGBTI young people aged 16</w:t>
      </w:r>
      <w:r w:rsidR="007257B9">
        <w:rPr>
          <w:rFonts w:ascii="Calibri" w:hAnsi="Calibri" w:cs="Calibri"/>
        </w:rPr>
        <w:t>─</w:t>
      </w:r>
      <w:r>
        <w:t>27 are five times more likely to attempt suicide in their lifetime than the general population</w:t>
      </w:r>
      <w:r w:rsidR="007257B9">
        <w:t>.</w:t>
      </w:r>
    </w:p>
    <w:p w14:paraId="10EE18F8" w14:textId="33DC4C60" w:rsidR="00FC6461" w:rsidRDefault="00FC6461" w:rsidP="003F04CD">
      <w:pPr>
        <w:pStyle w:val="ListParagraph"/>
        <w:numPr>
          <w:ilvl w:val="0"/>
          <w:numId w:val="17"/>
        </w:numPr>
        <w:ind w:left="1560"/>
      </w:pPr>
      <w:r>
        <w:t xml:space="preserve">18% of </w:t>
      </w:r>
      <w:r w:rsidR="002477A5">
        <w:t>s</w:t>
      </w:r>
      <w:r>
        <w:t>ame-</w:t>
      </w:r>
      <w:r w:rsidR="002477A5">
        <w:t>g</w:t>
      </w:r>
      <w:r>
        <w:t xml:space="preserve">ender </w:t>
      </w:r>
      <w:r w:rsidR="002477A5">
        <w:t>a</w:t>
      </w:r>
      <w:r>
        <w:t xml:space="preserve">ttracted and </w:t>
      </w:r>
      <w:r w:rsidR="002477A5">
        <w:t>g</w:t>
      </w:r>
      <w:r>
        <w:t xml:space="preserve">ender </w:t>
      </w:r>
      <w:r w:rsidR="002477A5">
        <w:t>d</w:t>
      </w:r>
      <w:r>
        <w:t>iverse young people ag</w:t>
      </w:r>
      <w:r w:rsidR="00327308">
        <w:t>ed 14</w:t>
      </w:r>
      <w:r w:rsidR="007257B9">
        <w:rPr>
          <w:rFonts w:ascii="Calibri" w:hAnsi="Calibri" w:cs="Calibri"/>
        </w:rPr>
        <w:t>─</w:t>
      </w:r>
      <w:r w:rsidR="00327308">
        <w:t>21 years have self</w:t>
      </w:r>
      <w:r w:rsidR="007257B9">
        <w:t>-</w:t>
      </w:r>
      <w:r w:rsidR="00327308">
        <w:t xml:space="preserve">harmed.  </w:t>
      </w:r>
      <w:r>
        <w:t>This increases to 32% of those who have experienced verbal abuse, and 54% of those who have ex</w:t>
      </w:r>
      <w:r w:rsidR="00327308">
        <w:t>perienced physical abuse</w:t>
      </w:r>
      <w:r w:rsidR="007257B9">
        <w:t>.</w:t>
      </w:r>
    </w:p>
    <w:p w14:paraId="1940A861" w14:textId="77777777" w:rsidR="00065A93" w:rsidRDefault="00065A93" w:rsidP="003F04CD">
      <w:pPr>
        <w:pStyle w:val="ListParagraph"/>
        <w:numPr>
          <w:ilvl w:val="0"/>
          <w:numId w:val="17"/>
        </w:numPr>
        <w:ind w:left="1560"/>
      </w:pPr>
      <w:r>
        <w:t>LGBT people are twice as likely to have symptoms of a mental health disorder</w:t>
      </w:r>
      <w:r w:rsidR="00AF4F25">
        <w:t xml:space="preserve">, and </w:t>
      </w:r>
      <w:r>
        <w:t>three and a half times more likely to be diagnosed with an anxiety disorder in their lifetimes.</w:t>
      </w:r>
      <w:r w:rsidR="000A2B33">
        <w:rPr>
          <w:rStyle w:val="EndnoteReference"/>
        </w:rPr>
        <w:endnoteReference w:id="12"/>
      </w:r>
    </w:p>
    <w:p w14:paraId="266B1296" w14:textId="469A5437" w:rsidR="00581D9F" w:rsidRDefault="00581D9F" w:rsidP="00CD03F7">
      <w:pPr>
        <w:pStyle w:val="ListNumber"/>
      </w:pPr>
      <w:r>
        <w:lastRenderedPageBreak/>
        <w:t xml:space="preserve">In 2014 the Young and Well Cooperative Research Centre </w:t>
      </w:r>
      <w:r w:rsidR="00C71FBC">
        <w:t xml:space="preserve">and the University of Western Sydney </w:t>
      </w:r>
      <w:r>
        <w:t xml:space="preserve">conducted a </w:t>
      </w:r>
      <w:r w:rsidR="00930458">
        <w:t>study into</w:t>
      </w:r>
      <w:r w:rsidR="00C71FBC">
        <w:t xml:space="preserve"> the issues facing young Australians who are gender variant and sexuality diverse.  This involved a survey of 1032 young people between the ages of 16-27 who identified as gender variant and sexuality diverse, as well as focus groups and workshops.  They reported that:</w:t>
      </w:r>
    </w:p>
    <w:p w14:paraId="21A0475E" w14:textId="1F8D1C17" w:rsidR="00C71FBC" w:rsidRPr="009E39AE" w:rsidRDefault="00DC4780" w:rsidP="00930458">
      <w:pPr>
        <w:pStyle w:val="ListParagraph"/>
        <w:numPr>
          <w:ilvl w:val="0"/>
          <w:numId w:val="38"/>
        </w:numPr>
        <w:ind w:left="1560"/>
        <w:rPr>
          <w:sz w:val="22"/>
        </w:rPr>
      </w:pPr>
      <w:r w:rsidRPr="009E39AE">
        <w:rPr>
          <w:sz w:val="22"/>
        </w:rPr>
        <w:t xml:space="preserve">Participants frequently watched and learned from other young people ‘coming out’ within their secondary school environments.  More often than not, </w:t>
      </w:r>
      <w:proofErr w:type="spellStart"/>
      <w:r w:rsidRPr="009E39AE">
        <w:rPr>
          <w:sz w:val="22"/>
        </w:rPr>
        <w:t>out</w:t>
      </w:r>
      <w:proofErr w:type="spellEnd"/>
      <w:r w:rsidRPr="009E39AE">
        <w:rPr>
          <w:sz w:val="22"/>
        </w:rPr>
        <w:t xml:space="preserve"> young people were bullied, and this meant that other young people decided not to reveal their sexual orientation or transgender status.  Keeping this information secret has implications for the health and wellbeing of these young people.</w:t>
      </w:r>
    </w:p>
    <w:p w14:paraId="662B2090" w14:textId="299D8DF6" w:rsidR="00DC4780" w:rsidRPr="009E39AE" w:rsidRDefault="00DC4780" w:rsidP="00930458">
      <w:pPr>
        <w:pStyle w:val="ListParagraph"/>
        <w:numPr>
          <w:ilvl w:val="0"/>
          <w:numId w:val="38"/>
        </w:numPr>
        <w:ind w:left="1560"/>
        <w:rPr>
          <w:sz w:val="22"/>
        </w:rPr>
      </w:pPr>
      <w:r w:rsidRPr="009E39AE">
        <w:rPr>
          <w:sz w:val="22"/>
        </w:rPr>
        <w:t>The participants who did reveal their sexual orientation or transgender status within a secondary school environment encountered [...] homophobia from peers and teachers</w:t>
      </w:r>
      <w:r w:rsidR="00930458" w:rsidRPr="009E39AE">
        <w:rPr>
          <w:sz w:val="22"/>
        </w:rPr>
        <w:t>,</w:t>
      </w:r>
      <w:r w:rsidRPr="009E39AE">
        <w:rPr>
          <w:sz w:val="22"/>
        </w:rPr>
        <w:t xml:space="preserve"> [...] social isolation and disrupted education.</w:t>
      </w:r>
    </w:p>
    <w:p w14:paraId="2A52F588" w14:textId="00B7F5F3" w:rsidR="00C71FBC" w:rsidRDefault="000A799A" w:rsidP="00930458">
      <w:pPr>
        <w:pStyle w:val="ListParagraph"/>
        <w:numPr>
          <w:ilvl w:val="0"/>
          <w:numId w:val="38"/>
        </w:numPr>
        <w:ind w:left="1560"/>
      </w:pPr>
      <w:r w:rsidRPr="009E39AE">
        <w:rPr>
          <w:sz w:val="22"/>
        </w:rPr>
        <w:t>Teachers in government schools were more accepting and supportive than students, but [...] in religious affiliated schools students were more accepting and supportive than teachers</w:t>
      </w:r>
      <w:r w:rsidRPr="000C4449">
        <w:t>.</w:t>
      </w:r>
      <w:r w:rsidR="008E63E5">
        <w:rPr>
          <w:rStyle w:val="EndnoteReference"/>
        </w:rPr>
        <w:endnoteReference w:id="13"/>
      </w:r>
    </w:p>
    <w:p w14:paraId="1F73CEC8" w14:textId="166BA6BD" w:rsidR="004C69EA" w:rsidRDefault="004C69EA" w:rsidP="00CD03F7">
      <w:pPr>
        <w:pStyle w:val="ListNumber"/>
      </w:pPr>
      <w:r>
        <w:t xml:space="preserve">This report recommended that exemptions for schools in Anti- Discrimination legislation relating to sexuality should be repealed, </w:t>
      </w:r>
      <w:r w:rsidR="00991FC5">
        <w:t xml:space="preserve">to </w:t>
      </w:r>
      <w:r>
        <w:t>better protect the rights of students.</w:t>
      </w:r>
      <w:r>
        <w:rPr>
          <w:rStyle w:val="EndnoteReference"/>
        </w:rPr>
        <w:endnoteReference w:id="14"/>
      </w:r>
      <w:r>
        <w:t xml:space="preserve">  </w:t>
      </w:r>
    </w:p>
    <w:p w14:paraId="60885340" w14:textId="5FBAE1C3" w:rsidR="00FC6461" w:rsidRDefault="00CD5260" w:rsidP="00CD03F7">
      <w:pPr>
        <w:pStyle w:val="ListNumber"/>
      </w:pPr>
      <w:r>
        <w:t>A 2018</w:t>
      </w:r>
      <w:r w:rsidR="00CE66BE">
        <w:t xml:space="preserve"> issues paper by the Western Australia Commissioner fo</w:t>
      </w:r>
      <w:r w:rsidR="00766A22">
        <w:t>r Children and Young People noted</w:t>
      </w:r>
      <w:r w:rsidR="00CE66BE">
        <w:t>:</w:t>
      </w:r>
    </w:p>
    <w:p w14:paraId="68EE9910" w14:textId="1C5BD0E4" w:rsidR="00CE66BE" w:rsidRDefault="00CE66BE" w:rsidP="003F04CD">
      <w:pPr>
        <w:ind w:left="1560"/>
      </w:pPr>
      <w:r w:rsidRPr="002D374A">
        <w:rPr>
          <w:sz w:val="22"/>
          <w:szCs w:val="20"/>
        </w:rPr>
        <w:t xml:space="preserve">The school environment can be a particularly challenging experience for children and young people.  High levels of bullying, violence and discrimination that can occur within school and education settings have a significant impact on the education, employment and health and wellbeing of </w:t>
      </w:r>
      <w:r w:rsidR="00CD5260" w:rsidRPr="002D374A">
        <w:rPr>
          <w:sz w:val="22"/>
          <w:szCs w:val="20"/>
        </w:rPr>
        <w:t xml:space="preserve">LGBTI children and young people ... </w:t>
      </w:r>
      <w:r w:rsidR="00E77DF3" w:rsidRPr="002D374A">
        <w:rPr>
          <w:sz w:val="22"/>
          <w:szCs w:val="20"/>
        </w:rPr>
        <w:t>Having a diverse sexual orientation, diverse gender identity, or being intersex are not in themselves risk factors for poor mental health, rather it is the social exclusion and discrimination that LGBTI children and young people face</w:t>
      </w:r>
      <w:r w:rsidR="00EC17A3" w:rsidRPr="002D374A">
        <w:rPr>
          <w:sz w:val="22"/>
          <w:szCs w:val="20"/>
        </w:rPr>
        <w:t xml:space="preserve"> which has a negative impact on their mental health and wellbeing.</w:t>
      </w:r>
      <w:r w:rsidR="00F9788A" w:rsidRPr="002D374A">
        <w:rPr>
          <w:sz w:val="22"/>
          <w:szCs w:val="20"/>
        </w:rPr>
        <w:t xml:space="preserve">  There is a distinct link between children and young people’s experiences of homophobic or transphobic discrimination and abuse with poor mental health outcomes, self</w:t>
      </w:r>
      <w:r w:rsidR="007257B9">
        <w:rPr>
          <w:sz w:val="22"/>
          <w:szCs w:val="20"/>
        </w:rPr>
        <w:t>-</w:t>
      </w:r>
      <w:r w:rsidR="00F9788A" w:rsidRPr="002D374A">
        <w:rPr>
          <w:sz w:val="22"/>
          <w:szCs w:val="20"/>
        </w:rPr>
        <w:t>harm, suicide attempts and drug use.</w:t>
      </w:r>
      <w:r w:rsidR="0072159C">
        <w:rPr>
          <w:rStyle w:val="EndnoteReference"/>
        </w:rPr>
        <w:endnoteReference w:id="15"/>
      </w:r>
    </w:p>
    <w:p w14:paraId="2472DA59" w14:textId="5FB9AA7F" w:rsidR="00AE7B59" w:rsidRDefault="00A730CB" w:rsidP="00CD03F7">
      <w:pPr>
        <w:pStyle w:val="ListNumber"/>
      </w:pPr>
      <w:r>
        <w:t xml:space="preserve">This highlights the very significant harms that </w:t>
      </w:r>
      <w:r w:rsidR="00E062B0">
        <w:t xml:space="preserve">can </w:t>
      </w:r>
      <w:r>
        <w:t>result from children being subject to discriminatory treatment on the basis of their sexual orientation</w:t>
      </w:r>
      <w:r w:rsidR="005D3FBB">
        <w:t>,</w:t>
      </w:r>
      <w:r>
        <w:t xml:space="preserve"> gender identity</w:t>
      </w:r>
      <w:r w:rsidR="005D3FBB">
        <w:t xml:space="preserve"> or intersex status</w:t>
      </w:r>
      <w:r>
        <w:t xml:space="preserve">, and emphasises </w:t>
      </w:r>
      <w:r w:rsidR="00A971C7">
        <w:t>that</w:t>
      </w:r>
      <w:r w:rsidR="0073422D">
        <w:t xml:space="preserve"> </w:t>
      </w:r>
      <w:r w:rsidR="00AE7B59">
        <w:t>the best interests of children, and thei</w:t>
      </w:r>
      <w:r w:rsidR="00853666">
        <w:t>r holistic development, are</w:t>
      </w:r>
      <w:r w:rsidR="00AE7B59">
        <w:t xml:space="preserve"> served by being protected from </w:t>
      </w:r>
      <w:r w:rsidR="00CD5260">
        <w:t xml:space="preserve">all </w:t>
      </w:r>
      <w:r w:rsidR="00AE7B59">
        <w:t>discrimination.</w:t>
      </w:r>
      <w:r w:rsidR="001F0E07">
        <w:t xml:space="preserve">  This Bill </w:t>
      </w:r>
      <w:r w:rsidR="00CF23EB">
        <w:t xml:space="preserve">serves </w:t>
      </w:r>
      <w:r w:rsidR="00CD5260">
        <w:t>that objective</w:t>
      </w:r>
      <w:r w:rsidR="001F0E07">
        <w:t>.</w:t>
      </w:r>
    </w:p>
    <w:p w14:paraId="24306D81" w14:textId="37599686" w:rsidR="00865AAB" w:rsidRDefault="00865AAB" w:rsidP="009E39AE">
      <w:pPr>
        <w:pStyle w:val="Heading2"/>
      </w:pPr>
      <w:bookmarkStart w:id="26" w:name="_Toc535832775"/>
      <w:r>
        <w:lastRenderedPageBreak/>
        <w:t>The rights of young parents and their children</w:t>
      </w:r>
      <w:bookmarkEnd w:id="26"/>
    </w:p>
    <w:p w14:paraId="70E5B4E5" w14:textId="42130F50" w:rsidR="00865AAB" w:rsidRDefault="00865AAB">
      <w:pPr>
        <w:pStyle w:val="ListNumber"/>
      </w:pPr>
      <w:r>
        <w:t>The United Nations Committee on the Rights of the Child</w:t>
      </w:r>
      <w:r w:rsidR="003A5E58">
        <w:t xml:space="preserve"> has emphasised the need to support young parents and their children in light of their particular vulnerability:</w:t>
      </w:r>
    </w:p>
    <w:p w14:paraId="724146BC" w14:textId="55DEF10C" w:rsidR="003A5E58" w:rsidRDefault="003A5E58" w:rsidP="009E39AE">
      <w:pPr>
        <w:ind w:left="1560"/>
        <w:rPr>
          <w:sz w:val="22"/>
          <w:szCs w:val="22"/>
        </w:rPr>
      </w:pPr>
      <w:r w:rsidRPr="009E39AE">
        <w:rPr>
          <w:sz w:val="22"/>
          <w:szCs w:val="22"/>
        </w:rPr>
        <w:t xml:space="preserve">Articles 24 and 27 of the Convention require that adolescent parents and caregivers be provided with basic knowledge of child health, nutrition and breastfeeding, and appropriate support to assist them in fulfilling their responsibilities towards the children they are responsible for and, when needed, material assistance with regard to nutrition, clothing and housing.  </w:t>
      </w:r>
      <w:r w:rsidR="005B567E" w:rsidRPr="009E39AE">
        <w:rPr>
          <w:sz w:val="22"/>
          <w:szCs w:val="22"/>
        </w:rPr>
        <w:t>Adolescent caregivers need extra support in order to enjoy their rights to education, play and participation.</w:t>
      </w:r>
      <w:r w:rsidR="00EE2CC8">
        <w:rPr>
          <w:rStyle w:val="EndnoteReference"/>
          <w:szCs w:val="22"/>
        </w:rPr>
        <w:endnoteReference w:id="16"/>
      </w:r>
    </w:p>
    <w:p w14:paraId="1F20B4BB" w14:textId="54D3618B" w:rsidR="00965D9A" w:rsidRDefault="003D7E6D" w:rsidP="00965D9A">
      <w:pPr>
        <w:pStyle w:val="ListNumber"/>
      </w:pPr>
      <w:r>
        <w:t>As a party to the CRC, the Australian Government must uphold the rights of all young parents and their children, as well as pregnant girls, including the right to access education, and take appropriate measures to ensure that children are protected against all forms of discrimination on the basis of the child’s status or that of the child’s parents.</w:t>
      </w:r>
    </w:p>
    <w:p w14:paraId="0D209043" w14:textId="339FCCDC" w:rsidR="001B17FA" w:rsidRPr="00965D9A" w:rsidRDefault="001B17FA" w:rsidP="009C6014">
      <w:pPr>
        <w:pStyle w:val="ListNumber"/>
      </w:pPr>
      <w:r>
        <w:t xml:space="preserve">In 2017 the National Children’s Commissioner conducted a project investigating the rights and needs of young parents and their children, many of whom reported being directly or indirectly discriminated against in relation to continuing or accessing education.  </w:t>
      </w:r>
      <w:r w:rsidR="00B50B88">
        <w:t>The Commissioner</w:t>
      </w:r>
      <w:r>
        <w:t xml:space="preserve"> recommended reviewing laws, policies and practices to ensure that access to education for all children is guaranteed (recommendation 12) and discrimination on the basis of pregnancy, breastfeeding or parental status is prohibited (recommendation 13).</w:t>
      </w:r>
      <w:r>
        <w:rPr>
          <w:rStyle w:val="EndnoteReference"/>
        </w:rPr>
        <w:endnoteReference w:id="17"/>
      </w:r>
    </w:p>
    <w:p w14:paraId="035E0562" w14:textId="77777777" w:rsidR="005D3FBB" w:rsidRDefault="005D3FBB" w:rsidP="005D3FBB">
      <w:pPr>
        <w:pStyle w:val="Heading1"/>
      </w:pPr>
      <w:bookmarkStart w:id="27" w:name="_Toc535832776"/>
      <w:r>
        <w:t>The Bill</w:t>
      </w:r>
      <w:bookmarkEnd w:id="27"/>
    </w:p>
    <w:p w14:paraId="490141B7" w14:textId="70CEC34B" w:rsidR="005D3FBB" w:rsidRDefault="005D3FBB" w:rsidP="00CD03F7">
      <w:pPr>
        <w:pStyle w:val="ListNumber"/>
      </w:pPr>
      <w:r>
        <w:t>The Bill would repeal the exemption in section 38(3) of the SDA</w:t>
      </w:r>
      <w:r w:rsidR="00091E53">
        <w:t>, which</w:t>
      </w:r>
      <w:r>
        <w:t xml:space="preserve"> currently permits educational institutions established for religious purposes to discriminate against students on the ground of their sexual orientation, gender identity, marital or relationship status or pregnancy.</w:t>
      </w:r>
    </w:p>
    <w:p w14:paraId="5042DD66" w14:textId="4727096F" w:rsidR="005D3FBB" w:rsidRDefault="005D3FBB" w:rsidP="00CD03F7">
      <w:pPr>
        <w:pStyle w:val="ListNumber"/>
      </w:pPr>
      <w:r>
        <w:t>In order to fall within the current exemption in section 38(3), the discrimination must be done ‘in good faith in order to avoid injury to the religious susceptibilities’ of adherents of the particular religion in respect of which the institution was established.  Provided that this criteri</w:t>
      </w:r>
      <w:r w:rsidR="00D3020E">
        <w:t>on</w:t>
      </w:r>
      <w:r>
        <w:t xml:space="preserve"> is satisfied, the kinds of discrimination currently permitted include:</w:t>
      </w:r>
      <w:r>
        <w:rPr>
          <w:rStyle w:val="EndnoteReference"/>
        </w:rPr>
        <w:endnoteReference w:id="18"/>
      </w:r>
    </w:p>
    <w:p w14:paraId="30347CAE" w14:textId="77777777" w:rsidR="005D3FBB" w:rsidRDefault="005D3FBB" w:rsidP="003F04CD">
      <w:pPr>
        <w:pStyle w:val="ListParagraph"/>
        <w:numPr>
          <w:ilvl w:val="0"/>
          <w:numId w:val="17"/>
        </w:numPr>
        <w:ind w:left="1560"/>
      </w:pPr>
      <w:r>
        <w:t>refusing or failing to accept the person’s application for admission as a student</w:t>
      </w:r>
    </w:p>
    <w:p w14:paraId="689FE4E4" w14:textId="77777777" w:rsidR="005D3FBB" w:rsidRDefault="005D3FBB" w:rsidP="003F04CD">
      <w:pPr>
        <w:pStyle w:val="ListParagraph"/>
        <w:numPr>
          <w:ilvl w:val="0"/>
          <w:numId w:val="17"/>
        </w:numPr>
        <w:ind w:left="1560"/>
      </w:pPr>
      <w:r>
        <w:lastRenderedPageBreak/>
        <w:t>discriminating in relation to the terms or conditions on which the institution is prepared to admit the person as a student</w:t>
      </w:r>
    </w:p>
    <w:p w14:paraId="591CFC2F" w14:textId="77777777" w:rsidR="005D3FBB" w:rsidRDefault="005D3FBB" w:rsidP="003F04CD">
      <w:pPr>
        <w:pStyle w:val="ListParagraph"/>
        <w:numPr>
          <w:ilvl w:val="0"/>
          <w:numId w:val="17"/>
        </w:numPr>
        <w:ind w:left="1560"/>
      </w:pPr>
      <w:r>
        <w:t>denying the student access, or limiting the student’s access, to any benefit provided by the institution</w:t>
      </w:r>
    </w:p>
    <w:p w14:paraId="48036C7E" w14:textId="77777777" w:rsidR="005D3FBB" w:rsidRDefault="005D3FBB" w:rsidP="003F04CD">
      <w:pPr>
        <w:pStyle w:val="ListParagraph"/>
        <w:numPr>
          <w:ilvl w:val="0"/>
          <w:numId w:val="17"/>
        </w:numPr>
        <w:ind w:left="1560"/>
      </w:pPr>
      <w:r>
        <w:t>expelling the student</w:t>
      </w:r>
    </w:p>
    <w:p w14:paraId="4665FA4F" w14:textId="77777777" w:rsidR="005D3FBB" w:rsidRDefault="005D3FBB" w:rsidP="003F04CD">
      <w:pPr>
        <w:pStyle w:val="ListParagraph"/>
        <w:numPr>
          <w:ilvl w:val="0"/>
          <w:numId w:val="17"/>
        </w:numPr>
        <w:ind w:left="1560"/>
      </w:pPr>
      <w:r>
        <w:t>subjecting the student to any other detriment.</w:t>
      </w:r>
    </w:p>
    <w:p w14:paraId="51408F0D" w14:textId="77777777" w:rsidR="005D3FBB" w:rsidRDefault="005D3FBB" w:rsidP="00CD03F7">
      <w:pPr>
        <w:pStyle w:val="ListNumber"/>
      </w:pPr>
      <w:r>
        <w:t>As noted above, the Government, Opposition and minor parties agree that this exemption in section 38(3) should be repealed.</w:t>
      </w:r>
    </w:p>
    <w:p w14:paraId="34BCC435" w14:textId="77777777" w:rsidR="005D3FBB" w:rsidRDefault="005D3FBB" w:rsidP="00CD03F7">
      <w:pPr>
        <w:pStyle w:val="ListNumber"/>
      </w:pPr>
      <w:r>
        <w:t>The Bill also proposes an amendment to section 37 of the SDA.  This section contains general exemptions regarding the activities of religious bodies.  In particular, section 37(1)(d) provides a general exemption for any act or practice of a body established for religious purposes if the act or practice ‘conforms to the doctrines, tenets or beliefs of that religion or is necessary to avoid injury to the religious susceptibilities of adherents of that religion’.</w:t>
      </w:r>
    </w:p>
    <w:p w14:paraId="48C000F7" w14:textId="77777777" w:rsidR="005D3FBB" w:rsidRDefault="005D3FBB" w:rsidP="00CD03F7">
      <w:pPr>
        <w:pStyle w:val="ListNumber"/>
      </w:pPr>
      <w:r>
        <w:t>The Bill proposes to amend section 37 to avoid the possibility of educational institutions relying on the more general exemption in that section to engage in discriminatory practices against students following the repeal of section 38(3).</w:t>
      </w:r>
      <w:r>
        <w:rPr>
          <w:rStyle w:val="EndnoteReference"/>
        </w:rPr>
        <w:endnoteReference w:id="19"/>
      </w:r>
    </w:p>
    <w:p w14:paraId="3C0ED7D5" w14:textId="69CECDD5" w:rsidR="005D3FBB" w:rsidRDefault="005D3FBB" w:rsidP="00CD03F7">
      <w:pPr>
        <w:pStyle w:val="ListNumber"/>
      </w:pPr>
      <w:r>
        <w:t>As discussed in more detail below, the Bill does not propose to change the indirect discrimination provisions, which are subject to a test of reasonableness.</w:t>
      </w:r>
    </w:p>
    <w:p w14:paraId="652F5282" w14:textId="77777777" w:rsidR="008E3185" w:rsidRDefault="008E3185" w:rsidP="008E3185">
      <w:pPr>
        <w:pStyle w:val="Heading1"/>
      </w:pPr>
      <w:bookmarkStart w:id="28" w:name="_Toc535832777"/>
      <w:r>
        <w:t>Proposed amendments to this Bill</w:t>
      </w:r>
      <w:bookmarkEnd w:id="28"/>
    </w:p>
    <w:p w14:paraId="637D3EAF" w14:textId="5D0CA101" w:rsidR="008E3185" w:rsidRDefault="00113C79" w:rsidP="00CD03F7">
      <w:pPr>
        <w:pStyle w:val="ListNumber"/>
      </w:pPr>
      <w:r>
        <w:t xml:space="preserve">A number of amendments </w:t>
      </w:r>
      <w:r w:rsidR="005B1F2C">
        <w:t xml:space="preserve">to the Bill </w:t>
      </w:r>
      <w:r>
        <w:t xml:space="preserve">have been proposed </w:t>
      </w:r>
      <w:r w:rsidR="005B1F2C">
        <w:t>by the Government and other parties</w:t>
      </w:r>
      <w:r w:rsidR="00904615">
        <w:t xml:space="preserve">.  These address concerns that fall broadly into </w:t>
      </w:r>
      <w:r w:rsidR="003A7635">
        <w:t>four</w:t>
      </w:r>
      <w:r w:rsidR="00904615">
        <w:t xml:space="preserve"> categories:</w:t>
      </w:r>
      <w:r w:rsidR="00677E92">
        <w:t xml:space="preserve"> those concerning the meaning of </w:t>
      </w:r>
      <w:r w:rsidR="009C7F07">
        <w:t>‘</w:t>
      </w:r>
      <w:r w:rsidR="00677E92">
        <w:t>education</w:t>
      </w:r>
      <w:r w:rsidR="009C7F07">
        <w:t>’ and ‘educational institution’</w:t>
      </w:r>
      <w:r w:rsidR="00BA06E5">
        <w:t>;</w:t>
      </w:r>
      <w:r w:rsidR="00677E92">
        <w:t xml:space="preserve"> those concerning the ability of religious schools to teach and organise their affairs in accordance with their beliefs</w:t>
      </w:r>
      <w:r w:rsidR="00BA06E5">
        <w:t>;</w:t>
      </w:r>
      <w:r w:rsidR="00677E92">
        <w:t xml:space="preserve"> those concerning the </w:t>
      </w:r>
      <w:r w:rsidR="009C7F07">
        <w:t>‘</w:t>
      </w:r>
      <w:r w:rsidR="00677E92">
        <w:t>reasonableness</w:t>
      </w:r>
      <w:r w:rsidR="009C7F07">
        <w:t>’</w:t>
      </w:r>
      <w:r w:rsidR="00677E92">
        <w:t xml:space="preserve"> test and the best interests of the child</w:t>
      </w:r>
      <w:r w:rsidR="003A7635">
        <w:t>; and those concerning employees of educational institutions.</w:t>
      </w:r>
    </w:p>
    <w:p w14:paraId="56DAAA45" w14:textId="761620C5" w:rsidR="003423F4" w:rsidRDefault="00F73F26" w:rsidP="00C048D1">
      <w:pPr>
        <w:pStyle w:val="Heading2"/>
      </w:pPr>
      <w:bookmarkStart w:id="29" w:name="_Toc535832778"/>
      <w:r>
        <w:t xml:space="preserve">The meaning of </w:t>
      </w:r>
      <w:r w:rsidR="005D3FBB">
        <w:t>‘</w:t>
      </w:r>
      <w:r>
        <w:t>education</w:t>
      </w:r>
      <w:r w:rsidR="005D3FBB">
        <w:t>’</w:t>
      </w:r>
      <w:r w:rsidR="00FA30A7">
        <w:t xml:space="preserve"> and ‘educational institution’</w:t>
      </w:r>
      <w:bookmarkEnd w:id="29"/>
    </w:p>
    <w:p w14:paraId="5EB35480" w14:textId="0DFDE0BE" w:rsidR="00AF5E99" w:rsidRDefault="00AF5E99" w:rsidP="00CD03F7">
      <w:pPr>
        <w:pStyle w:val="ListNumber"/>
      </w:pPr>
      <w:r>
        <w:t xml:space="preserve">The Bill proposes to add a paragraph to </w:t>
      </w:r>
      <w:r w:rsidR="005D3FBB">
        <w:t xml:space="preserve">the general exemption for religious bodies in </w:t>
      </w:r>
      <w:r>
        <w:t>s</w:t>
      </w:r>
      <w:r w:rsidR="005D4633">
        <w:t>ection</w:t>
      </w:r>
      <w:r>
        <w:t xml:space="preserve"> 37 stating that the general exemption </w:t>
      </w:r>
      <w:r w:rsidR="005D3FBB">
        <w:t xml:space="preserve">in section 37(1)(d) </w:t>
      </w:r>
      <w:r>
        <w:t>do</w:t>
      </w:r>
      <w:r w:rsidR="005D3FBB">
        <w:t>es</w:t>
      </w:r>
      <w:r>
        <w:t xml:space="preserve"> not apply to an act or practice of a body established for religious purposes if:</w:t>
      </w:r>
    </w:p>
    <w:p w14:paraId="20BD884C" w14:textId="6F234E8B" w:rsidR="00AF5E99" w:rsidRPr="00E4510B" w:rsidRDefault="00AF5E99" w:rsidP="00E4510B">
      <w:pPr>
        <w:ind w:left="1560"/>
        <w:rPr>
          <w:sz w:val="22"/>
          <w:szCs w:val="22"/>
        </w:rPr>
      </w:pPr>
      <w:r w:rsidRPr="00E4510B">
        <w:rPr>
          <w:sz w:val="22"/>
          <w:szCs w:val="22"/>
        </w:rPr>
        <w:lastRenderedPageBreak/>
        <w:t>(a) the act or practice is connected with the provision, by the body, of education; and</w:t>
      </w:r>
    </w:p>
    <w:p w14:paraId="22227E43" w14:textId="38891F03" w:rsidR="00AF5E99" w:rsidRPr="00E4510B" w:rsidRDefault="00AF5E99" w:rsidP="00E4510B">
      <w:pPr>
        <w:ind w:left="1560"/>
        <w:rPr>
          <w:sz w:val="22"/>
          <w:szCs w:val="22"/>
        </w:rPr>
      </w:pPr>
      <w:r w:rsidRPr="00E4510B">
        <w:rPr>
          <w:sz w:val="22"/>
          <w:szCs w:val="22"/>
        </w:rPr>
        <w:t>(b) the act or practice is not connected with the employment of persons to provide that education.</w:t>
      </w:r>
      <w:r w:rsidR="002D63E0" w:rsidRPr="00E4510B">
        <w:rPr>
          <w:rStyle w:val="EndnoteReference"/>
          <w:sz w:val="22"/>
          <w:szCs w:val="22"/>
        </w:rPr>
        <w:endnoteReference w:id="20"/>
      </w:r>
    </w:p>
    <w:p w14:paraId="2052A217" w14:textId="25DC6781" w:rsidR="000D7922" w:rsidRDefault="000D7922" w:rsidP="00CD03F7">
      <w:pPr>
        <w:pStyle w:val="ListNumber"/>
      </w:pPr>
      <w:r>
        <w:t xml:space="preserve">The Government </w:t>
      </w:r>
      <w:r w:rsidR="005B1F2C">
        <w:t xml:space="preserve">has expressed </w:t>
      </w:r>
      <w:r w:rsidR="00197AAE">
        <w:t xml:space="preserve">concern that </w:t>
      </w:r>
      <w:r w:rsidR="00AF5E99">
        <w:t>this</w:t>
      </w:r>
      <w:r w:rsidR="005B1F2C">
        <w:t xml:space="preserve"> </w:t>
      </w:r>
      <w:r w:rsidR="003D1A18">
        <w:t>proposed amendment to s</w:t>
      </w:r>
      <w:r w:rsidR="004A3306">
        <w:t>ection</w:t>
      </w:r>
      <w:r w:rsidR="003D1A18">
        <w:t xml:space="preserve"> 37 </w:t>
      </w:r>
      <w:r w:rsidR="00197AAE">
        <w:t xml:space="preserve">could </w:t>
      </w:r>
      <w:r w:rsidR="004E4F71">
        <w:t xml:space="preserve">make unlawful </w:t>
      </w:r>
      <w:r w:rsidR="00FA30A7">
        <w:t xml:space="preserve">educational </w:t>
      </w:r>
      <w:r w:rsidR="00197AAE">
        <w:t xml:space="preserve">activities of </w:t>
      </w:r>
      <w:r w:rsidR="00FA30A7">
        <w:t xml:space="preserve">certain </w:t>
      </w:r>
      <w:r w:rsidR="00197AAE">
        <w:t xml:space="preserve">religious bodies </w:t>
      </w:r>
      <w:r w:rsidR="00FA30A7">
        <w:t>which do not fall within the definition of ‘</w:t>
      </w:r>
      <w:r w:rsidR="00197AAE">
        <w:t>educational institutions</w:t>
      </w:r>
      <w:r w:rsidR="00FA30A7">
        <w:t>’</w:t>
      </w:r>
      <w:r w:rsidR="00197AAE">
        <w:t xml:space="preserve"> and thereby constitute an unwarranted interference with the right to freedom of religion.</w:t>
      </w:r>
      <w:r w:rsidR="00CB1502">
        <w:rPr>
          <w:rStyle w:val="EndnoteReference"/>
        </w:rPr>
        <w:endnoteReference w:id="21"/>
      </w:r>
    </w:p>
    <w:p w14:paraId="468C5EF6" w14:textId="6C7C5AB0" w:rsidR="00F11B6D" w:rsidRDefault="00F11B6D" w:rsidP="00CD03F7">
      <w:pPr>
        <w:pStyle w:val="ListNumber"/>
      </w:pPr>
      <w:r>
        <w:t xml:space="preserve">The term ‘body established for religious purposes’ would cover bodies such as temples, churches, mosques and synagogues. Moreover, it is conceivable that an ‘act or practice connected with the provision, by the body, of education’ could include a church-run seminar on marriage, a </w:t>
      </w:r>
      <w:r w:rsidR="002D374A">
        <w:t>Torah</w:t>
      </w:r>
      <w:r>
        <w:t xml:space="preserve"> study course run by a synagogue, or even a sermon in a mosque. Hence, it would be useful to clarify the scope of </w:t>
      </w:r>
      <w:r w:rsidR="00813259">
        <w:t xml:space="preserve">sections </w:t>
      </w:r>
      <w:r>
        <w:t>37 and 38 of the SDA, as amended by the Bill.</w:t>
      </w:r>
    </w:p>
    <w:p w14:paraId="1D21065A" w14:textId="057F217F" w:rsidR="004A3306" w:rsidRDefault="00CC1E5E" w:rsidP="00CD03F7">
      <w:pPr>
        <w:pStyle w:val="ListNumber"/>
      </w:pPr>
      <w:r>
        <w:t xml:space="preserve">The </w:t>
      </w:r>
      <w:r w:rsidR="00C02099">
        <w:t xml:space="preserve">Government amendment </w:t>
      </w:r>
      <w:r>
        <w:t xml:space="preserve">in Sheet </w:t>
      </w:r>
      <w:r w:rsidR="00C02099">
        <w:t>KQ147</w:t>
      </w:r>
      <w:r w:rsidR="000D7922">
        <w:t xml:space="preserve"> </w:t>
      </w:r>
      <w:r w:rsidR="004A3306">
        <w:t>proposes to address this problem by removing the amendment</w:t>
      </w:r>
      <w:r w:rsidR="00C02099">
        <w:t xml:space="preserve"> to section 37</w:t>
      </w:r>
      <w:r w:rsidR="004A3306">
        <w:t xml:space="preserve"> altogether.</w:t>
      </w:r>
      <w:r w:rsidR="006A1E8A">
        <w:rPr>
          <w:rStyle w:val="EndnoteReference"/>
        </w:rPr>
        <w:endnoteReference w:id="22"/>
      </w:r>
      <w:r w:rsidR="004A3306">
        <w:t xml:space="preserve">  The Commission considers </w:t>
      </w:r>
      <w:r w:rsidR="005D4633">
        <w:t>this</w:t>
      </w:r>
      <w:r w:rsidR="004A3306">
        <w:t xml:space="preserve"> unsatisfactory, as it may allow </w:t>
      </w:r>
      <w:r w:rsidR="005637C2">
        <w:t>educational institutions</w:t>
      </w:r>
      <w:r w:rsidR="004A3306">
        <w:t xml:space="preserve"> to </w:t>
      </w:r>
      <w:r w:rsidR="005637C2">
        <w:t xml:space="preserve">continue to </w:t>
      </w:r>
      <w:r w:rsidR="004A3306">
        <w:t xml:space="preserve">rely on the general exemption </w:t>
      </w:r>
      <w:r w:rsidR="00FA30A7">
        <w:t xml:space="preserve">in section 37(1)(d) </w:t>
      </w:r>
      <w:r w:rsidR="004A3306">
        <w:t>following the repeal of section 38(3).</w:t>
      </w:r>
    </w:p>
    <w:p w14:paraId="16FD74CD" w14:textId="55020DE2" w:rsidR="00DD79F9" w:rsidRDefault="00CC1E5E" w:rsidP="00CD03F7">
      <w:pPr>
        <w:pStyle w:val="ListNumber"/>
      </w:pPr>
      <w:r>
        <w:t>A</w:t>
      </w:r>
      <w:r w:rsidR="00C50ECA">
        <w:t xml:space="preserve"> proposed amendment</w:t>
      </w:r>
      <w:r>
        <w:t xml:space="preserve"> from Senator Patrick, </w:t>
      </w:r>
      <w:r w:rsidR="0022495E">
        <w:t xml:space="preserve">Centre Alliance, </w:t>
      </w:r>
      <w:r>
        <w:t xml:space="preserve">outlined in Sheet </w:t>
      </w:r>
      <w:r w:rsidR="00D0368F">
        <w:t>8614</w:t>
      </w:r>
      <w:r w:rsidR="00C50ECA">
        <w:t>,</w:t>
      </w:r>
      <w:r w:rsidR="005B1F2C">
        <w:t xml:space="preserve"> aims to deal with th</w:t>
      </w:r>
      <w:r w:rsidR="004A3306">
        <w:t>e</w:t>
      </w:r>
      <w:r w:rsidR="005B1F2C">
        <w:t xml:space="preserve"> concern</w:t>
      </w:r>
      <w:r w:rsidR="00A902C2">
        <w:t xml:space="preserve"> </w:t>
      </w:r>
      <w:r w:rsidR="00F11B6D">
        <w:t xml:space="preserve">more specifically </w:t>
      </w:r>
      <w:r w:rsidR="00A902C2">
        <w:t xml:space="preserve">by replacing the word </w:t>
      </w:r>
      <w:r w:rsidR="00FA30A7">
        <w:t>‘</w:t>
      </w:r>
      <w:r w:rsidR="00A902C2">
        <w:t>body</w:t>
      </w:r>
      <w:r w:rsidR="00FA30A7">
        <w:t>’</w:t>
      </w:r>
      <w:r w:rsidR="00A902C2">
        <w:t xml:space="preserve">, in item 1 of Schedule 1 of the Bill, with the words </w:t>
      </w:r>
      <w:r w:rsidR="00FA30A7">
        <w:t>‘</w:t>
      </w:r>
      <w:r w:rsidR="00A902C2">
        <w:t>educational institution</w:t>
      </w:r>
      <w:r w:rsidR="00FA30A7">
        <w:t>’</w:t>
      </w:r>
      <w:r w:rsidR="005B1F2C">
        <w:t>.</w:t>
      </w:r>
      <w:r w:rsidR="001105AA">
        <w:rPr>
          <w:rStyle w:val="EndnoteReference"/>
        </w:rPr>
        <w:endnoteReference w:id="23"/>
      </w:r>
      <w:r w:rsidR="005637C2">
        <w:t xml:space="preserve">   </w:t>
      </w:r>
    </w:p>
    <w:p w14:paraId="6E912946" w14:textId="77777777" w:rsidR="00CD6FB2" w:rsidRDefault="00D16B0B" w:rsidP="00CD6FB2">
      <w:pPr>
        <w:pStyle w:val="ListNumber"/>
      </w:pPr>
      <w:r>
        <w:t>This amendment</w:t>
      </w:r>
      <w:r w:rsidR="004F0187">
        <w:t xml:space="preserve"> would clarify that the Bill only purports to affect the education and training activities of educational institutions, not other religious bodies. </w:t>
      </w:r>
      <w:r w:rsidR="004D7648">
        <w:t xml:space="preserve">For this reason, the Commission recommends that </w:t>
      </w:r>
      <w:r>
        <w:t xml:space="preserve">the </w:t>
      </w:r>
      <w:r w:rsidR="004D7648">
        <w:t>ame</w:t>
      </w:r>
      <w:r w:rsidR="00C0569F">
        <w:t>ndment</w:t>
      </w:r>
      <w:r>
        <w:t xml:space="preserve"> outlined in Sheet</w:t>
      </w:r>
      <w:r w:rsidR="00C0569F">
        <w:t xml:space="preserve"> 8614</w:t>
      </w:r>
      <w:r w:rsidR="004D7648">
        <w:t xml:space="preserve"> be adopted.</w:t>
      </w:r>
      <w:r w:rsidR="00CD6FB2" w:rsidRPr="00CD6FB2">
        <w:t xml:space="preserve"> </w:t>
      </w:r>
    </w:p>
    <w:p w14:paraId="272EE467" w14:textId="1328411C" w:rsidR="004D7648" w:rsidRDefault="00CD6FB2" w:rsidP="003A7635">
      <w:pPr>
        <w:pStyle w:val="ListNumber"/>
      </w:pPr>
      <w:r>
        <w:t>An alternative amendment to s</w:t>
      </w:r>
      <w:r w:rsidR="00F12FFB">
        <w:t>ection</w:t>
      </w:r>
      <w:r>
        <w:t> 37(3) has been proposed by the Australian Greens in Sheet 8601. That amendment would have the effect that no religious body could rely on the exemption in s</w:t>
      </w:r>
      <w:r w:rsidR="00F12FFB">
        <w:t>ection</w:t>
      </w:r>
      <w:r>
        <w:t xml:space="preserve"> 37(1)(d) in relation to an act or practice connected with the provision of education. Because of the breadth of activities that might constitute the provision of education, and the application of this proposed amendment to bodies beyond those that are ‘educational institutions’ for the purposes of the SDA, the Commission does not support this proposed amendment in the present Bill.  </w:t>
      </w:r>
    </w:p>
    <w:p w14:paraId="4CFD0FB2" w14:textId="77777777" w:rsidR="007D4562" w:rsidRDefault="007D4562" w:rsidP="007D4562">
      <w:pPr>
        <w:pStyle w:val="Heading2"/>
      </w:pPr>
      <w:bookmarkStart w:id="30" w:name="_Toc535244926"/>
      <w:bookmarkStart w:id="31" w:name="_Toc535832779"/>
      <w:bookmarkEnd w:id="30"/>
      <w:r>
        <w:lastRenderedPageBreak/>
        <w:t>The ability of religious schools to teach and organise their affairs in accordance with their beliefs</w:t>
      </w:r>
      <w:bookmarkEnd w:id="31"/>
    </w:p>
    <w:p w14:paraId="234FF60F" w14:textId="77777777" w:rsidR="000D71CD" w:rsidRDefault="00D16B0B" w:rsidP="00CD03F7">
      <w:pPr>
        <w:pStyle w:val="ListNumber"/>
      </w:pPr>
      <w:r>
        <w:t>The Government a</w:t>
      </w:r>
      <w:r w:rsidR="00884C57">
        <w:t>mendment</w:t>
      </w:r>
      <w:r>
        <w:t xml:space="preserve"> in Sheet</w:t>
      </w:r>
      <w:r w:rsidR="00884C57">
        <w:t xml:space="preserve"> </w:t>
      </w:r>
      <w:r w:rsidR="005D4DE1">
        <w:t>KQ149</w:t>
      </w:r>
      <w:r w:rsidR="00884C57">
        <w:t xml:space="preserve"> propose</w:t>
      </w:r>
      <w:r w:rsidR="0036382C">
        <w:t>s</w:t>
      </w:r>
      <w:r w:rsidR="00884C57">
        <w:t xml:space="preserve"> to </w:t>
      </w:r>
      <w:r w:rsidR="002C4758">
        <w:t>clarify that</w:t>
      </w:r>
      <w:r w:rsidR="00884C57">
        <w:t xml:space="preserve"> religious educational institutions </w:t>
      </w:r>
      <w:r w:rsidR="000D71CD">
        <w:t>are able to maintain teaching activities that are i</w:t>
      </w:r>
      <w:r w:rsidR="002F232F">
        <w:t>n good faith in accordance with</w:t>
      </w:r>
      <w:r w:rsidR="00884C57">
        <w:t xml:space="preserve"> </w:t>
      </w:r>
      <w:r w:rsidR="000D71CD">
        <w:t>the</w:t>
      </w:r>
      <w:r w:rsidR="0036382C">
        <w:t xml:space="preserve"> doctrines, tenets, beliefs or teachings</w:t>
      </w:r>
      <w:r w:rsidR="000D71CD">
        <w:t xml:space="preserve"> of a particular religion or creed.</w:t>
      </w:r>
      <w:r w:rsidR="00BD2FAB">
        <w:rPr>
          <w:rStyle w:val="EndnoteReference"/>
        </w:rPr>
        <w:endnoteReference w:id="24"/>
      </w:r>
    </w:p>
    <w:p w14:paraId="4D9F617C" w14:textId="79B00121" w:rsidR="002F232F" w:rsidRDefault="000D71CD" w:rsidP="00CD03F7">
      <w:pPr>
        <w:pStyle w:val="ListNumber"/>
      </w:pPr>
      <w:r>
        <w:t xml:space="preserve">The Explanatory Memorandum for this amendment notes that </w:t>
      </w:r>
      <w:r w:rsidR="00F4572B">
        <w:t>‘</w:t>
      </w:r>
      <w:r>
        <w:t xml:space="preserve">many faith-based schools have raised concerns that the removal of </w:t>
      </w:r>
      <w:r w:rsidR="00711D67">
        <w:t xml:space="preserve">this </w:t>
      </w:r>
      <w:r>
        <w:t xml:space="preserve">exemption </w:t>
      </w:r>
      <w:r w:rsidR="00711D67">
        <w:t>[</w:t>
      </w:r>
      <w:r>
        <w:t>in s</w:t>
      </w:r>
      <w:r w:rsidR="00711D67">
        <w:t> </w:t>
      </w:r>
      <w:r>
        <w:t>38(3)</w:t>
      </w:r>
      <w:r w:rsidR="00A8205D">
        <w:t xml:space="preserve"> of the SDA</w:t>
      </w:r>
      <w:r w:rsidR="00F4572B">
        <w:t>]</w:t>
      </w:r>
      <w:r>
        <w:t xml:space="preserve"> </w:t>
      </w:r>
      <w:r w:rsidR="00711D67">
        <w:t xml:space="preserve">entirely </w:t>
      </w:r>
      <w:r>
        <w:t>may challenge their ability to teach in accordance with their religious beliefs or ethos</w:t>
      </w:r>
      <w:r w:rsidR="00F12FFB">
        <w:t>’</w:t>
      </w:r>
      <w:r>
        <w:t>.</w:t>
      </w:r>
      <w:r w:rsidR="009B1F71">
        <w:rPr>
          <w:rStyle w:val="EndnoteReference"/>
        </w:rPr>
        <w:endnoteReference w:id="25"/>
      </w:r>
    </w:p>
    <w:p w14:paraId="1B4679CC" w14:textId="27FFA301" w:rsidR="008F1AB5" w:rsidRDefault="006B271C" w:rsidP="00CD03F7">
      <w:pPr>
        <w:pStyle w:val="ListNumber"/>
        <w:rPr>
          <w:u w:val="single"/>
        </w:rPr>
      </w:pPr>
      <w:r>
        <w:t xml:space="preserve">The SDA makes unlawful two kinds of conduct: direct and indirect discrimination.  ‘Direct’ discrimination involves treating a person less favourably </w:t>
      </w:r>
      <w:r w:rsidR="00DC700B" w:rsidRPr="00166450">
        <w:rPr>
          <w:i/>
        </w:rPr>
        <w:t>by reason</w:t>
      </w:r>
      <w:r w:rsidRPr="00166450">
        <w:rPr>
          <w:i/>
        </w:rPr>
        <w:t xml:space="preserve"> of</w:t>
      </w:r>
      <w:r w:rsidRPr="00166450">
        <w:t>, for example, their sexual orientation or gender identity (or because of actual or imputed characteristics that appertain to people with a particular sexual orientation or gender identity).</w:t>
      </w:r>
      <w:r w:rsidR="0007019B">
        <w:rPr>
          <w:rStyle w:val="EndnoteReference"/>
        </w:rPr>
        <w:endnoteReference w:id="26"/>
      </w:r>
      <w:r w:rsidRPr="00166450">
        <w:t xml:space="preserve">  ‘Indirect’ discrimination</w:t>
      </w:r>
      <w:r w:rsidR="008C0EC0" w:rsidRPr="00166450">
        <w:t xml:space="preserve"> </w:t>
      </w:r>
      <w:r w:rsidRPr="00166450">
        <w:t>involves imposing a</w:t>
      </w:r>
      <w:r w:rsidR="008C0EC0" w:rsidRPr="00166450">
        <w:t xml:space="preserve"> condition, requirement or practice that has, or is likely to have, the effect of disadvantaging people with</w:t>
      </w:r>
      <w:r w:rsidR="0010209E" w:rsidRPr="00166450">
        <w:t>, in this case,</w:t>
      </w:r>
      <w:r w:rsidR="008C0EC0" w:rsidRPr="00166450">
        <w:t xml:space="preserve"> a particular </w:t>
      </w:r>
      <w:r w:rsidR="0010209E" w:rsidRPr="00166450">
        <w:t>sexual orientation or gender identity.</w:t>
      </w:r>
      <w:r w:rsidR="00712506">
        <w:rPr>
          <w:rStyle w:val="EndnoteReference"/>
        </w:rPr>
        <w:endnoteReference w:id="27"/>
      </w:r>
    </w:p>
    <w:p w14:paraId="79BB3530" w14:textId="3C532104" w:rsidR="006B271C" w:rsidRPr="00092875" w:rsidRDefault="006943DB" w:rsidP="00CD03F7">
      <w:pPr>
        <w:pStyle w:val="ListNumber"/>
      </w:pPr>
      <w:r>
        <w:t xml:space="preserve">The agreed objective of the Bill is to remove the ability for religious schools to discriminate </w:t>
      </w:r>
      <w:r>
        <w:rPr>
          <w:i/>
        </w:rPr>
        <w:t xml:space="preserve">directly </w:t>
      </w:r>
      <w:r>
        <w:t>against students on the basis of their sexual orientation or gender identity</w:t>
      </w:r>
      <w:r w:rsidRPr="00092875">
        <w:t xml:space="preserve">. </w:t>
      </w:r>
      <w:r w:rsidR="00D548CD">
        <w:t>The Commission has not identified a</w:t>
      </w:r>
      <w:r w:rsidR="00C43FC5">
        <w:t>ny credible justification for the claim that</w:t>
      </w:r>
      <w:r w:rsidR="00D548CD">
        <w:t xml:space="preserve"> it should be legally permissible to treat particular students less favourably by reason of their sexual orientation, gender identity, marital or relationship status or pregnancy.</w:t>
      </w:r>
    </w:p>
    <w:p w14:paraId="62DF80C1" w14:textId="77777777" w:rsidR="00C43FC5" w:rsidRDefault="00F306E4" w:rsidP="00CD03F7">
      <w:pPr>
        <w:pStyle w:val="ListNumber"/>
      </w:pPr>
      <w:r w:rsidRPr="00166450">
        <w:t>T</w:t>
      </w:r>
      <w:r w:rsidR="008C0EC0" w:rsidRPr="00166450">
        <w:t>he</w:t>
      </w:r>
      <w:r w:rsidR="00166450" w:rsidRPr="00166450">
        <w:t>refore, it seems more likely that the</w:t>
      </w:r>
      <w:r w:rsidR="008C0EC0" w:rsidRPr="00166450">
        <w:t xml:space="preserve"> proposed amendment </w:t>
      </w:r>
      <w:r w:rsidR="00166450" w:rsidRPr="00166450">
        <w:t xml:space="preserve">in Sheet KQ149 is </w:t>
      </w:r>
      <w:r w:rsidR="008C0EC0" w:rsidRPr="00166450">
        <w:t xml:space="preserve">motivated by a concern that teaching conducted in accordance with a religious belief or ethos may amount to </w:t>
      </w:r>
      <w:r w:rsidR="008C0EC0" w:rsidRPr="00166450">
        <w:rPr>
          <w:i/>
        </w:rPr>
        <w:t xml:space="preserve">indirect </w:t>
      </w:r>
      <w:r w:rsidR="008C0EC0" w:rsidRPr="00166450">
        <w:t>discrimination.</w:t>
      </w:r>
      <w:r w:rsidR="00166450">
        <w:t xml:space="preserve"> </w:t>
      </w:r>
    </w:p>
    <w:p w14:paraId="1DF4677A" w14:textId="2A5A7F42" w:rsidR="008C0EC0" w:rsidRDefault="00B27E10" w:rsidP="00CD03F7">
      <w:pPr>
        <w:pStyle w:val="ListNumber"/>
      </w:pPr>
      <w:r>
        <w:t xml:space="preserve">The </w:t>
      </w:r>
      <w:r w:rsidR="00166450">
        <w:t xml:space="preserve">Explanatory Memorandum </w:t>
      </w:r>
      <w:r>
        <w:t>accompanying</w:t>
      </w:r>
      <w:r w:rsidR="00166450">
        <w:t xml:space="preserve"> Sheet KQ149</w:t>
      </w:r>
      <w:r>
        <w:t xml:space="preserve"> offers an example of the kind of conduct that the amendment in that sheet is intended to protect</w:t>
      </w:r>
      <w:r w:rsidR="00166450">
        <w:t>:</w:t>
      </w:r>
    </w:p>
    <w:p w14:paraId="443282AB" w14:textId="77777777" w:rsidR="00166450" w:rsidRPr="00564CCE" w:rsidRDefault="00166450" w:rsidP="00E4510B">
      <w:pPr>
        <w:ind w:left="1560"/>
        <w:rPr>
          <w:sz w:val="20"/>
          <w:szCs w:val="20"/>
        </w:rPr>
      </w:pPr>
      <w:r w:rsidRPr="003D3A57">
        <w:rPr>
          <w:sz w:val="22"/>
          <w:szCs w:val="20"/>
        </w:rPr>
        <w:t>A school that is conducted in accordance with the doctrines, tenets, beliefs or teachings of a particular religion or creed teaches that its doctrines, tenets, beliefs or teachings prescribe a particular view on a moral matter, or a particular understanding of social institutions. The teaching is provided in good faith.</w:t>
      </w:r>
      <w:r>
        <w:rPr>
          <w:rStyle w:val="EndnoteReference"/>
        </w:rPr>
        <w:endnoteReference w:id="28"/>
      </w:r>
    </w:p>
    <w:p w14:paraId="60CBC1AC" w14:textId="462AEA00" w:rsidR="006A00E8" w:rsidRDefault="002F232F" w:rsidP="00CD03F7">
      <w:pPr>
        <w:pStyle w:val="ListNumber"/>
      </w:pPr>
      <w:r>
        <w:t>Section 7B of the SDA</w:t>
      </w:r>
      <w:r w:rsidR="00DD79F9">
        <w:t xml:space="preserve"> currently</w:t>
      </w:r>
      <w:r>
        <w:t xml:space="preserve"> </w:t>
      </w:r>
      <w:r w:rsidR="00D13FBC">
        <w:t xml:space="preserve">provides </w:t>
      </w:r>
      <w:r>
        <w:t>that</w:t>
      </w:r>
      <w:r w:rsidR="00C9341B">
        <w:t xml:space="preserve"> </w:t>
      </w:r>
      <w:r w:rsidR="00D13FBC">
        <w:t xml:space="preserve">the imposition of a condition, requirement or practice will not amount to indirect </w:t>
      </w:r>
      <w:r>
        <w:t>discrimination ‘if the condition, requirement or practice is reasonable in the</w:t>
      </w:r>
      <w:r w:rsidR="00C9341B">
        <w:t xml:space="preserve"> c</w:t>
      </w:r>
      <w:r w:rsidR="006A00E8">
        <w:t>ircumstances</w:t>
      </w:r>
      <w:r w:rsidR="002B7159">
        <w:t>’</w:t>
      </w:r>
      <w:r w:rsidR="006A00E8">
        <w:t>.</w:t>
      </w:r>
    </w:p>
    <w:p w14:paraId="03D1BE60" w14:textId="775FE354" w:rsidR="007D4562" w:rsidRDefault="00166450" w:rsidP="00CD03F7">
      <w:pPr>
        <w:pStyle w:val="ListNumber"/>
      </w:pPr>
      <w:r>
        <w:lastRenderedPageBreak/>
        <w:t xml:space="preserve">Section 7B therefore already provides that teaching in accordance with a religious belief or ethos will not amount to indirect discrimination if </w:t>
      </w:r>
      <w:r w:rsidR="002B7159">
        <w:t>any conditions or requirements imposed on students are</w:t>
      </w:r>
      <w:r>
        <w:t xml:space="preserve"> reasonable in all the circumstances.  In the Commission’s view, this provides an adequate protection for educational institutions</w:t>
      </w:r>
      <w:r w:rsidR="00CA5293">
        <w:t xml:space="preserve">. </w:t>
      </w:r>
    </w:p>
    <w:p w14:paraId="20812904" w14:textId="34A10BD9" w:rsidR="002B3AEE" w:rsidRDefault="002B3AEE" w:rsidP="00CD03F7">
      <w:pPr>
        <w:pStyle w:val="ListNumber"/>
      </w:pPr>
      <w:r>
        <w:t xml:space="preserve">Further, there is a risk that </w:t>
      </w:r>
      <w:r w:rsidR="000B329D">
        <w:t xml:space="preserve">the </w:t>
      </w:r>
      <w:r w:rsidR="00D16B0B">
        <w:t>amendment</w:t>
      </w:r>
      <w:r>
        <w:t xml:space="preserve"> </w:t>
      </w:r>
      <w:r w:rsidR="000B329D">
        <w:t xml:space="preserve">in Sheet KQ149 </w:t>
      </w:r>
      <w:r>
        <w:t>could make certain forms of direct discrimination lawful</w:t>
      </w:r>
      <w:r w:rsidR="00C9341B">
        <w:t>, which would undermine the agreed objective of the Bill.</w:t>
      </w:r>
      <w:r>
        <w:t xml:space="preserve"> </w:t>
      </w:r>
    </w:p>
    <w:p w14:paraId="160F4484" w14:textId="77777777" w:rsidR="00D36A88" w:rsidRDefault="00D36A88" w:rsidP="00CD03F7">
      <w:pPr>
        <w:pStyle w:val="ListNumber"/>
      </w:pPr>
      <w:r>
        <w:t>For these reasons, the Commission does not support this amendment.</w:t>
      </w:r>
    </w:p>
    <w:p w14:paraId="62C4290F" w14:textId="1ED692D2" w:rsidR="00D36A88" w:rsidRDefault="00D36A88" w:rsidP="00D36A88">
      <w:pPr>
        <w:pStyle w:val="Heading2"/>
      </w:pPr>
      <w:bookmarkStart w:id="32" w:name="_Toc535832780"/>
      <w:r>
        <w:t xml:space="preserve">The </w:t>
      </w:r>
      <w:r w:rsidR="000B329D">
        <w:t>‘</w:t>
      </w:r>
      <w:r>
        <w:t>reasonableness</w:t>
      </w:r>
      <w:r w:rsidR="000B329D">
        <w:t>’</w:t>
      </w:r>
      <w:r>
        <w:t xml:space="preserve"> test and the best interests of the child</w:t>
      </w:r>
      <w:bookmarkEnd w:id="32"/>
    </w:p>
    <w:p w14:paraId="1A680BA1" w14:textId="2268C244" w:rsidR="00526811" w:rsidRDefault="00D16B0B" w:rsidP="00CD03F7">
      <w:pPr>
        <w:pStyle w:val="ListNumber"/>
      </w:pPr>
      <w:r>
        <w:t>The Government a</w:t>
      </w:r>
      <w:r w:rsidR="00C5124B">
        <w:t>mendments</w:t>
      </w:r>
      <w:r>
        <w:t xml:space="preserve"> in Sheets</w:t>
      </w:r>
      <w:r w:rsidR="00C5124B">
        <w:t xml:space="preserve"> </w:t>
      </w:r>
      <w:r w:rsidR="003F332C">
        <w:t>KQ148</w:t>
      </w:r>
      <w:r w:rsidR="00054E2A">
        <w:t>, KQ150</w:t>
      </w:r>
      <w:r w:rsidR="003F332C">
        <w:t xml:space="preserve"> and KQ151</w:t>
      </w:r>
      <w:r w:rsidR="00284B8B">
        <w:t xml:space="preserve"> </w:t>
      </w:r>
      <w:r w:rsidR="00C5124B">
        <w:t>deal with the indirect discrimination provisions in section 7</w:t>
      </w:r>
      <w:r w:rsidR="002F3A1F">
        <w:t>B</w:t>
      </w:r>
      <w:r w:rsidR="009E0D19">
        <w:t xml:space="preserve"> of the SDA</w:t>
      </w:r>
      <w:r w:rsidR="00C5124B">
        <w:t>.</w:t>
      </w:r>
      <w:r w:rsidR="00A01013">
        <w:t xml:space="preserve">  </w:t>
      </w:r>
      <w:r w:rsidR="00750727">
        <w:t>The proposed amendments in Sheet</w:t>
      </w:r>
      <w:r w:rsidR="00054E2A">
        <w:t>s</w:t>
      </w:r>
      <w:r w:rsidR="00750727">
        <w:t xml:space="preserve"> </w:t>
      </w:r>
      <w:r w:rsidR="00054E2A">
        <w:t xml:space="preserve">KQ150 and </w:t>
      </w:r>
      <w:r w:rsidR="00750727">
        <w:t xml:space="preserve">KQ151 </w:t>
      </w:r>
      <w:r w:rsidR="00A01013">
        <w:t xml:space="preserve">add factors </w:t>
      </w:r>
      <w:r w:rsidR="00A902C2">
        <w:t xml:space="preserve">that would </w:t>
      </w:r>
      <w:r w:rsidR="00750727">
        <w:t xml:space="preserve">need to </w:t>
      </w:r>
      <w:r w:rsidR="00A902C2">
        <w:t xml:space="preserve">be </w:t>
      </w:r>
      <w:r w:rsidR="00A01013">
        <w:t>take</w:t>
      </w:r>
      <w:r w:rsidR="00750727">
        <w:t>n</w:t>
      </w:r>
      <w:r w:rsidR="00A01013">
        <w:t xml:space="preserve"> into account when determining whether an act or practice</w:t>
      </w:r>
      <w:r w:rsidR="00A902C2">
        <w:t xml:space="preserve">, which </w:t>
      </w:r>
      <w:r w:rsidR="00D94EBF">
        <w:t>could be seen as discriminatory against students</w:t>
      </w:r>
      <w:r w:rsidR="00A902C2">
        <w:t>,</w:t>
      </w:r>
      <w:r w:rsidR="00A01013">
        <w:t xml:space="preserve"> </w:t>
      </w:r>
      <w:r w:rsidR="002F3A1F">
        <w:t>is</w:t>
      </w:r>
      <w:r w:rsidR="00A01013">
        <w:t xml:space="preserve"> </w:t>
      </w:r>
      <w:r w:rsidR="00750727">
        <w:t>‘</w:t>
      </w:r>
      <w:r w:rsidR="00A01013">
        <w:t>reasonable</w:t>
      </w:r>
      <w:r w:rsidR="00750727">
        <w:t>’.</w:t>
      </w:r>
      <w:r w:rsidR="00750727">
        <w:rPr>
          <w:rStyle w:val="EndnoteReference"/>
        </w:rPr>
        <w:endnoteReference w:id="29"/>
      </w:r>
      <w:r w:rsidR="00750727" w:rsidRPr="00750727">
        <w:t xml:space="preserve"> </w:t>
      </w:r>
      <w:r w:rsidR="00750727">
        <w:t xml:space="preserve"> The proposed amendments in Sheet KQ148 would prescribe a set of circumstances in which the ‘reasonableness’ test would be met</w:t>
      </w:r>
      <w:r w:rsidR="00526811">
        <w:t>,</w:t>
      </w:r>
      <w:r w:rsidR="00FF7F8F">
        <w:t xml:space="preserve"> </w:t>
      </w:r>
      <w:r w:rsidR="00750727">
        <w:t>namely</w:t>
      </w:r>
      <w:r w:rsidR="00526811">
        <w:t>:</w:t>
      </w:r>
    </w:p>
    <w:p w14:paraId="2492D789" w14:textId="27F16A2B" w:rsidR="00526811" w:rsidRDefault="00526811" w:rsidP="00E4510B">
      <w:pPr>
        <w:pStyle w:val="ListParagraph"/>
        <w:numPr>
          <w:ilvl w:val="0"/>
          <w:numId w:val="24"/>
        </w:numPr>
        <w:ind w:left="1560"/>
        <w:rPr>
          <w:szCs w:val="20"/>
        </w:rPr>
      </w:pPr>
      <w:r w:rsidRPr="00DD770F">
        <w:rPr>
          <w:szCs w:val="20"/>
        </w:rPr>
        <w:t>‘the condition, requirement or practice is imposed, or proposed to be imposed, in good faith in order to avoid injury to the religious susceptibilities of adherents of that religion or creed’ and</w:t>
      </w:r>
      <w:r w:rsidR="00D26D70" w:rsidRPr="00DD770F">
        <w:rPr>
          <w:szCs w:val="20"/>
        </w:rPr>
        <w:t xml:space="preserve"> </w:t>
      </w:r>
    </w:p>
    <w:p w14:paraId="32D66BC5" w14:textId="4BF2D6F1" w:rsidR="00750727" w:rsidRPr="00DD770F" w:rsidRDefault="00750727" w:rsidP="00E4510B">
      <w:pPr>
        <w:pStyle w:val="ListParagraph"/>
        <w:numPr>
          <w:ilvl w:val="0"/>
          <w:numId w:val="24"/>
        </w:numPr>
        <w:ind w:left="1560"/>
        <w:rPr>
          <w:szCs w:val="20"/>
        </w:rPr>
      </w:pPr>
      <w:r>
        <w:rPr>
          <w:szCs w:val="20"/>
        </w:rPr>
        <w:t>it is imposed ‘in a manner that is consistent with a policy of the educational institution’ that is in writing and publicly available, and</w:t>
      </w:r>
    </w:p>
    <w:p w14:paraId="30637784" w14:textId="7382C7B0" w:rsidR="00526811" w:rsidRPr="00CB7D81" w:rsidRDefault="00526811" w:rsidP="00E4510B">
      <w:pPr>
        <w:pStyle w:val="ListParagraph"/>
        <w:numPr>
          <w:ilvl w:val="0"/>
          <w:numId w:val="24"/>
        </w:numPr>
        <w:ind w:left="1560"/>
        <w:rPr>
          <w:sz w:val="20"/>
          <w:szCs w:val="20"/>
        </w:rPr>
      </w:pPr>
      <w:r w:rsidRPr="00DD770F">
        <w:rPr>
          <w:szCs w:val="20"/>
        </w:rPr>
        <w:t>‘if the student is a child—in imposing, or proposing to impose, the condition, requirement or practice, the educational institution has regard to the best interests of the child</w:t>
      </w:r>
      <w:r w:rsidR="00750727">
        <w:rPr>
          <w:szCs w:val="20"/>
        </w:rPr>
        <w:t>’</w:t>
      </w:r>
      <w:r w:rsidRPr="00DD770F">
        <w:rPr>
          <w:szCs w:val="20"/>
        </w:rPr>
        <w:t>.</w:t>
      </w:r>
      <w:r w:rsidR="003D761F">
        <w:rPr>
          <w:rStyle w:val="EndnoteReference"/>
          <w:szCs w:val="20"/>
        </w:rPr>
        <w:endnoteReference w:id="30"/>
      </w:r>
    </w:p>
    <w:p w14:paraId="72ECC723" w14:textId="7B33A37E" w:rsidR="00284B8B" w:rsidRDefault="00503870" w:rsidP="00CD03F7">
      <w:pPr>
        <w:pStyle w:val="ListNumber"/>
      </w:pPr>
      <w:r>
        <w:t xml:space="preserve">As noted in section </w:t>
      </w:r>
      <w:r w:rsidR="00750727">
        <w:t>4</w:t>
      </w:r>
      <w:r>
        <w:t xml:space="preserve">.2 above, </w:t>
      </w:r>
      <w:r w:rsidR="001366BD">
        <w:t>t</w:t>
      </w:r>
      <w:r>
        <w:t>he Commission considers that the current form of section 7B contains appropriate protection for religious schools to teach and organise their affairs in accordance with their beliefs.</w:t>
      </w:r>
    </w:p>
    <w:p w14:paraId="00A06ECC" w14:textId="0214B07E" w:rsidR="005770ED" w:rsidRDefault="00DD79F9" w:rsidP="00CD03F7">
      <w:pPr>
        <w:pStyle w:val="ListNumber"/>
      </w:pPr>
      <w:r>
        <w:t xml:space="preserve">The Commission observes that </w:t>
      </w:r>
      <w:r w:rsidR="00F6738E">
        <w:t xml:space="preserve">these </w:t>
      </w:r>
      <w:r w:rsidR="00215832">
        <w:t xml:space="preserve">proposed </w:t>
      </w:r>
      <w:r w:rsidR="00F6738E">
        <w:t xml:space="preserve">amendments contain provisions emphasising the </w:t>
      </w:r>
      <w:r w:rsidR="00A151E3">
        <w:t>‘</w:t>
      </w:r>
      <w:r w:rsidR="00F6738E">
        <w:t>best interests of the child</w:t>
      </w:r>
      <w:r w:rsidR="00A151E3">
        <w:t>’</w:t>
      </w:r>
      <w:r>
        <w:t xml:space="preserve">. </w:t>
      </w:r>
      <w:r w:rsidR="00441B19">
        <w:t>This important principle is reflected in Article 3 of the CRC, referred to above. As there are many possible ways of incorporating this principle in</w:t>
      </w:r>
      <w:r w:rsidR="00F12FFB">
        <w:t>to</w:t>
      </w:r>
      <w:r w:rsidR="00441B19">
        <w:t xml:space="preserve"> domestic Australian law,</w:t>
      </w:r>
      <w:r w:rsidR="006F463A">
        <w:t xml:space="preserve"> it is important to do so in a way that most effectively protects the relevant human rights at stake.</w:t>
      </w:r>
      <w:r w:rsidR="00441B19">
        <w:t xml:space="preserve"> </w:t>
      </w:r>
    </w:p>
    <w:p w14:paraId="25C73CF0" w14:textId="77777777" w:rsidR="00A35FC8" w:rsidRDefault="006F463A" w:rsidP="00CD03F7">
      <w:pPr>
        <w:pStyle w:val="ListNumber"/>
      </w:pPr>
      <w:r>
        <w:t>T</w:t>
      </w:r>
      <w:r w:rsidR="00A35FC8">
        <w:t xml:space="preserve">he UN Committee on the Rights of the Child has emphasised that the ‘best interests of the child’ principle must be a primary consideration when </w:t>
      </w:r>
      <w:r w:rsidR="00A35FC8">
        <w:lastRenderedPageBreak/>
        <w:t>undertaking any measures</w:t>
      </w:r>
      <w:r w:rsidR="00B24060">
        <w:t>, including legislation,</w:t>
      </w:r>
      <w:r w:rsidR="00A35FC8">
        <w:t xml:space="preserve"> in relation to children.  They note:</w:t>
      </w:r>
    </w:p>
    <w:p w14:paraId="677978D6" w14:textId="77777777" w:rsidR="00A35FC8" w:rsidRPr="00A8205D" w:rsidRDefault="00A35FC8" w:rsidP="00E4510B">
      <w:pPr>
        <w:ind w:left="1560"/>
        <w:rPr>
          <w:sz w:val="20"/>
          <w:szCs w:val="20"/>
        </w:rPr>
      </w:pPr>
      <w:r w:rsidRPr="0070235B">
        <w:rPr>
          <w:sz w:val="22"/>
          <w:szCs w:val="20"/>
        </w:rPr>
        <w:t xml:space="preserve">The expression </w:t>
      </w:r>
      <w:r w:rsidR="006F463A" w:rsidRPr="0070235B">
        <w:rPr>
          <w:sz w:val="22"/>
          <w:szCs w:val="20"/>
        </w:rPr>
        <w:t>‘</w:t>
      </w:r>
      <w:r w:rsidRPr="0070235B">
        <w:rPr>
          <w:sz w:val="22"/>
          <w:szCs w:val="20"/>
        </w:rPr>
        <w:t>primary consideration</w:t>
      </w:r>
      <w:r w:rsidR="006F463A" w:rsidRPr="0070235B">
        <w:rPr>
          <w:sz w:val="22"/>
          <w:szCs w:val="20"/>
        </w:rPr>
        <w:t>’</w:t>
      </w:r>
      <w:r w:rsidRPr="0070235B">
        <w:rPr>
          <w:sz w:val="22"/>
          <w:szCs w:val="20"/>
        </w:rPr>
        <w:t xml:space="preserve"> means that the child’s best interests may not be considered on the same level as all other considerations.  This strong position is justified by the special situation of the child: dependency, maturity, legal status and, often, voicelessness.  Children have less possibility than adults to make a strong case for their own interests and those involved in decisions affecting them must be explicitly aware of their interests.  If the interests of children are not highlighted, they tend to be overlooked.</w:t>
      </w:r>
      <w:r w:rsidR="000A15C9">
        <w:rPr>
          <w:rStyle w:val="EndnoteReference"/>
          <w:szCs w:val="20"/>
        </w:rPr>
        <w:endnoteReference w:id="31"/>
      </w:r>
    </w:p>
    <w:p w14:paraId="3A1D912E" w14:textId="7BCD7838" w:rsidR="001600E3" w:rsidRDefault="00A35FC8" w:rsidP="00CD03F7">
      <w:pPr>
        <w:pStyle w:val="ListNumber"/>
      </w:pPr>
      <w:r>
        <w:t xml:space="preserve">The Committee has also noted that any form of discrimination in the provision of education </w:t>
      </w:r>
      <w:r w:rsidR="00B24060">
        <w:t xml:space="preserve">is inconsistent with </w:t>
      </w:r>
      <w:r>
        <w:t>the Convention on the Rights of the Child</w:t>
      </w:r>
      <w:r w:rsidR="00F12FFB">
        <w:t>:</w:t>
      </w:r>
      <w:r>
        <w:t xml:space="preserve"> especially Article 28, which deals with the right of all children to receive an education, and Article 29</w:t>
      </w:r>
      <w:r w:rsidR="005C7163">
        <w:t>,</w:t>
      </w:r>
      <w:r>
        <w:t xml:space="preserve"> which states that the education of the child must be directed to ‘the development of the child’s personality, talents and mental and physical </w:t>
      </w:r>
      <w:r w:rsidR="001600E3">
        <w:t>abilities to their full</w:t>
      </w:r>
      <w:r w:rsidR="00A151E3">
        <w:t>est</w:t>
      </w:r>
      <w:r w:rsidR="001600E3">
        <w:t xml:space="preserve"> </w:t>
      </w:r>
      <w:r w:rsidR="00A151E3">
        <w:t>potential</w:t>
      </w:r>
      <w:r w:rsidR="001600E3">
        <w:t>’</w:t>
      </w:r>
      <w:r w:rsidR="006F463A">
        <w:t>. The Committee goes on to state</w:t>
      </w:r>
      <w:r w:rsidR="001600E3">
        <w:t>:</w:t>
      </w:r>
    </w:p>
    <w:p w14:paraId="1B57755E" w14:textId="77777777" w:rsidR="00A35FC8" w:rsidRPr="00A8205D" w:rsidRDefault="001600E3" w:rsidP="00E4510B">
      <w:pPr>
        <w:ind w:left="1560"/>
        <w:rPr>
          <w:sz w:val="20"/>
          <w:szCs w:val="20"/>
        </w:rPr>
      </w:pPr>
      <w:r w:rsidRPr="0070235B">
        <w:rPr>
          <w:sz w:val="22"/>
          <w:szCs w:val="20"/>
        </w:rPr>
        <w:t>Discrimination on the basis of any of the grounds listed in article 2 of the Convention, whether it is overt or hidden, offends the human dignity of the child and is capable of undermining or even destroying the capacity of the child to benefit from educational opportunities.</w:t>
      </w:r>
      <w:r w:rsidR="005555A5">
        <w:rPr>
          <w:rStyle w:val="EndnoteReference"/>
          <w:szCs w:val="20"/>
        </w:rPr>
        <w:endnoteReference w:id="32"/>
      </w:r>
      <w:r w:rsidR="00A35FC8" w:rsidRPr="00A8205D">
        <w:rPr>
          <w:sz w:val="20"/>
          <w:szCs w:val="20"/>
        </w:rPr>
        <w:t xml:space="preserve"> </w:t>
      </w:r>
    </w:p>
    <w:p w14:paraId="053E60F5" w14:textId="77777777" w:rsidR="006F463A" w:rsidRDefault="006F463A" w:rsidP="00CD03F7">
      <w:pPr>
        <w:pStyle w:val="ListNumber"/>
      </w:pPr>
      <w:r>
        <w:t xml:space="preserve">Under international human rights law, </w:t>
      </w:r>
      <w:r w:rsidR="00B24060">
        <w:t>the</w:t>
      </w:r>
      <w:r w:rsidR="00A35FC8">
        <w:t xml:space="preserve"> requirement to give primary consideration to the best interests of children </w:t>
      </w:r>
      <w:r>
        <w:t xml:space="preserve">should be considered alongside the requirement not to discriminate against children in the provision of education. In this light, the Commission considers that the most effective way for Australia to adhere to its obligations under the CRC, including the requirement to give primary consideration to the best interests of the child, would be to prohibit discrimination </w:t>
      </w:r>
      <w:r w:rsidR="00A35FC8">
        <w:t xml:space="preserve">on the basis of sexual orientation or gender identity </w:t>
      </w:r>
      <w:r>
        <w:t>in this context</w:t>
      </w:r>
      <w:r w:rsidR="00A35FC8">
        <w:t>.</w:t>
      </w:r>
      <w:r w:rsidRPr="006F463A">
        <w:t xml:space="preserve"> </w:t>
      </w:r>
    </w:p>
    <w:p w14:paraId="451A4742" w14:textId="71E0F3F7" w:rsidR="00A35FC8" w:rsidRDefault="006F463A" w:rsidP="00CD03F7">
      <w:pPr>
        <w:pStyle w:val="ListNumber"/>
      </w:pPr>
      <w:r>
        <w:t>By definition, discrimination involves unfavourable treatment on the basis of a protected attribute.  The Commission has been unable to identify a circumstance in which unfavourable treatment towards a child on the basis of his or her sexual orientation or gender identity could be in the child</w:t>
      </w:r>
      <w:r w:rsidR="00A151E3">
        <w:t>’</w:t>
      </w:r>
      <w:r>
        <w:t>s best interests.  To avoid suggesting otherwise, the Commission does not support including in the SDA a provision that allows discrimination where it is deemed to be in a child’s best interests.</w:t>
      </w:r>
    </w:p>
    <w:p w14:paraId="2D6AEEEE" w14:textId="07A9087A" w:rsidR="003A7635" w:rsidRDefault="003A7635" w:rsidP="00C82719">
      <w:pPr>
        <w:pStyle w:val="Heading2"/>
      </w:pPr>
      <w:bookmarkStart w:id="33" w:name="_Toc535832781"/>
      <w:r>
        <w:t>Discrimination against employees of educational institutions</w:t>
      </w:r>
      <w:bookmarkEnd w:id="33"/>
    </w:p>
    <w:p w14:paraId="591B4EC0" w14:textId="3BCAD7EE" w:rsidR="003A7635" w:rsidRDefault="005D19B7">
      <w:pPr>
        <w:pStyle w:val="ListNumber"/>
      </w:pPr>
      <w:r>
        <w:t>The</w:t>
      </w:r>
      <w:r w:rsidR="003A7635">
        <w:t xml:space="preserve"> </w:t>
      </w:r>
      <w:r w:rsidR="00F207AF">
        <w:t xml:space="preserve">Bill proposes to increase the protection for students from discrimination on the basis of sexual orientation or gender identity.  The </w:t>
      </w:r>
      <w:r w:rsidR="003A7635">
        <w:t>amendment</w:t>
      </w:r>
      <w:r w:rsidR="00F207AF">
        <w:t>s</w:t>
      </w:r>
      <w:r w:rsidR="003A7635">
        <w:t xml:space="preserve"> proposed by the </w:t>
      </w:r>
      <w:r w:rsidR="005C60F7">
        <w:t xml:space="preserve">Australian </w:t>
      </w:r>
      <w:r w:rsidR="003A7635">
        <w:t xml:space="preserve">Greens in Sheet 8601 would </w:t>
      </w:r>
      <w:r w:rsidR="003A7635">
        <w:lastRenderedPageBreak/>
        <w:t xml:space="preserve">extend the operation of the Bill to </w:t>
      </w:r>
      <w:r w:rsidR="00F207AF">
        <w:t>include</w:t>
      </w:r>
      <w:r w:rsidR="003A7635">
        <w:t xml:space="preserve"> </w:t>
      </w:r>
      <w:r w:rsidR="00F207AF">
        <w:t>staff and contract workers</w:t>
      </w:r>
      <w:r w:rsidR="003A7635">
        <w:t xml:space="preserve"> of educational institutions</w:t>
      </w:r>
      <w:r w:rsidR="00F207AF">
        <w:t xml:space="preserve"> established for religious purposes</w:t>
      </w:r>
      <w:r w:rsidR="003A7635">
        <w:t>.</w:t>
      </w:r>
      <w:r w:rsidR="00C82719">
        <w:t xml:space="preserve"> </w:t>
      </w:r>
      <w:r w:rsidR="00F207AF">
        <w:t>The proposed amendment</w:t>
      </w:r>
      <w:r w:rsidR="008353AA">
        <w:t>s</w:t>
      </w:r>
      <w:r w:rsidR="00F207AF">
        <w:t xml:space="preserve"> would </w:t>
      </w:r>
      <w:r w:rsidR="00C82719">
        <w:t>do this by repealing s</w:t>
      </w:r>
      <w:r w:rsidR="00F12FFB">
        <w:t>ection</w:t>
      </w:r>
      <w:r w:rsidR="00C82719">
        <w:t xml:space="preserve"> 38 of the SDA in its entirety. </w:t>
      </w:r>
    </w:p>
    <w:p w14:paraId="08CB70D6" w14:textId="3300D576" w:rsidR="003A7635" w:rsidRPr="003A7635" w:rsidRDefault="003A7635">
      <w:pPr>
        <w:pStyle w:val="ListNumber"/>
      </w:pPr>
      <w:r>
        <w:t xml:space="preserve">This submission deals with the narrow question of discrimination against students, as </w:t>
      </w:r>
      <w:r w:rsidR="00F15B22">
        <w:t>proposed</w:t>
      </w:r>
      <w:r w:rsidR="005D19B7">
        <w:t xml:space="preserve"> </w:t>
      </w:r>
      <w:r>
        <w:t>in the Bill as originally drafted.  The Commission considers that broader reforms to the exemptions in the SDA should be considered in the context of the suite of proposals outlined in sections 6.1 and 6.2 of this submission.</w:t>
      </w:r>
    </w:p>
    <w:p w14:paraId="73670D26" w14:textId="77777777" w:rsidR="004C49ED" w:rsidRDefault="004C49ED" w:rsidP="004C49ED">
      <w:pPr>
        <w:pStyle w:val="Heading1"/>
      </w:pPr>
      <w:bookmarkStart w:id="34" w:name="_Toc535832782"/>
      <w:r>
        <w:t>Further reforms</w:t>
      </w:r>
      <w:bookmarkEnd w:id="34"/>
    </w:p>
    <w:p w14:paraId="53704F48" w14:textId="1489EB17" w:rsidR="0061670F" w:rsidRDefault="0061670F" w:rsidP="00CD03F7">
      <w:pPr>
        <w:pStyle w:val="ListNumber"/>
      </w:pPr>
      <w:r>
        <w:t xml:space="preserve">The Commission has made a number of submissions in recent years to inquiries </w:t>
      </w:r>
      <w:r w:rsidR="00157835">
        <w:t>into</w:t>
      </w:r>
      <w:r>
        <w:t xml:space="preserve"> freedom of religion, most recently to the Religious Freedom Review led by </w:t>
      </w:r>
      <w:r w:rsidR="00623566">
        <w:t xml:space="preserve">the </w:t>
      </w:r>
      <w:r>
        <w:t>Hon. Philip Ruddock.</w:t>
      </w:r>
      <w:r w:rsidR="00AC1B4C">
        <w:rPr>
          <w:rStyle w:val="EndnoteReference"/>
        </w:rPr>
        <w:endnoteReference w:id="33"/>
      </w:r>
    </w:p>
    <w:p w14:paraId="785920A6" w14:textId="6CD0BFFF" w:rsidR="008540F1" w:rsidRDefault="00157835" w:rsidP="00CD03F7">
      <w:pPr>
        <w:pStyle w:val="ListNumber"/>
      </w:pPr>
      <w:r>
        <w:t>The Commission considers that</w:t>
      </w:r>
      <w:r w:rsidR="008540F1">
        <w:t xml:space="preserve"> </w:t>
      </w:r>
      <w:r w:rsidR="001C77F9">
        <w:t>this Bill would</w:t>
      </w:r>
      <w:r w:rsidR="000C4449">
        <w:t xml:space="preserve"> (</w:t>
      </w:r>
      <w:r w:rsidR="000C4449" w:rsidRPr="004006D2">
        <w:t>with the adoption of the amendment in Sheet 8614</w:t>
      </w:r>
      <w:r w:rsidR="000C4449">
        <w:t xml:space="preserve">) </w:t>
      </w:r>
      <w:r w:rsidR="00D424B1">
        <w:t>maintain the right</w:t>
      </w:r>
      <w:r w:rsidR="008540F1">
        <w:t xml:space="preserve"> to freedom of r</w:t>
      </w:r>
      <w:r w:rsidR="00C41C10">
        <w:t xml:space="preserve">eligion in Australia, and </w:t>
      </w:r>
      <w:r w:rsidR="001C77F9">
        <w:t>achieve the important goal of removing discrimination against students on the basis of their sexual orientation, gender identity, marital or re</w:t>
      </w:r>
      <w:r w:rsidR="00D424B1">
        <w:t xml:space="preserve">lationship status or pregnancy.  </w:t>
      </w:r>
    </w:p>
    <w:p w14:paraId="169E6D54" w14:textId="7FED1978" w:rsidR="0061670F" w:rsidRDefault="008540F1" w:rsidP="00CD03F7">
      <w:pPr>
        <w:pStyle w:val="ListNumber"/>
      </w:pPr>
      <w:r>
        <w:t>S</w:t>
      </w:r>
      <w:r w:rsidR="00157835">
        <w:t>everal</w:t>
      </w:r>
      <w:r w:rsidR="004B2369">
        <w:t xml:space="preserve"> further reforms are</w:t>
      </w:r>
      <w:r w:rsidR="001C77F9">
        <w:t xml:space="preserve"> also</w:t>
      </w:r>
      <w:r w:rsidR="004B2369">
        <w:t xml:space="preserve"> needed in order to </w:t>
      </w:r>
      <w:r w:rsidR="00824750">
        <w:t>better protect freedom of religion alongside other rights in Australia.</w:t>
      </w:r>
      <w:r w:rsidR="00C41C10">
        <w:t xml:space="preserve">  </w:t>
      </w:r>
      <w:r w:rsidR="000B40B4">
        <w:t>(For the avoidance of doubt, the Commission submits that t</w:t>
      </w:r>
      <w:r w:rsidR="00C41C10">
        <w:t xml:space="preserve">hese should be considered separately, and should not delay the </w:t>
      </w:r>
      <w:r w:rsidR="000B40B4">
        <w:t xml:space="preserve">passage </w:t>
      </w:r>
      <w:r w:rsidR="00C41C10">
        <w:t xml:space="preserve">of the </w:t>
      </w:r>
      <w:r w:rsidR="000B40B4">
        <w:t xml:space="preserve">present </w:t>
      </w:r>
      <w:r w:rsidR="00C41C10">
        <w:t>Bill</w:t>
      </w:r>
      <w:r w:rsidR="000B40B4">
        <w:t>)</w:t>
      </w:r>
      <w:r w:rsidR="008139AF">
        <w:t>.</w:t>
      </w:r>
    </w:p>
    <w:p w14:paraId="56D4DFC5" w14:textId="77777777" w:rsidR="00824750" w:rsidRDefault="00824750" w:rsidP="00824750">
      <w:pPr>
        <w:pStyle w:val="Heading2"/>
      </w:pPr>
      <w:bookmarkStart w:id="35" w:name="_Toc535832783"/>
      <w:r>
        <w:t>Legislative reforms</w:t>
      </w:r>
      <w:bookmarkEnd w:id="35"/>
    </w:p>
    <w:p w14:paraId="3F996182" w14:textId="77777777" w:rsidR="00824750" w:rsidRDefault="00824750" w:rsidP="00CD03F7">
      <w:pPr>
        <w:pStyle w:val="ListNumber"/>
      </w:pPr>
      <w:r>
        <w:t>The Commission proposes:</w:t>
      </w:r>
    </w:p>
    <w:p w14:paraId="7A3E8300" w14:textId="2DBE7E22" w:rsidR="00824750" w:rsidRDefault="0019341E" w:rsidP="009A6294">
      <w:pPr>
        <w:pStyle w:val="ListBullet"/>
        <w:numPr>
          <w:ilvl w:val="0"/>
          <w:numId w:val="21"/>
        </w:numPr>
      </w:pPr>
      <w:r>
        <w:t>P</w:t>
      </w:r>
      <w:r w:rsidR="00824750">
        <w:t>rotection from discrimination</w:t>
      </w:r>
      <w:r w:rsidR="00E86B4C">
        <w:t xml:space="preserve"> on the grounds of </w:t>
      </w:r>
      <w:r w:rsidR="00B33758">
        <w:t xml:space="preserve">sex, </w:t>
      </w:r>
      <w:r w:rsidR="00E86B4C">
        <w:t>sexual orientation, gender identity</w:t>
      </w:r>
      <w:r w:rsidR="00B33758">
        <w:t>, marital or relationship status, or pregnancy</w:t>
      </w:r>
      <w:r w:rsidR="00E86B4C">
        <w:t xml:space="preserve"> </w:t>
      </w:r>
      <w:r w:rsidR="00824750">
        <w:t xml:space="preserve">for teachers and </w:t>
      </w:r>
      <w:r w:rsidR="00B33758">
        <w:t xml:space="preserve">other </w:t>
      </w:r>
      <w:r w:rsidR="00824750">
        <w:t>staff employed by religious educational institutions, with consideration given to amending the SDA to include a general limitations clause to replace existing specific exemptions.  This</w:t>
      </w:r>
      <w:r>
        <w:t xml:space="preserve"> sh</w:t>
      </w:r>
      <w:r w:rsidR="00824750">
        <w:t>ould be done in such a way as to respect freedom of religion and schools</w:t>
      </w:r>
      <w:r w:rsidR="00C26F51">
        <w:t>’</w:t>
      </w:r>
      <w:r w:rsidR="00824750">
        <w:t xml:space="preserve"> ability to teach and organise their affairs in accordance with their beliefs.</w:t>
      </w:r>
    </w:p>
    <w:p w14:paraId="4B34A1D7" w14:textId="77777777" w:rsidR="004B68DB" w:rsidRDefault="004B68DB" w:rsidP="009A6294">
      <w:pPr>
        <w:pStyle w:val="ListBullet"/>
        <w:numPr>
          <w:ilvl w:val="0"/>
          <w:numId w:val="21"/>
        </w:numPr>
      </w:pPr>
      <w:r>
        <w:t>New legislation prohibiting discrimination on the basis of religion or other belief.  We note that the Government has, in response to the Report</w:t>
      </w:r>
      <w:r w:rsidR="000912E3">
        <w:t xml:space="preserve"> of the Religious Freedom Review (Ruddock Report)</w:t>
      </w:r>
      <w:r>
        <w:t>, proposed such legislation, and we look forward to examining a Bill in detail.</w:t>
      </w:r>
    </w:p>
    <w:p w14:paraId="3D31A546" w14:textId="77777777" w:rsidR="004B68DB" w:rsidRDefault="004B68DB" w:rsidP="009A6294">
      <w:pPr>
        <w:pStyle w:val="ListBullet"/>
        <w:numPr>
          <w:ilvl w:val="0"/>
          <w:numId w:val="21"/>
        </w:numPr>
      </w:pPr>
      <w:r>
        <w:lastRenderedPageBreak/>
        <w:t>Comprehensive legislation giving full effect to the ICCPR in Australian law.</w:t>
      </w:r>
      <w:r w:rsidR="001F67F2">
        <w:t xml:space="preserve">  Human rights are universal, inalienable, indivisible, interdependent and interrelated.  As such, our law</w:t>
      </w:r>
      <w:r w:rsidR="00AF4A01">
        <w:t>s</w:t>
      </w:r>
      <w:r w:rsidR="001F67F2">
        <w:t xml:space="preserve"> must protect all rights equally.</w:t>
      </w:r>
    </w:p>
    <w:p w14:paraId="349E450C" w14:textId="77777777" w:rsidR="004B68DB" w:rsidRDefault="004B68DB" w:rsidP="004B68DB">
      <w:pPr>
        <w:pStyle w:val="Heading2"/>
      </w:pPr>
      <w:bookmarkStart w:id="36" w:name="_Toc535832784"/>
      <w:r>
        <w:t>Non-legislative reforms</w:t>
      </w:r>
      <w:bookmarkEnd w:id="36"/>
    </w:p>
    <w:p w14:paraId="36CBB64D" w14:textId="77777777" w:rsidR="004B68DB" w:rsidRDefault="00C04643" w:rsidP="00CD03F7">
      <w:pPr>
        <w:pStyle w:val="ListNumber"/>
      </w:pPr>
      <w:r>
        <w:t>The Commission proposes:</w:t>
      </w:r>
    </w:p>
    <w:p w14:paraId="401D72C0" w14:textId="77777777" w:rsidR="00C50ACB" w:rsidRDefault="001F67F2" w:rsidP="009A6294">
      <w:pPr>
        <w:pStyle w:val="ListBullet"/>
        <w:numPr>
          <w:ilvl w:val="0"/>
          <w:numId w:val="22"/>
        </w:numPr>
      </w:pPr>
      <w:r>
        <w:t>Collection and analysis of quantitative information on the nature and prevalence of direct violations of religious freedom</w:t>
      </w:r>
      <w:r w:rsidR="00C50ACB">
        <w:t xml:space="preserve">, including abuse, intimidation, violence or discrimination on the basis of religion, and restrictions on the ability of people to educate their children in a manner consistent with their religious belief.  </w:t>
      </w:r>
    </w:p>
    <w:p w14:paraId="44C8143B" w14:textId="77777777" w:rsidR="00C50ACB" w:rsidRDefault="00C50ACB" w:rsidP="009A6294">
      <w:pPr>
        <w:pStyle w:val="ListBullet"/>
        <w:numPr>
          <w:ilvl w:val="0"/>
          <w:numId w:val="22"/>
        </w:numPr>
      </w:pPr>
      <w:r>
        <w:t xml:space="preserve">Public education about religion and its place in Australia, the importance of the right to freedom of religion and belief, and the current protections for religious freedom in Australian and international law.  </w:t>
      </w:r>
    </w:p>
    <w:p w14:paraId="4ABCE52A" w14:textId="77777777" w:rsidR="000A3325" w:rsidRDefault="000A3325" w:rsidP="009A6294">
      <w:pPr>
        <w:pStyle w:val="ListBullet"/>
        <w:numPr>
          <w:ilvl w:val="0"/>
          <w:numId w:val="22"/>
        </w:numPr>
      </w:pPr>
      <w:r>
        <w:t xml:space="preserve">The </w:t>
      </w:r>
      <w:r w:rsidR="00732419">
        <w:t>e</w:t>
      </w:r>
      <w:r>
        <w:t>stablishment</w:t>
      </w:r>
      <w:r w:rsidR="00732419">
        <w:t xml:space="preserve"> of a multi-faith advisory group to advise the Government on the practical experience of religion and belief, as well as policy and law reform in this area.</w:t>
      </w:r>
    </w:p>
    <w:p w14:paraId="4BB04BE8" w14:textId="77777777" w:rsidR="00DD79F9" w:rsidRDefault="00DD79F9" w:rsidP="00646CDB">
      <w:pPr>
        <w:pStyle w:val="ListNumber"/>
      </w:pPr>
      <w:r>
        <w:t>The Commission notes that, in respect of the first two bullet points above, the Government has proposed that the Commission be resourced to undertake these activities. We look forward to discussing this further with the Government in due course.</w:t>
      </w:r>
    </w:p>
    <w:p w14:paraId="17175A60" w14:textId="77777777" w:rsidR="00DD2994" w:rsidRDefault="00DD2994" w:rsidP="00DD2994">
      <w:pPr>
        <w:pStyle w:val="Heading1"/>
      </w:pPr>
      <w:bookmarkStart w:id="37" w:name="_Toc535832785"/>
      <w:r>
        <w:t>Conclusion</w:t>
      </w:r>
      <w:bookmarkEnd w:id="37"/>
    </w:p>
    <w:p w14:paraId="75F2D682" w14:textId="77777777" w:rsidR="00DD2994" w:rsidRDefault="005A0CA4" w:rsidP="00646CDB">
      <w:pPr>
        <w:pStyle w:val="ListNumber"/>
      </w:pPr>
      <w:r>
        <w:t xml:space="preserve">The Commission supports the Sex Discrimination Amendment (Removing Discrimination Against Students) Bill 2018 </w:t>
      </w:r>
      <w:r w:rsidR="00770ABD">
        <w:t xml:space="preserve">with the adoption of </w:t>
      </w:r>
      <w:r w:rsidR="00D16B0B">
        <w:t xml:space="preserve">the </w:t>
      </w:r>
      <w:r w:rsidR="00770ABD">
        <w:t>amendment</w:t>
      </w:r>
      <w:r w:rsidR="00D16B0B">
        <w:t xml:space="preserve"> in Sheet</w:t>
      </w:r>
      <w:r w:rsidR="00770ABD">
        <w:t xml:space="preserve"> </w:t>
      </w:r>
      <w:r w:rsidR="004B78F9">
        <w:t>8614</w:t>
      </w:r>
      <w:r w:rsidR="00770ABD">
        <w:t>.</w:t>
      </w:r>
    </w:p>
    <w:p w14:paraId="001C3DEE" w14:textId="77777777" w:rsidR="00824750" w:rsidRPr="00824750" w:rsidRDefault="005A0CA4" w:rsidP="00646CDB">
      <w:pPr>
        <w:pStyle w:val="ListNumber"/>
      </w:pPr>
      <w:r>
        <w:t xml:space="preserve">The Commission would welcome the opportunity to further assist the Committee in </w:t>
      </w:r>
      <w:r w:rsidR="004F5DCE">
        <w:t xml:space="preserve">its </w:t>
      </w:r>
      <w:r>
        <w:t>inquiry.</w:t>
      </w:r>
    </w:p>
    <w:sectPr w:rsidR="00824750" w:rsidRPr="00824750" w:rsidSect="00460EE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007B3" w14:textId="77777777" w:rsidR="00466A36" w:rsidRDefault="00466A36" w:rsidP="00F14C6D">
      <w:r>
        <w:separator/>
      </w:r>
    </w:p>
  </w:endnote>
  <w:endnote w:type="continuationSeparator" w:id="0">
    <w:p w14:paraId="31AE4B51" w14:textId="77777777" w:rsidR="00466A36" w:rsidRDefault="00466A36" w:rsidP="00F14C6D">
      <w:r>
        <w:continuationSeparator/>
      </w:r>
    </w:p>
  </w:endnote>
  <w:endnote w:id="1">
    <w:p w14:paraId="5457E00B" w14:textId="12C8BF2B" w:rsidR="00466A36" w:rsidRPr="000960D6" w:rsidRDefault="00466A36">
      <w:pPr>
        <w:pStyle w:val="EndnoteText"/>
        <w:rPr>
          <w:lang w:val="en-US"/>
        </w:rPr>
      </w:pPr>
      <w:r>
        <w:rPr>
          <w:rStyle w:val="EndnoteReference"/>
        </w:rPr>
        <w:endnoteRef/>
      </w:r>
      <w:r>
        <w:t xml:space="preserve"> </w:t>
      </w:r>
      <w:r>
        <w:rPr>
          <w:lang w:val="en-US"/>
        </w:rPr>
        <w:t xml:space="preserve">See, for example, Ellen Coulter, ‘Scott Morrison Says independent schools will not be able to expel students due to their sexuality’, </w:t>
      </w:r>
      <w:r>
        <w:rPr>
          <w:i/>
          <w:lang w:val="en-US"/>
        </w:rPr>
        <w:t>ABC Online</w:t>
      </w:r>
      <w:r>
        <w:rPr>
          <w:lang w:val="en-US"/>
        </w:rPr>
        <w:t xml:space="preserve">, 13 October 2018, available at </w:t>
      </w:r>
      <w:hyperlink r:id="rId1" w:history="1">
        <w:r w:rsidRPr="00127BF5">
          <w:rPr>
            <w:rStyle w:val="Hyperlink"/>
            <w:lang w:val="en-US"/>
          </w:rPr>
          <w:t>https://www.abc.net.au/news/2018-10-13/morrison-government-vows-to-end-discrimination-of-gay-students/10372956</w:t>
        </w:r>
      </w:hyperlink>
      <w:r>
        <w:rPr>
          <w:lang w:val="en-US"/>
        </w:rPr>
        <w:t xml:space="preserve"> (viewed 21 December 2018). </w:t>
      </w:r>
    </w:p>
  </w:endnote>
  <w:endnote w:id="2">
    <w:p w14:paraId="4A3AED8C" w14:textId="77777777" w:rsidR="00466A36" w:rsidRPr="002B5163" w:rsidRDefault="00466A36">
      <w:pPr>
        <w:pStyle w:val="EndnoteText"/>
        <w:rPr>
          <w:lang w:val="en-US"/>
        </w:rPr>
      </w:pPr>
      <w:r>
        <w:rPr>
          <w:rStyle w:val="EndnoteReference"/>
        </w:rPr>
        <w:endnoteRef/>
      </w:r>
      <w:r>
        <w:t xml:space="preserve"> </w:t>
      </w:r>
      <w:r w:rsidRPr="00894093">
        <w:rPr>
          <w:i/>
        </w:rPr>
        <w:t>International Covenant on Civil and Political Rights</w:t>
      </w:r>
      <w:r w:rsidRPr="00894093">
        <w:t xml:space="preserve">, opened for signature 16 December 1966, 999 UNTS 171 (entered into force 23 March 1976). At </w:t>
      </w:r>
      <w:hyperlink r:id="rId2" w:history="1">
        <w:r w:rsidRPr="003D379A">
          <w:rPr>
            <w:rStyle w:val="Hyperlink"/>
          </w:rPr>
          <w:t>https://www.ohchr.org/EN/ProfessionalInterest/Pages/CCPR.aspx</w:t>
        </w:r>
      </w:hyperlink>
      <w:r>
        <w:t xml:space="preserve"> (viewed 20 December, 2018).</w:t>
      </w:r>
    </w:p>
  </w:endnote>
  <w:endnote w:id="3">
    <w:p w14:paraId="51B7EEBF" w14:textId="77777777" w:rsidR="00466A36" w:rsidRPr="00B41664" w:rsidRDefault="00466A36">
      <w:pPr>
        <w:pStyle w:val="EndnoteText"/>
        <w:rPr>
          <w:lang w:val="en-US"/>
        </w:rPr>
      </w:pPr>
      <w:r>
        <w:rPr>
          <w:rStyle w:val="EndnoteReference"/>
        </w:rPr>
        <w:endnoteRef/>
      </w:r>
      <w:r>
        <w:t xml:space="preserve"> </w:t>
      </w:r>
      <w:r w:rsidRPr="00894093">
        <w:rPr>
          <w:i/>
        </w:rPr>
        <w:t>International Covenant on Civil and Political Rights</w:t>
      </w:r>
      <w:r w:rsidRPr="00894093">
        <w:t xml:space="preserve">, opened for signature 16 December 1966, 999 UNTS 171 (entered into force 23 March 1976). At </w:t>
      </w:r>
      <w:hyperlink r:id="rId3" w:history="1">
        <w:r w:rsidRPr="003D379A">
          <w:rPr>
            <w:rStyle w:val="Hyperlink"/>
          </w:rPr>
          <w:t>https://www.ohchr.org/EN/ProfessionalInterest/Pages/CCPR.aspx</w:t>
        </w:r>
      </w:hyperlink>
      <w:r>
        <w:t xml:space="preserve"> (viewed 20 December, 2018).</w:t>
      </w:r>
    </w:p>
  </w:endnote>
  <w:endnote w:id="4">
    <w:p w14:paraId="184EFBE4" w14:textId="7592EBC5" w:rsidR="00466A36" w:rsidRPr="00F41A3F" w:rsidRDefault="00466A36">
      <w:pPr>
        <w:pStyle w:val="EndnoteText"/>
        <w:rPr>
          <w:lang w:val="en-US"/>
        </w:rPr>
      </w:pPr>
      <w:r>
        <w:rPr>
          <w:rStyle w:val="EndnoteReference"/>
        </w:rPr>
        <w:endnoteRef/>
      </w:r>
      <w:r>
        <w:t xml:space="preserve"> </w:t>
      </w:r>
      <w:r>
        <w:rPr>
          <w:lang w:val="en-US"/>
        </w:rPr>
        <w:t xml:space="preserve">Council of Europe, </w:t>
      </w:r>
      <w:r>
        <w:rPr>
          <w:i/>
          <w:lang w:val="en-US"/>
        </w:rPr>
        <w:t>European Convention for the Protection of Human Rights and Fundamental Freedoms, as amended by Protocols Nos. 11 and 14</w:t>
      </w:r>
      <w:r>
        <w:rPr>
          <w:lang w:val="en-US"/>
        </w:rPr>
        <w:t xml:space="preserve">, 4 November 1950, ETS 5, available at </w:t>
      </w:r>
      <w:hyperlink r:id="rId4" w:history="1">
        <w:r w:rsidRPr="00DC1372">
          <w:rPr>
            <w:rStyle w:val="Hyperlink"/>
            <w:lang w:val="en-US"/>
          </w:rPr>
          <w:t>https://www.refworld.org/docid/3ae6b3b04.html</w:t>
        </w:r>
      </w:hyperlink>
      <w:r>
        <w:rPr>
          <w:lang w:val="en-US"/>
        </w:rPr>
        <w:t xml:space="preserve"> (viewed 20 December 2018).</w:t>
      </w:r>
    </w:p>
  </w:endnote>
  <w:endnote w:id="5">
    <w:p w14:paraId="29221FE3" w14:textId="77777777" w:rsidR="00466A36" w:rsidRPr="0012043C" w:rsidRDefault="00466A36">
      <w:pPr>
        <w:pStyle w:val="EndnoteText"/>
        <w:rPr>
          <w:lang w:val="en-US"/>
        </w:rPr>
      </w:pPr>
      <w:r>
        <w:rPr>
          <w:rStyle w:val="EndnoteReference"/>
        </w:rPr>
        <w:endnoteRef/>
      </w:r>
      <w:r>
        <w:t xml:space="preserve"> </w:t>
      </w:r>
      <w:r w:rsidRPr="00894093">
        <w:rPr>
          <w:i/>
        </w:rPr>
        <w:t>International Covenant on Civil and Political Rights</w:t>
      </w:r>
      <w:r w:rsidRPr="00894093">
        <w:t xml:space="preserve">, opened for signature 16 December 1966, 999 UNTS 171 (entered into force 23 March 1976). At </w:t>
      </w:r>
      <w:hyperlink r:id="rId5" w:history="1">
        <w:r w:rsidRPr="003D379A">
          <w:rPr>
            <w:rStyle w:val="Hyperlink"/>
          </w:rPr>
          <w:t>https://www.ohchr.org/EN/ProfessionalInterest/Pages/CCPR.aspx</w:t>
        </w:r>
      </w:hyperlink>
      <w:r>
        <w:t xml:space="preserve"> (viewed 20 December, 2018).</w:t>
      </w:r>
    </w:p>
  </w:endnote>
  <w:endnote w:id="6">
    <w:p w14:paraId="1D2E1AF0" w14:textId="56AEACB6" w:rsidR="00466A36" w:rsidRPr="004E78E5" w:rsidRDefault="00466A36">
      <w:pPr>
        <w:pStyle w:val="EndnoteText"/>
        <w:rPr>
          <w:lang w:val="en-US"/>
        </w:rPr>
      </w:pPr>
      <w:r>
        <w:rPr>
          <w:rStyle w:val="EndnoteReference"/>
        </w:rPr>
        <w:endnoteRef/>
      </w:r>
      <w:r>
        <w:t xml:space="preserve"> </w:t>
      </w:r>
      <w:r>
        <w:rPr>
          <w:lang w:val="en-US"/>
        </w:rPr>
        <w:t xml:space="preserve">UN General Assembly, </w:t>
      </w:r>
      <w:r>
        <w:rPr>
          <w:i/>
          <w:lang w:val="en-US"/>
        </w:rPr>
        <w:t>Convention on the Rights of the Child</w:t>
      </w:r>
      <w:r>
        <w:rPr>
          <w:lang w:val="en-US"/>
        </w:rPr>
        <w:t xml:space="preserve">, 20 November 1989, United Nations, Treaty Series, vol. 1577, available at </w:t>
      </w:r>
      <w:hyperlink r:id="rId6" w:history="1">
        <w:r w:rsidRPr="00127BF5">
          <w:rPr>
            <w:rStyle w:val="Hyperlink"/>
            <w:lang w:val="en-US"/>
          </w:rPr>
          <w:t>https://www.refworld.org/docid/3ae6b38f0.html</w:t>
        </w:r>
      </w:hyperlink>
      <w:r>
        <w:rPr>
          <w:lang w:val="en-US"/>
        </w:rPr>
        <w:t xml:space="preserve"> (viewed 21 December 2018).</w:t>
      </w:r>
    </w:p>
  </w:endnote>
  <w:endnote w:id="7">
    <w:p w14:paraId="0CCC2A01" w14:textId="77777777" w:rsidR="00466A36" w:rsidRPr="002E170F" w:rsidRDefault="00466A36">
      <w:pPr>
        <w:pStyle w:val="EndnoteText"/>
        <w:rPr>
          <w:lang w:val="en-US"/>
        </w:rPr>
      </w:pPr>
      <w:r>
        <w:rPr>
          <w:rStyle w:val="EndnoteReference"/>
        </w:rPr>
        <w:endnoteRef/>
      </w:r>
      <w:r>
        <w:t xml:space="preserve"> Human Rights Committee, </w:t>
      </w:r>
      <w:r>
        <w:rPr>
          <w:i/>
        </w:rPr>
        <w:t>Toonen v Australia</w:t>
      </w:r>
      <w:r>
        <w:t>,</w:t>
      </w:r>
      <w:r w:rsidRPr="002661C2">
        <w:t xml:space="preserve"> Communication No. 488/1992</w:t>
      </w:r>
      <w:r>
        <w:t xml:space="preserve"> (1992</w:t>
      </w:r>
      <w:r w:rsidRPr="002661C2">
        <w:t>)</w:t>
      </w:r>
      <w:r>
        <w:t xml:space="preserve">; Human Rights Committee, </w:t>
      </w:r>
      <w:r w:rsidRPr="00B9208B">
        <w:rPr>
          <w:i/>
        </w:rPr>
        <w:t>Young v Australia</w:t>
      </w:r>
      <w:r>
        <w:t xml:space="preserve">, Communication No. 941/2000 (2003) [10.4]. At </w:t>
      </w:r>
      <w:hyperlink r:id="rId7" w:history="1">
        <w:r w:rsidRPr="00993653">
          <w:rPr>
            <w:rStyle w:val="Hyperlink"/>
          </w:rPr>
          <w:t>http://tbinternet.ohchr.org/_layouts/treatybodyexternal/Download.aspx?symbolno=CCPR%2fC%2f78%2fD%2f941%2f2000&amp;Lang=en</w:t>
        </w:r>
      </w:hyperlink>
      <w:r>
        <w:t xml:space="preserve"> (Viewed 20 December 2018).</w:t>
      </w:r>
    </w:p>
  </w:endnote>
  <w:endnote w:id="8">
    <w:p w14:paraId="0F74206A" w14:textId="61AF7EEB" w:rsidR="00466A36" w:rsidRPr="00306641" w:rsidRDefault="00466A36">
      <w:pPr>
        <w:pStyle w:val="EndnoteText"/>
      </w:pPr>
      <w:r>
        <w:rPr>
          <w:rStyle w:val="EndnoteReference"/>
        </w:rPr>
        <w:endnoteRef/>
      </w:r>
      <w:r>
        <w:t xml:space="preserve"> UN Committee on Economic, Social and Cultural Rights (CESCR), </w:t>
      </w:r>
      <w:r>
        <w:rPr>
          <w:i/>
        </w:rPr>
        <w:t xml:space="preserve">General comment No. 20: Non-discrimination in economic, social and cultural rights </w:t>
      </w:r>
      <w:r>
        <w:t>(</w:t>
      </w:r>
      <w:r>
        <w:rPr>
          <w:i/>
        </w:rPr>
        <w:t>art. 2, para 2, of the International Covenant on Economic, Social and Cultural Rights</w:t>
      </w:r>
      <w:r>
        <w:t xml:space="preserve">) 2 July 2009, UN Doc E/C.12/GC/20, available at </w:t>
      </w:r>
      <w:hyperlink r:id="rId8" w:history="1">
        <w:r w:rsidRPr="00DC1372">
          <w:rPr>
            <w:rStyle w:val="Hyperlink"/>
          </w:rPr>
          <w:t>https://www.refworld.org/docid/4a60961f2.html</w:t>
        </w:r>
      </w:hyperlink>
      <w:r>
        <w:t xml:space="preserve"> (viewed 20 December 2018).</w:t>
      </w:r>
    </w:p>
  </w:endnote>
  <w:endnote w:id="9">
    <w:p w14:paraId="750C30E3" w14:textId="77777777" w:rsidR="00466A36" w:rsidRDefault="00466A36">
      <w:pPr>
        <w:pStyle w:val="EndnoteText"/>
      </w:pPr>
      <w:r>
        <w:rPr>
          <w:rStyle w:val="EndnoteReference"/>
        </w:rPr>
        <w:endnoteRef/>
      </w:r>
      <w:r>
        <w:t xml:space="preserve"> </w:t>
      </w:r>
      <w:r w:rsidRPr="00213AEF">
        <w:rPr>
          <w:i/>
        </w:rPr>
        <w:t>Yogyakarta Principles on the application of international human rights law in relation to sexual orientation and gender identity</w:t>
      </w:r>
      <w:r>
        <w:t xml:space="preserve">, adopted March 2007, available at </w:t>
      </w:r>
      <w:hyperlink r:id="rId9" w:history="1">
        <w:r w:rsidRPr="0035547A">
          <w:rPr>
            <w:rStyle w:val="Hyperlink"/>
          </w:rPr>
          <w:t>http://www.yogyakartaprinciples.org/wp_content/uploads/2016/08/principles_en.pdf</w:t>
        </w:r>
      </w:hyperlink>
      <w:r>
        <w:t xml:space="preserve"> (viewed 21 December 2018).</w:t>
      </w:r>
    </w:p>
  </w:endnote>
  <w:endnote w:id="10">
    <w:p w14:paraId="6FBC5F03" w14:textId="3CA5C776" w:rsidR="00466A36" w:rsidRPr="00E633AD" w:rsidRDefault="00466A36">
      <w:pPr>
        <w:pStyle w:val="EndnoteText"/>
        <w:rPr>
          <w:lang w:val="en-US"/>
        </w:rPr>
      </w:pPr>
      <w:r>
        <w:rPr>
          <w:rStyle w:val="EndnoteReference"/>
        </w:rPr>
        <w:endnoteRef/>
      </w:r>
      <w:r>
        <w:t xml:space="preserve"> </w:t>
      </w:r>
      <w:r>
        <w:rPr>
          <w:lang w:val="en-US"/>
        </w:rPr>
        <w:t xml:space="preserve">These principles are all expressly outlined in the </w:t>
      </w:r>
      <w:r w:rsidRPr="00E633AD">
        <w:rPr>
          <w:i/>
          <w:lang w:val="en-US"/>
        </w:rPr>
        <w:t>Convention on the Rights of the Child</w:t>
      </w:r>
      <w:r w:rsidRPr="00845FE7">
        <w:rPr>
          <w:lang w:val="en-US"/>
        </w:rPr>
        <w:t>.</w:t>
      </w:r>
    </w:p>
  </w:endnote>
  <w:endnote w:id="11">
    <w:p w14:paraId="2895DB52" w14:textId="29D037EF" w:rsidR="00466A36" w:rsidRPr="00306641" w:rsidRDefault="00466A36">
      <w:pPr>
        <w:pStyle w:val="EndnoteText"/>
        <w:rPr>
          <w:lang w:val="en-US"/>
        </w:rPr>
      </w:pPr>
      <w:r>
        <w:rPr>
          <w:rStyle w:val="EndnoteReference"/>
        </w:rPr>
        <w:endnoteRef/>
      </w:r>
      <w:r>
        <w:t xml:space="preserve"> UN Committee on the Rights of the Child (CRC), </w:t>
      </w:r>
      <w:r>
        <w:rPr>
          <w:i/>
        </w:rPr>
        <w:t>General comment No. 5 (2003): General measures of implementation of the Convention on the Rights of the Child</w:t>
      </w:r>
      <w:r>
        <w:t xml:space="preserve">, 27 November 2003, UN Doc CRC/GC/2003/5 at [12], available at </w:t>
      </w:r>
      <w:hyperlink r:id="rId10" w:history="1">
        <w:r w:rsidRPr="00127BF5">
          <w:rPr>
            <w:rStyle w:val="Hyperlink"/>
          </w:rPr>
          <w:t>https://www.refworld.org/docid/4538834f11.html</w:t>
        </w:r>
      </w:hyperlink>
      <w:r>
        <w:t xml:space="preserve"> (viewed 21 December 2018).</w:t>
      </w:r>
    </w:p>
  </w:endnote>
  <w:endnote w:id="12">
    <w:p w14:paraId="180B9B8E" w14:textId="5D8CE5CC" w:rsidR="00466A36" w:rsidRPr="000A2B33" w:rsidRDefault="00466A36">
      <w:pPr>
        <w:pStyle w:val="EndnoteText"/>
        <w:rPr>
          <w:lang w:val="en-US"/>
        </w:rPr>
      </w:pPr>
      <w:r>
        <w:rPr>
          <w:rStyle w:val="EndnoteReference"/>
        </w:rPr>
        <w:endnoteRef/>
      </w:r>
      <w:r>
        <w:t xml:space="preserve"> </w:t>
      </w:r>
      <w:r>
        <w:rPr>
          <w:lang w:val="en-US"/>
        </w:rPr>
        <w:t>National LGBTI Health Alliance, ‘</w:t>
      </w:r>
      <w:r w:rsidRPr="000A2B33">
        <w:rPr>
          <w:lang w:val="en-US"/>
        </w:rPr>
        <w:t>The Statistics at a Glance: The Mental Health of Lesbian, Gay, Bisexual, Transgender and Intersex People in Australia</w:t>
      </w:r>
      <w:r>
        <w:rPr>
          <w:lang w:val="en-US"/>
        </w:rPr>
        <w:t xml:space="preserve">’, Web Page,  at </w:t>
      </w:r>
      <w:hyperlink r:id="rId11" w:history="1">
        <w:r w:rsidRPr="00127BF5">
          <w:rPr>
            <w:rStyle w:val="Hyperlink"/>
            <w:lang w:val="en-US"/>
          </w:rPr>
          <w:t>https://lgbtihealth.org.au/statistics/</w:t>
        </w:r>
      </w:hyperlink>
      <w:r>
        <w:rPr>
          <w:lang w:val="en-US"/>
        </w:rPr>
        <w:t xml:space="preserve"> (viewed 21 December 2018).</w:t>
      </w:r>
    </w:p>
  </w:endnote>
  <w:endnote w:id="13">
    <w:p w14:paraId="2C630A73" w14:textId="6F89D235" w:rsidR="00466A36" w:rsidRPr="009E39AE" w:rsidRDefault="00466A36">
      <w:pPr>
        <w:pStyle w:val="EndnoteText"/>
        <w:rPr>
          <w:lang w:val="en-US"/>
        </w:rPr>
      </w:pPr>
      <w:r>
        <w:rPr>
          <w:rStyle w:val="EndnoteReference"/>
        </w:rPr>
        <w:endnoteRef/>
      </w:r>
      <w:r>
        <w:t xml:space="preserve"> </w:t>
      </w:r>
      <w:r>
        <w:rPr>
          <w:lang w:val="en-US"/>
        </w:rPr>
        <w:t xml:space="preserve">Robinson, KH, Bansel, P, Denson, N, Ovenden, G &amp; Davies, C, 2013, </w:t>
      </w:r>
      <w:r>
        <w:rPr>
          <w:i/>
          <w:lang w:val="en-US"/>
        </w:rPr>
        <w:t>Growing Up Queer: Issues Facing Young Australians Who Are Gender Variant and Sexuality Diverse</w:t>
      </w:r>
      <w:r>
        <w:rPr>
          <w:lang w:val="en-US"/>
        </w:rPr>
        <w:t>, Young and Well Cooperative Research Centre, Melbourne, viii</w:t>
      </w:r>
      <w:r w:rsidR="004C69EA">
        <w:rPr>
          <w:lang w:val="en-US"/>
        </w:rPr>
        <w:t>.</w:t>
      </w:r>
    </w:p>
  </w:endnote>
  <w:endnote w:id="14">
    <w:p w14:paraId="7EB5F5F3" w14:textId="1059D792" w:rsidR="004C69EA" w:rsidRDefault="004C69EA">
      <w:pPr>
        <w:pStyle w:val="EndnoteText"/>
      </w:pPr>
      <w:r>
        <w:rPr>
          <w:rStyle w:val="EndnoteReference"/>
        </w:rPr>
        <w:endnoteRef/>
      </w:r>
      <w:r>
        <w:t xml:space="preserve"> </w:t>
      </w:r>
      <w:r w:rsidRPr="004C69EA">
        <w:rPr>
          <w:lang w:val="en-US"/>
        </w:rPr>
        <w:t xml:space="preserve">Robinson, KH, Bansel, P, Denson, N, Ovenden, G &amp; Davies, C, 2013, </w:t>
      </w:r>
      <w:r w:rsidRPr="004C69EA">
        <w:rPr>
          <w:i/>
          <w:lang w:val="en-US"/>
        </w:rPr>
        <w:t>Growing Up Queer: Issues Facing Young Australians Who Are Gender Variant and Sexuality Diverse</w:t>
      </w:r>
      <w:r w:rsidRPr="004C69EA">
        <w:rPr>
          <w:lang w:val="en-US"/>
        </w:rPr>
        <w:t xml:space="preserve">, Young and Well Cooperative Research Centre, Melbourne, </w:t>
      </w:r>
      <w:r>
        <w:rPr>
          <w:lang w:val="en-US"/>
        </w:rPr>
        <w:t>ix</w:t>
      </w:r>
      <w:r w:rsidRPr="004C69EA">
        <w:rPr>
          <w:lang w:val="en-US"/>
        </w:rPr>
        <w:t>.</w:t>
      </w:r>
    </w:p>
  </w:endnote>
  <w:endnote w:id="15">
    <w:p w14:paraId="105B43FF" w14:textId="0D68E86E" w:rsidR="00466A36" w:rsidRPr="0072159C" w:rsidRDefault="00466A36">
      <w:pPr>
        <w:pStyle w:val="EndnoteText"/>
        <w:rPr>
          <w:lang w:val="en-US"/>
        </w:rPr>
      </w:pPr>
      <w:r>
        <w:rPr>
          <w:rStyle w:val="EndnoteReference"/>
        </w:rPr>
        <w:endnoteRef/>
      </w:r>
      <w:r>
        <w:t xml:space="preserve"> </w:t>
      </w:r>
      <w:r>
        <w:rPr>
          <w:lang w:val="en-US"/>
        </w:rPr>
        <w:t xml:space="preserve">Western Australia Commissioner for Children and Young People, ‘Lesbian, Gay, Bisexual, Trans and Intersex (LGBTI) children and young people’, Issues Paper, February 2018, at </w:t>
      </w:r>
      <w:hyperlink r:id="rId12" w:history="1">
        <w:r w:rsidRPr="00127BF5">
          <w:rPr>
            <w:rStyle w:val="Hyperlink"/>
            <w:lang w:val="en-US"/>
          </w:rPr>
          <w:t>https://www.ccyp.wa.gov.au/media/2841/issues-paper-lgbti-children-and-young-people-february-2018.pdf</w:t>
        </w:r>
      </w:hyperlink>
      <w:r>
        <w:rPr>
          <w:lang w:val="en-US"/>
        </w:rPr>
        <w:t xml:space="preserve"> (viewed 21 December 2018).</w:t>
      </w:r>
    </w:p>
  </w:endnote>
  <w:endnote w:id="16">
    <w:p w14:paraId="64D23A9D" w14:textId="488AFCFA" w:rsidR="00466A36" w:rsidRPr="009E39AE" w:rsidRDefault="00466A36">
      <w:pPr>
        <w:pStyle w:val="EndnoteText"/>
        <w:rPr>
          <w:lang w:val="en-US"/>
        </w:rPr>
      </w:pPr>
      <w:r>
        <w:rPr>
          <w:rStyle w:val="EndnoteReference"/>
        </w:rPr>
        <w:endnoteRef/>
      </w:r>
      <w:r>
        <w:t xml:space="preserve"> </w:t>
      </w:r>
      <w:r>
        <w:rPr>
          <w:lang w:val="en-US"/>
        </w:rPr>
        <w:t xml:space="preserve">Committee on the Rights of the Child, </w:t>
      </w:r>
      <w:r>
        <w:rPr>
          <w:i/>
          <w:lang w:val="en-US"/>
        </w:rPr>
        <w:t>General Comment No. 20 on the implementation of the rights of the child during adolescence</w:t>
      </w:r>
      <w:r>
        <w:rPr>
          <w:lang w:val="en-US"/>
        </w:rPr>
        <w:t>, CRC/C/GC/20 6 December 2016 [55]</w:t>
      </w:r>
    </w:p>
  </w:endnote>
  <w:endnote w:id="17">
    <w:p w14:paraId="2F53B000" w14:textId="555D69F1" w:rsidR="00466A36" w:rsidRPr="009E39AE" w:rsidRDefault="00466A36">
      <w:pPr>
        <w:pStyle w:val="EndnoteText"/>
        <w:rPr>
          <w:lang w:val="en-US"/>
        </w:rPr>
      </w:pPr>
      <w:r>
        <w:rPr>
          <w:rStyle w:val="EndnoteReference"/>
        </w:rPr>
        <w:endnoteRef/>
      </w:r>
      <w:r>
        <w:t xml:space="preserve"> </w:t>
      </w:r>
      <w:r>
        <w:rPr>
          <w:lang w:val="en-US"/>
        </w:rPr>
        <w:t xml:space="preserve">Australian Human Rights Commission, </w:t>
      </w:r>
      <w:r>
        <w:rPr>
          <w:i/>
          <w:lang w:val="en-US"/>
        </w:rPr>
        <w:t>The Rights and Needs of Young Parents and their Children: a Summary of the Key Findings from the Children’s Rights Report 2017</w:t>
      </w:r>
      <w:r>
        <w:rPr>
          <w:lang w:val="en-US"/>
        </w:rPr>
        <w:t xml:space="preserve">, available at </w:t>
      </w:r>
      <w:hyperlink r:id="rId13" w:history="1">
        <w:r w:rsidRPr="00DB23F8">
          <w:rPr>
            <w:rStyle w:val="Hyperlink"/>
            <w:lang w:val="en-US"/>
          </w:rPr>
          <w:t>https://www.humanrights.gov.au/sites/default/files/AHRC_CRR_2017_Summary.pdf</w:t>
        </w:r>
      </w:hyperlink>
      <w:r>
        <w:rPr>
          <w:lang w:val="en-US"/>
        </w:rPr>
        <w:t xml:space="preserve"> </w:t>
      </w:r>
    </w:p>
  </w:endnote>
  <w:endnote w:id="18">
    <w:p w14:paraId="7473CC23" w14:textId="77777777" w:rsidR="00466A36" w:rsidRDefault="00466A36" w:rsidP="005D3FBB">
      <w:pPr>
        <w:pStyle w:val="EndnoteText"/>
      </w:pPr>
      <w:r>
        <w:rPr>
          <w:rStyle w:val="EndnoteReference"/>
        </w:rPr>
        <w:endnoteRef/>
      </w:r>
      <w:r>
        <w:t xml:space="preserve"> </w:t>
      </w:r>
      <w:r w:rsidRPr="00EF1363">
        <w:rPr>
          <w:i/>
        </w:rPr>
        <w:t>Sex Discrimination Act 1984</w:t>
      </w:r>
      <w:r>
        <w:t xml:space="preserve"> (Cth), ss 21 and 38(3).</w:t>
      </w:r>
    </w:p>
  </w:endnote>
  <w:endnote w:id="19">
    <w:p w14:paraId="196B4185" w14:textId="77777777" w:rsidR="00466A36" w:rsidRPr="005A2B9E" w:rsidRDefault="00466A36" w:rsidP="005D3FBB">
      <w:pPr>
        <w:pStyle w:val="EndnoteText"/>
        <w:rPr>
          <w:lang w:val="en-US"/>
        </w:rPr>
      </w:pPr>
      <w:r>
        <w:rPr>
          <w:rStyle w:val="EndnoteReference"/>
        </w:rPr>
        <w:endnoteRef/>
      </w:r>
      <w:r>
        <w:t xml:space="preserve"> Explanatory Memorandum, </w:t>
      </w:r>
      <w:r>
        <w:rPr>
          <w:lang w:val="en-US"/>
        </w:rPr>
        <w:t>Sex Discrimination Amendment (Removing Discrimination Against Students) Bill 2018 (Cth), p 2.</w:t>
      </w:r>
    </w:p>
  </w:endnote>
  <w:endnote w:id="20">
    <w:p w14:paraId="39DCCD7D" w14:textId="3D7F200C" w:rsidR="00466A36" w:rsidRPr="002D63E0" w:rsidRDefault="00466A36">
      <w:pPr>
        <w:pStyle w:val="EndnoteText"/>
        <w:rPr>
          <w:lang w:val="en-US"/>
        </w:rPr>
      </w:pPr>
      <w:r>
        <w:rPr>
          <w:rStyle w:val="EndnoteReference"/>
        </w:rPr>
        <w:endnoteRef/>
      </w:r>
      <w:r>
        <w:t xml:space="preserve"> </w:t>
      </w:r>
      <w:r>
        <w:rPr>
          <w:lang w:val="en-US"/>
        </w:rPr>
        <w:t>Sex Discrimination Amendment (Removing Discrimination Against Students) Bill 2018 (Cth), Sch 1, item 1.</w:t>
      </w:r>
    </w:p>
  </w:endnote>
  <w:endnote w:id="21">
    <w:p w14:paraId="66C410DF" w14:textId="7EB13FA3" w:rsidR="00466A36" w:rsidRPr="00CB1502" w:rsidRDefault="00466A36">
      <w:pPr>
        <w:pStyle w:val="EndnoteText"/>
        <w:rPr>
          <w:lang w:val="en-US"/>
        </w:rPr>
      </w:pPr>
      <w:r>
        <w:rPr>
          <w:rStyle w:val="EndnoteReference"/>
        </w:rPr>
        <w:endnoteRef/>
      </w:r>
      <w:r>
        <w:t xml:space="preserve"> </w:t>
      </w:r>
      <w:r>
        <w:rPr>
          <w:lang w:val="en-US"/>
        </w:rPr>
        <w:t xml:space="preserve">Explanatory Memorandum Relating to Amendment Sheet KQ147, Sex Discrimination Amendment (Removing Discrimination Against Students) Bill 2018 (Cth), [6]. </w:t>
      </w:r>
    </w:p>
  </w:endnote>
  <w:endnote w:id="22">
    <w:p w14:paraId="0AC81A66" w14:textId="3E64B41C" w:rsidR="00466A36" w:rsidRPr="006A1E8A" w:rsidRDefault="00466A36">
      <w:pPr>
        <w:pStyle w:val="EndnoteText"/>
        <w:rPr>
          <w:lang w:val="en-US"/>
        </w:rPr>
      </w:pPr>
      <w:r>
        <w:rPr>
          <w:rStyle w:val="EndnoteReference"/>
        </w:rPr>
        <w:endnoteRef/>
      </w:r>
      <w:r>
        <w:t xml:space="preserve"> </w:t>
      </w:r>
      <w:r>
        <w:rPr>
          <w:lang w:val="en-US"/>
        </w:rPr>
        <w:t>Amendment Sheet KQ147, Sex Discrimination Amendment (Removing Discrimination Against Students) Bill 2018 (Cth).</w:t>
      </w:r>
    </w:p>
  </w:endnote>
  <w:endnote w:id="23">
    <w:p w14:paraId="39A9774C" w14:textId="24B688E1" w:rsidR="00466A36" w:rsidRPr="001105AA" w:rsidRDefault="00466A36">
      <w:pPr>
        <w:pStyle w:val="EndnoteText"/>
        <w:rPr>
          <w:lang w:val="en-US"/>
        </w:rPr>
      </w:pPr>
      <w:r>
        <w:rPr>
          <w:rStyle w:val="EndnoteReference"/>
        </w:rPr>
        <w:endnoteRef/>
      </w:r>
      <w:r>
        <w:t xml:space="preserve"> </w:t>
      </w:r>
      <w:r>
        <w:rPr>
          <w:lang w:val="en-US"/>
        </w:rPr>
        <w:t>Amendment Sheet 8614, Sex Discrimination Amendment (Removing Discrimination Against Students) Bill 2018 (Cth).</w:t>
      </w:r>
    </w:p>
  </w:endnote>
  <w:endnote w:id="24">
    <w:p w14:paraId="355279F3" w14:textId="2FA3AB38" w:rsidR="00466A36" w:rsidRPr="00BD2FAB" w:rsidRDefault="00466A36">
      <w:pPr>
        <w:pStyle w:val="EndnoteText"/>
        <w:rPr>
          <w:lang w:val="en-US"/>
        </w:rPr>
      </w:pPr>
      <w:r>
        <w:rPr>
          <w:rStyle w:val="EndnoteReference"/>
        </w:rPr>
        <w:endnoteRef/>
      </w:r>
      <w:r>
        <w:t xml:space="preserve"> </w:t>
      </w:r>
      <w:r>
        <w:rPr>
          <w:lang w:val="en-US"/>
        </w:rPr>
        <w:t>Amendment Sheet KQ149, Sex Discrimination Amendment (Removing Discrimination Against Students) Bill 2018 (Cth).</w:t>
      </w:r>
    </w:p>
  </w:endnote>
  <w:endnote w:id="25">
    <w:p w14:paraId="381D22DD" w14:textId="1646D8A6" w:rsidR="00466A36" w:rsidRPr="009B1F71" w:rsidRDefault="00466A36">
      <w:pPr>
        <w:pStyle w:val="EndnoteText"/>
        <w:rPr>
          <w:lang w:val="en-US"/>
        </w:rPr>
      </w:pPr>
      <w:r>
        <w:rPr>
          <w:rStyle w:val="EndnoteReference"/>
        </w:rPr>
        <w:endnoteRef/>
      </w:r>
      <w:r>
        <w:t xml:space="preserve"> </w:t>
      </w:r>
      <w:r>
        <w:rPr>
          <w:lang w:val="en-US"/>
        </w:rPr>
        <w:t>Explanatory Memorandum Relating to Amendment Sheet KQ149, Sex Discrimination Amendment (Removing Discrimination Against Students) Bill 2018 (Cth), [3].</w:t>
      </w:r>
    </w:p>
  </w:endnote>
  <w:endnote w:id="26">
    <w:p w14:paraId="75C39C20" w14:textId="7FF9A4B5" w:rsidR="00466A36" w:rsidRPr="00823C2E" w:rsidRDefault="00466A36">
      <w:pPr>
        <w:pStyle w:val="EndnoteText"/>
        <w:rPr>
          <w:lang w:val="en-US"/>
        </w:rPr>
      </w:pPr>
      <w:r>
        <w:rPr>
          <w:rStyle w:val="EndnoteReference"/>
        </w:rPr>
        <w:endnoteRef/>
      </w:r>
      <w:r>
        <w:t xml:space="preserve"> </w:t>
      </w:r>
      <w:r>
        <w:rPr>
          <w:i/>
          <w:lang w:val="en-US"/>
        </w:rPr>
        <w:t xml:space="preserve">Sex Discrimination Act 1984 </w:t>
      </w:r>
      <w:r>
        <w:rPr>
          <w:lang w:val="en-US"/>
        </w:rPr>
        <w:t>(Cth) ss 5A(1) and 5B(1).</w:t>
      </w:r>
    </w:p>
  </w:endnote>
  <w:endnote w:id="27">
    <w:p w14:paraId="151D18C9" w14:textId="0FEDCCED" w:rsidR="00466A36" w:rsidRPr="00823C2E" w:rsidRDefault="00466A36">
      <w:pPr>
        <w:pStyle w:val="EndnoteText"/>
        <w:rPr>
          <w:lang w:val="en-US"/>
        </w:rPr>
      </w:pPr>
      <w:r>
        <w:rPr>
          <w:rStyle w:val="EndnoteReference"/>
        </w:rPr>
        <w:endnoteRef/>
      </w:r>
      <w:r>
        <w:t xml:space="preserve"> </w:t>
      </w:r>
      <w:r>
        <w:rPr>
          <w:i/>
          <w:lang w:val="en-US"/>
        </w:rPr>
        <w:t>Sex Discrimination Act 1984</w:t>
      </w:r>
      <w:r>
        <w:rPr>
          <w:lang w:val="en-US"/>
        </w:rPr>
        <w:t xml:space="preserve"> (Cth)ss 5A(2) and 5B(2).</w:t>
      </w:r>
    </w:p>
  </w:endnote>
  <w:endnote w:id="28">
    <w:p w14:paraId="50CF4BFB" w14:textId="08B7D76B" w:rsidR="00466A36" w:rsidRPr="002D63E0" w:rsidRDefault="00466A36" w:rsidP="00166450">
      <w:pPr>
        <w:pStyle w:val="EndnoteText"/>
        <w:rPr>
          <w:lang w:val="en-US"/>
        </w:rPr>
      </w:pPr>
      <w:r>
        <w:rPr>
          <w:rStyle w:val="EndnoteReference"/>
        </w:rPr>
        <w:endnoteRef/>
      </w:r>
      <w:r>
        <w:t xml:space="preserve"> </w:t>
      </w:r>
      <w:r>
        <w:rPr>
          <w:lang w:val="en-US"/>
        </w:rPr>
        <w:t>Explanatory Memorandum Relating to Amendment Sheet KQ149, Sex Discrimination Amendment (Removing Discrimination Against Students) Bill 2018 (Cth), [6].</w:t>
      </w:r>
    </w:p>
  </w:endnote>
  <w:endnote w:id="29">
    <w:p w14:paraId="229F4B7C" w14:textId="41FD4F7A" w:rsidR="00466A36" w:rsidRDefault="00466A36" w:rsidP="00750727">
      <w:pPr>
        <w:pStyle w:val="EndnoteText"/>
      </w:pPr>
      <w:r>
        <w:rPr>
          <w:rStyle w:val="EndnoteReference"/>
        </w:rPr>
        <w:endnoteRef/>
      </w:r>
      <w:r>
        <w:t xml:space="preserve"> </w:t>
      </w:r>
      <w:r>
        <w:rPr>
          <w:lang w:val="en-US"/>
        </w:rPr>
        <w:t>Amendment Sheet KQ151, Sex Discrimination Amendment (Removing Discrimination Against Students) Bill 2018 (Cth); Amendment Sheet KQ151, Sex Discrimination Amendment (Removing Discrimination Against Students) Bill 2018 (Cth). The difference between these amendment sheets is that Sheet KQ151 is limited to primary schools and secondary schools, while Sheet KQ150 relates to all educational institutions as defined by the SDA.</w:t>
      </w:r>
    </w:p>
  </w:endnote>
  <w:endnote w:id="30">
    <w:p w14:paraId="3BA2B1E7" w14:textId="1F5D3A56" w:rsidR="00466A36" w:rsidRPr="003D761F" w:rsidRDefault="00466A36">
      <w:pPr>
        <w:pStyle w:val="EndnoteText"/>
        <w:rPr>
          <w:lang w:val="en-US"/>
        </w:rPr>
      </w:pPr>
      <w:r>
        <w:rPr>
          <w:rStyle w:val="EndnoteReference"/>
        </w:rPr>
        <w:endnoteRef/>
      </w:r>
      <w:r>
        <w:t xml:space="preserve"> </w:t>
      </w:r>
      <w:r>
        <w:rPr>
          <w:lang w:val="en-US"/>
        </w:rPr>
        <w:t>Amendment Sheet KQ148, Sex Discrimination Amendment (Removing Discrimination Against Students) Bill 2018 (Cth) and Amendment Sheet KQ151, Sex Discrimination Amendment (Removing Discrimination Against Students) Bill 2018 (Cth).</w:t>
      </w:r>
    </w:p>
  </w:endnote>
  <w:endnote w:id="31">
    <w:p w14:paraId="6B8FBCF6" w14:textId="178AE075" w:rsidR="00466A36" w:rsidRPr="00A8205D" w:rsidRDefault="00466A36">
      <w:pPr>
        <w:pStyle w:val="EndnoteText"/>
        <w:rPr>
          <w:lang w:val="en-US"/>
        </w:rPr>
      </w:pPr>
      <w:r>
        <w:rPr>
          <w:rStyle w:val="EndnoteReference"/>
        </w:rPr>
        <w:endnoteRef/>
      </w:r>
      <w:r>
        <w:t xml:space="preserve"> </w:t>
      </w:r>
      <w:r>
        <w:rPr>
          <w:lang w:val="en-US"/>
        </w:rPr>
        <w:t xml:space="preserve">UN Committee on the Rights of the Child (CRC), </w:t>
      </w:r>
      <w:r>
        <w:rPr>
          <w:i/>
          <w:lang w:val="en-US"/>
        </w:rPr>
        <w:t>General Comment No. 14 (2013) on the right of the child to have his or her best interests taken as a primary consideration (art.3 para 1)</w:t>
      </w:r>
      <w:r>
        <w:rPr>
          <w:lang w:val="en-US"/>
        </w:rPr>
        <w:t xml:space="preserve">, 29 May 2013, UN Doc CRC/C/GC/14, available at </w:t>
      </w:r>
      <w:hyperlink r:id="rId14" w:history="1">
        <w:r w:rsidRPr="0095684D">
          <w:rPr>
            <w:rStyle w:val="Hyperlink"/>
            <w:lang w:val="en-US"/>
          </w:rPr>
          <w:t>https://www.refworld.org/docid/51a84b5e4.html</w:t>
        </w:r>
      </w:hyperlink>
      <w:r>
        <w:rPr>
          <w:lang w:val="en-US"/>
        </w:rPr>
        <w:t xml:space="preserve"> (viewed 8 January 2019).</w:t>
      </w:r>
    </w:p>
  </w:endnote>
  <w:endnote w:id="32">
    <w:p w14:paraId="0451259A" w14:textId="7A4FC872" w:rsidR="00466A36" w:rsidRPr="00A8205D" w:rsidRDefault="00466A36">
      <w:pPr>
        <w:pStyle w:val="EndnoteText"/>
        <w:rPr>
          <w:lang w:val="en-US"/>
        </w:rPr>
      </w:pPr>
      <w:r>
        <w:rPr>
          <w:rStyle w:val="EndnoteReference"/>
        </w:rPr>
        <w:endnoteRef/>
      </w:r>
      <w:r>
        <w:t xml:space="preserve"> UN </w:t>
      </w:r>
      <w:r>
        <w:rPr>
          <w:lang w:val="en-US"/>
        </w:rPr>
        <w:t xml:space="preserve">Committee on the Rights of the Child (CRC), </w:t>
      </w:r>
      <w:r>
        <w:rPr>
          <w:i/>
          <w:lang w:val="en-US"/>
        </w:rPr>
        <w:t>General Comment no. 1 (2001), Article 29 (1), The aims of education</w:t>
      </w:r>
      <w:r>
        <w:rPr>
          <w:lang w:val="en-US"/>
        </w:rPr>
        <w:t xml:space="preserve">, 17 April 2001, UN Doc CRC/GC/2001/1, available at </w:t>
      </w:r>
      <w:hyperlink r:id="rId15" w:history="1">
        <w:r w:rsidRPr="0095684D">
          <w:rPr>
            <w:rStyle w:val="Hyperlink"/>
            <w:lang w:val="en-US"/>
          </w:rPr>
          <w:t>https://www.refworld.org/docid/4538834d2.html</w:t>
        </w:r>
      </w:hyperlink>
      <w:r>
        <w:rPr>
          <w:lang w:val="en-US"/>
        </w:rPr>
        <w:t xml:space="preserve"> (viewed 8 January 2019).</w:t>
      </w:r>
    </w:p>
  </w:endnote>
  <w:endnote w:id="33">
    <w:p w14:paraId="381C3EB7" w14:textId="30DB6795" w:rsidR="00466A36" w:rsidRPr="00AC1B4C" w:rsidRDefault="00466A36">
      <w:pPr>
        <w:pStyle w:val="EndnoteText"/>
        <w:rPr>
          <w:lang w:val="en-US"/>
        </w:rPr>
      </w:pPr>
      <w:r>
        <w:rPr>
          <w:rStyle w:val="EndnoteReference"/>
        </w:rPr>
        <w:endnoteRef/>
      </w:r>
      <w:r>
        <w:t xml:space="preserve"> </w:t>
      </w:r>
      <w:r>
        <w:rPr>
          <w:lang w:val="en-US"/>
        </w:rPr>
        <w:t xml:space="preserve">Australian Human Rights Commission, </w:t>
      </w:r>
      <w:r w:rsidRPr="00AC1B4C">
        <w:rPr>
          <w:i/>
          <w:lang w:val="en-US"/>
        </w:rPr>
        <w:t>Religious Freedom Review: Submission to the Expert Panel</w:t>
      </w:r>
      <w:r>
        <w:rPr>
          <w:lang w:val="en-US"/>
        </w:rPr>
        <w:t xml:space="preserve">, February 2018, also available at </w:t>
      </w:r>
      <w:hyperlink r:id="rId16" w:history="1">
        <w:r w:rsidRPr="00127BF5">
          <w:rPr>
            <w:rStyle w:val="Hyperlink"/>
            <w:lang w:val="en-US"/>
          </w:rPr>
          <w:t>https://www.humanrights.gov.au/submissions/religious-freedom-review-2018</w:t>
        </w:r>
      </w:hyperlink>
      <w:r>
        <w:rPr>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7D1B2" w14:textId="77777777" w:rsidR="00466A36" w:rsidRPr="000465F1" w:rsidRDefault="00466A36" w:rsidP="000465F1">
    <w:pPr>
      <w:pStyle w:val="Footer"/>
    </w:pPr>
    <w:r w:rsidRPr="000465F1">
      <w:t>ABN 47 996 232 602</w:t>
    </w:r>
  </w:p>
  <w:p w14:paraId="4944784C" w14:textId="77777777" w:rsidR="00466A36" w:rsidRPr="000465F1" w:rsidRDefault="00466A36" w:rsidP="000465F1">
    <w:pPr>
      <w:pStyle w:val="Footer"/>
    </w:pPr>
    <w:r w:rsidRPr="000465F1">
      <w:t>Level 3, 175 Pitt Street, Sydney NSW 2000</w:t>
    </w:r>
  </w:p>
  <w:p w14:paraId="62C7E542" w14:textId="77777777" w:rsidR="00466A36" w:rsidRPr="000465F1" w:rsidRDefault="00466A36" w:rsidP="000465F1">
    <w:pPr>
      <w:pStyle w:val="Footer"/>
    </w:pPr>
    <w:r w:rsidRPr="000465F1">
      <w:t>GPO Box 5218, Sydney NSW 2001</w:t>
    </w:r>
  </w:p>
  <w:p w14:paraId="29B2F32A" w14:textId="77777777" w:rsidR="00466A36" w:rsidRPr="000465F1" w:rsidRDefault="00466A36" w:rsidP="000465F1">
    <w:pPr>
      <w:pStyle w:val="Footer"/>
    </w:pPr>
    <w:r w:rsidRPr="000465F1">
      <w:t>General enquiries 1300 369 711</w:t>
    </w:r>
  </w:p>
  <w:p w14:paraId="51275219" w14:textId="77777777" w:rsidR="00466A36" w:rsidRPr="000465F1" w:rsidRDefault="00466A36" w:rsidP="000465F1">
    <w:pPr>
      <w:pStyle w:val="Footer"/>
    </w:pPr>
    <w:r w:rsidRPr="000465F1">
      <w:t>Complaints info line 1300 656 419</w:t>
    </w:r>
  </w:p>
  <w:p w14:paraId="6C8559A1" w14:textId="77777777" w:rsidR="00466A36" w:rsidRPr="000465F1" w:rsidRDefault="00466A36"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B4C39" w14:textId="03FA5523" w:rsidR="00466A36" w:rsidRDefault="00466A36">
    <w:pPr>
      <w:pStyle w:val="Footer"/>
    </w:pPr>
    <w:r w:rsidRPr="00622508">
      <w:fldChar w:fldCharType="begin"/>
    </w:r>
    <w:r>
      <w:instrText xml:space="preserve"> PAGE   \* MERGEFORMAT </w:instrText>
    </w:r>
    <w:r w:rsidRPr="00622508">
      <w:fldChar w:fldCharType="separate"/>
    </w:r>
    <w:r w:rsidR="00792D31">
      <w:rPr>
        <w:noProof/>
      </w:rPr>
      <w:t>16</w:t>
    </w:r>
    <w:r w:rsidRPr="006225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99078" w14:textId="29F537F7" w:rsidR="00466A36" w:rsidRDefault="00466A36" w:rsidP="00E53546">
    <w:pPr>
      <w:pStyle w:val="FooterOddPageNumber"/>
    </w:pPr>
    <w:r w:rsidRPr="00AB7C8F">
      <w:fldChar w:fldCharType="begin"/>
    </w:r>
    <w:r>
      <w:instrText xml:space="preserve"> PAGE   \* MERGEFORMAT </w:instrText>
    </w:r>
    <w:r w:rsidRPr="00AB7C8F">
      <w:fldChar w:fldCharType="separate"/>
    </w:r>
    <w:r w:rsidR="00792D31">
      <w:rPr>
        <w:noProof/>
      </w:rPr>
      <w:t>17</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FB770" w14:textId="457D7842" w:rsidR="00466A36" w:rsidRDefault="00466A36" w:rsidP="00E53546">
    <w:pPr>
      <w:pStyle w:val="FooterEvenPageNumber"/>
    </w:pPr>
    <w:r w:rsidRPr="00F127A8">
      <w:fldChar w:fldCharType="begin"/>
    </w:r>
    <w:r>
      <w:instrText xml:space="preserve"> PAGE   \* MERGEFORMAT </w:instrText>
    </w:r>
    <w:r w:rsidRPr="00F127A8">
      <w:fldChar w:fldCharType="separate"/>
    </w:r>
    <w:r w:rsidR="00792D31">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55D86" w14:textId="77777777" w:rsidR="00466A36" w:rsidRDefault="00466A36" w:rsidP="00F14C6D">
      <w:r>
        <w:separator/>
      </w:r>
    </w:p>
  </w:footnote>
  <w:footnote w:type="continuationSeparator" w:id="0">
    <w:p w14:paraId="27F2267C" w14:textId="77777777" w:rsidR="00466A36" w:rsidRDefault="00466A36"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B4982" w14:textId="77777777" w:rsidR="00466A36" w:rsidRPr="000465F1" w:rsidRDefault="00472272" w:rsidP="000465F1">
    <w:pPr>
      <w:pStyle w:val="Header"/>
    </w:pPr>
    <w:r>
      <w:rPr>
        <w:noProof/>
      </w:rPr>
      <w:pict w14:anchorId="1A6E0C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2051" type="#_x0000_t75" alt="report watermark" style="position:absolute;left:0;text-align:left;margin-left:0;margin-top:0;width:930.9pt;height:1359.95pt;z-index:-251656192;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466A36" w:rsidRPr="000465F1">
      <w:t>Australian Human Rights Commission</w:t>
    </w:r>
  </w:p>
  <w:p w14:paraId="603FD079" w14:textId="77777777" w:rsidR="00466A36" w:rsidRPr="00622508" w:rsidRDefault="00466A36" w:rsidP="00622508">
    <w:pPr>
      <w:pStyle w:val="Footer"/>
    </w:pPr>
    <w:r w:rsidRPr="001F62CC">
      <w:rPr>
        <w:rStyle w:val="HeaderDocumentTitle"/>
      </w:rPr>
      <w:t>Short title</w:t>
    </w:r>
    <w:r w:rsidRPr="00622508">
      <w:rPr>
        <w:rStyle w:val="HeaderDocumentTitle"/>
      </w:rPr>
      <w:t>, report name,</w:t>
    </w:r>
    <w:r w:rsidRPr="00622508">
      <w:t xml:space="preserve">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F5F37" w14:textId="77777777" w:rsidR="00466A36" w:rsidRPr="000465F1" w:rsidRDefault="00472272" w:rsidP="000465F1">
    <w:r>
      <w:rPr>
        <w:noProof/>
      </w:rPr>
      <w:pict w14:anchorId="0AD6D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2050" type="#_x0000_t75" alt="report watermark" style="position:absolute;margin-left:0;margin-top:0;width:930.9pt;height:1359.95pt;z-index:-251655168;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466A36" w:rsidRPr="000465F1">
      <w:t>Australian Human Rights Commission</w:t>
    </w:r>
  </w:p>
  <w:p w14:paraId="7BA4ABFA" w14:textId="77777777" w:rsidR="00466A36" w:rsidRPr="000465F1" w:rsidRDefault="00466A36"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9DECB" w14:textId="77777777" w:rsidR="00466A36" w:rsidRDefault="00472272" w:rsidP="002012F7">
    <w:pPr>
      <w:pStyle w:val="Header"/>
    </w:pPr>
    <w:r>
      <w:rPr>
        <w:noProof/>
      </w:rPr>
      <w:pict w14:anchorId="6F8CB9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alt="MS word cover1" style="position:absolute;left:0;text-align:left;margin-left:-71.05pt;margin-top:-108.5pt;width:595.65pt;height:870.15pt;z-index:-251654144;mso-wrap-edited:f;mso-width-percent:0;mso-height-percent:0;mso-position-horizontal-relative:margin;mso-position-vertical-relative:margin;mso-width-percent:0;mso-height-percent:0" o:allowincell="f">
          <v:imagedata r:id="rId1" o:title="MS word cover1"/>
          <w10:wrap anchorx="margin" anchory="margin"/>
        </v:shape>
      </w:pict>
    </w:r>
    <w:r>
      <w:rPr>
        <w:noProof/>
      </w:rPr>
      <w:pict w14:anchorId="04B2A45B">
        <v:shape id="WordPictureWatermark1034832" o:spid="_x0000_s2048" type="#_x0000_t75" alt="report watermark" style="position:absolute;left:0;text-align:left;margin-left:-70.9pt;margin-top:-109.05pt;width:595.1pt;height:869.4pt;z-index:-251657216;mso-wrap-edited:f;mso-width-percent:0;mso-height-percent:0;mso-position-horizontal-relative:margin;mso-position-vertical-relative:margin;mso-width-percent:0;mso-height-percent:0" o:allowincell="f">
          <v:imagedata r:id="rId2" o:title="report watermark"/>
          <w10:wrap anchorx="margin" anchory="margin"/>
        </v:shape>
      </w:pict>
    </w:r>
  </w:p>
  <w:p w14:paraId="3FB4F015" w14:textId="77777777" w:rsidR="00466A36" w:rsidRDefault="00466A36" w:rsidP="002012F7">
    <w:pPr>
      <w:pStyle w:val="Header"/>
    </w:pPr>
  </w:p>
  <w:p w14:paraId="1B6B2368" w14:textId="77777777" w:rsidR="00466A36" w:rsidRDefault="00466A36"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029E2" w14:textId="77777777" w:rsidR="00466A36" w:rsidRPr="000465F1" w:rsidRDefault="00466A36" w:rsidP="0015239E">
    <w:pPr>
      <w:pStyle w:val="Header"/>
    </w:pPr>
    <w:r w:rsidRPr="000465F1">
      <w:t>Australian Human Rights Commission</w:t>
    </w:r>
  </w:p>
  <w:p w14:paraId="29A370CF" w14:textId="77777777" w:rsidR="00466A36" w:rsidRPr="000465F1" w:rsidRDefault="00466A36" w:rsidP="0015239E">
    <w:pPr>
      <w:pStyle w:val="HeaderDocumentDate"/>
    </w:pPr>
    <w:r>
      <w:rPr>
        <w:rStyle w:val="HeaderDocumentTitle"/>
      </w:rPr>
      <w:t>Sex Discrimination Amendment (Removing Discrimination Against Students) Bill 2018</w:t>
    </w:r>
    <w:r w:rsidRPr="001F62CC">
      <w:rPr>
        <w:rStyle w:val="HeaderDocumentTitle"/>
      </w:rPr>
      <w:t>,</w:t>
    </w:r>
    <w:r>
      <w:t xml:space="preserve"> January 2019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6117E" w14:textId="77777777" w:rsidR="00466A36" w:rsidRPr="000465F1" w:rsidRDefault="00466A36" w:rsidP="00CA5D90">
    <w:pPr>
      <w:pStyle w:val="Header"/>
    </w:pPr>
    <w:bookmarkStart w:id="38" w:name="_Hlk514672172"/>
    <w:bookmarkStart w:id="39" w:name="_Hlk514672173"/>
    <w:r w:rsidRPr="000465F1">
      <w:t>Australian Human Rights Commission</w:t>
    </w:r>
  </w:p>
  <w:bookmarkEnd w:id="38"/>
  <w:bookmarkEnd w:id="39"/>
  <w:p w14:paraId="090A0CE2" w14:textId="77777777" w:rsidR="00466A36" w:rsidRPr="000465F1" w:rsidRDefault="00466A36" w:rsidP="002F5E96">
    <w:pPr>
      <w:pStyle w:val="HeaderDocumentDate"/>
    </w:pPr>
    <w:r>
      <w:rPr>
        <w:rStyle w:val="HeaderDocumentTitle"/>
      </w:rPr>
      <w:t>Sex Discrimination Amendment (Removing Discrimination Against Students) Bill 2018</w:t>
    </w:r>
    <w:r w:rsidRPr="001F62CC">
      <w:rPr>
        <w:rStyle w:val="HeaderDocumentTitle"/>
      </w:rPr>
      <w:t>,</w:t>
    </w:r>
    <w:r>
      <w:t xml:space="preserve"> January 2019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69A56" w14:textId="77777777" w:rsidR="00466A36" w:rsidRPr="000465F1" w:rsidRDefault="00466A36" w:rsidP="0063009F">
    <w:pPr>
      <w:pStyle w:val="Header"/>
    </w:pPr>
    <w:r w:rsidRPr="000465F1">
      <w:t>Australian Human Rights Commission</w:t>
    </w:r>
  </w:p>
  <w:p w14:paraId="03ABA412" w14:textId="77777777" w:rsidR="00466A36" w:rsidRPr="00E372E9" w:rsidRDefault="00466A36" w:rsidP="0063009F">
    <w:pPr>
      <w:pStyle w:val="HeaderDocumentDate"/>
      <w:rPr>
        <w:b/>
        <w:noProof/>
      </w:rPr>
    </w:pPr>
    <w:r>
      <w:rPr>
        <w:rStyle w:val="HeaderDocumentTitle"/>
      </w:rPr>
      <w:t>Sex Discrimination Amendment (Removing Discrimination Against Students) Bill 2018</w:t>
    </w:r>
    <w:r w:rsidRPr="001F62CC">
      <w:rPr>
        <w:rStyle w:val="HeaderDocumentTitle"/>
      </w:rPr>
      <w:t>,</w:t>
    </w:r>
    <w:r>
      <w:t xml:space="preserve"> January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985E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6C42CFC"/>
    <w:multiLevelType w:val="hybridMultilevel"/>
    <w:tmpl w:val="D928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416E68"/>
    <w:multiLevelType w:val="hybridMultilevel"/>
    <w:tmpl w:val="9774A0E6"/>
    <w:lvl w:ilvl="0" w:tplc="8F7C29D8">
      <w:start w:val="1"/>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A26222"/>
    <w:multiLevelType w:val="hybridMultilevel"/>
    <w:tmpl w:val="21D8E022"/>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13"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2BC4794"/>
    <w:multiLevelType w:val="multilevel"/>
    <w:tmpl w:val="9510E9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F406430"/>
    <w:multiLevelType w:val="hybridMultilevel"/>
    <w:tmpl w:val="CD00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4C127B"/>
    <w:multiLevelType w:val="hybridMultilevel"/>
    <w:tmpl w:val="3A3C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F9E5209"/>
    <w:multiLevelType w:val="hybridMultilevel"/>
    <w:tmpl w:val="D2A0FA7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1" w15:restartNumberingAfterBreak="0">
    <w:nsid w:val="428F240F"/>
    <w:multiLevelType w:val="hybridMultilevel"/>
    <w:tmpl w:val="10667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3" w15:restartNumberingAfterBreak="0">
    <w:nsid w:val="4BA00269"/>
    <w:multiLevelType w:val="hybridMultilevel"/>
    <w:tmpl w:val="682842A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4"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76D393C"/>
    <w:multiLevelType w:val="hybridMultilevel"/>
    <w:tmpl w:val="48D22CC4"/>
    <w:lvl w:ilvl="0" w:tplc="12BC1B14">
      <w:numFmt w:val="bullet"/>
      <w:lvlText w:val="-"/>
      <w:lvlJc w:val="left"/>
      <w:pPr>
        <w:ind w:left="720" w:hanging="360"/>
      </w:pPr>
      <w:rPr>
        <w:rFonts w:ascii="Open Sans" w:eastAsia="MS Mincho"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A04FEE"/>
    <w:multiLevelType w:val="hybridMultilevel"/>
    <w:tmpl w:val="2A6AA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363EF2"/>
    <w:multiLevelType w:val="hybridMultilevel"/>
    <w:tmpl w:val="1CB23C5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8" w15:restartNumberingAfterBreak="0">
    <w:nsid w:val="646E2E40"/>
    <w:multiLevelType w:val="hybridMultilevel"/>
    <w:tmpl w:val="8BD0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2B7391"/>
    <w:multiLevelType w:val="hybridMultilevel"/>
    <w:tmpl w:val="81C0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4"/>
  </w:num>
  <w:num w:numId="13">
    <w:abstractNumId w:val="19"/>
  </w:num>
  <w:num w:numId="14">
    <w:abstractNumId w:val="14"/>
  </w:num>
  <w:num w:numId="15">
    <w:abstractNumId w:val="13"/>
  </w:num>
  <w:num w:numId="16">
    <w:abstractNumId w:val="21"/>
  </w:num>
  <w:num w:numId="17">
    <w:abstractNumId w:val="29"/>
  </w:num>
  <w:num w:numId="18">
    <w:abstractNumId w:val="10"/>
  </w:num>
  <w:num w:numId="19">
    <w:abstractNumId w:val="28"/>
  </w:num>
  <w:num w:numId="20">
    <w:abstractNumId w:val="27"/>
  </w:num>
  <w:num w:numId="21">
    <w:abstractNumId w:val="20"/>
  </w:num>
  <w:num w:numId="22">
    <w:abstractNumId w:val="23"/>
  </w:num>
  <w:num w:numId="23">
    <w:abstractNumId w:val="26"/>
  </w:num>
  <w:num w:numId="24">
    <w:abstractNumId w:val="18"/>
  </w:num>
  <w:num w:numId="25">
    <w:abstractNumId w:val="25"/>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1"/>
  </w:num>
  <w:num w:numId="37">
    <w:abstractNumId w:val="12"/>
  </w:num>
  <w:num w:numId="38">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evenAndOddHeaders/>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346"/>
    <w:rsid w:val="000015EC"/>
    <w:rsid w:val="00003EA5"/>
    <w:rsid w:val="000072E9"/>
    <w:rsid w:val="00010D9E"/>
    <w:rsid w:val="00011C7B"/>
    <w:rsid w:val="0001619E"/>
    <w:rsid w:val="000161C2"/>
    <w:rsid w:val="0002476A"/>
    <w:rsid w:val="00026FCA"/>
    <w:rsid w:val="000330B2"/>
    <w:rsid w:val="00036BE4"/>
    <w:rsid w:val="000430B8"/>
    <w:rsid w:val="00045712"/>
    <w:rsid w:val="00045C4B"/>
    <w:rsid w:val="000465F1"/>
    <w:rsid w:val="00054E2A"/>
    <w:rsid w:val="00056157"/>
    <w:rsid w:val="000579B1"/>
    <w:rsid w:val="00061C6C"/>
    <w:rsid w:val="00062FF6"/>
    <w:rsid w:val="00065A93"/>
    <w:rsid w:val="0007019B"/>
    <w:rsid w:val="00072EDA"/>
    <w:rsid w:val="00074B8F"/>
    <w:rsid w:val="00075BF5"/>
    <w:rsid w:val="00077A22"/>
    <w:rsid w:val="00086EE9"/>
    <w:rsid w:val="000901C6"/>
    <w:rsid w:val="00090D04"/>
    <w:rsid w:val="000912E3"/>
    <w:rsid w:val="00091E53"/>
    <w:rsid w:val="00092875"/>
    <w:rsid w:val="00093DC8"/>
    <w:rsid w:val="000960D6"/>
    <w:rsid w:val="000A15C9"/>
    <w:rsid w:val="000A1DB8"/>
    <w:rsid w:val="000A2B33"/>
    <w:rsid w:val="000A3325"/>
    <w:rsid w:val="000A48AC"/>
    <w:rsid w:val="000A520E"/>
    <w:rsid w:val="000A799A"/>
    <w:rsid w:val="000B0603"/>
    <w:rsid w:val="000B0A5D"/>
    <w:rsid w:val="000B329D"/>
    <w:rsid w:val="000B40B4"/>
    <w:rsid w:val="000B5B68"/>
    <w:rsid w:val="000C4449"/>
    <w:rsid w:val="000C5608"/>
    <w:rsid w:val="000C5DA1"/>
    <w:rsid w:val="000C5DA6"/>
    <w:rsid w:val="000C79D6"/>
    <w:rsid w:val="000D2EB2"/>
    <w:rsid w:val="000D71CD"/>
    <w:rsid w:val="000D7922"/>
    <w:rsid w:val="000E130A"/>
    <w:rsid w:val="000E47EF"/>
    <w:rsid w:val="000E4A83"/>
    <w:rsid w:val="000F7AD1"/>
    <w:rsid w:val="0010209E"/>
    <w:rsid w:val="001105AA"/>
    <w:rsid w:val="00112B64"/>
    <w:rsid w:val="00113C79"/>
    <w:rsid w:val="0012043C"/>
    <w:rsid w:val="00125557"/>
    <w:rsid w:val="001268E8"/>
    <w:rsid w:val="0013110F"/>
    <w:rsid w:val="00131840"/>
    <w:rsid w:val="001344ED"/>
    <w:rsid w:val="00134774"/>
    <w:rsid w:val="001366BD"/>
    <w:rsid w:val="00140274"/>
    <w:rsid w:val="00145505"/>
    <w:rsid w:val="00146BFE"/>
    <w:rsid w:val="00151263"/>
    <w:rsid w:val="0015239E"/>
    <w:rsid w:val="00157141"/>
    <w:rsid w:val="00157835"/>
    <w:rsid w:val="00157998"/>
    <w:rsid w:val="001600E3"/>
    <w:rsid w:val="00160A78"/>
    <w:rsid w:val="0016266F"/>
    <w:rsid w:val="00162A8D"/>
    <w:rsid w:val="00165E3C"/>
    <w:rsid w:val="00166450"/>
    <w:rsid w:val="00172967"/>
    <w:rsid w:val="00173FB5"/>
    <w:rsid w:val="00174D9A"/>
    <w:rsid w:val="0019341E"/>
    <w:rsid w:val="00195EDE"/>
    <w:rsid w:val="00197460"/>
    <w:rsid w:val="00197AAE"/>
    <w:rsid w:val="001A715E"/>
    <w:rsid w:val="001B0353"/>
    <w:rsid w:val="001B17FA"/>
    <w:rsid w:val="001B687D"/>
    <w:rsid w:val="001C09E4"/>
    <w:rsid w:val="001C1F8B"/>
    <w:rsid w:val="001C77F9"/>
    <w:rsid w:val="001D0414"/>
    <w:rsid w:val="001D21E6"/>
    <w:rsid w:val="001D5F62"/>
    <w:rsid w:val="001E5676"/>
    <w:rsid w:val="001F06E5"/>
    <w:rsid w:val="001F0E07"/>
    <w:rsid w:val="001F2BBB"/>
    <w:rsid w:val="001F52FD"/>
    <w:rsid w:val="001F62CC"/>
    <w:rsid w:val="001F67F2"/>
    <w:rsid w:val="00200677"/>
    <w:rsid w:val="002012F7"/>
    <w:rsid w:val="002027F6"/>
    <w:rsid w:val="002056F8"/>
    <w:rsid w:val="002068EB"/>
    <w:rsid w:val="00207169"/>
    <w:rsid w:val="00213AEF"/>
    <w:rsid w:val="00215832"/>
    <w:rsid w:val="002174CA"/>
    <w:rsid w:val="0022495E"/>
    <w:rsid w:val="0022572E"/>
    <w:rsid w:val="002310A6"/>
    <w:rsid w:val="00231ED1"/>
    <w:rsid w:val="00234E00"/>
    <w:rsid w:val="00241523"/>
    <w:rsid w:val="00242624"/>
    <w:rsid w:val="002442A0"/>
    <w:rsid w:val="0024557E"/>
    <w:rsid w:val="002471FD"/>
    <w:rsid w:val="002477A5"/>
    <w:rsid w:val="00262D20"/>
    <w:rsid w:val="002632EA"/>
    <w:rsid w:val="0027036D"/>
    <w:rsid w:val="002752E2"/>
    <w:rsid w:val="00281963"/>
    <w:rsid w:val="00283EDF"/>
    <w:rsid w:val="00284B8B"/>
    <w:rsid w:val="00284E81"/>
    <w:rsid w:val="0028506A"/>
    <w:rsid w:val="002850B0"/>
    <w:rsid w:val="00285202"/>
    <w:rsid w:val="002863D7"/>
    <w:rsid w:val="002873B4"/>
    <w:rsid w:val="00292AB5"/>
    <w:rsid w:val="002A43C2"/>
    <w:rsid w:val="002B1B65"/>
    <w:rsid w:val="002B3AEE"/>
    <w:rsid w:val="002B5163"/>
    <w:rsid w:val="002B7159"/>
    <w:rsid w:val="002C02DB"/>
    <w:rsid w:val="002C1866"/>
    <w:rsid w:val="002C4758"/>
    <w:rsid w:val="002D374A"/>
    <w:rsid w:val="002D63E0"/>
    <w:rsid w:val="002E170F"/>
    <w:rsid w:val="002E290D"/>
    <w:rsid w:val="002E4C57"/>
    <w:rsid w:val="002E5A1B"/>
    <w:rsid w:val="002E678A"/>
    <w:rsid w:val="002F232F"/>
    <w:rsid w:val="002F3A1F"/>
    <w:rsid w:val="002F4042"/>
    <w:rsid w:val="002F4CE1"/>
    <w:rsid w:val="002F5E96"/>
    <w:rsid w:val="002F7B88"/>
    <w:rsid w:val="0030053D"/>
    <w:rsid w:val="00300F22"/>
    <w:rsid w:val="00304A37"/>
    <w:rsid w:val="00305563"/>
    <w:rsid w:val="00306641"/>
    <w:rsid w:val="0031040E"/>
    <w:rsid w:val="00310ED4"/>
    <w:rsid w:val="00311341"/>
    <w:rsid w:val="00311988"/>
    <w:rsid w:val="00312301"/>
    <w:rsid w:val="0031492A"/>
    <w:rsid w:val="00316C1A"/>
    <w:rsid w:val="00323C73"/>
    <w:rsid w:val="00324271"/>
    <w:rsid w:val="00327308"/>
    <w:rsid w:val="00331141"/>
    <w:rsid w:val="003351E6"/>
    <w:rsid w:val="003423F4"/>
    <w:rsid w:val="00344758"/>
    <w:rsid w:val="00347142"/>
    <w:rsid w:val="0034740E"/>
    <w:rsid w:val="00350D1B"/>
    <w:rsid w:val="0035327E"/>
    <w:rsid w:val="003565A8"/>
    <w:rsid w:val="003566EA"/>
    <w:rsid w:val="00357198"/>
    <w:rsid w:val="003620BD"/>
    <w:rsid w:val="00362E2B"/>
    <w:rsid w:val="0036382C"/>
    <w:rsid w:val="00366503"/>
    <w:rsid w:val="00372C79"/>
    <w:rsid w:val="003850D9"/>
    <w:rsid w:val="003A168E"/>
    <w:rsid w:val="003A48B7"/>
    <w:rsid w:val="003A5E58"/>
    <w:rsid w:val="003A7635"/>
    <w:rsid w:val="003A7DD0"/>
    <w:rsid w:val="003B380F"/>
    <w:rsid w:val="003B5B76"/>
    <w:rsid w:val="003C1DF0"/>
    <w:rsid w:val="003C7091"/>
    <w:rsid w:val="003D1A18"/>
    <w:rsid w:val="003D3A57"/>
    <w:rsid w:val="003D761F"/>
    <w:rsid w:val="003D7E6D"/>
    <w:rsid w:val="003E0CB4"/>
    <w:rsid w:val="003E2F43"/>
    <w:rsid w:val="003E5DEF"/>
    <w:rsid w:val="003F04CD"/>
    <w:rsid w:val="003F240E"/>
    <w:rsid w:val="003F2C15"/>
    <w:rsid w:val="003F332C"/>
    <w:rsid w:val="004006D2"/>
    <w:rsid w:val="0040497E"/>
    <w:rsid w:val="0040727A"/>
    <w:rsid w:val="00420E54"/>
    <w:rsid w:val="00422417"/>
    <w:rsid w:val="00424233"/>
    <w:rsid w:val="00433049"/>
    <w:rsid w:val="004368FB"/>
    <w:rsid w:val="00441B19"/>
    <w:rsid w:val="00445CB5"/>
    <w:rsid w:val="00446EC3"/>
    <w:rsid w:val="004552C7"/>
    <w:rsid w:val="00460EE0"/>
    <w:rsid w:val="004626F0"/>
    <w:rsid w:val="00466A36"/>
    <w:rsid w:val="00467C5C"/>
    <w:rsid w:val="00470970"/>
    <w:rsid w:val="004712FB"/>
    <w:rsid w:val="00471BB7"/>
    <w:rsid w:val="00472272"/>
    <w:rsid w:val="00472EFF"/>
    <w:rsid w:val="00473A9C"/>
    <w:rsid w:val="00474063"/>
    <w:rsid w:val="00476793"/>
    <w:rsid w:val="004803B7"/>
    <w:rsid w:val="00481B2A"/>
    <w:rsid w:val="00482091"/>
    <w:rsid w:val="004A1643"/>
    <w:rsid w:val="004A187B"/>
    <w:rsid w:val="004A21DF"/>
    <w:rsid w:val="004A2D3C"/>
    <w:rsid w:val="004A3306"/>
    <w:rsid w:val="004B2369"/>
    <w:rsid w:val="004B54AD"/>
    <w:rsid w:val="004B68DB"/>
    <w:rsid w:val="004B78F9"/>
    <w:rsid w:val="004C49ED"/>
    <w:rsid w:val="004C69EA"/>
    <w:rsid w:val="004C7412"/>
    <w:rsid w:val="004D04BF"/>
    <w:rsid w:val="004D7648"/>
    <w:rsid w:val="004E0DFF"/>
    <w:rsid w:val="004E4F71"/>
    <w:rsid w:val="004E644F"/>
    <w:rsid w:val="004E7550"/>
    <w:rsid w:val="004E78E5"/>
    <w:rsid w:val="004F0187"/>
    <w:rsid w:val="004F1A0E"/>
    <w:rsid w:val="004F1C7C"/>
    <w:rsid w:val="004F5DCE"/>
    <w:rsid w:val="004F637A"/>
    <w:rsid w:val="005001BF"/>
    <w:rsid w:val="00503870"/>
    <w:rsid w:val="00510390"/>
    <w:rsid w:val="00512112"/>
    <w:rsid w:val="005123F0"/>
    <w:rsid w:val="00513540"/>
    <w:rsid w:val="00513941"/>
    <w:rsid w:val="0051627F"/>
    <w:rsid w:val="005203D5"/>
    <w:rsid w:val="0052377D"/>
    <w:rsid w:val="00526811"/>
    <w:rsid w:val="0053051D"/>
    <w:rsid w:val="00534379"/>
    <w:rsid w:val="00547E79"/>
    <w:rsid w:val="00553B66"/>
    <w:rsid w:val="005555A5"/>
    <w:rsid w:val="00555821"/>
    <w:rsid w:val="005637C2"/>
    <w:rsid w:val="00564208"/>
    <w:rsid w:val="00564CCE"/>
    <w:rsid w:val="005651E0"/>
    <w:rsid w:val="00571CEB"/>
    <w:rsid w:val="00573036"/>
    <w:rsid w:val="005770ED"/>
    <w:rsid w:val="00577CB7"/>
    <w:rsid w:val="00580782"/>
    <w:rsid w:val="00581958"/>
    <w:rsid w:val="00581D9F"/>
    <w:rsid w:val="00584CE2"/>
    <w:rsid w:val="00591951"/>
    <w:rsid w:val="00593E17"/>
    <w:rsid w:val="00594301"/>
    <w:rsid w:val="005960BC"/>
    <w:rsid w:val="005A0964"/>
    <w:rsid w:val="005A0CA4"/>
    <w:rsid w:val="005A2B9E"/>
    <w:rsid w:val="005A66B7"/>
    <w:rsid w:val="005A6AB8"/>
    <w:rsid w:val="005A70A4"/>
    <w:rsid w:val="005B1F2C"/>
    <w:rsid w:val="005B36F6"/>
    <w:rsid w:val="005B567E"/>
    <w:rsid w:val="005C02DA"/>
    <w:rsid w:val="005C2ECF"/>
    <w:rsid w:val="005C5D41"/>
    <w:rsid w:val="005C60F7"/>
    <w:rsid w:val="005C7163"/>
    <w:rsid w:val="005D19B7"/>
    <w:rsid w:val="005D1F34"/>
    <w:rsid w:val="005D383D"/>
    <w:rsid w:val="005D3FBB"/>
    <w:rsid w:val="005D4633"/>
    <w:rsid w:val="005D4DE1"/>
    <w:rsid w:val="005E45FC"/>
    <w:rsid w:val="005F4FA0"/>
    <w:rsid w:val="0060074E"/>
    <w:rsid w:val="0060577A"/>
    <w:rsid w:val="00612D59"/>
    <w:rsid w:val="00614869"/>
    <w:rsid w:val="0061670F"/>
    <w:rsid w:val="00616F88"/>
    <w:rsid w:val="00622508"/>
    <w:rsid w:val="00623566"/>
    <w:rsid w:val="006239A4"/>
    <w:rsid w:val="0063009F"/>
    <w:rsid w:val="00630BA3"/>
    <w:rsid w:val="00633C31"/>
    <w:rsid w:val="006356C5"/>
    <w:rsid w:val="00643E9E"/>
    <w:rsid w:val="0064473F"/>
    <w:rsid w:val="00646CDB"/>
    <w:rsid w:val="00650E26"/>
    <w:rsid w:val="00654793"/>
    <w:rsid w:val="00671017"/>
    <w:rsid w:val="00672A5E"/>
    <w:rsid w:val="00677E92"/>
    <w:rsid w:val="006943DB"/>
    <w:rsid w:val="0069483C"/>
    <w:rsid w:val="006A00E8"/>
    <w:rsid w:val="006A1E8A"/>
    <w:rsid w:val="006A534A"/>
    <w:rsid w:val="006A6BB3"/>
    <w:rsid w:val="006B271C"/>
    <w:rsid w:val="006B2B62"/>
    <w:rsid w:val="006B3DE1"/>
    <w:rsid w:val="006C0642"/>
    <w:rsid w:val="006D0407"/>
    <w:rsid w:val="006D5EE5"/>
    <w:rsid w:val="006E05C4"/>
    <w:rsid w:val="006E6D3B"/>
    <w:rsid w:val="006F10AB"/>
    <w:rsid w:val="006F463A"/>
    <w:rsid w:val="0070235B"/>
    <w:rsid w:val="00711D67"/>
    <w:rsid w:val="00712506"/>
    <w:rsid w:val="00714FF5"/>
    <w:rsid w:val="0072159C"/>
    <w:rsid w:val="0072223A"/>
    <w:rsid w:val="00724304"/>
    <w:rsid w:val="007257B9"/>
    <w:rsid w:val="00727033"/>
    <w:rsid w:val="00730BD2"/>
    <w:rsid w:val="00732419"/>
    <w:rsid w:val="0073422D"/>
    <w:rsid w:val="00735483"/>
    <w:rsid w:val="00737E36"/>
    <w:rsid w:val="00750727"/>
    <w:rsid w:val="007540BF"/>
    <w:rsid w:val="00755F4D"/>
    <w:rsid w:val="007637A8"/>
    <w:rsid w:val="0076567C"/>
    <w:rsid w:val="00765B58"/>
    <w:rsid w:val="00766A22"/>
    <w:rsid w:val="00770ABD"/>
    <w:rsid w:val="00770DCB"/>
    <w:rsid w:val="00775485"/>
    <w:rsid w:val="00777C7F"/>
    <w:rsid w:val="007828A8"/>
    <w:rsid w:val="00783532"/>
    <w:rsid w:val="00784366"/>
    <w:rsid w:val="007846B5"/>
    <w:rsid w:val="0078772F"/>
    <w:rsid w:val="00787CF0"/>
    <w:rsid w:val="00792D31"/>
    <w:rsid w:val="00795207"/>
    <w:rsid w:val="007B06EA"/>
    <w:rsid w:val="007C0C2F"/>
    <w:rsid w:val="007C29A4"/>
    <w:rsid w:val="007C4FA5"/>
    <w:rsid w:val="007D2F00"/>
    <w:rsid w:val="007D4562"/>
    <w:rsid w:val="007D7598"/>
    <w:rsid w:val="007E3BB5"/>
    <w:rsid w:val="007E59D4"/>
    <w:rsid w:val="007E5B88"/>
    <w:rsid w:val="007F0D0B"/>
    <w:rsid w:val="007F14AD"/>
    <w:rsid w:val="007F6B47"/>
    <w:rsid w:val="008007A8"/>
    <w:rsid w:val="00802FA3"/>
    <w:rsid w:val="008042D9"/>
    <w:rsid w:val="00804E0D"/>
    <w:rsid w:val="00810738"/>
    <w:rsid w:val="00813259"/>
    <w:rsid w:val="008139AF"/>
    <w:rsid w:val="00814FC0"/>
    <w:rsid w:val="00815A4F"/>
    <w:rsid w:val="0081649B"/>
    <w:rsid w:val="00817C73"/>
    <w:rsid w:val="00822B71"/>
    <w:rsid w:val="00823005"/>
    <w:rsid w:val="00823C2E"/>
    <w:rsid w:val="00824750"/>
    <w:rsid w:val="00827499"/>
    <w:rsid w:val="00830746"/>
    <w:rsid w:val="008329F2"/>
    <w:rsid w:val="008353AA"/>
    <w:rsid w:val="00836448"/>
    <w:rsid w:val="00837DFF"/>
    <w:rsid w:val="008449B9"/>
    <w:rsid w:val="00845FE7"/>
    <w:rsid w:val="00847191"/>
    <w:rsid w:val="00852787"/>
    <w:rsid w:val="00853666"/>
    <w:rsid w:val="008540F1"/>
    <w:rsid w:val="008617D3"/>
    <w:rsid w:val="0086254F"/>
    <w:rsid w:val="00865AAB"/>
    <w:rsid w:val="008724DE"/>
    <w:rsid w:val="008730D5"/>
    <w:rsid w:val="008758D9"/>
    <w:rsid w:val="00882B0A"/>
    <w:rsid w:val="00884C57"/>
    <w:rsid w:val="00896FB9"/>
    <w:rsid w:val="008A3D57"/>
    <w:rsid w:val="008A54DE"/>
    <w:rsid w:val="008B23BC"/>
    <w:rsid w:val="008B3899"/>
    <w:rsid w:val="008B4242"/>
    <w:rsid w:val="008B507B"/>
    <w:rsid w:val="008C06AB"/>
    <w:rsid w:val="008C0EC0"/>
    <w:rsid w:val="008D057A"/>
    <w:rsid w:val="008D2006"/>
    <w:rsid w:val="008D5AB6"/>
    <w:rsid w:val="008D60E0"/>
    <w:rsid w:val="008E00C1"/>
    <w:rsid w:val="008E3185"/>
    <w:rsid w:val="008E328C"/>
    <w:rsid w:val="008E3D60"/>
    <w:rsid w:val="008E3F4C"/>
    <w:rsid w:val="008E63E5"/>
    <w:rsid w:val="008E74BB"/>
    <w:rsid w:val="008E79C5"/>
    <w:rsid w:val="008F062E"/>
    <w:rsid w:val="008F1AB5"/>
    <w:rsid w:val="008F2FF0"/>
    <w:rsid w:val="00900D75"/>
    <w:rsid w:val="0090165F"/>
    <w:rsid w:val="00901B82"/>
    <w:rsid w:val="00902F43"/>
    <w:rsid w:val="00904615"/>
    <w:rsid w:val="00910E68"/>
    <w:rsid w:val="00912B09"/>
    <w:rsid w:val="00925509"/>
    <w:rsid w:val="009264AF"/>
    <w:rsid w:val="009267DC"/>
    <w:rsid w:val="00930458"/>
    <w:rsid w:val="009365D7"/>
    <w:rsid w:val="009409A8"/>
    <w:rsid w:val="009432CF"/>
    <w:rsid w:val="0094645F"/>
    <w:rsid w:val="00950855"/>
    <w:rsid w:val="009541DD"/>
    <w:rsid w:val="00956820"/>
    <w:rsid w:val="009605C0"/>
    <w:rsid w:val="0096378F"/>
    <w:rsid w:val="00965418"/>
    <w:rsid w:val="00965D9A"/>
    <w:rsid w:val="00966C2F"/>
    <w:rsid w:val="0096742A"/>
    <w:rsid w:val="0097512B"/>
    <w:rsid w:val="00976520"/>
    <w:rsid w:val="00982404"/>
    <w:rsid w:val="009836EB"/>
    <w:rsid w:val="00983A6B"/>
    <w:rsid w:val="00985F22"/>
    <w:rsid w:val="00991FC5"/>
    <w:rsid w:val="009A1259"/>
    <w:rsid w:val="009A6294"/>
    <w:rsid w:val="009B1F71"/>
    <w:rsid w:val="009B4E95"/>
    <w:rsid w:val="009C2A57"/>
    <w:rsid w:val="009C59C2"/>
    <w:rsid w:val="009C5C0D"/>
    <w:rsid w:val="009C6014"/>
    <w:rsid w:val="009C7F07"/>
    <w:rsid w:val="009D4FD3"/>
    <w:rsid w:val="009D67F6"/>
    <w:rsid w:val="009E08D1"/>
    <w:rsid w:val="009E0D19"/>
    <w:rsid w:val="009E0FE1"/>
    <w:rsid w:val="009E39AE"/>
    <w:rsid w:val="009E4BD0"/>
    <w:rsid w:val="009E6FE9"/>
    <w:rsid w:val="009F2764"/>
    <w:rsid w:val="009F36C4"/>
    <w:rsid w:val="00A01013"/>
    <w:rsid w:val="00A0406E"/>
    <w:rsid w:val="00A11307"/>
    <w:rsid w:val="00A12979"/>
    <w:rsid w:val="00A13AF3"/>
    <w:rsid w:val="00A151E3"/>
    <w:rsid w:val="00A168DE"/>
    <w:rsid w:val="00A1721C"/>
    <w:rsid w:val="00A21388"/>
    <w:rsid w:val="00A23FE6"/>
    <w:rsid w:val="00A27791"/>
    <w:rsid w:val="00A27ABE"/>
    <w:rsid w:val="00A355F9"/>
    <w:rsid w:val="00A35FC8"/>
    <w:rsid w:val="00A41310"/>
    <w:rsid w:val="00A41355"/>
    <w:rsid w:val="00A437B6"/>
    <w:rsid w:val="00A43B92"/>
    <w:rsid w:val="00A47DB5"/>
    <w:rsid w:val="00A51C07"/>
    <w:rsid w:val="00A54251"/>
    <w:rsid w:val="00A55607"/>
    <w:rsid w:val="00A6179E"/>
    <w:rsid w:val="00A64316"/>
    <w:rsid w:val="00A71CCB"/>
    <w:rsid w:val="00A730CB"/>
    <w:rsid w:val="00A804D9"/>
    <w:rsid w:val="00A8205D"/>
    <w:rsid w:val="00A85315"/>
    <w:rsid w:val="00A8573B"/>
    <w:rsid w:val="00A902C2"/>
    <w:rsid w:val="00A92915"/>
    <w:rsid w:val="00A92F92"/>
    <w:rsid w:val="00A96892"/>
    <w:rsid w:val="00A971C7"/>
    <w:rsid w:val="00A97FAC"/>
    <w:rsid w:val="00AA2051"/>
    <w:rsid w:val="00AA70C4"/>
    <w:rsid w:val="00AB471F"/>
    <w:rsid w:val="00AB760C"/>
    <w:rsid w:val="00AB7C8F"/>
    <w:rsid w:val="00AC1B4C"/>
    <w:rsid w:val="00AC2192"/>
    <w:rsid w:val="00AC636D"/>
    <w:rsid w:val="00AE349D"/>
    <w:rsid w:val="00AE4AE6"/>
    <w:rsid w:val="00AE7B59"/>
    <w:rsid w:val="00AF4A01"/>
    <w:rsid w:val="00AF4A6F"/>
    <w:rsid w:val="00AF4F25"/>
    <w:rsid w:val="00AF5E99"/>
    <w:rsid w:val="00B00F61"/>
    <w:rsid w:val="00B0724D"/>
    <w:rsid w:val="00B07D2A"/>
    <w:rsid w:val="00B15319"/>
    <w:rsid w:val="00B171AD"/>
    <w:rsid w:val="00B17F81"/>
    <w:rsid w:val="00B237FB"/>
    <w:rsid w:val="00B24060"/>
    <w:rsid w:val="00B24B1D"/>
    <w:rsid w:val="00B26C33"/>
    <w:rsid w:val="00B277E0"/>
    <w:rsid w:val="00B27E10"/>
    <w:rsid w:val="00B33758"/>
    <w:rsid w:val="00B34946"/>
    <w:rsid w:val="00B41664"/>
    <w:rsid w:val="00B41A12"/>
    <w:rsid w:val="00B50B88"/>
    <w:rsid w:val="00B519FD"/>
    <w:rsid w:val="00B520BC"/>
    <w:rsid w:val="00B539CC"/>
    <w:rsid w:val="00B63D24"/>
    <w:rsid w:val="00B669D8"/>
    <w:rsid w:val="00B71381"/>
    <w:rsid w:val="00B72FBF"/>
    <w:rsid w:val="00B74ABA"/>
    <w:rsid w:val="00B76D11"/>
    <w:rsid w:val="00B80592"/>
    <w:rsid w:val="00B8101F"/>
    <w:rsid w:val="00B86502"/>
    <w:rsid w:val="00B924E6"/>
    <w:rsid w:val="00B945AE"/>
    <w:rsid w:val="00BA06E5"/>
    <w:rsid w:val="00BA262D"/>
    <w:rsid w:val="00BA5698"/>
    <w:rsid w:val="00BA61CD"/>
    <w:rsid w:val="00BB3A8E"/>
    <w:rsid w:val="00BB5AAD"/>
    <w:rsid w:val="00BC2673"/>
    <w:rsid w:val="00BC79EB"/>
    <w:rsid w:val="00BD2CCC"/>
    <w:rsid w:val="00BD2FAB"/>
    <w:rsid w:val="00BD7FCF"/>
    <w:rsid w:val="00BF469B"/>
    <w:rsid w:val="00BF6406"/>
    <w:rsid w:val="00C01368"/>
    <w:rsid w:val="00C01C27"/>
    <w:rsid w:val="00C02099"/>
    <w:rsid w:val="00C04415"/>
    <w:rsid w:val="00C04643"/>
    <w:rsid w:val="00C048D1"/>
    <w:rsid w:val="00C051A3"/>
    <w:rsid w:val="00C0569F"/>
    <w:rsid w:val="00C064DC"/>
    <w:rsid w:val="00C13995"/>
    <w:rsid w:val="00C149BD"/>
    <w:rsid w:val="00C25BDA"/>
    <w:rsid w:val="00C26F51"/>
    <w:rsid w:val="00C2779A"/>
    <w:rsid w:val="00C33104"/>
    <w:rsid w:val="00C332D4"/>
    <w:rsid w:val="00C41C10"/>
    <w:rsid w:val="00C43FC5"/>
    <w:rsid w:val="00C443FB"/>
    <w:rsid w:val="00C50ACB"/>
    <w:rsid w:val="00C50ECA"/>
    <w:rsid w:val="00C51011"/>
    <w:rsid w:val="00C5124B"/>
    <w:rsid w:val="00C51EC9"/>
    <w:rsid w:val="00C560AC"/>
    <w:rsid w:val="00C5781C"/>
    <w:rsid w:val="00C60051"/>
    <w:rsid w:val="00C60343"/>
    <w:rsid w:val="00C644E7"/>
    <w:rsid w:val="00C71FBC"/>
    <w:rsid w:val="00C82719"/>
    <w:rsid w:val="00C854D4"/>
    <w:rsid w:val="00C864D6"/>
    <w:rsid w:val="00C90556"/>
    <w:rsid w:val="00C9341B"/>
    <w:rsid w:val="00C95778"/>
    <w:rsid w:val="00CA0D78"/>
    <w:rsid w:val="00CA4855"/>
    <w:rsid w:val="00CA5293"/>
    <w:rsid w:val="00CA5D90"/>
    <w:rsid w:val="00CB10A6"/>
    <w:rsid w:val="00CB1502"/>
    <w:rsid w:val="00CB24FE"/>
    <w:rsid w:val="00CB7D81"/>
    <w:rsid w:val="00CC1E5E"/>
    <w:rsid w:val="00CC2AA0"/>
    <w:rsid w:val="00CD03F7"/>
    <w:rsid w:val="00CD1C0E"/>
    <w:rsid w:val="00CD3C9B"/>
    <w:rsid w:val="00CD5260"/>
    <w:rsid w:val="00CD5824"/>
    <w:rsid w:val="00CD58FD"/>
    <w:rsid w:val="00CD635A"/>
    <w:rsid w:val="00CD6FB2"/>
    <w:rsid w:val="00CE0066"/>
    <w:rsid w:val="00CE5A07"/>
    <w:rsid w:val="00CE66BE"/>
    <w:rsid w:val="00CF23EB"/>
    <w:rsid w:val="00CF2D25"/>
    <w:rsid w:val="00CF44CD"/>
    <w:rsid w:val="00CF6ACC"/>
    <w:rsid w:val="00D00851"/>
    <w:rsid w:val="00D03307"/>
    <w:rsid w:val="00D0368F"/>
    <w:rsid w:val="00D13FBC"/>
    <w:rsid w:val="00D16B0B"/>
    <w:rsid w:val="00D26B65"/>
    <w:rsid w:val="00D26D70"/>
    <w:rsid w:val="00D3020E"/>
    <w:rsid w:val="00D3112F"/>
    <w:rsid w:val="00D343FA"/>
    <w:rsid w:val="00D34837"/>
    <w:rsid w:val="00D36A88"/>
    <w:rsid w:val="00D379E8"/>
    <w:rsid w:val="00D418FF"/>
    <w:rsid w:val="00D424B1"/>
    <w:rsid w:val="00D43EF3"/>
    <w:rsid w:val="00D45619"/>
    <w:rsid w:val="00D46090"/>
    <w:rsid w:val="00D548CD"/>
    <w:rsid w:val="00D65C76"/>
    <w:rsid w:val="00D734C7"/>
    <w:rsid w:val="00D7542B"/>
    <w:rsid w:val="00D76669"/>
    <w:rsid w:val="00D8351F"/>
    <w:rsid w:val="00D85604"/>
    <w:rsid w:val="00D90095"/>
    <w:rsid w:val="00D94EBF"/>
    <w:rsid w:val="00DA1D32"/>
    <w:rsid w:val="00DA2F73"/>
    <w:rsid w:val="00DA3804"/>
    <w:rsid w:val="00DA7A55"/>
    <w:rsid w:val="00DB0ACF"/>
    <w:rsid w:val="00DB7087"/>
    <w:rsid w:val="00DC209B"/>
    <w:rsid w:val="00DC307B"/>
    <w:rsid w:val="00DC343B"/>
    <w:rsid w:val="00DC462F"/>
    <w:rsid w:val="00DC4780"/>
    <w:rsid w:val="00DC499A"/>
    <w:rsid w:val="00DC700B"/>
    <w:rsid w:val="00DD2994"/>
    <w:rsid w:val="00DD3FC3"/>
    <w:rsid w:val="00DD6A21"/>
    <w:rsid w:val="00DD770F"/>
    <w:rsid w:val="00DD79F9"/>
    <w:rsid w:val="00DE10A5"/>
    <w:rsid w:val="00DE18A7"/>
    <w:rsid w:val="00DE2EFB"/>
    <w:rsid w:val="00DE60CA"/>
    <w:rsid w:val="00E024E1"/>
    <w:rsid w:val="00E02517"/>
    <w:rsid w:val="00E062B0"/>
    <w:rsid w:val="00E06A11"/>
    <w:rsid w:val="00E06E58"/>
    <w:rsid w:val="00E14833"/>
    <w:rsid w:val="00E1675F"/>
    <w:rsid w:val="00E24FA3"/>
    <w:rsid w:val="00E26B28"/>
    <w:rsid w:val="00E3080D"/>
    <w:rsid w:val="00E31465"/>
    <w:rsid w:val="00E328CD"/>
    <w:rsid w:val="00E3489E"/>
    <w:rsid w:val="00E3556A"/>
    <w:rsid w:val="00E362F0"/>
    <w:rsid w:val="00E36B95"/>
    <w:rsid w:val="00E372E9"/>
    <w:rsid w:val="00E4003F"/>
    <w:rsid w:val="00E43952"/>
    <w:rsid w:val="00E4510B"/>
    <w:rsid w:val="00E458F6"/>
    <w:rsid w:val="00E45954"/>
    <w:rsid w:val="00E46704"/>
    <w:rsid w:val="00E4795A"/>
    <w:rsid w:val="00E5198D"/>
    <w:rsid w:val="00E53546"/>
    <w:rsid w:val="00E55F24"/>
    <w:rsid w:val="00E61219"/>
    <w:rsid w:val="00E633AD"/>
    <w:rsid w:val="00E653A8"/>
    <w:rsid w:val="00E77DF3"/>
    <w:rsid w:val="00E8298A"/>
    <w:rsid w:val="00E86B4C"/>
    <w:rsid w:val="00E879FB"/>
    <w:rsid w:val="00E93868"/>
    <w:rsid w:val="00EA1BAF"/>
    <w:rsid w:val="00EA44D9"/>
    <w:rsid w:val="00EA6B3C"/>
    <w:rsid w:val="00EB6A76"/>
    <w:rsid w:val="00EB72B5"/>
    <w:rsid w:val="00EC17A3"/>
    <w:rsid w:val="00ED1F10"/>
    <w:rsid w:val="00EE05FC"/>
    <w:rsid w:val="00EE1A08"/>
    <w:rsid w:val="00EE2982"/>
    <w:rsid w:val="00EE2CC8"/>
    <w:rsid w:val="00EE42D8"/>
    <w:rsid w:val="00EE5DB8"/>
    <w:rsid w:val="00EF57B4"/>
    <w:rsid w:val="00F0799D"/>
    <w:rsid w:val="00F107A0"/>
    <w:rsid w:val="00F10AB1"/>
    <w:rsid w:val="00F11B6D"/>
    <w:rsid w:val="00F127A8"/>
    <w:rsid w:val="00F12FFB"/>
    <w:rsid w:val="00F13EB9"/>
    <w:rsid w:val="00F14C6D"/>
    <w:rsid w:val="00F15B22"/>
    <w:rsid w:val="00F207AF"/>
    <w:rsid w:val="00F220A5"/>
    <w:rsid w:val="00F22346"/>
    <w:rsid w:val="00F30321"/>
    <w:rsid w:val="00F306E4"/>
    <w:rsid w:val="00F34362"/>
    <w:rsid w:val="00F34BC9"/>
    <w:rsid w:val="00F41A3F"/>
    <w:rsid w:val="00F4572B"/>
    <w:rsid w:val="00F478CA"/>
    <w:rsid w:val="00F51232"/>
    <w:rsid w:val="00F513AE"/>
    <w:rsid w:val="00F55799"/>
    <w:rsid w:val="00F6738E"/>
    <w:rsid w:val="00F70799"/>
    <w:rsid w:val="00F72D53"/>
    <w:rsid w:val="00F73F26"/>
    <w:rsid w:val="00F8302E"/>
    <w:rsid w:val="00F86DAB"/>
    <w:rsid w:val="00F91A84"/>
    <w:rsid w:val="00F9788A"/>
    <w:rsid w:val="00FA24C8"/>
    <w:rsid w:val="00FA30A7"/>
    <w:rsid w:val="00FA44F2"/>
    <w:rsid w:val="00FA4916"/>
    <w:rsid w:val="00FA7E5C"/>
    <w:rsid w:val="00FB193D"/>
    <w:rsid w:val="00FB3422"/>
    <w:rsid w:val="00FC2499"/>
    <w:rsid w:val="00FC5386"/>
    <w:rsid w:val="00FC6461"/>
    <w:rsid w:val="00FD01B5"/>
    <w:rsid w:val="00FD5BF0"/>
    <w:rsid w:val="00FE171C"/>
    <w:rsid w:val="00FF02ED"/>
    <w:rsid w:val="00FF39CB"/>
    <w:rsid w:val="00FF7F8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0DD06BE"/>
  <w15:docId w15:val="{9414906C-8EC3-4FDC-B002-E6BBE17E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semiHidden="1" w:unhideWhenUsed="1"/>
    <w:lsdException w:name="heading 7" w:locked="0"/>
    <w:lsdException w:name="heading 8" w:locked="0"/>
    <w:lsdException w:name="heading 9" w:locked="0"/>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qFormat="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0" w:semiHidden="1" w:unhideWhenUsed="1" w:qFormat="1"/>
    <w:lsdException w:name="endnote text" w:locked="0"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0"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locked="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166450"/>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semiHidden/>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2"/>
      </w:numPr>
      <w:spacing w:before="0"/>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numPr>
        <w:numId w:val="7"/>
      </w:numPr>
      <w:tabs>
        <w:tab w:val="clear" w:pos="360"/>
        <w:tab w:val="left" w:pos="1134"/>
      </w:tabs>
      <w:spacing w:before="120" w:after="120"/>
      <w:ind w:left="1094" w:hanging="737"/>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qFormat/>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character" w:customStyle="1" w:styleId="UnresolvedMention2">
    <w:name w:val="Unresolved Mention2"/>
    <w:basedOn w:val="DefaultParagraphFont"/>
    <w:uiPriority w:val="99"/>
    <w:semiHidden/>
    <w:unhideWhenUsed/>
    <w:rsid w:val="00213AEF"/>
    <w:rPr>
      <w:color w:val="605E5C"/>
      <w:shd w:val="clear" w:color="auto" w:fill="E1DFDD"/>
    </w:rPr>
  </w:style>
  <w:style w:type="paragraph" w:styleId="Revision">
    <w:name w:val="Revision"/>
    <w:hidden/>
    <w:uiPriority w:val="99"/>
    <w:semiHidden/>
    <w:rsid w:val="004E7550"/>
    <w:rPr>
      <w:rFonts w:ascii="Open Sans" w:eastAsia="MS Mincho" w:hAnsi="Open Sans"/>
      <w:sz w:val="24"/>
      <w:szCs w:val="24"/>
    </w:rPr>
  </w:style>
  <w:style w:type="paragraph" w:styleId="FootnoteText">
    <w:name w:val="footnote text"/>
    <w:basedOn w:val="Normal"/>
    <w:link w:val="FootnoteTextChar"/>
    <w:unhideWhenUsed/>
    <w:locked/>
    <w:rsid w:val="00C13995"/>
    <w:pPr>
      <w:spacing w:before="0" w:after="0"/>
    </w:pPr>
  </w:style>
  <w:style w:type="character" w:customStyle="1" w:styleId="FootnoteTextChar">
    <w:name w:val="Footnote Text Char"/>
    <w:basedOn w:val="DefaultParagraphFont"/>
    <w:link w:val="FootnoteText"/>
    <w:rsid w:val="00C13995"/>
    <w:rPr>
      <w:rFonts w:ascii="Open Sans" w:eastAsia="MS Mincho" w:hAnsi="Open Sans"/>
      <w:sz w:val="24"/>
      <w:szCs w:val="24"/>
    </w:rPr>
  </w:style>
  <w:style w:type="character" w:styleId="FootnoteReference">
    <w:name w:val="footnote reference"/>
    <w:basedOn w:val="DefaultParagraphFont"/>
    <w:unhideWhenUsed/>
    <w:locked/>
    <w:rsid w:val="00C139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47665263">
      <w:bodyDiv w:val="1"/>
      <w:marLeft w:val="0"/>
      <w:marRight w:val="0"/>
      <w:marTop w:val="0"/>
      <w:marBottom w:val="0"/>
      <w:divBdr>
        <w:top w:val="none" w:sz="0" w:space="0" w:color="auto"/>
        <w:left w:val="none" w:sz="0" w:space="0" w:color="auto"/>
        <w:bottom w:val="none" w:sz="0" w:space="0" w:color="auto"/>
        <w:right w:val="none" w:sz="0" w:space="0" w:color="auto"/>
      </w:divBdr>
      <w:divsChild>
        <w:div w:id="597103872">
          <w:marLeft w:val="0"/>
          <w:marRight w:val="0"/>
          <w:marTop w:val="0"/>
          <w:marBottom w:val="0"/>
          <w:divBdr>
            <w:top w:val="none" w:sz="0" w:space="0" w:color="auto"/>
            <w:left w:val="none" w:sz="0" w:space="0" w:color="auto"/>
            <w:bottom w:val="none" w:sz="0" w:space="0" w:color="auto"/>
            <w:right w:val="none" w:sz="0" w:space="0" w:color="auto"/>
          </w:divBdr>
          <w:divsChild>
            <w:div w:id="639845161">
              <w:marLeft w:val="0"/>
              <w:marRight w:val="0"/>
              <w:marTop w:val="0"/>
              <w:marBottom w:val="0"/>
              <w:divBdr>
                <w:top w:val="none" w:sz="0" w:space="0" w:color="auto"/>
                <w:left w:val="none" w:sz="0" w:space="0" w:color="auto"/>
                <w:bottom w:val="none" w:sz="0" w:space="0" w:color="auto"/>
                <w:right w:val="none" w:sz="0" w:space="0" w:color="auto"/>
              </w:divBdr>
              <w:divsChild>
                <w:div w:id="14269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276596149">
      <w:bodyDiv w:val="1"/>
      <w:marLeft w:val="0"/>
      <w:marRight w:val="0"/>
      <w:marTop w:val="0"/>
      <w:marBottom w:val="0"/>
      <w:divBdr>
        <w:top w:val="none" w:sz="0" w:space="0" w:color="auto"/>
        <w:left w:val="none" w:sz="0" w:space="0" w:color="auto"/>
        <w:bottom w:val="none" w:sz="0" w:space="0" w:color="auto"/>
        <w:right w:val="none" w:sz="0" w:space="0" w:color="auto"/>
      </w:divBdr>
    </w:div>
    <w:div w:id="1402364805">
      <w:bodyDiv w:val="1"/>
      <w:marLeft w:val="0"/>
      <w:marRight w:val="0"/>
      <w:marTop w:val="0"/>
      <w:marBottom w:val="0"/>
      <w:divBdr>
        <w:top w:val="none" w:sz="0" w:space="0" w:color="auto"/>
        <w:left w:val="none" w:sz="0" w:space="0" w:color="auto"/>
        <w:bottom w:val="none" w:sz="0" w:space="0" w:color="auto"/>
        <w:right w:val="none" w:sz="0" w:space="0" w:color="auto"/>
      </w:divBdr>
      <w:divsChild>
        <w:div w:id="1516849266">
          <w:marLeft w:val="0"/>
          <w:marRight w:val="0"/>
          <w:marTop w:val="0"/>
          <w:marBottom w:val="0"/>
          <w:divBdr>
            <w:top w:val="none" w:sz="0" w:space="0" w:color="auto"/>
            <w:left w:val="none" w:sz="0" w:space="0" w:color="auto"/>
            <w:bottom w:val="none" w:sz="0" w:space="0" w:color="auto"/>
            <w:right w:val="none" w:sz="0" w:space="0" w:color="auto"/>
          </w:divBdr>
          <w:divsChild>
            <w:div w:id="496266180">
              <w:marLeft w:val="0"/>
              <w:marRight w:val="0"/>
              <w:marTop w:val="0"/>
              <w:marBottom w:val="0"/>
              <w:divBdr>
                <w:top w:val="none" w:sz="0" w:space="0" w:color="auto"/>
                <w:left w:val="none" w:sz="0" w:space="0" w:color="auto"/>
                <w:bottom w:val="none" w:sz="0" w:space="0" w:color="auto"/>
                <w:right w:val="none" w:sz="0" w:space="0" w:color="auto"/>
              </w:divBdr>
              <w:divsChild>
                <w:div w:id="166979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www.refworld.org/docid/4a60961f2.html" TargetMode="External"/><Relationship Id="rId13" Type="http://schemas.openxmlformats.org/officeDocument/2006/relationships/hyperlink" Target="https://www.humanrights.gov.au/sites/default/files/AHRC_CRR_2017_Summary.pdf" TargetMode="External"/><Relationship Id="rId3" Type="http://schemas.openxmlformats.org/officeDocument/2006/relationships/hyperlink" Target="https://www.ohchr.org/EN/ProfessionalInterest/Pages/CCPR.aspx" TargetMode="External"/><Relationship Id="rId7" Type="http://schemas.openxmlformats.org/officeDocument/2006/relationships/hyperlink" Target="http://tbinternet.ohchr.org/_layouts/treatybodyexternal/Download.aspx?symbolno=CCPR%2fC%2f78%2fD%2f941%2f2000&amp;Lang=en" TargetMode="External"/><Relationship Id="rId12" Type="http://schemas.openxmlformats.org/officeDocument/2006/relationships/hyperlink" Target="https://www.ccyp.wa.gov.au/media/2841/issues-paper-lgbti-children-and-young-people-february-2018.pdf" TargetMode="External"/><Relationship Id="rId2" Type="http://schemas.openxmlformats.org/officeDocument/2006/relationships/hyperlink" Target="https://www.ohchr.org/EN/ProfessionalInterest/Pages/CCPR.aspx" TargetMode="External"/><Relationship Id="rId16" Type="http://schemas.openxmlformats.org/officeDocument/2006/relationships/hyperlink" Target="https://www.humanrights.gov.au/submissions/religious-freedom-review-2018" TargetMode="External"/><Relationship Id="rId1" Type="http://schemas.openxmlformats.org/officeDocument/2006/relationships/hyperlink" Target="https://www.abc.net.au/news/2018-10-13/morrison-government-vows-to-end-discrimination-of-gay-students/10372956" TargetMode="External"/><Relationship Id="rId6" Type="http://schemas.openxmlformats.org/officeDocument/2006/relationships/hyperlink" Target="https://www.refworld.org/docid/3ae6b38f0.html" TargetMode="External"/><Relationship Id="rId11" Type="http://schemas.openxmlformats.org/officeDocument/2006/relationships/hyperlink" Target="https://lgbtihealth.org.au/statistics/" TargetMode="External"/><Relationship Id="rId5" Type="http://schemas.openxmlformats.org/officeDocument/2006/relationships/hyperlink" Target="https://www.ohchr.org/EN/ProfessionalInterest/Pages/CCPR.aspx" TargetMode="External"/><Relationship Id="rId15" Type="http://schemas.openxmlformats.org/officeDocument/2006/relationships/hyperlink" Target="https://www.refworld.org/docid/4538834d2.html" TargetMode="External"/><Relationship Id="rId10" Type="http://schemas.openxmlformats.org/officeDocument/2006/relationships/hyperlink" Target="https://www.refworld.org/docid/4538834f11.html" TargetMode="External"/><Relationship Id="rId4" Type="http://schemas.openxmlformats.org/officeDocument/2006/relationships/hyperlink" Target="https://www.refworld.org/docid/3ae6b3b04.html" TargetMode="External"/><Relationship Id="rId9" Type="http://schemas.openxmlformats.org/officeDocument/2006/relationships/hyperlink" Target="http://www.yogyakartaprinciples.org/wp_content/uploads/2016/08/principles_en.pdf" TargetMode="External"/><Relationship Id="rId14" Type="http://schemas.openxmlformats.org/officeDocument/2006/relationships/hyperlink" Target="https://www.refworld.org/docid/51a84b5e4.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18424-103C-43A8-93C4-AEC2D5F16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Submission.dotx</Template>
  <TotalTime>23</TotalTime>
  <Pages>18</Pages>
  <Words>4721</Words>
  <Characters>26629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31288</CharactersWithSpaces>
  <SharedDoc>false</SharedDoc>
  <HLinks>
    <vt:vector size="24" baseType="variant">
      <vt:variant>
        <vt:i4>1703995</vt:i4>
      </vt:variant>
      <vt:variant>
        <vt:i4>20</vt:i4>
      </vt:variant>
      <vt:variant>
        <vt:i4>0</vt:i4>
      </vt:variant>
      <vt:variant>
        <vt:i4>5</vt:i4>
      </vt:variant>
      <vt:variant>
        <vt:lpwstr/>
      </vt:variant>
      <vt:variant>
        <vt:lpwstr>_Toc515289374</vt:lpwstr>
      </vt:variant>
      <vt:variant>
        <vt:i4>1703995</vt:i4>
      </vt:variant>
      <vt:variant>
        <vt:i4>14</vt:i4>
      </vt:variant>
      <vt:variant>
        <vt:i4>0</vt:i4>
      </vt:variant>
      <vt:variant>
        <vt:i4>5</vt:i4>
      </vt:variant>
      <vt:variant>
        <vt:lpwstr/>
      </vt:variant>
      <vt:variant>
        <vt:lpwstr>_Toc515289373</vt:lpwstr>
      </vt:variant>
      <vt:variant>
        <vt:i4>1703995</vt:i4>
      </vt:variant>
      <vt:variant>
        <vt:i4>8</vt:i4>
      </vt:variant>
      <vt:variant>
        <vt:i4>0</vt:i4>
      </vt:variant>
      <vt:variant>
        <vt:i4>5</vt:i4>
      </vt:variant>
      <vt:variant>
        <vt:lpwstr/>
      </vt:variant>
      <vt:variant>
        <vt:lpwstr>_Toc515289372</vt:lpwstr>
      </vt:variant>
      <vt:variant>
        <vt:i4>1703995</vt:i4>
      </vt:variant>
      <vt:variant>
        <vt:i4>2</vt:i4>
      </vt:variant>
      <vt:variant>
        <vt:i4>0</vt:i4>
      </vt:variant>
      <vt:variant>
        <vt:i4>5</vt:i4>
      </vt:variant>
      <vt:variant>
        <vt:lpwstr/>
      </vt:variant>
      <vt:variant>
        <vt:lpwstr>_Toc515289371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Daniel Nellor</dc:creator>
  <cp:keywords/>
  <cp:lastModifiedBy>Daniel Nellor</cp:lastModifiedBy>
  <cp:revision>11</cp:revision>
  <cp:lastPrinted>2019-01-21T00:48:00Z</cp:lastPrinted>
  <dcterms:created xsi:type="dcterms:W3CDTF">2019-01-20T23:59:00Z</dcterms:created>
  <dcterms:modified xsi:type="dcterms:W3CDTF">2019-01-21T00:48:00Z</dcterms:modified>
</cp:coreProperties>
</file>